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cs="宋体"/>
          <w:b/>
          <w:bCs/>
          <w:sz w:val="24"/>
        </w:rPr>
      </w:pPr>
    </w:p>
    <w:p>
      <w:pPr>
        <w:spacing w:line="500" w:lineRule="exact"/>
        <w:jc w:val="left"/>
        <w:rPr>
          <w:rFonts w:ascii="宋体" w:hAnsi="宋体" w:cs="宋体"/>
          <w:b/>
          <w:bCs/>
          <w:sz w:val="24"/>
        </w:rPr>
      </w:pPr>
    </w:p>
    <w:p>
      <w:pPr>
        <w:spacing w:line="500" w:lineRule="exact"/>
        <w:jc w:val="left"/>
        <w:rPr>
          <w:rFonts w:ascii="宋体" w:hAnsi="宋体" w:cs="宋体"/>
          <w:b/>
          <w:bCs/>
          <w:sz w:val="24"/>
        </w:rPr>
      </w:pPr>
    </w:p>
    <w:p>
      <w:pPr>
        <w:spacing w:line="500" w:lineRule="exact"/>
        <w:jc w:val="left"/>
        <w:rPr>
          <w:rFonts w:ascii="宋体" w:hAnsi="宋体" w:cs="宋体"/>
          <w:b/>
          <w:bCs/>
          <w:sz w:val="24"/>
        </w:rPr>
      </w:pPr>
      <w:r>
        <w:rPr>
          <w:rFonts w:hint="eastAsia" w:ascii="宋体" w:hAnsi="宋体" w:cs="宋体"/>
          <w:b/>
          <w:bCs/>
          <w:sz w:val="24"/>
        </w:rPr>
        <w:t xml:space="preserve">  </w:t>
      </w:r>
    </w:p>
    <w:p>
      <w:pPr>
        <w:spacing w:line="500" w:lineRule="exact"/>
        <w:jc w:val="left"/>
        <w:rPr>
          <w:rFonts w:ascii="宋体" w:hAnsi="宋体" w:cs="宋体"/>
          <w:b/>
          <w:bCs/>
          <w:sz w:val="24"/>
        </w:rPr>
      </w:pPr>
    </w:p>
    <w:p>
      <w:pPr>
        <w:jc w:val="center"/>
        <w:rPr>
          <w:rFonts w:ascii="宋体" w:hAnsi="宋体" w:cs="宋体"/>
          <w:b/>
          <w:bCs/>
          <w:sz w:val="36"/>
          <w:szCs w:val="36"/>
        </w:rPr>
      </w:pPr>
    </w:p>
    <w:p>
      <w:pPr>
        <w:jc w:val="both"/>
        <w:rPr>
          <w:rFonts w:ascii="宋体" w:hAnsi="宋体" w:cs="宋体"/>
          <w:b/>
          <w:bCs/>
          <w:sz w:val="36"/>
          <w:szCs w:val="36"/>
        </w:rPr>
      </w:pPr>
    </w:p>
    <w:p>
      <w:pPr>
        <w:jc w:val="center"/>
        <w:rPr>
          <w:rFonts w:ascii="宋体" w:hAnsi="宋体" w:cs="宋体"/>
          <w:b/>
          <w:bCs/>
          <w:sz w:val="36"/>
          <w:szCs w:val="36"/>
        </w:rPr>
      </w:pPr>
      <w:r>
        <w:rPr>
          <w:rFonts w:hint="eastAsia" w:ascii="宋体" w:hAnsi="宋体" w:cs="宋体"/>
          <w:b/>
          <w:bCs/>
          <w:sz w:val="36"/>
          <w:szCs w:val="36"/>
        </w:rPr>
        <w:t>中建路桥集团有</w:t>
      </w:r>
      <w:bookmarkStart w:id="17" w:name="_GoBack"/>
      <w:bookmarkEnd w:id="17"/>
      <w:r>
        <w:rPr>
          <w:rFonts w:hint="eastAsia" w:ascii="宋体" w:hAnsi="宋体" w:cs="宋体"/>
          <w:b/>
          <w:bCs/>
          <w:sz w:val="36"/>
          <w:szCs w:val="36"/>
        </w:rPr>
        <w:t>限公司机械设备采购项目</w:t>
      </w:r>
    </w:p>
    <w:p>
      <w:pPr>
        <w:jc w:val="center"/>
        <w:rPr>
          <w:rFonts w:ascii="宋体" w:hAnsi="宋体" w:cs="宋体"/>
          <w:b/>
          <w:bCs/>
          <w:kern w:val="44"/>
          <w:sz w:val="44"/>
          <w:szCs w:val="44"/>
        </w:rPr>
      </w:pPr>
    </w:p>
    <w:p>
      <w:pPr>
        <w:jc w:val="center"/>
        <w:rPr>
          <w:rFonts w:ascii="宋体" w:hAnsi="宋体" w:cs="宋体"/>
          <w:b/>
          <w:bCs/>
          <w:kern w:val="44"/>
          <w:sz w:val="44"/>
          <w:szCs w:val="44"/>
        </w:rPr>
      </w:pPr>
      <w:r>
        <w:rPr>
          <w:rFonts w:hint="eastAsia" w:ascii="宋体" w:hAnsi="宋体" w:cs="宋体"/>
          <w:b/>
          <w:bCs/>
          <w:kern w:val="44"/>
          <w:sz w:val="44"/>
          <w:szCs w:val="44"/>
        </w:rPr>
        <w:t xml:space="preserve">招 标 </w:t>
      </w:r>
      <w:r>
        <w:rPr>
          <w:rFonts w:ascii="宋体" w:hAnsi="宋体" w:cs="宋体"/>
          <w:b/>
          <w:bCs/>
          <w:kern w:val="44"/>
          <w:sz w:val="44"/>
          <w:szCs w:val="44"/>
        </w:rPr>
        <w:t>文</w:t>
      </w:r>
      <w:r>
        <w:rPr>
          <w:rFonts w:hint="eastAsia" w:ascii="宋体" w:hAnsi="宋体" w:cs="宋体"/>
          <w:b/>
          <w:bCs/>
          <w:kern w:val="44"/>
          <w:sz w:val="44"/>
          <w:szCs w:val="44"/>
        </w:rPr>
        <w:t xml:space="preserve"> </w:t>
      </w:r>
      <w:r>
        <w:rPr>
          <w:rFonts w:ascii="宋体" w:hAnsi="宋体" w:cs="宋体"/>
          <w:b/>
          <w:bCs/>
          <w:kern w:val="44"/>
          <w:sz w:val="44"/>
          <w:szCs w:val="44"/>
        </w:rPr>
        <w:t>件</w:t>
      </w:r>
    </w:p>
    <w:p>
      <w:pPr>
        <w:jc w:val="center"/>
        <w:rPr>
          <w:rFonts w:ascii="宋体" w:hAnsi="宋体" w:cs="宋体"/>
          <w:bCs/>
          <w:sz w:val="24"/>
        </w:rPr>
      </w:pPr>
      <w:r>
        <w:rPr>
          <w:rFonts w:hint="eastAsia" w:ascii="宋体" w:hAnsi="宋体" w:cs="宋体"/>
          <w:bCs/>
          <w:sz w:val="24"/>
        </w:rPr>
        <w:t>（编号： ZJLQ-FG-JSFZ-WZSB-</w:t>
      </w:r>
      <w:r>
        <w:rPr>
          <w:rFonts w:hint="eastAsia" w:ascii="宋体" w:hAnsi="宋体" w:cs="宋体"/>
          <w:bCs/>
          <w:color w:val="000000"/>
          <w:sz w:val="24"/>
        </w:rPr>
        <w:t>201900x）</w:t>
      </w:r>
    </w:p>
    <w:p>
      <w:pPr>
        <w:ind w:firstLine="723"/>
        <w:jc w:val="center"/>
        <w:rPr>
          <w:rFonts w:ascii="宋体" w:hAnsi="宋体" w:cs="宋体"/>
          <w:b/>
          <w:bCs/>
          <w:sz w:val="36"/>
          <w:szCs w:val="36"/>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jc w:val="center"/>
        <w:rPr>
          <w:rFonts w:ascii="宋体" w:hAnsi="宋体" w:cs="宋体"/>
          <w:b/>
          <w:bCs/>
          <w:kern w:val="44"/>
          <w:sz w:val="44"/>
          <w:szCs w:val="44"/>
        </w:rPr>
      </w:pPr>
    </w:p>
    <w:p>
      <w:pPr>
        <w:tabs>
          <w:tab w:val="left" w:pos="525"/>
        </w:tabs>
        <w:jc w:val="center"/>
        <w:rPr>
          <w:rFonts w:ascii="宋体" w:hAnsi="宋体" w:cs="宋体"/>
          <w:b/>
          <w:bCs/>
          <w:sz w:val="36"/>
        </w:rPr>
      </w:pPr>
      <w:r>
        <w:rPr>
          <w:rFonts w:hint="eastAsia" w:ascii="宋体" w:hAnsi="宋体" w:cs="宋体"/>
          <w:b/>
          <w:bCs/>
          <w:sz w:val="36"/>
        </w:rPr>
        <w:t>招标人：中建路桥集团建设发展有限公司</w:t>
      </w:r>
    </w:p>
    <w:p>
      <w:pPr>
        <w:tabs>
          <w:tab w:val="left" w:pos="525"/>
        </w:tabs>
        <w:ind w:firstLine="723"/>
        <w:jc w:val="center"/>
        <w:rPr>
          <w:rFonts w:ascii="宋体" w:hAnsi="宋体" w:cs="宋体"/>
          <w:b/>
          <w:bCs/>
          <w:sz w:val="36"/>
        </w:rPr>
      </w:pPr>
    </w:p>
    <w:p>
      <w:pPr>
        <w:tabs>
          <w:tab w:val="left" w:pos="525"/>
        </w:tabs>
        <w:jc w:val="center"/>
        <w:rPr>
          <w:rFonts w:ascii="宋体" w:hAnsi="宋体" w:cs="宋体"/>
          <w:sz w:val="30"/>
        </w:rPr>
      </w:pPr>
      <w:r>
        <w:rPr>
          <w:rFonts w:hint="eastAsia" w:ascii="宋体" w:hAnsi="宋体" w:cs="宋体"/>
          <w:sz w:val="30"/>
        </w:rPr>
        <w:t>2</w:t>
      </w:r>
      <w:r>
        <w:rPr>
          <w:rFonts w:ascii="宋体" w:hAnsi="宋体" w:cs="宋体"/>
          <w:sz w:val="30"/>
        </w:rPr>
        <w:t>01</w:t>
      </w:r>
      <w:r>
        <w:rPr>
          <w:rFonts w:hint="eastAsia" w:ascii="宋体" w:hAnsi="宋体" w:cs="宋体"/>
          <w:sz w:val="30"/>
        </w:rPr>
        <w:t>9年9月xx日</w:t>
      </w:r>
    </w:p>
    <w:p>
      <w:pPr>
        <w:pStyle w:val="40"/>
        <w:numPr>
          <w:ilvl w:val="0"/>
          <w:numId w:val="0"/>
        </w:numPr>
        <w:adjustRightInd w:val="0"/>
        <w:snapToGrid w:val="0"/>
        <w:spacing w:beforeLines="80" w:afterLines="16" w:line="360" w:lineRule="atLeast"/>
        <w:jc w:val="both"/>
        <w:rPr>
          <w:rFonts w:cs="宋体" w:asciiTheme="majorEastAsia" w:hAnsiTheme="majorEastAsia" w:eastAsiaTheme="majorEastAsia"/>
          <w:b/>
          <w:w w:val="90"/>
          <w:sz w:val="30"/>
          <w:szCs w:val="30"/>
        </w:rPr>
      </w:pPr>
    </w:p>
    <w:p>
      <w:pPr>
        <w:pStyle w:val="40"/>
        <w:numPr>
          <w:ilvl w:val="0"/>
          <w:numId w:val="0"/>
        </w:numPr>
        <w:adjustRightInd w:val="0"/>
        <w:snapToGrid w:val="0"/>
        <w:spacing w:beforeLines="80" w:afterLines="16" w:line="360" w:lineRule="atLeast"/>
        <w:ind w:firstLine="475" w:firstLineChars="175"/>
        <w:jc w:val="center"/>
        <w:rPr>
          <w:rFonts w:cs="宋体" w:asciiTheme="majorEastAsia" w:hAnsiTheme="majorEastAsia" w:eastAsiaTheme="majorEastAsia"/>
          <w:b/>
          <w:w w:val="90"/>
          <w:sz w:val="30"/>
          <w:szCs w:val="30"/>
        </w:rPr>
      </w:pPr>
      <w:r>
        <w:rPr>
          <w:rFonts w:hint="eastAsia" w:cs="宋体" w:asciiTheme="majorEastAsia" w:hAnsiTheme="majorEastAsia" w:eastAsiaTheme="majorEastAsia"/>
          <w:b/>
          <w:w w:val="90"/>
          <w:sz w:val="30"/>
          <w:szCs w:val="30"/>
        </w:rPr>
        <w:t>第一部分    投标须知</w:t>
      </w:r>
    </w:p>
    <w:p>
      <w:pPr>
        <w:pStyle w:val="44"/>
        <w:snapToGrid w:val="0"/>
        <w:ind w:firstLine="0" w:firstLineChars="0"/>
        <w:jc w:val="left"/>
        <w:rPr>
          <w:rFonts w:ascii="宋体" w:hAnsi="宋体" w:cs="宋体"/>
          <w:b/>
          <w:w w:val="90"/>
          <w:sz w:val="24"/>
        </w:rPr>
      </w:pPr>
      <w:r>
        <w:rPr>
          <w:rFonts w:hint="eastAsia" w:ascii="宋体" w:hAnsi="宋体" w:cs="宋体"/>
          <w:b/>
          <w:w w:val="90"/>
          <w:sz w:val="24"/>
        </w:rPr>
        <w:t>1.投标人条件要求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1.1投标人必须是产品制造商或经销商，具备独立法人资格，具有独立订立合同的权利。依法取得营业执照且营业执照处于有效期。</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1.2注册资本金资格要求：注册资本金</w:t>
      </w:r>
      <w:r>
        <w:rPr>
          <w:rFonts w:hint="eastAsia" w:cs="宋体" w:asciiTheme="majorEastAsia" w:hAnsiTheme="majorEastAsia" w:eastAsiaTheme="majorEastAsia"/>
          <w:color w:val="000000"/>
          <w:kern w:val="0"/>
          <w:szCs w:val="21"/>
          <w:highlight w:val="none"/>
          <w:lang w:val="en-US" w:eastAsia="zh-CN"/>
        </w:rPr>
        <w:t>壹</w:t>
      </w:r>
      <w:r>
        <w:rPr>
          <w:rFonts w:hint="eastAsia" w:cs="宋体" w:asciiTheme="majorEastAsia" w:hAnsiTheme="majorEastAsia" w:eastAsiaTheme="majorEastAsia"/>
          <w:color w:val="000000"/>
          <w:kern w:val="0"/>
          <w:szCs w:val="21"/>
          <w:highlight w:val="none"/>
        </w:rPr>
        <w:t>仟万元</w:t>
      </w:r>
      <w:r>
        <w:rPr>
          <w:rFonts w:hint="eastAsia" w:cs="宋体" w:asciiTheme="majorEastAsia" w:hAnsiTheme="majorEastAsia" w:eastAsiaTheme="majorEastAsia"/>
          <w:color w:val="000000"/>
          <w:kern w:val="0"/>
          <w:szCs w:val="21"/>
        </w:rPr>
        <w:t>及以上。</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1.3具有一般纳税人资格，有良好的银行信誉、充足的资金保证。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1.4产品生产厂商在专业技术、设备设施、人员组成、业绩经验等方面具有设计、制造、质量控制、经营管理的相应资格和能力。</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1.5具有完善的质量、安全、环保保证体系。</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1.6提供近二年业绩。</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1.7投标人必须有能力实现所投标设备按招标人规定的期限进场。</w:t>
      </w:r>
    </w:p>
    <w:p>
      <w:pPr>
        <w:snapToGrid w:val="0"/>
        <w:jc w:val="left"/>
        <w:rPr>
          <w:rFonts w:ascii="宋体" w:hAnsi="宋体" w:cs="宋体"/>
          <w:b/>
          <w:w w:val="90"/>
          <w:sz w:val="24"/>
        </w:rPr>
      </w:pPr>
      <w:r>
        <w:rPr>
          <w:rFonts w:hint="eastAsia" w:ascii="宋体" w:hAnsi="宋体" w:cs="宋体"/>
          <w:b/>
          <w:w w:val="90"/>
          <w:sz w:val="24"/>
        </w:rPr>
        <w:t>2.投标人代表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参加本次投标人代表，必须是单位的法人代表或持有法人代表亲自签署授权委托书的代理者。</w:t>
      </w:r>
    </w:p>
    <w:p>
      <w:pPr>
        <w:snapToGrid w:val="0"/>
        <w:jc w:val="left"/>
        <w:rPr>
          <w:rFonts w:ascii="宋体" w:hAnsi="宋体" w:cs="宋体"/>
          <w:b/>
          <w:w w:val="90"/>
          <w:sz w:val="24"/>
        </w:rPr>
      </w:pPr>
      <w:r>
        <w:rPr>
          <w:rFonts w:hint="eastAsia" w:ascii="宋体" w:hAnsi="宋体" w:cs="宋体"/>
          <w:b/>
          <w:w w:val="90"/>
          <w:sz w:val="24"/>
        </w:rPr>
        <w:t>3.投标注意事项</w:t>
      </w:r>
      <w:r>
        <w:rPr>
          <w:rFonts w:hint="eastAsia" w:ascii="宋体" w:hAnsi="宋体" w:cs="宋体"/>
          <w:w w:val="90"/>
          <w:sz w:val="24"/>
        </w:rPr>
        <w:t xml:space="preserve"> </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3.1投标人投标时应注意以下事项：</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3.1.1按招标文件提供格式表填写报价；</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3.1.2投标文件应符合第6条所列投标文件要求。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 投标人应认真阅读、充分理解招标文件的全部内容（包括所有的澄清），承认并履行招标文件中各项条款的规定及要求。若投标人对招标文件中任何内容有不理解之处，须在截止回标之前咨询招标人相关人员解答。</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3.3 投标书是投标人对招标文件的响应和承诺，投标人须按招标文件的要求报价及编制投标书，任何不依此要求而按其它原则或方式编写的投标书，其投标后可能因此不被考虑。报价若含有与招标文件条款不符的额外要求，则其投标亦可能不被考虑。</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3.4若投标人在递交投标书后发觉投标书有错误，可在回标截止时间之前以书面且密封的方式进行补充或更正，更正文件必须有法人签章和单位公章；</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3.5招标人不保证一定要接受最低的标价或收到的任何标价，亦不会解释选择或否定任何标价的原因；</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3.6招标人对每台设备设定了价格上限，投标报价超过上限的招标人将不予考虑。</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3.7投标人在投标之前，对本招标工程现场条件、工程位置、周围环境、道路、交通、材料堆放场地等情况，应该被认为已详细了解；</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3.8投标人在报价时应考虑供货周期的影响、运输过程中的一切不可预见的交通事故及其他原因造成的损失；</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3.9开标后招标人发现投标文件有任何错误或疑问，招标人可能向投标人提出询问，但询问并不表示改变投标文件，亦不减少投标人的任何责任。对于此种询问，投标人应在收到该询问后两天内向招标人予以书面答复；</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3.10.1标书售价：</w:t>
      </w:r>
    </w:p>
    <w:tbl>
      <w:tblPr>
        <w:tblStyle w:val="26"/>
        <w:tblW w:w="8363" w:type="dxa"/>
        <w:tblInd w:w="299" w:type="dxa"/>
        <w:tblLayout w:type="fixed"/>
        <w:tblCellMar>
          <w:top w:w="15" w:type="dxa"/>
          <w:left w:w="15" w:type="dxa"/>
          <w:bottom w:w="15" w:type="dxa"/>
          <w:right w:w="15" w:type="dxa"/>
        </w:tblCellMar>
      </w:tblPr>
      <w:tblGrid>
        <w:gridCol w:w="850"/>
        <w:gridCol w:w="1843"/>
        <w:gridCol w:w="1559"/>
        <w:gridCol w:w="851"/>
        <w:gridCol w:w="850"/>
        <w:gridCol w:w="1276"/>
        <w:gridCol w:w="1134"/>
      </w:tblGrid>
      <w:tr>
        <w:tblPrEx>
          <w:tblLayout w:type="fixed"/>
          <w:tblCellMar>
            <w:top w:w="15" w:type="dxa"/>
            <w:left w:w="15" w:type="dxa"/>
            <w:bottom w:w="15" w:type="dxa"/>
            <w:right w:w="15"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序号</w:t>
            </w:r>
          </w:p>
        </w:tc>
        <w:tc>
          <w:tcPr>
            <w:tcW w:w="1843"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设备名称</w:t>
            </w:r>
          </w:p>
        </w:tc>
        <w:tc>
          <w:tcPr>
            <w:tcW w:w="1559"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规格型号</w:t>
            </w:r>
          </w:p>
        </w:tc>
        <w:tc>
          <w:tcPr>
            <w:tcW w:w="85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单位</w:t>
            </w:r>
          </w:p>
        </w:tc>
        <w:tc>
          <w:tcPr>
            <w:tcW w:w="850"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数量</w:t>
            </w: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投标保证金</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标书售价</w:t>
            </w:r>
          </w:p>
        </w:tc>
      </w:tr>
      <w:tr>
        <w:tblPrEx>
          <w:tblLayout w:type="fixed"/>
          <w:tblCellMar>
            <w:top w:w="15" w:type="dxa"/>
            <w:left w:w="15" w:type="dxa"/>
            <w:bottom w:w="15" w:type="dxa"/>
            <w:right w:w="15" w:type="dxa"/>
          </w:tblCellMar>
        </w:tblPrEx>
        <w:trPr>
          <w:trHeight w:val="440"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hd w:val="clear" w:fill="FFFFFF" w:themeFill="background1"/>
              <w:spacing w:line="500" w:lineRule="exact"/>
              <w:ind w:firstLine="240" w:firstLineChars="100"/>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rPr>
              <w:t>电子汽车衡</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hd w:val="clear" w:fill="FFFFFF" w:themeFill="background1"/>
              <w:spacing w:line="500" w:lineRule="exact"/>
              <w:ind w:firstLine="200" w:firstLineChars="0"/>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rPr>
              <w:t>200T  3*18m</w:t>
            </w:r>
          </w:p>
        </w:tc>
        <w:tc>
          <w:tcPr>
            <w:tcW w:w="85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hint="default" w:cs="宋体" w:asciiTheme="majorEastAsia" w:hAnsiTheme="majorEastAsia" w:eastAsiaTheme="majorEastAsia"/>
                <w:color w:val="000000"/>
                <w:kern w:val="0"/>
                <w:szCs w:val="21"/>
                <w:highlight w:val="none"/>
                <w:lang w:val="en-US" w:eastAsia="zh-CN"/>
              </w:rPr>
            </w:pPr>
            <w:r>
              <w:rPr>
                <w:rFonts w:hint="eastAsia" w:cs="宋体" w:asciiTheme="majorEastAsia" w:hAnsiTheme="majorEastAsia" w:eastAsiaTheme="majorEastAsia"/>
                <w:color w:val="000000"/>
                <w:kern w:val="0"/>
                <w:szCs w:val="21"/>
                <w:highlight w:val="none"/>
                <w:lang w:val="en-US" w:eastAsia="zh-CN"/>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hint="eastAsia" w:cs="宋体" w:asciiTheme="majorEastAsia" w:hAnsiTheme="majorEastAsia" w:eastAsiaTheme="majorEastAsia"/>
                <w:color w:val="000000"/>
                <w:kern w:val="0"/>
                <w:szCs w:val="21"/>
                <w:highlight w:val="none"/>
                <w:lang w:val="en-US" w:eastAsia="zh-CN"/>
              </w:rPr>
            </w:pPr>
            <w:r>
              <w:rPr>
                <w:rFonts w:hint="eastAsia" w:cs="宋体" w:asciiTheme="majorEastAsia" w:hAnsiTheme="majorEastAsia" w:eastAsiaTheme="majorEastAsia"/>
                <w:color w:val="000000"/>
                <w:kern w:val="0"/>
                <w:szCs w:val="21"/>
                <w:highlight w:val="none"/>
                <w:lang w:val="en-US" w:eastAsia="zh-CN"/>
              </w:rPr>
              <w:t>1</w:t>
            </w:r>
          </w:p>
        </w:tc>
        <w:tc>
          <w:tcPr>
            <w:tcW w:w="1276" w:type="dxa"/>
            <w:vMerge w:val="restart"/>
            <w:tcBorders>
              <w:top w:val="single" w:color="000000" w:sz="4" w:space="0"/>
              <w:left w:val="single" w:color="000000" w:sz="4" w:space="0"/>
              <w:right w:val="single" w:color="000000" w:sz="4" w:space="0"/>
            </w:tcBorders>
            <w:vAlign w:val="center"/>
          </w:tcPr>
          <w:p>
            <w:pPr>
              <w:shd w:val="clear" w:fill="FFFFFF" w:themeFill="background1"/>
              <w:snapToGrid w:val="0"/>
              <w:jc w:val="center"/>
              <w:rPr>
                <w:rFonts w:hint="default" w:cs="宋体" w:asciiTheme="majorEastAsia" w:hAnsiTheme="majorEastAsia" w:eastAsiaTheme="majorEastAsia"/>
                <w:color w:val="000000"/>
                <w:kern w:val="0"/>
                <w:szCs w:val="21"/>
                <w:highlight w:val="none"/>
                <w:lang w:val="en-US" w:eastAsia="zh-CN"/>
              </w:rPr>
            </w:pPr>
            <w:r>
              <w:rPr>
                <w:rFonts w:hint="eastAsia" w:cs="宋体" w:asciiTheme="majorEastAsia" w:hAnsiTheme="majorEastAsia" w:eastAsiaTheme="majorEastAsia"/>
                <w:color w:val="000000"/>
                <w:kern w:val="0"/>
                <w:szCs w:val="21"/>
                <w:highlight w:val="none"/>
                <w:lang w:val="en-US" w:eastAsia="zh-CN"/>
              </w:rPr>
              <w:t>5000</w:t>
            </w:r>
          </w:p>
        </w:tc>
        <w:tc>
          <w:tcPr>
            <w:tcW w:w="1134" w:type="dxa"/>
            <w:vMerge w:val="restart"/>
            <w:tcBorders>
              <w:top w:val="single" w:color="000000" w:sz="4" w:space="0"/>
              <w:left w:val="single" w:color="000000" w:sz="4" w:space="0"/>
              <w:right w:val="single" w:color="000000" w:sz="4" w:space="0"/>
            </w:tcBorders>
            <w:vAlign w:val="center"/>
          </w:tcPr>
          <w:p>
            <w:pPr>
              <w:shd w:val="clear" w:fill="FFFFFF" w:themeFill="background1"/>
              <w:snapToGrid w:val="0"/>
              <w:jc w:val="center"/>
              <w:rPr>
                <w:rFonts w:hint="eastAsia" w:cs="宋体" w:asciiTheme="majorEastAsia" w:hAnsiTheme="majorEastAsia" w:eastAsiaTheme="majorEastAsia"/>
                <w:color w:val="000000"/>
                <w:kern w:val="0"/>
                <w:szCs w:val="21"/>
                <w:highlight w:val="none"/>
                <w:lang w:val="en-US" w:eastAsia="zh-CN"/>
              </w:rPr>
            </w:pPr>
            <w:r>
              <w:rPr>
                <w:rFonts w:hint="eastAsia" w:cs="宋体" w:asciiTheme="majorEastAsia" w:hAnsiTheme="majorEastAsia" w:eastAsiaTheme="majorEastAsia"/>
                <w:color w:val="000000"/>
                <w:kern w:val="0"/>
                <w:szCs w:val="21"/>
                <w:highlight w:val="none"/>
                <w:lang w:val="en-US" w:eastAsia="zh-CN"/>
              </w:rPr>
              <w:t>无</w:t>
            </w:r>
          </w:p>
        </w:tc>
      </w:tr>
      <w:tr>
        <w:tblPrEx>
          <w:tblLayout w:type="fixed"/>
          <w:tblCellMar>
            <w:top w:w="15" w:type="dxa"/>
            <w:left w:w="15" w:type="dxa"/>
            <w:bottom w:w="15" w:type="dxa"/>
            <w:right w:w="15"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fill="FFFFFF" w:themeFill="background1"/>
              <w:spacing w:line="500" w:lineRule="exact"/>
              <w:ind w:firstLine="240" w:firstLineChars="100"/>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rPr>
              <w:t>电子汽车衡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fill="FFFFFF" w:themeFill="background1"/>
              <w:spacing w:line="500" w:lineRule="exact"/>
              <w:ind w:firstLine="200" w:firstLineChars="0"/>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lang w:val="en-US" w:eastAsia="zh-CN"/>
              </w:rPr>
              <w:t>180T  3*16m</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fill="FFFFFF" w:themeFill="background1"/>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lang w:val="en-US" w:eastAsia="zh-CN"/>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napToGrid w:val="0"/>
              <w:jc w:val="center"/>
              <w:rPr>
                <w:rFonts w:hint="eastAsia" w:cs="宋体" w:asciiTheme="majorEastAsia" w:hAnsiTheme="majorEastAsia" w:eastAsiaTheme="majorEastAsia"/>
                <w:color w:val="000000"/>
                <w:kern w:val="0"/>
                <w:szCs w:val="21"/>
                <w:highlight w:val="none"/>
                <w:lang w:val="en-US" w:eastAsia="zh-CN"/>
              </w:rPr>
            </w:pPr>
            <w:r>
              <w:rPr>
                <w:rFonts w:hint="eastAsia" w:cs="宋体" w:asciiTheme="majorEastAsia" w:hAnsiTheme="majorEastAsia" w:eastAsiaTheme="majorEastAsia"/>
                <w:color w:val="000000"/>
                <w:kern w:val="0"/>
                <w:szCs w:val="21"/>
                <w:highlight w:val="none"/>
                <w:lang w:val="en-US" w:eastAsia="zh-CN"/>
              </w:rPr>
              <w:t>1</w:t>
            </w:r>
          </w:p>
        </w:tc>
        <w:tc>
          <w:tcPr>
            <w:tcW w:w="1276" w:type="dxa"/>
            <w:vMerge w:val="continue"/>
            <w:tcBorders>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green"/>
              </w:rPr>
            </w:pPr>
          </w:p>
        </w:tc>
        <w:tc>
          <w:tcPr>
            <w:tcW w:w="1134" w:type="dxa"/>
            <w:vMerge w:val="continue"/>
            <w:tcBorders>
              <w:left w:val="single" w:color="000000" w:sz="4" w:space="0"/>
              <w:bottom w:val="single" w:color="000000" w:sz="4" w:space="0"/>
              <w:right w:val="single" w:color="000000" w:sz="4" w:space="0"/>
            </w:tcBorders>
            <w:vAlign w:val="center"/>
          </w:tcPr>
          <w:p>
            <w:pPr>
              <w:shd w:val="clear" w:fill="FFFFFF" w:themeFill="background1"/>
              <w:snapToGrid w:val="0"/>
              <w:jc w:val="center"/>
              <w:rPr>
                <w:rFonts w:cs="宋体" w:asciiTheme="majorEastAsia" w:hAnsiTheme="majorEastAsia" w:eastAsiaTheme="majorEastAsia"/>
                <w:color w:val="000000"/>
                <w:kern w:val="0"/>
                <w:szCs w:val="21"/>
                <w:highlight w:val="green"/>
              </w:rPr>
            </w:pPr>
          </w:p>
        </w:tc>
      </w:tr>
    </w:tbl>
    <w:p>
      <w:pPr>
        <w:shd w:val="clear" w:fill="FFFFFF" w:themeFill="background1"/>
        <w:snapToGrid w:val="0"/>
        <w:jc w:val="left"/>
        <w:rPr>
          <w:rFonts w:hint="eastAsia" w:cs="宋体" w:asciiTheme="majorEastAsia" w:hAnsiTheme="majorEastAsia" w:eastAsiaTheme="majorEastAsia"/>
          <w:color w:val="000000"/>
          <w:kern w:val="0"/>
          <w:szCs w:val="21"/>
          <w:lang w:val="en-US" w:eastAsia="zh-CN"/>
        </w:rPr>
      </w:pPr>
      <w:r>
        <w:rPr>
          <w:rFonts w:hint="eastAsia" w:cs="宋体" w:asciiTheme="majorEastAsia" w:hAnsiTheme="majorEastAsia" w:eastAsiaTheme="majorEastAsia"/>
          <w:color w:val="000000"/>
          <w:kern w:val="0"/>
          <w:szCs w:val="21"/>
          <w:lang w:val="en-US" w:eastAsia="zh-CN"/>
        </w:rPr>
        <w:t>（1）200T 3*18m电子汽车衡运送至沧州市黄骅市黄骅港渤海新区3000吨码头附近中建路桥集团黄骅港河口疏港二路南段（通港路）项目</w:t>
      </w:r>
    </w:p>
    <w:p>
      <w:pPr>
        <w:shd w:val="clear" w:fill="FFFFFF" w:themeFill="background1"/>
        <w:snapToGrid w:val="0"/>
        <w:jc w:val="left"/>
        <w:rPr>
          <w:rFonts w:hint="eastAsia" w:cs="宋体" w:asciiTheme="majorEastAsia" w:hAnsiTheme="majorEastAsia" w:eastAsiaTheme="majorEastAsia"/>
          <w:color w:val="000000"/>
          <w:kern w:val="0"/>
          <w:szCs w:val="21"/>
          <w:lang w:val="en-US" w:eastAsia="zh-CN"/>
        </w:rPr>
      </w:pPr>
      <w:r>
        <w:rPr>
          <w:rFonts w:hint="eastAsia" w:cs="宋体" w:asciiTheme="majorEastAsia" w:hAnsiTheme="majorEastAsia" w:eastAsiaTheme="majorEastAsia"/>
          <w:color w:val="000000"/>
          <w:kern w:val="0"/>
          <w:szCs w:val="21"/>
          <w:lang w:val="en-US" w:eastAsia="zh-CN"/>
        </w:rPr>
        <w:t>（项目联系人：</w:t>
      </w:r>
      <w:r>
        <w:rPr>
          <w:rFonts w:hint="eastAsia" w:cs="宋体" w:asciiTheme="majorEastAsia" w:hAnsiTheme="majorEastAsia" w:eastAsiaTheme="majorEastAsia"/>
          <w:color w:val="000000"/>
          <w:kern w:val="0"/>
          <w:szCs w:val="21"/>
        </w:rPr>
        <w:t>刘先生13144551733</w:t>
      </w:r>
      <w:r>
        <w:rPr>
          <w:rFonts w:hint="eastAsia" w:cs="宋体" w:asciiTheme="majorEastAsia" w:hAnsiTheme="majorEastAsia" w:eastAsiaTheme="majorEastAsia"/>
          <w:color w:val="000000"/>
          <w:kern w:val="0"/>
          <w:szCs w:val="21"/>
          <w:lang w:val="en-US" w:eastAsia="zh-CN"/>
        </w:rPr>
        <w:t>）</w:t>
      </w:r>
    </w:p>
    <w:p>
      <w:pPr>
        <w:shd w:val="clear" w:fill="FFFFFF" w:themeFill="background1"/>
        <w:snapToGrid w:val="0"/>
        <w:jc w:val="left"/>
        <w:rPr>
          <w:rFonts w:hint="eastAsia" w:cs="宋体" w:asciiTheme="majorEastAsia" w:hAnsiTheme="majorEastAsia" w:eastAsiaTheme="majorEastAsia"/>
          <w:color w:val="000000"/>
          <w:kern w:val="0"/>
          <w:szCs w:val="21"/>
          <w:lang w:val="en-US" w:eastAsia="zh-CN"/>
        </w:rPr>
      </w:pPr>
      <w:r>
        <w:rPr>
          <w:rFonts w:hint="eastAsia" w:cs="宋体" w:asciiTheme="majorEastAsia" w:hAnsiTheme="majorEastAsia" w:eastAsiaTheme="majorEastAsia"/>
          <w:color w:val="000000"/>
          <w:kern w:val="0"/>
          <w:szCs w:val="21"/>
          <w:lang w:val="en-US" w:eastAsia="zh-CN"/>
        </w:rPr>
        <w:t>（2）180T3*16m电子汽车衡运送至广东省湛江市麻章区白水坡中建路桥集团湛江大道路面标段</w:t>
      </w:r>
    </w:p>
    <w:p>
      <w:pPr>
        <w:shd w:val="clear" w:fill="FFFFFF" w:themeFill="background1"/>
        <w:snapToGrid w:val="0"/>
        <w:jc w:val="left"/>
        <w:rPr>
          <w:rFonts w:hint="eastAsia" w:cs="宋体" w:asciiTheme="majorEastAsia" w:hAnsiTheme="majorEastAsia" w:eastAsiaTheme="majorEastAsia"/>
          <w:color w:val="000000"/>
          <w:kern w:val="0"/>
          <w:szCs w:val="21"/>
          <w:lang w:val="en-US" w:eastAsia="zh-CN"/>
        </w:rPr>
      </w:pPr>
      <w:r>
        <w:rPr>
          <w:rFonts w:hint="eastAsia" w:cs="宋体" w:asciiTheme="majorEastAsia" w:hAnsiTheme="majorEastAsia" w:eastAsiaTheme="majorEastAsia"/>
          <w:color w:val="000000"/>
          <w:kern w:val="0"/>
          <w:szCs w:val="21"/>
          <w:lang w:val="en-US" w:eastAsia="zh-CN"/>
        </w:rPr>
        <w:t>（项目联系人：韩先生 15831108210）</w:t>
      </w:r>
    </w:p>
    <w:p>
      <w:pPr>
        <w:shd w:val="clear" w:fill="FFFFFF" w:themeFill="background1"/>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3.10.2请投标人在投标文件递交截止前，将保证金和标书费汇到招标人指定的银行帐户（请注明付款单位全称，招标人仅提供收据）。标书款售后不退，招标人开具收据。。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3.10.3招标人收款账户：</w:t>
      </w:r>
    </w:p>
    <w:p>
      <w:pPr>
        <w:spacing w:line="240" w:lineRule="atLeast"/>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账户名称:</w:t>
      </w:r>
      <w:r>
        <w:rPr>
          <w:rFonts w:hint="eastAsia" w:cs="宋体" w:asciiTheme="majorEastAsia" w:hAnsiTheme="majorEastAsia" w:eastAsiaTheme="majorEastAsia"/>
          <w:kern w:val="0"/>
          <w:szCs w:val="21"/>
        </w:rPr>
        <w:t xml:space="preserve"> </w:t>
      </w:r>
      <w:r>
        <w:rPr>
          <w:rFonts w:hint="eastAsia" w:asciiTheme="majorEastAsia" w:hAnsiTheme="majorEastAsia" w:eastAsiaTheme="majorEastAsia"/>
          <w:szCs w:val="21"/>
        </w:rPr>
        <w:t>中建路桥集团建设发展有限公司；</w:t>
      </w:r>
    </w:p>
    <w:p>
      <w:pPr>
        <w:spacing w:line="240" w:lineRule="atLeast"/>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开户行名称: 河北银行槐安路支行 ；</w:t>
      </w:r>
    </w:p>
    <w:p>
      <w:pPr>
        <w:spacing w:line="240" w:lineRule="atLeast"/>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帐号：6220 1201 3000 0002 58 ，汇款时请注明单位名称。</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rPr>
        <w:t>3.</w:t>
      </w:r>
      <w:r>
        <w:rPr>
          <w:rFonts w:hint="eastAsia" w:cs="宋体" w:asciiTheme="majorEastAsia" w:hAnsiTheme="majorEastAsia" w:eastAsiaTheme="majorEastAsia"/>
          <w:color w:val="000000"/>
          <w:kern w:val="0"/>
          <w:szCs w:val="21"/>
          <w:highlight w:val="none"/>
        </w:rPr>
        <w:t>10.4投标保证金的返还：评标结束后，未中标单位的投标保证金在</w:t>
      </w:r>
      <w:r>
        <w:rPr>
          <w:rFonts w:hint="eastAsia" w:cs="宋体" w:asciiTheme="majorEastAsia" w:hAnsiTheme="majorEastAsia" w:eastAsiaTheme="majorEastAsia"/>
          <w:color w:val="000000"/>
          <w:kern w:val="0"/>
          <w:szCs w:val="21"/>
          <w:highlight w:val="none"/>
          <w:lang w:val="en-US" w:eastAsia="zh-CN"/>
        </w:rPr>
        <w:t>30</w:t>
      </w:r>
      <w:r>
        <w:rPr>
          <w:rFonts w:hint="eastAsia" w:cs="宋体" w:asciiTheme="majorEastAsia" w:hAnsiTheme="majorEastAsia" w:eastAsiaTheme="majorEastAsia"/>
          <w:color w:val="000000"/>
          <w:kern w:val="0"/>
          <w:szCs w:val="21"/>
          <w:highlight w:val="none"/>
        </w:rPr>
        <w:t>个工作日内无息返还，中标单位的投标保证金将转为履约保证金，在设备验收合格后</w:t>
      </w:r>
      <w:r>
        <w:rPr>
          <w:rFonts w:hint="eastAsia" w:cs="宋体" w:asciiTheme="majorEastAsia" w:hAnsiTheme="majorEastAsia" w:eastAsiaTheme="majorEastAsia"/>
          <w:color w:val="000000"/>
          <w:kern w:val="0"/>
          <w:szCs w:val="21"/>
          <w:highlight w:val="none"/>
          <w:lang w:val="en-US" w:eastAsia="zh-CN"/>
        </w:rPr>
        <w:t>30</w:t>
      </w:r>
      <w:r>
        <w:rPr>
          <w:rFonts w:hint="eastAsia" w:cs="宋体" w:asciiTheme="majorEastAsia" w:hAnsiTheme="majorEastAsia" w:eastAsiaTheme="majorEastAsia"/>
          <w:color w:val="000000"/>
          <w:kern w:val="0"/>
          <w:szCs w:val="21"/>
          <w:highlight w:val="none"/>
        </w:rPr>
        <w:t>个工作日内无息返还。</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4.招标工作安排</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4.1 投标文件的递交：</w:t>
      </w:r>
    </w:p>
    <w:p>
      <w:pPr>
        <w:snapToGrid w:val="0"/>
        <w:jc w:val="left"/>
        <w:rPr>
          <w:rFonts w:hint="eastAsia" w:cs="宋体" w:asciiTheme="majorEastAsia" w:hAnsiTheme="majorEastAsia" w:eastAsiaTheme="majorEastAsia"/>
          <w:color w:val="000000"/>
          <w:kern w:val="0"/>
          <w:szCs w:val="21"/>
          <w:highlight w:val="none"/>
          <w:u w:val="single"/>
        </w:rPr>
      </w:pPr>
      <w:r>
        <w:rPr>
          <w:rFonts w:hint="eastAsia" w:cs="宋体" w:asciiTheme="majorEastAsia" w:hAnsiTheme="majorEastAsia" w:eastAsiaTheme="majorEastAsia"/>
          <w:color w:val="000000"/>
          <w:kern w:val="0"/>
          <w:szCs w:val="21"/>
          <w:highlight w:val="none"/>
        </w:rPr>
        <w:t>4.1.1投标文件递交的时间为工作日</w:t>
      </w:r>
      <w:r>
        <w:rPr>
          <w:rFonts w:hint="eastAsia" w:cs="宋体" w:asciiTheme="majorEastAsia" w:hAnsiTheme="majorEastAsia" w:eastAsiaTheme="majorEastAsia"/>
          <w:color w:val="000000"/>
          <w:kern w:val="0"/>
          <w:szCs w:val="21"/>
          <w:highlight w:val="none"/>
          <w:u w:val="single"/>
        </w:rPr>
        <w:t>2019 年  9 月   日  17 时</w:t>
      </w:r>
      <w:r>
        <w:rPr>
          <w:rFonts w:hint="eastAsia" w:cs="宋体" w:asciiTheme="majorEastAsia" w:hAnsiTheme="majorEastAsia" w:eastAsiaTheme="majorEastAsia"/>
          <w:color w:val="000000"/>
          <w:kern w:val="0"/>
          <w:szCs w:val="21"/>
          <w:highlight w:val="none"/>
        </w:rPr>
        <w:t>，投标截止时间</w:t>
      </w:r>
      <w:r>
        <w:rPr>
          <w:rFonts w:hint="eastAsia" w:cs="宋体" w:asciiTheme="majorEastAsia" w:hAnsiTheme="majorEastAsia" w:eastAsiaTheme="majorEastAsia"/>
          <w:color w:val="000000"/>
          <w:kern w:val="0"/>
          <w:szCs w:val="21"/>
          <w:highlight w:val="none"/>
          <w:u w:val="single"/>
        </w:rPr>
        <w:t>2019 年  9 月   日  17 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4.1.2 投标文件递交地点：河北省石家庄市裕华区石栾路2-1号。</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4.1.3逾期送达的或者未送达指定地点的投标文件，招标人不予受理。</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4.2联系方式：</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联系人：</w:t>
      </w:r>
      <w:r>
        <w:rPr>
          <w:rFonts w:hint="eastAsia" w:cs="宋体" w:asciiTheme="majorEastAsia" w:hAnsiTheme="majorEastAsia" w:eastAsiaTheme="majorEastAsia"/>
          <w:color w:val="000000"/>
          <w:kern w:val="0"/>
          <w:szCs w:val="21"/>
          <w:lang w:val="en-US" w:eastAsia="zh-CN"/>
        </w:rPr>
        <w:t>李先生</w:t>
      </w:r>
      <w:r>
        <w:rPr>
          <w:rFonts w:hint="eastAsia" w:cs="宋体" w:asciiTheme="majorEastAsia" w:hAnsiTheme="majorEastAsia" w:eastAsiaTheme="majorEastAsia"/>
          <w:color w:val="000000"/>
          <w:kern w:val="0"/>
          <w:szCs w:val="21"/>
        </w:rPr>
        <w:t xml:space="preserve">  电话：</w:t>
      </w:r>
      <w:r>
        <w:rPr>
          <w:rFonts w:hint="eastAsia" w:cs="宋体" w:asciiTheme="majorEastAsia" w:hAnsiTheme="majorEastAsia" w:eastAsiaTheme="majorEastAsia"/>
          <w:color w:val="000000"/>
          <w:kern w:val="0"/>
          <w:szCs w:val="21"/>
          <w:lang w:val="en-US" w:eastAsia="zh-CN"/>
        </w:rPr>
        <w:t>18031155089</w:t>
      </w:r>
      <w:r>
        <w:rPr>
          <w:rFonts w:hint="eastAsia" w:cs="宋体" w:asciiTheme="majorEastAsia" w:hAnsiTheme="majorEastAsia" w:eastAsiaTheme="majorEastAsia"/>
          <w:color w:val="000000"/>
          <w:kern w:val="0"/>
          <w:szCs w:val="21"/>
        </w:rPr>
        <w:t xml:space="preserve">  </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邮编：050011  </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5.投标费用及投标有效期</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5.1投标人自行承担其投标文件准备与递交所涉及的一切费用。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5.2投标有效期</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5.2.1投标有效期为：规定的投标截止之日后90天内投标文件有效。有效期内投标人不得自行改变其投标文件内容。投标人投标有效期缩短的，招标人可以视为未响应招标文件而被拒绝。</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5.2.2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6.投标文件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6.1投标书要求：正本一份、副本一份。</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6.2标书封面要求：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6.2.1封面注明：投标人名称、投标项目名称、负责人姓名、投送时间等；</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6.2.2封面封口处需密封加盖公章；</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6.2.3标书外观干净整齐；</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6.3投标文件编制要求：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6.3.1按招标文件提供的表样格式和目录顺序填写和装订标书，详细填写，请勿遗漏；</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6.3.2投标文件用中文编制，度量衡采用国际单位。</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6.4标书有下列情况之一无效：</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6.4.1未按招标文件规定要求密封、签署、盖章的；</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6.4.2投标书内容不全、字迹模糊难以辨认或未按规定填写；</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6.4.3不符合法律、法规和招标文件中规定的资格和实质性要求的；</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6.4.4投标人未按要求缴纳投标保证金和购买招标文件的。</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6.5投标文件包括内容：</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6.5.1法人代表授权书；</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6.5.2投标承诺书；</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6.5.3报价单；</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6.5.4设备关键部件配置一览表；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6.5.5技术响应（偏离）表；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6.5.6销售业绩表；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6.5.7投标人资质资格证明文件：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1）投标人营业执照。</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2）安全生产许可证。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3）特种设备生产许可证。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4）公司资质文件。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5）税务登记证。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6）组织机构代码。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7）ISO9000质量管理体系文件。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8）ISO14000环境管理体系文件。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9）ISO18000职业健康安全管理体系文件。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10）誉证书荣。</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11）其他。</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6.6投标保证金缴存凭证。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6.7银行资信证明。</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6.8有效的经审计过的财务报表。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6.9对招标文件及合同条款的承诺。</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6.10售后服务承诺书。</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6.11技术培训方案。</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6.12近两年销售业绩表。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6.13其他文件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7.评标与定标</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7.1招标人按照招标文件规定的时间、地点开标。</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7.2投标人不得干扰招标人的评标活动，否则将废除其投标资格。</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7.3评标遵循公正、公平、公开、诚实守信的评标原则。</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7.4招标人组建评标委员会，成员由技术、经济等方面专业人员组成。评标委员会对投标文件的报价、制造商的整体实力、设备的技术水平、设备的性能、配套设备的齐全性、投标人售后服务以及其它特殊要求因素（安全、环保、节能等）进行审查评估，选出优选方案，提出中标建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7.5中标单位与招标人签署供货买卖合同。</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7.6招标结果将在中建路桥集团有限公司网站进行公示，请有关方注意网站信息，不再另行通知。</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8.招标人重要声明</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rPr>
        <w:t>8.1送货地点:</w:t>
      </w:r>
      <w:r>
        <w:rPr>
          <w:rFonts w:hint="eastAsia" w:cs="宋体" w:asciiTheme="majorEastAsia" w:hAnsiTheme="majorEastAsia" w:eastAsiaTheme="majorEastAsia"/>
          <w:color w:val="000000"/>
          <w:kern w:val="0"/>
          <w:szCs w:val="21"/>
          <w:highlight w:val="none"/>
        </w:rPr>
        <w:t>xx省xx地区界内，具体地点以发货前通知为准。</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highlight w:val="none"/>
        </w:rPr>
        <w:t>8.2投标人所投的产品或设备必</w:t>
      </w:r>
      <w:r>
        <w:rPr>
          <w:rFonts w:hint="eastAsia" w:cs="宋体" w:asciiTheme="majorEastAsia" w:hAnsiTheme="majorEastAsia" w:eastAsiaTheme="majorEastAsia"/>
          <w:color w:val="000000"/>
          <w:kern w:val="0"/>
          <w:szCs w:val="21"/>
        </w:rPr>
        <w:t>须有生产专利授权,因专利问题引起的一切法律纠纷均由投标人承担，并承担由此给招标人造成的一切损失。</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8.3投标人对招标人上述及授予合同的方式应完全接受，不得以任何理由回绝；</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8.4投标人一旦回标视为对本招标文件内容的完全接受，并有可能随时在有效期内被接纳。</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8.5投标人应认真阅读、充分理解招标文件的全部内容（包括补遗文件），承认并履行招标文件中各项条款的规定及要求。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8.6若投标人填写招标文件，给评标造成困难，招标人有权拒绝其投标文件。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8.7投标人应按招标文件要求提供有关资料。</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8.8投标书是投标人对招标文件的响应和承诺，必须按本招标文件中第四部分所示格式填写和提供，否则招标人有权拒绝其投标。</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9.投标报价</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9.1投标货币：人民币。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9.2设备价格应为到交货地点的价格，设备价格包括两部分即设备费和运输费：</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9.2.1设备费包括：</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含原材料、标准件、配套件、外协件及加工产品整个过程中的一切费用和各种税费（含从国外进口到境内设备应付的关税及费用），并包括随设备供应的易损件、备品备件、专用工具和应提供的图纸资料等价格在内。</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2）安装、装卸及调试费,含指导安装及调试。</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3）投标人对招标方人员的培训费。</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4）投标人在投标过程中发生的其他费用。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9.2.2运输费,含包装、装车、运输等费用,系指由投标人将设备自制造厂运至交货地点发生的所有运输费用，施工现场卸车及按装费由招标人负责。运输费用请予以单列，交货地点变更后，招标人将相应修改运输费用。</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9.3投标人在投标函中填写的投标报价金额应被视为在完全接受本招标文件的要求及条件的基础上做出的报价，如投标人根据招标人提出的基本条件进一步深化，提出新的条件目标和保证实现目标的措施以降低造价，投标人须以造价节省建议书的形式单独说明仅供招标人参考，任何来自投标人的未经招标人接纳的建议均不可视为招标人对招标文件内容的修改。</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9.4投标人可依据自身实力作出让利的承诺，并须明确让利前投标金额、让利金额及最终有效投标金额。</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9.5投标报价若有有效期，有效期应在标书中注明。</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9.6招标人有权选择报价单中的任何一种或几种产品中标。</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9.7投标人可提出建议或指出招标文件存在的问题，提出比招标文件更为合理的方案，提出给予招标人更优惠的条件。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10.结算方式及发票</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rPr>
        <w:t>10.1在乙方全额提供甲方财务认可的国家正规增值税专用发票的条件下，甲方以电汇或电子转账方式付款。</w:t>
      </w:r>
    </w:p>
    <w:p>
      <w:pPr>
        <w:snapToGrid w:val="0"/>
        <w:jc w:val="left"/>
        <w:rPr>
          <w:rFonts w:hint="eastAsia"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10.2设备运抵甲方指定的地点开箱验收合格后</w:t>
      </w:r>
      <w:r>
        <w:rPr>
          <w:rFonts w:hint="eastAsia" w:cs="宋体" w:asciiTheme="majorEastAsia" w:hAnsiTheme="majorEastAsia" w:eastAsiaTheme="majorEastAsia"/>
          <w:color w:val="000000"/>
          <w:kern w:val="0"/>
          <w:szCs w:val="21"/>
          <w:highlight w:val="none"/>
          <w:lang w:val="en-US" w:eastAsia="zh-CN"/>
        </w:rPr>
        <w:t>30</w:t>
      </w:r>
      <w:r>
        <w:rPr>
          <w:rFonts w:hint="eastAsia" w:cs="宋体" w:asciiTheme="majorEastAsia" w:hAnsiTheme="majorEastAsia" w:eastAsiaTheme="majorEastAsia"/>
          <w:color w:val="000000"/>
          <w:kern w:val="0"/>
          <w:szCs w:val="21"/>
          <w:highlight w:val="none"/>
        </w:rPr>
        <w:t>日内，并且资金使用计划经集团公司批准后，甲方向乙方支付合同价款的</w:t>
      </w:r>
      <w:r>
        <w:rPr>
          <w:rFonts w:hint="eastAsia" w:cs="宋体" w:asciiTheme="majorEastAsia" w:hAnsiTheme="majorEastAsia" w:eastAsiaTheme="majorEastAsia"/>
          <w:color w:val="000000"/>
          <w:kern w:val="0"/>
          <w:szCs w:val="21"/>
          <w:highlight w:val="none"/>
          <w:lang w:val="en-US" w:eastAsia="zh-CN"/>
        </w:rPr>
        <w:t>75</w:t>
      </w:r>
      <w:r>
        <w:rPr>
          <w:rFonts w:hint="eastAsia" w:cs="宋体" w:asciiTheme="majorEastAsia" w:hAnsiTheme="majorEastAsia" w:eastAsiaTheme="majorEastAsia"/>
          <w:color w:val="000000"/>
          <w:kern w:val="0"/>
          <w:szCs w:val="21"/>
          <w:highlight w:val="none"/>
        </w:rPr>
        <w:t xml:space="preserve">％。 </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10.3设备安装调试运行验收合格并经当地技术监督部门标定合格后正常满</w:t>
      </w:r>
      <w:r>
        <w:rPr>
          <w:rFonts w:hint="eastAsia" w:cs="宋体" w:asciiTheme="majorEastAsia" w:hAnsiTheme="majorEastAsia" w:eastAsiaTheme="majorEastAsia"/>
          <w:color w:val="000000"/>
          <w:kern w:val="0"/>
          <w:szCs w:val="21"/>
          <w:highlight w:val="none"/>
          <w:lang w:val="en-US" w:eastAsia="zh-CN"/>
        </w:rPr>
        <w:t>30日</w:t>
      </w:r>
      <w:r>
        <w:rPr>
          <w:rFonts w:hint="eastAsia" w:cs="宋体" w:asciiTheme="majorEastAsia" w:hAnsiTheme="majorEastAsia" w:eastAsiaTheme="majorEastAsia"/>
          <w:color w:val="000000"/>
          <w:kern w:val="0"/>
          <w:szCs w:val="21"/>
          <w:highlight w:val="none"/>
        </w:rPr>
        <w:t>，并且资金使用计划经集团公司批准后，甲方向乙方支付合同价款的</w:t>
      </w:r>
      <w:r>
        <w:rPr>
          <w:rFonts w:hint="eastAsia" w:cs="宋体" w:asciiTheme="majorEastAsia" w:hAnsiTheme="majorEastAsia" w:eastAsiaTheme="majorEastAsia"/>
          <w:color w:val="000000"/>
          <w:kern w:val="0"/>
          <w:szCs w:val="21"/>
          <w:highlight w:val="none"/>
          <w:lang w:val="en-US" w:eastAsia="zh-CN"/>
        </w:rPr>
        <w:t>15</w:t>
      </w:r>
      <w:r>
        <w:rPr>
          <w:rFonts w:hint="eastAsia" w:cs="宋体" w:asciiTheme="majorEastAsia" w:hAnsiTheme="majorEastAsia" w:eastAsiaTheme="majorEastAsia"/>
          <w:color w:val="000000"/>
          <w:kern w:val="0"/>
          <w:szCs w:val="21"/>
          <w:highlight w:val="none"/>
        </w:rPr>
        <w:t>％。</w:t>
      </w:r>
      <w:r>
        <w:rPr>
          <w:rFonts w:hint="eastAsia" w:cs="宋体" w:asciiTheme="majorEastAsia" w:hAnsiTheme="majorEastAsia" w:eastAsiaTheme="majorEastAsia"/>
          <w:color w:val="000000"/>
          <w:kern w:val="0"/>
          <w:szCs w:val="21"/>
          <w:highlight w:val="none"/>
        </w:rPr>
        <w:br w:type="textWrapping"/>
      </w:r>
      <w:r>
        <w:rPr>
          <w:rFonts w:hint="eastAsia" w:cs="宋体" w:asciiTheme="majorEastAsia" w:hAnsiTheme="majorEastAsia" w:eastAsiaTheme="majorEastAsia"/>
          <w:color w:val="000000"/>
          <w:kern w:val="0"/>
          <w:szCs w:val="21"/>
          <w:highlight w:val="none"/>
        </w:rPr>
        <w:t xml:space="preserve"> 10.4质保金支付：合同价款</w:t>
      </w:r>
      <w:r>
        <w:rPr>
          <w:rFonts w:hint="eastAsia" w:cs="宋体" w:asciiTheme="majorEastAsia" w:hAnsiTheme="majorEastAsia" w:eastAsiaTheme="majorEastAsia"/>
          <w:color w:val="000000"/>
          <w:kern w:val="0"/>
          <w:szCs w:val="21"/>
          <w:highlight w:val="none"/>
          <w:lang w:val="en-US" w:eastAsia="zh-CN"/>
        </w:rPr>
        <w:t>10</w:t>
      </w:r>
      <w:r>
        <w:rPr>
          <w:rFonts w:hint="eastAsia" w:cs="宋体" w:asciiTheme="majorEastAsia" w:hAnsiTheme="majorEastAsia" w:eastAsiaTheme="majorEastAsia"/>
          <w:color w:val="000000"/>
          <w:kern w:val="0"/>
          <w:szCs w:val="21"/>
          <w:highlight w:val="none"/>
        </w:rPr>
        <w:t>%作为质保金，若乙方能按合同履行其服务承诺，质保期满</w:t>
      </w:r>
      <w:r>
        <w:rPr>
          <w:rFonts w:hint="eastAsia" w:cs="宋体" w:asciiTheme="majorEastAsia" w:hAnsiTheme="majorEastAsia" w:eastAsiaTheme="majorEastAsia"/>
          <w:color w:val="000000"/>
          <w:kern w:val="0"/>
          <w:szCs w:val="21"/>
          <w:highlight w:val="none"/>
          <w:lang w:val="en-US" w:eastAsia="zh-CN"/>
        </w:rPr>
        <w:t>12</w:t>
      </w:r>
      <w:r>
        <w:rPr>
          <w:rFonts w:hint="eastAsia" w:cs="宋体" w:asciiTheme="majorEastAsia" w:hAnsiTheme="majorEastAsia" w:eastAsiaTheme="majorEastAsia"/>
          <w:color w:val="000000"/>
          <w:kern w:val="0"/>
          <w:szCs w:val="21"/>
          <w:highlight w:val="none"/>
        </w:rPr>
        <w:t>月后30日内，并且资金使用计划经集团公司批准后，全额无息支付。</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 xml:space="preserve"> 11.验收  满足下列全部条件后，买卖双方将签署验收协议：</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11.1设备满足合同规定的各项技术规格、指标和性能要求，符合生产厂提供的技术文件的说明；</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11.2招标人具有对设备进行测量、外观检查、运行设备功能并确认其技术性能及参数是否满足合同要求的权利，答案肯定后予以签字验收；</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11.3调试及验收测试完毕后形成书面报告。</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12.供货周期</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合同签订后，中标人</w:t>
      </w:r>
      <w:r>
        <w:rPr>
          <w:rFonts w:hint="eastAsia" w:cs="宋体" w:asciiTheme="majorEastAsia" w:hAnsiTheme="majorEastAsia" w:eastAsiaTheme="majorEastAsia"/>
          <w:color w:val="000000"/>
          <w:kern w:val="0"/>
          <w:szCs w:val="21"/>
          <w:highlight w:val="none"/>
          <w:u w:val="single"/>
          <w:lang w:val="en-US" w:eastAsia="zh-CN"/>
        </w:rPr>
        <w:t>10</w:t>
      </w:r>
      <w:r>
        <w:rPr>
          <w:rFonts w:hint="eastAsia" w:cs="宋体" w:asciiTheme="majorEastAsia" w:hAnsiTheme="majorEastAsia" w:eastAsiaTheme="majorEastAsia"/>
          <w:color w:val="000000"/>
          <w:kern w:val="0"/>
          <w:szCs w:val="21"/>
          <w:highlight w:val="none"/>
        </w:rPr>
        <w:t>天内将设备送到招标人指定地点。</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第二部分 一般设备技术规定和要求</w:t>
      </w:r>
    </w:p>
    <w:p>
      <w:pPr>
        <w:snapToGrid w:val="0"/>
        <w:jc w:val="left"/>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1.设备名称及数量：</w:t>
      </w:r>
    </w:p>
    <w:tbl>
      <w:tblPr>
        <w:tblStyle w:val="26"/>
        <w:tblW w:w="8800" w:type="dxa"/>
        <w:tblInd w:w="299" w:type="dxa"/>
        <w:tblLayout w:type="fixed"/>
        <w:tblCellMar>
          <w:top w:w="15" w:type="dxa"/>
          <w:left w:w="15" w:type="dxa"/>
          <w:bottom w:w="15" w:type="dxa"/>
          <w:right w:w="15" w:type="dxa"/>
        </w:tblCellMar>
      </w:tblPr>
      <w:tblGrid>
        <w:gridCol w:w="567"/>
        <w:gridCol w:w="1273"/>
        <w:gridCol w:w="1790"/>
        <w:gridCol w:w="1060"/>
        <w:gridCol w:w="980"/>
        <w:gridCol w:w="1630"/>
        <w:gridCol w:w="1500"/>
      </w:tblGrid>
      <w:tr>
        <w:tblPrEx>
          <w:tblLayout w:type="fixed"/>
          <w:tblCellMar>
            <w:top w:w="15" w:type="dxa"/>
            <w:left w:w="15" w:type="dxa"/>
            <w:bottom w:w="15" w:type="dxa"/>
            <w:right w:w="15" w:type="dxa"/>
          </w:tblCellMar>
        </w:tblPrEx>
        <w:trPr>
          <w:trHeight w:val="33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序号</w:t>
            </w:r>
          </w:p>
        </w:tc>
        <w:tc>
          <w:tcPr>
            <w:tcW w:w="127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设备名称</w:t>
            </w:r>
          </w:p>
        </w:tc>
        <w:tc>
          <w:tcPr>
            <w:tcW w:w="17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规格型号</w:t>
            </w: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单位</w:t>
            </w:r>
          </w:p>
        </w:tc>
        <w:tc>
          <w:tcPr>
            <w:tcW w:w="98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数量</w:t>
            </w:r>
          </w:p>
        </w:tc>
        <w:tc>
          <w:tcPr>
            <w:tcW w:w="1630" w:type="dxa"/>
            <w:tcBorders>
              <w:top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要求</w:t>
            </w:r>
          </w:p>
        </w:tc>
        <w:tc>
          <w:tcPr>
            <w:tcW w:w="1500" w:type="dxa"/>
            <w:tcBorders>
              <w:top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交货期</w:t>
            </w:r>
          </w:p>
        </w:tc>
      </w:tr>
      <w:tr>
        <w:tblPrEx>
          <w:tblLayout w:type="fixed"/>
          <w:tblCellMar>
            <w:top w:w="15" w:type="dxa"/>
            <w:left w:w="15" w:type="dxa"/>
            <w:bottom w:w="15" w:type="dxa"/>
            <w:right w:w="15" w:type="dxa"/>
          </w:tblCellMar>
        </w:tblPrEx>
        <w:trPr>
          <w:trHeight w:val="330" w:hRule="atLeast"/>
        </w:trPr>
        <w:tc>
          <w:tcPr>
            <w:tcW w:w="567" w:type="dxa"/>
            <w:tcBorders>
              <w:left w:val="single" w:color="000000" w:sz="4" w:space="0"/>
              <w:bottom w:val="single" w:color="auto"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1</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rPr>
              <w:t>电子汽车衡</w:t>
            </w:r>
          </w:p>
        </w:tc>
        <w:tc>
          <w:tcPr>
            <w:tcW w:w="179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rPr>
              <w:t>200T  3</w:t>
            </w:r>
            <w:r>
              <w:rPr>
                <w:rFonts w:hint="eastAsia" w:ascii="仿宋_GB2312" w:hAnsi="宋体" w:eastAsia="仿宋_GB2312" w:cs="仿宋_GB2312"/>
                <w:color w:val="000000"/>
                <w:sz w:val="24"/>
                <w:highlight w:val="none"/>
                <w:lang w:val="en-US" w:eastAsia="zh-CN"/>
              </w:rPr>
              <w:t>m</w:t>
            </w:r>
            <w:r>
              <w:rPr>
                <w:rFonts w:hint="eastAsia" w:ascii="仿宋_GB2312" w:hAnsi="宋体" w:eastAsia="仿宋_GB2312" w:cs="仿宋_GB2312"/>
                <w:color w:val="000000"/>
                <w:sz w:val="24"/>
                <w:highlight w:val="none"/>
              </w:rPr>
              <w:t>*18m</w:t>
            </w: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lang w:val="en-US" w:eastAsia="zh-CN"/>
              </w:rPr>
              <w:t>台</w:t>
            </w:r>
          </w:p>
        </w:tc>
        <w:tc>
          <w:tcPr>
            <w:tcW w:w="98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lang w:val="en-US" w:eastAsia="zh-CN"/>
              </w:rPr>
              <w:t>1</w:t>
            </w:r>
          </w:p>
        </w:tc>
        <w:tc>
          <w:tcPr>
            <w:tcW w:w="1630" w:type="dxa"/>
            <w:tcBorders>
              <w:top w:val="single" w:color="000000" w:sz="4" w:space="0"/>
              <w:bottom w:val="single" w:color="000000" w:sz="4" w:space="0"/>
              <w:right w:val="single" w:color="000000" w:sz="4" w:space="0"/>
            </w:tcBorders>
            <w:vAlign w:val="center"/>
          </w:tcPr>
          <w:p>
            <w:pPr>
              <w:snapToGrid w:val="0"/>
              <w:jc w:val="center"/>
              <w:rPr>
                <w:rFonts w:hint="default" w:cs="宋体" w:asciiTheme="majorEastAsia" w:hAnsiTheme="majorEastAsia" w:eastAsiaTheme="majorEastAsia"/>
                <w:color w:val="000000"/>
                <w:kern w:val="0"/>
                <w:szCs w:val="21"/>
                <w:highlight w:val="none"/>
                <w:lang w:val="en-US" w:eastAsia="zh-CN"/>
              </w:rPr>
            </w:pPr>
            <w:r>
              <w:rPr>
                <w:rFonts w:hint="eastAsia" w:cs="宋体" w:asciiTheme="majorEastAsia" w:hAnsiTheme="majorEastAsia" w:eastAsiaTheme="majorEastAsia"/>
                <w:color w:val="000000"/>
                <w:kern w:val="0"/>
                <w:szCs w:val="21"/>
                <w:highlight w:val="none"/>
                <w:lang w:val="en-US" w:eastAsia="zh-CN"/>
              </w:rPr>
              <w:t>保证质量</w:t>
            </w:r>
          </w:p>
        </w:tc>
        <w:tc>
          <w:tcPr>
            <w:tcW w:w="1500" w:type="dxa"/>
            <w:vMerge w:val="restart"/>
            <w:tcBorders>
              <w:top w:val="single" w:color="000000" w:sz="4" w:space="0"/>
              <w:right w:val="single" w:color="000000" w:sz="4" w:space="0"/>
            </w:tcBorders>
            <w:vAlign w:val="center"/>
          </w:tcPr>
          <w:p>
            <w:pPr>
              <w:snapToGrid w:val="0"/>
              <w:jc w:val="center"/>
              <w:rPr>
                <w:rFonts w:hint="default" w:cs="宋体" w:asciiTheme="majorEastAsia" w:hAnsiTheme="majorEastAsia" w:eastAsiaTheme="majorEastAsia"/>
                <w:color w:val="000000"/>
                <w:kern w:val="0"/>
                <w:szCs w:val="21"/>
                <w:lang w:val="en-US" w:eastAsia="zh-CN"/>
              </w:rPr>
            </w:pPr>
            <w:r>
              <w:rPr>
                <w:rFonts w:hint="eastAsia" w:cs="宋体" w:asciiTheme="majorEastAsia" w:hAnsiTheme="majorEastAsia" w:eastAsiaTheme="majorEastAsia"/>
                <w:color w:val="000000"/>
                <w:kern w:val="0"/>
                <w:szCs w:val="21"/>
                <w:lang w:val="en-US" w:eastAsia="zh-CN"/>
              </w:rPr>
              <w:t>中标后10日内</w:t>
            </w:r>
          </w:p>
        </w:tc>
      </w:tr>
      <w:tr>
        <w:tblPrEx>
          <w:tblLayout w:type="fixed"/>
          <w:tblCellMar>
            <w:top w:w="15" w:type="dxa"/>
            <w:left w:w="15" w:type="dxa"/>
            <w:bottom w:w="15" w:type="dxa"/>
            <w:right w:w="15" w:type="dxa"/>
          </w:tblCellMar>
        </w:tblPrEx>
        <w:trPr>
          <w:trHeight w:val="330" w:hRule="atLeast"/>
        </w:trPr>
        <w:tc>
          <w:tcPr>
            <w:tcW w:w="567"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rPr>
              <w:t>2</w:t>
            </w:r>
          </w:p>
        </w:tc>
        <w:tc>
          <w:tcPr>
            <w:tcW w:w="127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500" w:lineRule="exact"/>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rPr>
              <w:t>电子汽车衡</w:t>
            </w:r>
          </w:p>
        </w:tc>
        <w:tc>
          <w:tcPr>
            <w:tcW w:w="1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cs="宋体" w:asciiTheme="majorEastAsia" w:hAnsiTheme="majorEastAsia" w:eastAsiaTheme="majorEastAsia"/>
                <w:color w:val="000000"/>
                <w:kern w:val="0"/>
                <w:szCs w:val="21"/>
                <w:highlight w:val="none"/>
              </w:rPr>
            </w:pPr>
            <w:r>
              <w:rPr>
                <w:rFonts w:hint="eastAsia" w:ascii="仿宋_GB2312" w:hAnsi="宋体" w:eastAsia="仿宋_GB2312" w:cs="仿宋_GB2312"/>
                <w:color w:val="000000"/>
                <w:sz w:val="24"/>
                <w:highlight w:val="none"/>
                <w:lang w:val="en-US" w:eastAsia="zh-CN"/>
              </w:rPr>
              <w:t>180T  3m*16m</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lang w:val="en-US" w:eastAsia="zh-CN"/>
              </w:rPr>
              <w:t>台</w:t>
            </w:r>
          </w:p>
        </w:tc>
        <w:tc>
          <w:tcPr>
            <w:tcW w:w="98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lang w:val="en-US" w:eastAsia="zh-CN"/>
              </w:rPr>
              <w:t>1</w:t>
            </w:r>
          </w:p>
        </w:tc>
        <w:tc>
          <w:tcPr>
            <w:tcW w:w="1630" w:type="dxa"/>
            <w:tcBorders>
              <w:top w:val="single" w:color="000000" w:sz="4" w:space="0"/>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highlight w:val="none"/>
              </w:rPr>
            </w:pPr>
            <w:r>
              <w:rPr>
                <w:rFonts w:hint="eastAsia" w:cs="宋体" w:asciiTheme="majorEastAsia" w:hAnsiTheme="majorEastAsia" w:eastAsiaTheme="majorEastAsia"/>
                <w:color w:val="000000"/>
                <w:kern w:val="0"/>
                <w:szCs w:val="21"/>
                <w:highlight w:val="none"/>
                <w:lang w:val="en-US" w:eastAsia="zh-CN"/>
              </w:rPr>
              <w:t>保证质量</w:t>
            </w:r>
          </w:p>
        </w:tc>
        <w:tc>
          <w:tcPr>
            <w:tcW w:w="1500" w:type="dxa"/>
            <w:vMerge w:val="continue"/>
            <w:tcBorders>
              <w:bottom w:val="single" w:color="000000" w:sz="4" w:space="0"/>
              <w:right w:val="single" w:color="000000" w:sz="4" w:space="0"/>
            </w:tcBorders>
            <w:vAlign w:val="center"/>
          </w:tcPr>
          <w:p>
            <w:pPr>
              <w:snapToGrid w:val="0"/>
              <w:jc w:val="center"/>
              <w:rPr>
                <w:rFonts w:cs="宋体" w:asciiTheme="majorEastAsia" w:hAnsiTheme="majorEastAsia" w:eastAsiaTheme="majorEastAsia"/>
                <w:color w:val="000000"/>
                <w:kern w:val="0"/>
                <w:szCs w:val="21"/>
              </w:rPr>
            </w:pPr>
          </w:p>
        </w:tc>
      </w:tr>
    </w:tbl>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2.机械设备类通用标准要求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2.1工作环境：以下环境下可正常作业。</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2.1.1海拔高度2500米以下。</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2.1.2环境温度：-25℃~+50℃。</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2.1.3相对湿度：＜70%。</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2.1.4连续满负荷工作时间：＞20h。</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2.2设备发动机排放标准不低于国X。</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2.3设备电拖动部分用电为国家电网标准。</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2.4设备含驾驶室或操作室基本配置：全封闭、全视野、单冷空调、暖风输送及必备的车况及作业信息显示。</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2.5正常质保期内的免费维修配件、备件清单（包括名称、件号、数量）。</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2.6技术服务及文件：</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2.6.1本设备的合格证</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2.6.2设备操作说明书、液压系统和电路原理图、安装图、维修保养手册、零件手册、备件清单、平面布置图、装箱单、产品合格证等资料；</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2.6.3制造及质量认证标准；</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2.6.4提供维护保养的具体参数内容和资料；</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2.6.5质保期为设备运行验收合格后XX年。</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2.6.6随机工具清单</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2.6.7易损件、备件清单</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2.6.8其他关键部件的质量证明材料</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3.设备专有技术参数</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专有技术参数由投标人根据投标设备据实填写，内容应包括但不限于以下内容:</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3.1投标设备的独特性能介绍（如果有请阐述）。</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3.2设备技术参数，标书中应详细介绍投标产品的性能特点、适用范围、技术参数，详细配置、生产厂家等内容，配置列表必须包含但不限于：</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3.2.1设备型号、厂家及概况；</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3.2.2整机自重；</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3.2.3整车外形尺寸（长×宽×高）mm；</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3.2.4；整机主要技术参数及配置；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3.2.5发动机排放标准、主要技术参数及配置；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3.2.6行走部分技术参数及配置；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3.2.7底盘主要技术参数及配置；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3.2.8液压系统主要技术参数及配置；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3.2.9电路系统主要技术参数及配置；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3.2.10工作装置技术参数及配置；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3.2.11操作室参数及配置；</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3.2.12设备连续满负荷工作时间；</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3.2.13其他需说明的配置及参数。</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4.其他要求</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4.1材料和机械</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4.1.1设备制造所用的材料及主要部件符合国家标准，并具有质保书，尤其是发动机、液压马达、液压泵、液压阀、钢结构件等主要部件应保证内在质量。</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4.1.2机械零部件及电气元件须是国家定点厂家生产或进口产品，产品的质量和性能须卖方确认，并对买方负责。</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4.2结构</w:t>
      </w:r>
    </w:p>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 金属结构应具有足够的强度和刚度.</w:t>
      </w:r>
    </w:p>
    <w:p>
      <w:pPr>
        <w:spacing w:line="360" w:lineRule="auto"/>
        <w:jc w:val="center"/>
        <w:rPr>
          <w:rFonts w:ascii="宋体" w:hAnsi="宋体" w:cs="宋体"/>
          <w:b/>
          <w:sz w:val="28"/>
          <w:szCs w:val="28"/>
        </w:rPr>
      </w:pPr>
    </w:p>
    <w:p>
      <w:pPr>
        <w:spacing w:line="360" w:lineRule="auto"/>
        <w:jc w:val="center"/>
        <w:rPr>
          <w:b/>
          <w:sz w:val="36"/>
          <w:szCs w:val="36"/>
        </w:rPr>
      </w:pPr>
      <w:r>
        <w:rPr>
          <w:rFonts w:hint="eastAsia" w:ascii="宋体" w:hAnsi="宋体" w:cs="宋体"/>
          <w:b/>
          <w:sz w:val="28"/>
          <w:szCs w:val="28"/>
        </w:rPr>
        <w:t>第三部分 合同格式</w:t>
      </w:r>
    </w:p>
    <w:p>
      <w:pPr>
        <w:pStyle w:val="17"/>
        <w:jc w:val="center"/>
        <w:rPr>
          <w:rFonts w:asciiTheme="majorEastAsia" w:hAnsiTheme="majorEastAsia" w:eastAsiaTheme="majorEastAsia"/>
          <w:bCs/>
          <w:sz w:val="24"/>
          <w:szCs w:val="24"/>
        </w:rPr>
      </w:pPr>
      <w:r>
        <w:rPr>
          <w:rFonts w:hint="eastAsia"/>
          <w:b/>
          <w:sz w:val="36"/>
          <w:szCs w:val="36"/>
        </w:rPr>
        <w:t>机械设备买卖合同</w:t>
      </w:r>
    </w:p>
    <w:p>
      <w:pPr>
        <w:spacing w:line="360" w:lineRule="exact"/>
        <w:jc w:val="center"/>
        <w:rPr>
          <w:rFonts w:ascii="宋体" w:hAnsi="宋体"/>
          <w:b/>
          <w:sz w:val="30"/>
          <w:szCs w:val="30"/>
        </w:rPr>
      </w:pPr>
      <w:r>
        <w:rPr>
          <w:rFonts w:ascii="宋体" w:hAnsi="宋体"/>
          <w:b/>
          <w:sz w:val="30"/>
          <w:szCs w:val="30"/>
        </w:rPr>
        <w:t>第一部分</w:t>
      </w:r>
      <w:r>
        <w:rPr>
          <w:rFonts w:hint="eastAsia" w:ascii="宋体" w:hAnsi="宋体"/>
          <w:b/>
          <w:sz w:val="30"/>
          <w:szCs w:val="30"/>
        </w:rPr>
        <w:t xml:space="preserve"> 合同协议书</w:t>
      </w:r>
    </w:p>
    <w:p>
      <w:pPr>
        <w:spacing w:line="500" w:lineRule="exact"/>
        <w:ind w:firstLine="420" w:firstLineChars="200"/>
        <w:jc w:val="left"/>
        <w:rPr>
          <w:rFonts w:ascii="宋体" w:hAnsi="宋体"/>
          <w:szCs w:val="21"/>
        </w:rPr>
      </w:pPr>
    </w:p>
    <w:p>
      <w:pPr>
        <w:spacing w:line="500" w:lineRule="exact"/>
        <w:ind w:firstLine="420" w:firstLineChars="200"/>
        <w:jc w:val="left"/>
        <w:rPr>
          <w:rFonts w:ascii="宋体" w:hAnsi="宋体"/>
          <w:color w:val="FF6600"/>
          <w:szCs w:val="21"/>
          <w:u w:val="single"/>
        </w:rPr>
      </w:pPr>
      <w:r>
        <w:rPr>
          <w:rFonts w:hint="eastAsia" w:ascii="宋体" w:hAnsi="宋体"/>
          <w:szCs w:val="21"/>
        </w:rPr>
        <w:t>甲方（需方）：</w:t>
      </w:r>
      <w:r>
        <w:rPr>
          <w:rFonts w:hint="eastAsia" w:ascii="宋体" w:hAnsi="宋体"/>
          <w:szCs w:val="21"/>
          <w:u w:val="single"/>
        </w:rPr>
        <w:t>中建路桥集团建设发展有限公司</w:t>
      </w:r>
    </w:p>
    <w:p>
      <w:pPr>
        <w:spacing w:line="500" w:lineRule="exact"/>
        <w:ind w:firstLine="420" w:firstLineChars="200"/>
        <w:jc w:val="left"/>
        <w:rPr>
          <w:rFonts w:ascii="宋体" w:hAnsi="宋体"/>
          <w:szCs w:val="21"/>
        </w:rPr>
      </w:pPr>
      <w:r>
        <w:rPr>
          <w:rFonts w:hint="eastAsia" w:ascii="宋体" w:hAnsi="宋体"/>
          <w:szCs w:val="21"/>
        </w:rPr>
        <w:t>乙方（供方）</w:t>
      </w:r>
      <w:r>
        <w:rPr>
          <w:rFonts w:hint="eastAsia" w:ascii="宋体" w:hAnsi="宋体"/>
          <w:b/>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pPr>
        <w:ind w:firstLine="420" w:firstLineChars="200"/>
        <w:jc w:val="left"/>
        <w:rPr>
          <w:rFonts w:ascii="宋体" w:hAnsi="宋体"/>
          <w:szCs w:val="21"/>
        </w:rPr>
      </w:pPr>
      <w:r>
        <w:rPr>
          <w:rFonts w:hint="eastAsia" w:ascii="宋体" w:hAnsi="宋体" w:cs="宋体"/>
          <w:kern w:val="0"/>
          <w:szCs w:val="21"/>
        </w:rPr>
        <w:t>甲乙</w:t>
      </w:r>
      <w:r>
        <w:rPr>
          <w:rFonts w:hint="eastAsia" w:ascii="宋体" w:hAnsi="宋体"/>
          <w:szCs w:val="21"/>
        </w:rPr>
        <w:t>双方根据《中华人民共和国合同法》及有关法律法规的规定，本着公平、自愿、诚实、信用、互利的原则，在充分友好协商的基础上，就本合同内</w:t>
      </w:r>
      <w:r>
        <w:rPr>
          <w:rFonts w:hint="eastAsia" w:ascii="宋体" w:hAnsi="宋体" w:cs="仿宋_GB2312"/>
          <w:szCs w:val="21"/>
        </w:rPr>
        <w:t>设备</w:t>
      </w:r>
      <w:r>
        <w:rPr>
          <w:rFonts w:hint="eastAsia" w:ascii="宋体" w:hAnsi="宋体"/>
          <w:szCs w:val="21"/>
        </w:rPr>
        <w:t>买卖的有关事宜达成一致，特订立本合同,双方共同遵照执行。</w:t>
      </w:r>
    </w:p>
    <w:p>
      <w:pPr>
        <w:snapToGrid w:val="0"/>
        <w:ind w:firstLine="380" w:firstLineChars="200"/>
        <w:jc w:val="left"/>
        <w:rPr>
          <w:rFonts w:ascii="宋体" w:hAnsi="宋体" w:cs="宋体"/>
          <w:b/>
          <w:w w:val="90"/>
          <w:szCs w:val="21"/>
        </w:rPr>
      </w:pPr>
      <w:r>
        <w:rPr>
          <w:rFonts w:hint="eastAsia" w:ascii="宋体" w:hAnsi="宋体" w:cs="宋体"/>
          <w:b/>
          <w:w w:val="90"/>
          <w:szCs w:val="21"/>
        </w:rPr>
        <w:t>一、供货清单及价格：</w:t>
      </w:r>
    </w:p>
    <w:p>
      <w:pPr>
        <w:ind w:left="992"/>
        <w:jc w:val="left"/>
        <w:rPr>
          <w:rFonts w:ascii="宋体" w:hAnsi="宋体"/>
          <w:szCs w:val="21"/>
        </w:rPr>
      </w:pPr>
      <w:r>
        <w:rPr>
          <w:rFonts w:hint="eastAsia" w:ascii="宋体" w:hAnsi="宋体"/>
          <w:szCs w:val="21"/>
        </w:rPr>
        <w:t xml:space="preserve">1.清单及价格                                           单位：（万元）        </w:t>
      </w:r>
    </w:p>
    <w:tbl>
      <w:tblPr>
        <w:tblStyle w:val="26"/>
        <w:tblW w:w="8738"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083"/>
        <w:gridCol w:w="709"/>
        <w:gridCol w:w="709"/>
        <w:gridCol w:w="760"/>
        <w:gridCol w:w="1083"/>
        <w:gridCol w:w="708"/>
        <w:gridCol w:w="105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5" w:type="dxa"/>
            <w:vAlign w:val="center"/>
          </w:tcPr>
          <w:p>
            <w:pPr>
              <w:spacing w:line="360" w:lineRule="exact"/>
              <w:jc w:val="center"/>
              <w:rPr>
                <w:rFonts w:ascii="宋体" w:hAnsi="宋体"/>
                <w:szCs w:val="21"/>
              </w:rPr>
            </w:pPr>
            <w:r>
              <w:rPr>
                <w:rFonts w:hint="eastAsia" w:ascii="宋体" w:hAnsi="宋体"/>
                <w:szCs w:val="21"/>
              </w:rPr>
              <w:t>序</w:t>
            </w:r>
          </w:p>
          <w:p>
            <w:pPr>
              <w:spacing w:line="360" w:lineRule="exact"/>
              <w:jc w:val="center"/>
              <w:rPr>
                <w:rFonts w:ascii="宋体" w:hAnsi="宋体"/>
                <w:szCs w:val="21"/>
              </w:rPr>
            </w:pPr>
            <w:r>
              <w:rPr>
                <w:rFonts w:hint="eastAsia" w:ascii="宋体" w:hAnsi="宋体"/>
                <w:szCs w:val="21"/>
              </w:rPr>
              <w:t>号</w:t>
            </w:r>
          </w:p>
        </w:tc>
        <w:tc>
          <w:tcPr>
            <w:tcW w:w="1134" w:type="dxa"/>
            <w:vAlign w:val="center"/>
          </w:tcPr>
          <w:p>
            <w:pPr>
              <w:spacing w:line="360" w:lineRule="exact"/>
              <w:jc w:val="center"/>
              <w:rPr>
                <w:rFonts w:ascii="宋体" w:hAnsi="宋体"/>
                <w:szCs w:val="21"/>
              </w:rPr>
            </w:pPr>
            <w:r>
              <w:rPr>
                <w:rFonts w:hint="eastAsia" w:ascii="宋体" w:hAnsi="宋体"/>
                <w:szCs w:val="21"/>
              </w:rPr>
              <w:t>设备名称</w:t>
            </w:r>
          </w:p>
        </w:tc>
        <w:tc>
          <w:tcPr>
            <w:tcW w:w="1083" w:type="dxa"/>
            <w:vAlign w:val="center"/>
          </w:tcPr>
          <w:p>
            <w:pPr>
              <w:spacing w:line="360" w:lineRule="exact"/>
              <w:jc w:val="center"/>
              <w:rPr>
                <w:rFonts w:ascii="宋体" w:hAnsi="宋体"/>
                <w:szCs w:val="21"/>
              </w:rPr>
            </w:pPr>
            <w:r>
              <w:rPr>
                <w:rFonts w:hint="eastAsia" w:ascii="宋体" w:hAnsi="宋体"/>
                <w:szCs w:val="21"/>
              </w:rPr>
              <w:t>规格型号</w:t>
            </w:r>
          </w:p>
        </w:tc>
        <w:tc>
          <w:tcPr>
            <w:tcW w:w="709" w:type="dxa"/>
            <w:vAlign w:val="center"/>
          </w:tcPr>
          <w:p>
            <w:pPr>
              <w:spacing w:line="360" w:lineRule="exact"/>
              <w:jc w:val="center"/>
              <w:rPr>
                <w:rFonts w:ascii="宋体" w:hAnsi="宋体"/>
                <w:szCs w:val="21"/>
              </w:rPr>
            </w:pPr>
            <w:r>
              <w:rPr>
                <w:rFonts w:hint="eastAsia" w:ascii="宋体" w:hAnsi="宋体"/>
                <w:szCs w:val="21"/>
              </w:rPr>
              <w:t>单位</w:t>
            </w:r>
          </w:p>
        </w:tc>
        <w:tc>
          <w:tcPr>
            <w:tcW w:w="709" w:type="dxa"/>
            <w:vAlign w:val="center"/>
          </w:tcPr>
          <w:p>
            <w:pPr>
              <w:spacing w:line="360" w:lineRule="exact"/>
              <w:jc w:val="center"/>
              <w:rPr>
                <w:rFonts w:ascii="宋体" w:hAnsi="宋体"/>
                <w:szCs w:val="21"/>
              </w:rPr>
            </w:pPr>
            <w:r>
              <w:rPr>
                <w:rFonts w:hint="eastAsia" w:ascii="宋体" w:hAnsi="宋体"/>
                <w:szCs w:val="21"/>
              </w:rPr>
              <w:t>数量</w:t>
            </w:r>
          </w:p>
        </w:tc>
        <w:tc>
          <w:tcPr>
            <w:tcW w:w="760" w:type="dxa"/>
            <w:vAlign w:val="center"/>
          </w:tcPr>
          <w:p>
            <w:pPr>
              <w:spacing w:line="360" w:lineRule="exact"/>
              <w:jc w:val="center"/>
              <w:rPr>
                <w:rFonts w:ascii="宋体" w:hAnsi="宋体"/>
                <w:szCs w:val="21"/>
              </w:rPr>
            </w:pPr>
            <w:r>
              <w:rPr>
                <w:rFonts w:hint="eastAsia" w:ascii="宋体" w:hAnsi="宋体"/>
                <w:szCs w:val="21"/>
              </w:rPr>
              <w:t>单价</w:t>
            </w:r>
          </w:p>
        </w:tc>
        <w:tc>
          <w:tcPr>
            <w:tcW w:w="1083" w:type="dxa"/>
            <w:vAlign w:val="center"/>
          </w:tcPr>
          <w:p>
            <w:pPr>
              <w:spacing w:line="360" w:lineRule="exact"/>
              <w:jc w:val="center"/>
              <w:rPr>
                <w:rFonts w:ascii="宋体" w:hAnsi="宋体"/>
                <w:szCs w:val="21"/>
              </w:rPr>
            </w:pPr>
            <w:r>
              <w:rPr>
                <w:rFonts w:hint="eastAsia" w:ascii="宋体" w:hAnsi="宋体"/>
                <w:szCs w:val="21"/>
              </w:rPr>
              <w:t>金额</w:t>
            </w:r>
          </w:p>
        </w:tc>
        <w:tc>
          <w:tcPr>
            <w:tcW w:w="708" w:type="dxa"/>
            <w:vAlign w:val="center"/>
          </w:tcPr>
          <w:p>
            <w:pPr>
              <w:spacing w:line="360" w:lineRule="exact"/>
              <w:jc w:val="center"/>
              <w:rPr>
                <w:rFonts w:ascii="宋体" w:hAnsi="宋体"/>
                <w:szCs w:val="21"/>
              </w:rPr>
            </w:pPr>
            <w:r>
              <w:rPr>
                <w:rFonts w:hint="eastAsia" w:ascii="宋体" w:hAnsi="宋体"/>
                <w:szCs w:val="21"/>
              </w:rPr>
              <w:t>税率</w:t>
            </w:r>
          </w:p>
        </w:tc>
        <w:tc>
          <w:tcPr>
            <w:tcW w:w="1050" w:type="dxa"/>
            <w:vAlign w:val="center"/>
          </w:tcPr>
          <w:p>
            <w:pPr>
              <w:spacing w:line="360" w:lineRule="exact"/>
              <w:jc w:val="center"/>
              <w:rPr>
                <w:rFonts w:ascii="宋体" w:hAnsi="宋体"/>
                <w:szCs w:val="21"/>
              </w:rPr>
            </w:pPr>
            <w:r>
              <w:rPr>
                <w:rFonts w:hint="eastAsia" w:ascii="宋体" w:hAnsi="宋体"/>
                <w:szCs w:val="21"/>
              </w:rPr>
              <w:t>税额</w:t>
            </w:r>
          </w:p>
        </w:tc>
        <w:tc>
          <w:tcPr>
            <w:tcW w:w="1077" w:type="dxa"/>
            <w:shd w:val="clear" w:color="auto" w:fill="auto"/>
            <w:vAlign w:val="center"/>
          </w:tcPr>
          <w:p>
            <w:pPr>
              <w:widowControl/>
              <w:jc w:val="center"/>
            </w:pPr>
            <w:r>
              <w:rPr>
                <w:rFonts w:hint="eastAsia"/>
              </w:rPr>
              <w:t>价税合计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5" w:type="dxa"/>
            <w:vAlign w:val="center"/>
          </w:tcPr>
          <w:p>
            <w:pPr>
              <w:spacing w:line="360" w:lineRule="exact"/>
              <w:jc w:val="center"/>
              <w:rPr>
                <w:rFonts w:ascii="宋体" w:hAnsi="宋体"/>
                <w:szCs w:val="21"/>
              </w:rPr>
            </w:pPr>
            <w:r>
              <w:rPr>
                <w:rFonts w:hint="eastAsia" w:ascii="宋体" w:hAnsi="宋体"/>
                <w:szCs w:val="21"/>
              </w:rPr>
              <w:t>1</w:t>
            </w:r>
          </w:p>
        </w:tc>
        <w:tc>
          <w:tcPr>
            <w:tcW w:w="1134" w:type="dxa"/>
            <w:vAlign w:val="center"/>
          </w:tcPr>
          <w:p>
            <w:pPr>
              <w:spacing w:line="360" w:lineRule="exact"/>
              <w:ind w:left="992"/>
              <w:rPr>
                <w:rFonts w:ascii="宋体" w:hAnsi="宋体"/>
                <w:szCs w:val="21"/>
              </w:rPr>
            </w:pPr>
          </w:p>
        </w:tc>
        <w:tc>
          <w:tcPr>
            <w:tcW w:w="1083"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760" w:type="dxa"/>
          </w:tcPr>
          <w:p>
            <w:pPr>
              <w:spacing w:line="360" w:lineRule="exact"/>
              <w:ind w:left="992"/>
              <w:rPr>
                <w:rFonts w:ascii="宋体" w:hAnsi="宋体"/>
                <w:szCs w:val="21"/>
              </w:rPr>
            </w:pPr>
          </w:p>
        </w:tc>
        <w:tc>
          <w:tcPr>
            <w:tcW w:w="1083" w:type="dxa"/>
          </w:tcPr>
          <w:p>
            <w:pPr>
              <w:spacing w:line="360" w:lineRule="exact"/>
              <w:ind w:left="992"/>
              <w:rPr>
                <w:rFonts w:ascii="宋体" w:hAnsi="宋体"/>
                <w:szCs w:val="21"/>
              </w:rPr>
            </w:pPr>
          </w:p>
        </w:tc>
        <w:tc>
          <w:tcPr>
            <w:tcW w:w="708" w:type="dxa"/>
          </w:tcPr>
          <w:p>
            <w:pPr>
              <w:spacing w:line="360" w:lineRule="exact"/>
              <w:ind w:left="992"/>
              <w:rPr>
                <w:rFonts w:ascii="宋体" w:hAnsi="宋体"/>
                <w:szCs w:val="21"/>
              </w:rPr>
            </w:pPr>
          </w:p>
        </w:tc>
        <w:tc>
          <w:tcPr>
            <w:tcW w:w="1050" w:type="dxa"/>
          </w:tcPr>
          <w:p>
            <w:pPr>
              <w:spacing w:line="360" w:lineRule="exact"/>
              <w:ind w:left="992"/>
              <w:rPr>
                <w:rFonts w:ascii="宋体" w:hAnsi="宋体"/>
                <w:szCs w:val="21"/>
              </w:rPr>
            </w:pPr>
          </w:p>
        </w:tc>
        <w:tc>
          <w:tcPr>
            <w:tcW w:w="1077"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5" w:type="dxa"/>
            <w:vAlign w:val="center"/>
          </w:tcPr>
          <w:p>
            <w:pPr>
              <w:spacing w:line="360" w:lineRule="exact"/>
              <w:jc w:val="center"/>
              <w:rPr>
                <w:rFonts w:ascii="宋体" w:hAnsi="宋体"/>
                <w:szCs w:val="21"/>
              </w:rPr>
            </w:pPr>
            <w:r>
              <w:rPr>
                <w:rFonts w:hint="eastAsia" w:ascii="宋体" w:hAnsi="宋体"/>
                <w:szCs w:val="21"/>
              </w:rPr>
              <w:t>2</w:t>
            </w:r>
          </w:p>
        </w:tc>
        <w:tc>
          <w:tcPr>
            <w:tcW w:w="1134" w:type="dxa"/>
            <w:vAlign w:val="center"/>
          </w:tcPr>
          <w:p>
            <w:pPr>
              <w:spacing w:line="360" w:lineRule="exact"/>
              <w:ind w:left="992"/>
              <w:rPr>
                <w:rFonts w:ascii="宋体" w:hAnsi="宋体"/>
                <w:szCs w:val="21"/>
              </w:rPr>
            </w:pPr>
          </w:p>
        </w:tc>
        <w:tc>
          <w:tcPr>
            <w:tcW w:w="1083"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760" w:type="dxa"/>
          </w:tcPr>
          <w:p>
            <w:pPr>
              <w:spacing w:line="360" w:lineRule="exact"/>
              <w:ind w:left="992"/>
              <w:rPr>
                <w:rFonts w:ascii="宋体" w:hAnsi="宋体"/>
                <w:szCs w:val="21"/>
              </w:rPr>
            </w:pPr>
          </w:p>
        </w:tc>
        <w:tc>
          <w:tcPr>
            <w:tcW w:w="1083" w:type="dxa"/>
          </w:tcPr>
          <w:p>
            <w:pPr>
              <w:spacing w:line="360" w:lineRule="exact"/>
              <w:ind w:left="992"/>
              <w:rPr>
                <w:rFonts w:ascii="宋体" w:hAnsi="宋体"/>
                <w:szCs w:val="21"/>
              </w:rPr>
            </w:pPr>
          </w:p>
        </w:tc>
        <w:tc>
          <w:tcPr>
            <w:tcW w:w="708" w:type="dxa"/>
          </w:tcPr>
          <w:p>
            <w:pPr>
              <w:spacing w:line="360" w:lineRule="exact"/>
              <w:ind w:left="992"/>
              <w:rPr>
                <w:rFonts w:ascii="宋体" w:hAnsi="宋体"/>
                <w:szCs w:val="21"/>
              </w:rPr>
            </w:pPr>
          </w:p>
        </w:tc>
        <w:tc>
          <w:tcPr>
            <w:tcW w:w="1050" w:type="dxa"/>
          </w:tcPr>
          <w:p>
            <w:pPr>
              <w:spacing w:line="360" w:lineRule="exact"/>
              <w:ind w:left="992"/>
              <w:rPr>
                <w:rFonts w:ascii="宋体" w:hAnsi="宋体"/>
                <w:szCs w:val="21"/>
              </w:rPr>
            </w:pPr>
          </w:p>
        </w:tc>
        <w:tc>
          <w:tcPr>
            <w:tcW w:w="1077"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38" w:type="dxa"/>
            <w:gridSpan w:val="10"/>
            <w:vAlign w:val="center"/>
          </w:tcPr>
          <w:p>
            <w:pPr>
              <w:widowControl/>
              <w:jc w:val="left"/>
            </w:pPr>
            <w:r>
              <w:rPr>
                <w:rFonts w:hint="eastAsia" w:ascii="宋体" w:hAnsi="宋体"/>
                <w:szCs w:val="21"/>
              </w:rPr>
              <w:t>价税合计（大写）：</w:t>
            </w:r>
            <w:r>
              <w:rPr>
                <w:rFonts w:hint="eastAsia"/>
              </w:rPr>
              <w:t xml:space="preserve">                                   </w:t>
            </w:r>
            <w:r>
              <w:rPr>
                <w:rFonts w:hint="eastAsia" w:ascii="宋体" w:hAnsi="宋体"/>
                <w:szCs w:val="21"/>
              </w:rPr>
              <w:t xml:space="preserve">（小写）￥：       </w:t>
            </w:r>
          </w:p>
        </w:tc>
      </w:tr>
    </w:tbl>
    <w:p>
      <w:pPr>
        <w:tabs>
          <w:tab w:val="left" w:pos="900"/>
          <w:tab w:val="left" w:pos="988"/>
        </w:tabs>
        <w:spacing w:line="360" w:lineRule="exact"/>
        <w:ind w:left="876"/>
        <w:rPr>
          <w:rFonts w:ascii="宋体" w:hAnsi="宋体"/>
          <w:b/>
          <w:szCs w:val="21"/>
        </w:rPr>
      </w:pPr>
      <w:r>
        <w:rPr>
          <w:rFonts w:hint="eastAsia" w:ascii="宋体" w:hAnsi="宋体"/>
          <w:b/>
          <w:bCs/>
          <w:szCs w:val="21"/>
        </w:rPr>
        <w:t xml:space="preserve">2.  </w:t>
      </w:r>
      <w:r>
        <w:rPr>
          <w:rFonts w:ascii="宋体" w:hAnsi="宋体"/>
          <w:szCs w:val="21"/>
        </w:rPr>
        <w:t>合同价格形式：</w:t>
      </w:r>
      <w:r>
        <w:rPr>
          <w:rFonts w:hint="eastAsia" w:ascii="宋体" w:hAnsi="宋体"/>
          <w:szCs w:val="21"/>
          <w:u w:val="single"/>
        </w:rPr>
        <w:t>固定综合总价合同</w:t>
      </w:r>
      <w:r>
        <w:rPr>
          <w:rFonts w:hint="eastAsia" w:ascii="宋体" w:hAnsi="宋体"/>
          <w:szCs w:val="21"/>
        </w:rPr>
        <w:t>。</w:t>
      </w:r>
    </w:p>
    <w:p>
      <w:pPr>
        <w:tabs>
          <w:tab w:val="left" w:pos="900"/>
          <w:tab w:val="left" w:pos="988"/>
        </w:tabs>
        <w:spacing w:line="360" w:lineRule="exact"/>
        <w:ind w:left="567"/>
        <w:rPr>
          <w:rFonts w:ascii="宋体" w:hAnsi="宋体"/>
          <w:b/>
          <w:szCs w:val="21"/>
        </w:rPr>
      </w:pPr>
      <w:r>
        <w:rPr>
          <w:rFonts w:hint="eastAsia" w:ascii="宋体" w:hAnsi="宋体"/>
          <w:b/>
          <w:szCs w:val="21"/>
        </w:rPr>
        <w:t>二、供货周期：</w:t>
      </w:r>
    </w:p>
    <w:p>
      <w:pPr>
        <w:spacing w:line="360" w:lineRule="exact"/>
        <w:ind w:firstLine="420" w:firstLineChars="200"/>
        <w:rPr>
          <w:rFonts w:ascii="宋体" w:hAnsi="宋体"/>
          <w:szCs w:val="21"/>
          <w:u w:val="single"/>
        </w:rPr>
      </w:pPr>
      <w:r>
        <w:rPr>
          <w:rFonts w:hint="eastAsia" w:ascii="宋体" w:hAnsi="宋体"/>
          <w:szCs w:val="21"/>
        </w:rPr>
        <w:t>供货周期为日历天数</w:t>
      </w:r>
      <w:r>
        <w:rPr>
          <w:rFonts w:hint="eastAsia" w:ascii="宋体" w:hAnsi="宋体"/>
          <w:szCs w:val="21"/>
          <w:u w:val="single"/>
        </w:rPr>
        <w:t xml:space="preserve">    </w:t>
      </w:r>
      <w:r>
        <w:rPr>
          <w:rFonts w:hint="eastAsia" w:ascii="宋体" w:hAnsi="宋体"/>
          <w:szCs w:val="21"/>
        </w:rPr>
        <w:t>天，要求乙方接到甲方要求设备进场书面通知后，最迟日历天数</w:t>
      </w:r>
      <w:r>
        <w:rPr>
          <w:rFonts w:hint="eastAsia" w:ascii="宋体" w:hAnsi="宋体"/>
          <w:szCs w:val="21"/>
          <w:u w:val="single"/>
        </w:rPr>
        <w:t xml:space="preserve">     </w:t>
      </w:r>
    </w:p>
    <w:p>
      <w:pPr>
        <w:spacing w:line="360" w:lineRule="exact"/>
        <w:ind w:firstLine="105" w:firstLineChars="50"/>
        <w:rPr>
          <w:rFonts w:ascii="宋体" w:hAnsi="宋体"/>
          <w:szCs w:val="21"/>
        </w:rPr>
      </w:pPr>
      <w:r>
        <w:rPr>
          <w:rFonts w:hint="eastAsia" w:ascii="宋体" w:hAnsi="宋体"/>
          <w:szCs w:val="21"/>
        </w:rPr>
        <w:t>天内设备须安装调试完毕，达到正常生产能力。</w:t>
      </w:r>
    </w:p>
    <w:p>
      <w:pPr>
        <w:spacing w:line="360" w:lineRule="exact"/>
        <w:ind w:firstLine="527" w:firstLineChars="250"/>
        <w:rPr>
          <w:rFonts w:ascii="宋体" w:hAnsi="宋体"/>
          <w:szCs w:val="21"/>
        </w:rPr>
      </w:pPr>
      <w:r>
        <w:rPr>
          <w:rFonts w:hint="eastAsia" w:ascii="宋体" w:hAnsi="宋体"/>
          <w:b/>
          <w:szCs w:val="21"/>
        </w:rPr>
        <w:t>三、设备交货地点：</w:t>
      </w:r>
      <w:r>
        <w:rPr>
          <w:rFonts w:hint="eastAsia" w:ascii="宋体" w:hAnsi="宋体"/>
          <w:szCs w:val="21"/>
          <w:u w:val="single"/>
        </w:rPr>
        <w:t xml:space="preserve">                     </w:t>
      </w:r>
      <w:r>
        <w:rPr>
          <w:rFonts w:hint="eastAsia" w:ascii="宋体" w:hAnsi="宋体"/>
          <w:szCs w:val="21"/>
        </w:rPr>
        <w:t>。</w:t>
      </w:r>
    </w:p>
    <w:p>
      <w:pPr>
        <w:spacing w:line="360" w:lineRule="exact"/>
        <w:ind w:firstLine="527" w:firstLineChars="250"/>
        <w:rPr>
          <w:rFonts w:ascii="宋体" w:hAnsi="宋体"/>
          <w:b/>
          <w:szCs w:val="21"/>
        </w:rPr>
      </w:pPr>
      <w:r>
        <w:rPr>
          <w:rFonts w:hint="eastAsia" w:ascii="宋体" w:hAnsi="宋体"/>
          <w:b/>
          <w:szCs w:val="21"/>
        </w:rPr>
        <w:t>四、设备款的支付：</w:t>
      </w:r>
    </w:p>
    <w:p>
      <w:pPr>
        <w:spacing w:line="360" w:lineRule="exact"/>
        <w:ind w:firstLine="525" w:firstLineChars="250"/>
        <w:jc w:val="left"/>
        <w:rPr>
          <w:rFonts w:ascii="宋体" w:hAnsi="宋体"/>
          <w:szCs w:val="21"/>
        </w:rPr>
      </w:pPr>
      <w:r>
        <w:rPr>
          <w:rFonts w:hint="eastAsia" w:ascii="宋体" w:hAnsi="宋体"/>
          <w:szCs w:val="21"/>
        </w:rPr>
        <w:t>1.</w:t>
      </w:r>
      <w:r>
        <w:rPr>
          <w:rFonts w:hint="eastAsia" w:ascii="宋体" w:hAnsi="宋体"/>
          <w:szCs w:val="21"/>
          <w:lang w:val="en-US" w:eastAsia="zh-CN"/>
        </w:rPr>
        <w:t>本合同无</w:t>
      </w:r>
      <w:r>
        <w:rPr>
          <w:rFonts w:hint="eastAsia" w:ascii="宋体" w:hAnsi="宋体"/>
          <w:szCs w:val="21"/>
        </w:rPr>
        <w:t>预付款。</w:t>
      </w:r>
    </w:p>
    <w:p>
      <w:pPr>
        <w:spacing w:line="360" w:lineRule="exact"/>
        <w:ind w:firstLine="525" w:firstLineChars="250"/>
        <w:jc w:val="left"/>
        <w:rPr>
          <w:rFonts w:ascii="宋体" w:hAnsi="宋体"/>
          <w:szCs w:val="21"/>
        </w:rPr>
      </w:pPr>
      <w:r>
        <w:rPr>
          <w:rFonts w:hint="eastAsia" w:ascii="宋体" w:hAnsi="宋体"/>
          <w:szCs w:val="21"/>
        </w:rPr>
        <w:t>2.设备安装调试完毕，乙方提供甲方财务认可的全额的增值税专用发票</w:t>
      </w:r>
      <w:r>
        <w:rPr>
          <w:rFonts w:hint="eastAsia" w:ascii="宋体" w:hAnsi="宋体"/>
          <w:szCs w:val="21"/>
          <w:lang w:eastAsia="zh-CN"/>
        </w:rPr>
        <w:t>，</w:t>
      </w:r>
      <w:r>
        <w:rPr>
          <w:rFonts w:hint="eastAsia" w:ascii="宋体" w:hAnsi="宋体"/>
          <w:szCs w:val="21"/>
        </w:rPr>
        <w:t xml:space="preserve">性能验收合格后甲方支付至合同价款的 </w:t>
      </w:r>
      <w:r>
        <w:rPr>
          <w:rFonts w:hint="eastAsia" w:ascii="宋体" w:hAnsi="宋体"/>
          <w:szCs w:val="21"/>
          <w:u w:val="single"/>
        </w:rPr>
        <w:t xml:space="preserve">     %</w:t>
      </w:r>
      <w:r>
        <w:rPr>
          <w:rFonts w:hint="eastAsia" w:ascii="宋体" w:hAnsi="宋体"/>
          <w:szCs w:val="21"/>
        </w:rPr>
        <w:t>。</w:t>
      </w:r>
    </w:p>
    <w:p>
      <w:pPr>
        <w:spacing w:line="360" w:lineRule="exact"/>
        <w:ind w:firstLine="525" w:firstLineChars="250"/>
        <w:jc w:val="left"/>
        <w:rPr>
          <w:rFonts w:ascii="宋体" w:hAnsi="宋体"/>
          <w:szCs w:val="21"/>
        </w:rPr>
      </w:pPr>
      <w:r>
        <w:rPr>
          <w:rFonts w:hint="eastAsia" w:ascii="宋体" w:hAnsi="宋体"/>
          <w:szCs w:val="21"/>
        </w:rPr>
        <w:t>3.质保期满</w:t>
      </w:r>
      <w:r>
        <w:rPr>
          <w:rFonts w:hint="eastAsia" w:ascii="宋体" w:hAnsi="宋体"/>
          <w:szCs w:val="21"/>
          <w:u w:val="single"/>
        </w:rPr>
        <w:t xml:space="preserve">          </w:t>
      </w:r>
      <w:r>
        <w:rPr>
          <w:rFonts w:hint="eastAsia" w:ascii="宋体" w:hAnsi="宋体"/>
          <w:szCs w:val="21"/>
        </w:rPr>
        <w:t>月支付至货款的</w:t>
      </w:r>
      <w:r>
        <w:rPr>
          <w:rFonts w:hint="eastAsia" w:ascii="宋体" w:hAnsi="宋体"/>
          <w:szCs w:val="21"/>
          <w:u w:val="single"/>
        </w:rPr>
        <w:t xml:space="preserve">    </w:t>
      </w:r>
      <w:r>
        <w:rPr>
          <w:rFonts w:hint="eastAsia" w:ascii="宋体" w:hAnsi="宋体"/>
          <w:szCs w:val="21"/>
        </w:rPr>
        <w:t>%。</w:t>
      </w:r>
    </w:p>
    <w:p>
      <w:pPr>
        <w:spacing w:line="360" w:lineRule="exact"/>
        <w:ind w:firstLine="525" w:firstLineChars="250"/>
        <w:jc w:val="left"/>
        <w:rPr>
          <w:rFonts w:ascii="宋体" w:hAnsi="宋体"/>
          <w:szCs w:val="21"/>
        </w:rPr>
      </w:pPr>
      <w:r>
        <w:rPr>
          <w:rFonts w:hint="eastAsia" w:ascii="宋体" w:hAnsi="宋体"/>
          <w:szCs w:val="21"/>
        </w:rPr>
        <w:t xml:space="preserve">4.质保金支付：甲方保留合同价款的 </w:t>
      </w:r>
      <w:r>
        <w:rPr>
          <w:rFonts w:hint="eastAsia" w:ascii="宋体" w:hAnsi="宋体"/>
          <w:szCs w:val="21"/>
          <w:u w:val="single"/>
        </w:rPr>
        <w:t xml:space="preserve">     </w:t>
      </w:r>
      <w:r>
        <w:rPr>
          <w:rFonts w:hint="eastAsia" w:ascii="宋体" w:hAnsi="宋体"/>
          <w:szCs w:val="21"/>
        </w:rPr>
        <w:t xml:space="preserve">%的作为质量保证金，乙方按合同履行其服务承诺，设备性能验收合格后开始计算质保期，质保期满 </w:t>
      </w:r>
      <w:r>
        <w:rPr>
          <w:rFonts w:hint="eastAsia" w:ascii="宋体" w:hAnsi="宋体"/>
          <w:szCs w:val="21"/>
          <w:u w:val="single"/>
        </w:rPr>
        <w:t xml:space="preserve">     </w:t>
      </w:r>
      <w:r>
        <w:rPr>
          <w:rFonts w:hint="eastAsia" w:ascii="宋体" w:hAnsi="宋体"/>
          <w:szCs w:val="21"/>
        </w:rPr>
        <w:t>月后</w:t>
      </w:r>
      <w:r>
        <w:rPr>
          <w:rFonts w:hint="eastAsia" w:ascii="宋体" w:hAnsi="宋体"/>
          <w:szCs w:val="21"/>
          <w:u w:val="single"/>
        </w:rPr>
        <w:t xml:space="preserve">     </w:t>
      </w:r>
      <w:r>
        <w:rPr>
          <w:rFonts w:hint="eastAsia" w:ascii="宋体" w:hAnsi="宋体"/>
          <w:szCs w:val="21"/>
        </w:rPr>
        <w:t>个工作日内，质保金全额无息支付。</w:t>
      </w:r>
    </w:p>
    <w:p>
      <w:pPr>
        <w:tabs>
          <w:tab w:val="left" w:pos="900"/>
          <w:tab w:val="left" w:pos="988"/>
        </w:tabs>
        <w:spacing w:line="360" w:lineRule="exact"/>
        <w:ind w:firstLine="517" w:firstLineChars="245"/>
        <w:rPr>
          <w:rFonts w:ascii="宋体" w:hAnsi="宋体"/>
          <w:b/>
          <w:szCs w:val="21"/>
        </w:rPr>
      </w:pPr>
      <w:r>
        <w:rPr>
          <w:rFonts w:hint="eastAsia" w:ascii="宋体" w:hAnsi="宋体"/>
          <w:b/>
          <w:szCs w:val="21"/>
        </w:rPr>
        <w:t>五、联系人：</w:t>
      </w:r>
    </w:p>
    <w:p>
      <w:pPr>
        <w:tabs>
          <w:tab w:val="left" w:pos="900"/>
          <w:tab w:val="left" w:pos="988"/>
        </w:tabs>
        <w:spacing w:line="360" w:lineRule="exact"/>
        <w:ind w:firstLine="926" w:firstLineChars="441"/>
        <w:rPr>
          <w:rFonts w:ascii="宋体" w:hAnsi="宋体"/>
          <w:szCs w:val="21"/>
        </w:rPr>
      </w:pPr>
      <w:r>
        <w:rPr>
          <w:rFonts w:hint="eastAsia" w:ascii="宋体" w:hAnsi="宋体"/>
          <w:szCs w:val="21"/>
        </w:rPr>
        <w:t>甲方联系人：</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ascii="宋体" w:hAnsi="宋体"/>
          <w:szCs w:val="21"/>
        </w:rPr>
        <w:t>。</w:t>
      </w:r>
    </w:p>
    <w:p>
      <w:pPr>
        <w:spacing w:line="360" w:lineRule="exact"/>
        <w:ind w:firstLine="945" w:firstLineChars="450"/>
        <w:rPr>
          <w:rFonts w:ascii="宋体" w:hAnsi="宋体"/>
          <w:szCs w:val="21"/>
        </w:rPr>
      </w:pPr>
      <w:r>
        <w:rPr>
          <w:rFonts w:hint="eastAsia" w:ascii="宋体" w:hAnsi="宋体"/>
          <w:szCs w:val="21"/>
        </w:rPr>
        <w:t>乙方联系人：</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ascii="宋体" w:hAnsi="宋体"/>
          <w:szCs w:val="21"/>
        </w:rPr>
        <w:t>。</w:t>
      </w:r>
    </w:p>
    <w:p>
      <w:pPr>
        <w:spacing w:line="360" w:lineRule="exact"/>
        <w:ind w:firstLine="525" w:firstLineChars="249"/>
        <w:rPr>
          <w:rFonts w:ascii="宋体" w:hAnsi="宋体"/>
          <w:szCs w:val="21"/>
        </w:rPr>
      </w:pPr>
      <w:r>
        <w:rPr>
          <w:rFonts w:hint="eastAsia" w:ascii="宋体" w:hAnsi="宋体"/>
          <w:b/>
          <w:szCs w:val="21"/>
        </w:rPr>
        <w:t>六、设备运输方式为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ascii="宋体" w:hAnsi="宋体"/>
          <w:szCs w:val="21"/>
        </w:rPr>
        <w:t xml:space="preserve"> </w:t>
      </w:r>
    </w:p>
    <w:p>
      <w:pPr>
        <w:tabs>
          <w:tab w:val="left" w:pos="900"/>
          <w:tab w:val="left" w:pos="988"/>
        </w:tabs>
        <w:spacing w:line="360" w:lineRule="exact"/>
        <w:ind w:firstLine="517" w:firstLineChars="245"/>
        <w:rPr>
          <w:rFonts w:ascii="宋体" w:hAnsi="宋体"/>
          <w:szCs w:val="21"/>
        </w:rPr>
      </w:pPr>
      <w:bookmarkStart w:id="0" w:name="_Toc351203489"/>
      <w:r>
        <w:rPr>
          <w:rFonts w:hint="eastAsia" w:ascii="宋体" w:hAnsi="宋体"/>
          <w:b/>
          <w:szCs w:val="21"/>
        </w:rPr>
        <w:t>七、合同</w:t>
      </w:r>
      <w:r>
        <w:rPr>
          <w:rFonts w:ascii="宋体" w:hAnsi="宋体"/>
          <w:b/>
          <w:szCs w:val="21"/>
        </w:rPr>
        <w:t>签订时间</w:t>
      </w:r>
      <w:bookmarkEnd w:id="0"/>
      <w:r>
        <w:rPr>
          <w:rFonts w:hint="eastAsia" w:ascii="宋体" w:hAnsi="宋体"/>
          <w:b/>
          <w:szCs w:val="21"/>
        </w:rPr>
        <w:t>：</w:t>
      </w:r>
      <w:r>
        <w:rPr>
          <w:rFonts w:ascii="宋体" w:hAnsi="宋体"/>
          <w:szCs w:val="21"/>
        </w:rPr>
        <w:t>本合同于</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日签订。</w:t>
      </w:r>
    </w:p>
    <w:p>
      <w:pPr>
        <w:tabs>
          <w:tab w:val="left" w:pos="900"/>
          <w:tab w:val="left" w:pos="988"/>
        </w:tabs>
        <w:spacing w:line="360" w:lineRule="exact"/>
        <w:ind w:firstLine="517" w:firstLineChars="245"/>
        <w:rPr>
          <w:rFonts w:ascii="宋体" w:hAnsi="宋体"/>
          <w:b/>
          <w:szCs w:val="21"/>
        </w:rPr>
      </w:pPr>
      <w:r>
        <w:rPr>
          <w:rFonts w:hint="eastAsia" w:ascii="宋体" w:hAnsi="宋体"/>
          <w:b/>
          <w:szCs w:val="21"/>
        </w:rPr>
        <w:t>八、合同签订地点：</w:t>
      </w:r>
      <w:r>
        <w:rPr>
          <w:rFonts w:hint="eastAsia" w:ascii="宋体" w:hAnsi="宋体"/>
          <w:b/>
          <w:szCs w:val="21"/>
          <w:u w:val="single"/>
        </w:rPr>
        <w:t xml:space="preserve">                     </w:t>
      </w:r>
      <w:r>
        <w:rPr>
          <w:rFonts w:hint="eastAsia" w:ascii="宋体" w:hAnsi="宋体"/>
          <w:b/>
          <w:szCs w:val="21"/>
        </w:rPr>
        <w:t>。</w:t>
      </w:r>
    </w:p>
    <w:p>
      <w:pPr>
        <w:spacing w:line="400" w:lineRule="exact"/>
        <w:ind w:left="420" w:leftChars="200" w:firstLine="103" w:firstLineChars="49"/>
        <w:jc w:val="left"/>
        <w:rPr>
          <w:rFonts w:ascii="宋体" w:hAnsi="宋体"/>
          <w:b/>
          <w:szCs w:val="21"/>
        </w:rPr>
      </w:pPr>
      <w:r>
        <w:rPr>
          <w:rFonts w:hint="eastAsia" w:ascii="宋体" w:hAnsi="宋体"/>
          <w:b/>
          <w:szCs w:val="21"/>
        </w:rPr>
        <w:t>九、设备颜色约定：</w:t>
      </w:r>
    </w:p>
    <w:p>
      <w:pPr>
        <w:spacing w:line="400" w:lineRule="exact"/>
        <w:ind w:left="420" w:leftChars="200" w:firstLine="102" w:firstLineChars="49"/>
        <w:jc w:val="left"/>
        <w:rPr>
          <w:rFonts w:ascii="宋体" w:hAnsi="宋体"/>
          <w:szCs w:val="21"/>
        </w:rPr>
      </w:pPr>
      <w:r>
        <w:rPr>
          <w:rFonts w:hint="eastAsia" w:ascii="宋体" w:hAnsi="宋体"/>
          <w:szCs w:val="21"/>
        </w:rPr>
        <w:t>一、设备外观颜色</w:t>
      </w:r>
      <w:r>
        <w:rPr>
          <w:rFonts w:hint="eastAsia" w:ascii="宋体" w:hAnsi="宋体"/>
          <w:szCs w:val="21"/>
          <w:u w:val="single"/>
        </w:rPr>
        <w:t xml:space="preserve">      </w:t>
      </w:r>
      <w:r>
        <w:rPr>
          <w:rFonts w:hint="eastAsia" w:ascii="宋体" w:hAnsi="宋体"/>
          <w:szCs w:val="21"/>
        </w:rPr>
        <w:t>，设备内饰颜色</w:t>
      </w:r>
      <w:r>
        <w:rPr>
          <w:rFonts w:hint="eastAsia" w:ascii="宋体" w:hAnsi="宋体"/>
          <w:szCs w:val="21"/>
          <w:u w:val="single"/>
        </w:rPr>
        <w:t xml:space="preserve">         </w:t>
      </w:r>
      <w:r>
        <w:rPr>
          <w:rFonts w:hint="eastAsia" w:ascii="宋体" w:hAnsi="宋体"/>
          <w:szCs w:val="21"/>
        </w:rPr>
        <w:t>。</w:t>
      </w:r>
    </w:p>
    <w:p>
      <w:pPr>
        <w:spacing w:line="400" w:lineRule="exact"/>
        <w:ind w:left="420" w:leftChars="200" w:firstLine="102" w:firstLineChars="49"/>
        <w:jc w:val="left"/>
        <w:rPr>
          <w:rFonts w:ascii="宋体" w:hAnsi="宋体"/>
          <w:szCs w:val="21"/>
        </w:rPr>
      </w:pPr>
      <w:r>
        <w:rPr>
          <w:rFonts w:hint="eastAsia" w:ascii="宋体" w:hAnsi="宋体"/>
          <w:szCs w:val="21"/>
        </w:rPr>
        <w:t>二、喷涂“中建路桥”及中建LOGO。</w:t>
      </w:r>
    </w:p>
    <w:p>
      <w:pPr>
        <w:spacing w:line="360" w:lineRule="exact"/>
        <w:ind w:firstLine="517" w:firstLineChars="245"/>
        <w:rPr>
          <w:rFonts w:ascii="宋体" w:hAnsi="宋体"/>
          <w:szCs w:val="21"/>
        </w:rPr>
      </w:pPr>
      <w:r>
        <w:rPr>
          <w:rFonts w:hint="eastAsia" w:ascii="宋体" w:hAnsi="宋体"/>
          <w:b/>
          <w:szCs w:val="21"/>
        </w:rPr>
        <w:t>十、培训要求</w:t>
      </w:r>
      <w:r>
        <w:rPr>
          <w:rFonts w:hint="eastAsia" w:ascii="宋体" w:hAnsi="宋体"/>
          <w:szCs w:val="21"/>
        </w:rPr>
        <w:t>：本合同签署后</w:t>
      </w:r>
      <w:r>
        <w:rPr>
          <w:rFonts w:hint="eastAsia" w:ascii="宋体" w:hAnsi="宋体"/>
          <w:szCs w:val="21"/>
          <w:u w:val="single"/>
        </w:rPr>
        <w:t xml:space="preserve">      </w:t>
      </w:r>
      <w:r>
        <w:rPr>
          <w:rFonts w:hint="eastAsia" w:ascii="宋体" w:hAnsi="宋体"/>
          <w:szCs w:val="21"/>
        </w:rPr>
        <w:t>个工作日内，乙方应免费为甲方就合同内设备相关的知识技能安排培训，具体内容如下：</w:t>
      </w:r>
    </w:p>
    <w:p>
      <w:pPr>
        <w:spacing w:line="360" w:lineRule="exact"/>
        <w:ind w:firstLine="420" w:firstLineChars="200"/>
        <w:rPr>
          <w:rFonts w:ascii="宋体" w:hAnsi="宋体"/>
          <w:szCs w:val="21"/>
        </w:rPr>
      </w:pPr>
      <w:r>
        <w:rPr>
          <w:rFonts w:hint="eastAsia" w:ascii="宋体" w:hAnsi="宋体"/>
          <w:szCs w:val="21"/>
        </w:rPr>
        <w:t>1.培训课时：不低于</w:t>
      </w:r>
      <w:r>
        <w:rPr>
          <w:rFonts w:hint="eastAsia" w:ascii="宋体" w:hAnsi="宋体"/>
          <w:szCs w:val="21"/>
          <w:u w:val="single"/>
        </w:rPr>
        <w:t xml:space="preserve">   </w:t>
      </w:r>
      <w:r>
        <w:rPr>
          <w:rFonts w:hint="eastAsia" w:ascii="宋体" w:hAnsi="宋体"/>
          <w:szCs w:val="21"/>
        </w:rPr>
        <w:t>课时。</w:t>
      </w:r>
    </w:p>
    <w:p>
      <w:pPr>
        <w:spacing w:line="360" w:lineRule="exact"/>
        <w:ind w:firstLine="420" w:firstLineChars="200"/>
        <w:rPr>
          <w:rFonts w:ascii="宋体" w:hAnsi="宋体"/>
          <w:szCs w:val="21"/>
        </w:rPr>
      </w:pPr>
      <w:r>
        <w:rPr>
          <w:rFonts w:hint="eastAsia" w:ascii="宋体" w:hAnsi="宋体"/>
          <w:szCs w:val="21"/>
        </w:rPr>
        <w:t>2.培训地点：</w:t>
      </w:r>
      <w:r>
        <w:rPr>
          <w:rFonts w:hint="eastAsia" w:ascii="宋体" w:hAnsi="宋体"/>
          <w:szCs w:val="21"/>
          <w:u w:val="single"/>
        </w:rPr>
        <w:t xml:space="preserve">         </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3.培训内容：</w:t>
      </w:r>
      <w:r>
        <w:rPr>
          <w:rFonts w:hint="eastAsia" w:ascii="宋体" w:hAnsi="宋体"/>
          <w:szCs w:val="21"/>
          <w:u w:val="single"/>
        </w:rPr>
        <w:t xml:space="preserve">         </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4.培训目的：</w:t>
      </w:r>
      <w:r>
        <w:rPr>
          <w:rFonts w:hint="eastAsia" w:ascii="宋体" w:hAnsi="宋体"/>
          <w:szCs w:val="21"/>
          <w:u w:val="single"/>
        </w:rPr>
        <w:t xml:space="preserve">         </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szCs w:val="21"/>
        </w:rPr>
        <w:t>5. 培训其他约定：</w:t>
      </w:r>
      <w:r>
        <w:rPr>
          <w:rFonts w:hint="eastAsia" w:ascii="宋体" w:hAnsi="宋体"/>
          <w:szCs w:val="21"/>
          <w:u w:val="single"/>
        </w:rPr>
        <w:t xml:space="preserve">         </w:t>
      </w:r>
      <w:r>
        <w:rPr>
          <w:rFonts w:hint="eastAsia" w:ascii="宋体" w:hAnsi="宋体"/>
          <w:szCs w:val="21"/>
        </w:rPr>
        <w:t xml:space="preserve">。 </w:t>
      </w:r>
    </w:p>
    <w:p>
      <w:pPr>
        <w:tabs>
          <w:tab w:val="left" w:pos="900"/>
          <w:tab w:val="left" w:pos="988"/>
        </w:tabs>
        <w:spacing w:line="360" w:lineRule="exact"/>
        <w:ind w:firstLine="413" w:firstLineChars="196"/>
        <w:rPr>
          <w:rFonts w:ascii="宋体" w:hAnsi="宋体"/>
          <w:b/>
          <w:szCs w:val="21"/>
        </w:rPr>
      </w:pPr>
      <w:bookmarkStart w:id="1" w:name="_Toc351203493"/>
      <w:r>
        <w:rPr>
          <w:rFonts w:hint="eastAsia" w:ascii="宋体" w:hAnsi="宋体"/>
          <w:b/>
          <w:szCs w:val="21"/>
        </w:rPr>
        <w:t>十一、</w:t>
      </w:r>
      <w:r>
        <w:rPr>
          <w:rFonts w:ascii="宋体" w:hAnsi="宋体"/>
          <w:b/>
          <w:szCs w:val="21"/>
        </w:rPr>
        <w:t>合同份数</w:t>
      </w:r>
      <w:bookmarkEnd w:id="1"/>
      <w:r>
        <w:rPr>
          <w:rFonts w:hint="eastAsia" w:ascii="宋体" w:hAnsi="宋体"/>
          <w:b/>
          <w:szCs w:val="21"/>
        </w:rPr>
        <w:t>：</w:t>
      </w:r>
      <w:r>
        <w:rPr>
          <w:rFonts w:hint="eastAsia" w:ascii="宋体" w:hAnsi="宋体"/>
          <w:szCs w:val="21"/>
        </w:rPr>
        <w:t>本合同一式8份，甲方执6份，乙方执2份。</w:t>
      </w:r>
    </w:p>
    <w:p>
      <w:pPr>
        <w:spacing w:line="360" w:lineRule="exact"/>
        <w:ind w:left="992"/>
        <w:rPr>
          <w:rFonts w:ascii="宋体" w:hAnsi="宋体"/>
          <w:szCs w:val="21"/>
        </w:rPr>
      </w:pPr>
    </w:p>
    <w:p>
      <w:pPr>
        <w:spacing w:line="360" w:lineRule="exact"/>
        <w:ind w:left="992"/>
        <w:rPr>
          <w:rFonts w:ascii="宋体" w:hAnsi="宋体"/>
          <w:szCs w:val="21"/>
        </w:rPr>
      </w:pPr>
      <w:r>
        <w:rPr>
          <w:rFonts w:hint="eastAsia" w:ascii="宋体" w:hAnsi="宋体"/>
          <w:szCs w:val="21"/>
        </w:rPr>
        <w:t>甲方（盖章）：                     乙方（盖章）：</w:t>
      </w:r>
    </w:p>
    <w:p>
      <w:pPr>
        <w:spacing w:line="360" w:lineRule="exact"/>
        <w:ind w:left="992"/>
        <w:rPr>
          <w:rFonts w:ascii="宋体" w:hAnsi="宋体"/>
          <w:szCs w:val="21"/>
        </w:rPr>
      </w:pPr>
      <w:r>
        <w:rPr>
          <w:rFonts w:hint="eastAsia" w:ascii="宋体" w:hAnsi="宋体"/>
          <w:szCs w:val="21"/>
        </w:rPr>
        <w:t>法人或授权人：                    法人或授权人人：</w:t>
      </w:r>
    </w:p>
    <w:p>
      <w:pPr>
        <w:spacing w:line="360" w:lineRule="exact"/>
        <w:ind w:left="1054" w:leftChars="452" w:hanging="105" w:hangingChars="50"/>
        <w:jc w:val="left"/>
        <w:rPr>
          <w:rFonts w:ascii="宋体" w:hAnsi="宋体"/>
          <w:szCs w:val="21"/>
        </w:rPr>
      </w:pPr>
      <w:r>
        <w:rPr>
          <w:rFonts w:hint="eastAsia" w:ascii="宋体" w:hAnsi="宋体"/>
          <w:szCs w:val="21"/>
        </w:rPr>
        <w:t xml:space="preserve"> 开户行：                         开户行：                                                                                               账号:                             账号:</w:t>
      </w:r>
    </w:p>
    <w:p>
      <w:pPr>
        <w:spacing w:line="360" w:lineRule="exact"/>
        <w:ind w:left="4561" w:leftChars="472" w:hanging="3570" w:hangingChars="1700"/>
        <w:jc w:val="left"/>
        <w:rPr>
          <w:rFonts w:ascii="宋体" w:hAnsi="宋体"/>
          <w:szCs w:val="21"/>
        </w:rPr>
      </w:pPr>
      <w:r>
        <w:rPr>
          <w:rFonts w:hint="eastAsia" w:ascii="宋体" w:hAnsi="宋体"/>
          <w:szCs w:val="21"/>
        </w:rPr>
        <w:t xml:space="preserve">                                                                                              </w:t>
      </w:r>
    </w:p>
    <w:p>
      <w:pPr>
        <w:spacing w:line="360" w:lineRule="exact"/>
        <w:jc w:val="center"/>
        <w:rPr>
          <w:rFonts w:ascii="宋体" w:hAnsi="宋体"/>
          <w:b/>
          <w:sz w:val="30"/>
          <w:szCs w:val="30"/>
        </w:rPr>
      </w:pPr>
    </w:p>
    <w:p>
      <w:pPr>
        <w:spacing w:line="360" w:lineRule="exact"/>
        <w:jc w:val="center"/>
        <w:rPr>
          <w:rFonts w:ascii="宋体" w:hAnsi="宋体"/>
          <w:b/>
          <w:sz w:val="30"/>
          <w:szCs w:val="30"/>
        </w:rPr>
      </w:pPr>
      <w:r>
        <w:rPr>
          <w:rFonts w:hint="eastAsia" w:ascii="宋体" w:hAnsi="宋体"/>
          <w:b/>
          <w:sz w:val="30"/>
          <w:szCs w:val="30"/>
        </w:rPr>
        <w:t>第二部分 通用合同条款</w:t>
      </w:r>
    </w:p>
    <w:p>
      <w:pPr>
        <w:tabs>
          <w:tab w:val="left" w:pos="425"/>
        </w:tabs>
        <w:spacing w:line="400" w:lineRule="exact"/>
        <w:ind w:left="420" w:leftChars="200"/>
        <w:jc w:val="left"/>
        <w:rPr>
          <w:rFonts w:ascii="宋体" w:hAnsi="宋体"/>
          <w:b/>
          <w:szCs w:val="21"/>
        </w:rPr>
      </w:pPr>
      <w:bookmarkStart w:id="2" w:name="_Toc303538973"/>
      <w:bookmarkEnd w:id="2"/>
      <w:bookmarkStart w:id="3" w:name="_Toc303538974"/>
      <w:bookmarkEnd w:id="3"/>
      <w:bookmarkStart w:id="4" w:name="_Toc303538972"/>
      <w:bookmarkEnd w:id="4"/>
      <w:bookmarkStart w:id="5" w:name="_Toc303538975"/>
      <w:bookmarkEnd w:id="5"/>
      <w:bookmarkStart w:id="6" w:name="_Toc303538976"/>
      <w:bookmarkEnd w:id="6"/>
      <w:r>
        <w:rPr>
          <w:rFonts w:hint="eastAsia" w:ascii="宋体" w:hAnsi="宋体"/>
          <w:b/>
          <w:szCs w:val="21"/>
        </w:rPr>
        <w:t>1.适用法律法规</w:t>
      </w:r>
    </w:p>
    <w:p>
      <w:pPr>
        <w:tabs>
          <w:tab w:val="left" w:pos="992"/>
        </w:tabs>
        <w:spacing w:line="400" w:lineRule="exact"/>
        <w:ind w:left="420" w:leftChars="200"/>
        <w:jc w:val="left"/>
        <w:rPr>
          <w:rFonts w:ascii="宋体" w:hAnsi="宋体"/>
          <w:szCs w:val="21"/>
        </w:rPr>
      </w:pPr>
      <w:bookmarkStart w:id="7" w:name="A2"/>
      <w:bookmarkEnd w:id="7"/>
      <w:r>
        <w:rPr>
          <w:rFonts w:hint="eastAsia" w:ascii="宋体" w:hAnsi="宋体"/>
          <w:szCs w:val="21"/>
        </w:rPr>
        <w:t>1.1</w:t>
      </w:r>
      <w:r>
        <w:rPr>
          <w:rFonts w:ascii="宋体" w:hAnsi="宋体"/>
          <w:szCs w:val="21"/>
        </w:rPr>
        <w:t>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法律、行政法规、部门规章，以及</w:t>
      </w:r>
      <w:r>
        <w:rPr>
          <w:rFonts w:hint="eastAsia" w:ascii="宋体" w:hAnsi="宋体"/>
          <w:szCs w:val="21"/>
        </w:rPr>
        <w:t>设备</w:t>
      </w:r>
      <w:r>
        <w:rPr>
          <w:rFonts w:ascii="宋体" w:hAnsi="宋体"/>
          <w:szCs w:val="21"/>
        </w:rPr>
        <w:t>所在地的地方法规、自治条例、单行条例和地方政府规章</w:t>
      </w:r>
      <w:r>
        <w:rPr>
          <w:rFonts w:hint="eastAsia" w:ascii="宋体" w:hAnsi="宋体"/>
          <w:szCs w:val="21"/>
        </w:rPr>
        <w:t>，包括但不限于</w:t>
      </w:r>
      <w:r>
        <w:rPr>
          <w:rFonts w:hint="eastAsia" w:ascii="宋体" w:hAnsi="宋体"/>
          <w:kern w:val="10"/>
          <w:szCs w:val="21"/>
        </w:rPr>
        <w:t>《中华人民共和国合同法》、《中华人民共和国产品质量法》、</w:t>
      </w:r>
      <w:r>
        <w:rPr>
          <w:rFonts w:ascii="Arial" w:hAnsi="Arial" w:cs="Arial"/>
        </w:rPr>
        <w:t>《</w:t>
      </w:r>
      <w:r>
        <w:rPr>
          <w:rStyle w:val="30"/>
          <w:rFonts w:ascii="Arial" w:hAnsi="Arial" w:cs="Arial"/>
          <w:color w:val="auto"/>
        </w:rPr>
        <w:t>特种设备安全监察条例</w:t>
      </w:r>
      <w:r>
        <w:rPr>
          <w:rFonts w:ascii="Arial" w:hAnsi="Arial" w:cs="Arial"/>
        </w:rPr>
        <w:t>》</w:t>
      </w:r>
      <w:r>
        <w:rPr>
          <w:rFonts w:hint="eastAsia" w:ascii="Arial" w:hAnsi="Arial" w:cs="Arial"/>
        </w:rPr>
        <w:t>等。</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1.2如在合同有效期内，颁布新的法律法规或修订了原有法律法规，则此后继的法律法规将自动适用于本合同。</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2.1除专用合同条款另有约定外，组成本合同的文件及优先解释顺序如下：</w:t>
      </w:r>
    </w:p>
    <w:p>
      <w:pPr>
        <w:spacing w:line="400" w:lineRule="exact"/>
        <w:ind w:left="420" w:leftChars="200"/>
        <w:jc w:val="left"/>
        <w:rPr>
          <w:rFonts w:ascii="宋体" w:hAnsi="宋体"/>
          <w:szCs w:val="21"/>
        </w:rPr>
      </w:pPr>
      <w:r>
        <w:rPr>
          <w:rFonts w:hint="eastAsia" w:ascii="宋体" w:hAnsi="宋体"/>
          <w:szCs w:val="21"/>
        </w:rPr>
        <w:t>2.1.1.补充协议文件；</w:t>
      </w:r>
    </w:p>
    <w:p>
      <w:pPr>
        <w:spacing w:line="400" w:lineRule="exact"/>
        <w:ind w:left="420" w:leftChars="200"/>
        <w:jc w:val="left"/>
        <w:rPr>
          <w:rFonts w:ascii="宋体" w:hAnsi="宋体"/>
          <w:szCs w:val="21"/>
        </w:rPr>
      </w:pPr>
      <w:r>
        <w:rPr>
          <w:rFonts w:hint="eastAsia" w:ascii="宋体" w:hAnsi="宋体"/>
          <w:szCs w:val="21"/>
        </w:rPr>
        <w:t>2.1.2.本合同；</w:t>
      </w:r>
    </w:p>
    <w:p>
      <w:pPr>
        <w:spacing w:line="400" w:lineRule="exact"/>
        <w:ind w:left="420" w:leftChars="200"/>
        <w:jc w:val="left"/>
        <w:rPr>
          <w:rFonts w:ascii="宋体" w:hAnsi="宋体"/>
          <w:szCs w:val="21"/>
        </w:rPr>
      </w:pPr>
      <w:r>
        <w:rPr>
          <w:rFonts w:hint="eastAsia" w:ascii="宋体" w:hAnsi="宋体"/>
          <w:szCs w:val="21"/>
        </w:rPr>
        <w:t>2.1.3.标准、规范及有关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hint="eastAsia" w:ascii="宋体" w:hAnsi="宋体"/>
          <w:szCs w:val="21"/>
        </w:rPr>
        <w:t>2.1.4.招标文件及补遗文件；</w:t>
      </w:r>
    </w:p>
    <w:p>
      <w:pPr>
        <w:spacing w:line="400" w:lineRule="exact"/>
        <w:ind w:left="420" w:leftChars="200"/>
        <w:jc w:val="left"/>
        <w:rPr>
          <w:rFonts w:ascii="宋体" w:hAnsi="宋体"/>
          <w:szCs w:val="21"/>
        </w:rPr>
      </w:pPr>
      <w:r>
        <w:rPr>
          <w:rFonts w:hint="eastAsia" w:ascii="宋体" w:hAnsi="宋体"/>
          <w:szCs w:val="21"/>
        </w:rPr>
        <w:t>2.1.5.投标文件；</w:t>
      </w:r>
    </w:p>
    <w:p>
      <w:pPr>
        <w:spacing w:line="400" w:lineRule="exact"/>
        <w:ind w:left="420" w:leftChars="200"/>
        <w:jc w:val="left"/>
        <w:rPr>
          <w:rFonts w:ascii="宋体" w:hAnsi="宋体"/>
          <w:szCs w:val="21"/>
        </w:rPr>
      </w:pPr>
      <w:r>
        <w:rPr>
          <w:rFonts w:hint="eastAsia" w:ascii="宋体" w:hAnsi="宋体"/>
          <w:szCs w:val="21"/>
        </w:rPr>
        <w:t>2.1.6.与本合同有关的其他文件。</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2.2合同文件相互解释、互为补充说明，当合同文件与工程规范、技术要求不一致时，应按要求较高的标准执行；当上述文件出现多义性或不一致解释，应由甲方作出解释和校正。</w:t>
      </w:r>
    </w:p>
    <w:p>
      <w:pPr>
        <w:snapToGrid w:val="0"/>
        <w:spacing w:line="400" w:lineRule="exact"/>
        <w:ind w:left="420" w:leftChars="200"/>
        <w:jc w:val="left"/>
        <w:rPr>
          <w:rFonts w:ascii="宋体" w:hAnsi="宋体" w:cs="宋体"/>
          <w:b/>
          <w:w w:val="90"/>
          <w:szCs w:val="21"/>
        </w:rPr>
      </w:pPr>
      <w:bookmarkStart w:id="8" w:name="_Toc351203491"/>
      <w:r>
        <w:rPr>
          <w:rFonts w:hint="eastAsia" w:ascii="宋体" w:hAnsi="宋体" w:cs="宋体"/>
          <w:b/>
          <w:w w:val="90"/>
          <w:szCs w:val="21"/>
        </w:rPr>
        <w:t>3.</w:t>
      </w:r>
      <w:r>
        <w:rPr>
          <w:rFonts w:hint="eastAsia" w:ascii="宋体" w:hAnsi="宋体"/>
          <w:b/>
          <w:szCs w:val="21"/>
        </w:rPr>
        <w:t xml:space="preserve"> 本合同所用名词</w:t>
      </w:r>
      <w:r>
        <w:rPr>
          <w:rFonts w:hint="eastAsia" w:ascii="宋体" w:hAnsi="宋体" w:cs="宋体"/>
          <w:b/>
          <w:w w:val="90"/>
          <w:szCs w:val="21"/>
        </w:rPr>
        <w:t>定义</w:t>
      </w:r>
    </w:p>
    <w:p>
      <w:pPr>
        <w:spacing w:line="400" w:lineRule="exact"/>
        <w:ind w:left="420" w:leftChars="200"/>
        <w:jc w:val="left"/>
        <w:rPr>
          <w:rFonts w:ascii="宋体" w:hAnsi="宋体"/>
          <w:szCs w:val="21"/>
        </w:rPr>
      </w:pPr>
      <w:r>
        <w:rPr>
          <w:rFonts w:hint="eastAsia" w:ascii="宋体" w:hAnsi="宋体"/>
          <w:szCs w:val="21"/>
        </w:rPr>
        <w:t>3.1“合同价格”指应付给乙方的因履行其全部义务的合同总价。</w:t>
      </w:r>
    </w:p>
    <w:p>
      <w:pPr>
        <w:spacing w:line="400" w:lineRule="exact"/>
        <w:ind w:left="420" w:leftChars="200"/>
        <w:jc w:val="left"/>
        <w:rPr>
          <w:rFonts w:ascii="宋体" w:hAnsi="宋体"/>
          <w:szCs w:val="21"/>
        </w:rPr>
      </w:pPr>
      <w:r>
        <w:rPr>
          <w:rFonts w:hint="eastAsia" w:ascii="宋体" w:hAnsi="宋体"/>
          <w:szCs w:val="21"/>
        </w:rPr>
        <w:t>3.2“合同生效期”指合同签订之日至合同结束的期间。</w:t>
      </w:r>
    </w:p>
    <w:p>
      <w:pPr>
        <w:spacing w:line="400" w:lineRule="exact"/>
        <w:ind w:left="420" w:leftChars="200"/>
        <w:jc w:val="left"/>
        <w:rPr>
          <w:rFonts w:ascii="宋体" w:hAnsi="宋体"/>
          <w:szCs w:val="21"/>
        </w:rPr>
      </w:pPr>
      <w:r>
        <w:rPr>
          <w:rFonts w:hint="eastAsia" w:ascii="宋体" w:hAnsi="宋体"/>
          <w:szCs w:val="21"/>
        </w:rPr>
        <w:t>3.3“交货地”指到达甲方指定地点。</w:t>
      </w:r>
    </w:p>
    <w:p>
      <w:pPr>
        <w:spacing w:line="400" w:lineRule="exact"/>
        <w:ind w:left="420" w:leftChars="200"/>
        <w:jc w:val="left"/>
        <w:rPr>
          <w:rFonts w:ascii="宋体" w:hAnsi="宋体"/>
          <w:szCs w:val="21"/>
        </w:rPr>
      </w:pPr>
      <w:r>
        <w:rPr>
          <w:rFonts w:hint="eastAsia" w:ascii="宋体" w:hAnsi="宋体"/>
          <w:szCs w:val="21"/>
        </w:rPr>
        <w:t>3.4“工厂验收”指设备在工厂组装及测试完成后,甲方在工厂对设备的验收。</w:t>
      </w:r>
    </w:p>
    <w:p>
      <w:pPr>
        <w:spacing w:line="400" w:lineRule="exact"/>
        <w:ind w:left="420" w:leftChars="200"/>
        <w:jc w:val="left"/>
        <w:rPr>
          <w:rFonts w:ascii="宋体" w:hAnsi="宋体"/>
          <w:szCs w:val="21"/>
        </w:rPr>
      </w:pPr>
      <w:r>
        <w:rPr>
          <w:rFonts w:hint="eastAsia" w:ascii="宋体" w:hAnsi="宋体"/>
          <w:szCs w:val="21"/>
        </w:rPr>
        <w:t>3.5“性能验收”指设备在施工现场安装调试后，对设备参数、能力的验收，包括试车及精度验收。</w:t>
      </w:r>
    </w:p>
    <w:p>
      <w:pPr>
        <w:spacing w:line="400" w:lineRule="exact"/>
        <w:ind w:left="420" w:leftChars="200"/>
        <w:jc w:val="left"/>
        <w:rPr>
          <w:rFonts w:ascii="宋体" w:hAnsi="宋体"/>
          <w:szCs w:val="21"/>
        </w:rPr>
      </w:pPr>
      <w:r>
        <w:rPr>
          <w:rFonts w:hint="eastAsia" w:ascii="宋体" w:hAnsi="宋体"/>
          <w:szCs w:val="21"/>
        </w:rPr>
        <w:t>3.6“技术资料”指合同设备及其与设备有关的技术参数、制造、监造、检验、安装、调试、验收、性能验收测试报告、操作及维修使用说明书和有关的所有文件(包括图纸、各种文字说明、标准、各种软件等)。</w:t>
      </w:r>
    </w:p>
    <w:p>
      <w:pPr>
        <w:spacing w:line="400" w:lineRule="exact"/>
        <w:ind w:left="420" w:leftChars="200"/>
        <w:jc w:val="left"/>
        <w:rPr>
          <w:rFonts w:ascii="宋体" w:hAnsi="宋体"/>
          <w:szCs w:val="21"/>
        </w:rPr>
      </w:pPr>
      <w:r>
        <w:rPr>
          <w:rFonts w:hint="eastAsia" w:ascii="宋体" w:hAnsi="宋体"/>
          <w:szCs w:val="21"/>
        </w:rPr>
        <w:t>3.7“技术培训”指乙方向甲方提供的有关设备安装、交付使用、性能测试、操作、维修及其它工作有关的培训。</w:t>
      </w:r>
    </w:p>
    <w:p>
      <w:pPr>
        <w:spacing w:line="400" w:lineRule="exact"/>
        <w:ind w:left="420" w:leftChars="200"/>
        <w:jc w:val="left"/>
        <w:rPr>
          <w:rFonts w:ascii="宋体" w:hAnsi="宋体"/>
          <w:szCs w:val="21"/>
        </w:rPr>
      </w:pPr>
      <w:r>
        <w:rPr>
          <w:rFonts w:hint="eastAsia" w:ascii="宋体" w:hAnsi="宋体"/>
          <w:szCs w:val="21"/>
        </w:rPr>
        <w:t>3.8“技术服务”指由乙方提供的与本合同设备有关的设计、生产、监造、检验、安装、调试、验收、运行、检修时相应的技术指导、技术配合、技术培训、售后服务等全过程的服务。</w:t>
      </w:r>
    </w:p>
    <w:p>
      <w:pPr>
        <w:spacing w:line="400" w:lineRule="exact"/>
        <w:ind w:left="420" w:leftChars="200"/>
        <w:jc w:val="left"/>
        <w:rPr>
          <w:rFonts w:ascii="宋体" w:hAnsi="宋体"/>
          <w:szCs w:val="21"/>
        </w:rPr>
      </w:pPr>
      <w:r>
        <w:rPr>
          <w:rFonts w:hint="eastAsia" w:ascii="宋体" w:hAnsi="宋体"/>
          <w:szCs w:val="21"/>
        </w:rPr>
        <w:t>3.9“备品备件”指根据本合同提供的合同设备所需的备用部件，包括随机备品备件和满足在      保修期限内正常运行所使用的全部备品备件。</w:t>
      </w:r>
    </w:p>
    <w:p>
      <w:pPr>
        <w:spacing w:line="400" w:lineRule="exact"/>
        <w:ind w:left="420" w:leftChars="200"/>
        <w:jc w:val="left"/>
        <w:rPr>
          <w:rFonts w:ascii="宋体" w:hAnsi="宋体"/>
          <w:szCs w:val="21"/>
        </w:rPr>
      </w:pPr>
      <w:r>
        <w:rPr>
          <w:rFonts w:hint="eastAsia" w:ascii="宋体" w:hAnsi="宋体"/>
          <w:szCs w:val="21"/>
        </w:rPr>
        <w:t>3.10“保修期限”指从最终验收合格之日起乙方保证设备的正常、稳定运行并负责解决设备可能出现有关自身缺陷问题的期限。</w:t>
      </w:r>
    </w:p>
    <w:p>
      <w:pPr>
        <w:spacing w:line="400" w:lineRule="exact"/>
        <w:ind w:left="420" w:leftChars="200"/>
        <w:jc w:val="left"/>
        <w:rPr>
          <w:rFonts w:ascii="宋体" w:hAnsi="宋体"/>
          <w:szCs w:val="21"/>
        </w:rPr>
      </w:pPr>
      <w:r>
        <w:rPr>
          <w:rFonts w:hint="eastAsia" w:ascii="宋体" w:hAnsi="宋体"/>
          <w:szCs w:val="21"/>
        </w:rPr>
        <w:t>3.11“设备缺陷”指乙方因设计、制造错误或疏忽所引起的本合同设备(包括所有部件、原材料、铸锻件、原器件等)达不到本合同规定的性能、质量标准要求的情形。</w:t>
      </w:r>
    </w:p>
    <w:p>
      <w:pPr>
        <w:spacing w:line="400" w:lineRule="exact"/>
        <w:ind w:left="420" w:leftChars="200"/>
        <w:jc w:val="left"/>
        <w:rPr>
          <w:rFonts w:ascii="宋体" w:hAnsi="宋体"/>
          <w:szCs w:val="21"/>
        </w:rPr>
      </w:pPr>
      <w:r>
        <w:rPr>
          <w:rFonts w:hint="eastAsia" w:ascii="宋体" w:hAnsi="宋体"/>
          <w:szCs w:val="21"/>
        </w:rPr>
        <w:t>3.12“书面文件”指对本合同文件有签署权的代理人书写或打印的与本合同有关的任何文稿加盖印章或签名的文件。</w:t>
      </w:r>
    </w:p>
    <w:p>
      <w:pPr>
        <w:spacing w:line="400" w:lineRule="exact"/>
        <w:ind w:left="420" w:leftChars="200"/>
        <w:jc w:val="left"/>
        <w:rPr>
          <w:rFonts w:ascii="宋体" w:hAnsi="宋体"/>
          <w:b/>
          <w:szCs w:val="21"/>
        </w:rPr>
      </w:pPr>
      <w:r>
        <w:rPr>
          <w:rFonts w:hint="eastAsia" w:ascii="宋体" w:hAnsi="宋体"/>
          <w:b/>
          <w:szCs w:val="21"/>
        </w:rPr>
        <w:t>4．质量保证与索赔</w:t>
      </w:r>
    </w:p>
    <w:p>
      <w:pPr>
        <w:spacing w:line="400" w:lineRule="exact"/>
        <w:ind w:left="420" w:leftChars="200"/>
        <w:jc w:val="left"/>
        <w:rPr>
          <w:rFonts w:ascii="宋体" w:hAnsi="宋体"/>
          <w:szCs w:val="21"/>
        </w:rPr>
      </w:pPr>
      <w:r>
        <w:rPr>
          <w:rFonts w:hint="eastAsia" w:ascii="宋体" w:hAnsi="宋体"/>
          <w:szCs w:val="21"/>
        </w:rPr>
        <w:t>4.1质量性能要求</w:t>
      </w:r>
    </w:p>
    <w:p>
      <w:pPr>
        <w:spacing w:line="400" w:lineRule="exact"/>
        <w:ind w:left="420" w:leftChars="200"/>
        <w:jc w:val="left"/>
        <w:rPr>
          <w:rFonts w:ascii="宋体" w:hAnsi="宋体"/>
          <w:szCs w:val="21"/>
        </w:rPr>
      </w:pPr>
      <w:r>
        <w:rPr>
          <w:rFonts w:hint="eastAsia" w:ascii="宋体" w:hAnsi="宋体"/>
          <w:szCs w:val="21"/>
        </w:rPr>
        <w:t>4.1.1乙方供应的设备应满足全新、技术先进、设计合理、性能稳定、质量优良、安全可靠、经济运行和易于维护的要求。</w:t>
      </w:r>
    </w:p>
    <w:p>
      <w:pPr>
        <w:spacing w:line="400" w:lineRule="exact"/>
        <w:ind w:left="420" w:leftChars="200"/>
        <w:jc w:val="left"/>
        <w:rPr>
          <w:rFonts w:ascii="宋体" w:hAnsi="宋体"/>
          <w:szCs w:val="21"/>
        </w:rPr>
      </w:pPr>
      <w:r>
        <w:rPr>
          <w:rFonts w:hint="eastAsia" w:ascii="宋体" w:hAnsi="宋体"/>
          <w:szCs w:val="21"/>
        </w:rPr>
        <w:t>4.1.2合同供货范围包括了所有设备及配套设备设施、技术资料、专用工具、备品备件，在执行合同过程中如发现有任何漏项和短缺，虽未列入发货清单中但确实是乙方供货范围中应该有的，《招标文件》中对合同设备的性能要求所必须的，均应由乙方负责将所缺的设备、技术资料、专用工具、备品备件等补上，且甲方不再另外支付费用。</w:t>
      </w:r>
    </w:p>
    <w:p>
      <w:pPr>
        <w:spacing w:line="400" w:lineRule="exact"/>
        <w:ind w:left="420" w:leftChars="200"/>
        <w:jc w:val="left"/>
        <w:rPr>
          <w:rFonts w:ascii="宋体" w:hAnsi="宋体"/>
          <w:szCs w:val="21"/>
        </w:rPr>
      </w:pPr>
      <w:r>
        <w:rPr>
          <w:rFonts w:hint="eastAsia" w:ascii="宋体" w:hAnsi="宋体"/>
          <w:szCs w:val="21"/>
        </w:rPr>
        <w:t>4.1.3合同内机械设备必须满足补充协议、本合同、标准及规范、招标文件、投标文件对设备生产能力、质量、技术参数、结构形式、环保、安全的要求。</w:t>
      </w:r>
    </w:p>
    <w:p>
      <w:pPr>
        <w:spacing w:line="400" w:lineRule="exact"/>
        <w:ind w:left="420" w:leftChars="200"/>
        <w:jc w:val="left"/>
        <w:rPr>
          <w:rFonts w:ascii="宋体" w:hAnsi="宋体"/>
          <w:szCs w:val="21"/>
        </w:rPr>
      </w:pPr>
      <w:r>
        <w:rPr>
          <w:rFonts w:hint="eastAsia" w:ascii="宋体" w:hAnsi="宋体"/>
          <w:szCs w:val="21"/>
        </w:rPr>
        <w:t>4.2质量保证期限：自本合同设备安装调试完毕，双方对设备性能检验确认设备合格具备生产能力之日起质保期12个月，质保期内免费维修及服务，并提供终身服务。如乙方未提交相关证照等附随资料，则质保期限自乙方提交全部相关证照等资料之日起计算。</w:t>
      </w:r>
    </w:p>
    <w:p>
      <w:pPr>
        <w:spacing w:line="400" w:lineRule="exact"/>
        <w:ind w:left="420" w:leftChars="200"/>
        <w:jc w:val="left"/>
        <w:rPr>
          <w:rFonts w:ascii="宋体" w:hAnsi="宋体"/>
          <w:szCs w:val="21"/>
        </w:rPr>
      </w:pPr>
      <w:r>
        <w:rPr>
          <w:rFonts w:hint="eastAsia" w:ascii="宋体" w:hAnsi="宋体"/>
          <w:szCs w:val="21"/>
        </w:rPr>
        <w:t>4.3在质量保证期内，如发现乙方提供的设备有缺陷或不符合合同规定时，则甲方有权向乙方提出更换、维修、违约和索赔。乙方有权就甲方提出的质量问题提出异议，但应在3日内派人到设备所在地查明产品缺陷原因，如确属产品自身问题的，乙方应按照甲方的要求立即采取补偿措施，并负担由此产生的全部费用和风险；如乙方派员查明原因后仍有异议，甲乙双方应对设备进行商检，商检确属乙方责任的，乙方应承担本条约定的质量缺陷责任，交货期不予顺延。</w:t>
      </w:r>
    </w:p>
    <w:p>
      <w:pPr>
        <w:spacing w:line="400" w:lineRule="exact"/>
        <w:ind w:left="420" w:leftChars="200"/>
        <w:jc w:val="left"/>
        <w:rPr>
          <w:rFonts w:ascii="宋体" w:hAnsi="宋体"/>
          <w:szCs w:val="21"/>
        </w:rPr>
      </w:pPr>
      <w:r>
        <w:rPr>
          <w:rFonts w:hint="eastAsia" w:ascii="宋体" w:hAnsi="宋体"/>
          <w:szCs w:val="21"/>
        </w:rPr>
        <w:t>4.4如乙方未在甲方提出质量问题后3日内提出异议或未采取补救措施的，即认为乙方认可该质量问题，应立即对甲方无偿换货或降低货价或直接无偿退货，并负担由此产生的全部费用和风险，交货期不予顺延。乙方进行换货应不迟于收到甲方索赔文件之日起7日内完成。</w:t>
      </w:r>
    </w:p>
    <w:p>
      <w:pPr>
        <w:spacing w:line="400" w:lineRule="exact"/>
        <w:ind w:left="420" w:leftChars="200"/>
        <w:jc w:val="left"/>
        <w:rPr>
          <w:rFonts w:ascii="宋体" w:hAnsi="宋体"/>
          <w:szCs w:val="21"/>
        </w:rPr>
      </w:pPr>
      <w:r>
        <w:rPr>
          <w:rFonts w:hint="eastAsia" w:ascii="宋体" w:hAnsi="宋体"/>
          <w:szCs w:val="21"/>
        </w:rPr>
        <w:t>4.5质量保证金：质量保证金见第一部分第四条（4），期满无质量问题后质量保证金无息返还乙方。</w:t>
      </w:r>
    </w:p>
    <w:p>
      <w:pPr>
        <w:spacing w:line="400" w:lineRule="exact"/>
        <w:ind w:left="420" w:leftChars="200"/>
        <w:jc w:val="left"/>
        <w:rPr>
          <w:rFonts w:ascii="宋体" w:hAnsi="宋体"/>
          <w:szCs w:val="21"/>
        </w:rPr>
      </w:pPr>
      <w:r>
        <w:rPr>
          <w:rFonts w:hint="eastAsia" w:ascii="宋体" w:hAnsi="宋体"/>
          <w:szCs w:val="21"/>
        </w:rPr>
        <w:t>4.6如因乙方所提供的设备由于质量问题或乙方的其他原因导致甲方或任何第三方人身或财产遭受损失的，乙方应负责赔偿。</w:t>
      </w:r>
    </w:p>
    <w:p>
      <w:pPr>
        <w:spacing w:line="400" w:lineRule="exact"/>
        <w:ind w:left="420" w:leftChars="200"/>
        <w:jc w:val="left"/>
        <w:rPr>
          <w:rFonts w:ascii="宋体" w:hAnsi="宋体"/>
          <w:szCs w:val="21"/>
        </w:rPr>
      </w:pPr>
      <w:r>
        <w:rPr>
          <w:rFonts w:hint="eastAsia" w:ascii="宋体" w:hAnsi="宋体"/>
          <w:szCs w:val="21"/>
        </w:rPr>
        <w:t>4.7由于乙方所供设备的主要技术参数的保证值低于技术规范的要求,应向甲方支付不超过本合同设备总价值的30%的违约金。</w:t>
      </w:r>
    </w:p>
    <w:p>
      <w:pPr>
        <w:spacing w:line="400" w:lineRule="exact"/>
        <w:ind w:left="420" w:leftChars="200"/>
        <w:jc w:val="left"/>
        <w:rPr>
          <w:rFonts w:ascii="宋体" w:hAnsi="宋体"/>
          <w:szCs w:val="21"/>
        </w:rPr>
      </w:pPr>
      <w:r>
        <w:rPr>
          <w:rFonts w:hint="eastAsia" w:ascii="宋体" w:hAnsi="宋体"/>
          <w:szCs w:val="21"/>
        </w:rPr>
        <w:t>4.8除甲方原因及不可抗力外，乙方未能按本合同交货期交货时，乙方承担因交货迟交所造成的一切经济损失，另外甲方有权按下列比例向乙方收取违约金:</w:t>
      </w:r>
    </w:p>
    <w:p>
      <w:pPr>
        <w:spacing w:line="400" w:lineRule="exact"/>
        <w:ind w:left="420" w:leftChars="200"/>
        <w:jc w:val="left"/>
        <w:rPr>
          <w:rFonts w:ascii="宋体" w:hAnsi="宋体"/>
          <w:szCs w:val="21"/>
        </w:rPr>
      </w:pPr>
      <w:r>
        <w:rPr>
          <w:rFonts w:hint="eastAsia" w:ascii="宋体" w:hAnsi="宋体"/>
          <w:szCs w:val="21"/>
        </w:rPr>
        <w:t>4.8.1.迟交l周,违约金金额为迟交货物金额的1%,不满1周按1周计算；</w:t>
      </w:r>
    </w:p>
    <w:p>
      <w:pPr>
        <w:spacing w:line="400" w:lineRule="exact"/>
        <w:ind w:left="420" w:leftChars="200"/>
        <w:jc w:val="left"/>
        <w:rPr>
          <w:rFonts w:ascii="宋体" w:hAnsi="宋体"/>
          <w:szCs w:val="21"/>
        </w:rPr>
      </w:pPr>
      <w:r>
        <w:rPr>
          <w:rFonts w:hint="eastAsia" w:ascii="宋体" w:hAnsi="宋体"/>
          <w:szCs w:val="21"/>
        </w:rPr>
        <w:t>4.8.2.迟交2-3周,每周违约金金额为迟交货物金额的2%；</w:t>
      </w:r>
    </w:p>
    <w:p>
      <w:pPr>
        <w:spacing w:line="400" w:lineRule="exact"/>
        <w:ind w:left="420" w:leftChars="200"/>
        <w:jc w:val="left"/>
        <w:rPr>
          <w:rFonts w:ascii="宋体" w:hAnsi="宋体"/>
          <w:szCs w:val="21"/>
        </w:rPr>
      </w:pPr>
      <w:r>
        <w:rPr>
          <w:rFonts w:hint="eastAsia" w:ascii="宋体" w:hAnsi="宋体"/>
          <w:szCs w:val="21"/>
        </w:rPr>
        <w:t>4.8.3.迟交4周,每周违约金金额为迟交货物金额的3%；</w:t>
      </w:r>
    </w:p>
    <w:p>
      <w:pPr>
        <w:spacing w:line="400" w:lineRule="exact"/>
        <w:ind w:left="420" w:leftChars="200"/>
        <w:jc w:val="left"/>
        <w:rPr>
          <w:rFonts w:ascii="宋体" w:hAnsi="宋体"/>
          <w:szCs w:val="21"/>
        </w:rPr>
      </w:pPr>
      <w:r>
        <w:rPr>
          <w:rFonts w:hint="eastAsia" w:ascii="宋体" w:hAnsi="宋体"/>
          <w:szCs w:val="21"/>
        </w:rPr>
        <w:t>4.8.4.合同设备迟交货物的违约金总金额不超过合同设备总价的20%。</w:t>
      </w:r>
    </w:p>
    <w:p>
      <w:pPr>
        <w:spacing w:line="400" w:lineRule="exact"/>
        <w:ind w:left="420" w:leftChars="200"/>
        <w:jc w:val="left"/>
        <w:rPr>
          <w:rFonts w:ascii="宋体" w:hAnsi="宋体"/>
          <w:szCs w:val="21"/>
        </w:rPr>
      </w:pPr>
      <w:r>
        <w:rPr>
          <w:rFonts w:hint="eastAsia" w:ascii="宋体" w:hAnsi="宋体"/>
          <w:szCs w:val="21"/>
        </w:rPr>
        <w:t>4.9乙方支付违约金,并不解除乙方履行合同的义务。</w:t>
      </w:r>
    </w:p>
    <w:p>
      <w:pPr>
        <w:snapToGrid w:val="0"/>
        <w:spacing w:line="500" w:lineRule="exact"/>
        <w:ind w:firstLine="420" w:firstLineChars="200"/>
        <w:jc w:val="left"/>
        <w:rPr>
          <w:rFonts w:ascii="宋体" w:hAnsi="宋体" w:cs="宋体"/>
          <w:w w:val="90"/>
          <w:sz w:val="28"/>
          <w:szCs w:val="28"/>
        </w:rPr>
      </w:pPr>
      <w:r>
        <w:rPr>
          <w:rFonts w:hint="eastAsia" w:ascii="宋体" w:hAnsi="宋体"/>
          <w:szCs w:val="21"/>
        </w:rPr>
        <w:t>4.10乙方免费提供设备正常使用一年的维修配件和备件。</w:t>
      </w:r>
    </w:p>
    <w:p>
      <w:pPr>
        <w:spacing w:line="400" w:lineRule="exact"/>
        <w:ind w:left="420" w:leftChars="200"/>
        <w:jc w:val="left"/>
        <w:rPr>
          <w:rFonts w:ascii="宋体" w:hAnsi="宋体"/>
          <w:b/>
          <w:szCs w:val="21"/>
        </w:rPr>
      </w:pPr>
      <w:r>
        <w:rPr>
          <w:rFonts w:hint="eastAsia" w:ascii="宋体" w:hAnsi="宋体"/>
          <w:b/>
          <w:szCs w:val="21"/>
        </w:rPr>
        <w:t>5. 资料提供</w:t>
      </w:r>
    </w:p>
    <w:p>
      <w:pPr>
        <w:spacing w:line="400" w:lineRule="exact"/>
        <w:ind w:left="420" w:leftChars="200"/>
        <w:jc w:val="left"/>
        <w:rPr>
          <w:rFonts w:ascii="宋体" w:hAnsi="宋体"/>
          <w:szCs w:val="21"/>
        </w:rPr>
      </w:pPr>
      <w:r>
        <w:rPr>
          <w:rFonts w:hint="eastAsia" w:ascii="宋体" w:hAnsi="宋体"/>
          <w:szCs w:val="21"/>
        </w:rPr>
        <w:t>5.1乙方须提供设备的技术规范、技术资料以及备品备件（包括易损件）详细清单（包括名称、件号、数量）。</w:t>
      </w:r>
    </w:p>
    <w:p>
      <w:pPr>
        <w:spacing w:line="400" w:lineRule="exact"/>
        <w:ind w:left="420" w:leftChars="200"/>
        <w:jc w:val="left"/>
        <w:rPr>
          <w:rFonts w:ascii="宋体" w:hAnsi="宋体"/>
          <w:szCs w:val="21"/>
        </w:rPr>
      </w:pPr>
      <w:r>
        <w:rPr>
          <w:rFonts w:hint="eastAsia" w:ascii="宋体" w:hAnsi="宋体"/>
          <w:szCs w:val="21"/>
        </w:rPr>
        <w:t>5.2乙方需免费提供纸质资料：设备说明书、操作手册、维修手册、零件目录、易损零件图册、电气系统原理图、底座图纸和线路布置图各2套。</w:t>
      </w:r>
      <w:bookmarkStart w:id="9" w:name="12f83e15d6f440f3b428011dc786e473"/>
      <w:bookmarkEnd w:id="9"/>
    </w:p>
    <w:p>
      <w:pPr>
        <w:spacing w:line="400" w:lineRule="exact"/>
        <w:ind w:left="420" w:leftChars="200"/>
        <w:jc w:val="left"/>
        <w:rPr>
          <w:rFonts w:ascii="宋体" w:hAnsi="宋体"/>
          <w:b/>
          <w:szCs w:val="21"/>
        </w:rPr>
      </w:pPr>
      <w:r>
        <w:rPr>
          <w:rFonts w:hint="eastAsia" w:ascii="宋体" w:hAnsi="宋体"/>
          <w:b/>
          <w:szCs w:val="21"/>
        </w:rPr>
        <w:t>6.合同价格</w:t>
      </w:r>
    </w:p>
    <w:p>
      <w:pPr>
        <w:spacing w:line="400" w:lineRule="exact"/>
        <w:ind w:left="420" w:leftChars="200"/>
        <w:jc w:val="left"/>
        <w:rPr>
          <w:rFonts w:ascii="宋体" w:hAnsi="宋体"/>
          <w:szCs w:val="21"/>
        </w:rPr>
      </w:pPr>
      <w:r>
        <w:rPr>
          <w:rFonts w:hint="eastAsia" w:ascii="宋体" w:hAnsi="宋体"/>
          <w:szCs w:val="21"/>
        </w:rPr>
        <w:t>6.1本合同内设备价格见第一部分中第一条。</w:t>
      </w:r>
    </w:p>
    <w:p>
      <w:pPr>
        <w:spacing w:line="400" w:lineRule="exact"/>
        <w:ind w:left="420" w:leftChars="200"/>
        <w:jc w:val="left"/>
        <w:rPr>
          <w:rFonts w:ascii="宋体" w:hAnsi="宋体"/>
          <w:szCs w:val="21"/>
        </w:rPr>
      </w:pPr>
      <w:r>
        <w:rPr>
          <w:rFonts w:hint="eastAsia" w:ascii="宋体" w:hAnsi="宋体"/>
          <w:szCs w:val="21"/>
        </w:rPr>
        <w:t>6.2本合同价格包括但不限于本合同设备及辅助设备设施的制造(含备品备件、专用工具及易损件等)、包装、安装调试、关税、商检、取证、技术资料、技术服务、设备的税费、运输费、主机外封装等乙方因履行本合同所需的全部费用。</w:t>
      </w:r>
    </w:p>
    <w:p>
      <w:pPr>
        <w:spacing w:line="400" w:lineRule="exact"/>
        <w:ind w:left="420" w:leftChars="200"/>
        <w:jc w:val="left"/>
        <w:rPr>
          <w:rFonts w:ascii="宋体" w:hAnsi="宋体"/>
          <w:szCs w:val="21"/>
        </w:rPr>
      </w:pPr>
      <w:r>
        <w:rPr>
          <w:rFonts w:hint="eastAsia" w:ascii="宋体" w:hAnsi="宋体"/>
          <w:szCs w:val="21"/>
        </w:rPr>
        <w:t>6.3本合同单价为固定单价。合同履行期间，若设备、材料、人工等价格和政府有关税费标准发生变化时，乙方自愿承担相应的风险，并不得请求调整合同单价或主张索赔，也不减少或免除乙方应承担本合同的义务和责任。</w:t>
      </w:r>
    </w:p>
    <w:p>
      <w:pPr>
        <w:spacing w:line="400" w:lineRule="exact"/>
        <w:ind w:left="420" w:leftChars="200"/>
        <w:jc w:val="left"/>
        <w:rPr>
          <w:rFonts w:ascii="宋体" w:hAnsi="宋体"/>
          <w:b/>
          <w:szCs w:val="21"/>
        </w:rPr>
      </w:pPr>
      <w:r>
        <w:rPr>
          <w:rFonts w:hint="eastAsia" w:ascii="宋体" w:hAnsi="宋体"/>
          <w:b/>
          <w:szCs w:val="21"/>
        </w:rPr>
        <w:t>7.结算及货款支付</w:t>
      </w:r>
    </w:p>
    <w:p>
      <w:pPr>
        <w:spacing w:line="400" w:lineRule="exact"/>
        <w:ind w:left="420" w:leftChars="200"/>
        <w:jc w:val="left"/>
        <w:rPr>
          <w:rFonts w:ascii="宋体" w:hAnsi="宋体"/>
          <w:szCs w:val="21"/>
        </w:rPr>
      </w:pPr>
      <w:r>
        <w:rPr>
          <w:rFonts w:hint="eastAsia" w:ascii="宋体" w:hAnsi="宋体"/>
          <w:szCs w:val="21"/>
        </w:rPr>
        <w:t>7.1本合同使用货币种类为人民币。</w:t>
      </w:r>
    </w:p>
    <w:p>
      <w:pPr>
        <w:spacing w:line="400" w:lineRule="exact"/>
        <w:ind w:left="420" w:leftChars="200"/>
        <w:jc w:val="left"/>
        <w:rPr>
          <w:rFonts w:ascii="宋体" w:hAnsi="宋体"/>
          <w:szCs w:val="21"/>
        </w:rPr>
      </w:pPr>
      <w:r>
        <w:rPr>
          <w:rFonts w:hint="eastAsia" w:ascii="宋体" w:hAnsi="宋体"/>
          <w:szCs w:val="21"/>
        </w:rPr>
        <w:t>7.2付款方式：银行支票、承兑或网上银行支付。</w:t>
      </w:r>
    </w:p>
    <w:p>
      <w:pPr>
        <w:spacing w:line="400" w:lineRule="exact"/>
        <w:ind w:left="420" w:leftChars="200"/>
        <w:jc w:val="left"/>
        <w:rPr>
          <w:rFonts w:ascii="宋体" w:hAnsi="宋体"/>
          <w:szCs w:val="21"/>
        </w:rPr>
      </w:pPr>
      <w:r>
        <w:rPr>
          <w:rFonts w:hint="eastAsia" w:ascii="宋体" w:hAnsi="宋体"/>
          <w:szCs w:val="21"/>
        </w:rPr>
        <w:t>7.3结算依据：双方设备交货记录、性能验收单、机械设备（新购）验收单。</w:t>
      </w:r>
    </w:p>
    <w:p>
      <w:pPr>
        <w:spacing w:line="400" w:lineRule="exact"/>
        <w:ind w:left="420" w:leftChars="200"/>
        <w:jc w:val="left"/>
        <w:rPr>
          <w:rFonts w:ascii="宋体" w:hAnsi="宋体"/>
          <w:szCs w:val="21"/>
        </w:rPr>
      </w:pPr>
      <w:r>
        <w:rPr>
          <w:rFonts w:hint="eastAsia" w:ascii="宋体" w:hAnsi="宋体"/>
          <w:szCs w:val="21"/>
        </w:rPr>
        <w:t>7.4货款支付：见第一部分第四条。</w:t>
      </w:r>
    </w:p>
    <w:p>
      <w:pPr>
        <w:spacing w:line="400" w:lineRule="exact"/>
        <w:ind w:left="420" w:leftChars="200"/>
        <w:jc w:val="left"/>
        <w:rPr>
          <w:rFonts w:ascii="宋体" w:hAnsi="宋体"/>
          <w:szCs w:val="21"/>
        </w:rPr>
      </w:pPr>
      <w:r>
        <w:rPr>
          <w:rFonts w:hint="eastAsia" w:ascii="宋体" w:hAnsi="宋体"/>
          <w:szCs w:val="21"/>
        </w:rPr>
        <w:t>7.5乙方提供甲方财务认可的增值税发票。</w:t>
      </w:r>
    </w:p>
    <w:p>
      <w:pPr>
        <w:spacing w:line="400" w:lineRule="exact"/>
        <w:ind w:left="420" w:leftChars="200"/>
        <w:jc w:val="left"/>
        <w:rPr>
          <w:rFonts w:ascii="宋体" w:hAnsi="宋体"/>
          <w:b/>
          <w:szCs w:val="21"/>
        </w:rPr>
      </w:pPr>
      <w:r>
        <w:rPr>
          <w:rFonts w:hint="eastAsia" w:ascii="宋体" w:hAnsi="宋体"/>
          <w:b/>
          <w:szCs w:val="21"/>
        </w:rPr>
        <w:t>8.运输及保险</w:t>
      </w:r>
    </w:p>
    <w:p>
      <w:pPr>
        <w:spacing w:line="400" w:lineRule="exact"/>
        <w:ind w:left="420" w:leftChars="200"/>
        <w:jc w:val="left"/>
        <w:rPr>
          <w:rFonts w:ascii="宋体" w:hAnsi="宋体"/>
          <w:szCs w:val="21"/>
        </w:rPr>
      </w:pPr>
      <w:r>
        <w:rPr>
          <w:rFonts w:hint="eastAsia" w:ascii="宋体" w:hAnsi="宋体"/>
          <w:szCs w:val="21"/>
        </w:rPr>
        <w:t>乙方负责设备运输并承担运输及保险费用。</w:t>
      </w:r>
    </w:p>
    <w:p>
      <w:pPr>
        <w:spacing w:line="400" w:lineRule="exact"/>
        <w:ind w:left="420" w:leftChars="200"/>
        <w:jc w:val="left"/>
        <w:rPr>
          <w:rFonts w:ascii="宋体" w:hAnsi="宋体"/>
          <w:b/>
          <w:szCs w:val="21"/>
        </w:rPr>
      </w:pPr>
      <w:r>
        <w:rPr>
          <w:rFonts w:hint="eastAsia" w:ascii="宋体" w:hAnsi="宋体"/>
          <w:b/>
          <w:szCs w:val="21"/>
        </w:rPr>
        <w:t>9.包装与标记</w:t>
      </w:r>
    </w:p>
    <w:p>
      <w:pPr>
        <w:spacing w:line="400" w:lineRule="exact"/>
        <w:ind w:left="420" w:leftChars="200"/>
        <w:jc w:val="left"/>
        <w:rPr>
          <w:rFonts w:ascii="宋体" w:hAnsi="宋体"/>
          <w:szCs w:val="21"/>
        </w:rPr>
      </w:pPr>
      <w:r>
        <w:rPr>
          <w:rFonts w:hint="eastAsia" w:ascii="宋体" w:hAnsi="宋体"/>
          <w:szCs w:val="21"/>
        </w:rPr>
        <w:t>9.1乙方交付的所有货物要符合铁路、公路、航空包装储运指示标志的规定及国家主管机关的规定，具有适合长途运输、多次搬运和装卸的坚固包装且能保证二次运输。保证货物在没有任何损坏和腐蚀的情况下安全运输到施工现场。产品包装前,乙方负责对设备进行检查清理,不留异物,并保证零部件齐全。</w:t>
      </w:r>
    </w:p>
    <w:p>
      <w:pPr>
        <w:spacing w:line="400" w:lineRule="exact"/>
        <w:ind w:left="420" w:leftChars="200"/>
        <w:jc w:val="left"/>
        <w:rPr>
          <w:rFonts w:ascii="宋体" w:hAnsi="宋体"/>
          <w:szCs w:val="21"/>
        </w:rPr>
      </w:pPr>
      <w:r>
        <w:rPr>
          <w:rFonts w:hint="eastAsia" w:ascii="宋体" w:hAnsi="宋体"/>
          <w:szCs w:val="21"/>
        </w:rPr>
        <w:t>9.2乙方对包装箱内的各散装部件在装配图中的部件号、零件号应标记清楚。</w:t>
      </w:r>
    </w:p>
    <w:p>
      <w:pPr>
        <w:spacing w:line="400" w:lineRule="exact"/>
        <w:ind w:left="420" w:leftChars="200"/>
        <w:jc w:val="left"/>
        <w:rPr>
          <w:rFonts w:ascii="宋体" w:hAnsi="宋体"/>
          <w:szCs w:val="21"/>
        </w:rPr>
      </w:pPr>
      <w:r>
        <w:rPr>
          <w:rFonts w:hint="eastAsia" w:ascii="宋体" w:hAnsi="宋体"/>
          <w:szCs w:val="21"/>
        </w:rPr>
        <w:t>9.3每件包装箱内，应附有包括部件名称、数量、价格、机组号、图号的详细装箱单、合格证。外购件包装箱内应有产品出厂质量合格证明书、技术说明各一份。</w:t>
      </w:r>
    </w:p>
    <w:p>
      <w:pPr>
        <w:spacing w:line="400" w:lineRule="exact"/>
        <w:ind w:left="420" w:leftChars="200"/>
        <w:jc w:val="left"/>
        <w:rPr>
          <w:rFonts w:ascii="宋体" w:hAnsi="宋体"/>
          <w:szCs w:val="21"/>
        </w:rPr>
      </w:pPr>
      <w:r>
        <w:rPr>
          <w:rFonts w:hint="eastAsia" w:ascii="宋体" w:hAnsi="宋体"/>
          <w:szCs w:val="21"/>
        </w:rPr>
        <w:t>9.4乙方要提供必需的备品备件，备品备件应分别包装并注明上述内容，专用工具也应分别包装。</w:t>
      </w:r>
    </w:p>
    <w:p>
      <w:pPr>
        <w:spacing w:line="400" w:lineRule="exact"/>
        <w:ind w:left="420" w:leftChars="200"/>
        <w:jc w:val="left"/>
        <w:rPr>
          <w:rFonts w:ascii="宋体" w:hAnsi="宋体"/>
          <w:szCs w:val="21"/>
        </w:rPr>
      </w:pPr>
      <w:r>
        <w:rPr>
          <w:rFonts w:hint="eastAsia" w:ascii="宋体" w:hAnsi="宋体"/>
          <w:szCs w:val="21"/>
        </w:rPr>
        <w:t>9.5凡由于乙方包装或保管不善致使货物遭到损坏或丢失时，不论在何时何地发现，一经证实，乙方均应负责及时修理、更换或赔偿。在运输中如发生货物损坏和丢失时，乙方负责与承运部门及保险公司交涉，同时乙方应尽快向甲方补供货物以满足工期需要。货物甲方保管时如有丢失，甲方承担责任。</w:t>
      </w:r>
    </w:p>
    <w:p>
      <w:pPr>
        <w:spacing w:line="400" w:lineRule="exact"/>
        <w:ind w:left="420" w:leftChars="200"/>
        <w:jc w:val="left"/>
        <w:rPr>
          <w:rFonts w:ascii="宋体" w:hAnsi="宋体"/>
          <w:szCs w:val="21"/>
        </w:rPr>
      </w:pPr>
      <w:r>
        <w:rPr>
          <w:rFonts w:hint="eastAsia" w:ascii="宋体" w:hAnsi="宋体"/>
          <w:szCs w:val="21"/>
        </w:rPr>
        <w:t>9.6装箱清单1份应在交货前提前交给甲方。</w:t>
      </w:r>
    </w:p>
    <w:p>
      <w:pPr>
        <w:spacing w:line="400" w:lineRule="exact"/>
        <w:ind w:left="420" w:leftChars="200"/>
        <w:jc w:val="left"/>
        <w:rPr>
          <w:rFonts w:ascii="宋体" w:hAnsi="宋体"/>
          <w:b/>
          <w:szCs w:val="21"/>
        </w:rPr>
      </w:pPr>
      <w:r>
        <w:rPr>
          <w:rFonts w:hint="eastAsia" w:ascii="宋体" w:hAnsi="宋体"/>
          <w:b/>
          <w:szCs w:val="21"/>
        </w:rPr>
        <w:t>10.技术服务和培训</w:t>
      </w:r>
    </w:p>
    <w:p>
      <w:pPr>
        <w:spacing w:line="400" w:lineRule="exact"/>
        <w:ind w:left="420" w:leftChars="200"/>
        <w:jc w:val="left"/>
        <w:rPr>
          <w:rFonts w:ascii="宋体" w:hAnsi="宋体"/>
          <w:szCs w:val="21"/>
        </w:rPr>
      </w:pPr>
      <w:r>
        <w:rPr>
          <w:rFonts w:hint="eastAsia" w:ascii="宋体" w:hAnsi="宋体"/>
          <w:szCs w:val="21"/>
        </w:rPr>
        <w:t>10.1乙方应及时提供与本合同设备有关的设备生产、检验、安装、调试、验收、性能验收试验、运行、检修等相应的技术指导、技术交底、技术培训等全过程的服务。</w:t>
      </w:r>
    </w:p>
    <w:p>
      <w:pPr>
        <w:spacing w:line="400" w:lineRule="exact"/>
        <w:ind w:left="420" w:leftChars="200"/>
        <w:jc w:val="left"/>
        <w:rPr>
          <w:rFonts w:ascii="宋体" w:hAnsi="宋体"/>
          <w:szCs w:val="21"/>
        </w:rPr>
      </w:pPr>
      <w:r>
        <w:rPr>
          <w:rFonts w:hint="eastAsia" w:ascii="宋体" w:hAnsi="宋体"/>
          <w:szCs w:val="21"/>
        </w:rPr>
        <w:t>10.2乙方需派代表到现场进行技术服务，指导甲方按乙方的技术资料进行安装、调试和试运行，并负责解决合同设备在安装调试、试运行中发现的制造质量及性能等有关问题。</w:t>
      </w:r>
    </w:p>
    <w:p>
      <w:pPr>
        <w:spacing w:line="400" w:lineRule="exact"/>
        <w:ind w:left="420" w:leftChars="200"/>
        <w:jc w:val="left"/>
        <w:rPr>
          <w:rFonts w:ascii="宋体" w:hAnsi="宋体"/>
          <w:szCs w:val="21"/>
        </w:rPr>
      </w:pPr>
      <w:r>
        <w:rPr>
          <w:rFonts w:hint="eastAsia" w:ascii="宋体" w:hAnsi="宋体"/>
          <w:szCs w:val="21"/>
        </w:rPr>
        <w:t>10.3乙方有义务在必要时邀请甲方参与乙方的技术设计，并向甲方解释技术设计。</w:t>
      </w:r>
    </w:p>
    <w:p>
      <w:pPr>
        <w:spacing w:line="400" w:lineRule="exact"/>
        <w:ind w:left="420" w:leftChars="200"/>
        <w:jc w:val="left"/>
        <w:rPr>
          <w:rFonts w:ascii="宋体" w:hAnsi="宋体"/>
          <w:szCs w:val="21"/>
        </w:rPr>
      </w:pPr>
      <w:r>
        <w:rPr>
          <w:rFonts w:hint="eastAsia" w:ascii="宋体" w:hAnsi="宋体"/>
          <w:szCs w:val="21"/>
        </w:rPr>
        <w:t>10.4如遇有重大问题需要双方研究协商时，任何一方均可建议召开会议，另一方必须参加。</w:t>
      </w:r>
    </w:p>
    <w:p>
      <w:pPr>
        <w:spacing w:line="400" w:lineRule="exact"/>
        <w:ind w:left="420" w:leftChars="200"/>
        <w:jc w:val="left"/>
        <w:rPr>
          <w:rFonts w:ascii="宋体" w:hAnsi="宋体"/>
          <w:szCs w:val="21"/>
        </w:rPr>
      </w:pPr>
      <w:r>
        <w:rPr>
          <w:rFonts w:hint="eastAsia" w:ascii="宋体" w:hAnsi="宋体"/>
          <w:szCs w:val="21"/>
        </w:rPr>
        <w:t>10.5甲乙双方有权将对方所提供的一切与本合同设备有关的资料分发给与本合同设备需求项目有关的各方，并不由此而构成任何侵权，但不得向任何与本工程无关的第三方提供。</w:t>
      </w:r>
    </w:p>
    <w:p>
      <w:pPr>
        <w:spacing w:line="400" w:lineRule="exact"/>
        <w:ind w:left="420" w:leftChars="200"/>
        <w:jc w:val="left"/>
        <w:rPr>
          <w:rFonts w:ascii="宋体" w:hAnsi="宋体"/>
          <w:szCs w:val="21"/>
        </w:rPr>
      </w:pPr>
      <w:r>
        <w:rPr>
          <w:rFonts w:hint="eastAsia" w:ascii="宋体" w:hAnsi="宋体"/>
          <w:szCs w:val="21"/>
        </w:rPr>
        <w:t>10.6乙方派到现场服务的技术人员应是具有实践经验、可胜任此项工作的人员。甲方有权提出更换不符合要求的乙方现场服务人员，乙方应根据现场需要，重新选派甲方认可的服务人员。</w:t>
      </w:r>
    </w:p>
    <w:p>
      <w:pPr>
        <w:spacing w:line="400" w:lineRule="exact"/>
        <w:ind w:left="420" w:leftChars="200"/>
        <w:jc w:val="left"/>
        <w:rPr>
          <w:rFonts w:ascii="宋体" w:hAnsi="宋体"/>
          <w:szCs w:val="21"/>
        </w:rPr>
      </w:pPr>
      <w:r>
        <w:rPr>
          <w:rFonts w:hint="eastAsia" w:ascii="宋体" w:hAnsi="宋体"/>
          <w:szCs w:val="21"/>
        </w:rPr>
        <w:t>10.7乙方须对一切与本合同有关的供货、设备及技术接口、技术服务等问题负全部责任。</w:t>
      </w:r>
    </w:p>
    <w:p>
      <w:pPr>
        <w:spacing w:line="400" w:lineRule="exact"/>
        <w:ind w:left="420" w:leftChars="200"/>
        <w:jc w:val="left"/>
        <w:rPr>
          <w:rFonts w:ascii="宋体" w:hAnsi="宋体"/>
          <w:szCs w:val="21"/>
        </w:rPr>
      </w:pPr>
      <w:r>
        <w:rPr>
          <w:rFonts w:hint="eastAsia" w:ascii="宋体" w:hAnsi="宋体"/>
          <w:szCs w:val="21"/>
        </w:rPr>
        <w:t>10.8凡与本合同设备相连接的其它设备装置，乙方有提供接口和技术配合的义务，并不由此而发生合同价格以外的任何费用。</w:t>
      </w:r>
    </w:p>
    <w:p>
      <w:pPr>
        <w:spacing w:line="400" w:lineRule="exact"/>
        <w:ind w:left="420" w:leftChars="200"/>
        <w:jc w:val="left"/>
        <w:rPr>
          <w:rFonts w:ascii="宋体" w:hAnsi="宋体"/>
          <w:szCs w:val="21"/>
        </w:rPr>
      </w:pPr>
      <w:r>
        <w:rPr>
          <w:rFonts w:hint="eastAsia" w:ascii="宋体" w:hAnsi="宋体"/>
          <w:szCs w:val="21"/>
        </w:rPr>
        <w:t>10.9由于乙方技术服务人员对安装、调试、试运的工作的疏忽或错误以及乙方未按要求派人对甲方指定的检验、验收及操作作业人员进行指导而造成的损失应由乙方负责。</w:t>
      </w:r>
    </w:p>
    <w:p>
      <w:pPr>
        <w:spacing w:line="400" w:lineRule="exact"/>
        <w:ind w:left="420" w:leftChars="200"/>
        <w:jc w:val="left"/>
        <w:rPr>
          <w:rFonts w:ascii="宋体" w:hAnsi="宋体"/>
          <w:szCs w:val="21"/>
        </w:rPr>
      </w:pPr>
      <w:r>
        <w:rPr>
          <w:rFonts w:hint="eastAsia" w:ascii="宋体" w:hAnsi="宋体"/>
          <w:szCs w:val="21"/>
        </w:rPr>
        <w:t>10.10乙方对其设计方案和设备选型的准确性及设备应当达到的技术性能指标负责。乙方承担因工程设计方案和设备选型不当造成的损失和责任。</w:t>
      </w:r>
    </w:p>
    <w:p>
      <w:pPr>
        <w:spacing w:line="400" w:lineRule="exact"/>
        <w:ind w:left="420" w:leftChars="200"/>
        <w:jc w:val="left"/>
        <w:rPr>
          <w:rFonts w:ascii="宋体" w:hAnsi="宋体"/>
          <w:b/>
          <w:szCs w:val="21"/>
        </w:rPr>
      </w:pPr>
      <w:r>
        <w:rPr>
          <w:rFonts w:hint="eastAsia" w:ascii="宋体" w:hAnsi="宋体"/>
          <w:b/>
          <w:szCs w:val="21"/>
        </w:rPr>
        <w:t>11.监造</w:t>
      </w:r>
    </w:p>
    <w:p>
      <w:pPr>
        <w:spacing w:line="400" w:lineRule="exact"/>
        <w:ind w:left="420" w:leftChars="200"/>
        <w:jc w:val="left"/>
        <w:rPr>
          <w:rFonts w:ascii="宋体" w:hAnsi="宋体"/>
          <w:szCs w:val="21"/>
        </w:rPr>
      </w:pPr>
      <w:r>
        <w:rPr>
          <w:rFonts w:hint="eastAsia" w:ascii="宋体" w:hAnsi="宋体"/>
          <w:szCs w:val="21"/>
        </w:rPr>
        <w:t>11.1甲方认为必要时可进行设备监造。乙方有配合监造的义务，在监造中及时提供相应资料和标准，并不由此而发生任何费用。</w:t>
      </w:r>
    </w:p>
    <w:p>
      <w:pPr>
        <w:spacing w:line="400" w:lineRule="exact"/>
        <w:ind w:left="420" w:leftChars="200"/>
        <w:jc w:val="left"/>
        <w:rPr>
          <w:rFonts w:ascii="宋体" w:hAnsi="宋体"/>
          <w:szCs w:val="21"/>
        </w:rPr>
      </w:pPr>
      <w:r>
        <w:rPr>
          <w:rFonts w:hint="eastAsia" w:ascii="宋体" w:hAnsi="宋体"/>
          <w:szCs w:val="21"/>
        </w:rPr>
        <w:t>11.2乙方须为甲方驻厂代表和监造代表提供下列内容：</w:t>
      </w:r>
    </w:p>
    <w:p>
      <w:pPr>
        <w:spacing w:line="400" w:lineRule="exact"/>
        <w:ind w:left="420" w:leftChars="200"/>
        <w:jc w:val="left"/>
        <w:rPr>
          <w:rFonts w:ascii="宋体" w:hAnsi="宋体"/>
          <w:szCs w:val="21"/>
        </w:rPr>
      </w:pPr>
      <w:r>
        <w:rPr>
          <w:rFonts w:hint="eastAsia" w:ascii="宋体" w:hAnsi="宋体"/>
          <w:szCs w:val="21"/>
        </w:rPr>
        <w:t>11.2.1与本合同设备监造有关的标准〈包括工厂标准〉、图纸、资料、工艺及实际工艺过程和检验记录(包括中间检验记录或不一致性报告)及有关文件以及复印件。</w:t>
      </w:r>
    </w:p>
    <w:p>
      <w:pPr>
        <w:spacing w:line="400" w:lineRule="exact"/>
        <w:ind w:left="420" w:leftChars="200"/>
        <w:jc w:val="left"/>
        <w:rPr>
          <w:rFonts w:ascii="宋体" w:hAnsi="宋体"/>
          <w:szCs w:val="21"/>
        </w:rPr>
      </w:pPr>
      <w:r>
        <w:rPr>
          <w:rFonts w:hint="eastAsia" w:ascii="宋体" w:hAnsi="宋体"/>
          <w:szCs w:val="21"/>
        </w:rPr>
        <w:t>11.2.2向监造代表提供工作、生活便利。</w:t>
      </w:r>
    </w:p>
    <w:p>
      <w:pPr>
        <w:spacing w:line="400" w:lineRule="exact"/>
        <w:ind w:left="420" w:leftChars="200"/>
        <w:jc w:val="left"/>
        <w:rPr>
          <w:rFonts w:ascii="宋体" w:hAnsi="宋体"/>
          <w:szCs w:val="21"/>
        </w:rPr>
      </w:pPr>
      <w:r>
        <w:rPr>
          <w:rFonts w:hint="eastAsia" w:ascii="宋体" w:hAnsi="宋体"/>
          <w:szCs w:val="21"/>
        </w:rPr>
        <w:t>11.2.3监造代表在监造中如发现设备和材料存在质量问题或不符合本规定的标准或包装要求时，有权提出意见并暂不予以签字，乙方须采取相应改进措施,以保证交货质量。无论监造代表是否要求和是否知道，乙方均有义务主动及时地向其提供合同设备制造过程中出现的较大的质量缺陷和问题，不得隐瞒,擅自处理。</w:t>
      </w:r>
    </w:p>
    <w:p>
      <w:pPr>
        <w:spacing w:line="400" w:lineRule="exact"/>
        <w:ind w:left="420" w:leftChars="200"/>
        <w:jc w:val="left"/>
        <w:rPr>
          <w:rFonts w:ascii="宋体" w:hAnsi="宋体"/>
          <w:b/>
          <w:szCs w:val="21"/>
        </w:rPr>
      </w:pPr>
      <w:r>
        <w:rPr>
          <w:rFonts w:hint="eastAsia" w:ascii="宋体" w:hAnsi="宋体"/>
          <w:b/>
          <w:szCs w:val="21"/>
        </w:rPr>
        <w:t>12.安装调试及检验验收</w:t>
      </w:r>
    </w:p>
    <w:p>
      <w:pPr>
        <w:spacing w:line="400" w:lineRule="exact"/>
        <w:ind w:left="420" w:leftChars="200"/>
        <w:jc w:val="left"/>
        <w:rPr>
          <w:rFonts w:ascii="宋体" w:hAnsi="宋体"/>
          <w:szCs w:val="21"/>
        </w:rPr>
      </w:pPr>
      <w:r>
        <w:rPr>
          <w:rFonts w:hint="eastAsia" w:ascii="宋体" w:hAnsi="宋体"/>
          <w:szCs w:val="21"/>
        </w:rPr>
        <w:t>12.1合同设备在甲方的配合下，由乙方根据相关的技术资料、检验标准、图纸及说明书进行安</w:t>
      </w:r>
      <w:r>
        <w:rPr>
          <w:rFonts w:hint="eastAsia" w:ascii="宋体" w:hAnsi="宋体"/>
          <w:szCs w:val="21"/>
          <w:highlight w:val="none"/>
        </w:rPr>
        <w:t>装、调试、试运行和现</w:t>
      </w:r>
      <w:r>
        <w:rPr>
          <w:rFonts w:hint="eastAsia" w:ascii="宋体" w:hAnsi="宋体"/>
          <w:szCs w:val="21"/>
        </w:rPr>
        <w:t>场检修。甲方负责为设备卸车、安装提供的吊装、焊接等设备和必要的人力支持。整个安装、调试过程须在有甲方指定人员在场的情况下由乙方现场技术服务人员完成。</w:t>
      </w:r>
    </w:p>
    <w:p>
      <w:pPr>
        <w:spacing w:line="400" w:lineRule="exact"/>
        <w:ind w:left="420" w:leftChars="200"/>
        <w:jc w:val="left"/>
        <w:rPr>
          <w:rFonts w:ascii="宋体" w:hAnsi="宋体"/>
          <w:szCs w:val="21"/>
        </w:rPr>
      </w:pPr>
      <w:r>
        <w:rPr>
          <w:rFonts w:hint="eastAsia" w:ascii="宋体" w:hAnsi="宋体"/>
          <w:szCs w:val="21"/>
        </w:rPr>
        <w:t>12.2合同设备安装完毕后，应有甲方指定人员参与，由乙方人员进行调试工作，并对甲方人员进行指导，并应由乙方尽快解决调试中出现的设备问题。</w:t>
      </w:r>
    </w:p>
    <w:p>
      <w:pPr>
        <w:spacing w:line="400" w:lineRule="exact"/>
        <w:ind w:left="420" w:leftChars="200"/>
        <w:jc w:val="left"/>
        <w:rPr>
          <w:rFonts w:ascii="宋体" w:hAnsi="宋体"/>
          <w:szCs w:val="21"/>
        </w:rPr>
      </w:pPr>
      <w:r>
        <w:rPr>
          <w:rFonts w:hint="eastAsia" w:ascii="宋体" w:hAnsi="宋体"/>
          <w:szCs w:val="21"/>
        </w:rPr>
        <w:t>12.3工厂检验与现场开箱检验</w:t>
      </w:r>
    </w:p>
    <w:p>
      <w:pPr>
        <w:spacing w:line="400" w:lineRule="exact"/>
        <w:ind w:left="420" w:leftChars="200"/>
        <w:jc w:val="left"/>
        <w:rPr>
          <w:rFonts w:ascii="宋体" w:hAnsi="宋体"/>
          <w:szCs w:val="21"/>
        </w:rPr>
      </w:pPr>
      <w:r>
        <w:rPr>
          <w:rFonts w:hint="eastAsia" w:ascii="宋体" w:hAnsi="宋体"/>
          <w:szCs w:val="21"/>
        </w:rPr>
        <w:t>12.3.1由乙方供应的所有合同设备部件（包括分包与外购），在生产过程中都须进行严格的检验和试验，合格者才能出厂发运。乙方还应在随机文件中提供合格证和质量证明文件。</w:t>
      </w:r>
    </w:p>
    <w:p>
      <w:pPr>
        <w:spacing w:line="400" w:lineRule="exact"/>
        <w:ind w:left="420" w:leftChars="200"/>
        <w:jc w:val="left"/>
        <w:rPr>
          <w:rFonts w:ascii="宋体" w:hAnsi="宋体"/>
          <w:szCs w:val="21"/>
        </w:rPr>
      </w:pPr>
      <w:r>
        <w:rPr>
          <w:rFonts w:hint="eastAsia" w:ascii="宋体" w:hAnsi="宋体"/>
          <w:szCs w:val="21"/>
        </w:rPr>
        <w:t>12.3.2设备到达目的地后进行初步验收：甲乙方双方共同根据运单和装箱单对对设备的包装、外观及数量进行清点检验。如发现有任何不符之处经双方代表确认属乙方责任后，由乙方解决处理。</w:t>
      </w:r>
    </w:p>
    <w:p>
      <w:pPr>
        <w:spacing w:line="400" w:lineRule="exact"/>
        <w:ind w:left="420" w:leftChars="200"/>
        <w:jc w:val="left"/>
        <w:rPr>
          <w:rFonts w:ascii="宋体" w:hAnsi="宋体"/>
          <w:szCs w:val="21"/>
        </w:rPr>
      </w:pPr>
      <w:r>
        <w:rPr>
          <w:rFonts w:hint="eastAsia" w:ascii="宋体" w:hAnsi="宋体"/>
          <w:szCs w:val="21"/>
        </w:rPr>
        <w:t>12.3.3现场检验时，如发现设备由于乙方原因(包括运输)有任何损坏、缺陷、短少或不符合合同中规定的质量标准和规范时，应做好记录，并由双方代表签字，各执一份，作为甲方向乙方提出修理或更换、索赔的依据；如果乙方委托甲方修理损坏的设备，所有修理设备的费用由乙方承担；如果由于甲方原因，发现损坏或短缺，乙方在接到甲方通知后，应无条件提供或替换相应的部件，但费用由甲方自负。</w:t>
      </w:r>
    </w:p>
    <w:p>
      <w:pPr>
        <w:spacing w:line="400" w:lineRule="exact"/>
        <w:ind w:left="420" w:leftChars="200"/>
        <w:jc w:val="left"/>
        <w:rPr>
          <w:rFonts w:ascii="宋体" w:hAnsi="宋体"/>
          <w:szCs w:val="21"/>
        </w:rPr>
      </w:pPr>
      <w:r>
        <w:rPr>
          <w:rFonts w:hint="eastAsia" w:ascii="宋体" w:hAnsi="宋体"/>
          <w:szCs w:val="21"/>
        </w:rPr>
        <w:t>12.4安装检验：乙方按照本合同约定完成设备的安装调试后，甲方应对安装调试结果进行检验，并确定是否能够正常运转。如在安装调试过程中出现任何问题或故障的，乙方应负责维修、更换，如在安装调试后7日内仍无法正常使用，甲方有权要求退货，乙方应承担违约责任。</w:t>
      </w:r>
    </w:p>
    <w:p>
      <w:pPr>
        <w:spacing w:line="400" w:lineRule="exact"/>
        <w:ind w:left="420" w:leftChars="200"/>
        <w:jc w:val="left"/>
        <w:rPr>
          <w:rFonts w:ascii="宋体" w:hAnsi="宋体"/>
          <w:szCs w:val="21"/>
        </w:rPr>
      </w:pPr>
      <w:r>
        <w:rPr>
          <w:rFonts w:hint="eastAsia" w:ascii="宋体" w:hAnsi="宋体"/>
          <w:szCs w:val="21"/>
        </w:rPr>
        <w:t>12.4.1乙方如对上述甲方提出修理、更换、索赔的要求有异议，应在接到甲方书面通知后2天内提出，否则上述要求即告成立。如有异议，乙方在接到通知后5天内，自费派代表赴现场同甲方代表共同复验。</w:t>
      </w:r>
    </w:p>
    <w:p>
      <w:pPr>
        <w:spacing w:line="400" w:lineRule="exact"/>
        <w:ind w:left="420" w:leftChars="200"/>
        <w:jc w:val="left"/>
        <w:rPr>
          <w:rFonts w:ascii="宋体" w:hAnsi="宋体"/>
          <w:szCs w:val="21"/>
        </w:rPr>
      </w:pPr>
      <w:r>
        <w:rPr>
          <w:rFonts w:hint="eastAsia" w:ascii="宋体" w:hAnsi="宋体"/>
          <w:szCs w:val="21"/>
        </w:rPr>
        <w:t>12.4.2如双方代表在会同检验中对检验记录不能取得一致意见时，可由双方委托权威的第三方检验机构并甲乙双方派员一起联合进行检验。检验结果对双方都有约束力，检验费用由责任方负担。</w:t>
      </w:r>
    </w:p>
    <w:p>
      <w:pPr>
        <w:spacing w:line="400" w:lineRule="exact"/>
        <w:ind w:left="420" w:leftChars="200"/>
        <w:jc w:val="left"/>
        <w:rPr>
          <w:rFonts w:ascii="宋体" w:hAnsi="宋体"/>
          <w:szCs w:val="21"/>
        </w:rPr>
      </w:pPr>
      <w:r>
        <w:rPr>
          <w:rFonts w:hint="eastAsia" w:ascii="宋体" w:hAnsi="宋体"/>
          <w:szCs w:val="21"/>
        </w:rPr>
        <w:t>12.4.3甲方对到货检验的货物提出索赔的时间，不迟于货物抵达现场之日起的6个月。</w:t>
      </w:r>
    </w:p>
    <w:p>
      <w:pPr>
        <w:spacing w:line="400" w:lineRule="exact"/>
        <w:ind w:left="420" w:leftChars="200"/>
        <w:jc w:val="left"/>
        <w:rPr>
          <w:rFonts w:ascii="宋体" w:hAnsi="宋体"/>
          <w:szCs w:val="21"/>
        </w:rPr>
      </w:pPr>
      <w:r>
        <w:rPr>
          <w:rFonts w:hint="eastAsia" w:ascii="宋体" w:hAnsi="宋体"/>
          <w:szCs w:val="21"/>
        </w:rPr>
        <w:t>12.4.4上述各项检验仅是现场的到货检验,尽管没有发现问题,或乙方已按索赔要求予以更换、修理,均不能被视为乙方按合同规定应承担的质量保证责任的解除。</w:t>
      </w:r>
    </w:p>
    <w:p>
      <w:pPr>
        <w:spacing w:line="400" w:lineRule="exact"/>
        <w:ind w:left="420" w:leftChars="200"/>
        <w:jc w:val="left"/>
        <w:rPr>
          <w:rFonts w:ascii="宋体" w:hAnsi="宋体"/>
          <w:szCs w:val="21"/>
        </w:rPr>
      </w:pPr>
      <w:r>
        <w:rPr>
          <w:rFonts w:hint="eastAsia" w:ascii="宋体" w:hAnsi="宋体"/>
          <w:szCs w:val="21"/>
        </w:rPr>
        <w:t>12.4.5甲方按照本合同约定进行的上述初步验收、开箱验收和安装检验均不作为甲方对本合同项下机械设备质量合格的最终确认，亦不减轻或免除乙方应承担的质量保证责任。</w:t>
      </w:r>
    </w:p>
    <w:p>
      <w:pPr>
        <w:spacing w:line="400" w:lineRule="exact"/>
        <w:ind w:left="420" w:leftChars="200"/>
        <w:jc w:val="left"/>
        <w:rPr>
          <w:rFonts w:ascii="宋体" w:hAnsi="宋体"/>
          <w:szCs w:val="21"/>
        </w:rPr>
      </w:pPr>
      <w:r>
        <w:rPr>
          <w:rFonts w:hint="eastAsia" w:ascii="宋体" w:hAnsi="宋体"/>
          <w:szCs w:val="21"/>
        </w:rPr>
        <w:t>12.5在开箱验收和安装验收和运行验收满足要求的情况下，进行性能验收。性能验收试验应在全部设备运转稳定，达到连续稳定的运行后．这项验收试验由甲方负责，乙方参加。</w:t>
      </w:r>
    </w:p>
    <w:p>
      <w:pPr>
        <w:spacing w:line="400" w:lineRule="exact"/>
        <w:ind w:left="420" w:leftChars="200"/>
        <w:jc w:val="left"/>
        <w:rPr>
          <w:rFonts w:ascii="宋体" w:hAnsi="宋体"/>
          <w:szCs w:val="21"/>
        </w:rPr>
      </w:pPr>
      <w:r>
        <w:rPr>
          <w:rFonts w:hint="eastAsia" w:ascii="宋体" w:hAnsi="宋体"/>
          <w:szCs w:val="21"/>
        </w:rPr>
        <w:t>12.6在合同执行过程中的任何时候，对由于乙方责任需要进行的检查、试验、再试验、修理或调换，在乙方提出请求时，甲方应作好安排进行配合以便进行上述工作。乙方负责修理或调换人员的费用。</w:t>
      </w:r>
    </w:p>
    <w:p>
      <w:pPr>
        <w:spacing w:line="400" w:lineRule="exact"/>
        <w:ind w:left="420" w:leftChars="200"/>
        <w:jc w:val="left"/>
        <w:rPr>
          <w:rFonts w:ascii="宋体" w:hAnsi="宋体"/>
          <w:szCs w:val="21"/>
        </w:rPr>
      </w:pPr>
      <w:r>
        <w:rPr>
          <w:rFonts w:hint="eastAsia" w:ascii="宋体" w:hAnsi="宋体"/>
          <w:szCs w:val="21"/>
        </w:rPr>
        <w:t>12.7性能测试检验通过后 , 甲方和乙方应该在 7 天内签署最终验收证明。</w:t>
      </w:r>
    </w:p>
    <w:p>
      <w:pPr>
        <w:spacing w:line="400" w:lineRule="exact"/>
        <w:ind w:left="420" w:leftChars="200"/>
        <w:jc w:val="left"/>
        <w:rPr>
          <w:rFonts w:ascii="宋体" w:hAnsi="宋体"/>
          <w:szCs w:val="21"/>
        </w:rPr>
      </w:pPr>
      <w:r>
        <w:rPr>
          <w:rFonts w:hint="eastAsia" w:ascii="宋体" w:hAnsi="宋体"/>
          <w:szCs w:val="21"/>
        </w:rPr>
        <w:t>12.8无论任何原因 , 如果设备在质量保证期届满前发现有缺陷 , 包括但不限于潜在缺陷或使用了不合适的材料 , 甲方有权要求有关部门对其检验并向乙方就检验证书所涉及的问题提起索赔。</w:t>
      </w:r>
    </w:p>
    <w:p>
      <w:pPr>
        <w:spacing w:line="400" w:lineRule="exact"/>
        <w:ind w:left="420" w:leftChars="200"/>
        <w:jc w:val="left"/>
        <w:rPr>
          <w:rFonts w:ascii="宋体" w:hAnsi="宋体"/>
          <w:szCs w:val="21"/>
        </w:rPr>
      </w:pPr>
      <w:r>
        <w:rPr>
          <w:rFonts w:hint="eastAsia" w:ascii="宋体" w:hAnsi="宋体"/>
          <w:szCs w:val="21"/>
        </w:rPr>
        <w:t>12.9乙方负责与设备使用地的技术监督部门联系，办理特种设备使用许可证并承担取证费，甲方给予协助。</w:t>
      </w:r>
    </w:p>
    <w:p>
      <w:pPr>
        <w:spacing w:line="400" w:lineRule="exact"/>
        <w:ind w:left="420" w:leftChars="200"/>
        <w:jc w:val="left"/>
        <w:rPr>
          <w:rFonts w:ascii="宋体" w:hAnsi="宋体"/>
          <w:szCs w:val="21"/>
        </w:rPr>
      </w:pPr>
      <w:r>
        <w:rPr>
          <w:rFonts w:hint="eastAsia" w:ascii="宋体" w:hAnsi="宋体"/>
          <w:szCs w:val="21"/>
        </w:rPr>
        <w:t>12.10乙方技术人员在甲方现场服务期间，甲方提供工作餐，其余费用由乙方自理。</w:t>
      </w:r>
    </w:p>
    <w:p>
      <w:pPr>
        <w:spacing w:line="400" w:lineRule="exact"/>
        <w:ind w:left="420" w:leftChars="200"/>
        <w:jc w:val="left"/>
        <w:rPr>
          <w:rFonts w:ascii="宋体" w:hAnsi="宋体"/>
          <w:b/>
          <w:szCs w:val="21"/>
        </w:rPr>
      </w:pPr>
      <w:r>
        <w:rPr>
          <w:rFonts w:hint="eastAsia" w:ascii="宋体" w:hAnsi="宋体"/>
          <w:b/>
          <w:szCs w:val="21"/>
        </w:rPr>
        <w:t>13. 风险</w:t>
      </w:r>
      <w:bookmarkStart w:id="10" w:name="0bb6d3d3f38a4d4f8e50ad39c832e6a0"/>
      <w:bookmarkEnd w:id="10"/>
      <w:r>
        <w:rPr>
          <w:rFonts w:hint="eastAsia" w:ascii="宋体" w:hAnsi="宋体"/>
          <w:b/>
          <w:szCs w:val="21"/>
        </w:rPr>
        <w:t>及所有权转移</w:t>
      </w:r>
    </w:p>
    <w:p>
      <w:pPr>
        <w:spacing w:line="400" w:lineRule="exact"/>
        <w:ind w:left="420" w:leftChars="200"/>
        <w:jc w:val="left"/>
        <w:rPr>
          <w:rFonts w:ascii="宋体" w:hAnsi="宋体"/>
          <w:szCs w:val="21"/>
        </w:rPr>
      </w:pPr>
      <w:r>
        <w:rPr>
          <w:rFonts w:hint="eastAsia" w:ascii="宋体" w:hAnsi="宋体"/>
          <w:szCs w:val="21"/>
        </w:rPr>
        <w:t>13.1设备毁损、灭失的风险，在设备交付前由乙方承担，交付后由甲方承担。</w:t>
      </w:r>
      <w:bookmarkStart w:id="11" w:name="387ec781cabc4a3b87942c9e6a9f56d9"/>
      <w:bookmarkEnd w:id="11"/>
      <w:r>
        <w:rPr>
          <w:rFonts w:hint="eastAsia" w:ascii="宋体" w:hAnsi="宋体"/>
          <w:szCs w:val="21"/>
        </w:rPr>
        <w:t>本合同中的“交付”是指乙方将甲方所采购的设备运至甲方指定地点并经甲方验收合格后，对验收合格的设备视作已经交付。</w:t>
      </w:r>
    </w:p>
    <w:p>
      <w:pPr>
        <w:spacing w:line="400" w:lineRule="exact"/>
        <w:ind w:left="420" w:leftChars="200"/>
        <w:jc w:val="left"/>
        <w:rPr>
          <w:rFonts w:ascii="宋体" w:hAnsi="宋体"/>
          <w:szCs w:val="21"/>
        </w:rPr>
      </w:pPr>
      <w:r>
        <w:rPr>
          <w:rFonts w:hint="eastAsia" w:ascii="宋体" w:hAnsi="宋体"/>
          <w:szCs w:val="21"/>
        </w:rPr>
        <w:t>13.2即使设备已经移交甲方，如乙方未按照约定交付有关设备的单证和资料等，设备毁损、灭失的风险仍应由乙方承担。</w:t>
      </w:r>
      <w:bookmarkStart w:id="12" w:name="72aa968445a9495b81c1ef6d3998a488"/>
      <w:bookmarkEnd w:id="12"/>
    </w:p>
    <w:p>
      <w:pPr>
        <w:spacing w:line="400" w:lineRule="exact"/>
        <w:ind w:left="420" w:leftChars="200"/>
        <w:jc w:val="left"/>
        <w:rPr>
          <w:rFonts w:ascii="宋体" w:hAnsi="宋体"/>
          <w:szCs w:val="21"/>
        </w:rPr>
      </w:pPr>
      <w:r>
        <w:rPr>
          <w:rFonts w:hint="eastAsia" w:ascii="宋体" w:hAnsi="宋体"/>
          <w:szCs w:val="21"/>
        </w:rPr>
        <w:t xml:space="preserve">13.3因设备质量不符合质量要求，致使不能实现合同目的的，甲方可以拒绝接受设备或者解除合同。甲方拒绝接受设备或者解除合同的，设备毁损、灭失的风险由乙方承担。 </w:t>
      </w:r>
      <w:bookmarkStart w:id="13" w:name="535af186621d440ab343348a3d2f8d97"/>
      <w:bookmarkEnd w:id="13"/>
    </w:p>
    <w:p>
      <w:pPr>
        <w:spacing w:line="400" w:lineRule="exact"/>
        <w:ind w:left="420" w:leftChars="200"/>
        <w:jc w:val="left"/>
        <w:rPr>
          <w:rFonts w:ascii="宋体" w:hAnsi="宋体"/>
          <w:szCs w:val="21"/>
        </w:rPr>
      </w:pPr>
      <w:r>
        <w:rPr>
          <w:rFonts w:hint="eastAsia" w:ascii="宋体" w:hAnsi="宋体"/>
          <w:szCs w:val="21"/>
        </w:rPr>
        <w:t>13.4设备风险的转移，不影响违约、赔偿责任和产品侵权责任的主张。</w:t>
      </w:r>
      <w:bookmarkStart w:id="14" w:name="234c601035da4b849245b1edcb9b4d2a"/>
      <w:bookmarkEnd w:id="14"/>
    </w:p>
    <w:p>
      <w:pPr>
        <w:spacing w:line="400" w:lineRule="exact"/>
        <w:ind w:left="420" w:leftChars="200"/>
        <w:jc w:val="left"/>
        <w:rPr>
          <w:rFonts w:ascii="宋体" w:hAnsi="宋体"/>
          <w:szCs w:val="21"/>
        </w:rPr>
      </w:pPr>
      <w:r>
        <w:rPr>
          <w:rFonts w:hint="eastAsia" w:ascii="宋体" w:hAnsi="宋体"/>
          <w:szCs w:val="21"/>
        </w:rPr>
        <w:t>13.5设备交付后所有权即转移至甲方</w:t>
      </w:r>
      <w:bookmarkStart w:id="15" w:name="7ecdc4125c574e2cb24dc1d3dc33645c"/>
      <w:bookmarkEnd w:id="15"/>
      <w:r>
        <w:rPr>
          <w:rFonts w:hint="eastAsia" w:ascii="宋体" w:hAnsi="宋体"/>
          <w:szCs w:val="21"/>
        </w:rPr>
        <w:t>。</w:t>
      </w:r>
    </w:p>
    <w:p>
      <w:pPr>
        <w:spacing w:line="400" w:lineRule="exact"/>
        <w:ind w:left="420" w:leftChars="200"/>
        <w:jc w:val="left"/>
        <w:rPr>
          <w:rFonts w:ascii="宋体" w:hAnsi="宋体"/>
          <w:b/>
          <w:szCs w:val="21"/>
        </w:rPr>
      </w:pPr>
      <w:r>
        <w:rPr>
          <w:rFonts w:hint="eastAsia" w:ascii="宋体" w:hAnsi="宋体"/>
          <w:b/>
          <w:szCs w:val="21"/>
        </w:rPr>
        <w:t>14.合同的生效、变更和终止</w:t>
      </w:r>
    </w:p>
    <w:p>
      <w:pPr>
        <w:spacing w:line="400" w:lineRule="exact"/>
        <w:ind w:left="420" w:leftChars="200"/>
        <w:jc w:val="left"/>
        <w:rPr>
          <w:rFonts w:ascii="宋体" w:hAnsi="宋体"/>
          <w:szCs w:val="21"/>
        </w:rPr>
      </w:pPr>
      <w:r>
        <w:rPr>
          <w:rFonts w:hint="eastAsia" w:ascii="宋体" w:hAnsi="宋体"/>
          <w:szCs w:val="21"/>
        </w:rPr>
        <w:t>14.1本合同经双方法人或被授权人（经法人代表书面授权）签字，加盖公章后生效。</w:t>
      </w:r>
    </w:p>
    <w:p>
      <w:pPr>
        <w:spacing w:line="400" w:lineRule="exact"/>
        <w:ind w:left="420" w:leftChars="200"/>
        <w:jc w:val="left"/>
        <w:rPr>
          <w:rFonts w:ascii="宋体" w:hAnsi="宋体"/>
          <w:szCs w:val="21"/>
        </w:rPr>
      </w:pPr>
      <w:r>
        <w:rPr>
          <w:rFonts w:hint="eastAsia" w:ascii="宋体" w:hAnsi="宋体"/>
          <w:szCs w:val="21"/>
        </w:rPr>
        <w:t>14.2本合同有效期：从合同生效之日起到设备质量保证期满止。</w:t>
      </w:r>
    </w:p>
    <w:p>
      <w:pPr>
        <w:spacing w:line="400" w:lineRule="exact"/>
        <w:ind w:left="420" w:leftChars="200"/>
        <w:jc w:val="left"/>
        <w:rPr>
          <w:rFonts w:ascii="宋体" w:hAnsi="宋体"/>
          <w:szCs w:val="21"/>
        </w:rPr>
      </w:pPr>
      <w:r>
        <w:rPr>
          <w:rFonts w:hint="eastAsia" w:ascii="宋体" w:hAnsi="宋体"/>
          <w:szCs w:val="21"/>
        </w:rPr>
        <w:t>14.3本合同一经生效，合同双方均不得擅自对本合同的内容(包括附件)作任何单方面的修改，但任何一方均可以对合同内容以书面形式提出变更、修改、取消或补充的建议；该项建议应以书面形式通知对方并经双方签字确认。如果该项修改改变了合同价格和交货进度，应在收到上述修改通知书后的5个工作日内，提出影响合同价格或交货期的详细说明。双方同意后经双方法人或被授权人(须经法定代表人书面授权委托)签字，将修改后的有关部分抄送原合同有关单位。</w:t>
      </w:r>
    </w:p>
    <w:p>
      <w:pPr>
        <w:spacing w:line="400" w:lineRule="exact"/>
        <w:ind w:left="420" w:leftChars="200"/>
        <w:jc w:val="left"/>
        <w:rPr>
          <w:rFonts w:ascii="宋体" w:hAnsi="宋体"/>
          <w:szCs w:val="21"/>
        </w:rPr>
      </w:pPr>
      <w:r>
        <w:rPr>
          <w:rFonts w:hint="eastAsia" w:ascii="宋体" w:hAnsi="宋体"/>
          <w:szCs w:val="21"/>
        </w:rPr>
        <w:t>14.4如果乙方有违反或拒绝执行本合同规定的行为时，甲方书面通知乙方，乙方在接到通知后5天内确认无误后应对违反或拒绝做出修正，如果认为在5天内来不及纠正时，应提出修正计划。如果得不到纠正或提不出修正计划，甲方将保留中止本合同的全部的权利。对于这种中止，甲方将不出具变更通知书，由此而发生的一切费用、损失和索赔将由乙方负担。</w:t>
      </w:r>
    </w:p>
    <w:p>
      <w:pPr>
        <w:spacing w:line="400" w:lineRule="exact"/>
        <w:ind w:left="420" w:leftChars="200"/>
        <w:jc w:val="left"/>
        <w:rPr>
          <w:rFonts w:ascii="宋体" w:hAnsi="宋体"/>
          <w:szCs w:val="21"/>
        </w:rPr>
      </w:pPr>
      <w:r>
        <w:rPr>
          <w:rFonts w:hint="eastAsia" w:ascii="宋体" w:hAnsi="宋体"/>
          <w:szCs w:val="21"/>
        </w:rPr>
        <w:t>14.5如果甲方行使中止权利，甲方有权停付到期应向乙方支付中止部分的款项。</w:t>
      </w:r>
    </w:p>
    <w:p>
      <w:pPr>
        <w:spacing w:line="400" w:lineRule="exact"/>
        <w:ind w:left="420" w:leftChars="200"/>
        <w:jc w:val="left"/>
        <w:rPr>
          <w:rFonts w:ascii="宋体" w:hAnsi="宋体"/>
          <w:szCs w:val="21"/>
        </w:rPr>
      </w:pPr>
      <w:r>
        <w:rPr>
          <w:rFonts w:hint="eastAsia" w:ascii="宋体" w:hAnsi="宋体"/>
          <w:szCs w:val="21"/>
        </w:rPr>
        <w:t>14.6在合同执行过程中，若因国家计划调整而引起本合同无法正常执行时，乙方或甲方可以向对方提出中止执行合同或修改合同有关条款的建议，与之有关事宜双方协商办理。</w:t>
      </w:r>
    </w:p>
    <w:p>
      <w:pPr>
        <w:spacing w:line="400" w:lineRule="exact"/>
        <w:ind w:left="420" w:leftChars="200"/>
        <w:jc w:val="left"/>
        <w:rPr>
          <w:rFonts w:ascii="宋体" w:hAnsi="宋体"/>
          <w:szCs w:val="21"/>
        </w:rPr>
      </w:pPr>
      <w:r>
        <w:rPr>
          <w:rFonts w:hint="eastAsia" w:ascii="宋体" w:hAnsi="宋体"/>
          <w:szCs w:val="21"/>
        </w:rPr>
        <w:t>14.7因甲方原因要求中途退货，甲方应向乙方偿付违约金，违约金为退货部分设备价格的10%，并赔偿乙方由此产生的直接经济损失。</w:t>
      </w:r>
    </w:p>
    <w:p>
      <w:pPr>
        <w:spacing w:line="400" w:lineRule="exact"/>
        <w:ind w:left="420" w:leftChars="200"/>
        <w:jc w:val="left"/>
        <w:rPr>
          <w:rFonts w:ascii="宋体" w:hAnsi="宋体"/>
          <w:szCs w:val="21"/>
        </w:rPr>
      </w:pPr>
      <w:r>
        <w:rPr>
          <w:rFonts w:hint="eastAsia" w:ascii="宋体" w:hAnsi="宋体"/>
          <w:szCs w:val="21"/>
        </w:rPr>
        <w:t>14.8因乙方原因而不能交货，乙方应返还甲方已经支付的购货款，并向甲方偿付违约金，违约金为设备总价的50%，并赔偿甲方由此产生的直接经济损失。</w:t>
      </w:r>
    </w:p>
    <w:p>
      <w:pPr>
        <w:spacing w:line="400" w:lineRule="exact"/>
        <w:ind w:left="420" w:leftChars="200"/>
        <w:jc w:val="left"/>
        <w:rPr>
          <w:rFonts w:ascii="宋体" w:hAnsi="宋体"/>
          <w:szCs w:val="21"/>
        </w:rPr>
      </w:pPr>
      <w:r>
        <w:rPr>
          <w:rFonts w:hint="eastAsia" w:ascii="宋体" w:hAnsi="宋体"/>
          <w:szCs w:val="21"/>
        </w:rPr>
        <w:t>14.9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spacing w:line="400" w:lineRule="exact"/>
        <w:ind w:left="420" w:leftChars="200"/>
        <w:jc w:val="left"/>
        <w:rPr>
          <w:rFonts w:ascii="宋体" w:hAnsi="宋体"/>
          <w:b/>
          <w:szCs w:val="21"/>
        </w:rPr>
      </w:pPr>
      <w:r>
        <w:rPr>
          <w:rFonts w:hint="eastAsia" w:ascii="宋体" w:hAnsi="宋体"/>
          <w:b/>
          <w:szCs w:val="21"/>
        </w:rPr>
        <w:t>15.知识产权保护</w:t>
      </w:r>
    </w:p>
    <w:p>
      <w:pPr>
        <w:spacing w:line="400" w:lineRule="exact"/>
        <w:ind w:left="420" w:leftChars="200"/>
        <w:jc w:val="left"/>
        <w:rPr>
          <w:rFonts w:ascii="宋体" w:hAnsi="宋体"/>
          <w:szCs w:val="21"/>
        </w:rPr>
      </w:pPr>
      <w:r>
        <w:rPr>
          <w:rFonts w:hint="eastAsia" w:ascii="宋体" w:hAnsi="宋体"/>
          <w:szCs w:val="21"/>
        </w:rPr>
        <w:t>乙方承诺本合同项下的机械设备未侵犯任何国家或企业、个人的知识产权等任何权益，并保障甲方免予承受因侵犯任何知识产权或其他第三方权益而遭受的诉讼、仲裁、索赔或其它经济损失，否则，乙方应赔偿甲方因此遭受的所有直接和间接损失。</w:t>
      </w:r>
    </w:p>
    <w:p>
      <w:pPr>
        <w:spacing w:line="400" w:lineRule="exact"/>
        <w:ind w:left="420" w:leftChars="200"/>
        <w:jc w:val="left"/>
        <w:rPr>
          <w:rFonts w:ascii="宋体" w:hAnsi="宋体"/>
          <w:b/>
          <w:szCs w:val="21"/>
        </w:rPr>
      </w:pPr>
      <w:r>
        <w:rPr>
          <w:rFonts w:hint="eastAsia" w:ascii="宋体" w:hAnsi="宋体"/>
          <w:b/>
          <w:szCs w:val="21"/>
        </w:rPr>
        <w:t>16.不可抗力</w:t>
      </w:r>
    </w:p>
    <w:p>
      <w:pPr>
        <w:spacing w:line="400" w:lineRule="exact"/>
        <w:ind w:left="420" w:leftChars="200"/>
        <w:jc w:val="left"/>
        <w:rPr>
          <w:rFonts w:ascii="宋体" w:hAnsi="宋体"/>
          <w:szCs w:val="21"/>
        </w:rPr>
      </w:pPr>
      <w:r>
        <w:rPr>
          <w:rFonts w:hint="eastAsia" w:ascii="宋体" w:hAnsi="宋体"/>
          <w:szCs w:val="21"/>
        </w:rPr>
        <w:t>16.1合同双方中的任何一方，由于不可抗力事件而影响合同义务的执行时，则延迟履行合同义务的期限相当于不可抗力事件影响的时间，但是不能因为不可抗力的延迟而调整合同价格。</w:t>
      </w:r>
    </w:p>
    <w:p>
      <w:pPr>
        <w:spacing w:line="400" w:lineRule="exact"/>
        <w:ind w:left="420" w:leftChars="200"/>
        <w:jc w:val="left"/>
        <w:rPr>
          <w:rFonts w:ascii="宋体" w:hAnsi="宋体"/>
          <w:szCs w:val="21"/>
        </w:rPr>
      </w:pPr>
      <w:r>
        <w:rPr>
          <w:rFonts w:hint="eastAsia" w:ascii="宋体" w:hAnsi="宋体"/>
          <w:szCs w:val="21"/>
        </w:rPr>
        <w:t>16.2受到不可抗力影响一方应在不可抗力事故发生后，尽快将所发生的不可抗力事件的情况书面通知另一方，并在14天内将有关部门出具的证明文件提交给另一方审阅确认，受影响的一方同时应尽量设法缩小这种影响和由此而引起的延误，一旦不可抗力的影响消除后，应将此情况立即通知对方。</w:t>
      </w:r>
    </w:p>
    <w:p>
      <w:pPr>
        <w:spacing w:line="400" w:lineRule="exact"/>
        <w:ind w:left="420" w:leftChars="200"/>
        <w:jc w:val="left"/>
        <w:rPr>
          <w:rFonts w:ascii="宋体" w:hAnsi="宋体"/>
          <w:szCs w:val="21"/>
        </w:rPr>
      </w:pPr>
      <w:r>
        <w:rPr>
          <w:rFonts w:hint="eastAsia" w:ascii="宋体" w:hAnsi="宋体"/>
          <w:szCs w:val="21"/>
        </w:rPr>
        <w:t>16.3如双方对不可抗力事件的影响估计将延续到30天以上时，双方应通过友好协商解决本合同的执行问题(包括交货、试运行和验收等问题)。</w:t>
      </w:r>
    </w:p>
    <w:p>
      <w:pPr>
        <w:tabs>
          <w:tab w:val="left" w:pos="900"/>
          <w:tab w:val="left" w:pos="988"/>
        </w:tabs>
        <w:spacing w:line="400" w:lineRule="exact"/>
        <w:ind w:left="420" w:leftChars="200"/>
        <w:jc w:val="left"/>
        <w:rPr>
          <w:rFonts w:ascii="宋体" w:hAnsi="宋体"/>
          <w:b/>
          <w:szCs w:val="21"/>
        </w:rPr>
      </w:pPr>
      <w:r>
        <w:rPr>
          <w:rFonts w:hint="eastAsia" w:ascii="宋体" w:hAnsi="宋体"/>
          <w:b/>
          <w:szCs w:val="21"/>
        </w:rPr>
        <w:t>17.</w:t>
      </w:r>
      <w:r>
        <w:rPr>
          <w:rFonts w:ascii="宋体" w:hAnsi="宋体"/>
          <w:b/>
          <w:szCs w:val="21"/>
        </w:rPr>
        <w:t>补充协议</w:t>
      </w:r>
      <w:bookmarkEnd w:id="8"/>
    </w:p>
    <w:p>
      <w:pPr>
        <w:spacing w:line="400" w:lineRule="exact"/>
        <w:ind w:left="420" w:leftChars="200"/>
        <w:jc w:val="left"/>
        <w:rPr>
          <w:rFonts w:ascii="宋体" w:hAnsi="宋体"/>
          <w:szCs w:val="21"/>
        </w:rPr>
      </w:pPr>
      <w:r>
        <w:rPr>
          <w:rFonts w:hint="eastAsia" w:ascii="宋体" w:hAnsi="宋体"/>
          <w:szCs w:val="21"/>
        </w:rPr>
        <w:t>本合同未尽事宜，经双方协商一致，可订立补充协议，补充协议法律效力见本合同第二部分第2条。</w:t>
      </w:r>
    </w:p>
    <w:p>
      <w:pPr>
        <w:spacing w:line="400" w:lineRule="exact"/>
        <w:ind w:left="420" w:leftChars="200"/>
        <w:jc w:val="left"/>
        <w:rPr>
          <w:rFonts w:ascii="宋体" w:hAnsi="宋体"/>
          <w:b/>
          <w:szCs w:val="21"/>
        </w:rPr>
      </w:pPr>
      <w:r>
        <w:rPr>
          <w:rFonts w:hint="eastAsia" w:ascii="宋体" w:hAnsi="宋体"/>
          <w:b/>
          <w:szCs w:val="21"/>
        </w:rPr>
        <w:t>18.合同争议的解决</w:t>
      </w:r>
    </w:p>
    <w:p>
      <w:pPr>
        <w:spacing w:line="400" w:lineRule="exact"/>
        <w:ind w:left="420" w:leftChars="200"/>
        <w:jc w:val="left"/>
        <w:rPr>
          <w:rFonts w:ascii="宋体" w:hAnsi="宋体"/>
          <w:szCs w:val="21"/>
        </w:rPr>
      </w:pPr>
      <w:r>
        <w:rPr>
          <w:rFonts w:hint="eastAsia" w:ascii="宋体" w:hAnsi="宋体"/>
          <w:szCs w:val="21"/>
        </w:rPr>
        <w:t>18.1本合同发生的有关争议应通过友好协商解决，经协商未能达成协议时，双方约定提交石家庄市仲裁委员会裁决。</w:t>
      </w:r>
    </w:p>
    <w:p>
      <w:pPr>
        <w:spacing w:line="400" w:lineRule="exact"/>
        <w:ind w:left="420" w:leftChars="200"/>
        <w:jc w:val="left"/>
        <w:rPr>
          <w:rFonts w:ascii="宋体" w:hAnsi="宋体"/>
          <w:szCs w:val="21"/>
        </w:rPr>
      </w:pPr>
      <w:r>
        <w:rPr>
          <w:rFonts w:hint="eastAsia" w:ascii="宋体" w:hAnsi="宋体"/>
          <w:szCs w:val="21"/>
        </w:rPr>
        <w:t>18.2在仲裁期间，除提交仲裁的事项外，合同其他项仍应继续履行。</w:t>
      </w:r>
    </w:p>
    <w:p>
      <w:pPr>
        <w:spacing w:line="360" w:lineRule="exact"/>
        <w:jc w:val="both"/>
        <w:rPr>
          <w:rFonts w:ascii="仿宋_GB2312" w:hAnsi="华文仿宋" w:eastAsia="仿宋_GB2312" w:cs="宋体"/>
          <w:b/>
          <w:w w:val="90"/>
          <w:sz w:val="28"/>
          <w:szCs w:val="28"/>
        </w:rPr>
      </w:pPr>
    </w:p>
    <w:p>
      <w:pPr>
        <w:spacing w:line="360" w:lineRule="exact"/>
        <w:jc w:val="center"/>
        <w:rPr>
          <w:rFonts w:ascii="宋体" w:hAnsi="宋体"/>
          <w:b/>
          <w:sz w:val="32"/>
          <w:szCs w:val="32"/>
        </w:rPr>
      </w:pPr>
      <w:r>
        <w:rPr>
          <w:rFonts w:hint="eastAsia" w:ascii="宋体" w:hAnsi="宋体"/>
          <w:b/>
          <w:sz w:val="32"/>
          <w:szCs w:val="32"/>
        </w:rPr>
        <w:t>第三部分 专用合同条款</w:t>
      </w:r>
      <w:bookmarkStart w:id="16" w:name="A3"/>
      <w:bookmarkEnd w:id="16"/>
    </w:p>
    <w:p>
      <w:pPr>
        <w:spacing w:line="360" w:lineRule="exact"/>
        <w:jc w:val="left"/>
        <w:rPr>
          <w:rFonts w:ascii="宋体" w:hAnsi="宋体"/>
          <w:b/>
          <w:sz w:val="30"/>
          <w:szCs w:val="30"/>
        </w:rPr>
      </w:pPr>
    </w:p>
    <w:p>
      <w:pPr>
        <w:tabs>
          <w:tab w:val="left" w:pos="425"/>
        </w:tabs>
        <w:spacing w:line="400" w:lineRule="exact"/>
        <w:ind w:left="420"/>
        <w:jc w:val="left"/>
        <w:rPr>
          <w:rFonts w:ascii="宋体" w:hAnsi="宋体"/>
          <w:b/>
          <w:szCs w:val="21"/>
        </w:rPr>
      </w:pPr>
      <w:r>
        <w:rPr>
          <w:rFonts w:hint="eastAsia" w:ascii="宋体" w:hAnsi="宋体"/>
          <w:b/>
          <w:szCs w:val="21"/>
        </w:rPr>
        <w:t>1.适用法律法规</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p>
    <w:p>
      <w:pPr>
        <w:spacing w:line="360" w:lineRule="exact"/>
        <w:ind w:firstLine="420" w:firstLineChars="200"/>
        <w:rPr>
          <w:rFonts w:ascii="宋体" w:hAnsi="宋体"/>
          <w:szCs w:val="21"/>
        </w:rPr>
      </w:pPr>
      <w:r>
        <w:rPr>
          <w:rFonts w:hint="eastAsia" w:ascii="宋体" w:hAnsi="宋体"/>
          <w:szCs w:val="21"/>
        </w:rPr>
        <w:t>需要明示其他的法律、行政法规：</w:t>
      </w:r>
      <w:r>
        <w:rPr>
          <w:rFonts w:hint="eastAsia" w:ascii="宋体" w:hAnsi="宋体"/>
          <w:szCs w:val="21"/>
          <w:u w:val="single"/>
        </w:rPr>
        <w:t xml:space="preserve">                            </w:t>
      </w:r>
      <w:r>
        <w:rPr>
          <w:rFonts w:hint="eastAsia" w:ascii="宋体" w:hAnsi="宋体"/>
          <w:szCs w:val="21"/>
        </w:rPr>
        <w:t xml:space="preserve"> </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p>
    <w:p>
      <w:pPr>
        <w:spacing w:line="360" w:lineRule="exact"/>
        <w:ind w:firstLine="380" w:firstLineChars="200"/>
        <w:rPr>
          <w:rFonts w:ascii="宋体" w:hAnsi="宋体" w:cs="宋体"/>
          <w:b/>
          <w:w w:val="90"/>
          <w:szCs w:val="21"/>
        </w:rPr>
      </w:pPr>
      <w:r>
        <w:rPr>
          <w:rFonts w:hint="eastAsia" w:ascii="宋体" w:hAnsi="宋体" w:cs="宋体"/>
          <w:b/>
          <w:w w:val="90"/>
          <w:szCs w:val="21"/>
        </w:rPr>
        <w:t>3.</w:t>
      </w:r>
      <w:r>
        <w:rPr>
          <w:rFonts w:hint="eastAsia" w:ascii="宋体" w:hAnsi="宋体"/>
          <w:b/>
          <w:szCs w:val="21"/>
        </w:rPr>
        <w:t xml:space="preserve"> 本合同所用名词</w:t>
      </w:r>
      <w:r>
        <w:rPr>
          <w:rFonts w:hint="eastAsia" w:ascii="宋体" w:hAnsi="宋体" w:cs="宋体"/>
          <w:b/>
          <w:w w:val="90"/>
          <w:szCs w:val="21"/>
        </w:rPr>
        <w:t>定义</w:t>
      </w:r>
    </w:p>
    <w:p>
      <w:pPr>
        <w:spacing w:line="360" w:lineRule="exact"/>
        <w:ind w:firstLine="420" w:firstLineChars="200"/>
        <w:rPr>
          <w:rFonts w:hint="eastAsia" w:ascii="宋体" w:hAnsi="宋体" w:eastAsia="宋体"/>
          <w:szCs w:val="21"/>
          <w:u w:val="single"/>
          <w:lang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4．质量保证与索赔</w:t>
      </w:r>
    </w:p>
    <w:p>
      <w:pPr>
        <w:spacing w:line="360" w:lineRule="exact"/>
        <w:ind w:firstLine="420" w:firstLineChars="200"/>
        <w:rPr>
          <w:rFonts w:hint="eastAsia" w:ascii="宋体" w:hAnsi="宋体" w:eastAsia="宋体"/>
          <w:szCs w:val="21"/>
          <w:u w:val="single"/>
          <w:lang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5. 资料提供</w:t>
      </w:r>
    </w:p>
    <w:p>
      <w:pPr>
        <w:spacing w:line="360" w:lineRule="exact"/>
        <w:ind w:firstLine="420" w:firstLineChars="200"/>
        <w:rPr>
          <w:rFonts w:hint="eastAsia" w:ascii="宋体" w:hAnsi="宋体" w:eastAsia="宋体"/>
          <w:szCs w:val="21"/>
          <w:u w:val="single"/>
          <w:lang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6.合同价格</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7.结算及货款支付</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8.运输及保险</w:t>
      </w:r>
    </w:p>
    <w:p>
      <w:pPr>
        <w:spacing w:line="360" w:lineRule="exact"/>
        <w:ind w:firstLine="420" w:firstLineChars="200"/>
        <w:rPr>
          <w:rFonts w:hint="eastAsia" w:ascii="宋体" w:hAnsi="宋体" w:eastAsia="宋体"/>
          <w:szCs w:val="21"/>
          <w:u w:val="single"/>
          <w:lang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9.包装与标记</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10.技术服务和培训</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11.监造</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12.安装调试及检验验收</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13. 风险及所有权转移</w:t>
      </w:r>
    </w:p>
    <w:p>
      <w:pPr>
        <w:spacing w:line="360" w:lineRule="exact"/>
        <w:ind w:firstLine="420" w:firstLineChars="200"/>
        <w:rPr>
          <w:rFonts w:hint="eastAsia" w:ascii="宋体" w:hAnsi="宋体" w:eastAsia="宋体"/>
          <w:szCs w:val="21"/>
          <w:u w:val="single"/>
          <w:lang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14.合同的生效、变更和终止</w:t>
      </w:r>
    </w:p>
    <w:p>
      <w:pPr>
        <w:spacing w:line="360" w:lineRule="exact"/>
        <w:ind w:firstLine="420" w:firstLineChars="200"/>
        <w:rPr>
          <w:rFonts w:hint="eastAsia" w:ascii="宋体" w:hAnsi="宋体" w:eastAsia="宋体"/>
          <w:szCs w:val="21"/>
          <w:u w:val="single"/>
          <w:lang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15.知识产权保护</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16.不可抗力</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17.</w:t>
      </w:r>
      <w:r>
        <w:rPr>
          <w:rFonts w:ascii="宋体" w:hAnsi="宋体"/>
          <w:b/>
          <w:szCs w:val="21"/>
        </w:rPr>
        <w:t>补充协议</w:t>
      </w:r>
    </w:p>
    <w:p>
      <w:pPr>
        <w:spacing w:line="360" w:lineRule="exact"/>
        <w:ind w:firstLine="420" w:firstLineChars="200"/>
        <w:rPr>
          <w:rFonts w:hint="eastAsia" w:ascii="宋体" w:hAnsi="宋体" w:eastAsia="宋体"/>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22" w:firstLineChars="200"/>
        <w:rPr>
          <w:rFonts w:ascii="宋体" w:hAnsi="宋体"/>
          <w:b/>
          <w:szCs w:val="21"/>
        </w:rPr>
      </w:pPr>
      <w:r>
        <w:rPr>
          <w:rFonts w:hint="eastAsia" w:ascii="宋体" w:hAnsi="宋体"/>
          <w:b/>
          <w:szCs w:val="21"/>
        </w:rPr>
        <w:t>18.合同争议的解决</w:t>
      </w:r>
    </w:p>
    <w:p>
      <w:pPr>
        <w:spacing w:line="360" w:lineRule="exact"/>
        <w:ind w:firstLine="420" w:firstLineChars="200"/>
        <w:rPr>
          <w:rFonts w:hint="eastAsia" w:ascii="宋体" w:hAnsi="宋体" w:eastAsia="宋体"/>
          <w:color w:val="C0C0C0"/>
          <w:szCs w:val="21"/>
          <w:u w:val="single"/>
          <w:lang w:val="en-US" w:eastAsia="zh-CN"/>
        </w:rPr>
      </w:pPr>
      <w:r>
        <w:rPr>
          <w:rFonts w:hint="eastAsia" w:ascii="宋体" w:hAnsi="宋体"/>
          <w:szCs w:val="21"/>
          <w:u w:val="single"/>
        </w:rPr>
        <w:t>见通用合同条款。</w:t>
      </w:r>
      <w:r>
        <w:rPr>
          <w:rFonts w:hint="eastAsia" w:ascii="宋体" w:hAnsi="宋体"/>
          <w:color w:val="C0C0C0"/>
          <w:szCs w:val="21"/>
          <w:u w:val="single"/>
          <w:lang w:val="en-US" w:eastAsia="zh-CN"/>
        </w:rPr>
        <w:t xml:space="preserve"> </w:t>
      </w:r>
    </w:p>
    <w:p>
      <w:pPr>
        <w:spacing w:line="360" w:lineRule="exact"/>
        <w:ind w:firstLine="411" w:firstLineChars="195"/>
        <w:jc w:val="left"/>
        <w:rPr>
          <w:rFonts w:ascii="宋体" w:hAnsi="宋体"/>
          <w:b/>
          <w:szCs w:val="21"/>
        </w:rPr>
      </w:pPr>
      <w:r>
        <w:rPr>
          <w:rFonts w:hint="eastAsia" w:ascii="宋体" w:hAnsi="宋体"/>
          <w:b/>
          <w:szCs w:val="21"/>
        </w:rPr>
        <w:t>19.附件</w:t>
      </w:r>
      <w:r>
        <w:rPr>
          <w:rFonts w:hint="eastAsia" w:ascii="宋体" w:hAnsi="宋体"/>
          <w:color w:val="C0C0C0"/>
          <w:szCs w:val="21"/>
          <w:u w:val="single"/>
        </w:rPr>
        <w:t>(如果有)</w:t>
      </w:r>
    </w:p>
    <w:p>
      <w:pPr>
        <w:spacing w:line="360" w:lineRule="auto"/>
        <w:jc w:val="both"/>
        <w:rPr>
          <w:rFonts w:cs="宋体" w:asciiTheme="majorEastAsia" w:hAnsiTheme="majorEastAsia" w:eastAsiaTheme="majorEastAsia"/>
          <w:b/>
          <w:sz w:val="28"/>
          <w:szCs w:val="28"/>
        </w:rPr>
      </w:pPr>
    </w:p>
    <w:p>
      <w:pPr>
        <w:spacing w:line="360" w:lineRule="auto"/>
        <w:jc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第四部分 投标文件格式及顺序</w:t>
      </w:r>
    </w:p>
    <w:p>
      <w:pPr>
        <w:jc w:val="left"/>
        <w:rPr>
          <w:rFonts w:ascii="宋体" w:hAnsi="宋体" w:cs="宋体"/>
          <w:b/>
          <w:sz w:val="24"/>
        </w:rPr>
      </w:pPr>
      <w:r>
        <w:rPr>
          <w:rFonts w:hint="eastAsia" w:ascii="宋体" w:hAnsi="宋体" w:cs="宋体"/>
          <w:b/>
          <w:sz w:val="24"/>
        </w:rPr>
        <w:t>1.报价单</w:t>
      </w:r>
    </w:p>
    <w:p>
      <w:pPr>
        <w:jc w:val="left"/>
        <w:rPr>
          <w:rFonts w:ascii="宋体" w:hAnsi="宋体" w:cs="宋体"/>
          <w:w w:val="90"/>
          <w:sz w:val="24"/>
        </w:rPr>
      </w:pPr>
      <w:r>
        <w:rPr>
          <w:rFonts w:hint="eastAsia" w:ascii="宋体" w:hAnsi="宋体"/>
          <w:color w:val="000000"/>
          <w:sz w:val="24"/>
        </w:rPr>
        <w:t>致</w:t>
      </w:r>
      <w:r>
        <w:rPr>
          <w:rFonts w:hint="eastAsia" w:ascii="宋体" w:hAnsi="宋体"/>
          <w:sz w:val="24"/>
        </w:rPr>
        <w:t>：</w:t>
      </w:r>
      <w:r>
        <w:rPr>
          <w:rFonts w:hint="eastAsia" w:ascii="宋体" w:hAnsi="宋体"/>
          <w:sz w:val="24"/>
          <w:u w:val="single"/>
        </w:rPr>
        <w:t>中建路桥集团有限公司</w:t>
      </w:r>
    </w:p>
    <w:p>
      <w:pPr>
        <w:widowControl/>
        <w:ind w:firstLine="480" w:firstLineChars="200"/>
        <w:jc w:val="left"/>
        <w:rPr>
          <w:rFonts w:ascii="宋体" w:hAnsi="宋体"/>
          <w:sz w:val="24"/>
        </w:rPr>
      </w:pPr>
      <w:r>
        <w:rPr>
          <w:rFonts w:hint="eastAsia" w:ascii="宋体" w:hAnsi="宋体" w:cs="宋体"/>
          <w:color w:val="000000"/>
          <w:kern w:val="0"/>
          <w:sz w:val="24"/>
        </w:rPr>
        <w:t>我方已充分审阅和理解贵方招标文件内容，我单位报价如下，此单价为</w:t>
      </w:r>
      <w:r>
        <w:rPr>
          <w:rFonts w:hint="eastAsia" w:ascii="宋体" w:hAnsi="宋体"/>
          <w:sz w:val="24"/>
        </w:rPr>
        <w:t>综合单价，包括产品价格、装车费、运费、税费、取证费、培训费及投标人发生的其他一切费用。</w:t>
      </w:r>
    </w:p>
    <w:p>
      <w:pPr>
        <w:widowControl/>
        <w:ind w:firstLine="480" w:firstLineChars="200"/>
        <w:jc w:val="left"/>
        <w:rPr>
          <w:rFonts w:ascii="宋体" w:hAnsi="宋体"/>
          <w:sz w:val="24"/>
        </w:rPr>
      </w:pPr>
    </w:p>
    <w:p>
      <w:pPr>
        <w:widowControl/>
        <w:ind w:firstLine="6960" w:firstLineChars="2900"/>
        <w:jc w:val="left"/>
        <w:rPr>
          <w:rFonts w:ascii="宋体" w:hAnsi="宋体"/>
          <w:sz w:val="24"/>
        </w:rPr>
      </w:pPr>
      <w:r>
        <w:rPr>
          <w:rFonts w:hint="eastAsia" w:ascii="宋体" w:hAnsi="宋体"/>
          <w:sz w:val="24"/>
        </w:rPr>
        <w:t>单位：万元</w:t>
      </w:r>
    </w:p>
    <w:tbl>
      <w:tblPr>
        <w:tblStyle w:val="26"/>
        <w:tblW w:w="8738"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367"/>
        <w:gridCol w:w="1134"/>
        <w:gridCol w:w="709"/>
        <w:gridCol w:w="567"/>
        <w:gridCol w:w="992"/>
        <w:gridCol w:w="709"/>
        <w:gridCol w:w="901"/>
        <w:gridCol w:w="85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5" w:type="dxa"/>
            <w:vAlign w:val="center"/>
          </w:tcPr>
          <w:p>
            <w:pPr>
              <w:spacing w:line="360" w:lineRule="exact"/>
              <w:jc w:val="center"/>
              <w:rPr>
                <w:rFonts w:ascii="宋体" w:hAnsi="宋体"/>
                <w:szCs w:val="21"/>
              </w:rPr>
            </w:pPr>
            <w:r>
              <w:rPr>
                <w:rFonts w:hint="eastAsia" w:ascii="宋体" w:hAnsi="宋体"/>
                <w:szCs w:val="21"/>
              </w:rPr>
              <w:t>序</w:t>
            </w:r>
          </w:p>
          <w:p>
            <w:pPr>
              <w:spacing w:line="360" w:lineRule="exact"/>
              <w:jc w:val="center"/>
              <w:rPr>
                <w:rFonts w:ascii="宋体" w:hAnsi="宋体"/>
                <w:szCs w:val="21"/>
              </w:rPr>
            </w:pPr>
            <w:r>
              <w:rPr>
                <w:rFonts w:hint="eastAsia" w:ascii="宋体" w:hAnsi="宋体"/>
                <w:szCs w:val="21"/>
              </w:rPr>
              <w:t>号</w:t>
            </w:r>
          </w:p>
        </w:tc>
        <w:tc>
          <w:tcPr>
            <w:tcW w:w="1367" w:type="dxa"/>
            <w:vAlign w:val="center"/>
          </w:tcPr>
          <w:p>
            <w:pPr>
              <w:spacing w:line="360" w:lineRule="exact"/>
              <w:rPr>
                <w:rFonts w:ascii="宋体" w:hAnsi="宋体"/>
                <w:szCs w:val="21"/>
              </w:rPr>
            </w:pPr>
            <w:r>
              <w:rPr>
                <w:rFonts w:hint="eastAsia" w:ascii="宋体" w:hAnsi="宋体"/>
                <w:szCs w:val="21"/>
              </w:rPr>
              <w:t>设备名称</w:t>
            </w:r>
          </w:p>
        </w:tc>
        <w:tc>
          <w:tcPr>
            <w:tcW w:w="1134" w:type="dxa"/>
            <w:vAlign w:val="center"/>
          </w:tcPr>
          <w:p>
            <w:pPr>
              <w:spacing w:line="360" w:lineRule="exact"/>
              <w:rPr>
                <w:rFonts w:ascii="宋体" w:hAnsi="宋体"/>
                <w:szCs w:val="21"/>
              </w:rPr>
            </w:pPr>
            <w:r>
              <w:rPr>
                <w:rFonts w:hint="eastAsia" w:ascii="宋体" w:hAnsi="宋体"/>
                <w:szCs w:val="21"/>
              </w:rPr>
              <w:t>规格型号</w:t>
            </w:r>
          </w:p>
        </w:tc>
        <w:tc>
          <w:tcPr>
            <w:tcW w:w="709" w:type="dxa"/>
            <w:vAlign w:val="center"/>
          </w:tcPr>
          <w:p>
            <w:pPr>
              <w:spacing w:line="360" w:lineRule="exact"/>
              <w:rPr>
                <w:rFonts w:ascii="宋体" w:hAnsi="宋体"/>
                <w:szCs w:val="21"/>
              </w:rPr>
            </w:pPr>
            <w:r>
              <w:rPr>
                <w:rFonts w:hint="eastAsia" w:ascii="宋体" w:hAnsi="宋体"/>
                <w:szCs w:val="21"/>
              </w:rPr>
              <w:t>单位</w:t>
            </w:r>
          </w:p>
        </w:tc>
        <w:tc>
          <w:tcPr>
            <w:tcW w:w="567" w:type="dxa"/>
            <w:vAlign w:val="center"/>
          </w:tcPr>
          <w:p>
            <w:pPr>
              <w:spacing w:line="360" w:lineRule="exact"/>
              <w:rPr>
                <w:rFonts w:ascii="宋体" w:hAnsi="宋体"/>
                <w:szCs w:val="21"/>
              </w:rPr>
            </w:pPr>
            <w:r>
              <w:rPr>
                <w:rFonts w:hint="eastAsia" w:ascii="宋体" w:hAnsi="宋体"/>
                <w:szCs w:val="21"/>
              </w:rPr>
              <w:t>数量</w:t>
            </w:r>
          </w:p>
        </w:tc>
        <w:tc>
          <w:tcPr>
            <w:tcW w:w="992" w:type="dxa"/>
            <w:vAlign w:val="center"/>
          </w:tcPr>
          <w:p>
            <w:pPr>
              <w:spacing w:line="360" w:lineRule="exact"/>
              <w:ind w:firstLine="210" w:firstLineChars="100"/>
              <w:rPr>
                <w:rFonts w:ascii="宋体" w:hAnsi="宋体"/>
                <w:szCs w:val="21"/>
              </w:rPr>
            </w:pPr>
            <w:r>
              <w:rPr>
                <w:rFonts w:hint="eastAsia" w:ascii="宋体" w:hAnsi="宋体"/>
                <w:szCs w:val="21"/>
              </w:rPr>
              <w:t>单价</w:t>
            </w:r>
          </w:p>
        </w:tc>
        <w:tc>
          <w:tcPr>
            <w:tcW w:w="709" w:type="dxa"/>
            <w:vAlign w:val="center"/>
          </w:tcPr>
          <w:p>
            <w:pPr>
              <w:spacing w:line="360" w:lineRule="exact"/>
              <w:rPr>
                <w:rFonts w:ascii="宋体" w:hAnsi="宋体"/>
                <w:szCs w:val="21"/>
              </w:rPr>
            </w:pPr>
            <w:r>
              <w:rPr>
                <w:rFonts w:hint="eastAsia" w:ascii="宋体" w:hAnsi="宋体"/>
                <w:szCs w:val="21"/>
              </w:rPr>
              <w:t>金额</w:t>
            </w:r>
          </w:p>
        </w:tc>
        <w:tc>
          <w:tcPr>
            <w:tcW w:w="901" w:type="dxa"/>
            <w:vAlign w:val="center"/>
          </w:tcPr>
          <w:p>
            <w:pPr>
              <w:spacing w:line="360" w:lineRule="exact"/>
              <w:ind w:firstLine="105" w:firstLineChars="50"/>
              <w:rPr>
                <w:rFonts w:ascii="宋体" w:hAnsi="宋体"/>
                <w:szCs w:val="21"/>
              </w:rPr>
            </w:pPr>
            <w:r>
              <w:rPr>
                <w:rFonts w:hint="eastAsia" w:ascii="宋体" w:hAnsi="宋体"/>
                <w:szCs w:val="21"/>
              </w:rPr>
              <w:t>税率</w:t>
            </w:r>
          </w:p>
        </w:tc>
        <w:tc>
          <w:tcPr>
            <w:tcW w:w="857" w:type="dxa"/>
            <w:vAlign w:val="center"/>
          </w:tcPr>
          <w:p>
            <w:pPr>
              <w:spacing w:line="360" w:lineRule="exact"/>
              <w:rPr>
                <w:rFonts w:ascii="宋体" w:hAnsi="宋体"/>
                <w:szCs w:val="21"/>
              </w:rPr>
            </w:pPr>
            <w:r>
              <w:rPr>
                <w:rFonts w:hint="eastAsia" w:ascii="宋体" w:hAnsi="宋体"/>
                <w:szCs w:val="21"/>
              </w:rPr>
              <w:t>税额</w:t>
            </w:r>
          </w:p>
        </w:tc>
        <w:tc>
          <w:tcPr>
            <w:tcW w:w="1077" w:type="dxa"/>
            <w:shd w:val="clear" w:color="auto" w:fill="auto"/>
            <w:vAlign w:val="center"/>
          </w:tcPr>
          <w:p>
            <w:pPr>
              <w:widowControl/>
            </w:pPr>
            <w:r>
              <w:rPr>
                <w:rFonts w:hint="eastAsia"/>
              </w:rPr>
              <w:t>价税合计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5" w:type="dxa"/>
            <w:vAlign w:val="center"/>
          </w:tcPr>
          <w:p>
            <w:pPr>
              <w:spacing w:line="360" w:lineRule="exact"/>
              <w:jc w:val="center"/>
              <w:rPr>
                <w:rFonts w:ascii="宋体" w:hAnsi="宋体"/>
                <w:szCs w:val="21"/>
              </w:rPr>
            </w:pPr>
            <w:r>
              <w:rPr>
                <w:rFonts w:hint="eastAsia" w:ascii="宋体" w:hAnsi="宋体"/>
                <w:szCs w:val="21"/>
              </w:rPr>
              <w:t>1</w:t>
            </w:r>
          </w:p>
        </w:tc>
        <w:tc>
          <w:tcPr>
            <w:tcW w:w="1367" w:type="dxa"/>
            <w:vAlign w:val="center"/>
          </w:tcPr>
          <w:p>
            <w:pPr>
              <w:spacing w:line="360" w:lineRule="exact"/>
              <w:ind w:left="992"/>
              <w:rPr>
                <w:rFonts w:ascii="宋体" w:hAnsi="宋体"/>
                <w:szCs w:val="21"/>
              </w:rPr>
            </w:pPr>
          </w:p>
        </w:tc>
        <w:tc>
          <w:tcPr>
            <w:tcW w:w="1134"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567" w:type="dxa"/>
          </w:tcPr>
          <w:p>
            <w:pPr>
              <w:spacing w:line="360" w:lineRule="exact"/>
              <w:ind w:left="992"/>
              <w:rPr>
                <w:rFonts w:ascii="宋体" w:hAnsi="宋体"/>
                <w:szCs w:val="21"/>
              </w:rPr>
            </w:pPr>
          </w:p>
        </w:tc>
        <w:tc>
          <w:tcPr>
            <w:tcW w:w="992"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901" w:type="dxa"/>
          </w:tcPr>
          <w:p>
            <w:pPr>
              <w:spacing w:line="360" w:lineRule="exact"/>
              <w:ind w:left="992"/>
              <w:rPr>
                <w:rFonts w:ascii="宋体" w:hAnsi="宋体"/>
                <w:szCs w:val="21"/>
              </w:rPr>
            </w:pPr>
          </w:p>
        </w:tc>
        <w:tc>
          <w:tcPr>
            <w:tcW w:w="857" w:type="dxa"/>
          </w:tcPr>
          <w:p>
            <w:pPr>
              <w:spacing w:line="360" w:lineRule="exact"/>
              <w:ind w:left="992"/>
              <w:rPr>
                <w:rFonts w:ascii="宋体" w:hAnsi="宋体"/>
                <w:szCs w:val="21"/>
              </w:rPr>
            </w:pPr>
          </w:p>
        </w:tc>
        <w:tc>
          <w:tcPr>
            <w:tcW w:w="1077"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5" w:type="dxa"/>
            <w:vAlign w:val="center"/>
          </w:tcPr>
          <w:p>
            <w:pPr>
              <w:spacing w:line="360" w:lineRule="exact"/>
              <w:jc w:val="center"/>
              <w:rPr>
                <w:rFonts w:ascii="宋体" w:hAnsi="宋体"/>
                <w:szCs w:val="21"/>
              </w:rPr>
            </w:pPr>
            <w:r>
              <w:rPr>
                <w:rFonts w:hint="eastAsia" w:ascii="宋体" w:hAnsi="宋体"/>
                <w:szCs w:val="21"/>
              </w:rPr>
              <w:t>2</w:t>
            </w:r>
          </w:p>
        </w:tc>
        <w:tc>
          <w:tcPr>
            <w:tcW w:w="1367" w:type="dxa"/>
            <w:vAlign w:val="center"/>
          </w:tcPr>
          <w:p>
            <w:pPr>
              <w:spacing w:line="360" w:lineRule="exact"/>
              <w:ind w:left="992"/>
              <w:rPr>
                <w:rFonts w:ascii="宋体" w:hAnsi="宋体"/>
                <w:szCs w:val="21"/>
              </w:rPr>
            </w:pPr>
          </w:p>
        </w:tc>
        <w:tc>
          <w:tcPr>
            <w:tcW w:w="1134"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567" w:type="dxa"/>
          </w:tcPr>
          <w:p>
            <w:pPr>
              <w:spacing w:line="360" w:lineRule="exact"/>
              <w:ind w:left="992"/>
              <w:rPr>
                <w:rFonts w:ascii="宋体" w:hAnsi="宋体"/>
                <w:szCs w:val="21"/>
              </w:rPr>
            </w:pPr>
          </w:p>
        </w:tc>
        <w:tc>
          <w:tcPr>
            <w:tcW w:w="992" w:type="dxa"/>
          </w:tcPr>
          <w:p>
            <w:pPr>
              <w:spacing w:line="360" w:lineRule="exact"/>
              <w:ind w:left="992"/>
              <w:rPr>
                <w:rFonts w:ascii="宋体" w:hAnsi="宋体"/>
                <w:szCs w:val="21"/>
              </w:rPr>
            </w:pPr>
          </w:p>
        </w:tc>
        <w:tc>
          <w:tcPr>
            <w:tcW w:w="709" w:type="dxa"/>
          </w:tcPr>
          <w:p>
            <w:pPr>
              <w:spacing w:line="360" w:lineRule="exact"/>
              <w:ind w:left="992"/>
              <w:rPr>
                <w:rFonts w:ascii="宋体" w:hAnsi="宋体"/>
                <w:szCs w:val="21"/>
              </w:rPr>
            </w:pPr>
          </w:p>
        </w:tc>
        <w:tc>
          <w:tcPr>
            <w:tcW w:w="901" w:type="dxa"/>
          </w:tcPr>
          <w:p>
            <w:pPr>
              <w:spacing w:line="360" w:lineRule="exact"/>
              <w:ind w:left="992"/>
              <w:rPr>
                <w:rFonts w:ascii="宋体" w:hAnsi="宋体"/>
                <w:szCs w:val="21"/>
              </w:rPr>
            </w:pPr>
          </w:p>
        </w:tc>
        <w:tc>
          <w:tcPr>
            <w:tcW w:w="857" w:type="dxa"/>
          </w:tcPr>
          <w:p>
            <w:pPr>
              <w:spacing w:line="360" w:lineRule="exact"/>
              <w:ind w:left="992"/>
              <w:rPr>
                <w:rFonts w:ascii="宋体" w:hAnsi="宋体"/>
                <w:szCs w:val="21"/>
              </w:rPr>
            </w:pPr>
          </w:p>
        </w:tc>
        <w:tc>
          <w:tcPr>
            <w:tcW w:w="1077"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38" w:type="dxa"/>
            <w:gridSpan w:val="10"/>
            <w:vAlign w:val="center"/>
          </w:tcPr>
          <w:p>
            <w:pPr>
              <w:widowControl/>
              <w:jc w:val="left"/>
            </w:pPr>
            <w:r>
              <w:rPr>
                <w:rFonts w:hint="eastAsia" w:ascii="宋体" w:hAnsi="宋体"/>
                <w:szCs w:val="21"/>
              </w:rPr>
              <w:t xml:space="preserve">价税合计（大写）：                                （小写）￥：       </w:t>
            </w:r>
          </w:p>
        </w:tc>
      </w:tr>
    </w:tbl>
    <w:p>
      <w:pPr>
        <w:ind w:firstLine="7052" w:firstLineChars="3265"/>
        <w:jc w:val="left"/>
        <w:rPr>
          <w:rFonts w:ascii="宋体" w:hAnsi="宋体" w:cs="宋体"/>
          <w:bCs/>
          <w:w w:val="90"/>
          <w:sz w:val="24"/>
        </w:rPr>
      </w:pPr>
      <w:r>
        <w:rPr>
          <w:rFonts w:hint="eastAsia" w:ascii="宋体" w:hAnsi="宋体" w:cs="宋体"/>
          <w:bCs/>
          <w:w w:val="90"/>
          <w:sz w:val="24"/>
        </w:rPr>
        <w:t>注： 此表可扩展</w:t>
      </w:r>
    </w:p>
    <w:p>
      <w:pPr>
        <w:widowControl/>
        <w:jc w:val="left"/>
        <w:rPr>
          <w:rFonts w:ascii="宋体" w:hAnsi="宋体" w:cs="宋体"/>
          <w:color w:val="000000"/>
          <w:kern w:val="0"/>
          <w:sz w:val="24"/>
        </w:rPr>
      </w:pPr>
      <w:r>
        <w:rPr>
          <w:rFonts w:hint="eastAsia" w:ascii="宋体" w:hAnsi="宋体" w:cs="宋体"/>
          <w:color w:val="000000"/>
          <w:kern w:val="0"/>
          <w:sz w:val="24"/>
        </w:rPr>
        <w:t>投标人：</w:t>
      </w:r>
      <w:r>
        <w:rPr>
          <w:rFonts w:hint="eastAsia" w:ascii="宋体" w:hAnsi="宋体" w:cs="宋体"/>
          <w:color w:val="000000"/>
          <w:kern w:val="0"/>
          <w:sz w:val="24"/>
          <w:u w:val="single"/>
        </w:rPr>
        <w:t>                        </w:t>
      </w:r>
      <w:r>
        <w:rPr>
          <w:rFonts w:hint="eastAsia" w:ascii="宋体" w:hAnsi="宋体" w:cs="宋体"/>
          <w:color w:val="000000"/>
          <w:kern w:val="0"/>
          <w:sz w:val="24"/>
        </w:rPr>
        <w:t>(公章)   </w:t>
      </w:r>
    </w:p>
    <w:p>
      <w:pPr>
        <w:widowControl/>
        <w:jc w:val="left"/>
        <w:rPr>
          <w:rFonts w:ascii="宋体" w:hAnsi="宋体" w:cs="宋体"/>
          <w:color w:val="000000"/>
          <w:kern w:val="0"/>
          <w:sz w:val="24"/>
        </w:rPr>
      </w:pPr>
      <w:r>
        <w:rPr>
          <w:rFonts w:hint="eastAsia" w:ascii="宋体" w:hAnsi="宋体" w:cs="宋体"/>
          <w:color w:val="000000"/>
          <w:kern w:val="0"/>
          <w:sz w:val="24"/>
        </w:rPr>
        <w:t>法人或授权人：</w:t>
      </w:r>
      <w:r>
        <w:rPr>
          <w:rFonts w:hint="eastAsia" w:ascii="宋体" w:hAnsi="宋体" w:cs="宋体"/>
          <w:color w:val="000000"/>
          <w:kern w:val="0"/>
          <w:sz w:val="24"/>
          <w:u w:val="single"/>
        </w:rPr>
        <w:t xml:space="preserve">                 </w:t>
      </w:r>
      <w:r>
        <w:rPr>
          <w:rFonts w:hint="eastAsia" w:ascii="宋体" w:hAnsi="宋体" w:cs="宋体"/>
          <w:color w:val="000000"/>
          <w:kern w:val="0"/>
          <w:sz w:val="24"/>
        </w:rPr>
        <w:t>（签字）</w:t>
      </w:r>
    </w:p>
    <w:p>
      <w:pPr>
        <w:widowControl/>
        <w:jc w:val="left"/>
        <w:rPr>
          <w:rFonts w:ascii="宋体" w:hAnsi="宋体" w:cs="宋体"/>
          <w:color w:val="000000"/>
          <w:kern w:val="0"/>
          <w:sz w:val="24"/>
        </w:rPr>
      </w:pPr>
      <w:r>
        <w:rPr>
          <w:rFonts w:hint="eastAsia" w:ascii="宋体" w:hAnsi="宋体" w:cs="宋体"/>
          <w:color w:val="000000"/>
          <w:kern w:val="0"/>
          <w:sz w:val="24"/>
        </w:rPr>
        <w:t>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 </w:t>
      </w:r>
      <w:r>
        <w:rPr>
          <w:rFonts w:hint="eastAsia" w:ascii="宋体" w:hAnsi="宋体"/>
          <w:sz w:val="24"/>
          <w:u w:val="single"/>
        </w:rPr>
        <w:t>   </w:t>
      </w:r>
      <w:r>
        <w:rPr>
          <w:rFonts w:hint="eastAsia" w:ascii="宋体" w:hAnsi="宋体"/>
          <w:sz w:val="24"/>
        </w:rPr>
        <w:t>日</w:t>
      </w:r>
    </w:p>
    <w:p>
      <w:pPr>
        <w:jc w:val="left"/>
        <w:rPr>
          <w:rFonts w:ascii="宋体" w:hAnsi="宋体" w:cs="宋体"/>
          <w:b/>
          <w:sz w:val="24"/>
        </w:rPr>
      </w:pPr>
    </w:p>
    <w:p>
      <w:pPr>
        <w:jc w:val="left"/>
        <w:rPr>
          <w:rFonts w:ascii="宋体" w:hAnsi="宋体" w:cs="宋体"/>
          <w:b/>
          <w:sz w:val="24"/>
        </w:rPr>
      </w:pPr>
      <w:r>
        <w:rPr>
          <w:rFonts w:hint="eastAsia" w:ascii="宋体" w:hAnsi="宋体" w:cs="宋体"/>
          <w:b/>
          <w:sz w:val="24"/>
        </w:rPr>
        <w:t>2.授权书</w:t>
      </w:r>
    </w:p>
    <w:p>
      <w:pPr>
        <w:jc w:val="left"/>
        <w:rPr>
          <w:rFonts w:ascii="宋体" w:hAnsi="宋体"/>
          <w:sz w:val="24"/>
          <w:u w:val="single"/>
        </w:rPr>
      </w:pPr>
      <w:r>
        <w:rPr>
          <w:rFonts w:hint="eastAsia" w:ascii="宋体" w:hAnsi="宋体"/>
          <w:color w:val="000000"/>
          <w:sz w:val="24"/>
        </w:rPr>
        <w:t>致</w:t>
      </w:r>
      <w:r>
        <w:rPr>
          <w:rFonts w:hint="eastAsia" w:ascii="宋体" w:hAnsi="宋体"/>
          <w:sz w:val="24"/>
        </w:rPr>
        <w:t>：</w:t>
      </w:r>
      <w:r>
        <w:rPr>
          <w:rFonts w:hint="eastAsia" w:ascii="宋体" w:hAnsi="宋体"/>
          <w:sz w:val="24"/>
          <w:u w:val="single"/>
        </w:rPr>
        <w:t xml:space="preserve"> 中建路桥集团有限公司</w:t>
      </w:r>
    </w:p>
    <w:p>
      <w:pPr>
        <w:ind w:firstLine="480" w:firstLineChars="200"/>
        <w:jc w:val="left"/>
        <w:rPr>
          <w:rFonts w:ascii="宋体" w:hAnsi="宋体"/>
          <w:sz w:val="24"/>
        </w:rPr>
      </w:pPr>
      <w:r>
        <w:rPr>
          <w:rFonts w:hint="eastAsia" w:ascii="宋体" w:hAnsi="宋体"/>
          <w:sz w:val="24"/>
        </w:rPr>
        <w:t>本授权书宣告：（</w:t>
      </w:r>
      <w:r>
        <w:rPr>
          <w:rFonts w:hint="eastAsia" w:ascii="宋体" w:hAnsi="宋体"/>
          <w:sz w:val="24"/>
          <w:u w:val="single"/>
        </w:rPr>
        <w:t>投标人全称）   </w:t>
      </w:r>
      <w:r>
        <w:rPr>
          <w:rFonts w:hint="eastAsia" w:ascii="宋体" w:hAnsi="宋体"/>
          <w:sz w:val="24"/>
        </w:rPr>
        <w:t> 法定代表人</w:t>
      </w:r>
      <w:r>
        <w:rPr>
          <w:rFonts w:hint="eastAsia" w:ascii="宋体" w:hAnsi="宋体"/>
          <w:sz w:val="24"/>
          <w:u w:val="single"/>
        </w:rPr>
        <w:t>    （姓名）</w:t>
      </w:r>
      <w:r>
        <w:rPr>
          <w:rFonts w:hint="eastAsia" w:ascii="宋体" w:hAnsi="宋体"/>
          <w:sz w:val="24"/>
        </w:rPr>
        <w:t>合法的代表我单位，授权 </w:t>
      </w:r>
      <w:r>
        <w:rPr>
          <w:rFonts w:hint="eastAsia" w:ascii="宋体" w:hAnsi="宋体"/>
          <w:sz w:val="24"/>
          <w:u w:val="single"/>
        </w:rPr>
        <w:t> （投标人或其下属单位称）</w:t>
      </w:r>
      <w:r>
        <w:rPr>
          <w:rFonts w:hint="eastAsia" w:ascii="宋体" w:hAnsi="宋体"/>
          <w:sz w:val="24"/>
        </w:rPr>
        <w:t> 的</w:t>
      </w:r>
      <w:r>
        <w:rPr>
          <w:rFonts w:hint="eastAsia" w:ascii="宋体" w:hAnsi="宋体"/>
          <w:sz w:val="24"/>
          <w:u w:val="single"/>
        </w:rPr>
        <w:t>（姓名）  </w:t>
      </w:r>
      <w:r>
        <w:rPr>
          <w:rFonts w:hint="eastAsia" w:ascii="宋体" w:hAnsi="宋体"/>
          <w:sz w:val="24"/>
        </w:rPr>
        <w:t>为我单位合法代理人，其有权在设备采购项目（招标编号：ZJLQ-FG-WZSB-XXXX）采购招标活动中，以我单位的名义签署投标书和投标文件、与招标人协商、签订合同以及执行一切与此有关的事项。</w:t>
      </w:r>
    </w:p>
    <w:p>
      <w:pPr>
        <w:jc w:val="left"/>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（盖章）</w:t>
      </w:r>
    </w:p>
    <w:p>
      <w:pPr>
        <w:jc w:val="left"/>
        <w:rPr>
          <w:rFonts w:ascii="宋体" w:hAnsi="宋体"/>
          <w:sz w:val="24"/>
        </w:rPr>
      </w:pPr>
      <w:r>
        <w:rPr>
          <w:rFonts w:hint="eastAsia" w:ascii="宋体" w:hAnsi="宋体"/>
          <w:sz w:val="24"/>
        </w:rPr>
        <w:t>法人或授权人：</w:t>
      </w:r>
      <w:r>
        <w:rPr>
          <w:rFonts w:hint="eastAsia" w:ascii="宋体" w:hAnsi="宋体"/>
          <w:sz w:val="24"/>
          <w:u w:val="single"/>
        </w:rPr>
        <w:t xml:space="preserve">                 </w:t>
      </w:r>
      <w:r>
        <w:rPr>
          <w:rFonts w:hint="eastAsia" w:ascii="宋体" w:hAnsi="宋体"/>
          <w:sz w:val="24"/>
        </w:rPr>
        <w:t>（签字）</w:t>
      </w:r>
    </w:p>
    <w:p>
      <w:pPr>
        <w:jc w:val="lef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 </w:t>
      </w:r>
      <w:r>
        <w:rPr>
          <w:rFonts w:hint="eastAsia" w:ascii="宋体" w:hAnsi="宋体"/>
          <w:sz w:val="24"/>
          <w:u w:val="single"/>
        </w:rPr>
        <w:t>   </w:t>
      </w:r>
      <w:r>
        <w:rPr>
          <w:rFonts w:hint="eastAsia" w:ascii="宋体" w:hAnsi="宋体"/>
          <w:sz w:val="24"/>
        </w:rPr>
        <w:t>日</w:t>
      </w:r>
    </w:p>
    <w:p>
      <w:pPr>
        <w:jc w:val="left"/>
        <w:rPr>
          <w:rFonts w:ascii="宋体" w:hAnsi="宋体"/>
          <w:sz w:val="24"/>
        </w:rPr>
      </w:pPr>
    </w:p>
    <w:p>
      <w:pPr>
        <w:tabs>
          <w:tab w:val="left" w:pos="5250"/>
        </w:tabs>
        <w:jc w:val="left"/>
        <w:rPr>
          <w:rFonts w:ascii="宋体" w:hAnsi="宋体" w:cs="宋体"/>
          <w:b/>
          <w:sz w:val="24"/>
        </w:rPr>
      </w:pPr>
      <w:r>
        <w:rPr>
          <w:rFonts w:hint="eastAsia" w:ascii="宋体" w:hAnsi="宋体" w:cs="宋体"/>
          <w:b/>
          <w:sz w:val="24"/>
        </w:rPr>
        <w:t>3.投标承诺书</w:t>
      </w:r>
    </w:p>
    <w:p>
      <w:pPr>
        <w:jc w:val="left"/>
        <w:rPr>
          <w:rFonts w:ascii="宋体" w:hAnsi="宋体"/>
          <w:sz w:val="24"/>
        </w:rPr>
      </w:pPr>
      <w:r>
        <w:rPr>
          <w:rFonts w:hint="eastAsia" w:ascii="宋体" w:hAnsi="宋体"/>
          <w:sz w:val="24"/>
        </w:rPr>
        <w:t>致：中建路桥集团有限公司</w:t>
      </w:r>
    </w:p>
    <w:p>
      <w:pPr>
        <w:pStyle w:val="25"/>
        <w:spacing w:before="0" w:after="0"/>
        <w:rPr>
          <w:kern w:val="2"/>
          <w:szCs w:val="24"/>
        </w:rPr>
      </w:pPr>
      <w:r>
        <w:rPr>
          <w:rFonts w:hint="eastAsia"/>
          <w:kern w:val="2"/>
          <w:szCs w:val="24"/>
        </w:rPr>
        <w:t>（一）在研究了贵单位《中建路桥集团有限公司机械设备采购项目招标文件》（招标编号ZJLQ-FG-WZSB-XXXX ）</w:t>
      </w:r>
      <w:r>
        <w:rPr>
          <w:rFonts w:hint="eastAsia"/>
          <w:szCs w:val="24"/>
        </w:rPr>
        <w:t>，我们愿意遵照招标文件的要求承担本合同的实施及执行本合同的义务。</w:t>
      </w:r>
    </w:p>
    <w:p>
      <w:pPr>
        <w:jc w:val="left"/>
        <w:rPr>
          <w:rFonts w:ascii="宋体" w:hAnsi="宋体"/>
          <w:sz w:val="24"/>
        </w:rPr>
      </w:pPr>
      <w:r>
        <w:rPr>
          <w:rFonts w:hint="eastAsia" w:ascii="宋体" w:hAnsi="宋体"/>
          <w:sz w:val="24"/>
        </w:rPr>
        <w:t>（二）如果你单位接受我方的投标，我们将保证在接到中标通知书后，按要求准时完成合同内容，达到合同规定的要求，并承担设备不符合使用要求或招标要求给贵方带来的损失。</w:t>
      </w:r>
    </w:p>
    <w:p>
      <w:pPr>
        <w:jc w:val="left"/>
        <w:rPr>
          <w:rFonts w:ascii="宋体" w:hAnsi="宋体"/>
          <w:sz w:val="24"/>
        </w:rPr>
      </w:pPr>
      <w:r>
        <w:rPr>
          <w:rFonts w:hint="eastAsia" w:ascii="宋体" w:hAnsi="宋体"/>
          <w:sz w:val="24"/>
        </w:rPr>
        <w:t>（三）我方同意严格遵守本投标书的各项承诺，本投标书始终对我方有约束力，并随时接受中标。</w:t>
      </w:r>
    </w:p>
    <w:p>
      <w:pPr>
        <w:jc w:val="left"/>
        <w:rPr>
          <w:rFonts w:ascii="宋体" w:hAnsi="宋体"/>
          <w:sz w:val="24"/>
        </w:rPr>
      </w:pPr>
      <w:r>
        <w:rPr>
          <w:rFonts w:hint="eastAsia" w:ascii="宋体" w:hAnsi="宋体"/>
          <w:sz w:val="24"/>
        </w:rPr>
        <w:t>（四）在合同签订生效前，本投标书连同你单位的中标通知书将构成我们双方之间共同遵守的文件，对双方具有约束力。</w:t>
      </w:r>
    </w:p>
    <w:p>
      <w:pPr>
        <w:jc w:val="left"/>
        <w:rPr>
          <w:rFonts w:ascii="宋体" w:hAnsi="宋体"/>
          <w:sz w:val="24"/>
        </w:rPr>
      </w:pPr>
      <w:r>
        <w:rPr>
          <w:rFonts w:hint="eastAsia" w:ascii="宋体" w:hAnsi="宋体"/>
          <w:sz w:val="24"/>
        </w:rPr>
        <w:t>（五）我们同意提供贵方可能要求的与其投标相关的一切数据或资料，我们理解你单位不一定接受我单位的投标或你单位接到的其他任何投标，同时也理解，你单位不负担我们的任何投标费用。</w:t>
      </w:r>
    </w:p>
    <w:p>
      <w:pPr>
        <w:jc w:val="left"/>
        <w:rPr>
          <w:rFonts w:ascii="宋体" w:hAnsi="宋体"/>
          <w:sz w:val="24"/>
        </w:rPr>
      </w:pPr>
      <w:r>
        <w:rPr>
          <w:rFonts w:hint="eastAsia" w:ascii="宋体" w:hAnsi="宋体"/>
          <w:sz w:val="24"/>
        </w:rPr>
        <w:t>投标人： </w:t>
      </w:r>
      <w:r>
        <w:rPr>
          <w:rFonts w:hint="eastAsia" w:ascii="宋体" w:hAnsi="宋体"/>
          <w:sz w:val="24"/>
          <w:u w:val="single"/>
        </w:rPr>
        <w:t xml:space="preserve">                        </w:t>
      </w:r>
      <w:r>
        <w:rPr>
          <w:rFonts w:hint="eastAsia" w:ascii="宋体" w:hAnsi="宋体"/>
          <w:sz w:val="24"/>
        </w:rPr>
        <w:t>(公章) </w:t>
      </w:r>
    </w:p>
    <w:p>
      <w:pPr>
        <w:jc w:val="left"/>
        <w:rPr>
          <w:rFonts w:ascii="宋体" w:hAnsi="宋体"/>
          <w:sz w:val="24"/>
        </w:rPr>
      </w:pPr>
      <w:r>
        <w:rPr>
          <w:rFonts w:hint="eastAsia" w:ascii="宋体" w:hAnsi="宋体"/>
          <w:sz w:val="24"/>
        </w:rPr>
        <w:t>法人或授权人：</w:t>
      </w:r>
      <w:r>
        <w:rPr>
          <w:rFonts w:hint="eastAsia" w:ascii="宋体" w:hAnsi="宋体"/>
          <w:b/>
          <w:sz w:val="24"/>
          <w:u w:val="single"/>
        </w:rPr>
        <w:t xml:space="preserve">                  </w:t>
      </w:r>
      <w:r>
        <w:rPr>
          <w:rFonts w:hint="eastAsia" w:ascii="宋体" w:hAnsi="宋体"/>
          <w:sz w:val="24"/>
        </w:rPr>
        <w:t>（签字）</w:t>
      </w:r>
      <w:r>
        <w:rPr>
          <w:rFonts w:hint="eastAsia" w:ascii="宋体" w:hAnsi="宋体"/>
          <w:b/>
          <w:sz w:val="24"/>
          <w:u w:val="single"/>
        </w:rPr>
        <w:t xml:space="preserve">  </w:t>
      </w:r>
      <w:r>
        <w:rPr>
          <w:rFonts w:hint="eastAsia" w:ascii="宋体" w:hAnsi="宋体"/>
          <w:b/>
          <w:sz w:val="24"/>
        </w:rPr>
        <w:t xml:space="preserve">  </w:t>
      </w:r>
    </w:p>
    <w:p>
      <w:pPr>
        <w:jc w:val="left"/>
        <w:rPr>
          <w:rFonts w:ascii="宋体" w:hAnsi="宋体"/>
          <w:sz w:val="24"/>
        </w:rPr>
      </w:pP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jc w:val="left"/>
        <w:rPr>
          <w:rFonts w:ascii="宋体" w:hAnsi="宋体"/>
          <w:sz w:val="24"/>
        </w:rPr>
      </w:pPr>
    </w:p>
    <w:p>
      <w:pPr>
        <w:tabs>
          <w:tab w:val="left" w:pos="5250"/>
        </w:tabs>
        <w:jc w:val="left"/>
        <w:rPr>
          <w:rFonts w:ascii="宋体" w:hAnsi="宋体"/>
          <w:sz w:val="24"/>
        </w:rPr>
      </w:pPr>
      <w:r>
        <w:rPr>
          <w:rFonts w:hint="eastAsia" w:ascii="宋体" w:hAnsi="宋体" w:cs="宋体"/>
          <w:b/>
          <w:sz w:val="24"/>
        </w:rPr>
        <w:t>4.设备技术参数一览表</w:t>
      </w:r>
      <w:r>
        <w:rPr>
          <w:rFonts w:hint="eastAsia" w:ascii="宋体" w:hAnsi="宋体"/>
          <w:sz w:val="24"/>
        </w:rPr>
        <w:t>（第二部分3.2）</w:t>
      </w:r>
    </w:p>
    <w:p>
      <w:pPr>
        <w:tabs>
          <w:tab w:val="left" w:pos="5250"/>
        </w:tabs>
        <w:jc w:val="left"/>
        <w:rPr>
          <w:rFonts w:ascii="宋体" w:hAnsi="宋体" w:cs="宋体"/>
          <w:b/>
          <w:sz w:val="24"/>
        </w:rPr>
      </w:pPr>
    </w:p>
    <w:p>
      <w:pPr>
        <w:tabs>
          <w:tab w:val="left" w:pos="5250"/>
        </w:tabs>
        <w:jc w:val="left"/>
        <w:rPr>
          <w:rFonts w:ascii="宋体" w:hAnsi="宋体" w:cs="宋体"/>
          <w:b/>
          <w:sz w:val="24"/>
        </w:rPr>
      </w:pPr>
      <w:r>
        <w:rPr>
          <w:rFonts w:hint="eastAsia" w:ascii="宋体" w:hAnsi="宋体" w:cs="宋体"/>
          <w:b/>
          <w:sz w:val="24"/>
        </w:rPr>
        <w:t>5.设备关键部件配置一览表</w:t>
      </w:r>
    </w:p>
    <w:tbl>
      <w:tblPr>
        <w:tblStyle w:val="26"/>
        <w:tblW w:w="87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4"/>
        <w:gridCol w:w="1275"/>
        <w:gridCol w:w="1560"/>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系统名称</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应用部件</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型号规格</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厂家铭牌</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产地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852"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w:t>
            </w: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560"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2"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560"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2"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w:t>
            </w: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560"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2"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w:t>
            </w: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560"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cs="宋体" w:asciiTheme="majorEastAsia" w:hAnsiTheme="majorEastAsia" w:eastAsiaTheme="majorEastAsia"/>
                <w:color w:val="000000"/>
                <w:kern w:val="0"/>
                <w:szCs w:val="21"/>
              </w:rPr>
            </w:pPr>
          </w:p>
        </w:tc>
      </w:tr>
    </w:tbl>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注：该表可扩展</w:t>
      </w:r>
    </w:p>
    <w:p>
      <w:pPr>
        <w:tabs>
          <w:tab w:val="left" w:pos="5250"/>
        </w:tabs>
        <w:spacing w:line="500" w:lineRule="exact"/>
        <w:jc w:val="left"/>
        <w:rPr>
          <w:rFonts w:cs="宋体" w:asciiTheme="minorEastAsia" w:hAnsiTheme="minorEastAsia" w:eastAsiaTheme="minorEastAsia"/>
          <w:b/>
          <w:sz w:val="24"/>
        </w:rPr>
      </w:pPr>
      <w:r>
        <w:rPr>
          <w:rFonts w:hint="eastAsia" w:cs="宋体" w:asciiTheme="minorEastAsia" w:hAnsiTheme="minorEastAsia" w:eastAsiaTheme="minorEastAsia"/>
          <w:b/>
          <w:sz w:val="24"/>
        </w:rPr>
        <w:t>6.技术响应（偏离）表</w:t>
      </w:r>
    </w:p>
    <w:tbl>
      <w:tblPr>
        <w:tblStyle w:val="26"/>
        <w:tblW w:w="892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8"/>
        <w:gridCol w:w="1416"/>
        <w:gridCol w:w="1559"/>
        <w:gridCol w:w="1416"/>
        <w:gridCol w:w="127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序号</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技术条目名称</w:t>
            </w:r>
          </w:p>
        </w:tc>
        <w:tc>
          <w:tcPr>
            <w:tcW w:w="1416"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规格条目号</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招标规格</w:t>
            </w:r>
          </w:p>
        </w:tc>
        <w:tc>
          <w:tcPr>
            <w:tcW w:w="1416"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投标规格</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响应/偏离</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r>
              <w:rPr>
                <w:rFonts w:hint="eastAsia" w:ascii="宋体" w:hAnsi="宋体" w:cs="宋体"/>
                <w:w w:val="90"/>
                <w:sz w:val="24"/>
              </w:rPr>
              <w:t>1</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r>
              <w:rPr>
                <w:rFonts w:hint="eastAsia" w:ascii="宋体" w:hAnsi="宋体" w:cs="宋体"/>
                <w:w w:val="90"/>
                <w:sz w:val="24"/>
              </w:rPr>
              <w:t>2</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r>
              <w:rPr>
                <w:rFonts w:hint="eastAsia" w:ascii="宋体" w:hAnsi="宋体" w:cs="宋体"/>
                <w:w w:val="90"/>
                <w:sz w:val="24"/>
              </w:rPr>
              <w:t>3</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r>
              <w:rPr>
                <w:rFonts w:hint="eastAsia" w:ascii="宋体" w:hAnsi="宋体" w:cs="宋体"/>
                <w:w w:val="90"/>
                <w:sz w:val="24"/>
              </w:rPr>
              <w:t>4</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r>
              <w:rPr>
                <w:rFonts w:hint="eastAsia" w:ascii="宋体" w:hAnsi="宋体" w:cs="宋体"/>
                <w:w w:val="90"/>
                <w:sz w:val="24"/>
              </w:rPr>
              <w:t>5</w:t>
            </w:r>
          </w:p>
        </w:tc>
        <w:tc>
          <w:tcPr>
            <w:tcW w:w="15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w w:val="90"/>
                <w:sz w:val="24"/>
              </w:rPr>
            </w:pPr>
          </w:p>
        </w:tc>
      </w:tr>
    </w:tbl>
    <w:p>
      <w:pPr>
        <w:tabs>
          <w:tab w:val="left" w:pos="5250"/>
        </w:tabs>
        <w:spacing w:line="500" w:lineRule="exact"/>
        <w:jc w:val="left"/>
        <w:rPr>
          <w:rFonts w:cs="宋体" w:asciiTheme="majorEastAsia" w:hAnsiTheme="majorEastAsia" w:eastAsiaTheme="majorEastAsia"/>
          <w:b/>
          <w:sz w:val="24"/>
        </w:rPr>
      </w:pPr>
      <w:r>
        <w:rPr>
          <w:rFonts w:hint="eastAsia" w:cs="宋体" w:asciiTheme="majorEastAsia" w:hAnsiTheme="majorEastAsia" w:eastAsiaTheme="majorEastAsia"/>
          <w:b/>
          <w:sz w:val="24"/>
        </w:rPr>
        <w:t>7.销售业绩表（按本企业表格填写）</w:t>
      </w:r>
    </w:p>
    <w:p>
      <w:pPr>
        <w:tabs>
          <w:tab w:val="left" w:pos="5250"/>
        </w:tabs>
        <w:spacing w:line="500" w:lineRule="exact"/>
        <w:jc w:val="left"/>
        <w:rPr>
          <w:rFonts w:cs="宋体" w:asciiTheme="majorEastAsia" w:hAnsiTheme="majorEastAsia" w:eastAsiaTheme="majorEastAsia"/>
          <w:b/>
          <w:sz w:val="24"/>
        </w:rPr>
      </w:pPr>
      <w:r>
        <w:rPr>
          <w:rFonts w:hint="eastAsia" w:cs="宋体" w:asciiTheme="majorEastAsia" w:hAnsiTheme="majorEastAsia" w:eastAsiaTheme="majorEastAsia"/>
          <w:b/>
          <w:sz w:val="24"/>
        </w:rPr>
        <w:t>8.投标人资质资格证明文件（见第一部分6.5.7）</w:t>
      </w:r>
    </w:p>
    <w:p>
      <w:pPr>
        <w:tabs>
          <w:tab w:val="left" w:pos="5250"/>
        </w:tabs>
        <w:spacing w:line="500" w:lineRule="exact"/>
        <w:jc w:val="left"/>
        <w:rPr>
          <w:rFonts w:cs="宋体" w:asciiTheme="majorEastAsia" w:hAnsiTheme="majorEastAsia" w:eastAsiaTheme="majorEastAsia"/>
          <w:b/>
          <w:sz w:val="24"/>
        </w:rPr>
      </w:pPr>
      <w:r>
        <w:rPr>
          <w:rFonts w:hint="eastAsia" w:cs="宋体" w:asciiTheme="majorEastAsia" w:hAnsiTheme="majorEastAsia" w:eastAsiaTheme="majorEastAsia"/>
          <w:b/>
          <w:sz w:val="24"/>
        </w:rPr>
        <w:t>9.其他文件</w:t>
      </w:r>
    </w:p>
    <w:sectPr>
      <w:footerReference r:id="rId3" w:type="default"/>
      <w:footerReference r:id="rId4" w:type="even"/>
      <w:pgSz w:w="11906" w:h="16838"/>
      <w:pgMar w:top="1871" w:right="1247" w:bottom="1712"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9"/>
      </w:rPr>
    </w:pPr>
    <w:r>
      <w:fldChar w:fldCharType="begin"/>
    </w:r>
    <w:r>
      <w:rPr>
        <w:rStyle w:val="29"/>
      </w:rPr>
      <w:instrText xml:space="preserve">PAGE  </w:instrTex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none"/>
      <w:pStyle w:val="2"/>
      <w:lvlText w:val="( a )"/>
      <w:lvlJc w:val="left"/>
      <w:pPr>
        <w:tabs>
          <w:tab w:val="left" w:pos="1080"/>
        </w:tabs>
        <w:ind w:left="0" w:firstLine="0"/>
      </w:pPr>
      <w:rPr>
        <w:rFonts w:hint="eastAsia"/>
      </w:rPr>
    </w:lvl>
    <w:lvl w:ilvl="1" w:tentative="0">
      <w:start w:val="1"/>
      <w:numFmt w:val="lowerRoman"/>
      <w:pStyle w:val="3"/>
      <w:lvlText w:val="( %2 )"/>
      <w:lvlJc w:val="left"/>
      <w:pPr>
        <w:tabs>
          <w:tab w:val="left" w:pos="2291"/>
        </w:tabs>
        <w:ind w:left="851" w:firstLine="0"/>
      </w:pPr>
      <w:rPr>
        <w:rFonts w:hint="eastAsia"/>
      </w:rPr>
    </w:lvl>
    <w:lvl w:ilvl="2" w:tentative="0">
      <w:start w:val="1"/>
      <w:numFmt w:val="decimal"/>
      <w:pStyle w:val="5"/>
      <w:lvlText w:val="%3."/>
      <w:lvlJc w:val="left"/>
      <w:pPr>
        <w:tabs>
          <w:tab w:val="left" w:pos="2061"/>
        </w:tabs>
        <w:ind w:left="1701" w:firstLine="0"/>
      </w:pPr>
      <w:rPr>
        <w:rFonts w:hint="eastAsia"/>
      </w:rPr>
    </w:lvl>
    <w:lvl w:ilvl="3" w:tentative="0">
      <w:start w:val="1"/>
      <w:numFmt w:val="lowerLetter"/>
      <w:pStyle w:val="6"/>
      <w:lvlText w:val="%4)"/>
      <w:lvlJc w:val="left"/>
      <w:pPr>
        <w:tabs>
          <w:tab w:val="left" w:pos="2976"/>
        </w:tabs>
        <w:ind w:left="2551" w:firstLine="0"/>
      </w:pPr>
      <w:rPr>
        <w:rFonts w:hint="eastAsia"/>
      </w:rPr>
    </w:lvl>
    <w:lvl w:ilvl="4" w:tentative="0">
      <w:start w:val="1"/>
      <w:numFmt w:val="decimal"/>
      <w:pStyle w:val="7"/>
      <w:lvlText w:val="(%5)"/>
      <w:lvlJc w:val="left"/>
      <w:pPr>
        <w:tabs>
          <w:tab w:val="left" w:pos="3827"/>
        </w:tabs>
        <w:ind w:left="3402" w:firstLine="0"/>
      </w:pPr>
      <w:rPr>
        <w:rFonts w:hint="eastAsia"/>
      </w:rPr>
    </w:lvl>
    <w:lvl w:ilvl="5" w:tentative="0">
      <w:start w:val="1"/>
      <w:numFmt w:val="lowerLetter"/>
      <w:pStyle w:val="8"/>
      <w:lvlText w:val="(%6)"/>
      <w:lvlJc w:val="left"/>
      <w:pPr>
        <w:tabs>
          <w:tab w:val="left" w:pos="4677"/>
        </w:tabs>
        <w:ind w:left="4252" w:firstLine="0"/>
      </w:pPr>
      <w:rPr>
        <w:rFonts w:hint="eastAsia"/>
      </w:rPr>
    </w:lvl>
    <w:lvl w:ilvl="6" w:tentative="0">
      <w:start w:val="1"/>
      <w:numFmt w:val="lowerRoman"/>
      <w:pStyle w:val="9"/>
      <w:lvlText w:val="(%7)"/>
      <w:lvlJc w:val="left"/>
      <w:pPr>
        <w:tabs>
          <w:tab w:val="left" w:pos="5528"/>
        </w:tabs>
        <w:ind w:left="5102" w:firstLine="0"/>
      </w:pPr>
      <w:rPr>
        <w:rFonts w:hint="eastAsia"/>
      </w:rPr>
    </w:lvl>
    <w:lvl w:ilvl="7" w:tentative="0">
      <w:start w:val="1"/>
      <w:numFmt w:val="lowerLetter"/>
      <w:pStyle w:val="10"/>
      <w:lvlText w:val="(%8)"/>
      <w:lvlJc w:val="left"/>
      <w:pPr>
        <w:tabs>
          <w:tab w:val="left" w:pos="6378"/>
        </w:tabs>
        <w:ind w:left="5953" w:firstLine="0"/>
      </w:pPr>
      <w:rPr>
        <w:rFonts w:hint="eastAsia"/>
      </w:rPr>
    </w:lvl>
    <w:lvl w:ilvl="8" w:tentative="0">
      <w:start w:val="1"/>
      <w:numFmt w:val="lowerRoman"/>
      <w:pStyle w:val="11"/>
      <w:lvlText w:val="(%9)"/>
      <w:lvlJc w:val="left"/>
      <w:pPr>
        <w:tabs>
          <w:tab w:val="left" w:pos="7228"/>
        </w:tabs>
        <w:ind w:left="6803" w:firstLine="0"/>
      </w:pPr>
      <w:rPr>
        <w:rFonts w:hint="eastAsia"/>
      </w:rPr>
    </w:lvl>
  </w:abstractNum>
  <w:abstractNum w:abstractNumId="1">
    <w:nsid w:val="00000013"/>
    <w:multiLevelType w:val="singleLevel"/>
    <w:tmpl w:val="00000013"/>
    <w:lvl w:ilvl="0" w:tentative="0">
      <w:start w:val="1"/>
      <w:numFmt w:val="japaneseCounting"/>
      <w:pStyle w:val="40"/>
      <w:lvlText w:val="%1、"/>
      <w:lvlJc w:val="left"/>
      <w:pPr>
        <w:tabs>
          <w:tab w:val="left" w:pos="720"/>
        </w:tabs>
        <w:ind w:left="720"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23"/>
    <w:rsid w:val="00006BCB"/>
    <w:rsid w:val="000238DB"/>
    <w:rsid w:val="00032194"/>
    <w:rsid w:val="0003296B"/>
    <w:rsid w:val="000601BB"/>
    <w:rsid w:val="0006286D"/>
    <w:rsid w:val="00065A63"/>
    <w:rsid w:val="000730D4"/>
    <w:rsid w:val="000751CE"/>
    <w:rsid w:val="000807F2"/>
    <w:rsid w:val="00081747"/>
    <w:rsid w:val="00087147"/>
    <w:rsid w:val="000911C3"/>
    <w:rsid w:val="000B074C"/>
    <w:rsid w:val="000B5E4E"/>
    <w:rsid w:val="000C00A4"/>
    <w:rsid w:val="000E41A6"/>
    <w:rsid w:val="000E7AFF"/>
    <w:rsid w:val="000F3A46"/>
    <w:rsid w:val="000F5E29"/>
    <w:rsid w:val="00101EE7"/>
    <w:rsid w:val="001115AA"/>
    <w:rsid w:val="00120C6A"/>
    <w:rsid w:val="00121D67"/>
    <w:rsid w:val="00122802"/>
    <w:rsid w:val="00124928"/>
    <w:rsid w:val="00137591"/>
    <w:rsid w:val="00137F5B"/>
    <w:rsid w:val="00151639"/>
    <w:rsid w:val="001556E6"/>
    <w:rsid w:val="00156745"/>
    <w:rsid w:val="001572BC"/>
    <w:rsid w:val="001614F1"/>
    <w:rsid w:val="00167EA1"/>
    <w:rsid w:val="00172A27"/>
    <w:rsid w:val="00177035"/>
    <w:rsid w:val="00182C0A"/>
    <w:rsid w:val="001844ED"/>
    <w:rsid w:val="00187948"/>
    <w:rsid w:val="00196F9B"/>
    <w:rsid w:val="001A0146"/>
    <w:rsid w:val="001A3C2E"/>
    <w:rsid w:val="001A7E4C"/>
    <w:rsid w:val="001B2F11"/>
    <w:rsid w:val="001B4A7E"/>
    <w:rsid w:val="001C35E5"/>
    <w:rsid w:val="001C4A46"/>
    <w:rsid w:val="001D07C6"/>
    <w:rsid w:val="001D77DB"/>
    <w:rsid w:val="001E2BA6"/>
    <w:rsid w:val="001E2E4B"/>
    <w:rsid w:val="001F295E"/>
    <w:rsid w:val="002022B1"/>
    <w:rsid w:val="00203CD9"/>
    <w:rsid w:val="00205919"/>
    <w:rsid w:val="00214445"/>
    <w:rsid w:val="00214B81"/>
    <w:rsid w:val="00214F00"/>
    <w:rsid w:val="0022104A"/>
    <w:rsid w:val="0022143A"/>
    <w:rsid w:val="0022287C"/>
    <w:rsid w:val="00235B82"/>
    <w:rsid w:val="00244026"/>
    <w:rsid w:val="00245326"/>
    <w:rsid w:val="00246A1A"/>
    <w:rsid w:val="00250F16"/>
    <w:rsid w:val="00255DC3"/>
    <w:rsid w:val="00260E3B"/>
    <w:rsid w:val="0026178D"/>
    <w:rsid w:val="002645CA"/>
    <w:rsid w:val="002659C7"/>
    <w:rsid w:val="002670F3"/>
    <w:rsid w:val="00270429"/>
    <w:rsid w:val="00276F27"/>
    <w:rsid w:val="00277279"/>
    <w:rsid w:val="002850D6"/>
    <w:rsid w:val="00285C7B"/>
    <w:rsid w:val="002B743D"/>
    <w:rsid w:val="002C074E"/>
    <w:rsid w:val="002D03CE"/>
    <w:rsid w:val="002D7B2F"/>
    <w:rsid w:val="002E03C9"/>
    <w:rsid w:val="00302336"/>
    <w:rsid w:val="00313F10"/>
    <w:rsid w:val="00315E91"/>
    <w:rsid w:val="00317AD6"/>
    <w:rsid w:val="00323D32"/>
    <w:rsid w:val="00332CED"/>
    <w:rsid w:val="00337DD0"/>
    <w:rsid w:val="00346F52"/>
    <w:rsid w:val="003529A6"/>
    <w:rsid w:val="003614E6"/>
    <w:rsid w:val="00361D18"/>
    <w:rsid w:val="00364026"/>
    <w:rsid w:val="00371730"/>
    <w:rsid w:val="00380B21"/>
    <w:rsid w:val="00395F6E"/>
    <w:rsid w:val="00397CC7"/>
    <w:rsid w:val="003A0055"/>
    <w:rsid w:val="003A6F24"/>
    <w:rsid w:val="003B0086"/>
    <w:rsid w:val="003B1548"/>
    <w:rsid w:val="003B584E"/>
    <w:rsid w:val="003C1307"/>
    <w:rsid w:val="003C31E0"/>
    <w:rsid w:val="003C4C42"/>
    <w:rsid w:val="003D2396"/>
    <w:rsid w:val="003E0FF5"/>
    <w:rsid w:val="003E3BAC"/>
    <w:rsid w:val="003F2B68"/>
    <w:rsid w:val="00401347"/>
    <w:rsid w:val="00427A68"/>
    <w:rsid w:val="00436199"/>
    <w:rsid w:val="00440D6D"/>
    <w:rsid w:val="00443F95"/>
    <w:rsid w:val="00477E2C"/>
    <w:rsid w:val="004822C9"/>
    <w:rsid w:val="00490012"/>
    <w:rsid w:val="004936F9"/>
    <w:rsid w:val="00494F6F"/>
    <w:rsid w:val="00495350"/>
    <w:rsid w:val="00496E6B"/>
    <w:rsid w:val="004A161F"/>
    <w:rsid w:val="004A4381"/>
    <w:rsid w:val="004A4D65"/>
    <w:rsid w:val="004A65EF"/>
    <w:rsid w:val="004A78ED"/>
    <w:rsid w:val="004B7C45"/>
    <w:rsid w:val="004C080A"/>
    <w:rsid w:val="004C1E3B"/>
    <w:rsid w:val="004C2CC9"/>
    <w:rsid w:val="004D4FB6"/>
    <w:rsid w:val="004E784B"/>
    <w:rsid w:val="004F078A"/>
    <w:rsid w:val="004F51A5"/>
    <w:rsid w:val="00502C3A"/>
    <w:rsid w:val="00513CA5"/>
    <w:rsid w:val="005306DF"/>
    <w:rsid w:val="00530A4C"/>
    <w:rsid w:val="005321C8"/>
    <w:rsid w:val="0053339D"/>
    <w:rsid w:val="00533459"/>
    <w:rsid w:val="00540289"/>
    <w:rsid w:val="005504F1"/>
    <w:rsid w:val="00553277"/>
    <w:rsid w:val="00556843"/>
    <w:rsid w:val="005600C2"/>
    <w:rsid w:val="005616E9"/>
    <w:rsid w:val="00564D62"/>
    <w:rsid w:val="00565134"/>
    <w:rsid w:val="00566DA2"/>
    <w:rsid w:val="00573DF5"/>
    <w:rsid w:val="00583062"/>
    <w:rsid w:val="00586ABD"/>
    <w:rsid w:val="00590E71"/>
    <w:rsid w:val="005A2A81"/>
    <w:rsid w:val="005B138E"/>
    <w:rsid w:val="005B1F1F"/>
    <w:rsid w:val="005B3C66"/>
    <w:rsid w:val="005D490C"/>
    <w:rsid w:val="005E40A3"/>
    <w:rsid w:val="005F1CC2"/>
    <w:rsid w:val="005F4450"/>
    <w:rsid w:val="005F62C6"/>
    <w:rsid w:val="00602424"/>
    <w:rsid w:val="00610762"/>
    <w:rsid w:val="00624646"/>
    <w:rsid w:val="00625B22"/>
    <w:rsid w:val="0063248C"/>
    <w:rsid w:val="00635A0F"/>
    <w:rsid w:val="006365D1"/>
    <w:rsid w:val="00655BEC"/>
    <w:rsid w:val="0065720E"/>
    <w:rsid w:val="006759D1"/>
    <w:rsid w:val="00677FD1"/>
    <w:rsid w:val="00681992"/>
    <w:rsid w:val="006821A3"/>
    <w:rsid w:val="0069319E"/>
    <w:rsid w:val="006961A8"/>
    <w:rsid w:val="006C34DD"/>
    <w:rsid w:val="006C4841"/>
    <w:rsid w:val="006C4D7C"/>
    <w:rsid w:val="006D08B4"/>
    <w:rsid w:val="006D4F60"/>
    <w:rsid w:val="006D5E3E"/>
    <w:rsid w:val="006E0690"/>
    <w:rsid w:val="006E287C"/>
    <w:rsid w:val="006F5054"/>
    <w:rsid w:val="006F6BF9"/>
    <w:rsid w:val="0070467F"/>
    <w:rsid w:val="00704F33"/>
    <w:rsid w:val="007056F1"/>
    <w:rsid w:val="007113A6"/>
    <w:rsid w:val="0071433C"/>
    <w:rsid w:val="00717380"/>
    <w:rsid w:val="00723AE9"/>
    <w:rsid w:val="00730EDE"/>
    <w:rsid w:val="00731557"/>
    <w:rsid w:val="0073314B"/>
    <w:rsid w:val="00734ACF"/>
    <w:rsid w:val="00736D0D"/>
    <w:rsid w:val="00740CC6"/>
    <w:rsid w:val="0076030B"/>
    <w:rsid w:val="00776286"/>
    <w:rsid w:val="00777498"/>
    <w:rsid w:val="0078238D"/>
    <w:rsid w:val="0079486C"/>
    <w:rsid w:val="007953B1"/>
    <w:rsid w:val="00796285"/>
    <w:rsid w:val="00797B39"/>
    <w:rsid w:val="007A4E3E"/>
    <w:rsid w:val="007B652E"/>
    <w:rsid w:val="007B7EA0"/>
    <w:rsid w:val="007C0488"/>
    <w:rsid w:val="007C4A20"/>
    <w:rsid w:val="007D0F3C"/>
    <w:rsid w:val="007E38F4"/>
    <w:rsid w:val="007F2354"/>
    <w:rsid w:val="00800108"/>
    <w:rsid w:val="00800308"/>
    <w:rsid w:val="00802C77"/>
    <w:rsid w:val="00804658"/>
    <w:rsid w:val="0081340D"/>
    <w:rsid w:val="008304FB"/>
    <w:rsid w:val="00844528"/>
    <w:rsid w:val="0085098C"/>
    <w:rsid w:val="00857645"/>
    <w:rsid w:val="008662EC"/>
    <w:rsid w:val="00866F84"/>
    <w:rsid w:val="00870AA4"/>
    <w:rsid w:val="00871059"/>
    <w:rsid w:val="0087146E"/>
    <w:rsid w:val="00873BC2"/>
    <w:rsid w:val="00877C24"/>
    <w:rsid w:val="0089535C"/>
    <w:rsid w:val="008A053C"/>
    <w:rsid w:val="008A0B33"/>
    <w:rsid w:val="008A55E7"/>
    <w:rsid w:val="008C27F7"/>
    <w:rsid w:val="008C2AD1"/>
    <w:rsid w:val="008C2C25"/>
    <w:rsid w:val="008D1DCE"/>
    <w:rsid w:val="008D4909"/>
    <w:rsid w:val="008D4E4A"/>
    <w:rsid w:val="008D700B"/>
    <w:rsid w:val="008E0CB6"/>
    <w:rsid w:val="008E5E1E"/>
    <w:rsid w:val="008E69E8"/>
    <w:rsid w:val="008F037D"/>
    <w:rsid w:val="008F5214"/>
    <w:rsid w:val="008F64B6"/>
    <w:rsid w:val="0090459C"/>
    <w:rsid w:val="0091014D"/>
    <w:rsid w:val="009121CC"/>
    <w:rsid w:val="009162EC"/>
    <w:rsid w:val="00917A67"/>
    <w:rsid w:val="00926391"/>
    <w:rsid w:val="00927B1B"/>
    <w:rsid w:val="0093154C"/>
    <w:rsid w:val="0093409A"/>
    <w:rsid w:val="009377AA"/>
    <w:rsid w:val="00937827"/>
    <w:rsid w:val="00937D85"/>
    <w:rsid w:val="0094026B"/>
    <w:rsid w:val="00941720"/>
    <w:rsid w:val="00943B9F"/>
    <w:rsid w:val="00943C75"/>
    <w:rsid w:val="00973243"/>
    <w:rsid w:val="009763B5"/>
    <w:rsid w:val="00981BE8"/>
    <w:rsid w:val="00982067"/>
    <w:rsid w:val="009873BF"/>
    <w:rsid w:val="0098774C"/>
    <w:rsid w:val="009900FD"/>
    <w:rsid w:val="00991D2D"/>
    <w:rsid w:val="00995C0E"/>
    <w:rsid w:val="009A6C08"/>
    <w:rsid w:val="009B07B4"/>
    <w:rsid w:val="009B1A28"/>
    <w:rsid w:val="009B2DBD"/>
    <w:rsid w:val="009B5EDF"/>
    <w:rsid w:val="009C60BA"/>
    <w:rsid w:val="009E137F"/>
    <w:rsid w:val="009F5588"/>
    <w:rsid w:val="009F6596"/>
    <w:rsid w:val="00A034F6"/>
    <w:rsid w:val="00A07115"/>
    <w:rsid w:val="00A15367"/>
    <w:rsid w:val="00A16810"/>
    <w:rsid w:val="00A17B75"/>
    <w:rsid w:val="00A17C88"/>
    <w:rsid w:val="00A26026"/>
    <w:rsid w:val="00A3409E"/>
    <w:rsid w:val="00A37D86"/>
    <w:rsid w:val="00A509AC"/>
    <w:rsid w:val="00A53C01"/>
    <w:rsid w:val="00A614FA"/>
    <w:rsid w:val="00A706F2"/>
    <w:rsid w:val="00A9573D"/>
    <w:rsid w:val="00A965A9"/>
    <w:rsid w:val="00AB2A83"/>
    <w:rsid w:val="00AD3B3F"/>
    <w:rsid w:val="00AD513D"/>
    <w:rsid w:val="00AD697A"/>
    <w:rsid w:val="00AE0485"/>
    <w:rsid w:val="00AE5562"/>
    <w:rsid w:val="00AE6824"/>
    <w:rsid w:val="00AE68DA"/>
    <w:rsid w:val="00AF0057"/>
    <w:rsid w:val="00AF47B7"/>
    <w:rsid w:val="00AF4955"/>
    <w:rsid w:val="00B018D2"/>
    <w:rsid w:val="00B020C0"/>
    <w:rsid w:val="00B04D24"/>
    <w:rsid w:val="00B16C83"/>
    <w:rsid w:val="00B245C4"/>
    <w:rsid w:val="00B300CC"/>
    <w:rsid w:val="00B3346A"/>
    <w:rsid w:val="00B4010D"/>
    <w:rsid w:val="00B408B8"/>
    <w:rsid w:val="00B41477"/>
    <w:rsid w:val="00B41501"/>
    <w:rsid w:val="00B424D5"/>
    <w:rsid w:val="00B4361A"/>
    <w:rsid w:val="00B52905"/>
    <w:rsid w:val="00B71DAB"/>
    <w:rsid w:val="00B74AD7"/>
    <w:rsid w:val="00B75B46"/>
    <w:rsid w:val="00B83FB0"/>
    <w:rsid w:val="00B844FA"/>
    <w:rsid w:val="00BB3072"/>
    <w:rsid w:val="00BB4D87"/>
    <w:rsid w:val="00BD4906"/>
    <w:rsid w:val="00BD7F5C"/>
    <w:rsid w:val="00BE2F7F"/>
    <w:rsid w:val="00BE4503"/>
    <w:rsid w:val="00BF2461"/>
    <w:rsid w:val="00BF62D3"/>
    <w:rsid w:val="00C02F2E"/>
    <w:rsid w:val="00C11A4E"/>
    <w:rsid w:val="00C11BF0"/>
    <w:rsid w:val="00C152AE"/>
    <w:rsid w:val="00C25F00"/>
    <w:rsid w:val="00C25F51"/>
    <w:rsid w:val="00C32371"/>
    <w:rsid w:val="00C344D1"/>
    <w:rsid w:val="00C416DF"/>
    <w:rsid w:val="00C47D92"/>
    <w:rsid w:val="00C61512"/>
    <w:rsid w:val="00C710AE"/>
    <w:rsid w:val="00C74D5D"/>
    <w:rsid w:val="00C759EF"/>
    <w:rsid w:val="00C83DEB"/>
    <w:rsid w:val="00C87D51"/>
    <w:rsid w:val="00C9219B"/>
    <w:rsid w:val="00C9587C"/>
    <w:rsid w:val="00CB09BB"/>
    <w:rsid w:val="00CC0EB3"/>
    <w:rsid w:val="00CC4022"/>
    <w:rsid w:val="00CC7C15"/>
    <w:rsid w:val="00CE5853"/>
    <w:rsid w:val="00CE7F93"/>
    <w:rsid w:val="00CF0F53"/>
    <w:rsid w:val="00CF3537"/>
    <w:rsid w:val="00CF408C"/>
    <w:rsid w:val="00CF5646"/>
    <w:rsid w:val="00CF6EC7"/>
    <w:rsid w:val="00D02797"/>
    <w:rsid w:val="00D02EA8"/>
    <w:rsid w:val="00D0317D"/>
    <w:rsid w:val="00D15986"/>
    <w:rsid w:val="00D16255"/>
    <w:rsid w:val="00D17189"/>
    <w:rsid w:val="00D22D65"/>
    <w:rsid w:val="00D337E0"/>
    <w:rsid w:val="00D3750D"/>
    <w:rsid w:val="00D46174"/>
    <w:rsid w:val="00D46A64"/>
    <w:rsid w:val="00D64A03"/>
    <w:rsid w:val="00D6646E"/>
    <w:rsid w:val="00D6760F"/>
    <w:rsid w:val="00D80381"/>
    <w:rsid w:val="00D94E0B"/>
    <w:rsid w:val="00DA7E1A"/>
    <w:rsid w:val="00DB02A2"/>
    <w:rsid w:val="00DB25A6"/>
    <w:rsid w:val="00DB634D"/>
    <w:rsid w:val="00DC0E41"/>
    <w:rsid w:val="00DD73A1"/>
    <w:rsid w:val="00DE2169"/>
    <w:rsid w:val="00DE4321"/>
    <w:rsid w:val="00DE4FE3"/>
    <w:rsid w:val="00E011F5"/>
    <w:rsid w:val="00E025D8"/>
    <w:rsid w:val="00E026C2"/>
    <w:rsid w:val="00E11340"/>
    <w:rsid w:val="00E113C1"/>
    <w:rsid w:val="00E12019"/>
    <w:rsid w:val="00E216A5"/>
    <w:rsid w:val="00E25E96"/>
    <w:rsid w:val="00E34F58"/>
    <w:rsid w:val="00E360B2"/>
    <w:rsid w:val="00E36DAF"/>
    <w:rsid w:val="00E36EAE"/>
    <w:rsid w:val="00E45CC8"/>
    <w:rsid w:val="00E50CD1"/>
    <w:rsid w:val="00E51556"/>
    <w:rsid w:val="00E56057"/>
    <w:rsid w:val="00E56455"/>
    <w:rsid w:val="00E57C8C"/>
    <w:rsid w:val="00E61F2A"/>
    <w:rsid w:val="00E73EAB"/>
    <w:rsid w:val="00E757D5"/>
    <w:rsid w:val="00E77F41"/>
    <w:rsid w:val="00E803FD"/>
    <w:rsid w:val="00E82519"/>
    <w:rsid w:val="00E9451E"/>
    <w:rsid w:val="00E95080"/>
    <w:rsid w:val="00E95FD2"/>
    <w:rsid w:val="00EB474E"/>
    <w:rsid w:val="00EB48F9"/>
    <w:rsid w:val="00EB4FD1"/>
    <w:rsid w:val="00EC4272"/>
    <w:rsid w:val="00ED37AB"/>
    <w:rsid w:val="00ED4CAE"/>
    <w:rsid w:val="00EE1630"/>
    <w:rsid w:val="00EF11A5"/>
    <w:rsid w:val="00F0146C"/>
    <w:rsid w:val="00F066E3"/>
    <w:rsid w:val="00F127C0"/>
    <w:rsid w:val="00F1418A"/>
    <w:rsid w:val="00F148EE"/>
    <w:rsid w:val="00F1733D"/>
    <w:rsid w:val="00F31419"/>
    <w:rsid w:val="00F33019"/>
    <w:rsid w:val="00F33EE5"/>
    <w:rsid w:val="00F419F2"/>
    <w:rsid w:val="00F46C54"/>
    <w:rsid w:val="00F639C8"/>
    <w:rsid w:val="00F671AB"/>
    <w:rsid w:val="00F72376"/>
    <w:rsid w:val="00F72F0A"/>
    <w:rsid w:val="00F77CD1"/>
    <w:rsid w:val="00F809CB"/>
    <w:rsid w:val="00F81D66"/>
    <w:rsid w:val="00F83F04"/>
    <w:rsid w:val="00F87B63"/>
    <w:rsid w:val="00F910DC"/>
    <w:rsid w:val="00FA6017"/>
    <w:rsid w:val="00FB5327"/>
    <w:rsid w:val="00FB543D"/>
    <w:rsid w:val="00FC04A0"/>
    <w:rsid w:val="00FC6778"/>
    <w:rsid w:val="00FC7BE5"/>
    <w:rsid w:val="00FD7DD1"/>
    <w:rsid w:val="00FF2324"/>
    <w:rsid w:val="013E7537"/>
    <w:rsid w:val="0D0B69B3"/>
    <w:rsid w:val="122D63E5"/>
    <w:rsid w:val="19414DFD"/>
    <w:rsid w:val="1B536E91"/>
    <w:rsid w:val="252C4C4D"/>
    <w:rsid w:val="25F20707"/>
    <w:rsid w:val="26554FC7"/>
    <w:rsid w:val="27784E6A"/>
    <w:rsid w:val="29D4345F"/>
    <w:rsid w:val="2F745162"/>
    <w:rsid w:val="30144750"/>
    <w:rsid w:val="36743F14"/>
    <w:rsid w:val="36E901F2"/>
    <w:rsid w:val="37426DEE"/>
    <w:rsid w:val="398339E3"/>
    <w:rsid w:val="3E85592C"/>
    <w:rsid w:val="40DF5411"/>
    <w:rsid w:val="42B11BA6"/>
    <w:rsid w:val="438959B7"/>
    <w:rsid w:val="47AE444E"/>
    <w:rsid w:val="4872754F"/>
    <w:rsid w:val="4AFB2B76"/>
    <w:rsid w:val="4D3E5586"/>
    <w:rsid w:val="4FE50942"/>
    <w:rsid w:val="50781EB4"/>
    <w:rsid w:val="52374220"/>
    <w:rsid w:val="546A1852"/>
    <w:rsid w:val="56825339"/>
    <w:rsid w:val="575172F5"/>
    <w:rsid w:val="5B581BED"/>
    <w:rsid w:val="5BF20867"/>
    <w:rsid w:val="5D154C19"/>
    <w:rsid w:val="5DBF13ED"/>
    <w:rsid w:val="622C5324"/>
    <w:rsid w:val="64E34A9E"/>
    <w:rsid w:val="71725BB0"/>
    <w:rsid w:val="76B647B5"/>
    <w:rsid w:val="77AD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sz w:val="32"/>
      <w:szCs w:val="20"/>
    </w:rPr>
  </w:style>
  <w:style w:type="paragraph" w:styleId="5">
    <w:name w:val="heading 3"/>
    <w:basedOn w:val="1"/>
    <w:next w:val="4"/>
    <w:qFormat/>
    <w:uiPriority w:val="0"/>
    <w:pPr>
      <w:keepNext/>
      <w:keepLines/>
      <w:numPr>
        <w:ilvl w:val="2"/>
        <w:numId w:val="1"/>
      </w:numPr>
      <w:spacing w:before="260" w:after="260" w:line="416" w:lineRule="auto"/>
      <w:outlineLvl w:val="2"/>
    </w:pPr>
    <w:rPr>
      <w:b/>
      <w:sz w:val="32"/>
      <w:szCs w:val="20"/>
    </w:rPr>
  </w:style>
  <w:style w:type="paragraph" w:styleId="6">
    <w:name w:val="heading 4"/>
    <w:basedOn w:val="1"/>
    <w:next w:val="4"/>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4"/>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4"/>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12">
    <w:name w:val="Salutation"/>
    <w:basedOn w:val="1"/>
    <w:next w:val="1"/>
    <w:link w:val="36"/>
    <w:qFormat/>
    <w:uiPriority w:val="0"/>
    <w:pPr>
      <w:spacing w:before="100" w:after="100"/>
    </w:pPr>
    <w:rPr>
      <w:kern w:val="0"/>
      <w:sz w:val="24"/>
    </w:rPr>
  </w:style>
  <w:style w:type="paragraph" w:styleId="13">
    <w:name w:val="Body Text 3"/>
    <w:basedOn w:val="1"/>
    <w:qFormat/>
    <w:uiPriority w:val="0"/>
    <w:pPr>
      <w:jc w:val="left"/>
    </w:pPr>
    <w:rPr>
      <w:rFonts w:ascii="宋体" w:hAnsi="宋体"/>
    </w:rPr>
  </w:style>
  <w:style w:type="paragraph" w:styleId="14">
    <w:name w:val="Body Text"/>
    <w:basedOn w:val="1"/>
    <w:qFormat/>
    <w:uiPriority w:val="0"/>
    <w:pPr>
      <w:spacing w:after="120"/>
    </w:pPr>
  </w:style>
  <w:style w:type="paragraph" w:styleId="15">
    <w:name w:val="Body Text Indent"/>
    <w:basedOn w:val="1"/>
    <w:qFormat/>
    <w:uiPriority w:val="0"/>
    <w:pPr>
      <w:ind w:left="630"/>
      <w:outlineLvl w:val="0"/>
    </w:pPr>
    <w:rPr>
      <w:rFonts w:ascii="宋体"/>
      <w:sz w:val="24"/>
      <w:szCs w:val="20"/>
    </w:rPr>
  </w:style>
  <w:style w:type="paragraph" w:styleId="16">
    <w:name w:val="Block Text"/>
    <w:basedOn w:val="1"/>
    <w:qFormat/>
    <w:uiPriority w:val="0"/>
    <w:pPr>
      <w:ind w:left="630" w:right="-76"/>
    </w:pPr>
    <w:rPr>
      <w:rFonts w:ascii="宋体"/>
      <w:sz w:val="24"/>
      <w:szCs w:val="20"/>
    </w:rPr>
  </w:style>
  <w:style w:type="paragraph" w:styleId="17">
    <w:name w:val="Plain Text"/>
    <w:basedOn w:val="1"/>
    <w:link w:val="33"/>
    <w:qFormat/>
    <w:uiPriority w:val="0"/>
    <w:pPr>
      <w:spacing w:before="60" w:after="60" w:line="400" w:lineRule="exact"/>
    </w:pPr>
    <w:rPr>
      <w:rFonts w:ascii="宋体" w:hAnsi="Courier New"/>
      <w:szCs w:val="20"/>
    </w:rPr>
  </w:style>
  <w:style w:type="paragraph" w:styleId="18">
    <w:name w:val="Date"/>
    <w:basedOn w:val="1"/>
    <w:next w:val="1"/>
    <w:qFormat/>
    <w:uiPriority w:val="0"/>
    <w:pPr>
      <w:ind w:left="100" w:leftChars="2500"/>
    </w:pPr>
    <w:rPr>
      <w:szCs w:val="20"/>
    </w:rPr>
  </w:style>
  <w:style w:type="paragraph" w:styleId="19">
    <w:name w:val="Body Text Indent 2"/>
    <w:basedOn w:val="1"/>
    <w:qFormat/>
    <w:uiPriority w:val="0"/>
    <w:pPr>
      <w:ind w:left="525"/>
    </w:pPr>
    <w:rPr>
      <w:sz w:val="24"/>
      <w:szCs w:val="20"/>
    </w:rPr>
  </w:style>
  <w:style w:type="paragraph" w:styleId="20">
    <w:name w:val="Balloon Text"/>
    <w:basedOn w:val="1"/>
    <w:link w:val="43"/>
    <w:semiHidden/>
    <w:unhideWhenUsed/>
    <w:qFormat/>
    <w:uiPriority w:val="99"/>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23">
    <w:name w:val="Body Text Indent 3"/>
    <w:basedOn w:val="1"/>
    <w:qFormat/>
    <w:uiPriority w:val="0"/>
    <w:pPr>
      <w:ind w:left="735"/>
    </w:pPr>
    <w:rPr>
      <w:rFonts w:ascii="宋体"/>
      <w:sz w:val="24"/>
      <w:szCs w:val="20"/>
    </w:rPr>
  </w:style>
  <w:style w:type="paragraph" w:styleId="24">
    <w:name w:val="Body Text 2"/>
    <w:basedOn w:val="1"/>
    <w:qFormat/>
    <w:uiPriority w:val="0"/>
    <w:rPr>
      <w:sz w:val="24"/>
    </w:rPr>
  </w:style>
  <w:style w:type="paragraph" w:styleId="25">
    <w:name w:val="Normal (Web)"/>
    <w:basedOn w:val="1"/>
    <w:qFormat/>
    <w:uiPriority w:val="0"/>
    <w:pPr>
      <w:widowControl/>
      <w:spacing w:before="100" w:after="100"/>
      <w:jc w:val="left"/>
    </w:pPr>
    <w:rPr>
      <w:rFonts w:ascii="宋体" w:hAnsi="宋体"/>
      <w:kern w:val="0"/>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page number"/>
    <w:basedOn w:val="28"/>
    <w:qFormat/>
    <w:uiPriority w:val="99"/>
  </w:style>
  <w:style w:type="character" w:styleId="30">
    <w:name w:val="Emphasis"/>
    <w:basedOn w:val="28"/>
    <w:qFormat/>
    <w:uiPriority w:val="20"/>
    <w:rPr>
      <w:color w:val="CC0000"/>
    </w:rPr>
  </w:style>
  <w:style w:type="character" w:styleId="31">
    <w:name w:val="Hyperlink"/>
    <w:qFormat/>
    <w:uiPriority w:val="0"/>
    <w:rPr>
      <w:color w:val="0000FF"/>
      <w:u w:val="single"/>
    </w:rPr>
  </w:style>
  <w:style w:type="character" w:styleId="32">
    <w:name w:val="annotation reference"/>
    <w:qFormat/>
    <w:uiPriority w:val="0"/>
    <w:rPr>
      <w:sz w:val="21"/>
    </w:rPr>
  </w:style>
  <w:style w:type="character" w:customStyle="1" w:styleId="33">
    <w:name w:val="纯文本 Char"/>
    <w:link w:val="17"/>
    <w:qFormat/>
    <w:uiPriority w:val="0"/>
    <w:rPr>
      <w:rFonts w:ascii="宋体" w:hAnsi="Courier New"/>
      <w:kern w:val="2"/>
      <w:sz w:val="21"/>
    </w:rPr>
  </w:style>
  <w:style w:type="character" w:customStyle="1" w:styleId="34">
    <w:name w:val="页眉 Char"/>
    <w:link w:val="22"/>
    <w:qFormat/>
    <w:uiPriority w:val="99"/>
    <w:rPr>
      <w:kern w:val="2"/>
      <w:sz w:val="18"/>
      <w:szCs w:val="18"/>
    </w:rPr>
  </w:style>
  <w:style w:type="character" w:customStyle="1" w:styleId="35">
    <w:name w:val="页眉 Char Char"/>
    <w:qFormat/>
    <w:uiPriority w:val="0"/>
    <w:rPr>
      <w:kern w:val="2"/>
      <w:sz w:val="18"/>
      <w:szCs w:val="18"/>
    </w:rPr>
  </w:style>
  <w:style w:type="character" w:customStyle="1" w:styleId="36">
    <w:name w:val="称呼 Char"/>
    <w:link w:val="12"/>
    <w:qFormat/>
    <w:uiPriority w:val="0"/>
    <w:rPr>
      <w:sz w:val="24"/>
      <w:szCs w:val="24"/>
    </w:rPr>
  </w:style>
  <w:style w:type="character" w:customStyle="1" w:styleId="37">
    <w:name w:val="无间隔 Char"/>
    <w:link w:val="38"/>
    <w:qFormat/>
    <w:uiPriority w:val="0"/>
    <w:rPr>
      <w:rFonts w:ascii="Calibri" w:hAnsi="Calibri"/>
      <w:sz w:val="22"/>
      <w:szCs w:val="22"/>
      <w:lang w:val="en-US" w:eastAsia="zh-CN" w:bidi="ar-SA"/>
    </w:rPr>
  </w:style>
  <w:style w:type="paragraph" w:styleId="38">
    <w:name w:val="No Spacing"/>
    <w:link w:val="37"/>
    <w:qFormat/>
    <w:uiPriority w:val="0"/>
    <w:rPr>
      <w:rFonts w:ascii="Calibri" w:hAnsi="Calibri" w:eastAsia="宋体" w:cs="Times New Roman"/>
      <w:sz w:val="22"/>
      <w:szCs w:val="22"/>
      <w:lang w:val="en-US" w:eastAsia="zh-CN" w:bidi="ar-SA"/>
    </w:rPr>
  </w:style>
  <w:style w:type="character" w:customStyle="1" w:styleId="39">
    <w:name w:val="称呼 Char1"/>
    <w:semiHidden/>
    <w:qFormat/>
    <w:uiPriority w:val="0"/>
    <w:rPr>
      <w:kern w:val="2"/>
      <w:sz w:val="21"/>
      <w:szCs w:val="24"/>
    </w:rPr>
  </w:style>
  <w:style w:type="paragraph" w:customStyle="1" w:styleId="40">
    <w:name w:val="样式1"/>
    <w:basedOn w:val="1"/>
    <w:qFormat/>
    <w:uiPriority w:val="0"/>
    <w:pPr>
      <w:numPr>
        <w:ilvl w:val="0"/>
        <w:numId w:val="2"/>
      </w:numPr>
      <w:overflowPunct w:val="0"/>
    </w:pPr>
    <w:rPr>
      <w:rFonts w:ascii="仿宋_GB2312" w:hAnsi="Garamond" w:eastAsia="仿宋_GB2312"/>
      <w:sz w:val="24"/>
    </w:rPr>
  </w:style>
  <w:style w:type="paragraph" w:customStyle="1" w:styleId="4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2">
    <w:name w:val="。"/>
    <w:basedOn w:val="1"/>
    <w:qFormat/>
    <w:uiPriority w:val="0"/>
    <w:pPr>
      <w:adjustRightInd w:val="0"/>
      <w:spacing w:line="312" w:lineRule="atLeast"/>
      <w:ind w:right="679"/>
      <w:textAlignment w:val="baseline"/>
    </w:pPr>
    <w:rPr>
      <w:rFonts w:ascii="宋体"/>
      <w:kern w:val="0"/>
      <w:sz w:val="20"/>
    </w:rPr>
  </w:style>
  <w:style w:type="character" w:customStyle="1" w:styleId="43">
    <w:name w:val="批注框文本 Char"/>
    <w:basedOn w:val="28"/>
    <w:link w:val="20"/>
    <w:semiHidden/>
    <w:qFormat/>
    <w:uiPriority w:val="99"/>
    <w:rPr>
      <w:kern w:val="2"/>
      <w:sz w:val="18"/>
      <w:szCs w:val="18"/>
    </w:rPr>
  </w:style>
  <w:style w:type="paragraph" w:styleId="4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F4141-1E36-4256-8CB4-48F3FD426D32}">
  <ds:schemaRefs/>
</ds:datastoreItem>
</file>

<file path=docProps/app.xml><?xml version="1.0" encoding="utf-8"?>
<Properties xmlns="http://schemas.openxmlformats.org/officeDocument/2006/extended-properties" xmlns:vt="http://schemas.openxmlformats.org/officeDocument/2006/docPropsVTypes">
  <Template>Normal.dotm</Template>
  <Company>合同编号：</Company>
  <Pages>20</Pages>
  <Words>2539</Words>
  <Characters>14478</Characters>
  <Lines>120</Lines>
  <Paragraphs>33</Paragraphs>
  <TotalTime>4</TotalTime>
  <ScaleCrop>false</ScaleCrop>
  <LinksUpToDate>false</LinksUpToDate>
  <CharactersWithSpaces>16984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2017-03-16T06:25:00Z</dcterms:created>
  <dc:creator>邢永东</dc:creator>
  <cp:lastModifiedBy>~</cp:lastModifiedBy>
  <cp:lastPrinted>2017-03-16T02:55:00Z</cp:lastPrinted>
  <dcterms:modified xsi:type="dcterms:W3CDTF">2019-09-18T03:00:16Z</dcterms:modified>
  <dc:title>中建路桥集团</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