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b/>
          <w:bCs/>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cs="宋体"/>
          <w:b/>
          <w:kern w:val="0"/>
          <w:sz w:val="36"/>
          <w:szCs w:val="36"/>
          <w:lang w:eastAsia="zh-CN"/>
        </w:rPr>
        <w:t>基层</w:t>
      </w:r>
      <w:r>
        <w:rPr>
          <w:rFonts w:hint="eastAsia"/>
          <w:b/>
          <w:bCs/>
          <w:sz w:val="36"/>
          <w:szCs w:val="36"/>
          <w:shd w:val="clear" w:color="auto" w:fill="FFFFFF"/>
          <w:lang w:eastAsia="zh-CN"/>
        </w:rPr>
        <w:t>、沥青摊铺机</w:t>
      </w:r>
      <w:r>
        <w:rPr>
          <w:rFonts w:hint="eastAsia" w:ascii="宋体" w:hAnsi="宋体" w:cs="宋体"/>
          <w:b/>
          <w:color w:val="000000"/>
          <w:kern w:val="0"/>
          <w:sz w:val="36"/>
          <w:szCs w:val="36"/>
        </w:rPr>
        <w:t>设备租赁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hint="eastAsia" w:ascii="宋体" w:hAnsi="宋体" w:cs="宋体"/>
          <w:b/>
          <w:bCs/>
          <w:sz w:val="28"/>
          <w:szCs w:val="28"/>
          <w:lang w:val="en-US" w:eastAsia="zh-CN"/>
        </w:rPr>
        <w:t>10</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九</w:t>
      </w:r>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hint="eastAsia" w:ascii="宋体" w:hAnsi="宋体" w:cs="宋体"/>
          <w:b/>
          <w:kern w:val="0"/>
          <w:sz w:val="32"/>
          <w:szCs w:val="32"/>
        </w:rPr>
      </w:pPr>
      <w:r>
        <w:rPr>
          <w:rFonts w:hint="eastAsia" w:ascii="宋体" w:hAnsi="宋体" w:cs="宋体"/>
          <w:b/>
          <w:bCs/>
          <w:kern w:val="0"/>
          <w:sz w:val="32"/>
          <w:szCs w:val="32"/>
        </w:rPr>
        <w:t>迁</w:t>
      </w:r>
      <w:r>
        <w:rPr>
          <w:rFonts w:hint="eastAsia" w:ascii="宋体" w:hAnsi="宋体" w:cs="宋体"/>
          <w:b/>
          <w:kern w:val="0"/>
          <w:sz w:val="32"/>
          <w:szCs w:val="32"/>
        </w:rPr>
        <w:t>曹高速公路京哈高速至沿海高速段工程施工四标段</w:t>
      </w:r>
    </w:p>
    <w:p>
      <w:pPr>
        <w:spacing w:line="500" w:lineRule="exact"/>
        <w:jc w:val="center"/>
        <w:rPr>
          <w:rFonts w:ascii="宋体" w:cs="宋体"/>
          <w:b/>
          <w:color w:val="000000"/>
          <w:kern w:val="0"/>
          <w:sz w:val="36"/>
          <w:szCs w:val="36"/>
        </w:rPr>
      </w:pPr>
      <w:r>
        <w:rPr>
          <w:rFonts w:hint="eastAsia" w:ascii="宋体" w:cs="宋体"/>
          <w:b/>
          <w:kern w:val="0"/>
          <w:sz w:val="32"/>
          <w:szCs w:val="32"/>
          <w:lang w:eastAsia="zh-CN"/>
        </w:rPr>
        <w:t>基层</w:t>
      </w:r>
      <w:r>
        <w:rPr>
          <w:rFonts w:hint="eastAsia"/>
          <w:b/>
          <w:bCs/>
          <w:sz w:val="32"/>
          <w:szCs w:val="32"/>
          <w:shd w:val="clear" w:color="auto" w:fill="FFFFFF"/>
          <w:lang w:eastAsia="zh-CN"/>
        </w:rPr>
        <w:t>、沥青摊铺机</w:t>
      </w:r>
      <w:r>
        <w:rPr>
          <w:rFonts w:hint="eastAsia" w:ascii="宋体" w:hAnsi="宋体" w:cs="宋体"/>
          <w:b/>
          <w:color w:val="000000"/>
          <w:kern w:val="0"/>
          <w:sz w:val="32"/>
          <w:szCs w:val="32"/>
        </w:rPr>
        <w:t>租赁招标文件</w:t>
      </w:r>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伍仟</w:t>
      </w:r>
      <w:r>
        <w:rPr>
          <w:rFonts w:hint="eastAsia" w:ascii="宋体" w:hAnsi="宋体" w:cs="宋体"/>
          <w:sz w:val="24"/>
        </w:rPr>
        <w:t>元整（￥：</w:t>
      </w:r>
      <w:r>
        <w:rPr>
          <w:rFonts w:hint="eastAsia" w:ascii="宋体" w:hAnsi="宋体" w:cs="宋体"/>
          <w:sz w:val="24"/>
          <w:lang w:val="en-US" w:eastAsia="zh-CN"/>
        </w:rPr>
        <w:t>5000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hint="eastAsia"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本次招标范围：完成本招标所需机械设备的租赁供应，清单如下：</w:t>
      </w:r>
    </w:p>
    <w:p>
      <w:pPr>
        <w:pStyle w:val="34"/>
        <w:spacing w:beforeLines="0" w:line="400" w:lineRule="exact"/>
        <w:ind w:left="0" w:leftChars="0" w:firstLine="0" w:firstLineChars="0"/>
        <w:jc w:val="left"/>
        <w:rPr>
          <w:rFonts w:hint="eastAsia" w:cs="宋体"/>
          <w:color w:val="auto"/>
          <w:sz w:val="24"/>
          <w:szCs w:val="24"/>
          <w:highlight w:val="none"/>
        </w:rPr>
      </w:pPr>
    </w:p>
    <w:p>
      <w:pPr>
        <w:ind w:firstLine="105" w:firstLineChars="50"/>
        <w:rPr>
          <w:rFonts w:hint="eastAsia" w:ascii="宋体" w:hAnsi="宋体" w:cs="宋体"/>
          <w:b/>
          <w:bCs/>
          <w:szCs w:val="21"/>
          <w:highlight w:val="none"/>
        </w:rPr>
      </w:pPr>
    </w:p>
    <w:p>
      <w:pPr>
        <w:pStyle w:val="2"/>
        <w:rPr>
          <w:rFonts w:hint="eastAsia" w:ascii="宋体" w:hAnsi="宋体" w:cs="宋体"/>
          <w:b/>
          <w:bCs/>
          <w:szCs w:val="21"/>
          <w:highlight w:val="none"/>
        </w:rPr>
      </w:pP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租期</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eastAsia="宋体" w:cs="宋体"/>
                <w:kern w:val="0"/>
                <w:sz w:val="28"/>
                <w:szCs w:val="28"/>
                <w:highlight w:val="none"/>
                <w:lang w:eastAsia="zh-CN"/>
              </w:rPr>
              <w:t>摊铺机（基层）</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徐工953T</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摊铺机（沥青）</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徐工953T</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r>
    </w:tbl>
    <w:p>
      <w:pPr>
        <w:pStyle w:val="2"/>
        <w:ind w:left="0" w:leftChars="0" w:firstLine="0" w:firstLineChars="0"/>
        <w:rPr>
          <w:rFonts w:hint="eastAsia"/>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1）</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ind w:left="0" w:leftChars="0" w:firstLine="840" w:firstLineChars="400"/>
        <w:rPr>
          <w:rFonts w:hint="eastAsia" w:eastAsia="宋体"/>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以上设备租赁按实际月租时间计算，租赁满一个月后不满月部分按天计算。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sz w:val="24"/>
        </w:rPr>
        <w:t>包含</w:t>
      </w:r>
      <w:r>
        <w:rPr>
          <w:rFonts w:hint="eastAsia" w:ascii="宋体" w:hAnsi="宋体"/>
          <w:sz w:val="24"/>
        </w:rPr>
        <w:t>设备维修保养费、地方道路协调费、投标人利润、司机人员工资、人员社保及保险费、设备保险费、交通费、通信费、安全事故责任费、增值税税金等一切费用</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w:t>
      </w:r>
      <w:r>
        <w:rPr>
          <w:rFonts w:hint="eastAsia" w:ascii="宋体" w:hAnsi="宋体" w:cs="宋体"/>
          <w:sz w:val="24"/>
          <w:szCs w:val="24"/>
          <w:highlight w:val="none"/>
          <w:lang w:eastAsia="zh-CN"/>
        </w:rPr>
        <w:t>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left="0" w:leftChars="0" w:firstLine="0" w:firstLineChars="0"/>
        <w:rPr>
          <w:rFonts w:hint="eastAsia"/>
          <w:sz w:val="24"/>
          <w:szCs w:val="24"/>
        </w:rPr>
      </w:pPr>
    </w:p>
    <w:p>
      <w:pPr>
        <w:pStyle w:val="6"/>
        <w:spacing w:beforeLines="50" w:after="120"/>
        <w:ind w:firstLine="0"/>
        <w:jc w:val="both"/>
        <w:rPr>
          <w:rFonts w:ascii="宋体" w:hAnsi="宋体" w:eastAsia="宋体" w:cs="宋体"/>
          <w:b/>
          <w:w w:val="90"/>
          <w:sz w:val="28"/>
          <w:szCs w:val="28"/>
        </w:rPr>
      </w:pPr>
      <w:r>
        <w:rPr>
          <w:rFonts w:hint="eastAsia" w:ascii="宋体" w:hAnsi="宋体" w:eastAsia="宋体" w:cs="宋体"/>
          <w:b/>
          <w:w w:val="90"/>
          <w:sz w:val="28"/>
          <w:szCs w:val="28"/>
        </w:rPr>
        <w:t>投标文件格式</w:t>
      </w:r>
    </w:p>
    <w:p>
      <w:pPr>
        <w:spacing w:line="360" w:lineRule="auto"/>
        <w:jc w:val="center"/>
        <w:rPr>
          <w:rFonts w:hint="eastAsia" w:ascii="宋体" w:hAnsi="宋体" w:cs="宋体"/>
          <w:b/>
          <w:kern w:val="0"/>
          <w:sz w:val="48"/>
          <w:szCs w:val="48"/>
        </w:rPr>
      </w:pPr>
      <w:r>
        <w:rPr>
          <w:rFonts w:hint="eastAsia" w:ascii="宋体" w:hAnsi="宋体" w:cs="宋体"/>
          <w:b/>
          <w:sz w:val="48"/>
          <w:szCs w:val="48"/>
        </w:rPr>
        <w:t>中建路桥集团有限公司</w:t>
      </w:r>
      <w:r>
        <w:rPr>
          <w:rFonts w:hint="eastAsia" w:ascii="宋体" w:hAnsi="宋体" w:cs="宋体"/>
          <w:b/>
          <w:bCs/>
          <w:kern w:val="0"/>
          <w:sz w:val="48"/>
          <w:szCs w:val="48"/>
        </w:rPr>
        <w:t>迁</w:t>
      </w:r>
      <w:r>
        <w:rPr>
          <w:rFonts w:hint="eastAsia" w:ascii="宋体" w:hAnsi="宋体" w:cs="宋体"/>
          <w:b/>
          <w:kern w:val="0"/>
          <w:sz w:val="48"/>
          <w:szCs w:val="48"/>
        </w:rPr>
        <w:t>曹高速公路京哈高速至沿海高速段工程施工四标段</w:t>
      </w:r>
    </w:p>
    <w:p>
      <w:pPr>
        <w:spacing w:line="360" w:lineRule="auto"/>
        <w:jc w:val="center"/>
        <w:rPr>
          <w:rFonts w:ascii="宋体" w:cs="宋体"/>
          <w:b/>
          <w:sz w:val="44"/>
          <w:szCs w:val="44"/>
        </w:rPr>
      </w:pPr>
      <w:r>
        <w:rPr>
          <w:rFonts w:hint="eastAsia" w:ascii="宋体" w:hAnsi="宋体" w:cs="宋体"/>
          <w:b/>
          <w:color w:val="000000"/>
          <w:kern w:val="0"/>
          <w:sz w:val="44"/>
          <w:szCs w:val="44"/>
          <w:lang w:eastAsia="zh-CN"/>
        </w:rPr>
        <w:t>基层、沥青摊铺机</w:t>
      </w:r>
      <w:r>
        <w:rPr>
          <w:rFonts w:hint="eastAsia" w:ascii="宋体" w:hAnsi="宋体" w:cs="宋体"/>
          <w:b/>
          <w:color w:val="000000"/>
          <w:kern w:val="0"/>
          <w:sz w:val="44"/>
          <w:szCs w:val="44"/>
        </w:rPr>
        <w:t>设备租赁</w:t>
      </w: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w:t>
      </w:r>
      <w:r>
        <w:rPr>
          <w:rFonts w:hint="eastAsia" w:ascii="宋体" w:hAnsi="宋体" w:cs="宋体"/>
          <w:b/>
          <w:bCs/>
          <w:sz w:val="28"/>
          <w:szCs w:val="28"/>
          <w:lang w:val="en-US" w:eastAsia="zh-CN"/>
        </w:rPr>
        <w:t>10</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152042577"/>
      <w:bookmarkEnd w:id="1"/>
      <w:bookmarkStart w:id="2" w:name="_Toc238797662"/>
      <w:bookmarkEnd w:id="2"/>
      <w:bookmarkStart w:id="3" w:name="_Toc429750538"/>
      <w:bookmarkEnd w:id="3"/>
      <w:bookmarkStart w:id="4" w:name="_Toc152045788"/>
      <w:bookmarkEnd w:id="4"/>
      <w:bookmarkStart w:id="5" w:name="_Toc238552300"/>
      <w:bookmarkEnd w:id="5"/>
      <w:bookmarkStart w:id="6" w:name="_Toc144974857"/>
      <w:bookmarkStart w:id="7" w:name="_Toc11159"/>
    </w:p>
    <w:p>
      <w:pPr>
        <w:pStyle w:val="2"/>
        <w:rPr>
          <w:rFonts w:ascii="宋体"/>
          <w:b/>
          <w:sz w:val="24"/>
        </w:rPr>
      </w:pPr>
    </w:p>
    <w:p>
      <w:pPr>
        <w:pStyle w:val="2"/>
        <w:rPr>
          <w:rFonts w:ascii="宋体"/>
          <w:b/>
          <w:sz w:val="24"/>
        </w:rPr>
      </w:pPr>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w:t>
      </w:r>
      <w:r>
        <w:rPr>
          <w:rFonts w:hint="eastAsia" w:ascii="宋体" w:hAnsi="宋体" w:cs="宋体"/>
          <w:kern w:val="0"/>
          <w:sz w:val="24"/>
          <w:lang w:val="en-US" w:eastAsia="zh-CN"/>
        </w:rPr>
        <w:t>10</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pP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w:t>
      </w:r>
      <w:r>
        <w:rPr>
          <w:rFonts w:hint="eastAsia" w:ascii="宋体" w:hAnsi="宋体" w:cs="宋体"/>
          <w:kern w:val="0"/>
          <w:sz w:val="24"/>
          <w:lang w:val="en-US" w:eastAsia="zh-CN"/>
        </w:rPr>
        <w:t>10</w:t>
      </w:r>
      <w:r>
        <w:rPr>
          <w:rFonts w:hint="eastAsia" w:ascii="宋体" w:hAnsi="宋体" w:cs="宋体"/>
          <w:kern w:val="0"/>
          <w:sz w:val="24"/>
        </w:rPr>
        <w:t>号</w:t>
      </w:r>
    </w:p>
    <w:tbl>
      <w:tblPr>
        <w:tblStyle w:val="13"/>
        <w:tblW w:w="9218" w:type="dxa"/>
        <w:jc w:val="center"/>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20"/>
        <w:gridCol w:w="870"/>
        <w:gridCol w:w="510"/>
        <w:gridCol w:w="540"/>
        <w:gridCol w:w="675"/>
        <w:gridCol w:w="1125"/>
        <w:gridCol w:w="896"/>
        <w:gridCol w:w="582"/>
        <w:gridCol w:w="667"/>
        <w:gridCol w:w="63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94"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32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87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51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54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675" w:type="dxa"/>
            <w:vMerge w:val="restart"/>
            <w:vAlign w:val="center"/>
          </w:tcPr>
          <w:p>
            <w:pPr>
              <w:spacing w:line="360" w:lineRule="auto"/>
              <w:jc w:val="center"/>
              <w:rPr>
                <w:rFonts w:hint="eastAsia" w:ascii="宋体" w:eastAsia="宋体" w:cs="宋体"/>
                <w:kern w:val="0"/>
                <w:szCs w:val="21"/>
                <w:highlight w:val="none"/>
                <w:lang w:eastAsia="zh-CN"/>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r>
              <w:rPr>
                <w:rFonts w:hint="eastAsia" w:ascii="宋体" w:hAnsi="宋体" w:cs="宋体"/>
                <w:kern w:val="0"/>
                <w:sz w:val="18"/>
                <w:szCs w:val="18"/>
                <w:highlight w:val="none"/>
                <w:lang w:eastAsia="zh-CN"/>
              </w:rPr>
              <w:t>月</w:t>
            </w:r>
          </w:p>
        </w:tc>
        <w:tc>
          <w:tcPr>
            <w:tcW w:w="3270"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637" w:type="dxa"/>
            <w:vMerge w:val="restart"/>
            <w:vAlign w:val="center"/>
          </w:tcPr>
          <w:p>
            <w:pPr>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设备运费</w:t>
            </w:r>
          </w:p>
        </w:tc>
        <w:tc>
          <w:tcPr>
            <w:tcW w:w="1002"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394" w:type="dxa"/>
            <w:vMerge w:val="continue"/>
            <w:vAlign w:val="center"/>
          </w:tcPr>
          <w:p>
            <w:pPr>
              <w:spacing w:line="360" w:lineRule="auto"/>
              <w:jc w:val="center"/>
              <w:rPr>
                <w:rFonts w:ascii="宋体" w:cs="宋体"/>
                <w:kern w:val="0"/>
                <w:szCs w:val="21"/>
                <w:highlight w:val="none"/>
              </w:rPr>
            </w:pPr>
          </w:p>
        </w:tc>
        <w:tc>
          <w:tcPr>
            <w:tcW w:w="1320" w:type="dxa"/>
            <w:vMerge w:val="continue"/>
            <w:vAlign w:val="center"/>
          </w:tcPr>
          <w:p>
            <w:pPr>
              <w:spacing w:line="360" w:lineRule="auto"/>
              <w:jc w:val="center"/>
              <w:rPr>
                <w:rFonts w:ascii="宋体" w:cs="宋体"/>
                <w:kern w:val="0"/>
                <w:szCs w:val="21"/>
                <w:highlight w:val="none"/>
              </w:rPr>
            </w:pPr>
          </w:p>
        </w:tc>
        <w:tc>
          <w:tcPr>
            <w:tcW w:w="870" w:type="dxa"/>
            <w:vMerge w:val="continue"/>
            <w:vAlign w:val="center"/>
          </w:tcPr>
          <w:p>
            <w:pPr>
              <w:spacing w:line="360" w:lineRule="auto"/>
              <w:jc w:val="center"/>
              <w:rPr>
                <w:rFonts w:ascii="宋体" w:cs="宋体"/>
                <w:kern w:val="0"/>
                <w:szCs w:val="21"/>
                <w:highlight w:val="none"/>
              </w:rPr>
            </w:pPr>
          </w:p>
        </w:tc>
        <w:tc>
          <w:tcPr>
            <w:tcW w:w="510" w:type="dxa"/>
            <w:vMerge w:val="continue"/>
            <w:vAlign w:val="center"/>
          </w:tcPr>
          <w:p>
            <w:pPr>
              <w:spacing w:line="360" w:lineRule="auto"/>
              <w:jc w:val="center"/>
              <w:rPr>
                <w:rFonts w:ascii="宋体" w:cs="宋体"/>
                <w:kern w:val="0"/>
                <w:szCs w:val="21"/>
                <w:highlight w:val="none"/>
              </w:rPr>
            </w:pPr>
          </w:p>
        </w:tc>
        <w:tc>
          <w:tcPr>
            <w:tcW w:w="540" w:type="dxa"/>
            <w:vMerge w:val="continue"/>
            <w:vAlign w:val="center"/>
          </w:tcPr>
          <w:p>
            <w:pPr>
              <w:spacing w:line="360" w:lineRule="auto"/>
              <w:jc w:val="center"/>
              <w:rPr>
                <w:rFonts w:ascii="宋体" w:cs="宋体"/>
                <w:kern w:val="0"/>
                <w:szCs w:val="21"/>
                <w:highlight w:val="none"/>
              </w:rPr>
            </w:pPr>
          </w:p>
        </w:tc>
        <w:tc>
          <w:tcPr>
            <w:tcW w:w="675" w:type="dxa"/>
            <w:vMerge w:val="continue"/>
            <w:vAlign w:val="center"/>
          </w:tcPr>
          <w:p>
            <w:pPr>
              <w:spacing w:line="360" w:lineRule="auto"/>
              <w:jc w:val="center"/>
              <w:rPr>
                <w:rFonts w:ascii="宋体" w:cs="宋体"/>
                <w:kern w:val="0"/>
                <w:szCs w:val="21"/>
                <w:highlight w:val="none"/>
              </w:rPr>
            </w:pPr>
          </w:p>
        </w:tc>
        <w:tc>
          <w:tcPr>
            <w:tcW w:w="1125"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w:t>
            </w:r>
            <w:r>
              <w:rPr>
                <w:rFonts w:hint="eastAsia" w:ascii="宋体" w:hAnsi="宋体" w:cs="宋体"/>
                <w:kern w:val="0"/>
                <w:sz w:val="18"/>
                <w:szCs w:val="18"/>
                <w:highlight w:val="none"/>
              </w:rPr>
              <w:t>（不含税）</w:t>
            </w:r>
          </w:p>
        </w:tc>
        <w:tc>
          <w:tcPr>
            <w:tcW w:w="896"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582"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667"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637" w:type="dxa"/>
            <w:vMerge w:val="continue"/>
            <w:tcBorders/>
            <w:vAlign w:val="center"/>
          </w:tcPr>
          <w:p>
            <w:pPr>
              <w:spacing w:line="360" w:lineRule="auto"/>
              <w:jc w:val="center"/>
              <w:rPr>
                <w:rFonts w:ascii="宋体" w:cs="宋体"/>
                <w:kern w:val="0"/>
                <w:szCs w:val="21"/>
                <w:highlight w:val="none"/>
              </w:rPr>
            </w:pPr>
          </w:p>
        </w:tc>
        <w:tc>
          <w:tcPr>
            <w:tcW w:w="1002"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320"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cs="宋体"/>
                <w:kern w:val="0"/>
                <w:szCs w:val="21"/>
                <w:highlight w:val="none"/>
                <w:lang w:val="en-US" w:eastAsia="zh-CN"/>
              </w:rPr>
              <w:t>基层摊铺机</w:t>
            </w:r>
          </w:p>
        </w:tc>
        <w:tc>
          <w:tcPr>
            <w:tcW w:w="870"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徐工953T</w:t>
            </w:r>
          </w:p>
        </w:tc>
        <w:tc>
          <w:tcPr>
            <w:tcW w:w="51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540"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1</w:t>
            </w:r>
          </w:p>
        </w:tc>
        <w:tc>
          <w:tcPr>
            <w:tcW w:w="675"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1125" w:type="dxa"/>
            <w:vAlign w:val="center"/>
          </w:tcPr>
          <w:p>
            <w:pPr>
              <w:spacing w:line="400" w:lineRule="exact"/>
              <w:jc w:val="center"/>
              <w:rPr>
                <w:rFonts w:hint="default" w:ascii="宋体" w:eastAsia="宋体" w:cs="宋体"/>
                <w:color w:val="000000"/>
                <w:szCs w:val="21"/>
                <w:highlight w:val="none"/>
                <w:lang w:val="en-US" w:eastAsia="zh-CN"/>
              </w:rPr>
            </w:pPr>
          </w:p>
        </w:tc>
        <w:tc>
          <w:tcPr>
            <w:tcW w:w="896" w:type="dxa"/>
            <w:vAlign w:val="center"/>
          </w:tcPr>
          <w:p>
            <w:pPr>
              <w:spacing w:line="400" w:lineRule="exact"/>
              <w:jc w:val="center"/>
              <w:rPr>
                <w:rFonts w:hint="default" w:ascii="宋体" w:eastAsia="宋体" w:cs="宋体"/>
                <w:color w:val="000000"/>
                <w:szCs w:val="21"/>
                <w:highlight w:val="none"/>
                <w:lang w:val="en-US" w:eastAsia="zh-CN"/>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hint="default" w:ascii="宋体" w:eastAsia="宋体" w:cs="宋体"/>
                <w:color w:val="000000"/>
                <w:sz w:val="13"/>
                <w:szCs w:val="13"/>
                <w:highlight w:val="none"/>
                <w:lang w:val="en-US" w:eastAsia="zh-CN"/>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320" w:type="dxa"/>
            <w:vAlign w:val="center"/>
          </w:tcPr>
          <w:p>
            <w:pPr>
              <w:spacing w:line="400" w:lineRule="exact"/>
              <w:jc w:val="center"/>
              <w:rPr>
                <w:rFonts w:hint="eastAsia" w:ascii="宋体" w:eastAsia="宋体" w:cs="宋体"/>
                <w:color w:val="000000"/>
                <w:szCs w:val="21"/>
                <w:highlight w:val="none"/>
                <w:lang w:eastAsia="zh-CN"/>
              </w:rPr>
            </w:pPr>
            <w:r>
              <w:rPr>
                <w:rFonts w:hint="eastAsia" w:ascii="宋体" w:cs="宋体"/>
                <w:color w:val="000000"/>
                <w:szCs w:val="21"/>
                <w:highlight w:val="none"/>
                <w:lang w:eastAsia="zh-CN"/>
              </w:rPr>
              <w:t>沥青摊铺机</w:t>
            </w:r>
          </w:p>
        </w:tc>
        <w:tc>
          <w:tcPr>
            <w:tcW w:w="870"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徐工953T</w:t>
            </w:r>
          </w:p>
        </w:tc>
        <w:tc>
          <w:tcPr>
            <w:tcW w:w="510" w:type="dxa"/>
            <w:vAlign w:val="center"/>
          </w:tcPr>
          <w:p>
            <w:pPr>
              <w:spacing w:line="400" w:lineRule="exact"/>
              <w:jc w:val="center"/>
              <w:rPr>
                <w:rFonts w:hint="eastAsia" w:ascii="宋体" w:eastAsia="宋体" w:cs="宋体"/>
                <w:color w:val="000000"/>
                <w:sz w:val="18"/>
                <w:szCs w:val="18"/>
                <w:highlight w:val="none"/>
                <w:lang w:eastAsia="zh-CN"/>
              </w:rPr>
            </w:pPr>
            <w:r>
              <w:rPr>
                <w:rFonts w:hint="eastAsia" w:ascii="宋体" w:cs="宋体"/>
                <w:color w:val="000000"/>
                <w:sz w:val="18"/>
                <w:szCs w:val="18"/>
                <w:highlight w:val="none"/>
                <w:lang w:eastAsia="zh-CN"/>
              </w:rPr>
              <w:t>台</w:t>
            </w:r>
          </w:p>
        </w:tc>
        <w:tc>
          <w:tcPr>
            <w:tcW w:w="540" w:type="dxa"/>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675" w:type="dxa"/>
            <w:vAlign w:val="center"/>
          </w:tcPr>
          <w:p>
            <w:pPr>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1125" w:type="dxa"/>
            <w:vAlign w:val="center"/>
          </w:tcPr>
          <w:p>
            <w:pPr>
              <w:spacing w:line="400" w:lineRule="exact"/>
              <w:jc w:val="center"/>
              <w:rPr>
                <w:rFonts w:hint="eastAsia" w:ascii="宋体" w:eastAsia="宋体" w:cs="宋体"/>
                <w:color w:val="000000"/>
                <w:szCs w:val="21"/>
                <w:highlight w:val="none"/>
                <w:lang w:eastAsia="zh-CN"/>
              </w:rPr>
            </w:pPr>
          </w:p>
        </w:tc>
        <w:tc>
          <w:tcPr>
            <w:tcW w:w="896" w:type="dxa"/>
            <w:vAlign w:val="center"/>
          </w:tcPr>
          <w:p>
            <w:pPr>
              <w:spacing w:line="400" w:lineRule="exact"/>
              <w:jc w:val="center"/>
              <w:rPr>
                <w:rFonts w:ascii="宋体" w:cs="宋体"/>
                <w:color w:val="000000"/>
                <w:szCs w:val="21"/>
                <w:highlight w:val="none"/>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hint="eastAsia" w:ascii="宋体" w:eastAsia="宋体" w:cs="宋体"/>
                <w:color w:val="000000"/>
                <w:sz w:val="13"/>
                <w:szCs w:val="13"/>
                <w:highlight w:val="none"/>
                <w:lang w:eastAsia="zh-CN"/>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320" w:type="dxa"/>
            <w:vAlign w:val="center"/>
          </w:tcPr>
          <w:p>
            <w:pPr>
              <w:spacing w:line="400" w:lineRule="exact"/>
              <w:jc w:val="center"/>
              <w:rPr>
                <w:rFonts w:hint="eastAsia" w:ascii="宋体" w:cs="宋体"/>
                <w:color w:val="000000"/>
                <w:szCs w:val="21"/>
                <w:highlight w:val="none"/>
                <w:lang w:eastAsia="zh-CN"/>
              </w:rPr>
            </w:pPr>
          </w:p>
        </w:tc>
        <w:tc>
          <w:tcPr>
            <w:tcW w:w="870" w:type="dxa"/>
            <w:vAlign w:val="center"/>
          </w:tcPr>
          <w:p>
            <w:pPr>
              <w:spacing w:line="400" w:lineRule="exact"/>
              <w:jc w:val="center"/>
              <w:rPr>
                <w:rFonts w:hint="default" w:ascii="宋体" w:cs="宋体"/>
                <w:color w:val="000000"/>
                <w:szCs w:val="21"/>
                <w:highlight w:val="none"/>
                <w:lang w:val="en-US" w:eastAsia="zh-CN"/>
              </w:rPr>
            </w:pPr>
          </w:p>
        </w:tc>
        <w:tc>
          <w:tcPr>
            <w:tcW w:w="510" w:type="dxa"/>
            <w:vAlign w:val="center"/>
          </w:tcPr>
          <w:p>
            <w:pPr>
              <w:tabs>
                <w:tab w:val="left" w:pos="327"/>
              </w:tabs>
              <w:spacing w:line="400" w:lineRule="exact"/>
              <w:jc w:val="both"/>
              <w:rPr>
                <w:rFonts w:hint="eastAsia" w:ascii="宋体" w:cs="宋体"/>
                <w:color w:val="000000"/>
                <w:sz w:val="18"/>
                <w:szCs w:val="18"/>
                <w:highlight w:val="none"/>
                <w:lang w:eastAsia="zh-CN"/>
              </w:rPr>
            </w:pPr>
          </w:p>
        </w:tc>
        <w:tc>
          <w:tcPr>
            <w:tcW w:w="540" w:type="dxa"/>
            <w:vAlign w:val="center"/>
          </w:tcPr>
          <w:p>
            <w:pPr>
              <w:spacing w:line="400" w:lineRule="exact"/>
              <w:jc w:val="center"/>
              <w:rPr>
                <w:rFonts w:hint="default" w:ascii="宋体" w:hAnsi="宋体" w:cs="宋体"/>
                <w:color w:val="000000"/>
                <w:szCs w:val="21"/>
                <w:highlight w:val="none"/>
                <w:lang w:val="en-US" w:eastAsia="zh-CN"/>
              </w:rPr>
            </w:pPr>
          </w:p>
        </w:tc>
        <w:tc>
          <w:tcPr>
            <w:tcW w:w="675" w:type="dxa"/>
            <w:vAlign w:val="center"/>
          </w:tcPr>
          <w:p>
            <w:pPr>
              <w:spacing w:line="400" w:lineRule="exact"/>
              <w:jc w:val="center"/>
              <w:rPr>
                <w:rFonts w:hint="default" w:ascii="宋体" w:hAnsi="宋体" w:cs="宋体"/>
                <w:kern w:val="0"/>
                <w:szCs w:val="21"/>
                <w:highlight w:val="none"/>
                <w:lang w:val="en-US" w:eastAsia="zh-CN"/>
              </w:rPr>
            </w:pPr>
          </w:p>
        </w:tc>
        <w:tc>
          <w:tcPr>
            <w:tcW w:w="1125" w:type="dxa"/>
            <w:vAlign w:val="center"/>
          </w:tcPr>
          <w:p>
            <w:pPr>
              <w:spacing w:line="400" w:lineRule="exact"/>
              <w:jc w:val="center"/>
              <w:rPr>
                <w:rFonts w:ascii="宋体" w:cs="宋体"/>
                <w:color w:val="000000"/>
                <w:szCs w:val="21"/>
                <w:highlight w:val="none"/>
              </w:rPr>
            </w:pPr>
          </w:p>
        </w:tc>
        <w:tc>
          <w:tcPr>
            <w:tcW w:w="896" w:type="dxa"/>
            <w:vAlign w:val="center"/>
          </w:tcPr>
          <w:p>
            <w:pPr>
              <w:spacing w:line="400" w:lineRule="exact"/>
              <w:jc w:val="center"/>
              <w:rPr>
                <w:rFonts w:ascii="宋体" w:cs="宋体"/>
                <w:color w:val="000000"/>
                <w:szCs w:val="21"/>
                <w:highlight w:val="none"/>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ascii="宋体" w:cs="宋体"/>
                <w:color w:val="000000"/>
                <w:sz w:val="13"/>
                <w:szCs w:val="13"/>
                <w:highlight w:val="none"/>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218" w:type="dxa"/>
            <w:gridSpan w:val="12"/>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pStyle w:val="35"/>
        <w:ind w:left="0" w:leftChars="0" w:firstLine="482" w:firstLineChars="20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、投标方所报价格包含</w:t>
      </w:r>
      <w:r>
        <w:rPr>
          <w:rFonts w:hint="eastAsia" w:ascii="宋体" w:hAnsi="宋体"/>
          <w:sz w:val="24"/>
        </w:rPr>
        <w:t>设备维修保养费、地方道路协调费、投标人利润、司机人员工资、人员社保及保险费、设备保险费、交通费、通信费、安全事故责任费、增值税税金等一切费用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left="479" w:leftChars="228" w:firstLine="0" w:firstLineChars="0"/>
        <w:rPr>
          <w:rFonts w:hint="eastAsia"/>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w:t>
      </w:r>
      <w:r>
        <w:rPr>
          <w:sz w:val="24"/>
          <w:szCs w:val="24"/>
          <w:highlight w:val="none"/>
        </w:rPr>
        <w:t>4</w:t>
      </w:r>
      <w:r>
        <w:rPr>
          <w:rFonts w:hint="eastAsia"/>
          <w:sz w:val="24"/>
          <w:szCs w:val="24"/>
          <w:highlight w:val="none"/>
        </w:rPr>
        <w:t>、结算数量：以租赁方物资设备部确认签认单为准。</w:t>
      </w:r>
      <w:bookmarkStart w:id="25" w:name="_GoBack"/>
      <w:bookmarkEnd w:id="25"/>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429750540"/>
      <w:bookmarkEnd w:id="9"/>
      <w:bookmarkStart w:id="10" w:name="_Toc144974861"/>
      <w:bookmarkEnd w:id="10"/>
      <w:bookmarkStart w:id="11" w:name="_Toc152042581"/>
      <w:bookmarkEnd w:id="11"/>
      <w:bookmarkStart w:id="12" w:name="_Toc152045792"/>
      <w:bookmarkEnd w:id="12"/>
      <w:bookmarkStart w:id="13" w:name="_Toc238797664"/>
      <w:bookmarkEnd w:id="13"/>
      <w:bookmarkStart w:id="14" w:name="_Toc238552302"/>
      <w:bookmarkStart w:id="15" w:name="_Toc15861"/>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w:t>
      </w:r>
      <w:r>
        <w:rPr>
          <w:rFonts w:hint="eastAsia" w:ascii="宋体" w:hAnsi="宋体" w:cs="宋体"/>
          <w:kern w:val="0"/>
          <w:sz w:val="24"/>
          <w:lang w:val="en-US" w:eastAsia="zh-CN"/>
        </w:rPr>
        <w:t>10</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pPr>
    </w:p>
    <w:p>
      <w:pPr>
        <w:spacing w:line="360" w:lineRule="auto"/>
        <w:ind w:firstLine="5220" w:firstLineChars="2175"/>
        <w:rPr>
          <w:rFonts w:ascii="宋体" w:cs="宋体"/>
          <w:kern w:val="0"/>
          <w:sz w:val="24"/>
        </w:rPr>
      </w:pPr>
    </w:p>
    <w:p>
      <w:pPr>
        <w:pStyle w:val="2"/>
        <w:rPr>
          <w:rFonts w:ascii="宋体" w:cs="宋体"/>
          <w:kern w:val="0"/>
          <w:sz w:val="24"/>
        </w:rPr>
      </w:pPr>
    </w:p>
    <w:p>
      <w:pPr>
        <w:pStyle w:val="2"/>
        <w:rPr>
          <w:rFonts w:ascii="宋体" w:cs="宋体"/>
          <w:kern w:val="0"/>
          <w:sz w:val="24"/>
        </w:rPr>
      </w:pPr>
    </w:p>
    <w:p>
      <w:pPr>
        <w:spacing w:line="360" w:lineRule="auto"/>
        <w:ind w:firstLine="5220" w:firstLineChars="2175"/>
        <w:rPr>
          <w:rFonts w:ascii="宋体" w:cs="宋体"/>
          <w:kern w:val="0"/>
          <w:sz w:val="24"/>
        </w:rPr>
      </w:pPr>
    </w:p>
    <w:p>
      <w:pPr>
        <w:spacing w:line="360" w:lineRule="auto"/>
        <w:rPr>
          <w:rFonts w:ascii="宋体" w:cs="宋体"/>
          <w:kern w:val="0"/>
          <w:sz w:val="24"/>
        </w:rPr>
      </w:pPr>
      <w:bookmarkStart w:id="16" w:name="_Toc238797667"/>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rPr>
          <w:rFonts w:hint="default" w:ascii="宋体" w:eastAsia="宋体" w:cs="宋体"/>
          <w:sz w:val="24"/>
          <w:lang w:val="en-US" w:eastAsia="zh-CN"/>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p>
    <w:p>
      <w:pPr>
        <w:ind w:firstLine="480" w:firstLineChars="200"/>
        <w:rPr>
          <w:rFonts w:ascii="宋体"/>
          <w:sz w:val="24"/>
        </w:rPr>
      </w:pPr>
    </w:p>
    <w:p>
      <w:pPr>
        <w:ind w:firstLine="480" w:firstLineChars="200"/>
        <w:rPr>
          <w:rFonts w:ascii="宋体"/>
          <w:sz w:val="24"/>
        </w:rPr>
      </w:pPr>
    </w:p>
    <w:p>
      <w:pPr>
        <w:pStyle w:val="2"/>
        <w:ind w:left="31680"/>
      </w:pPr>
    </w:p>
    <w:bookmarkEnd w:id="16"/>
    <w:p>
      <w:pPr>
        <w:pStyle w:val="38"/>
        <w:jc w:val="left"/>
        <w:rPr>
          <w:rFonts w:ascii="宋体" w:hAnsi="宋体" w:eastAsia="宋体"/>
          <w:b/>
          <w:sz w:val="24"/>
          <w:szCs w:val="24"/>
        </w:rPr>
      </w:pPr>
      <w:bookmarkStart w:id="17" w:name="_Toc4540"/>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7"/>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pStyle w:val="2"/>
      </w:pP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8" w:name="_Toc152045584"/>
      <w:bookmarkEnd w:id="18"/>
      <w:bookmarkStart w:id="19" w:name="_Toc144974551"/>
      <w:bookmarkEnd w:id="19"/>
      <w:bookmarkStart w:id="20" w:name="_Toc238797606"/>
      <w:bookmarkEnd w:id="20"/>
      <w:bookmarkStart w:id="21" w:name="_Toc374347778"/>
      <w:bookmarkEnd w:id="21"/>
      <w:bookmarkStart w:id="22" w:name="_Toc238552251"/>
      <w:bookmarkEnd w:id="22"/>
      <w:bookmarkStart w:id="23" w:name="_Toc152042361"/>
      <w:bookmarkEnd w:id="23"/>
      <w:bookmarkStart w:id="24" w:name="_Toc6531"/>
    </w:p>
    <w:bookmarkEnd w:id="24"/>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AB50A4"/>
    <w:rsid w:val="01C77997"/>
    <w:rsid w:val="02A81707"/>
    <w:rsid w:val="03B2561A"/>
    <w:rsid w:val="04482C87"/>
    <w:rsid w:val="04771F20"/>
    <w:rsid w:val="04F42E71"/>
    <w:rsid w:val="06066AC4"/>
    <w:rsid w:val="061266E1"/>
    <w:rsid w:val="0618553C"/>
    <w:rsid w:val="06C15911"/>
    <w:rsid w:val="07547203"/>
    <w:rsid w:val="0755402D"/>
    <w:rsid w:val="07B35072"/>
    <w:rsid w:val="07CE25B1"/>
    <w:rsid w:val="08FD59E6"/>
    <w:rsid w:val="0B247F36"/>
    <w:rsid w:val="0B3F38F4"/>
    <w:rsid w:val="0C467635"/>
    <w:rsid w:val="0D1876DD"/>
    <w:rsid w:val="0DF527A7"/>
    <w:rsid w:val="0DF838D5"/>
    <w:rsid w:val="0E892266"/>
    <w:rsid w:val="0F294566"/>
    <w:rsid w:val="0FD71B11"/>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58371F1"/>
    <w:rsid w:val="265744DC"/>
    <w:rsid w:val="26615520"/>
    <w:rsid w:val="277C7796"/>
    <w:rsid w:val="289F411B"/>
    <w:rsid w:val="28B00F23"/>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7A56F3"/>
    <w:rsid w:val="3695205C"/>
    <w:rsid w:val="391442D7"/>
    <w:rsid w:val="3A023678"/>
    <w:rsid w:val="3AFC0FD3"/>
    <w:rsid w:val="3AFE07C7"/>
    <w:rsid w:val="3D77581A"/>
    <w:rsid w:val="3E07524B"/>
    <w:rsid w:val="3FE00690"/>
    <w:rsid w:val="414D5BCA"/>
    <w:rsid w:val="424C4A1F"/>
    <w:rsid w:val="44861B74"/>
    <w:rsid w:val="44930F97"/>
    <w:rsid w:val="45C11976"/>
    <w:rsid w:val="45DD6E2F"/>
    <w:rsid w:val="45FE03C9"/>
    <w:rsid w:val="47596871"/>
    <w:rsid w:val="48EB1697"/>
    <w:rsid w:val="49246610"/>
    <w:rsid w:val="4A4E42E3"/>
    <w:rsid w:val="4BE01561"/>
    <w:rsid w:val="4CB06697"/>
    <w:rsid w:val="4D7869F6"/>
    <w:rsid w:val="4E1124E2"/>
    <w:rsid w:val="4E814C9C"/>
    <w:rsid w:val="4F052637"/>
    <w:rsid w:val="4F5420AC"/>
    <w:rsid w:val="4FFE33A4"/>
    <w:rsid w:val="50564ED4"/>
    <w:rsid w:val="51266F06"/>
    <w:rsid w:val="52420B62"/>
    <w:rsid w:val="52E95AC3"/>
    <w:rsid w:val="54090EC3"/>
    <w:rsid w:val="540E42CE"/>
    <w:rsid w:val="55F52879"/>
    <w:rsid w:val="560761F1"/>
    <w:rsid w:val="56C76172"/>
    <w:rsid w:val="583D7D9D"/>
    <w:rsid w:val="59AA7CE7"/>
    <w:rsid w:val="5A402888"/>
    <w:rsid w:val="5BBA4C64"/>
    <w:rsid w:val="5DC66DD2"/>
    <w:rsid w:val="5E3054C1"/>
    <w:rsid w:val="5E6B667C"/>
    <w:rsid w:val="5EA25CD3"/>
    <w:rsid w:val="5EAA6EB1"/>
    <w:rsid w:val="5FE57AE0"/>
    <w:rsid w:val="61A0659F"/>
    <w:rsid w:val="62312CDC"/>
    <w:rsid w:val="638E0CAF"/>
    <w:rsid w:val="64BE6639"/>
    <w:rsid w:val="65126EB4"/>
    <w:rsid w:val="658A550D"/>
    <w:rsid w:val="66151F6D"/>
    <w:rsid w:val="67A94BDA"/>
    <w:rsid w:val="67B72708"/>
    <w:rsid w:val="69401E7A"/>
    <w:rsid w:val="69E6330C"/>
    <w:rsid w:val="6BB643D9"/>
    <w:rsid w:val="6EE25C5C"/>
    <w:rsid w:val="6F103741"/>
    <w:rsid w:val="6FB576CE"/>
    <w:rsid w:val="6FB63411"/>
    <w:rsid w:val="70416D81"/>
    <w:rsid w:val="71845C72"/>
    <w:rsid w:val="741B2B02"/>
    <w:rsid w:val="7483152D"/>
    <w:rsid w:val="748E2D67"/>
    <w:rsid w:val="75904E05"/>
    <w:rsid w:val="759D29F3"/>
    <w:rsid w:val="76204EBA"/>
    <w:rsid w:val="77564011"/>
    <w:rsid w:val="79890141"/>
    <w:rsid w:val="7AD37A8A"/>
    <w:rsid w:val="7B191714"/>
    <w:rsid w:val="7CF8482F"/>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2019-09-13T09:27:10Z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