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left" w:pos="8100"/>
        </w:tabs>
        <w:spacing w:line="360" w:lineRule="auto"/>
        <w:jc w:val="center"/>
        <w:rPr>
          <w:rFonts w:cs="Times New Roman" w:asciiTheme="majorEastAsia" w:hAnsiTheme="majorEastAsia" w:eastAsiaTheme="majorEastAsia"/>
          <w:b/>
          <w:color w:val="000000" w:themeColor="text1"/>
          <w:kern w:val="2"/>
          <w:sz w:val="48"/>
          <w:szCs w:val="48"/>
        </w:rPr>
      </w:pPr>
    </w:p>
    <w:p>
      <w:pPr>
        <w:pStyle w:val="30"/>
        <w:tabs>
          <w:tab w:val="left" w:pos="8100"/>
        </w:tabs>
        <w:spacing w:line="360" w:lineRule="auto"/>
        <w:jc w:val="center"/>
        <w:rPr>
          <w:rFonts w:cs="Times New Roman" w:asciiTheme="majorEastAsia" w:hAnsiTheme="majorEastAsia" w:eastAsiaTheme="majorEastAsia"/>
          <w:b/>
          <w:color w:val="000000" w:themeColor="text1"/>
          <w:kern w:val="2"/>
          <w:sz w:val="48"/>
          <w:szCs w:val="48"/>
        </w:rPr>
      </w:pPr>
    </w:p>
    <w:p>
      <w:pPr>
        <w:pStyle w:val="30"/>
        <w:tabs>
          <w:tab w:val="left" w:pos="8100"/>
        </w:tabs>
        <w:spacing w:line="360" w:lineRule="auto"/>
        <w:jc w:val="center"/>
        <w:rPr>
          <w:rFonts w:asciiTheme="majorEastAsia" w:hAnsiTheme="majorEastAsia" w:eastAsiaTheme="majorEastAsia"/>
        </w:rPr>
      </w:pPr>
      <w:r>
        <w:rPr>
          <w:rFonts w:hint="eastAsia" w:cs="Times New Roman" w:asciiTheme="majorEastAsia" w:hAnsiTheme="majorEastAsia" w:eastAsiaTheme="majorEastAsia"/>
          <w:b/>
          <w:color w:val="000000"/>
          <w:kern w:val="2"/>
          <w:sz w:val="52"/>
          <w:szCs w:val="52"/>
        </w:rPr>
        <w:t>物资</w:t>
      </w:r>
      <w:r>
        <w:rPr>
          <w:rFonts w:hint="eastAsia" w:cs="Times New Roman" w:asciiTheme="majorEastAsia" w:hAnsiTheme="majorEastAsia" w:eastAsiaTheme="majorEastAsia"/>
          <w:b/>
          <w:color w:val="000000"/>
          <w:kern w:val="2"/>
          <w:sz w:val="52"/>
          <w:szCs w:val="52"/>
          <w:lang w:eastAsia="zh-CN"/>
        </w:rPr>
        <w:t>采购</w:t>
      </w:r>
      <w:r>
        <w:rPr>
          <w:rFonts w:hint="eastAsia" w:cs="Times New Roman" w:asciiTheme="majorEastAsia" w:hAnsiTheme="majorEastAsia" w:eastAsiaTheme="majorEastAsia"/>
          <w:b/>
          <w:color w:val="000000"/>
          <w:kern w:val="2"/>
          <w:sz w:val="52"/>
          <w:szCs w:val="52"/>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30"/>
        <w:tabs>
          <w:tab w:val="left" w:pos="8100"/>
        </w:tabs>
        <w:spacing w:before="240" w:after="240" w:line="360" w:lineRule="auto"/>
        <w:jc w:val="center"/>
        <w:rPr>
          <w:rFonts w:cs="Times New Roman" w:asciiTheme="majorEastAsia" w:hAnsiTheme="majorEastAsia" w:eastAsiaTheme="majorEastAsia"/>
          <w:b/>
          <w:color w:val="000000" w:themeColor="text1"/>
          <w:kern w:val="2"/>
          <w:sz w:val="44"/>
          <w:szCs w:val="44"/>
        </w:rPr>
      </w:pPr>
      <w:r>
        <w:rPr>
          <w:rFonts w:hint="eastAsia" w:cs="Times New Roman" w:asciiTheme="majorEastAsia" w:hAnsiTheme="majorEastAsia" w:eastAsiaTheme="majorEastAsia"/>
          <w:b/>
          <w:color w:val="000000" w:themeColor="text1"/>
          <w:kern w:val="2"/>
          <w:sz w:val="44"/>
          <w:szCs w:val="44"/>
        </w:rPr>
        <w:t>中建路桥集团有限公司</w:t>
      </w:r>
    </w:p>
    <w:p>
      <w:pPr>
        <w:jc w:val="center"/>
        <w:rPr>
          <w:rFonts w:asciiTheme="minorEastAsia" w:hAnsiTheme="minorEastAsia"/>
          <w:b/>
          <w:bCs/>
          <w:sz w:val="36"/>
          <w:szCs w:val="36"/>
        </w:rPr>
      </w:pPr>
      <w:r>
        <w:rPr>
          <w:rFonts w:hint="eastAsia" w:asciiTheme="minorEastAsia" w:hAnsiTheme="minorEastAsia"/>
          <w:b/>
          <w:bCs/>
          <w:sz w:val="36"/>
          <w:szCs w:val="36"/>
        </w:rPr>
        <w:t>202</w:t>
      </w:r>
      <w:r>
        <w:rPr>
          <w:rFonts w:hint="eastAsia" w:asciiTheme="minorEastAsia" w:hAnsiTheme="minorEastAsia"/>
          <w:b/>
          <w:bCs/>
          <w:sz w:val="36"/>
          <w:szCs w:val="36"/>
          <w:lang w:val="en-US" w:eastAsia="zh-CN"/>
        </w:rPr>
        <w:t>3</w:t>
      </w:r>
      <w:r>
        <w:rPr>
          <w:rFonts w:hint="eastAsia" w:asciiTheme="minorEastAsia" w:hAnsiTheme="minorEastAsia"/>
          <w:b/>
          <w:bCs/>
          <w:sz w:val="36"/>
          <w:szCs w:val="36"/>
        </w:rPr>
        <w:t>年</w:t>
      </w:r>
      <w:r>
        <w:rPr>
          <w:rFonts w:hint="eastAsia" w:asciiTheme="minorEastAsia" w:hAnsiTheme="minorEastAsia"/>
          <w:b/>
          <w:bCs/>
          <w:sz w:val="36"/>
          <w:szCs w:val="36"/>
          <w:lang w:val="en-US" w:eastAsia="zh-CN"/>
        </w:rPr>
        <w:t>1</w:t>
      </w:r>
      <w:r>
        <w:rPr>
          <w:rFonts w:hint="eastAsia" w:asciiTheme="minorEastAsia" w:hAnsiTheme="minorEastAsia"/>
          <w:b/>
          <w:bCs/>
          <w:sz w:val="36"/>
          <w:szCs w:val="36"/>
        </w:rPr>
        <w:t>月</w:t>
      </w:r>
      <w:r>
        <w:rPr>
          <w:rFonts w:hint="eastAsia" w:asciiTheme="minorEastAsia" w:hAnsiTheme="minorEastAsia"/>
          <w:b/>
          <w:bCs/>
          <w:sz w:val="36"/>
          <w:szCs w:val="36"/>
          <w:lang w:val="en-US" w:eastAsia="zh-CN"/>
        </w:rPr>
        <w:t>12</w:t>
      </w:r>
      <w:r>
        <w:rPr>
          <w:rFonts w:hint="eastAsia" w:asciiTheme="minorEastAsia" w:hAnsiTheme="minorEastAsia"/>
          <w:b/>
          <w:bCs/>
          <w:sz w:val="36"/>
          <w:szCs w:val="36"/>
        </w:rPr>
        <w:t>日</w:t>
      </w:r>
    </w:p>
    <w:p>
      <w:pPr>
        <w:widowControl/>
        <w:jc w:val="left"/>
        <w:rPr>
          <w:rFonts w:ascii="宋体" w:hAnsi="宋体" w:eastAsia="宋体" w:cs="宋体"/>
          <w:b/>
          <w:sz w:val="28"/>
          <w:szCs w:val="28"/>
        </w:rPr>
      </w:pPr>
      <w:r>
        <w:rPr>
          <w:b/>
          <w:sz w:val="28"/>
          <w:szCs w:val="28"/>
        </w:rPr>
        <w:br w:type="page"/>
      </w:r>
    </w:p>
    <w:p>
      <w:pPr>
        <w:pStyle w:val="30"/>
        <w:tabs>
          <w:tab w:val="left" w:pos="8100"/>
        </w:tabs>
        <w:spacing w:line="360" w:lineRule="auto"/>
        <w:jc w:val="right"/>
        <w:rPr>
          <w:rFonts w:hint="eastAsia" w:cs="Times New Roman" w:asciiTheme="majorEastAsia" w:hAnsiTheme="majorEastAsia" w:eastAsiaTheme="majorEastAsia"/>
          <w:b/>
          <w:color w:val="000000"/>
          <w:kern w:val="2"/>
          <w:sz w:val="28"/>
          <w:szCs w:val="28"/>
        </w:rPr>
      </w:pPr>
    </w:p>
    <w:p>
      <w:pPr>
        <w:pStyle w:val="30"/>
        <w:tabs>
          <w:tab w:val="left" w:pos="8100"/>
        </w:tabs>
        <w:spacing w:line="360" w:lineRule="auto"/>
        <w:jc w:val="right"/>
        <w:rPr>
          <w:rFonts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招标编号：</w:t>
      </w:r>
      <w:r>
        <w:rPr>
          <w:rFonts w:hint="eastAsia" w:cs="宋体"/>
          <w:b/>
          <w:color w:val="000000"/>
          <w:kern w:val="2"/>
          <w:sz w:val="28"/>
          <w:szCs w:val="28"/>
          <w:highlight w:val="none"/>
          <w:u w:val="single"/>
          <w:lang w:val="en-US" w:eastAsia="zh-CN"/>
        </w:rPr>
        <w:t>ZJLQ-FGZB-容东项目-2023002</w:t>
      </w:r>
      <w:r>
        <w:rPr>
          <w:rFonts w:hint="eastAsia" w:ascii="宋体" w:hAnsi="宋体" w:eastAsia="宋体" w:cs="宋体"/>
          <w:b/>
          <w:bCs/>
          <w:sz w:val="28"/>
          <w:szCs w:val="28"/>
          <w:highlight w:val="none"/>
          <w:u w:val="single"/>
        </w:rPr>
        <w:t>号</w:t>
      </w:r>
    </w:p>
    <w:p>
      <w:pPr>
        <w:pStyle w:val="30"/>
        <w:tabs>
          <w:tab w:val="left" w:pos="8100"/>
        </w:tabs>
        <w:spacing w:line="360" w:lineRule="auto"/>
        <w:jc w:val="center"/>
        <w:rPr>
          <w:rFonts w:asciiTheme="majorEastAsia" w:hAnsiTheme="majorEastAsia" w:eastAsiaTheme="majorEastAsia"/>
          <w:b/>
          <w:color w:val="000000"/>
          <w:kern w:val="2"/>
          <w:sz w:val="28"/>
          <w:szCs w:val="28"/>
        </w:rPr>
      </w:pPr>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p>
    <w:p>
      <w:pPr>
        <w:pStyle w:val="30"/>
        <w:tabs>
          <w:tab w:val="left" w:pos="8100"/>
        </w:tabs>
        <w:spacing w:line="360" w:lineRule="auto"/>
        <w:jc w:val="center"/>
        <w:rPr>
          <w:rFonts w:cs="Times New Roman" w:asciiTheme="majorEastAsia" w:hAnsiTheme="majorEastAsia" w:eastAsiaTheme="majorEastAsia"/>
          <w:b/>
          <w:color w:val="000000"/>
          <w:kern w:val="2"/>
          <w:sz w:val="48"/>
          <w:szCs w:val="48"/>
        </w:rPr>
      </w:pPr>
    </w:p>
    <w:p>
      <w:pPr>
        <w:pStyle w:val="30"/>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中建路桥集团有限公司</w:t>
      </w:r>
    </w:p>
    <w:p>
      <w:pPr>
        <w:pStyle w:val="30"/>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宋体"/>
          <w:b/>
          <w:color w:val="000000"/>
          <w:kern w:val="2"/>
          <w:sz w:val="44"/>
          <w:szCs w:val="44"/>
          <w:highlight w:val="none"/>
          <w:u w:val="single"/>
          <w:lang w:eastAsia="zh-CN"/>
        </w:rPr>
        <w:t>中建路桥集团有限公司容东辅助配套区路网（三期）</w:t>
      </w:r>
      <w:r>
        <w:rPr>
          <w:rFonts w:hint="eastAsia" w:cs="Times New Roman" w:asciiTheme="majorEastAsia" w:hAnsiTheme="majorEastAsia" w:eastAsiaTheme="majorEastAsia"/>
          <w:b/>
          <w:color w:val="000000"/>
          <w:kern w:val="2"/>
          <w:sz w:val="44"/>
          <w:szCs w:val="44"/>
        </w:rPr>
        <w:t>项目</w:t>
      </w:r>
      <w:r>
        <w:rPr>
          <w:rFonts w:hint="eastAsia" w:cs="Times New Roman" w:asciiTheme="majorEastAsia" w:hAnsiTheme="majorEastAsia" w:eastAsiaTheme="majorEastAsia"/>
          <w:b/>
          <w:color w:val="000000"/>
          <w:kern w:val="2"/>
          <w:sz w:val="44"/>
          <w:szCs w:val="44"/>
          <w:u w:val="single"/>
          <w:lang w:val="en-US" w:eastAsia="zh-CN"/>
        </w:rPr>
        <w:t>交安物资</w:t>
      </w:r>
      <w:r>
        <w:rPr>
          <w:rFonts w:hint="eastAsia" w:cs="Times New Roman" w:asciiTheme="majorEastAsia" w:hAnsiTheme="majorEastAsia" w:eastAsiaTheme="majorEastAsia"/>
          <w:b/>
          <w:color w:val="000000"/>
          <w:kern w:val="2"/>
          <w:sz w:val="44"/>
          <w:szCs w:val="44"/>
        </w:rPr>
        <w:t>采购</w:t>
      </w:r>
    </w:p>
    <w:p>
      <w:pPr>
        <w:pStyle w:val="30"/>
        <w:tabs>
          <w:tab w:val="left" w:pos="8100"/>
        </w:tabs>
        <w:spacing w:line="360" w:lineRule="auto"/>
        <w:jc w:val="center"/>
        <w:rPr>
          <w:rFonts w:cs="Times New Roman" w:asciiTheme="majorEastAsia" w:hAnsiTheme="majorEastAsia" w:eastAsiaTheme="majorEastAsia"/>
          <w:b/>
          <w:color w:val="000000"/>
          <w:kern w:val="2"/>
          <w:sz w:val="52"/>
          <w:szCs w:val="52"/>
        </w:rPr>
      </w:pPr>
    </w:p>
    <w:p>
      <w:pPr>
        <w:pStyle w:val="30"/>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pStyle w:val="30"/>
        <w:tabs>
          <w:tab w:val="left" w:pos="8100"/>
        </w:tabs>
        <w:spacing w:line="360" w:lineRule="auto"/>
        <w:jc w:val="center"/>
        <w:rPr>
          <w:rFonts w:cs="Times New Roman" w:asciiTheme="majorEastAsia" w:hAnsiTheme="majorEastAsia" w:eastAsiaTheme="majorEastAsia"/>
          <w:b/>
          <w:color w:val="000000"/>
          <w:kern w:val="2"/>
          <w:sz w:val="36"/>
          <w:szCs w:val="36"/>
        </w:rPr>
      </w:pPr>
      <w:bookmarkStart w:id="0" w:name="_Toc17532"/>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中建路桥集团有限公司</w:t>
      </w:r>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2023</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1</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12</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日</w:t>
      </w: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pStyle w:val="179"/>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8"/>
        <w:gridCol w:w="4120"/>
        <w:gridCol w:w="4215"/>
      </w:tblGrid>
      <w:tr>
        <w:tblPrEx>
          <w:tblCellMar>
            <w:top w:w="0" w:type="dxa"/>
            <w:left w:w="108" w:type="dxa"/>
            <w:bottom w:w="0" w:type="dxa"/>
            <w:right w:w="108" w:type="dxa"/>
          </w:tblCellMar>
        </w:tblPrEx>
        <w:trPr>
          <w:trHeight w:val="90"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bookmarkStart w:id="1" w:name="_Toc238797549"/>
            <w:bookmarkStart w:id="2" w:name="_Toc287545429"/>
            <w:bookmarkStart w:id="3" w:name="_Toc144974496"/>
            <w:bookmarkStart w:id="4" w:name="_Toc238552194"/>
            <w:bookmarkStart w:id="5" w:name="_Toc152042304"/>
            <w:bookmarkStart w:id="6" w:name="_Toc152045528"/>
            <w:r>
              <w:rPr>
                <w:rFonts w:hint="eastAsia" w:ascii="仿宋_GB2312" w:eastAsia="仿宋_GB2312" w:cs="宋体" w:hAnsiTheme="minorEastAsia"/>
                <w:sz w:val="21"/>
                <w:szCs w:val="21"/>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34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34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hint="default" w:ascii="仿宋_GB2312" w:eastAsia="仿宋_GB2312" w:cs="宋体" w:hAnsiTheme="minorEastAsia"/>
                <w:sz w:val="21"/>
                <w:szCs w:val="21"/>
                <w:lang w:val="en-US" w:eastAsia="zh-CN"/>
              </w:rPr>
            </w:pPr>
            <w:r>
              <w:rPr>
                <w:rFonts w:hint="eastAsia" w:ascii="仿宋_GB2312" w:eastAsia="仿宋_GB2312" w:cs="宋体" w:hAnsiTheme="minorEastAsia"/>
                <w:sz w:val="21"/>
                <w:szCs w:val="21"/>
                <w:lang w:val="en-US" w:eastAsia="zh-CN"/>
              </w:rPr>
              <w:t>交安物资</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营业范围要求：在中华人民共和国境内依法注册、具有独立法人资格以及招标物资生产供应经验的生产商或销售商；</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pStyle w:val="179"/>
              <w:keepNext w:val="0"/>
              <w:keepLines w:val="0"/>
              <w:rPr>
                <w:rFonts w:hint="eastAsia" w:ascii="仿宋_GB2312" w:hAnsi="仿宋" w:eastAsia="仿宋_GB2312"/>
                <w:bCs/>
                <w:color w:val="000000" w:themeColor="text1"/>
                <w:sz w:val="21"/>
                <w:szCs w:val="21"/>
                <w:highlight w:val="none"/>
                <w:lang w:val="en-US" w:eastAsia="zh-CN"/>
              </w:rPr>
            </w:pPr>
            <w:r>
              <w:rPr>
                <w:rFonts w:hint="eastAsia" w:ascii="仿宋_GB2312" w:eastAsia="仿宋_GB2312" w:cs="宋体" w:hAnsiTheme="minorEastAsia"/>
                <w:sz w:val="21"/>
                <w:szCs w:val="21"/>
              </w:rPr>
              <w:t>质量保证能力要求：物资各项指标均必须满足招标方施工技术要求，满足中华人民共和国国家、地方及行业最新颁布的相关标准及技术规范，如果规范、标准、要</w:t>
            </w:r>
            <w:r>
              <w:rPr>
                <w:rFonts w:hint="eastAsia" w:ascii="仿宋_GB2312" w:eastAsia="仿宋_GB2312" w:cs="宋体" w:hAnsiTheme="minorEastAsia"/>
                <w:sz w:val="21"/>
                <w:szCs w:val="21"/>
                <w:highlight w:val="none"/>
              </w:rPr>
              <w:t>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pPr>
              <w:pStyle w:val="179"/>
              <w:rPr>
                <w:rFonts w:ascii="仿宋_GB2312" w:eastAsia="仿宋_GB2312" w:cs="宋体" w:hAnsiTheme="minorEastAsia"/>
                <w:sz w:val="21"/>
                <w:szCs w:val="21"/>
              </w:rPr>
            </w:pPr>
            <w:r>
              <w:rPr>
                <w:rFonts w:hint="eastAsia" w:ascii="仿宋_GB2312" w:eastAsia="仿宋_GB2312" w:cs="宋体" w:hAnsiTheme="minorEastAsia"/>
                <w:sz w:val="21"/>
                <w:szCs w:val="21"/>
              </w:rPr>
              <w:t>财务能力要求：具有健全的财务会计制度，近两年财务状况良好；</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其他要求：投标人须提供有效的符合招标文件要求的合格检测报告</w:t>
            </w:r>
            <w:r>
              <w:rPr>
                <w:rFonts w:hint="eastAsia" w:ascii="仿宋_GB2312" w:hAnsi="宋体" w:eastAsia="仿宋_GB2312" w:cs="宋体"/>
                <w:sz w:val="21"/>
                <w:szCs w:val="21"/>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hint="eastAsia" w:ascii="仿宋_GB2312" w:eastAsia="宋体" w:cs="宋体" w:hAnsiTheme="minorEastAsia"/>
                <w:sz w:val="21"/>
                <w:szCs w:val="21"/>
                <w:lang w:val="en-US" w:eastAsia="zh-CN"/>
              </w:rPr>
            </w:pPr>
            <w:r>
              <w:rPr>
                <w:rFonts w:hint="eastAsia" w:ascii="仿宋" w:hAnsi="仿宋" w:eastAsia="仿宋" w:cs="仿宋"/>
                <w:sz w:val="21"/>
                <w:szCs w:val="21"/>
                <w:highlight w:val="none"/>
              </w:rPr>
              <w:t>实行月结，一票结算。每月</w:t>
            </w:r>
            <w:r>
              <w:rPr>
                <w:rFonts w:hint="eastAsia" w:ascii="仿宋" w:hAnsi="仿宋" w:eastAsia="仿宋" w:cs="仿宋"/>
                <w:sz w:val="21"/>
                <w:szCs w:val="21"/>
                <w:highlight w:val="none"/>
                <w:u w:val="single"/>
              </w:rPr>
              <w:t xml:space="preserve"> 15 </w:t>
            </w:r>
            <w:r>
              <w:rPr>
                <w:rFonts w:hint="eastAsia" w:ascii="仿宋" w:hAnsi="仿宋" w:eastAsia="仿宋" w:cs="仿宋"/>
                <w:sz w:val="21"/>
                <w:szCs w:val="21"/>
                <w:highlight w:val="none"/>
              </w:rPr>
              <w:t>日对上月</w:t>
            </w:r>
            <w:r>
              <w:rPr>
                <w:rFonts w:hint="eastAsia" w:ascii="仿宋" w:hAnsi="仿宋" w:eastAsia="仿宋" w:cs="仿宋"/>
                <w:sz w:val="21"/>
                <w:szCs w:val="21"/>
                <w:highlight w:val="none"/>
                <w:u w:val="single"/>
              </w:rPr>
              <w:t xml:space="preserve"> 16 </w:t>
            </w:r>
            <w:r>
              <w:rPr>
                <w:rFonts w:hint="eastAsia" w:ascii="仿宋" w:hAnsi="仿宋" w:eastAsia="仿宋" w:cs="仿宋"/>
                <w:sz w:val="21"/>
                <w:szCs w:val="21"/>
                <w:highlight w:val="none"/>
              </w:rPr>
              <w:t>日到本月</w:t>
            </w:r>
            <w:r>
              <w:rPr>
                <w:rFonts w:hint="eastAsia" w:ascii="仿宋" w:hAnsi="仿宋" w:eastAsia="仿宋" w:cs="仿宋"/>
                <w:sz w:val="21"/>
                <w:szCs w:val="21"/>
                <w:highlight w:val="none"/>
                <w:u w:val="single"/>
              </w:rPr>
              <w:t xml:space="preserve"> 15 </w:t>
            </w:r>
            <w:r>
              <w:rPr>
                <w:rFonts w:hint="eastAsia" w:ascii="仿宋" w:hAnsi="仿宋" w:eastAsia="仿宋" w:cs="仿宋"/>
                <w:sz w:val="21"/>
                <w:szCs w:val="21"/>
                <w:highlight w:val="none"/>
              </w:rPr>
              <w:t>日所供应的物资办理月结手续</w:t>
            </w:r>
            <w:r>
              <w:rPr>
                <w:rFonts w:hint="eastAsia" w:ascii="仿宋" w:hAnsi="仿宋" w:eastAsia="仿宋" w:cs="仿宋"/>
                <w:sz w:val="21"/>
                <w:szCs w:val="21"/>
                <w:highlight w:val="none"/>
                <w:lang w:eastAsia="zh-CN"/>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hint="eastAsia" w:ascii="仿宋" w:hAnsi="仿宋" w:eastAsia="仿宋" w:cs="仿宋"/>
                <w:color w:val="auto"/>
                <w:sz w:val="21"/>
                <w:szCs w:val="21"/>
              </w:rPr>
            </w:pPr>
            <w:r>
              <w:rPr>
                <w:rFonts w:hint="eastAsia" w:ascii="仿宋" w:hAnsi="仿宋" w:eastAsia="仿宋" w:cs="仿宋"/>
                <w:color w:val="auto"/>
                <w:sz w:val="21"/>
                <w:szCs w:val="21"/>
                <w:highlight w:val="none"/>
              </w:rPr>
              <w:t>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第1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个月</w:t>
            </w:r>
            <w:r>
              <w:rPr>
                <w:rFonts w:hint="eastAsia" w:ascii="仿宋" w:hAnsi="仿宋" w:eastAsia="仿宋" w:cs="仿宋"/>
                <w:color w:val="auto"/>
                <w:sz w:val="21"/>
                <w:szCs w:val="21"/>
                <w:highlight w:val="none"/>
                <w:lang w:eastAsia="zh-CN"/>
              </w:rPr>
              <w:t>末</w:t>
            </w:r>
            <w:r>
              <w:rPr>
                <w:rFonts w:hint="eastAsia" w:ascii="仿宋" w:hAnsi="仿宋" w:eastAsia="仿宋" w:cs="仿宋"/>
                <w:color w:val="auto"/>
                <w:sz w:val="21"/>
                <w:szCs w:val="21"/>
                <w:highlight w:val="none"/>
              </w:rPr>
              <w:t>支付当期应付货款的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70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%，余下</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%货款在乙方所供当期物资经检验合格后的</w:t>
            </w:r>
            <w:r>
              <w:rPr>
                <w:rFonts w:hint="eastAsia" w:ascii="仿宋" w:hAnsi="仿宋" w:eastAsia="仿宋" w:cs="仿宋"/>
                <w:color w:val="auto"/>
                <w:sz w:val="21"/>
                <w:szCs w:val="21"/>
                <w:highlight w:val="none"/>
                <w:u w:val="single"/>
                <w:lang w:val="en-US" w:eastAsia="zh-CN"/>
              </w:rPr>
              <w:t>90</w:t>
            </w:r>
            <w:r>
              <w:rPr>
                <w:rFonts w:hint="eastAsia" w:ascii="仿宋" w:hAnsi="仿宋" w:eastAsia="仿宋" w:cs="仿宋"/>
                <w:color w:val="auto"/>
                <w:sz w:val="21"/>
                <w:szCs w:val="21"/>
                <w:highlight w:val="none"/>
              </w:rPr>
              <w:t>个工作日内付清，以此类推。以上付款比例按业主资金拨付情况和项目资金状况而定，若业主付款推迟则该付款期限相应推迟，延期付款部分不计利息。</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left"/>
              <w:rPr>
                <w:rFonts w:hint="eastAsia" w:ascii="仿宋" w:hAnsi="仿宋" w:eastAsia="仿宋" w:cs="仿宋"/>
                <w:color w:val="auto"/>
                <w:sz w:val="21"/>
                <w:szCs w:val="21"/>
              </w:rPr>
            </w:pPr>
            <w:r>
              <w:rPr>
                <w:rFonts w:hint="eastAsia" w:ascii="仿宋" w:hAnsi="仿宋" w:eastAsia="仿宋" w:cs="仿宋"/>
                <w:color w:val="auto"/>
                <w:sz w:val="21"/>
                <w:szCs w:val="21"/>
                <w:highlight w:val="none"/>
              </w:rPr>
              <w:t>按合同约定银行账户转账，招标方</w:t>
            </w:r>
            <w:r>
              <w:rPr>
                <w:rFonts w:hint="eastAsia" w:ascii="仿宋" w:hAnsi="仿宋" w:eastAsia="仿宋" w:cs="仿宋"/>
                <w:color w:val="auto"/>
                <w:sz w:val="21"/>
                <w:szCs w:val="21"/>
                <w:highlight w:val="none"/>
                <w:lang w:val="zh-CN"/>
              </w:rPr>
              <w:t>货款</w:t>
            </w:r>
            <w:r>
              <w:rPr>
                <w:rFonts w:hint="eastAsia" w:ascii="仿宋" w:hAnsi="仿宋" w:eastAsia="仿宋" w:cs="仿宋"/>
                <w:color w:val="auto"/>
                <w:sz w:val="21"/>
                <w:szCs w:val="21"/>
                <w:highlight w:val="none"/>
              </w:rPr>
              <w:t>支付形式</w:t>
            </w:r>
            <w:r>
              <w:rPr>
                <w:rFonts w:hint="eastAsia" w:ascii="仿宋" w:hAnsi="仿宋" w:eastAsia="仿宋" w:cs="仿宋"/>
                <w:color w:val="auto"/>
                <w:sz w:val="21"/>
                <w:szCs w:val="21"/>
                <w:highlight w:val="none"/>
                <w:lang w:val="zh-CN"/>
              </w:rPr>
              <w:t>:银行电汇支付，</w:t>
            </w:r>
            <w:r>
              <w:rPr>
                <w:rFonts w:hint="eastAsia" w:ascii="仿宋" w:hAnsi="仿宋" w:eastAsia="仿宋" w:cs="仿宋"/>
                <w:color w:val="auto"/>
                <w:sz w:val="21"/>
                <w:szCs w:val="21"/>
                <w:highlight w:val="none"/>
              </w:rPr>
              <w:t>投标方</w:t>
            </w:r>
            <w:r>
              <w:rPr>
                <w:rFonts w:hint="eastAsia" w:ascii="仿宋" w:hAnsi="仿宋" w:eastAsia="仿宋" w:cs="仿宋"/>
                <w:color w:val="auto"/>
                <w:sz w:val="21"/>
                <w:szCs w:val="21"/>
                <w:highlight w:val="none"/>
                <w:lang w:val="zh-CN"/>
              </w:rPr>
              <w:t>须保证对</w:t>
            </w:r>
            <w:r>
              <w:rPr>
                <w:rFonts w:hint="eastAsia" w:ascii="仿宋" w:hAnsi="仿宋" w:eastAsia="仿宋" w:cs="仿宋"/>
                <w:color w:val="auto"/>
                <w:sz w:val="21"/>
                <w:szCs w:val="21"/>
                <w:highlight w:val="none"/>
              </w:rPr>
              <w:t>招标方</w:t>
            </w:r>
            <w:r>
              <w:rPr>
                <w:rFonts w:hint="eastAsia" w:ascii="仿宋" w:hAnsi="仿宋" w:eastAsia="仿宋" w:cs="仿宋"/>
                <w:color w:val="auto"/>
                <w:sz w:val="21"/>
                <w:szCs w:val="21"/>
                <w:highlight w:val="none"/>
                <w:lang w:val="zh-CN"/>
              </w:rPr>
              <w:t>的资金往来账户与本合同所约定账户一致，开票单位名称与合同约定名称一致。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hint="eastAsia" w:ascii="仿宋" w:hAnsi="仿宋" w:eastAsia="仿宋" w:cs="仿宋"/>
                <w:sz w:val="21"/>
                <w:szCs w:val="21"/>
              </w:rPr>
            </w:pPr>
            <w:r>
              <w:rPr>
                <w:rFonts w:hint="eastAsia" w:ascii="仿宋" w:hAnsi="仿宋" w:eastAsia="仿宋" w:cs="仿宋"/>
                <w:sz w:val="21"/>
                <w:szCs w:val="21"/>
              </w:rPr>
              <w:t>“招标文件”发布信息为准</w:t>
            </w:r>
          </w:p>
        </w:tc>
      </w:tr>
      <w:tr>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spacing w:line="320" w:lineRule="exact"/>
              <w:rPr>
                <w:rFonts w:hint="eastAsia" w:ascii="仿宋" w:hAnsi="仿宋" w:eastAsia="仿宋" w:cs="仿宋"/>
                <w:sz w:val="21"/>
                <w:szCs w:val="21"/>
                <w:lang w:eastAsia="zh-CN"/>
              </w:rPr>
            </w:pPr>
            <w:r>
              <w:rPr>
                <w:rFonts w:hint="eastAsia" w:ascii="仿宋" w:hAnsi="仿宋" w:eastAsia="仿宋" w:cs="仿宋"/>
                <w:sz w:val="21"/>
                <w:szCs w:val="21"/>
              </w:rPr>
              <w:t>是否指定生产厂家/品牌：是□   否</w:t>
            </w:r>
            <w:r>
              <w:rPr>
                <w:rFonts w:hint="eastAsia" w:ascii="仿宋" w:hAnsi="仿宋" w:eastAsia="仿宋" w:cs="仿宋"/>
                <w:sz w:val="21"/>
                <w:szCs w:val="21"/>
                <w:lang w:eastAsia="zh-CN"/>
              </w:rPr>
              <w:t>☑</w:t>
            </w:r>
          </w:p>
          <w:p>
            <w:pPr>
              <w:pStyle w:val="135"/>
              <w:spacing w:before="0" w:beforeAutospacing="0" w:after="0" w:afterAutospacing="0" w:line="320" w:lineRule="exact"/>
              <w:rPr>
                <w:rFonts w:hint="eastAsia" w:ascii="仿宋" w:hAnsi="仿宋" w:eastAsia="仿宋" w:cs="仿宋"/>
                <w:u w:val="single"/>
              </w:rPr>
            </w:pPr>
            <w:r>
              <w:rPr>
                <w:rFonts w:hint="eastAsia" w:ascii="仿宋" w:hAnsi="仿宋" w:eastAsia="仿宋" w:cs="仿宋"/>
                <w:b w:val="0"/>
                <w:bCs w:val="0"/>
                <w:kern w:val="2"/>
                <w:sz w:val="21"/>
                <w:szCs w:val="21"/>
              </w:rPr>
              <w:t>要求提供以下厂家/品牌产品：</w:t>
            </w:r>
            <w:r>
              <w:rPr>
                <w:rFonts w:hint="eastAsia" w:ascii="仿宋" w:hAnsi="仿宋" w:eastAsia="仿宋" w:cs="仿宋"/>
                <w:b w:val="0"/>
                <w:bCs w:val="0"/>
                <w:kern w:val="2"/>
                <w:sz w:val="21"/>
                <w:szCs w:val="21"/>
                <w:u w:val="single"/>
              </w:rPr>
              <w:t xml:space="preserve">    </w:t>
            </w:r>
            <w:r>
              <w:rPr>
                <w:rFonts w:hint="eastAsia" w:ascii="仿宋" w:hAnsi="仿宋" w:eastAsia="仿宋" w:cs="仿宋"/>
                <w:b w:val="0"/>
                <w:bCs w:val="0"/>
                <w:kern w:val="2"/>
                <w:sz w:val="21"/>
                <w:szCs w:val="21"/>
                <w:u w:val="single"/>
                <w:lang w:val="en-US" w:eastAsia="zh-CN"/>
              </w:rPr>
              <w:t>/</w:t>
            </w:r>
            <w:r>
              <w:rPr>
                <w:rFonts w:hint="eastAsia" w:ascii="仿宋" w:hAnsi="仿宋" w:eastAsia="仿宋" w:cs="仿宋"/>
                <w:b w:val="0"/>
                <w:bCs w:val="0"/>
                <w:kern w:val="2"/>
                <w:sz w:val="21"/>
                <w:szCs w:val="21"/>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万元，汇款账户详情见总则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1090"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分前不得开启”字样，密封处应有密封章</w:t>
            </w:r>
          </w:p>
        </w:tc>
      </w:tr>
      <w:tr>
        <w:tblPrEx>
          <w:tblCellMar>
            <w:top w:w="0" w:type="dxa"/>
            <w:left w:w="108" w:type="dxa"/>
            <w:bottom w:w="0" w:type="dxa"/>
            <w:right w:w="108" w:type="dxa"/>
          </w:tblCellMar>
        </w:tblPrEx>
        <w:trPr>
          <w:trHeight w:val="36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tblPrEx>
          <w:tblCellMar>
            <w:top w:w="0" w:type="dxa"/>
            <w:left w:w="108" w:type="dxa"/>
            <w:bottom w:w="0" w:type="dxa"/>
            <w:right w:w="108" w:type="dxa"/>
          </w:tblCellMar>
        </w:tblPrEx>
        <w:trPr>
          <w:trHeight w:val="374" w:hRule="atLeast"/>
        </w:trPr>
        <w:tc>
          <w:tcPr>
            <w:tcW w:w="582"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2234" w:type="pct"/>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2234" w:type="pct"/>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rPr>
              <w:t>履约保证金：</w:t>
            </w:r>
            <w:r>
              <w:rPr>
                <w:rFonts w:hint="eastAsia" w:ascii="仿宋_GB2312" w:eastAsia="仿宋_GB2312" w:cs="宋体" w:hAnsiTheme="minorEastAsia"/>
                <w:sz w:val="21"/>
                <w:szCs w:val="21"/>
                <w:lang w:val="en-US" w:eastAsia="zh-CN"/>
              </w:rPr>
              <w:t>1万。</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2</w:t>
            </w:r>
            <w:r>
              <w:rPr>
                <w:rFonts w:ascii="仿宋_GB2312" w:eastAsia="仿宋_GB2312" w:cs="宋体" w:hAnsiTheme="minorEastAsia"/>
                <w:color w:val="000000" w:themeColor="text1"/>
                <w:sz w:val="21"/>
                <w:szCs w:val="21"/>
              </w:rPr>
              <w:t>0</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物资计量方式：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过磅</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计件</w:t>
            </w:r>
            <w:r>
              <w:rPr>
                <w:rFonts w:hint="eastAsia" w:ascii="仿宋_GB2312" w:hAnsi="仿宋_GB2312" w:eastAsia="仿宋_GB2312" w:cs="仿宋_GB2312"/>
                <w:sz w:val="21"/>
                <w:szCs w:val="21"/>
                <w:lang w:eastAsia="zh-CN"/>
              </w:rPr>
              <w:t>☑</w:t>
            </w:r>
            <w:r>
              <w:rPr>
                <w:rFonts w:hint="eastAsia" w:ascii="仿宋_GB2312" w:eastAsia="仿宋_GB2312" w:cs="宋体" w:hAnsiTheme="minorEastAsia"/>
                <w:sz w:val="21"/>
                <w:szCs w:val="21"/>
              </w:rPr>
              <w:t xml:space="preserve"> 检尺□ 其他计量方式</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rPr>
      </w:pPr>
      <w:bookmarkStart w:id="7" w:name="_Toc214339494"/>
      <w:bookmarkStart w:id="8" w:name="_Toc214336660"/>
      <w:bookmarkStart w:id="9" w:name="_Toc31831"/>
      <w:bookmarkStart w:id="10" w:name="_Toc214333205"/>
      <w:r>
        <w:rPr>
          <w:rFonts w:ascii="仿宋_GB2312" w:eastAsia="仿宋_GB2312" w:cs="黑体" w:hAnsiTheme="minorEastAsia"/>
          <w:bCs/>
          <w:sz w:val="28"/>
          <w:szCs w:val="28"/>
        </w:rPr>
        <w:br w:type="page"/>
      </w:r>
      <w:r>
        <w:rPr>
          <w:rFonts w:hint="eastAsia" w:ascii="仿宋_GB2312" w:eastAsia="仿宋_GB2312" w:cs="黑体" w:hAnsiTheme="minorEastAsia"/>
          <w:b/>
          <w:sz w:val="28"/>
          <w:szCs w:val="28"/>
        </w:rPr>
        <w:t>一、总则</w:t>
      </w:r>
      <w:bookmarkEnd w:id="7"/>
      <w:bookmarkEnd w:id="8"/>
      <w:bookmarkEnd w:id="9"/>
      <w:bookmarkEnd w:id="10"/>
    </w:p>
    <w:p>
      <w:pPr>
        <w:pStyle w:val="179"/>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79"/>
        <w:keepNext w:val="0"/>
        <w:keepLines w:val="0"/>
        <w:ind w:firstLine="420" w:firstLineChars="200"/>
        <w:jc w:val="left"/>
        <w:rPr>
          <w:rFonts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坚持以习近平新时代中国特色社会主义思想为指导，全面贯彻党的十九大精神。遵守自由、平等、公正、法治的社会主义核心价值观。</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2根据《中华人民共和国招标投标法》等有关法律、法规的规定，以及招标人相应管理办法，本招标项目有关物资采购已具备招标条件，现进行招标。</w:t>
      </w:r>
    </w:p>
    <w:p>
      <w:pPr>
        <w:pStyle w:val="179"/>
        <w:keepNext w:val="0"/>
        <w:keepLines w:val="0"/>
        <w:ind w:firstLine="420" w:firstLineChars="200"/>
        <w:jc w:val="left"/>
        <w:rPr>
          <w:rFonts w:hint="default" w:ascii="仿宋_GB2312" w:eastAsia="仿宋_GB2312" w:cs="宋体" w:hAnsiTheme="minorEastAsia"/>
          <w:sz w:val="21"/>
          <w:szCs w:val="21"/>
          <w:lang w:val="en-US"/>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lang w:val="en-US" w:eastAsia="zh-CN"/>
        </w:rPr>
        <w:t>ZJLQ-FGZB-容东项目-2023002</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1.4项目名称：</w:t>
      </w:r>
      <w:r>
        <w:rPr>
          <w:rFonts w:hint="eastAsia" w:ascii="仿宋" w:hAnsi="仿宋" w:eastAsia="仿宋" w:cs="仿宋"/>
          <w:sz w:val="21"/>
          <w:szCs w:val="21"/>
          <w:highlight w:val="none"/>
          <w:u w:val="single"/>
          <w:lang w:eastAsia="zh-CN"/>
        </w:rPr>
        <w:t>中建路桥集团有限公司容东辅助配套区路网（三期）项目</w:t>
      </w:r>
    </w:p>
    <w:p>
      <w:pPr>
        <w:pStyle w:val="179"/>
        <w:keepNext w:val="0"/>
        <w:keepLines w:val="0"/>
        <w:ind w:firstLine="420" w:firstLineChars="200"/>
        <w:jc w:val="left"/>
        <w:rPr>
          <w:rFonts w:hint="default" w:ascii="仿宋_GB2312" w:eastAsia="仿宋_GB2312" w:cs="宋体" w:hAnsiTheme="minorEastAsia"/>
          <w:sz w:val="21"/>
          <w:szCs w:val="21"/>
          <w:u w:val="single"/>
          <w:lang w:val="en-US"/>
        </w:rPr>
      </w:pPr>
      <w:r>
        <w:rPr>
          <w:rFonts w:hint="eastAsia" w:ascii="仿宋_GB2312" w:eastAsia="仿宋_GB2312" w:cs="宋体" w:hAnsiTheme="minorEastAsia"/>
          <w:sz w:val="21"/>
          <w:szCs w:val="21"/>
        </w:rPr>
        <w:t>1.5项目地点：</w:t>
      </w:r>
      <w:r>
        <w:rPr>
          <w:rFonts w:hint="eastAsia" w:ascii="仿宋" w:hAnsi="仿宋" w:eastAsia="仿宋" w:cs="仿宋"/>
          <w:sz w:val="21"/>
          <w:szCs w:val="21"/>
          <w:highlight w:val="none"/>
          <w:u w:val="single"/>
          <w:lang w:val="en-US" w:eastAsia="zh-CN"/>
        </w:rPr>
        <w:t>保定市容城县</w:t>
      </w:r>
    </w:p>
    <w:p>
      <w:pPr>
        <w:pStyle w:val="179"/>
        <w:keepNext w:val="0"/>
        <w:keepLines w:val="0"/>
        <w:ind w:firstLine="420" w:firstLineChars="200"/>
        <w:jc w:val="left"/>
        <w:rPr>
          <w:rFonts w:hint="default" w:ascii="仿宋_GB2312" w:eastAsia="仿宋_GB2312" w:cs="宋体" w:hAnsiTheme="minorEastAsia"/>
          <w:sz w:val="21"/>
          <w:szCs w:val="21"/>
          <w:u w:val="single"/>
          <w:lang w:val="en-US" w:eastAsia="zh-CN"/>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穆朝奇</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lang w:val="en-US" w:eastAsia="zh-CN"/>
        </w:rPr>
        <w:t>13294066591</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79"/>
        <w:keepNext w:val="0"/>
        <w:keepLines w:val="0"/>
        <w:ind w:firstLine="482" w:firstLineChars="200"/>
        <w:jc w:val="left"/>
        <w:rPr>
          <w:rFonts w:ascii="仿宋_GB2312" w:eastAsia="仿宋_GB2312" w:hAnsiTheme="minorEastAsia"/>
          <w:b/>
          <w:bCs/>
        </w:rPr>
      </w:pPr>
      <w:bookmarkStart w:id="13" w:name="_Toc20775"/>
      <w:r>
        <w:rPr>
          <w:rFonts w:hint="eastAsia" w:ascii="仿宋_GB2312" w:eastAsia="仿宋_GB2312" w:cs="宋体" w:hAnsiTheme="minorEastAsia"/>
          <w:b/>
          <w:bCs/>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pPr>
        <w:pStyle w:val="179"/>
        <w:keepNext w:val="0"/>
        <w:keepLines w:val="0"/>
        <w:ind w:firstLine="482" w:firstLineChars="200"/>
        <w:jc w:val="left"/>
        <w:rPr>
          <w:rFonts w:ascii="仿宋_GB2312" w:eastAsia="仿宋_GB2312" w:hAnsiTheme="minorEastAsia"/>
          <w:b/>
          <w:bCs/>
        </w:rPr>
      </w:pPr>
      <w:bookmarkStart w:id="14" w:name="_Toc6649"/>
      <w:r>
        <w:rPr>
          <w:rFonts w:hint="eastAsia" w:ascii="仿宋_GB2312" w:eastAsia="仿宋_GB2312" w:cs="宋体" w:hAnsiTheme="minorEastAsia"/>
          <w:b/>
          <w:bCs/>
        </w:rPr>
        <w:t>3.采购资金来源</w:t>
      </w:r>
      <w:bookmarkEnd w:id="14"/>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项目结算工程款</w:t>
      </w:r>
    </w:p>
    <w:p>
      <w:pPr>
        <w:pStyle w:val="179"/>
        <w:keepNext w:val="0"/>
        <w:keepLines w:val="0"/>
        <w:ind w:firstLine="482" w:firstLineChars="200"/>
        <w:jc w:val="left"/>
        <w:rPr>
          <w:rFonts w:ascii="仿宋_GB2312" w:eastAsia="仿宋_GB2312" w:hAnsiTheme="minorEastAsia"/>
          <w:b/>
          <w:bCs/>
        </w:rPr>
      </w:pPr>
      <w:bookmarkStart w:id="15" w:name="_Toc30721"/>
      <w:r>
        <w:rPr>
          <w:rFonts w:hint="eastAsia" w:ascii="仿宋_GB2312" w:eastAsia="仿宋_GB2312" w:cs="宋体" w:hAnsiTheme="minorEastAsia"/>
          <w:b/>
          <w:bCs/>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4.1本次招标采购物资为中建路桥集团有限公司</w:t>
      </w:r>
      <w:r>
        <w:rPr>
          <w:rFonts w:hint="eastAsia" w:ascii="仿宋" w:hAnsi="仿宋" w:eastAsia="仿宋" w:cs="仿宋"/>
          <w:sz w:val="21"/>
          <w:szCs w:val="21"/>
          <w:highlight w:val="none"/>
          <w:u w:val="single"/>
          <w:lang w:eastAsia="zh-CN"/>
        </w:rPr>
        <w:t>中建路桥集团有限公司容东辅助配套区路网（三期）项目</w:t>
      </w:r>
      <w:r>
        <w:rPr>
          <w:rFonts w:hint="eastAsia" w:ascii="仿宋_GB2312" w:eastAsia="仿宋_GB2312" w:hAnsiTheme="minorEastAsia"/>
          <w:sz w:val="21"/>
          <w:szCs w:val="21"/>
        </w:rPr>
        <w:t>项目所需</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b/>
          <w:bCs/>
          <w:sz w:val="21"/>
          <w:szCs w:val="21"/>
          <w:u w:val="single"/>
          <w:lang w:val="en-US" w:eastAsia="zh-CN"/>
        </w:rPr>
        <w:t>交安物资</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sz w:val="21"/>
          <w:szCs w:val="21"/>
        </w:rPr>
        <w:t>。具体数量详见下表。</w:t>
      </w:r>
    </w:p>
    <w:tbl>
      <w:tblPr>
        <w:tblStyle w:val="34"/>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七牌三图</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1.2*0.64m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套</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围挡</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2.2*3m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m</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2500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喷淋装置</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DN15</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m</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爆闪灯</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500*230*170mm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个</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土工布</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100g/㎡、4*24m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卷</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防尘网</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8针、8*30m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卷</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反光锥</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470mm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个</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防撞桶</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580*820mm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个</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防撞水马</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1500*800mm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个</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反光服（整身）</w:t>
            </w:r>
          </w:p>
        </w:tc>
        <w:tc>
          <w:tcPr>
            <w:tcW w:w="141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套</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11</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反光马甲</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套</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12</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安全帽</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个</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智慧工地监控系统</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套</w:t>
            </w:r>
          </w:p>
        </w:tc>
        <w:tc>
          <w:tcPr>
            <w:tcW w:w="141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批</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1</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rPr>
            </w:pPr>
          </w:p>
        </w:tc>
      </w:tr>
    </w:tbl>
    <w:p>
      <w:pPr>
        <w:spacing w:line="400" w:lineRule="exact"/>
        <w:ind w:firstLine="420" w:firstLineChars="200"/>
        <w:jc w:val="left"/>
        <w:outlineLvl w:val="2"/>
        <w:rPr>
          <w:rFonts w:hint="eastAsia" w:ascii="仿宋_GB2312" w:eastAsia="仿宋_GB2312" w:hAnsiTheme="minorEastAsia"/>
          <w:sz w:val="21"/>
          <w:szCs w:val="21"/>
          <w:lang w:eastAsia="zh-CN"/>
        </w:rPr>
      </w:pPr>
      <w:r>
        <w:rPr>
          <w:rFonts w:hint="eastAsia" w:ascii="仿宋_GB2312" w:eastAsia="仿宋_GB2312" w:hAnsiTheme="minorEastAsia"/>
          <w:sz w:val="21"/>
          <w:szCs w:val="21"/>
        </w:rPr>
        <w:t>4.2交货地点：中建路桥集团有限公司</w:t>
      </w:r>
      <w:r>
        <w:rPr>
          <w:rFonts w:hint="eastAsia" w:ascii="仿宋" w:hAnsi="仿宋" w:eastAsia="仿宋" w:cs="仿宋"/>
          <w:sz w:val="21"/>
          <w:szCs w:val="21"/>
          <w:u w:val="single"/>
          <w:lang w:eastAsia="zh-CN"/>
        </w:rPr>
        <w:t>容东辅助配套区路网（三期）项目</w:t>
      </w:r>
      <w:r>
        <w:rPr>
          <w:rFonts w:hint="eastAsia" w:ascii="仿宋_GB2312" w:eastAsia="仿宋_GB2312" w:hAnsiTheme="minorEastAsia"/>
          <w:sz w:val="21"/>
          <w:szCs w:val="21"/>
        </w:rPr>
        <w:t>项目</w:t>
      </w:r>
      <w:r>
        <w:rPr>
          <w:rFonts w:hint="eastAsia" w:ascii="仿宋_GB2312" w:eastAsia="仿宋_GB2312" w:hAnsiTheme="minorEastAsia"/>
          <w:sz w:val="21"/>
          <w:szCs w:val="21"/>
          <w:lang w:val="en-US" w:eastAsia="zh-CN"/>
        </w:rPr>
        <w:t>经理</w:t>
      </w:r>
      <w:r>
        <w:rPr>
          <w:rFonts w:hint="eastAsia" w:ascii="仿宋_GB2312" w:eastAsia="仿宋_GB2312" w:hAnsiTheme="minorEastAsia"/>
          <w:sz w:val="21"/>
          <w:szCs w:val="21"/>
        </w:rPr>
        <w:t>部</w:t>
      </w:r>
      <w:r>
        <w:rPr>
          <w:rFonts w:hint="eastAsia" w:ascii="仿宋_GB2312" w:eastAsia="仿宋_GB2312" w:hAnsiTheme="minorEastAsia"/>
          <w:sz w:val="21"/>
          <w:szCs w:val="21"/>
          <w:lang w:eastAsia="zh-CN"/>
        </w:rPr>
        <w:t>。</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4.3中标物资不允许转包。</w:t>
      </w:r>
    </w:p>
    <w:p>
      <w:pPr>
        <w:pStyle w:val="179"/>
        <w:keepNext w:val="0"/>
        <w:keepLines w:val="0"/>
        <w:ind w:firstLine="482" w:firstLineChars="200"/>
        <w:jc w:val="left"/>
        <w:rPr>
          <w:rFonts w:ascii="仿宋_GB2312" w:eastAsia="仿宋_GB2312" w:hAnsiTheme="minorEastAsia"/>
          <w:b/>
          <w:bCs/>
        </w:rPr>
      </w:pPr>
      <w:bookmarkStart w:id="16" w:name="_Toc8674"/>
      <w:r>
        <w:rPr>
          <w:rFonts w:hint="eastAsia" w:ascii="仿宋_GB2312" w:eastAsia="仿宋_GB2312" w:cs="宋体" w:hAnsiTheme="minorEastAsia"/>
          <w:b/>
          <w:bCs/>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7" w:name="_Toc20481"/>
      <w:r>
        <w:rPr>
          <w:rFonts w:hint="eastAsia" w:ascii="仿宋_GB2312" w:eastAsia="仿宋_GB2312" w:hAnsiTheme="minorEastAsia"/>
          <w:sz w:val="21"/>
          <w:szCs w:val="21"/>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5.1.5绿色、节能、环保</w:t>
      </w:r>
      <w:r>
        <w:rPr>
          <w:rFonts w:hint="eastAsia" w:ascii="仿宋_GB2312" w:eastAsia="仿宋_GB2312" w:hAnsiTheme="minorEastAsia"/>
          <w:sz w:val="21"/>
          <w:szCs w:val="21"/>
          <w:highlight w:val="none"/>
        </w:rPr>
        <w:t>能力</w:t>
      </w:r>
      <w:r>
        <w:rPr>
          <w:rFonts w:hint="eastAsia" w:ascii="仿宋_GB2312" w:hAnsi="仿宋" w:eastAsia="仿宋_GB2312"/>
          <w:bCs/>
          <w:color w:val="000000" w:themeColor="text1"/>
          <w:sz w:val="21"/>
          <w:szCs w:val="21"/>
          <w:highlight w:val="none"/>
          <w:lang w:val="en-US" w:eastAsia="zh-CN"/>
        </w:rPr>
        <w:t>要求：</w:t>
      </w:r>
      <w:r>
        <w:rPr>
          <w:rFonts w:hint="eastAsia" w:ascii="仿宋_GB2312" w:eastAsia="仿宋_GB2312" w:hAnsiTheme="minorEastAsia"/>
          <w:sz w:val="21"/>
          <w:szCs w:val="21"/>
          <w:highlight w:val="none"/>
        </w:rPr>
        <w:t>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5.1.6供货业绩要求：见投标人须知前附表；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7</w:t>
      </w:r>
      <w:r>
        <w:rPr>
          <w:rFonts w:hint="eastAsia" w:ascii="仿宋_GB2312" w:eastAsia="仿宋_GB2312" w:hAnsiTheme="minorEastAsia"/>
          <w:sz w:val="21"/>
          <w:szCs w:val="21"/>
        </w:rPr>
        <w:t>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8</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w:t>
      </w:r>
      <w:r>
        <w:rPr>
          <w:rFonts w:hint="eastAsia" w:ascii="仿宋_GB2312" w:eastAsia="仿宋_GB2312" w:hAnsiTheme="minorEastAsia"/>
          <w:sz w:val="21"/>
          <w:szCs w:val="21"/>
          <w:lang w:val="en-US" w:eastAsia="zh-CN"/>
        </w:rPr>
        <w:t>9</w:t>
      </w:r>
      <w:r>
        <w:rPr>
          <w:rFonts w:hint="eastAsia" w:ascii="仿宋_GB2312" w:eastAsia="仿宋_GB2312" w:hAnsiTheme="minorEastAsia"/>
          <w:sz w:val="21"/>
          <w:szCs w:val="21"/>
        </w:rPr>
        <w:t>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5.2.1不具有独立法人资格的附属机构（单位）；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5.2.2被责令停业的；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5.2.3被暂停或取消投标资格的；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rPr>
        <w:t>6.1所有投标物资及其有关服务，均应来自投标人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并且提供的物资应符合或优于招标文件要</w:t>
      </w:r>
      <w:r>
        <w:rPr>
          <w:rFonts w:hint="eastAsia" w:ascii="仿宋_GB2312" w:eastAsia="仿宋_GB2312" w:hAnsiTheme="minorEastAsia"/>
          <w:sz w:val="21"/>
          <w:szCs w:val="21"/>
          <w:highlight w:val="none"/>
        </w:rPr>
        <w:t>求和现行的有关技术标准</w:t>
      </w:r>
      <w:r>
        <w:rPr>
          <w:rFonts w:hint="eastAsia" w:ascii="仿宋_GB2312" w:eastAsia="仿宋_GB2312" w:hAnsiTheme="minorEastAsia"/>
          <w:sz w:val="21"/>
          <w:szCs w:val="21"/>
          <w:highlight w:val="none"/>
          <w:lang w:eastAsia="zh-CN"/>
        </w:rPr>
        <w:t>，</w:t>
      </w:r>
      <w:r>
        <w:rPr>
          <w:rFonts w:hint="eastAsia" w:ascii="仿宋_GB2312" w:hAnsi="仿宋" w:eastAsia="仿宋_GB2312"/>
          <w:bCs/>
          <w:color w:val="000000" w:themeColor="text1"/>
          <w:sz w:val="21"/>
          <w:szCs w:val="21"/>
          <w:highlight w:val="none"/>
        </w:rPr>
        <w:t>优先选择绿色节能环保</w:t>
      </w:r>
      <w:r>
        <w:rPr>
          <w:rFonts w:hint="eastAsia" w:ascii="仿宋_GB2312" w:hAnsi="仿宋" w:eastAsia="仿宋_GB2312"/>
          <w:bCs/>
          <w:color w:val="000000" w:themeColor="text1"/>
          <w:sz w:val="21"/>
          <w:szCs w:val="21"/>
          <w:highlight w:val="none"/>
          <w:lang w:val="en-US" w:eastAsia="zh-CN"/>
        </w:rPr>
        <w:t>材料</w:t>
      </w:r>
      <w:r>
        <w:rPr>
          <w:rFonts w:hint="eastAsia" w:ascii="仿宋_GB2312" w:eastAsia="仿宋_GB2312" w:hAnsiTheme="minorEastAsia"/>
          <w:sz w:val="21"/>
          <w:szCs w:val="21"/>
          <w:highlight w:val="none"/>
        </w:rPr>
        <w:t>。</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6.2投标人应提供投标物资的生产、运输、保险和售后服务以及承担其它相关的义务。</w:t>
      </w:r>
    </w:p>
    <w:p>
      <w:pPr>
        <w:pStyle w:val="179"/>
        <w:keepNext w:val="0"/>
        <w:keepLines w:val="0"/>
        <w:ind w:firstLine="482" w:firstLineChars="200"/>
        <w:jc w:val="left"/>
        <w:rPr>
          <w:rFonts w:ascii="仿宋_GB2312" w:eastAsia="仿宋_GB2312" w:hAnsiTheme="minorEastAsia"/>
          <w:b/>
          <w:bCs/>
        </w:rPr>
      </w:pPr>
      <w:bookmarkStart w:id="18" w:name="_Toc6990"/>
      <w:r>
        <w:rPr>
          <w:rFonts w:hint="eastAsia" w:ascii="仿宋_GB2312" w:eastAsia="仿宋_GB2312" w:cs="宋体" w:hAnsiTheme="minorEastAsia"/>
          <w:b/>
          <w:bCs/>
        </w:rPr>
        <w:t>7.投标费用</w:t>
      </w:r>
      <w:bookmarkEnd w:id="18"/>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7.2投标保证金必须从投标人的基本账户以电汇的方式汇出，投标人须保证投标报价结束前将投标保证金支付到达招标文件指定的银行账户，并注明投标项目名称、物资名称、包件号。</w:t>
      </w:r>
    </w:p>
    <w:p>
      <w:pPr>
        <w:spacing w:line="360" w:lineRule="auto"/>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账号信息：</w:t>
      </w:r>
    </w:p>
    <w:p>
      <w:pPr>
        <w:spacing w:line="360" w:lineRule="auto"/>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 xml:space="preserve">户    名： </w:t>
      </w:r>
      <w:r>
        <w:rPr>
          <w:rFonts w:hint="eastAsia" w:ascii="宋体" w:hAnsi="宋体" w:eastAsia="宋体" w:cs="宋体"/>
          <w:b/>
          <w:bCs/>
          <w:sz w:val="21"/>
          <w:szCs w:val="21"/>
          <w:highlight w:val="none"/>
          <w:u w:val="single"/>
        </w:rPr>
        <w:t>中建路桥集团高速公路养护有限公司</w:t>
      </w:r>
    </w:p>
    <w:p>
      <w:pPr>
        <w:spacing w:line="360" w:lineRule="auto"/>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 xml:space="preserve">账    号： </w:t>
      </w:r>
      <w:r>
        <w:rPr>
          <w:rFonts w:hint="eastAsia" w:ascii="宋体" w:hAnsi="宋体" w:eastAsia="宋体" w:cs="宋体"/>
          <w:b/>
          <w:bCs/>
          <w:sz w:val="21"/>
          <w:szCs w:val="21"/>
          <w:highlight w:val="none"/>
          <w:u w:val="single"/>
        </w:rPr>
        <w:t>13050161536100000357</w:t>
      </w:r>
    </w:p>
    <w:p>
      <w:pPr>
        <w:spacing w:line="360" w:lineRule="auto"/>
        <w:ind w:firstLine="422" w:firstLineChars="200"/>
        <w:jc w:val="left"/>
        <w:outlineLvl w:val="2"/>
        <w:rPr>
          <w:rFonts w:hint="eastAsia" w:ascii="宋体" w:hAnsi="宋体" w:eastAsia="宋体" w:cs="宋体"/>
          <w:b/>
          <w:bCs/>
          <w:sz w:val="21"/>
          <w:szCs w:val="21"/>
          <w:highlight w:val="none"/>
          <w:u w:val="single"/>
        </w:rPr>
      </w:pPr>
      <w:r>
        <w:rPr>
          <w:rFonts w:hint="eastAsia" w:ascii="仿宋_GB2312" w:eastAsia="仿宋_GB2312" w:hAnsiTheme="minorEastAsia"/>
          <w:b/>
          <w:sz w:val="21"/>
          <w:szCs w:val="21"/>
        </w:rPr>
        <w:t>开 户 行：</w:t>
      </w:r>
      <w:bookmarkStart w:id="19" w:name="_Toc238552208"/>
      <w:bookmarkStart w:id="20" w:name="_Toc287545441"/>
      <w:bookmarkStart w:id="21" w:name="_Toc238797563"/>
      <w:r>
        <w:rPr>
          <w:rFonts w:hint="eastAsia" w:ascii="宋体" w:hAnsi="宋体" w:eastAsia="宋体" w:cs="宋体"/>
          <w:b/>
          <w:bCs/>
          <w:sz w:val="21"/>
          <w:szCs w:val="21"/>
          <w:highlight w:val="none"/>
          <w:u w:val="single"/>
        </w:rPr>
        <w:t>中国建设银行石家庄建设南大街支行</w:t>
      </w:r>
    </w:p>
    <w:p>
      <w:pPr>
        <w:pStyle w:val="2"/>
        <w:spacing w:after="0" w:line="360" w:lineRule="auto"/>
        <w:ind w:firstLine="422" w:firstLineChars="200"/>
        <w:rPr>
          <w:rFonts w:hint="eastAsia" w:ascii="仿宋" w:hAnsi="仿宋" w:eastAsia="仿宋" w:cs="仿宋"/>
          <w:sz w:val="21"/>
          <w:szCs w:val="21"/>
        </w:rPr>
      </w:pPr>
      <w:r>
        <w:rPr>
          <w:rFonts w:hint="eastAsia" w:ascii="仿宋" w:hAnsi="仿宋" w:eastAsia="仿宋" w:cs="仿宋"/>
          <w:b/>
          <w:bCs/>
          <w:sz w:val="21"/>
          <w:szCs w:val="21"/>
          <w:highlight w:val="none"/>
        </w:rPr>
        <w:t>备</w:t>
      </w:r>
      <w:r>
        <w:rPr>
          <w:rFonts w:hint="eastAsia" w:ascii="仿宋" w:hAnsi="仿宋" w:eastAsia="仿宋" w:cs="仿宋"/>
          <w:b/>
          <w:bCs/>
          <w:sz w:val="21"/>
          <w:szCs w:val="21"/>
          <w:highlight w:val="none"/>
          <w:lang w:val="en-US" w:eastAsia="zh-CN"/>
        </w:rPr>
        <w:t xml:space="preserve">    </w:t>
      </w:r>
      <w:r>
        <w:rPr>
          <w:rFonts w:hint="eastAsia" w:ascii="仿宋" w:hAnsi="仿宋" w:eastAsia="仿宋" w:cs="仿宋"/>
          <w:b/>
          <w:bCs/>
          <w:sz w:val="21"/>
          <w:szCs w:val="21"/>
          <w:highlight w:val="none"/>
        </w:rPr>
        <w:t>注：</w:t>
      </w:r>
      <w:r>
        <w:rPr>
          <w:rFonts w:hint="eastAsia" w:ascii="仿宋" w:hAnsi="仿宋" w:eastAsia="仿宋" w:cs="仿宋"/>
          <w:b/>
          <w:bCs/>
          <w:sz w:val="21"/>
          <w:szCs w:val="21"/>
          <w:highlight w:val="none"/>
          <w:u w:val="single"/>
          <w:lang w:val="en-US" w:eastAsia="zh-CN"/>
        </w:rPr>
        <w:t>容东项目交安物资</w:t>
      </w:r>
      <w:r>
        <w:rPr>
          <w:rFonts w:hint="eastAsia" w:ascii="仿宋" w:hAnsi="仿宋" w:eastAsia="仿宋" w:cs="仿宋"/>
          <w:b/>
          <w:bCs/>
          <w:sz w:val="21"/>
          <w:szCs w:val="21"/>
          <w:highlight w:val="none"/>
          <w:u w:val="single"/>
        </w:rPr>
        <w:t>采购投标保证金</w:t>
      </w:r>
    </w:p>
    <w:p>
      <w:pPr>
        <w:spacing w:line="400" w:lineRule="exact"/>
        <w:ind w:firstLine="482" w:firstLineChars="200"/>
        <w:jc w:val="left"/>
        <w:outlineLvl w:val="2"/>
        <w:rPr>
          <w:rFonts w:ascii="仿宋_GB2312" w:eastAsia="仿宋_GB2312" w:hAnsiTheme="minorEastAsia"/>
          <w:b/>
          <w:sz w:val="21"/>
          <w:szCs w:val="21"/>
        </w:rPr>
      </w:pPr>
      <w:r>
        <w:rPr>
          <w:rFonts w:hint="eastAsia" w:ascii="仿宋_GB2312" w:hAnsi="华文仿宋" w:eastAsia="仿宋_GB2312" w:cs="宋体"/>
          <w:b/>
          <w:bCs/>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2" w:name="_Toc214333206"/>
      <w:bookmarkStart w:id="23" w:name="_Toc214336661"/>
      <w:bookmarkStart w:id="24" w:name="_Toc214339495"/>
      <w:bookmarkStart w:id="25" w:name="_Toc28053"/>
      <w:r>
        <w:rPr>
          <w:rFonts w:hint="eastAsia" w:ascii="宋体" w:hAnsi="宋体" w:eastAsia="宋体" w:cs="宋体"/>
          <w:sz w:val="21"/>
          <w:szCs w:val="21"/>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2"/>
      <w:bookmarkEnd w:id="23"/>
      <w:bookmarkEnd w:id="24"/>
      <w:bookmarkEnd w:id="25"/>
      <w:r>
        <w:rPr>
          <w:rFonts w:hint="eastAsia" w:ascii="仿宋_GB2312" w:eastAsia="仿宋_GB2312" w:cs="黑体" w:hAnsiTheme="minorEastAsia"/>
          <w:bCs w:val="0"/>
          <w:kern w:val="2"/>
          <w:sz w:val="28"/>
          <w:szCs w:val="28"/>
        </w:rPr>
        <w:t>的澄清和修改</w:t>
      </w:r>
    </w:p>
    <w:p>
      <w:pPr>
        <w:pStyle w:val="179"/>
        <w:keepNext w:val="0"/>
        <w:keepLines w:val="0"/>
        <w:ind w:firstLine="482" w:firstLineChars="200"/>
        <w:jc w:val="left"/>
        <w:rPr>
          <w:rFonts w:ascii="仿宋_GB2312" w:eastAsia="仿宋_GB2312" w:hAnsiTheme="minorEastAsia"/>
          <w:b/>
          <w:bCs/>
        </w:rPr>
      </w:pPr>
      <w:bookmarkStart w:id="26"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79"/>
        <w:keepNext w:val="0"/>
        <w:keepLines w:val="0"/>
        <w:ind w:firstLine="482" w:firstLineChars="200"/>
        <w:jc w:val="left"/>
        <w:rPr>
          <w:rFonts w:ascii="仿宋_GB2312" w:eastAsia="仿宋_GB2312" w:hAnsiTheme="minorEastAsia"/>
          <w:b/>
          <w:bCs/>
        </w:rPr>
      </w:pPr>
      <w:bookmarkStart w:id="27"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8" w:name="_Toc214336662"/>
      <w:bookmarkStart w:id="29" w:name="_Toc214331811"/>
      <w:bookmarkStart w:id="30" w:name="_Toc214335335"/>
      <w:bookmarkStart w:id="31" w:name="_Toc10683"/>
      <w:bookmarkStart w:id="32" w:name="_Toc214333207"/>
      <w:bookmarkStart w:id="33" w:name="_Toc214339496"/>
    </w:p>
    <w:p>
      <w:pPr>
        <w:spacing w:line="400" w:lineRule="exact"/>
        <w:ind w:firstLine="420" w:firstLineChars="200"/>
        <w:jc w:val="left"/>
        <w:outlineLvl w:val="2"/>
        <w:rPr>
          <w:rFonts w:ascii="仿宋_GB2312" w:eastAsia="仿宋_GB2312" w:cs="Times New Roman" w:hAnsiTheme="minorEastAsia"/>
          <w:sz w:val="21"/>
          <w:szCs w:val="21"/>
        </w:rPr>
      </w:pP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rPr>
        <w:t>及相关事项说明</w:t>
      </w:r>
    </w:p>
    <w:p>
      <w:pPr>
        <w:pStyle w:val="179"/>
        <w:keepNext w:val="0"/>
        <w:keepLines w:val="0"/>
        <w:ind w:firstLine="482" w:firstLineChars="200"/>
        <w:jc w:val="left"/>
        <w:rPr>
          <w:rFonts w:ascii="仿宋_GB2312" w:eastAsia="仿宋_GB2312" w:hAnsiTheme="minorEastAsia"/>
          <w:b/>
          <w:bCs/>
        </w:rPr>
      </w:pPr>
      <w:bookmarkStart w:id="34"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2</w:t>
      </w:r>
      <w:r>
        <w:rPr>
          <w:rFonts w:hint="eastAsia" w:ascii="仿宋_GB2312" w:eastAsia="仿宋_GB2312" w:hAnsiTheme="minorEastAsia"/>
          <w:sz w:val="21"/>
          <w:szCs w:val="21"/>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3</w:t>
      </w:r>
      <w:r>
        <w:rPr>
          <w:rFonts w:hint="eastAsia" w:ascii="仿宋_GB2312" w:eastAsia="仿宋_GB2312" w:hAnsiTheme="minorEastAsia"/>
          <w:sz w:val="21"/>
          <w:szCs w:val="21"/>
        </w:rPr>
        <w:t>每个包件均应单独编制投标文件。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4</w:t>
      </w:r>
      <w:r>
        <w:rPr>
          <w:rFonts w:hint="eastAsia" w:ascii="仿宋_GB2312" w:eastAsia="仿宋_GB2312" w:hAnsiTheme="minorEastAsia"/>
          <w:sz w:val="21"/>
          <w:szCs w:val="21"/>
        </w:rPr>
        <w:t>“中建路桥集团官网”招标情况下，招标文件送达指定地点。</w:t>
      </w:r>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8产品生产许可证或销售许可证；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w:t>
      </w:r>
      <w:r>
        <w:rPr>
          <w:rFonts w:hint="eastAsia" w:ascii="仿宋_GB2312" w:eastAsia="仿宋_GB2312" w:hAnsiTheme="minorEastAsia"/>
          <w:sz w:val="21"/>
          <w:szCs w:val="21"/>
          <w:lang w:val="en-US" w:eastAsia="zh-CN"/>
        </w:rPr>
        <w:t>一般</w:t>
      </w:r>
      <w:r>
        <w:rPr>
          <w:rFonts w:hint="eastAsia" w:ascii="仿宋_GB2312" w:eastAsia="仿宋_GB2312" w:hAnsiTheme="minorEastAsia"/>
          <w:sz w:val="21"/>
          <w:szCs w:val="21"/>
        </w:rPr>
        <w:t>纳税人资格登记表</w:t>
      </w:r>
      <w:r>
        <w:rPr>
          <w:rFonts w:hint="eastAsia" w:ascii="仿宋_GB2312" w:eastAsia="仿宋_GB2312" w:hAnsiTheme="minorEastAsia"/>
          <w:sz w:val="21"/>
          <w:szCs w:val="21"/>
          <w:lang w:eastAsia="zh-CN"/>
        </w:rPr>
        <w:t>（</w:t>
      </w:r>
      <w:r>
        <w:rPr>
          <w:rFonts w:hint="eastAsia" w:ascii="仿宋_GB2312" w:eastAsia="仿宋_GB2312" w:hAnsiTheme="minorEastAsia"/>
          <w:sz w:val="21"/>
          <w:szCs w:val="21"/>
          <w:lang w:val="en-US" w:eastAsia="zh-CN"/>
        </w:rPr>
        <w:t>如有</w:t>
      </w:r>
      <w:r>
        <w:rPr>
          <w:rFonts w:hint="eastAsia" w:ascii="仿宋_GB2312" w:eastAsia="仿宋_GB2312" w:hAnsiTheme="minorEastAsia"/>
          <w:sz w:val="21"/>
          <w:szCs w:val="21"/>
          <w:lang w:eastAsia="zh-CN"/>
        </w:rPr>
        <w:t>）</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hint="eastAsia"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pPr>
        <w:pStyle w:val="179"/>
        <w:keepNext w:val="0"/>
        <w:keepLines w:val="0"/>
        <w:ind w:firstLine="482" w:firstLineChars="200"/>
        <w:jc w:val="left"/>
        <w:rPr>
          <w:rFonts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1</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rPr>
        <w:t>万元整；</w:t>
      </w:r>
      <w:r>
        <w:rPr>
          <w:rFonts w:hint="eastAsia" w:ascii="宋体" w:hAnsi="宋体" w:eastAsia="宋体" w:cs="宋体"/>
          <w:b/>
          <w:sz w:val="21"/>
          <w:szCs w:val="21"/>
        </w:rPr>
        <w:t>大写</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壹万</w:t>
      </w:r>
      <w:r>
        <w:rPr>
          <w:rFonts w:hint="eastAsia" w:ascii="仿宋_GB2312" w:eastAsia="仿宋_GB2312" w:hAnsiTheme="minorEastAsia"/>
          <w:b/>
          <w:sz w:val="21"/>
          <w:szCs w:val="21"/>
          <w:u w:val="single"/>
        </w:rPr>
        <w:t>元</w:t>
      </w:r>
      <w:r>
        <w:rPr>
          <w:rFonts w:hint="eastAsia" w:ascii="仿宋_GB2312" w:eastAsia="仿宋_GB2312" w:hAnsiTheme="minorEastAsia"/>
          <w:b/>
          <w:sz w:val="21"/>
          <w:szCs w:val="21"/>
          <w:u w:val="single"/>
          <w:lang w:val="en-US" w:eastAsia="zh-CN"/>
        </w:rPr>
        <w:t xml:space="preserve">整 </w:t>
      </w:r>
      <w:r>
        <w:rPr>
          <w:rFonts w:hint="eastAsia" w:ascii="仿宋_GB2312" w:eastAsia="仿宋_GB2312" w:hAnsiTheme="minorEastAsia"/>
          <w:sz w:val="21"/>
          <w:szCs w:val="21"/>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pPr>
        <w:pStyle w:val="179"/>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 xml:space="preserve"> 固定</w:t>
      </w:r>
      <w:r>
        <w:rPr>
          <w:rFonts w:hint="eastAsia" w:ascii="仿宋_GB2312" w:eastAsia="仿宋_GB2312" w:hAnsiTheme="minorEastAsia"/>
          <w:b/>
          <w:sz w:val="21"/>
          <w:szCs w:val="21"/>
          <w:u w:val="single"/>
          <w:lang w:val="en-US" w:eastAsia="zh-CN"/>
        </w:rPr>
        <w:t xml:space="preserve">单价 </w:t>
      </w:r>
      <w:r>
        <w:rPr>
          <w:rFonts w:hint="eastAsia" w:ascii="仿宋_GB2312" w:eastAsia="仿宋_GB2312" w:hAnsiTheme="minorEastAsia"/>
          <w:b/>
          <w:sz w:val="21"/>
          <w:szCs w:val="21"/>
        </w:rPr>
        <w:t>报价方式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79"/>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79"/>
        <w:keepNext w:val="0"/>
        <w:keepLines w:val="0"/>
        <w:ind w:firstLine="482" w:firstLineChars="200"/>
        <w:jc w:val="left"/>
        <w:rPr>
          <w:rFonts w:ascii="仿宋_GB2312" w:eastAsia="仿宋_GB2312" w:cs="宋体" w:hAnsiTheme="minorEastAsia"/>
          <w:b/>
          <w:bCs/>
        </w:rPr>
      </w:pPr>
      <w:bookmarkStart w:id="36" w:name="_Toc16914"/>
      <w:r>
        <w:rPr>
          <w:rFonts w:hint="eastAsia" w:ascii="仿宋_GB2312" w:eastAsia="仿宋_GB2312" w:cs="宋体" w:hAnsiTheme="minorEastAsia"/>
          <w:b/>
          <w:bCs/>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.3投标文件原则上不应有涂抹等修改。如确需修改，修改处应由法定代表人或授权代理人签字确认。</w:t>
      </w:r>
    </w:p>
    <w:p>
      <w:pPr>
        <w:pStyle w:val="179"/>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7" w:name="_Toc16382"/>
    </w:p>
    <w:p>
      <w:pPr>
        <w:pStyle w:val="179"/>
        <w:keepNext w:val="0"/>
        <w:keepLines w:val="0"/>
        <w:ind w:firstLine="420" w:firstLineChars="200"/>
        <w:jc w:val="left"/>
        <w:rPr>
          <w:rFonts w:ascii="仿宋_GB2312" w:eastAsia="仿宋_GB2312" w:hAnsiTheme="minorEastAsia"/>
          <w:kern w:val="2"/>
        </w:rPr>
      </w:pPr>
      <w:r>
        <w:rPr>
          <w:rFonts w:hint="eastAsia" w:ascii="仿宋_GB2312" w:eastAsia="仿宋_GB2312" w:hAnsiTheme="minorEastAsia"/>
          <w:sz w:val="21"/>
          <w:szCs w:val="21"/>
        </w:rPr>
        <w:t>16.5投标文件的封套</w:t>
      </w:r>
      <w:bookmarkEnd w:id="37"/>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8" w:name="_Toc214333208"/>
      <w:bookmarkStart w:id="39" w:name="_Toc214331812"/>
      <w:bookmarkStart w:id="40" w:name="_Hlk38441028"/>
      <w:bookmarkStart w:id="41" w:name="_Toc214336663"/>
      <w:bookmarkStart w:id="42" w:name="_Toc214335336"/>
      <w:bookmarkStart w:id="43" w:name="_Toc31618"/>
      <w:bookmarkStart w:id="44" w:name="_Toc214339497"/>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8"/>
      <w:bookmarkEnd w:id="39"/>
      <w:bookmarkEnd w:id="40"/>
      <w:bookmarkEnd w:id="41"/>
      <w:bookmarkEnd w:id="42"/>
      <w:bookmarkEnd w:id="43"/>
      <w:bookmarkEnd w:id="44"/>
    </w:p>
    <w:p>
      <w:pPr>
        <w:pStyle w:val="179"/>
        <w:keepNext w:val="0"/>
        <w:keepLines w:val="0"/>
        <w:ind w:firstLine="482" w:firstLineChars="200"/>
        <w:jc w:val="left"/>
        <w:rPr>
          <w:rFonts w:ascii="仿宋_GB2312" w:eastAsia="仿宋_GB2312" w:hAnsiTheme="minorEastAsia"/>
          <w:b/>
          <w:bCs/>
        </w:rPr>
      </w:pPr>
      <w:bookmarkStart w:id="45"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5"/>
    </w:p>
    <w:p>
      <w:pPr>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2023</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1</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19</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14</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u w:val="single"/>
          <w:lang w:val="en-US" w:eastAsia="zh-CN"/>
        </w:rPr>
      </w:pPr>
      <w:r>
        <w:rPr>
          <w:rFonts w:hint="eastAsia" w:ascii="仿宋_GB2312" w:eastAsia="仿宋_GB2312" w:hAnsiTheme="minorEastAsia"/>
          <w:sz w:val="21"/>
          <w:szCs w:val="21"/>
        </w:rPr>
        <w:t>地点：</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u w:val="single"/>
          <w:lang w:val="en-US" w:eastAsia="zh-CN"/>
        </w:rPr>
        <w:t>石家庄市桥西区新石北路362号中建路桥集团第二办公区养护公司合约与采购部。</w:t>
      </w:r>
    </w:p>
    <w:p>
      <w:pPr>
        <w:spacing w:line="400" w:lineRule="exact"/>
        <w:ind w:firstLine="420" w:firstLineChars="200"/>
        <w:jc w:val="left"/>
        <w:outlineLvl w:val="2"/>
        <w:rPr>
          <w:rFonts w:hint="default" w:ascii="仿宋_GB2312" w:eastAsia="仿宋_GB2312" w:cs="Times New Roman" w:hAnsiTheme="minorEastAsia"/>
          <w:sz w:val="21"/>
          <w:szCs w:val="21"/>
          <w:lang w:val="en-US" w:eastAsia="zh-CN"/>
        </w:rPr>
      </w:pPr>
      <w:r>
        <w:rPr>
          <w:rFonts w:hint="eastAsia" w:ascii="仿宋_GB2312" w:eastAsia="仿宋_GB2312" w:cs="Times New Roman" w:hAnsiTheme="minorEastAsia"/>
          <w:sz w:val="21"/>
          <w:szCs w:val="21"/>
          <w:u w:val="none"/>
          <w:lang w:val="en-US" w:eastAsia="zh-CN"/>
        </w:rPr>
        <w:t>联系人</w:t>
      </w:r>
      <w:r>
        <w:rPr>
          <w:rFonts w:hint="eastAsia" w:ascii="仿宋_GB2312" w:eastAsia="仿宋_GB2312" w:cs="Times New Roman" w:hAnsiTheme="minorEastAsia"/>
          <w:sz w:val="21"/>
          <w:szCs w:val="21"/>
          <w:u w:val="single"/>
          <w:lang w:val="en-US" w:eastAsia="zh-CN"/>
        </w:rPr>
        <w:t>：马经理，18332011236</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6" w:name="_Toc214331813"/>
      <w:bookmarkStart w:id="47" w:name="_Toc214336664"/>
      <w:bookmarkStart w:id="48" w:name="_Toc214339498"/>
      <w:bookmarkStart w:id="49" w:name="_Toc4220"/>
      <w:bookmarkStart w:id="50" w:name="_Toc214333209"/>
      <w:bookmarkStart w:id="51" w:name="_Toc214335337"/>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6"/>
      <w:bookmarkEnd w:id="47"/>
      <w:bookmarkEnd w:id="48"/>
      <w:bookmarkEnd w:id="49"/>
      <w:bookmarkEnd w:id="50"/>
      <w:bookmarkEnd w:id="51"/>
    </w:p>
    <w:p>
      <w:pPr>
        <w:pStyle w:val="179"/>
        <w:keepNext w:val="0"/>
        <w:keepLines w:val="0"/>
        <w:ind w:firstLine="482" w:firstLineChars="200"/>
        <w:jc w:val="left"/>
        <w:rPr>
          <w:rFonts w:ascii="仿宋_GB2312" w:eastAsia="仿宋_GB2312" w:hAnsiTheme="minorEastAsia"/>
          <w:b/>
          <w:bCs/>
        </w:rPr>
      </w:pPr>
      <w:bookmarkStart w:id="52"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2"/>
    </w:p>
    <w:p>
      <w:pPr>
        <w:pStyle w:val="17"/>
        <w:adjustRightInd w:val="0"/>
        <w:snapToGrid w:val="0"/>
        <w:spacing w:line="400" w:lineRule="exact"/>
        <w:ind w:firstLine="420" w:firstLineChars="200"/>
        <w:jc w:val="left"/>
        <w:outlineLvl w:val="2"/>
        <w:rPr>
          <w:rFonts w:hint="eastAsia" w:ascii="仿宋_GB2312" w:eastAsia="仿宋_GB2312" w:cs="Times New Roman" w:hAnsiTheme="minorEastAsia"/>
          <w:kern w:val="2"/>
          <w:lang w:eastAsia="zh-CN"/>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2023</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月</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19</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14</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时</w:t>
      </w:r>
      <w:r>
        <w:rPr>
          <w:rFonts w:hint="eastAsia" w:ascii="仿宋_GB2312" w:eastAsia="仿宋_GB2312" w:hAnsiTheme="minorEastAsia"/>
          <w:kern w:val="2"/>
        </w:rPr>
        <w:t>，在中建路桥集团</w:t>
      </w:r>
      <w:r>
        <w:rPr>
          <w:rFonts w:hint="eastAsia" w:ascii="仿宋_GB2312" w:eastAsia="仿宋_GB2312" w:hAnsiTheme="minorEastAsia"/>
          <w:kern w:val="2"/>
          <w:lang w:eastAsia="zh-CN"/>
        </w:rPr>
        <w:t>高速公路养护有限公司</w:t>
      </w:r>
      <w:r>
        <w:rPr>
          <w:rFonts w:hint="eastAsia" w:ascii="仿宋_GB2312" w:eastAsia="仿宋_GB2312" w:hAnsiTheme="minorEastAsia"/>
          <w:kern w:val="2"/>
        </w:rPr>
        <w:t>开标</w:t>
      </w:r>
      <w:r>
        <w:rPr>
          <w:rFonts w:hint="eastAsia" w:ascii="仿宋_GB2312" w:eastAsia="仿宋_GB2312" w:hAnsiTheme="minorEastAsia"/>
          <w:kern w:val="2"/>
          <w:lang w:eastAsia="zh-CN"/>
        </w:rPr>
        <w:t>。</w:t>
      </w:r>
    </w:p>
    <w:p>
      <w:pPr>
        <w:pStyle w:val="179"/>
        <w:keepNext w:val="0"/>
        <w:keepLines w:val="0"/>
        <w:ind w:firstLine="482" w:firstLineChars="200"/>
        <w:jc w:val="left"/>
        <w:rPr>
          <w:rFonts w:ascii="仿宋_GB2312" w:eastAsia="仿宋_GB2312" w:cs="宋体" w:hAnsiTheme="minorEastAsia"/>
          <w:b/>
          <w:bCs/>
        </w:rPr>
      </w:pPr>
      <w:bookmarkStart w:id="53"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3"/>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79"/>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评标原则：遵循公平、公正、科学、择优和市场价格调查的原则。本次招标将选取报价较低且合理的分供商进入议标，报价较高或异常的分供商不进入议标，请投标人谨慎报价。</w:t>
      </w:r>
      <w:bookmarkStart w:id="54" w:name="_Toc31000"/>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4"/>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79"/>
        <w:keepNext w:val="0"/>
        <w:keepLines w:val="0"/>
        <w:ind w:firstLine="482" w:firstLineChars="200"/>
        <w:jc w:val="left"/>
        <w:rPr>
          <w:rFonts w:ascii="仿宋_GB2312" w:eastAsia="仿宋_GB2312" w:hAnsiTheme="minorEastAsia"/>
          <w:b/>
          <w:bCs/>
          <w:color w:val="0000FF"/>
        </w:rPr>
      </w:pPr>
      <w:bookmarkStart w:id="55"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.废标处理的条件</w:t>
      </w:r>
      <w:bookmarkEnd w:id="5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rPr>
      </w:pPr>
      <w:bookmarkStart w:id="56" w:name="_Toc214331814"/>
      <w:bookmarkStart w:id="57" w:name="_Toc214336665"/>
      <w:bookmarkStart w:id="58" w:name="_Toc4715"/>
      <w:bookmarkStart w:id="59" w:name="_Toc214339499"/>
      <w:bookmarkStart w:id="60" w:name="_Toc214335338"/>
      <w:bookmarkStart w:id="61" w:name="_Toc214333210"/>
      <w:r>
        <w:rPr>
          <w:rFonts w:hint="eastAsia" w:ascii="仿宋_GB2312" w:eastAsia="仿宋_GB2312" w:cs="黑体" w:hAnsiTheme="minorEastAsia"/>
          <w:bCs w:val="0"/>
          <w:kern w:val="2"/>
          <w:sz w:val="28"/>
          <w:szCs w:val="28"/>
        </w:rPr>
        <w:t>六、定标</w:t>
      </w:r>
      <w:bookmarkEnd w:id="56"/>
      <w:bookmarkEnd w:id="57"/>
      <w:bookmarkEnd w:id="58"/>
      <w:bookmarkEnd w:id="59"/>
      <w:bookmarkEnd w:id="60"/>
      <w:bookmarkEnd w:id="61"/>
    </w:p>
    <w:p>
      <w:pPr>
        <w:pStyle w:val="179"/>
        <w:keepNext w:val="0"/>
        <w:keepLines w:val="0"/>
        <w:ind w:firstLine="482" w:firstLineChars="200"/>
        <w:jc w:val="left"/>
        <w:rPr>
          <w:rFonts w:ascii="仿宋_GB2312" w:eastAsia="仿宋_GB2312" w:hAnsiTheme="minorEastAsia"/>
          <w:b/>
          <w:bCs/>
        </w:rPr>
      </w:pPr>
      <w:bookmarkStart w:id="62"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2"/>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79"/>
        <w:keepNext w:val="0"/>
        <w:keepLines w:val="0"/>
        <w:ind w:firstLine="482" w:firstLineChars="200"/>
        <w:jc w:val="left"/>
        <w:rPr>
          <w:rFonts w:ascii="仿宋_GB2312" w:eastAsia="仿宋_GB2312" w:hAnsiTheme="minorEastAsia"/>
          <w:sz w:val="21"/>
          <w:szCs w:val="21"/>
        </w:rPr>
      </w:pPr>
      <w:bookmarkStart w:id="63"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3"/>
    </w:p>
    <w:p>
      <w:pPr>
        <w:spacing w:line="400" w:lineRule="exact"/>
        <w:ind w:firstLine="420" w:firstLineChars="200"/>
        <w:jc w:val="left"/>
        <w:outlineLvl w:val="2"/>
        <w:rPr>
          <w:rFonts w:ascii="仿宋_GB2312" w:eastAsia="仿宋_GB2312" w:hAnsiTheme="majorEastAsia"/>
          <w:b/>
          <w:bCs/>
          <w:sz w:val="36"/>
          <w:szCs w:val="36"/>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“集团官网”。纸版或其它方式通知。</w:t>
      </w: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7"/>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1.2乙方提供产品的材质证明书：执行标准、品种、代号、强度等级、生产者名称、生产许可证标志及编号、出厂编号、包装日期、净含量等，按规定期限要求对产品质量负责。</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1.3乙方必须承担以劣充优，遗留及掩盖隐患所造成的经济损失和法律责任。</w:t>
      </w:r>
    </w:p>
    <w:p>
      <w:pPr>
        <w:pStyle w:val="17"/>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2.质量标准、技术规范、图纸、质量保证期和验收标准</w:t>
      </w:r>
    </w:p>
    <w:p>
      <w:pPr>
        <w:pStyle w:val="17"/>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2.1质量标准必须满足中华人民共和国国家、地方及行业最新颁布的相关标准及技术规范和项目设计图纸以及监理、业主下发的相关文件要求，如果规范、标准、要求适用于同一种情况，则以标准高者为准。</w:t>
      </w:r>
    </w:p>
    <w:p>
      <w:pPr>
        <w:pStyle w:val="17"/>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2.2质量保证：严格按国家标准，行业规范、业主及监理单位质量要求交货。若投标方提供的产品确实存在质量问题，不合格产品无条件更换、退货，投标方承担所有费用。投标方不得以货物已经验收、签收、使用及其他原因为由进行抗辩免责，对于招标方的损失应承担全部责任。</w:t>
      </w:r>
    </w:p>
    <w:p>
      <w:pPr>
        <w:pStyle w:val="17"/>
        <w:snapToGrid w:val="0"/>
        <w:spacing w:line="360" w:lineRule="auto"/>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2.3投标单位应随每批次产品提供产品出厂合格证明、质量检验报告等各种证件以及技术性能合格后方可供货。</w:t>
      </w:r>
    </w:p>
    <w:p>
      <w:pPr>
        <w:pStyle w:val="17"/>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交安物资：必须满足以下标准及要求，且满足中华人民共和国国家、地方及行业最新颁布的相关标准及技术规范，如果规范、标准、要求适用于同一种情况，则以标准高者为准：</w:t>
      </w:r>
    </w:p>
    <w:p>
      <w:pPr>
        <w:pStyle w:val="17"/>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《道路交通标准和标线》（GB5768-2022）；</w:t>
      </w:r>
    </w:p>
    <w:p>
      <w:pPr>
        <w:pStyle w:val="17"/>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《道路交通反光膜》（GB/T 18833-2012）；</w:t>
      </w:r>
    </w:p>
    <w:p>
      <w:pPr>
        <w:pStyle w:val="17"/>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fldChar w:fldCharType="begin"/>
      </w:r>
      <w:r>
        <w:rPr>
          <w:rFonts w:hint="eastAsia" w:ascii="仿宋" w:hAnsi="仿宋" w:eastAsia="仿宋" w:cs="仿宋"/>
          <w:kern w:val="2"/>
          <w:highlight w:val="none"/>
          <w:lang w:val="en-US" w:eastAsia="zh-CN"/>
        </w:rPr>
        <w:instrText xml:space="preserve"> HYPERLINK "https://www.baidu.com/s?wd=%E3%80%8A%E9%81%93%E8%B7%AF%E4%BA%A4%E9%80%9A%E6%A0%87%E5%BF%97%E6%9D%BF%E5%8F%8A%E6%94%AF%E6%92%91%E4%BB%B6%E3%80%8B&amp;tn=SE_PcZhidaonwhc_ngpagmjz&amp;rsv_dl=gh_pc_zhidao" \t "_blank" </w:instrText>
      </w:r>
      <w:r>
        <w:rPr>
          <w:rFonts w:hint="eastAsia" w:ascii="仿宋" w:hAnsi="仿宋" w:eastAsia="仿宋" w:cs="仿宋"/>
          <w:kern w:val="2"/>
          <w:highlight w:val="none"/>
          <w:lang w:val="en-US" w:eastAsia="zh-CN"/>
        </w:rPr>
        <w:fldChar w:fldCharType="separate"/>
      </w:r>
      <w:r>
        <w:rPr>
          <w:rFonts w:hint="eastAsia" w:ascii="仿宋" w:hAnsi="仿宋" w:eastAsia="仿宋" w:cs="仿宋"/>
          <w:kern w:val="2"/>
          <w:highlight w:val="none"/>
          <w:lang w:val="en-US" w:eastAsia="zh-CN"/>
        </w:rPr>
        <w:t>《道路交通标志板及支撑件》</w:t>
      </w:r>
      <w:r>
        <w:rPr>
          <w:rFonts w:hint="eastAsia" w:ascii="仿宋" w:hAnsi="仿宋" w:eastAsia="仿宋" w:cs="仿宋"/>
          <w:kern w:val="2"/>
          <w:highlight w:val="none"/>
          <w:lang w:val="en-US" w:eastAsia="zh-CN"/>
        </w:rPr>
        <w:fldChar w:fldCharType="end"/>
      </w:r>
      <w:r>
        <w:rPr>
          <w:rFonts w:hint="eastAsia" w:ascii="仿宋" w:hAnsi="仿宋" w:eastAsia="仿宋" w:cs="仿宋"/>
          <w:kern w:val="2"/>
          <w:highlight w:val="none"/>
          <w:lang w:val="en-US" w:eastAsia="zh-CN"/>
        </w:rPr>
        <w:t>（</w:t>
      </w:r>
      <w:r>
        <w:rPr>
          <w:rFonts w:hint="eastAsia" w:ascii="仿宋" w:hAnsi="仿宋" w:eastAsia="仿宋" w:cs="仿宋"/>
          <w:kern w:val="2"/>
          <w:highlight w:val="none"/>
          <w:lang w:val="en-US" w:eastAsia="zh-CN"/>
        </w:rPr>
        <w:fldChar w:fldCharType="begin"/>
      </w:r>
      <w:r>
        <w:rPr>
          <w:rFonts w:hint="eastAsia" w:ascii="仿宋" w:hAnsi="仿宋" w:eastAsia="仿宋" w:cs="仿宋"/>
          <w:kern w:val="2"/>
          <w:highlight w:val="none"/>
          <w:lang w:val="en-US" w:eastAsia="zh-CN"/>
        </w:rPr>
        <w:instrText xml:space="preserve"> HYPERLINK "https://www.baidu.com/s?wd=GB%2FT&amp;tn=SE_PcZhidaonwhc_ngpagmjz&amp;rsv_dl=gh_pc_zhidao" \t "_blank" </w:instrText>
      </w:r>
      <w:r>
        <w:rPr>
          <w:rFonts w:hint="eastAsia" w:ascii="仿宋" w:hAnsi="仿宋" w:eastAsia="仿宋" w:cs="仿宋"/>
          <w:kern w:val="2"/>
          <w:highlight w:val="none"/>
          <w:lang w:val="en-US" w:eastAsia="zh-CN"/>
        </w:rPr>
        <w:fldChar w:fldCharType="separate"/>
      </w:r>
      <w:r>
        <w:rPr>
          <w:rFonts w:hint="eastAsia" w:ascii="仿宋" w:hAnsi="仿宋" w:eastAsia="仿宋" w:cs="仿宋"/>
          <w:kern w:val="2"/>
          <w:highlight w:val="none"/>
          <w:lang w:val="en-US" w:eastAsia="zh-CN"/>
        </w:rPr>
        <w:t>GB/T</w:t>
      </w:r>
      <w:r>
        <w:rPr>
          <w:rFonts w:hint="eastAsia" w:ascii="仿宋" w:hAnsi="仿宋" w:eastAsia="仿宋" w:cs="仿宋"/>
          <w:kern w:val="2"/>
          <w:highlight w:val="none"/>
          <w:lang w:val="en-US" w:eastAsia="zh-CN"/>
        </w:rPr>
        <w:fldChar w:fldCharType="end"/>
      </w:r>
      <w:r>
        <w:rPr>
          <w:rFonts w:hint="eastAsia" w:ascii="仿宋" w:hAnsi="仿宋" w:eastAsia="仿宋" w:cs="仿宋"/>
          <w:kern w:val="2"/>
          <w:highlight w:val="none"/>
          <w:lang w:val="en-US" w:eastAsia="zh-CN"/>
        </w:rPr>
        <w:t xml:space="preserve"> 23827-2021）；</w:t>
      </w:r>
    </w:p>
    <w:p>
      <w:pPr>
        <w:pStyle w:val="17"/>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《公路交通标志和标线设置规范》（JTG D82-2009）；</w:t>
      </w:r>
    </w:p>
    <w:p>
      <w:pPr>
        <w:pStyle w:val="17"/>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《锥形交通路标》（JT/T595—2004）；</w:t>
      </w:r>
    </w:p>
    <w:p>
      <w:pPr>
        <w:pStyle w:val="17"/>
        <w:snapToGrid w:val="0"/>
        <w:spacing w:line="400" w:lineRule="exact"/>
        <w:ind w:firstLine="420" w:firstLineChars="200"/>
        <w:jc w:val="left"/>
        <w:outlineLvl w:val="2"/>
        <w:rPr>
          <w:rFonts w:hint="default"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《公路防撞桶》（GB/T 28650-2012）。</w:t>
      </w:r>
    </w:p>
    <w:p>
      <w:pPr>
        <w:pStyle w:val="17"/>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施工图纸、技术规范和业主、监理下发的关于交安物资的相关要求。</w:t>
      </w:r>
    </w:p>
    <w:p>
      <w:pPr>
        <w:rPr>
          <w:rFonts w:hint="eastAsia" w:ascii="仿宋_GB2312" w:eastAsia="仿宋_GB2312" w:hAnsiTheme="majorEastAsia"/>
          <w:b/>
          <w:bCs/>
          <w:sz w:val="28"/>
          <w:szCs w:val="28"/>
        </w:rPr>
      </w:pPr>
      <w:r>
        <w:rPr>
          <w:rFonts w:hint="eastAsia"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投标文件格式</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宋体"/>
          <w:b/>
          <w:color w:val="000000"/>
          <w:sz w:val="30"/>
          <w:szCs w:val="30"/>
        </w:rPr>
        <w:t>：</w:t>
      </w:r>
      <w:r>
        <w:rPr>
          <w:rFonts w:hint="eastAsia" w:ascii="宋体" w:hAnsi="宋体" w:cs="宋体"/>
          <w:b/>
          <w:color w:val="000000"/>
          <w:sz w:val="28"/>
          <w:szCs w:val="28"/>
        </w:rPr>
        <w:t>中建路桥集团有限公司</w:t>
      </w:r>
      <w:r>
        <w:rPr>
          <w:rFonts w:hint="eastAsia" w:ascii="宋体" w:hAnsi="宋体" w:eastAsia="宋体" w:cs="宋体"/>
          <w:b/>
          <w:color w:val="000000"/>
          <w:sz w:val="28"/>
          <w:szCs w:val="28"/>
          <w:highlight w:val="none"/>
          <w:u w:val="single"/>
          <w:lang w:eastAsia="zh-CN"/>
        </w:rPr>
        <w:t>容东辅助配套区路网（三期）</w:t>
      </w:r>
      <w:r>
        <w:rPr>
          <w:rFonts w:hint="eastAsia" w:ascii="宋体" w:hAnsi="宋体" w:cs="宋体"/>
          <w:b/>
          <w:color w:val="000000"/>
          <w:sz w:val="28"/>
          <w:szCs w:val="28"/>
        </w:rPr>
        <w:t>项目</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交安物资</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采购</w:t>
      </w:r>
      <w:bookmarkStart w:id="76" w:name="_GoBack"/>
      <w:bookmarkEnd w:id="76"/>
      <w:r>
        <w:rPr>
          <w:rFonts w:hint="eastAsia" w:ascii="宋体" w:hAnsi="宋体" w:cs="宋体"/>
          <w:b/>
          <w:color w:val="000000"/>
          <w:sz w:val="28"/>
          <w:szCs w:val="28"/>
        </w:rPr>
        <w:t>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ascii="宋体" w:hAnsi="宋体" w:cs="宋体"/>
          <w:b/>
          <w:color w:val="000000"/>
          <w:sz w:val="28"/>
          <w:szCs w:val="28"/>
          <w:u w:val="single"/>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ZJLQ-FGZB-容东项目-2023002</w:t>
      </w:r>
      <w:r>
        <w:rPr>
          <w:rFonts w:hint="eastAsia" w:ascii="宋体" w:hAnsi="宋体" w:cs="宋体"/>
          <w:b/>
          <w:color w:val="000000"/>
          <w:sz w:val="28"/>
          <w:szCs w:val="28"/>
          <w:u w:val="single"/>
        </w:rPr>
        <w:t xml:space="preserve">     </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33"/>
        <w:ind w:left="480"/>
      </w:pPr>
    </w:p>
    <w:p>
      <w:pPr>
        <w:widowControl/>
        <w:ind w:left="4067" w:leftChars="1114" w:hanging="1393" w:hangingChars="387"/>
        <w:jc w:val="center"/>
        <w:rPr>
          <w:rFonts w:ascii="宋体" w:hAnsi="宋体" w:cs="宋体"/>
          <w:color w:val="000000"/>
          <w:sz w:val="36"/>
          <w:szCs w:val="36"/>
        </w:rPr>
      </w:pPr>
    </w:p>
    <w:p>
      <w:pPr>
        <w:widowControl/>
        <w:ind w:left="4067" w:leftChars="1114" w:hanging="1393" w:hangingChars="387"/>
        <w:jc w:val="center"/>
        <w:rPr>
          <w:rFonts w:ascii="宋体" w:hAnsi="宋体" w:cs="宋体"/>
          <w:color w:val="000000"/>
          <w:sz w:val="36"/>
          <w:szCs w:val="36"/>
        </w:rPr>
      </w:pPr>
    </w:p>
    <w:p>
      <w:pPr>
        <w:widowControl/>
        <w:spacing w:line="480" w:lineRule="auto"/>
        <w:ind w:left="3426" w:leftChars="565" w:hanging="2070" w:hangingChars="859"/>
        <w:jc w:val="left"/>
        <w:rPr>
          <w:rFonts w:hint="default" w:ascii="宋体" w:hAnsi="宋体" w:cs="宋体" w:eastAsiaTheme="minorEastAsia"/>
          <w:b/>
          <w:color w:val="000000"/>
          <w:u w:val="single"/>
          <w:lang w:val="en-US" w:eastAsia="zh-CN"/>
        </w:rPr>
      </w:pPr>
      <w:r>
        <w:rPr>
          <w:rFonts w:hint="eastAsia" w:ascii="宋体" w:hAnsi="宋体" w:cs="宋体"/>
          <w:b/>
          <w:color w:val="000000"/>
        </w:rPr>
        <w:t>投标物资名称：</w:t>
      </w:r>
      <w:r>
        <w:rPr>
          <w:rFonts w:hint="eastAsia" w:ascii="宋体" w:hAnsi="宋体" w:cs="宋体"/>
          <w:b/>
          <w:color w:val="000000"/>
          <w:u w:val="single"/>
        </w:rPr>
        <w:t xml:space="preserve"> </w:t>
      </w:r>
      <w:r>
        <w:rPr>
          <w:rFonts w:hint="eastAsia" w:ascii="宋体" w:hAnsi="宋体" w:cs="宋体"/>
          <w:b/>
          <w:color w:val="000000"/>
          <w:u w:val="single"/>
          <w:lang w:val="en-US" w:eastAsia="zh-CN"/>
        </w:rPr>
        <w:t xml:space="preserve">          </w:t>
      </w:r>
      <w:r>
        <w:rPr>
          <w:rFonts w:hint="eastAsia" w:ascii="宋体" w:hAnsi="宋体" w:cs="宋体"/>
          <w:b/>
          <w:color w:val="000000"/>
          <w:u w:val="single"/>
        </w:rPr>
        <w:t xml:space="preserve"> </w:t>
      </w:r>
      <w:r>
        <w:rPr>
          <w:rFonts w:hint="eastAsia" w:ascii="宋体" w:hAnsi="宋体" w:cs="宋体"/>
          <w:b/>
          <w:color w:val="000000"/>
          <w:u w:val="single"/>
          <w:lang w:val="en-US" w:eastAsia="zh-CN"/>
        </w:rPr>
        <w:t xml:space="preserve"> 交安物资      </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lang w:val="en-US" w:eastAsia="zh-CN"/>
        </w:rPr>
        <w:t xml:space="preserve">   </w:t>
      </w: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lang w:val="en-US" w:eastAsia="zh-CN"/>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widowControl/>
        <w:jc w:val="left"/>
        <w:rPr>
          <w:rFonts w:ascii="仿宋_GB2312" w:eastAsia="仿宋_GB2312" w:cs="宋体" w:hAnsiTheme="minorEastAsia"/>
          <w:b/>
          <w:w w:val="90"/>
        </w:rPr>
      </w:pP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6.4.2.1及时将不合格物资退出场外；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6.4.2.2若贵司同意，我司将在不合格物资退厂的同时提供新的物资；</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6.4.2.3若由于不合格物资原因造成的检测费用、工程工期延迟、工程损失及其它总包方损失等问题，投标人将承担相应的经济赔偿。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w:t>
      </w:r>
      <w:r>
        <w:rPr>
          <w:rFonts w:hint="eastAsia" w:ascii="仿宋_GB2312" w:eastAsia="仿宋_GB2312" w:cs="宋体" w:hAnsiTheme="minorEastAsia"/>
          <w:sz w:val="21"/>
          <w:szCs w:val="21"/>
          <w:lang w:val="en-US" w:eastAsia="zh-CN"/>
        </w:rPr>
        <w:t>交安物资</w:t>
      </w:r>
      <w:r>
        <w:rPr>
          <w:rFonts w:hint="eastAsia" w:ascii="仿宋_GB2312" w:eastAsia="仿宋_GB2312" w:cs="宋体" w:hAnsiTheme="minorEastAsia"/>
          <w:sz w:val="21"/>
          <w:szCs w:val="21"/>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7.3未按时供货，可由贵司自行采购，投标人将承担因此增加的一切费用，并承担由此造成的损失。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仿宋" w:hAnsi="仿宋" w:eastAsia="仿宋" w:cs="仿宋"/>
          <w:sz w:val="21"/>
          <w:szCs w:val="21"/>
          <w:highlight w:val="none"/>
        </w:rPr>
        <w:t>投标人愿意接受贵司采用银行电汇支付形式作为结算方式。</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spacing w:line="360" w:lineRule="auto"/>
        <w:jc w:val="left"/>
        <w:rPr>
          <w:rFonts w:ascii="仿宋_GB2312" w:eastAsia="仿宋_GB2312" w:cs="宋体" w:hAnsiTheme="minorEastAsia"/>
          <w:b/>
          <w:color w:val="000000" w:themeColor="text1"/>
          <w:w w:val="90"/>
        </w:rPr>
      </w:pPr>
    </w:p>
    <w:p>
      <w:pPr>
        <w:widowControl/>
        <w:jc w:val="left"/>
        <w:rPr>
          <w:rFonts w:ascii="仿宋_GB2312" w:eastAsia="仿宋_GB2312" w:cs="宋体" w:hAnsiTheme="minorEastAsia"/>
          <w:b/>
          <w:color w:val="000000" w:themeColor="text1"/>
          <w:w w:val="90"/>
        </w:rPr>
      </w:pPr>
      <w:r>
        <w:rPr>
          <w:rFonts w:ascii="仿宋_GB2312" w:eastAsia="仿宋_GB2312" w:cs="宋体" w:hAnsiTheme="minorEastAsia"/>
          <w:b/>
          <w:color w:val="000000" w:themeColor="text1"/>
          <w:w w:val="90"/>
        </w:rPr>
        <w:br w:type="page"/>
      </w: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p>
    <w:p>
      <w:pPr>
        <w:spacing w:line="360" w:lineRule="auto"/>
        <w:jc w:val="center"/>
        <w:rPr>
          <w:rFonts w:ascii="仿宋_GB2312" w:eastAsia="仿宋_GB2312" w:cs="宋体" w:hAnsiTheme="minorEastAsia"/>
          <w:w w:val="90"/>
          <w:sz w:val="21"/>
          <w:szCs w:val="21"/>
        </w:rPr>
      </w:pPr>
      <w:r>
        <w:rPr>
          <w:rFonts w:hint="eastAsia" w:ascii="仿宋_GB2312" w:eastAsia="仿宋_GB2312" w:cs="宋体" w:hAnsiTheme="minorEastAsia"/>
          <w:b/>
          <w:color w:val="000000" w:themeColor="text1"/>
          <w:w w:val="90"/>
          <w:sz w:val="28"/>
          <w:szCs w:val="28"/>
        </w:rPr>
        <w:t>报价清单</w:t>
      </w:r>
      <w:bookmarkStart w:id="64" w:name="_Toc53948739"/>
      <w:bookmarkStart w:id="65" w:name="_Toc54281196"/>
      <w:bookmarkStart w:id="66" w:name="_Toc54291526"/>
      <w:bookmarkStart w:id="67" w:name="_Toc53949160"/>
      <w:bookmarkStart w:id="68" w:name="_Toc53949581"/>
      <w:bookmarkStart w:id="69" w:name="_Toc54280770"/>
      <w:bookmarkStart w:id="70" w:name="_Toc54280344"/>
      <w:bookmarkStart w:id="71" w:name="_Toc54281622"/>
      <w:bookmarkStart w:id="72" w:name="_Toc54278961"/>
    </w:p>
    <w:p>
      <w:pPr>
        <w:spacing w:line="400" w:lineRule="exact"/>
        <w:jc w:val="center"/>
        <w:rPr>
          <w:rFonts w:ascii="仿宋_GB2312" w:eastAsia="仿宋_GB2312" w:cs="宋体" w:hAnsiTheme="minorEastAsia"/>
          <w:w w:val="90"/>
          <w:sz w:val="21"/>
          <w:szCs w:val="21"/>
        </w:rPr>
      </w:pPr>
      <w:r>
        <w:rPr>
          <w:rFonts w:hint="eastAsia" w:ascii="仿宋_GB2312" w:eastAsia="仿宋_GB2312" w:cs="宋体" w:hAnsiTheme="minorEastAsia"/>
          <w:b/>
          <w:color w:val="000000" w:themeColor="text1"/>
          <w:sz w:val="21"/>
          <w:szCs w:val="21"/>
        </w:rPr>
        <w:t>固定价格报价单</w:t>
      </w:r>
    </w:p>
    <w:tbl>
      <w:tblPr>
        <w:tblStyle w:val="34"/>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36"/>
        <w:gridCol w:w="701"/>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物资名称</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规格</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r>
              <w:rPr>
                <w:rFonts w:hint="eastAsia" w:cs="宋体" w:asciiTheme="minorEastAsia" w:hAnsiTheme="minorEastAsia"/>
                <w:color w:val="000000"/>
                <w:sz w:val="21"/>
                <w:szCs w:val="21"/>
              </w:rPr>
              <w:t>（ /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rPr>
            </w:pPr>
            <w:r>
              <w:rPr>
                <w:rFonts w:hint="eastAsia" w:ascii="仿宋_GB2312" w:eastAsia="仿宋_GB2312" w:cs="宋体" w:hAnsiTheme="minorEastAsia"/>
                <w:color w:val="000000"/>
                <w:sz w:val="21"/>
                <w:szCs w:val="21"/>
              </w:rPr>
              <w:t>合计</w:t>
            </w:r>
          </w:p>
          <w:p>
            <w:pPr>
              <w:tabs>
                <w:tab w:val="left" w:pos="2857"/>
              </w:tabs>
              <w:spacing w:line="400" w:lineRule="exact"/>
              <w:jc w:val="center"/>
              <w:rPr>
                <w:rFonts w:ascii="仿宋_GB2312" w:eastAsia="仿宋_GB2312" w:cs="宋体" w:hAnsiTheme="minorEastAsia"/>
                <w:color w:val="000000"/>
                <w:sz w:val="21"/>
                <w:szCs w:val="21"/>
              </w:rPr>
            </w:pPr>
            <w:r>
              <w:rPr>
                <w:rFonts w:hint="eastAsia" w:ascii="宋体" w:hAnsi="宋体" w:eastAsia="宋体" w:cs="宋体"/>
                <w:color w:val="000000"/>
                <w:sz w:val="21"/>
                <w:szCs w:val="21"/>
              </w:rPr>
              <w:t>金额</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color w:val="000000"/>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宋体" w:eastAsia="仿宋_GB2312" w:cs="宋体"/>
                <w:sz w:val="21"/>
                <w:szCs w:val="21"/>
              </w:rPr>
            </w:pPr>
            <w:r>
              <w:rPr>
                <w:rFonts w:hint="eastAsia" w:ascii="仿宋_GB2312" w:eastAsia="仿宋_GB2312" w:cs="宋体" w:hAnsiTheme="minorEastAsia"/>
                <w:color w:val="000000"/>
                <w:sz w:val="21"/>
                <w:szCs w:val="21"/>
              </w:rPr>
              <w:t>物资数量为暂定数量。报价单所示综合费用单价为固定单价</w:t>
            </w:r>
            <w:r>
              <w:rPr>
                <w:rFonts w:hint="eastAsia" w:ascii="仿宋_GB2312" w:eastAsia="仿宋_GB2312" w:cs="宋体" w:hAnsiTheme="minorEastAsia"/>
                <w:sz w:val="21"/>
                <w:szCs w:val="21"/>
              </w:rPr>
              <w:t>，即不受市场变化影响，且无论进场数量多少价格亦不发生变化。</w:t>
            </w:r>
            <w:r>
              <w:rPr>
                <w:rFonts w:hint="eastAsia" w:ascii="仿宋_GB2312" w:eastAsia="仿宋_GB2312" w:cs="宋体" w:hAnsiTheme="minorEastAsia"/>
                <w:sz w:val="21"/>
                <w:szCs w:val="21"/>
                <w:lang w:val="en-US" w:eastAsia="zh-CN"/>
              </w:rPr>
              <w:t>投</w:t>
            </w:r>
            <w:r>
              <w:rPr>
                <w:rFonts w:hint="eastAsia" w:ascii="仿宋_GB2312" w:eastAsia="仿宋_GB2312" w:cs="宋体" w:hAnsiTheme="minorEastAsia"/>
                <w:sz w:val="21"/>
                <w:szCs w:val="21"/>
              </w:rPr>
              <w:t>标方负责卸车。</w:t>
            </w:r>
          </w:p>
        </w:tc>
      </w:tr>
    </w:tbl>
    <w:p>
      <w:pPr>
        <w:spacing w:line="360" w:lineRule="auto"/>
        <w:ind w:left="5250" w:hanging="5250" w:hangingChars="25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4"/>
      <w:bookmarkEnd w:id="65"/>
      <w:bookmarkEnd w:id="66"/>
      <w:bookmarkEnd w:id="67"/>
      <w:bookmarkEnd w:id="68"/>
      <w:bookmarkEnd w:id="69"/>
      <w:bookmarkEnd w:id="70"/>
      <w:bookmarkEnd w:id="71"/>
      <w:bookmarkEnd w:id="72"/>
      <w:bookmarkStart w:id="73" w:name="_Toc18209295"/>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ascii="仿宋_GB2312" w:eastAsia="仿宋_GB2312" w:cs="宋体" w:hAnsiTheme="minorEastAsia"/>
          <w:w w:val="90"/>
          <w:sz w:val="21"/>
          <w:szCs w:val="21"/>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firstLine="5880" w:firstLineChars="2800"/>
        <w:jc w:val="left"/>
        <w:rPr>
          <w:rFonts w:ascii="仿宋_GB2312" w:eastAsia="仿宋_GB2312" w:cs="宋体" w:hAnsiTheme="minorEastAsia"/>
          <w:b/>
          <w:w w:val="90"/>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日  </w:t>
      </w: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3"/>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本授权书宣告：</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(投标人全称)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(职务)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 xml:space="preserve">(投标人全称)   的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(职务)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rPr>
        <w:t>中建路桥集团有限公司容东辅助配套区路网（三期）项目项目</w:t>
      </w:r>
      <w:r>
        <w:rPr>
          <w:rFonts w:hint="eastAsia" w:ascii="仿宋_GB2312" w:eastAsia="仿宋_GB2312" w:cs="宋体" w:hAnsiTheme="minorEastAsia"/>
          <w:sz w:val="21"/>
          <w:szCs w:val="21"/>
          <w:u w:val="single"/>
          <w:lang w:val="en-US" w:eastAsia="zh-CN"/>
        </w:rPr>
        <w:t>交安物资</w:t>
      </w:r>
      <w:r>
        <w:rPr>
          <w:rFonts w:hint="eastAsia" w:ascii="仿宋_GB2312" w:eastAsia="仿宋_GB2312" w:cs="宋体" w:hAnsiTheme="minorEastAsia"/>
          <w:sz w:val="21"/>
          <w:szCs w:val="21"/>
          <w:u w:val="single"/>
        </w:rPr>
        <w:t>物资采购招标</w:t>
      </w:r>
      <w:r>
        <w:rPr>
          <w:rFonts w:hint="eastAsia" w:ascii="仿宋_GB2312" w:eastAsia="仿宋_GB2312" w:cs="宋体" w:hAnsiTheme="minorEastAsia"/>
          <w:sz w:val="21"/>
          <w:szCs w:val="21"/>
        </w:rPr>
        <w:t>（招标文件编号：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ZJLQ-FGZB-</w:t>
      </w:r>
      <w:r>
        <w:rPr>
          <w:rFonts w:hint="eastAsia" w:ascii="仿宋_GB2312" w:eastAsia="仿宋_GB2312" w:cs="宋体" w:hAnsiTheme="minorEastAsia"/>
          <w:sz w:val="21"/>
          <w:szCs w:val="21"/>
          <w:u w:val="single"/>
          <w:lang w:val="en-US" w:eastAsia="zh-CN"/>
        </w:rPr>
        <w:t>容东项目</w:t>
      </w:r>
      <w:r>
        <w:rPr>
          <w:rFonts w:hint="eastAsia" w:ascii="仿宋_GB2312" w:eastAsia="仿宋_GB2312" w:cs="宋体" w:hAnsiTheme="minorEastAsia"/>
          <w:sz w:val="21"/>
          <w:szCs w:val="21"/>
          <w:u w:val="single"/>
          <w:lang w:eastAsia="zh-CN"/>
        </w:rPr>
        <w:t>-202</w:t>
      </w:r>
      <w:r>
        <w:rPr>
          <w:rFonts w:hint="eastAsia" w:ascii="仿宋_GB2312" w:eastAsia="仿宋_GB2312" w:cs="宋体" w:hAnsiTheme="minorEastAsia"/>
          <w:sz w:val="21"/>
          <w:szCs w:val="21"/>
          <w:u w:val="single"/>
          <w:lang w:val="en-US" w:eastAsia="zh-CN"/>
        </w:rPr>
        <w:t>3</w:t>
      </w:r>
      <w:r>
        <w:rPr>
          <w:rFonts w:hint="eastAsia" w:ascii="仿宋_GB2312" w:eastAsia="仿宋_GB2312" w:cs="宋体" w:hAnsiTheme="minorEastAsia"/>
          <w:sz w:val="21"/>
          <w:szCs w:val="21"/>
          <w:u w:val="single"/>
          <w:lang w:eastAsia="zh-CN"/>
        </w:rPr>
        <w:t>00</w:t>
      </w:r>
      <w:r>
        <w:rPr>
          <w:rFonts w:hint="eastAsia" w:ascii="仿宋_GB2312" w:eastAsia="仿宋_GB2312" w:cs="宋体" w:hAnsiTheme="minorEastAsia"/>
          <w:sz w:val="21"/>
          <w:szCs w:val="21"/>
          <w:u w:val="single"/>
          <w:lang w:val="en-US" w:eastAsia="zh-CN"/>
        </w:rPr>
        <w:t>2</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widowControl/>
        <w:jc w:val="left"/>
        <w:rPr>
          <w:rFonts w:ascii="仿宋_GB2312" w:eastAsia="仿宋_GB2312" w:cs="宋体" w:hAnsiTheme="minorEastAsia"/>
          <w:b/>
          <w:w w:val="90"/>
        </w:rPr>
      </w:pPr>
      <w:r>
        <w:rPr>
          <w:rFonts w:ascii="仿宋_GB2312" w:eastAsia="仿宋_GB2312" w:cs="宋体" w:hAnsiTheme="minorEastAsia"/>
          <w:b/>
          <w:w w:val="90"/>
        </w:rPr>
        <w:br w:type="page"/>
      </w: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tbl>
      <w:tblPr>
        <w:tblStyle w:val="34"/>
        <w:tblpPr w:leftFromText="180" w:rightFromText="180" w:vertAnchor="text" w:horzAnchor="page" w:tblpX="6133" w:tblpY="4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6"/>
              <w:keepNext w:val="0"/>
              <w:keepLines w:val="0"/>
              <w:spacing w:before="240" w:beforeLines="100" w:line="360" w:lineRule="auto"/>
              <w:jc w:val="both"/>
              <w:rPr>
                <w:rFonts w:hAnsiTheme="minorEastAsia"/>
                <w:b w:val="0"/>
              </w:rPr>
            </w:pPr>
          </w:p>
          <w:p>
            <w:pPr>
              <w:pStyle w:val="306"/>
              <w:keepNext w:val="0"/>
              <w:keepLines w:val="0"/>
              <w:spacing w:before="240"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6"/>
              <w:keepNext w:val="0"/>
              <w:keepLines w:val="0"/>
              <w:spacing w:before="240" w:beforeLines="100" w:line="360" w:lineRule="auto"/>
              <w:jc w:val="both"/>
              <w:rPr>
                <w:rFonts w:hAnsiTheme="minorEastAsia"/>
                <w:b w:val="0"/>
              </w:rPr>
            </w:pPr>
            <w:r>
              <w:rPr>
                <w:rFonts w:hint="eastAsia" w:hAnsiTheme="minorEastAsia"/>
                <w:b w:val="0"/>
              </w:rPr>
              <w:t xml:space="preserve">       </w:t>
            </w:r>
          </w:p>
          <w:p>
            <w:pPr>
              <w:pStyle w:val="306"/>
              <w:keepNext w:val="0"/>
              <w:keepLines w:val="0"/>
              <w:spacing w:before="240"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rPr>
          <w:rFonts w:hint="eastAsia" w:ascii="仿宋_GB2312" w:eastAsia="仿宋_GB2312" w:cs="宋体" w:hAnsiTheme="minorEastAsia"/>
          <w:b/>
          <w:w w:val="90"/>
        </w:rPr>
      </w:pPr>
      <w:r>
        <w:rPr>
          <w:rFonts w:hint="eastAsia"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rPr>
          <w:rFonts w:hint="eastAsia" w:ascii="仿宋_GB2312" w:eastAsia="仿宋_GB2312" w:cs="宋体" w:hAnsiTheme="minorEastAsia"/>
          <w:b/>
          <w:w w:val="90"/>
        </w:rPr>
      </w:pPr>
      <w:r>
        <w:rPr>
          <w:rFonts w:hint="eastAsia"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hint="eastAsia" w:ascii="仿宋_GB2312" w:hAnsi="华文仿宋" w:eastAsia="仿宋_GB2312" w:cs="Times New Roman"/>
        </w:rPr>
      </w:pPr>
      <w:r>
        <w:rPr>
          <w:rFonts w:hint="eastAsia" w:ascii="仿宋_GB2312" w:hAnsi="华文仿宋" w:eastAsia="仿宋_GB2312"/>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hint="eastAsia" w:ascii="仿宋_GB2312" w:hAnsi="华文仿宋" w:eastAsia="仿宋_GB2312" w:cs="Times New Roman"/>
                <w:sz w:val="21"/>
                <w:szCs w:val="21"/>
              </w:rPr>
            </w:pPr>
          </w:p>
        </w:tc>
        <w:tc>
          <w:tcPr>
            <w:tcW w:w="2410" w:type="dxa"/>
            <w:vAlign w:val="center"/>
          </w:tcPr>
          <w:p>
            <w:pPr>
              <w:jc w:val="center"/>
              <w:rPr>
                <w:rFonts w:hint="eastAsia" w:ascii="仿宋_GB2312" w:hAnsi="华文仿宋" w:eastAsia="仿宋_GB2312" w:cs="Times New Roman"/>
                <w:sz w:val="21"/>
                <w:szCs w:val="21"/>
              </w:rPr>
            </w:pPr>
          </w:p>
        </w:tc>
        <w:tc>
          <w:tcPr>
            <w:tcW w:w="2409" w:type="dxa"/>
            <w:vAlign w:val="center"/>
          </w:tcPr>
          <w:p>
            <w:pPr>
              <w:jc w:val="center"/>
              <w:rPr>
                <w:rFonts w:hint="eastAsia" w:ascii="仿宋_GB2312" w:hAnsi="华文仿宋" w:eastAsia="仿宋_GB2312" w:cs="Times New Roman"/>
                <w:sz w:val="21"/>
                <w:szCs w:val="21"/>
              </w:rPr>
            </w:pPr>
          </w:p>
        </w:tc>
        <w:tc>
          <w:tcPr>
            <w:tcW w:w="1910" w:type="dxa"/>
            <w:vAlign w:val="center"/>
          </w:tcPr>
          <w:p>
            <w:pPr>
              <w:jc w:val="center"/>
              <w:rPr>
                <w:rFonts w:hint="eastAsia" w:ascii="仿宋_GB2312" w:hAnsi="华文仿宋" w:eastAsia="仿宋_GB2312" w:cs="Times New Roman"/>
                <w:sz w:val="21"/>
                <w:szCs w:val="21"/>
              </w:rPr>
            </w:pPr>
          </w:p>
        </w:tc>
      </w:tr>
    </w:tbl>
    <w:p>
      <w:pPr>
        <w:outlineLvl w:val="1"/>
        <w:rPr>
          <w:rFonts w:hint="eastAsia" w:ascii="仿宋_GB2312" w:hAnsi="华文仿宋" w:eastAsia="仿宋_GB2312" w:cs="Times New Roman"/>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sz w:val="21"/>
          <w:szCs w:val="21"/>
        </w:rPr>
      </w:pPr>
    </w:p>
    <w:p>
      <w:pPr>
        <w:jc w:val="center"/>
        <w:rPr>
          <w:rFonts w:hint="eastAsia" w:ascii="仿宋_GB2312" w:hAnsi="华文仿宋" w:eastAsia="仿宋_GB2312" w:cs="Times New Roman"/>
        </w:rPr>
      </w:pPr>
      <w:r>
        <w:rPr>
          <w:rFonts w:hint="eastAsia" w:ascii="仿宋_GB2312" w:hAnsi="华文仿宋" w:eastAsia="仿宋_GB2312"/>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hint="eastAsia" w:ascii="仿宋_GB2312" w:hAnsi="华文仿宋" w:eastAsia="仿宋_GB2312" w:cs="Times New Roman"/>
                <w:sz w:val="21"/>
                <w:szCs w:val="21"/>
              </w:rPr>
            </w:pPr>
          </w:p>
        </w:tc>
        <w:tc>
          <w:tcPr>
            <w:tcW w:w="1996" w:type="dxa"/>
            <w:vAlign w:val="center"/>
          </w:tcPr>
          <w:p>
            <w:pPr>
              <w:jc w:val="center"/>
              <w:rPr>
                <w:rFonts w:hint="eastAsia" w:ascii="仿宋_GB2312" w:hAnsi="华文仿宋" w:eastAsia="仿宋_GB2312" w:cs="Times New Roman"/>
                <w:sz w:val="21"/>
                <w:szCs w:val="21"/>
              </w:rPr>
            </w:pPr>
          </w:p>
        </w:tc>
        <w:tc>
          <w:tcPr>
            <w:tcW w:w="2100" w:type="dxa"/>
            <w:vAlign w:val="center"/>
          </w:tcPr>
          <w:p>
            <w:pPr>
              <w:jc w:val="center"/>
              <w:rPr>
                <w:rFonts w:hint="eastAsia" w:ascii="仿宋_GB2312" w:hAnsi="华文仿宋" w:eastAsia="仿宋_GB2312" w:cs="Times New Roman"/>
                <w:sz w:val="21"/>
                <w:szCs w:val="21"/>
              </w:rPr>
            </w:pPr>
          </w:p>
        </w:tc>
        <w:tc>
          <w:tcPr>
            <w:tcW w:w="1540" w:type="dxa"/>
            <w:vAlign w:val="center"/>
          </w:tcPr>
          <w:p>
            <w:pPr>
              <w:jc w:val="center"/>
              <w:rPr>
                <w:rFonts w:hint="eastAsia" w:ascii="仿宋_GB2312" w:hAnsi="华文仿宋" w:eastAsia="仿宋_GB2312" w:cs="Times New Roman"/>
                <w:sz w:val="21"/>
                <w:szCs w:val="21"/>
              </w:rPr>
            </w:pPr>
          </w:p>
        </w:tc>
        <w:tc>
          <w:tcPr>
            <w:tcW w:w="1120" w:type="dxa"/>
            <w:vAlign w:val="center"/>
          </w:tcPr>
          <w:p>
            <w:pPr>
              <w:jc w:val="center"/>
              <w:rPr>
                <w:rFonts w:hint="eastAsia" w:ascii="仿宋_GB2312" w:hAnsi="华文仿宋" w:eastAsia="仿宋_GB2312" w:cs="Times New Roman"/>
                <w:sz w:val="21"/>
                <w:szCs w:val="21"/>
              </w:rPr>
            </w:pPr>
          </w:p>
        </w:tc>
      </w:tr>
    </w:tbl>
    <w:p>
      <w:pPr>
        <w:spacing w:line="240" w:lineRule="exact"/>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w:t>
      </w:r>
      <w:r>
        <w:rPr>
          <w:rFonts w:hint="eastAsia" w:ascii="仿宋_GB2312" w:eastAsia="仿宋_GB2312" w:hAnsiTheme="minorEastAsia"/>
          <w:sz w:val="21"/>
          <w:szCs w:val="21"/>
          <w:lang w:val="en-US" w:eastAsia="zh-CN"/>
        </w:rPr>
        <w:t>一般</w:t>
      </w:r>
      <w:r>
        <w:rPr>
          <w:rFonts w:hint="eastAsia" w:ascii="仿宋_GB2312" w:eastAsia="仿宋_GB2312" w:hAnsiTheme="minorEastAsia"/>
          <w:sz w:val="21"/>
          <w:szCs w:val="21"/>
        </w:rPr>
        <w:t>纳税人资格登记表</w:t>
      </w:r>
      <w:r>
        <w:rPr>
          <w:rFonts w:hint="eastAsia" w:ascii="仿宋_GB2312" w:eastAsia="仿宋_GB2312" w:hAnsiTheme="minorEastAsia"/>
          <w:sz w:val="21"/>
          <w:szCs w:val="21"/>
          <w:lang w:eastAsia="zh-CN"/>
        </w:rPr>
        <w:t>（</w:t>
      </w:r>
      <w:r>
        <w:rPr>
          <w:rFonts w:hint="eastAsia" w:ascii="仿宋_GB2312" w:eastAsia="仿宋_GB2312" w:hAnsiTheme="minorEastAsia"/>
          <w:sz w:val="21"/>
          <w:szCs w:val="21"/>
          <w:lang w:val="en-US" w:eastAsia="zh-CN"/>
        </w:rPr>
        <w:t>如有</w:t>
      </w:r>
      <w:r>
        <w:rPr>
          <w:rFonts w:hint="eastAsia" w:ascii="仿宋_GB2312" w:eastAsia="仿宋_GB2312" w:hAnsiTheme="minorEastAsia"/>
          <w:sz w:val="21"/>
          <w:szCs w:val="21"/>
          <w:lang w:eastAsia="zh-CN"/>
        </w:rPr>
        <w:t>）</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hint="eastAsia"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spacing w:line="400" w:lineRule="exact"/>
        <w:ind w:firstLine="200"/>
        <w:jc w:val="left"/>
        <w:rPr>
          <w:rFonts w:ascii="仿宋_GB2312" w:eastAsia="仿宋_GB2312" w:cs="宋体" w:hAnsiTheme="minorEastAsia"/>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pStyle w:val="2"/>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pPr>
        <w:spacing w:line="220" w:lineRule="atLeast"/>
        <w:jc w:val="center"/>
        <w:rPr>
          <w:rFonts w:hint="eastAsia" w:ascii="宋体" w:hAnsi="宋体" w:eastAsia="宋体" w:cs="宋体"/>
          <w:b/>
          <w:sz w:val="52"/>
          <w:szCs w:val="52"/>
          <w:highlight w:val="none"/>
        </w:rPr>
      </w:pPr>
    </w:p>
    <w:p>
      <w:pPr>
        <w:spacing w:line="220" w:lineRule="atLeast"/>
        <w:jc w:val="center"/>
        <w:rPr>
          <w:rFonts w:hint="eastAsia" w:ascii="宋体" w:hAnsi="宋体" w:eastAsia="宋体" w:cs="宋体"/>
          <w:b/>
          <w:sz w:val="52"/>
          <w:szCs w:val="52"/>
          <w:highlight w:val="none"/>
        </w:rPr>
      </w:pPr>
    </w:p>
    <w:p>
      <w:pPr>
        <w:spacing w:line="220" w:lineRule="atLeast"/>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物资购销合同</w:t>
      </w:r>
    </w:p>
    <w:p>
      <w:pPr>
        <w:spacing w:line="220" w:lineRule="atLeast"/>
        <w:jc w:val="center"/>
        <w:rPr>
          <w:rFonts w:hint="eastAsia" w:ascii="宋体" w:hAnsi="宋体" w:eastAsia="宋体" w:cs="宋体"/>
          <w:sz w:val="28"/>
          <w:szCs w:val="28"/>
          <w:highlight w:val="none"/>
        </w:rPr>
      </w:pPr>
    </w:p>
    <w:p>
      <w:pPr>
        <w:spacing w:line="22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pStyle w:val="2"/>
        <w:rPr>
          <w:rFonts w:hint="eastAsia" w:ascii="宋体" w:hAnsi="宋体" w:eastAsia="宋体" w:cs="宋体"/>
          <w:highlight w:val="none"/>
        </w:rPr>
      </w:pPr>
    </w:p>
    <w:p>
      <w:pPr>
        <w:spacing w:line="360" w:lineRule="auto"/>
        <w:jc w:val="center"/>
        <w:outlineLvl w:val="0"/>
        <w:rPr>
          <w:rFonts w:hint="default" w:ascii="宋体" w:hAnsi="宋体" w:eastAsia="宋体" w:cs="宋体"/>
          <w:b/>
          <w:spacing w:val="-20"/>
          <w:sz w:val="52"/>
          <w:szCs w:val="52"/>
          <w:highlight w:val="none"/>
          <w:lang w:val="en-US"/>
        </w:rPr>
      </w:pPr>
      <w:r>
        <w:rPr>
          <w:rFonts w:hint="eastAsia" w:ascii="宋体" w:hAnsi="宋体" w:eastAsia="宋体" w:cs="宋体"/>
          <w:sz w:val="28"/>
          <w:szCs w:val="28"/>
          <w:highlight w:val="none"/>
        </w:rPr>
        <w:t>物资名称：</w:t>
      </w:r>
      <w:r>
        <w:rPr>
          <w:rFonts w:hint="eastAsia" w:ascii="宋体" w:hAnsi="宋体" w:eastAsia="宋体" w:cs="宋体"/>
          <w:sz w:val="28"/>
          <w:szCs w:val="28"/>
          <w:highlight w:val="none"/>
          <w:u w:val="single"/>
          <w:lang w:val="en-US" w:eastAsia="zh-CN"/>
        </w:rPr>
        <w:t>交安物资</w:t>
      </w: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r>
        <w:rPr>
          <w:rFonts w:hint="eastAsia" w:ascii="仿宋" w:hAnsi="仿宋" w:eastAsia="仿宋" w:cs="Times New Roman"/>
          <w:b/>
          <w:color w:val="auto"/>
          <w:sz w:val="40"/>
          <w:szCs w:val="40"/>
          <w:u w:val="none" w:color="000000"/>
          <w:lang w:eastAsia="zh-CN" w:bidi="ar-SA"/>
        </w:rPr>
        <w:drawing>
          <wp:anchor distT="0" distB="0" distL="114300" distR="114300" simplePos="0" relativeHeight="251659264" behindDoc="1" locked="0" layoutInCell="1" allowOverlap="1">
            <wp:simplePos x="0" y="0"/>
            <wp:positionH relativeFrom="column">
              <wp:posOffset>2184400</wp:posOffset>
            </wp:positionH>
            <wp:positionV relativeFrom="page">
              <wp:posOffset>3989070</wp:posOffset>
            </wp:positionV>
            <wp:extent cx="1433195" cy="1341120"/>
            <wp:effectExtent l="0" t="0" r="14605" b="11430"/>
            <wp:wrapTight wrapText="bothSides">
              <wp:wrapPolygon>
                <wp:start x="0" y="0"/>
                <wp:lineTo x="0" y="21170"/>
                <wp:lineTo x="21246" y="21170"/>
                <wp:lineTo x="21246" y="0"/>
                <wp:lineTo x="0" y="0"/>
              </wp:wrapPolygon>
            </wp:wrapTight>
            <wp:docPr id="2" name="图片 1"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SCEC中建-2"/>
                    <pic:cNvPicPr>
                      <a:picLocks noChangeAspect="1"/>
                    </pic:cNvPicPr>
                  </pic:nvPicPr>
                  <pic:blipFill>
                    <a:blip r:embed="rId6"/>
                    <a:stretch>
                      <a:fillRect/>
                    </a:stretch>
                  </pic:blipFill>
                  <pic:spPr>
                    <a:xfrm>
                      <a:off x="0" y="0"/>
                      <a:ext cx="1433195" cy="1341120"/>
                    </a:xfrm>
                    <a:prstGeom prst="rect">
                      <a:avLst/>
                    </a:prstGeom>
                    <a:noFill/>
                    <a:ln>
                      <a:noFill/>
                    </a:ln>
                  </pic:spPr>
                </pic:pic>
              </a:graphicData>
            </a:graphic>
          </wp:anchor>
        </w:drawing>
      </w: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r>
        <w:rPr>
          <w:rFonts w:hint="eastAsia" w:ascii="宋体" w:hAnsi="宋体" w:eastAsia="宋体" w:cs="宋体"/>
          <w:b/>
          <w:sz w:val="24"/>
          <w:highlight w:val="none"/>
          <w:u w:val="single"/>
        </w:rPr>
        <w:br w:type="textWrapping"/>
      </w:r>
    </w:p>
    <w:p>
      <w:pPr>
        <w:spacing w:line="360" w:lineRule="auto"/>
        <w:ind w:firstLine="2520" w:firstLineChars="9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甲方：</w:t>
      </w:r>
      <w:r>
        <w:rPr>
          <w:rFonts w:hint="eastAsia" w:ascii="宋体" w:hAnsi="宋体" w:eastAsia="宋体" w:cs="宋体"/>
          <w:sz w:val="28"/>
          <w:szCs w:val="28"/>
          <w:highlight w:val="none"/>
          <w:u w:val="single"/>
        </w:rPr>
        <w:t>中建路桥集团有限公司</w:t>
      </w:r>
    </w:p>
    <w:p>
      <w:pPr>
        <w:spacing w:line="360" w:lineRule="auto"/>
        <w:ind w:firstLine="2520" w:firstLineChars="9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乙方：</w:t>
      </w:r>
      <w:r>
        <w:rPr>
          <w:rFonts w:hint="eastAsia" w:ascii="宋体" w:hAnsi="宋体" w:eastAsia="宋体" w:cs="宋体"/>
          <w:sz w:val="28"/>
          <w:szCs w:val="28"/>
          <w:highlight w:val="none"/>
          <w:u w:val="single"/>
        </w:rPr>
        <w:t xml:space="preserve">                    </w:t>
      </w:r>
    </w:p>
    <w:p>
      <w:pPr>
        <w:spacing w:line="360" w:lineRule="auto"/>
        <w:ind w:firstLine="1687" w:firstLineChars="700"/>
        <w:rPr>
          <w:rFonts w:hint="eastAsia" w:ascii="宋体" w:hAnsi="宋体" w:eastAsia="宋体" w:cs="宋体"/>
          <w:b/>
          <w:sz w:val="24"/>
          <w:highlight w:val="none"/>
          <w:u w:val="single"/>
        </w:rPr>
      </w:pPr>
    </w:p>
    <w:p>
      <w:pPr>
        <w:spacing w:line="360" w:lineRule="auto"/>
        <w:ind w:firstLine="1687" w:firstLineChars="700"/>
        <w:rPr>
          <w:rFonts w:hint="eastAsia" w:ascii="宋体" w:hAnsi="宋体" w:eastAsia="宋体" w:cs="宋体"/>
          <w:b/>
          <w:sz w:val="24"/>
          <w:highlight w:val="none"/>
          <w:u w:val="single"/>
        </w:rPr>
      </w:pPr>
    </w:p>
    <w:p>
      <w:pPr>
        <w:spacing w:line="360" w:lineRule="auto"/>
        <w:rPr>
          <w:rFonts w:hint="eastAsia" w:ascii="宋体" w:hAnsi="宋体" w:eastAsia="宋体" w:cs="宋体"/>
          <w:b/>
          <w:sz w:val="24"/>
          <w:highlight w:val="none"/>
          <w:u w:val="single"/>
        </w:rPr>
      </w:pP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合同订立日期：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合同订立地点：石家庄市</w:t>
      </w:r>
    </w:p>
    <w:p>
      <w:pPr>
        <w:spacing w:line="220" w:lineRule="atLeas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r>
        <w:rPr>
          <w:rFonts w:hint="eastAsia" w:ascii="宋体" w:hAnsi="宋体" w:eastAsia="宋体" w:cs="宋体"/>
          <w:b/>
          <w:sz w:val="36"/>
          <w:szCs w:val="36"/>
          <w:highlight w:val="none"/>
        </w:rPr>
        <w:t>物资购销合同</w:t>
      </w:r>
    </w:p>
    <w:p>
      <w:pPr>
        <w:spacing w:before="249" w:beforeLines="80" w:line="220" w:lineRule="atLeas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第一部分  合同协议书</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甲方（需方）：</w:t>
      </w:r>
      <w:r>
        <w:rPr>
          <w:rFonts w:hint="eastAsia" w:ascii="宋体" w:hAnsi="宋体" w:eastAsia="宋体" w:cs="宋体"/>
          <w:sz w:val="21"/>
          <w:szCs w:val="21"/>
          <w:highlight w:val="none"/>
          <w:u w:val="single"/>
        </w:rPr>
        <w:t>中建路桥集团有限公司</w:t>
      </w:r>
    </w:p>
    <w:p>
      <w:pPr>
        <w:tabs>
          <w:tab w:val="center" w:pos="5081"/>
        </w:tabs>
        <w:spacing w:line="400" w:lineRule="exac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乙方（供方）：</w:t>
      </w:r>
      <w:r>
        <w:rPr>
          <w:rFonts w:hint="eastAsia" w:ascii="宋体" w:hAnsi="宋体" w:eastAsia="宋体" w:cs="宋体"/>
          <w:sz w:val="21"/>
          <w:szCs w:val="21"/>
          <w:highlight w:val="none"/>
          <w:u w:val="single"/>
          <w:lang w:val="en-US" w:eastAsia="zh-CN"/>
        </w:rPr>
        <w:t xml:space="preserve">                    </w:t>
      </w:r>
    </w:p>
    <w:p>
      <w:pPr>
        <w:tabs>
          <w:tab w:val="center" w:pos="5081"/>
        </w:tabs>
        <w:spacing w:line="40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依据《中华人民共和国民法典》及相关法律、法规，遵循平等、自愿、公平和诚实信用的原则，为明确甲方与乙方的权利和义务，经双方协商就物资采购事宜达成一致意见，特签订本合同，双方共同遵照执行。</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一、项目名称和项目地点</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(一)项目名称：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中建路桥集团有限公司容东辅助配套区路网（三期）项目</w:t>
      </w:r>
      <w:r>
        <w:rPr>
          <w:rFonts w:hint="eastAsia" w:ascii="宋体" w:hAnsi="宋体" w:eastAsia="宋体" w:cs="宋体"/>
          <w:sz w:val="21"/>
          <w:szCs w:val="21"/>
          <w:highlight w:val="none"/>
        </w:rPr>
        <w:t>。</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(二)项目地点：</w:t>
      </w:r>
      <w:r>
        <w:rPr>
          <w:rFonts w:hint="eastAsia" w:ascii="宋体" w:hAnsi="宋体" w:eastAsia="宋体" w:cs="宋体"/>
          <w:sz w:val="21"/>
          <w:szCs w:val="21"/>
          <w:highlight w:val="none"/>
          <w:u w:val="single"/>
          <w:lang w:val="en-US" w:eastAsia="zh-CN"/>
        </w:rPr>
        <w:t>保定市容城县</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400" w:lineRule="exact"/>
        <w:ind w:firstLine="422" w:firstLineChars="200"/>
        <w:rPr>
          <w:rFonts w:hint="eastAsia" w:ascii="宋体" w:hAnsi="宋体" w:eastAsia="宋体" w:cs="宋体"/>
          <w:color w:val="000000"/>
          <w:sz w:val="21"/>
          <w:szCs w:val="21"/>
          <w:highlight w:val="none"/>
          <w:u w:val="single"/>
        </w:rPr>
      </w:pPr>
      <w:r>
        <w:rPr>
          <w:rFonts w:hint="eastAsia" w:ascii="宋体" w:hAnsi="宋体" w:eastAsia="宋体" w:cs="宋体"/>
          <w:b/>
          <w:color w:val="000000"/>
          <w:sz w:val="21"/>
          <w:szCs w:val="21"/>
          <w:highlight w:val="none"/>
        </w:rPr>
        <w:t>二、物资信息</w:t>
      </w:r>
      <w:r>
        <w:rPr>
          <w:rFonts w:hint="eastAsia" w:ascii="宋体" w:hAnsi="宋体" w:eastAsia="宋体" w:cs="宋体"/>
          <w:color w:val="C0C0C0"/>
          <w:sz w:val="21"/>
          <w:szCs w:val="21"/>
          <w:highlight w:val="none"/>
          <w:u w:val="single"/>
        </w:rPr>
        <w:t>（可修改或新增条款）</w:t>
      </w:r>
    </w:p>
    <w:p>
      <w:pPr>
        <w:spacing w:line="400" w:lineRule="exact"/>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(一)综合单价</w:t>
      </w:r>
    </w:p>
    <w:tbl>
      <w:tblPr>
        <w:tblStyle w:val="34"/>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992"/>
        <w:gridCol w:w="709"/>
        <w:gridCol w:w="709"/>
        <w:gridCol w:w="1134"/>
        <w:gridCol w:w="841"/>
        <w:gridCol w:w="840"/>
        <w:gridCol w:w="91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134"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物资名称</w:t>
            </w:r>
          </w:p>
        </w:tc>
        <w:tc>
          <w:tcPr>
            <w:tcW w:w="992"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规格</w:t>
            </w:r>
          </w:p>
        </w:tc>
        <w:tc>
          <w:tcPr>
            <w:tcW w:w="709"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709"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暂定数量</w:t>
            </w:r>
          </w:p>
        </w:tc>
        <w:tc>
          <w:tcPr>
            <w:tcW w:w="3730" w:type="dxa"/>
            <w:gridSpan w:val="4"/>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w:t>
            </w:r>
            <w:r>
              <w:rPr>
                <w:rFonts w:hint="eastAsia" w:ascii="宋体" w:hAnsi="宋体" w:eastAsia="宋体" w:cs="宋体"/>
                <w:color w:val="000000"/>
                <w:sz w:val="21"/>
                <w:szCs w:val="21"/>
                <w:highlight w:val="none"/>
                <w:lang w:eastAsia="zh-CN"/>
              </w:rPr>
              <w:t>元</w:t>
            </w:r>
            <w:r>
              <w:rPr>
                <w:rFonts w:hint="eastAsia" w:ascii="宋体" w:hAnsi="宋体" w:eastAsia="宋体" w:cs="宋体"/>
                <w:color w:val="000000"/>
                <w:sz w:val="21"/>
                <w:szCs w:val="21"/>
                <w:highlight w:val="none"/>
              </w:rPr>
              <w:t>）</w:t>
            </w:r>
          </w:p>
        </w:tc>
        <w:tc>
          <w:tcPr>
            <w:tcW w:w="1656" w:type="dxa"/>
            <w:vMerge w:val="restart"/>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2"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1134"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992"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709"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709" w:type="dxa"/>
            <w:vMerge w:val="continue"/>
            <w:vAlign w:val="center"/>
          </w:tcPr>
          <w:p>
            <w:pPr>
              <w:spacing w:line="360" w:lineRule="auto"/>
              <w:jc w:val="center"/>
              <w:rPr>
                <w:rFonts w:hint="eastAsia" w:ascii="宋体" w:hAnsi="宋体" w:eastAsia="宋体" w:cs="宋体"/>
                <w:color w:val="000000"/>
                <w:sz w:val="21"/>
                <w:szCs w:val="21"/>
                <w:highlight w:val="none"/>
              </w:rPr>
            </w:pPr>
          </w:p>
        </w:tc>
        <w:tc>
          <w:tcPr>
            <w:tcW w:w="1134"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单价</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（不含税）</w:t>
            </w:r>
          </w:p>
        </w:tc>
        <w:tc>
          <w:tcPr>
            <w:tcW w:w="841"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发票票面税率</w:t>
            </w:r>
          </w:p>
        </w:tc>
        <w:tc>
          <w:tcPr>
            <w:tcW w:w="840"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税额</w:t>
            </w:r>
          </w:p>
        </w:tc>
        <w:tc>
          <w:tcPr>
            <w:tcW w:w="915" w:type="dxa"/>
            <w:vAlign w:val="center"/>
          </w:tcPr>
          <w:p>
            <w:pPr>
              <w:widowControl/>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价税合计</w:t>
            </w:r>
          </w:p>
        </w:tc>
        <w:tc>
          <w:tcPr>
            <w:tcW w:w="1656" w:type="dxa"/>
            <w:vMerge w:val="continue"/>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2" w:type="dxa"/>
            <w:shd w:val="clear" w:color="auto" w:fill="auto"/>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34"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eastAsia="zh-CN"/>
              </w:rPr>
            </w:pPr>
          </w:p>
        </w:tc>
        <w:tc>
          <w:tcPr>
            <w:tcW w:w="992"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134"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1"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0"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915"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656" w:type="dxa"/>
            <w:shd w:val="clear" w:color="auto" w:fill="auto"/>
            <w:vAlign w:val="center"/>
          </w:tcPr>
          <w:p>
            <w:pPr>
              <w:widowControl/>
              <w:spacing w:line="360" w:lineRule="auto"/>
              <w:jc w:val="left"/>
              <w:textAlignment w:val="center"/>
              <w:rPr>
                <w:rFonts w:hint="default"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p>
        </w:tc>
        <w:tc>
          <w:tcPr>
            <w:tcW w:w="1134"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eastAsia="zh-CN"/>
              </w:rPr>
            </w:pPr>
          </w:p>
        </w:tc>
        <w:tc>
          <w:tcPr>
            <w:tcW w:w="992"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eastAsia" w:ascii="宋体" w:hAnsi="宋体" w:eastAsia="宋体" w:cs="宋体"/>
                <w:color w:val="000000"/>
                <w:sz w:val="21"/>
                <w:szCs w:val="21"/>
                <w:highlight w:val="none"/>
                <w:lang w:val="en-US" w:eastAsia="zh-CN"/>
              </w:rPr>
            </w:pPr>
          </w:p>
        </w:tc>
        <w:tc>
          <w:tcPr>
            <w:tcW w:w="709"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134"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1"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840"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915" w:type="dxa"/>
            <w:shd w:val="clear" w:color="auto" w:fill="auto"/>
            <w:vAlign w:val="center"/>
          </w:tcPr>
          <w:p>
            <w:pPr>
              <w:adjustRightInd w:val="0"/>
              <w:snapToGrid w:val="0"/>
              <w:spacing w:line="360" w:lineRule="auto"/>
              <w:jc w:val="center"/>
              <w:rPr>
                <w:rFonts w:hint="default" w:ascii="宋体" w:hAnsi="宋体" w:eastAsia="宋体" w:cs="宋体"/>
                <w:color w:val="000000"/>
                <w:sz w:val="21"/>
                <w:szCs w:val="21"/>
                <w:highlight w:val="none"/>
                <w:lang w:val="en-US" w:eastAsia="zh-CN"/>
              </w:rPr>
            </w:pPr>
          </w:p>
        </w:tc>
        <w:tc>
          <w:tcPr>
            <w:tcW w:w="1656" w:type="dxa"/>
            <w:shd w:val="clear" w:color="auto" w:fill="auto"/>
            <w:vAlign w:val="center"/>
          </w:tcPr>
          <w:p>
            <w:pPr>
              <w:widowControl/>
              <w:spacing w:line="360" w:lineRule="auto"/>
              <w:jc w:val="left"/>
              <w:textAlignment w:val="center"/>
              <w:rPr>
                <w:rFonts w:hint="default"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不含税金额合计</w:t>
            </w:r>
          </w:p>
        </w:tc>
        <w:tc>
          <w:tcPr>
            <w:tcW w:w="6804" w:type="dxa"/>
            <w:gridSpan w:val="7"/>
            <w:vAlign w:val="center"/>
          </w:tcPr>
          <w:p>
            <w:pPr>
              <w:tabs>
                <w:tab w:val="left" w:pos="2857"/>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税额合计</w:t>
            </w:r>
          </w:p>
        </w:tc>
        <w:tc>
          <w:tcPr>
            <w:tcW w:w="6804" w:type="dxa"/>
            <w:gridSpan w:val="7"/>
            <w:vAlign w:val="center"/>
          </w:tcPr>
          <w:p>
            <w:pPr>
              <w:tabs>
                <w:tab w:val="left" w:pos="2857"/>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含税金额合计</w:t>
            </w:r>
          </w:p>
        </w:tc>
        <w:tc>
          <w:tcPr>
            <w:tcW w:w="6804" w:type="dxa"/>
            <w:gridSpan w:val="7"/>
            <w:vAlign w:val="center"/>
          </w:tcPr>
          <w:p>
            <w:pPr>
              <w:tabs>
                <w:tab w:val="left" w:pos="2857"/>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22" w:type="dxa"/>
            <w:gridSpan w:val="10"/>
            <w:vAlign w:val="center"/>
          </w:tcPr>
          <w:p>
            <w:pPr>
              <w:ind w:left="525" w:hanging="525" w:hangingChars="2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1.合同所示的货物数量为暂定数量，最终结算数量以甲方通知进场且实际收到的合格产品数量为准。</w:t>
            </w:r>
          </w:p>
          <w:p>
            <w:pPr>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负责卸车。</w:t>
            </w:r>
          </w:p>
        </w:tc>
      </w:tr>
    </w:tbl>
    <w:p>
      <w:pPr>
        <w:widowControl w:val="0"/>
        <w:tabs>
          <w:tab w:val="left" w:pos="425"/>
          <w:tab w:val="left" w:pos="720"/>
        </w:tabs>
        <w:overflowPunct w:val="0"/>
        <w:topLinePunct/>
        <w:adjustRightInd w:val="0"/>
        <w:snapToGrid w:val="0"/>
        <w:spacing w:before="249" w:beforeLines="80" w:line="400" w:lineRule="exact"/>
        <w:ind w:firstLine="420" w:firstLineChars="20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二)合同单价所示的“综合单价”为物资运至工地的单价,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widowControl w:val="0"/>
        <w:tabs>
          <w:tab w:val="left" w:pos="425"/>
          <w:tab w:val="left" w:pos="720"/>
        </w:tabs>
        <w:overflowPunct w:val="0"/>
        <w:topLinePunct/>
        <w:adjustRightInd w:val="0"/>
        <w:snapToGrid w:val="0"/>
        <w:spacing w:beforeLines="0" w:line="400" w:lineRule="exact"/>
        <w:ind w:firstLine="420" w:firstLineChars="20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(三)本合同约定的“综合单价”为固定单价，即不受市场变化影响，且无论进场数量多少价格亦不发生变化。</w:t>
      </w:r>
    </w:p>
    <w:p>
      <w:pPr>
        <w:spacing w:line="400" w:lineRule="exact"/>
        <w:ind w:firstLine="49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(四)乙方所供物资必须为</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公司生产产品。</w:t>
      </w:r>
    </w:p>
    <w:p>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三、物资供应及计量方式</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（一）乙方应严格按照甲方发出的物资供应计划中要求的时间将合同约定的物资保质保量地运至交货地。乙方应在甲方发出进场通知后</w:t>
      </w:r>
      <w:r>
        <w:rPr>
          <w:rFonts w:hint="eastAsia" w:ascii="宋体" w:hAnsi="宋体" w:eastAsia="宋体" w:cs="宋体"/>
          <w:color w:val="000000"/>
          <w:sz w:val="21"/>
          <w:szCs w:val="21"/>
          <w:highlight w:val="none"/>
          <w:u w:val="single"/>
          <w:lang w:val="en-US" w:eastAsia="zh-CN"/>
        </w:rPr>
        <w:t>15</w:t>
      </w:r>
      <w:r>
        <w:rPr>
          <w:rFonts w:hint="eastAsia" w:ascii="宋体" w:hAnsi="宋体" w:eastAsia="宋体" w:cs="宋体"/>
          <w:color w:val="000000"/>
          <w:sz w:val="21"/>
          <w:szCs w:val="21"/>
          <w:highlight w:val="none"/>
        </w:rPr>
        <w:t>个日历天内将物资运达交货地点。</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（二）物资计量方式：过磅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计件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检尺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其他计量方式。</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四、支付、结算</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(一)乙方银行信息：单位名称: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；开户行：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；账  号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w:t>
      </w:r>
    </w:p>
    <w:p>
      <w:pPr>
        <w:tabs>
          <w:tab w:val="left" w:pos="765"/>
        </w:tabs>
        <w:spacing w:line="4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(二)乙方结算人: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；身份证: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p>
    <w:p>
      <w:pPr>
        <w:tabs>
          <w:tab w:val="left" w:pos="765"/>
        </w:tabs>
        <w:spacing w:line="4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(三)结算方式</w:t>
      </w:r>
      <w:r>
        <w:rPr>
          <w:rFonts w:hint="eastAsia" w:ascii="宋体" w:hAnsi="宋体" w:eastAsia="宋体" w:cs="宋体"/>
          <w:w w:val="90"/>
          <w:sz w:val="21"/>
          <w:szCs w:val="21"/>
          <w:highlight w:val="none"/>
        </w:rPr>
        <w:t>：</w:t>
      </w:r>
      <w:r>
        <w:rPr>
          <w:rFonts w:hint="eastAsia" w:ascii="宋体" w:hAnsi="宋体" w:eastAsia="宋体" w:cs="宋体"/>
          <w:sz w:val="21"/>
          <w:szCs w:val="21"/>
          <w:highlight w:val="none"/>
        </w:rPr>
        <w:t>本合同约定按月度结算。开始供货后双方每月</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rPr>
        <w:t>日后将上月</w:t>
      </w:r>
      <w:r>
        <w:rPr>
          <w:rFonts w:hint="eastAsia" w:ascii="宋体" w:hAnsi="宋体" w:eastAsia="宋体" w:cs="宋体"/>
          <w:sz w:val="21"/>
          <w:szCs w:val="21"/>
          <w:highlight w:val="none"/>
          <w:u w:val="single"/>
          <w:lang w:val="en-US" w:eastAsia="zh-CN"/>
        </w:rPr>
        <w:t>16</w:t>
      </w:r>
      <w:r>
        <w:rPr>
          <w:rFonts w:hint="eastAsia" w:ascii="宋体" w:hAnsi="宋体" w:eastAsia="宋体" w:cs="宋体"/>
          <w:sz w:val="21"/>
          <w:szCs w:val="21"/>
          <w:highlight w:val="none"/>
        </w:rPr>
        <w:t>日至本月</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rPr>
        <w:t>日的供货数量进行核对并及时办理月结手续，乙方向甲方提交等额的符合甲</w:t>
      </w:r>
      <w:r>
        <w:rPr>
          <w:rFonts w:hint="eastAsia" w:ascii="宋体" w:hAnsi="宋体" w:eastAsia="宋体" w:cs="宋体"/>
          <w:color w:val="000000"/>
          <w:sz w:val="21"/>
          <w:szCs w:val="21"/>
          <w:highlight w:val="none"/>
        </w:rPr>
        <w:t>方财务和</w:t>
      </w:r>
      <w:r>
        <w:rPr>
          <w:rFonts w:hint="eastAsia" w:ascii="宋体" w:hAnsi="宋体" w:eastAsia="宋体" w:cs="宋体"/>
          <w:sz w:val="21"/>
          <w:szCs w:val="21"/>
          <w:highlight w:val="none"/>
        </w:rPr>
        <w:t>国家税法要求的</w:t>
      </w:r>
      <w:r>
        <w:rPr>
          <w:rFonts w:hint="eastAsia" w:ascii="宋体" w:hAnsi="宋体" w:eastAsia="宋体" w:cs="宋体"/>
          <w:b/>
          <w:bCs/>
          <w:sz w:val="21"/>
          <w:szCs w:val="21"/>
          <w:highlight w:val="none"/>
        </w:rPr>
        <w:t>增值税专用发票</w:t>
      </w:r>
      <w:r>
        <w:rPr>
          <w:rFonts w:hint="eastAsia" w:ascii="宋体" w:hAnsi="宋体" w:eastAsia="宋体" w:cs="宋体"/>
          <w:b/>
          <w:sz w:val="21"/>
          <w:szCs w:val="21"/>
          <w:highlight w:val="none"/>
        </w:rPr>
        <w:t>，发票票面税率</w:t>
      </w:r>
      <w:r>
        <w:rPr>
          <w:rFonts w:hint="eastAsia" w:ascii="宋体" w:hAnsi="宋体" w:eastAsia="宋体" w:cs="宋体"/>
          <w:b/>
          <w:sz w:val="21"/>
          <w:szCs w:val="21"/>
          <w:highlight w:val="none"/>
          <w:u w:val="single"/>
          <w:lang w:val="en-US" w:eastAsia="zh-CN"/>
        </w:rPr>
        <w:t xml:space="preserve"> 3 </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，开票信息如下：</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发票抬头：中建路桥集团有限公司；税号：91130000401700454L；</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地址：石家庄市建设南大街70号；电话：0311-86028814；</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开户行：石家庄市建行平安大街支行；账号：13001618601050504927；</w:t>
      </w:r>
    </w:p>
    <w:p>
      <w:pPr>
        <w:tabs>
          <w:tab w:val="left" w:pos="765"/>
        </w:tabs>
        <w:spacing w:line="4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备注：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具体以财务资金部要求为准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numPr>
          <w:ilvl w:val="0"/>
          <w:numId w:val="1"/>
        </w:numPr>
        <w:tabs>
          <w:tab w:val="left" w:pos="765"/>
          <w:tab w:val="clear" w:pos="312"/>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合同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第1</w:t>
      </w:r>
      <w:r>
        <w:rPr>
          <w:rFonts w:hint="eastAsia" w:ascii="宋体" w:hAnsi="宋体" w:eastAsia="宋体" w:cs="宋体"/>
          <w:sz w:val="21"/>
          <w:szCs w:val="21"/>
          <w:highlight w:val="none"/>
          <w:u w:val="single"/>
        </w:rPr>
        <w:t xml:space="preserve"> 个</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eastAsia="zh-CN"/>
        </w:rPr>
        <w:t>末</w:t>
      </w:r>
      <w:r>
        <w:rPr>
          <w:rFonts w:hint="eastAsia" w:ascii="宋体" w:hAnsi="宋体" w:eastAsia="宋体" w:cs="宋体"/>
          <w:sz w:val="21"/>
          <w:szCs w:val="21"/>
          <w:highlight w:val="none"/>
        </w:rPr>
        <w:t>支付当期应付货款的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70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%，余下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%货款在乙方所供当期物资经检验合格后的</w:t>
      </w:r>
      <w:r>
        <w:rPr>
          <w:rFonts w:hint="eastAsia" w:ascii="宋体" w:hAnsi="宋体" w:eastAsia="宋体" w:cs="宋体"/>
          <w:sz w:val="21"/>
          <w:szCs w:val="21"/>
          <w:highlight w:val="none"/>
          <w:lang w:val="en-US" w:eastAsia="zh-CN"/>
        </w:rPr>
        <w:t>90</w:t>
      </w:r>
      <w:r>
        <w:rPr>
          <w:rFonts w:hint="eastAsia" w:ascii="宋体" w:hAnsi="宋体" w:eastAsia="宋体" w:cs="宋体"/>
          <w:sz w:val="21"/>
          <w:szCs w:val="21"/>
          <w:highlight w:val="none"/>
        </w:rPr>
        <w:t>个工作日内付清，以此类推。</w:t>
      </w:r>
      <w:r>
        <w:rPr>
          <w:rFonts w:ascii="宋体" w:hAnsi="宋体" w:eastAsia="宋体" w:cs="宋体"/>
          <w:b/>
          <w:bCs/>
          <w:sz w:val="24"/>
          <w:szCs w:val="24"/>
        </w:rPr>
        <w:t>乙方对于本条款完全理解，并同意接受上述支付时间及相应支付比例的约定。</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以上付款比例按业主资金拨付情况和项目资金状况而定，若业主付款推迟则该付款期限相应推迟，延期付款部分不计利息。</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(五)付款方式</w:t>
      </w:r>
      <w:r>
        <w:rPr>
          <w:rFonts w:hint="eastAsia" w:ascii="宋体" w:hAnsi="宋体" w:eastAsia="宋体" w:cs="宋体"/>
          <w:sz w:val="21"/>
          <w:highlight w:val="none"/>
        </w:rPr>
        <w:t>：</w:t>
      </w:r>
      <w:r>
        <w:rPr>
          <w:rFonts w:hint="eastAsia" w:ascii="宋体" w:hAnsi="宋体" w:eastAsia="宋体" w:cs="宋体"/>
          <w:sz w:val="21"/>
          <w:szCs w:val="21"/>
          <w:highlight w:val="none"/>
          <w:lang w:val="en-US" w:eastAsia="zh-CN"/>
        </w:rPr>
        <w:t>按合同约定银行账户转账，甲方货款支付形式：银行电汇支付，乙方须保证对甲方的资金往来账户与本合同所约定账户一致，开票</w:t>
      </w:r>
      <w:r>
        <w:rPr>
          <w:rFonts w:hint="eastAsia" w:ascii="宋体" w:hAnsi="宋体" w:eastAsia="宋体" w:cs="宋体"/>
          <w:sz w:val="21"/>
          <w:szCs w:val="21"/>
          <w:highlight w:val="none"/>
        </w:rPr>
        <w:t>单位名称与合同约定名称一致。</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（六）由于业主方原因造成甲方延迟支付货款，甲方不承担逾期利息。如甲方承担逾期利息时，约定利率为合同订立时1年期贷款市场报价利率。</w:t>
      </w:r>
    </w:p>
    <w:p>
      <w:pPr>
        <w:tabs>
          <w:tab w:val="right" w:pos="8306"/>
        </w:tabs>
        <w:spacing w:line="400" w:lineRule="exact"/>
        <w:ind w:firstLine="422" w:firstLineChars="200"/>
        <w:rPr>
          <w:rFonts w:hint="eastAsia" w:ascii="宋体" w:hAnsi="宋体" w:eastAsia="宋体" w:cs="宋体"/>
          <w:color w:val="C0C0C0"/>
          <w:sz w:val="21"/>
          <w:szCs w:val="21"/>
          <w:highlight w:val="none"/>
          <w:u w:val="single"/>
        </w:rPr>
      </w:pPr>
      <w:r>
        <w:rPr>
          <w:rFonts w:hint="eastAsia" w:ascii="宋体" w:hAnsi="宋体" w:eastAsia="宋体" w:cs="宋体"/>
          <w:b/>
          <w:sz w:val="21"/>
          <w:szCs w:val="21"/>
          <w:highlight w:val="none"/>
        </w:rPr>
        <w:t>五、履约保证金</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(一)本合同履约保证金为</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rPr>
        <w:t>万元。</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eastAsia="宋体" w:cs="宋体"/>
          <w:color w:val="FF0000"/>
          <w:sz w:val="22"/>
          <w:szCs w:val="21"/>
          <w:highlight w:val="none"/>
        </w:rPr>
        <w:t xml:space="preserve"> </w:t>
      </w:r>
      <w:r>
        <w:rPr>
          <w:rFonts w:hint="eastAsia" w:ascii="宋体" w:hAnsi="宋体" w:eastAsia="宋体" w:cs="宋体"/>
          <w:sz w:val="21"/>
          <w:szCs w:val="21"/>
          <w:highlight w:val="none"/>
        </w:rPr>
        <w:t>本合同在乙方提供履约担保后，由双方法定代表人或其委托代理人签署并加盖单位章后生效。履约保证金以现金或保函形式缴纳。</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(三)在合同完成后</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rPr>
        <w:t>工作日内甲方无息退还乙方履约保证金。</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六、违约金</w:t>
      </w:r>
      <w:r>
        <w:rPr>
          <w:rFonts w:hint="eastAsia" w:ascii="宋体" w:hAnsi="宋体" w:eastAsia="宋体" w:cs="宋体"/>
          <w:color w:val="C0C0C0"/>
          <w:sz w:val="21"/>
          <w:szCs w:val="21"/>
          <w:highlight w:val="none"/>
          <w:u w:val="single"/>
        </w:rPr>
        <w:t>（项目根据实际情况自行填写）</w:t>
      </w:r>
    </w:p>
    <w:p>
      <w:pPr>
        <w:spacing w:line="400" w:lineRule="exact"/>
        <w:ind w:firstLine="420" w:firstLineChars="200"/>
        <w:rPr>
          <w:rFonts w:hint="default" w:ascii="宋体" w:hAnsi="宋体" w:eastAsia="宋体"/>
          <w:color w:val="C0C0C0"/>
          <w:sz w:val="21"/>
          <w:szCs w:val="18"/>
          <w:highlight w:val="none"/>
          <w:u w:val="single"/>
          <w:lang w:val="en-US" w:eastAsia="zh-CN"/>
        </w:rPr>
      </w:pPr>
      <w:r>
        <w:rPr>
          <w:rFonts w:hint="eastAsia" w:ascii="宋体" w:hAnsi="宋体"/>
          <w:b w:val="0"/>
          <w:bCs/>
          <w:sz w:val="21"/>
          <w:szCs w:val="18"/>
          <w:highlight w:val="none"/>
          <w:lang w:eastAsia="zh-CN"/>
        </w:rPr>
        <w:t>若出现以下违约情况，（详见通用合同条款），罚违约金为</w:t>
      </w:r>
      <w:r>
        <w:rPr>
          <w:rFonts w:hint="eastAsia" w:ascii="宋体" w:hAnsi="宋体"/>
          <w:b w:val="0"/>
          <w:bCs/>
          <w:sz w:val="21"/>
          <w:szCs w:val="18"/>
          <w:highlight w:val="none"/>
          <w:lang w:val="en-US" w:eastAsia="zh-CN"/>
        </w:rPr>
        <w:t>1000元/天。</w:t>
      </w:r>
    </w:p>
    <w:p>
      <w:pPr>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pPr>
        <w:spacing w:line="400" w:lineRule="exact"/>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七、合同份数：</w:t>
      </w: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份，甲方执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4</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份，乙方执</w:t>
      </w:r>
      <w:r>
        <w:rPr>
          <w:rFonts w:hint="eastAsia" w:ascii="宋体" w:hAnsi="宋体" w:eastAsia="宋体" w:cs="宋体"/>
          <w:sz w:val="21"/>
          <w:szCs w:val="21"/>
          <w:highlight w:val="none"/>
          <w:u w:val="single"/>
        </w:rPr>
        <w:t xml:space="preserve"> 1 </w:t>
      </w:r>
      <w:r>
        <w:rPr>
          <w:rFonts w:hint="eastAsia" w:ascii="宋体" w:hAnsi="宋体" w:eastAsia="宋体" w:cs="宋体"/>
          <w:sz w:val="21"/>
          <w:szCs w:val="21"/>
          <w:highlight w:val="none"/>
        </w:rPr>
        <w:t>份。</w:t>
      </w:r>
    </w:p>
    <w:p>
      <w:pPr>
        <w:pStyle w:val="2"/>
        <w:rPr>
          <w:rFonts w:hint="eastAsia" w:ascii="宋体" w:hAnsi="宋体" w:eastAsia="宋体" w:cs="宋体"/>
          <w:highlight w:val="none"/>
        </w:rPr>
      </w:pP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甲方：（盖章）                               乙方：（盖章） </w:t>
      </w:r>
    </w:p>
    <w:p>
      <w:pPr>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                                   法定代表人 </w:t>
      </w: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或被授权人签字：                             或被授权人签字：</w:t>
      </w:r>
    </w:p>
    <w:p>
      <w:pPr>
        <w:snapToGrid w:val="0"/>
        <w:spacing w:line="400" w:lineRule="exact"/>
        <w:ind w:firstLine="420" w:firstLineChars="200"/>
        <w:rPr>
          <w:rFonts w:hint="eastAsia" w:ascii="宋体" w:hAnsi="宋体" w:eastAsia="宋体" w:cs="宋体"/>
          <w:sz w:val="24"/>
          <w:highlight w:val="none"/>
        </w:rPr>
      </w:pPr>
      <w:r>
        <w:rPr>
          <w:rFonts w:hint="eastAsia" w:ascii="宋体" w:hAnsi="宋体" w:eastAsia="宋体" w:cs="宋体"/>
          <w:sz w:val="21"/>
          <w:szCs w:val="21"/>
          <w:highlight w:val="none"/>
        </w:rPr>
        <w:t>联系电话：                                   联系电话：</w:t>
      </w:r>
    </w:p>
    <w:p>
      <w:pPr>
        <w:spacing w:line="400" w:lineRule="exact"/>
        <w:ind w:firstLine="420" w:firstLineChars="200"/>
        <w:rPr>
          <w:rFonts w:hint="eastAsia" w:ascii="宋体" w:hAnsi="宋体" w:eastAsia="宋体" w:cs="宋体"/>
          <w:color w:val="C0C0C0"/>
          <w:sz w:val="21"/>
          <w:szCs w:val="21"/>
          <w:highlight w:val="none"/>
          <w:u w:val="singl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spacing w:before="249" w:beforeLines="80" w:line="360" w:lineRule="exact"/>
        <w:jc w:val="center"/>
        <w:rPr>
          <w:rFonts w:hint="eastAsia" w:ascii="宋体" w:hAnsi="宋体" w:eastAsia="宋体" w:cs="宋体"/>
          <w:b/>
          <w:sz w:val="30"/>
          <w:szCs w:val="30"/>
          <w:highlight w:val="none"/>
        </w:rPr>
      </w:pPr>
    </w:p>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pPr>
        <w:spacing w:before="249" w:beforeLines="80" w:line="36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第二部分 通用合同条款</w:t>
      </w:r>
      <w:bookmarkStart w:id="74" w:name="A3"/>
      <w:bookmarkEnd w:id="74"/>
    </w:p>
    <w:p>
      <w:pPr>
        <w:tabs>
          <w:tab w:val="left" w:pos="42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1.适用法律法规</w:t>
      </w:r>
    </w:p>
    <w:p>
      <w:pPr>
        <w:tabs>
          <w:tab w:val="left" w:pos="992"/>
        </w:tabs>
        <w:spacing w:line="400" w:lineRule="exact"/>
        <w:ind w:firstLine="420" w:firstLineChars="200"/>
        <w:jc w:val="left"/>
        <w:rPr>
          <w:rFonts w:hint="eastAsia" w:ascii="宋体" w:hAnsi="宋体" w:eastAsia="宋体" w:cs="宋体"/>
          <w:b/>
          <w:sz w:val="21"/>
          <w:szCs w:val="21"/>
          <w:highlight w:val="none"/>
        </w:rPr>
      </w:pPr>
      <w:bookmarkStart w:id="75" w:name="A2"/>
      <w:bookmarkEnd w:id="75"/>
      <w:r>
        <w:rPr>
          <w:rFonts w:hint="eastAsia" w:ascii="宋体" w:hAnsi="宋体" w:eastAsia="宋体" w:cs="宋体"/>
          <w:sz w:val="21"/>
          <w:szCs w:val="21"/>
          <w:highlight w:val="none"/>
        </w:rPr>
        <w:t>1.1适用于本合同的法律包括中华人民共和国正式颁布实施的法律、行政法规、部门规章，以及项目所在地的地方法规、自治条例、单行条例和地方政府规章，包括但不限于</w:t>
      </w:r>
      <w:r>
        <w:rPr>
          <w:rFonts w:hint="eastAsia" w:ascii="宋体" w:hAnsi="宋体" w:eastAsia="宋体" w:cs="宋体"/>
          <w:kern w:val="10"/>
          <w:sz w:val="21"/>
          <w:szCs w:val="21"/>
          <w:highlight w:val="none"/>
        </w:rPr>
        <w:t>《中华人民共和国民法典》《中华人民共和国产品质量法》</w:t>
      </w:r>
      <w:r>
        <w:rPr>
          <w:rFonts w:hint="eastAsia" w:ascii="宋体" w:hAnsi="宋体" w:eastAsia="宋体" w:cs="宋体"/>
          <w:sz w:val="21"/>
          <w:highlight w:val="none"/>
        </w:rPr>
        <w:t>等。</w:t>
      </w:r>
    </w:p>
    <w:p>
      <w:pPr>
        <w:tabs>
          <w:tab w:val="left" w:pos="425"/>
          <w:tab w:val="left" w:pos="992"/>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1.2如在合同有效期内，颁布新的法律法规或修订了原有法律法规，则后继的法律法规将自动适用于本合同。</w:t>
      </w:r>
    </w:p>
    <w:p>
      <w:pPr>
        <w:tabs>
          <w:tab w:val="left" w:pos="42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2.合同文件组成及解释顺序</w:t>
      </w:r>
    </w:p>
    <w:p>
      <w:pPr>
        <w:tabs>
          <w:tab w:val="left" w:pos="425"/>
          <w:tab w:val="left" w:pos="992"/>
        </w:tabs>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2.1除专用合同条款另有约定外，组成本合同的文件及优先解释顺序如下：</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2.1.1补充协议文件；</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2.1.2本合同；</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2.1.3标准、规范及有关技术标准和要求；</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2.1.4招标文件及补遗文件；</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2.1.5投标文件；</w:t>
      </w:r>
    </w:p>
    <w:p>
      <w:pPr>
        <w:spacing w:line="400" w:lineRule="exact"/>
        <w:ind w:left="48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2.1.6与本合同有关的其他文件。</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3.物资质量要求及技术标准</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3.1产品必须满足中华人民共和国国家、地方及行业最新颁布的相关标准及技术规范，如果规范、标准、要求适用于同一种情况，则以标准高者为准。</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3.2乙方对质量负责的条件和期限：如甲方在进行质量检验过程中，发现不符合标准要求的物资，乙方必须在</w:t>
      </w:r>
      <w:r>
        <w:rPr>
          <w:rFonts w:hint="eastAsia" w:ascii="宋体" w:hAnsi="宋体" w:eastAsia="宋体" w:cs="宋体"/>
          <w:color w:val="000000"/>
          <w:sz w:val="21"/>
          <w:szCs w:val="21"/>
          <w:highlight w:val="none"/>
        </w:rPr>
        <w:t>48小时内</w:t>
      </w:r>
      <w:r>
        <w:rPr>
          <w:rFonts w:hint="eastAsia" w:ascii="宋体" w:hAnsi="宋体" w:eastAsia="宋体" w:cs="宋体"/>
          <w:sz w:val="21"/>
          <w:szCs w:val="21"/>
          <w:highlight w:val="none"/>
        </w:rPr>
        <w:t>将不合格物资无条件清理出场并予以退换，由此造成的一切损失由乙方负担。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w:t>
      </w:r>
      <w:r>
        <w:rPr>
          <w:rFonts w:hint="eastAsia" w:ascii="宋体" w:hAnsi="宋体" w:eastAsia="宋体" w:cs="宋体"/>
          <w:color w:val="000000"/>
          <w:sz w:val="21"/>
          <w:szCs w:val="21"/>
          <w:highlight w:val="none"/>
        </w:rPr>
        <w:t>具体物资质量要求及技术标准见专用条款。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4.物资计量验收方式</w:t>
      </w:r>
    </w:p>
    <w:p>
      <w:pPr>
        <w:spacing w:line="4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4.1物资验收地点在甲方指定位置。物资交货时，乙方必须提</w:t>
      </w:r>
      <w:r>
        <w:rPr>
          <w:rFonts w:hint="eastAsia" w:ascii="宋体" w:hAnsi="宋体" w:eastAsia="宋体" w:cs="宋体"/>
          <w:bCs/>
          <w:color w:val="000000"/>
          <w:sz w:val="21"/>
          <w:szCs w:val="21"/>
          <w:highlight w:val="none"/>
        </w:rPr>
        <w:t>供质量证明书、出厂检验报告.材质单等甲方为完成计量、竣工资料等所需要的所有资料，并及时交送到甲方指定负责人处，乙方提供资料均需在有效期内。</w:t>
      </w:r>
    </w:p>
    <w:p>
      <w:pPr>
        <w:spacing w:line="400" w:lineRule="exact"/>
        <w:ind w:firstLine="420" w:firstLineChars="200"/>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4.2甲方组织验收时乙方不到场，又不及时通知甲方，甲方将自行组织进场验收，并视为乙方认同验收结果。</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4.3若物资进场经双倍取样试件不合格，发生相关的试验费用由乙方承担。</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4.4乙方执行合同所承担的任何责任不因甲方进行了物资进场验收而解除或减弱。</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4.5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4.6具体的物资计量验收方式见专用条款。</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4.7乙方对验收数量有异议时，可要求甲乙双方共同到有相关资质的第三方处复验，相关费用由过错方承担。最终结算数量以甲方物资供应计划约定范围内且实际收到的合格产品数量为准。</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5.包装、运输、卸货</w:t>
      </w:r>
    </w:p>
    <w:p>
      <w:p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5.1物资的装车、运输、车辆返回全过程出现的安全事故或其它任何意外均由乙方承担责任。装车和运输途中的物资品质发生变化或丢失由乙方负责，由此造成的损失由乙方承担。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5.2乙方应对运输人员进行安全管理和安全教育，运输人员遵守交通法规。若运输过程中发生安全事故，责任全部由乙方承担，与甲方无任何关系。</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5.3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5.4乙方不得利用遥控等科技手段控制磅秤增加物资重量，不得进行任何形式的弄虚作假行为。一经发现，甲方将按发现作弊或弄虚作假数量占本批次运输物资百分比扣除发现作弊日前物资进场总数量对应的货款，并</w:t>
      </w:r>
      <w:r>
        <w:rPr>
          <w:rFonts w:hint="eastAsia" w:ascii="宋体" w:hAnsi="宋体" w:eastAsia="宋体" w:cs="宋体"/>
          <w:color w:val="000000"/>
          <w:sz w:val="21"/>
          <w:szCs w:val="21"/>
          <w:highlight w:val="none"/>
        </w:rPr>
        <w:t>交由</w:t>
      </w:r>
      <w:r>
        <w:rPr>
          <w:rFonts w:hint="eastAsia" w:ascii="宋体" w:hAnsi="宋体" w:eastAsia="宋体" w:cs="宋体"/>
          <w:sz w:val="21"/>
          <w:szCs w:val="21"/>
          <w:highlight w:val="none"/>
        </w:rPr>
        <w:t>公安机关处理。</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5.5甲方物资管理人员要为物资进场提供必要的便利，及时验收质量与数量，不得无故拖延时间、扣减物资数量。</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5.6乙方不得因双方分歧寻衅滋事，否则，甲方有权随时终止合同。</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highlight w:val="none"/>
        </w:rPr>
        <w:t>5.7乙方必须配合甲方的</w:t>
      </w:r>
      <w:r>
        <w:rPr>
          <w:rFonts w:hint="eastAsia" w:ascii="宋体" w:hAnsi="宋体" w:eastAsia="宋体" w:cs="宋体"/>
          <w:color w:val="000000"/>
          <w:sz w:val="21"/>
          <w:szCs w:val="21"/>
          <w:highlight w:val="none"/>
        </w:rPr>
        <w:t>物资供应计划</w:t>
      </w:r>
      <w:r>
        <w:rPr>
          <w:rFonts w:hint="eastAsia" w:ascii="宋体" w:hAnsi="宋体" w:eastAsia="宋体" w:cs="宋体"/>
          <w:sz w:val="21"/>
          <w:highlight w:val="none"/>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6．环境﹑安全保护原则</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szCs w:val="21"/>
          <w:highlight w:val="none"/>
        </w:rPr>
        <w:t>6.1</w:t>
      </w:r>
      <w:r>
        <w:rPr>
          <w:rFonts w:hint="eastAsia" w:ascii="宋体" w:hAnsi="宋体" w:eastAsia="宋体" w:cs="宋体"/>
          <w:sz w:val="21"/>
          <w:highlight w:val="none"/>
        </w:rPr>
        <w:t>乙方必须遵守环境﹑安全保护的法律法规。</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highlight w:val="none"/>
        </w:rPr>
        <w:t>6.2乙方所供物资，在保证质量的同时，还应确保材质符合环境﹑安全保护要求。</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highlight w:val="none"/>
        </w:rPr>
        <w:t>6.3乙方供货时，物资的包装必须满足环境﹑安全管理要求，并在外包装商做标志，以便于物资的验证和保管。</w:t>
      </w:r>
    </w:p>
    <w:p>
      <w:pPr>
        <w:tabs>
          <w:tab w:val="left" w:pos="765"/>
        </w:tabs>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sz w:val="21"/>
          <w:highlight w:val="none"/>
        </w:rPr>
        <w:t>6.4在物资运输过程中，粉尘﹑噪声及尾气排放必须满足国家及地方的有关规定</w:t>
      </w:r>
      <w:r>
        <w:rPr>
          <w:rFonts w:hint="eastAsia" w:ascii="宋体" w:hAnsi="宋体" w:eastAsia="宋体" w:cs="宋体"/>
          <w:sz w:val="21"/>
          <w:szCs w:val="21"/>
          <w:highlight w:val="none"/>
        </w:rPr>
        <w:t>采取必要措施防止运输中发生有害物质泄漏，对周边环境造成污染</w:t>
      </w:r>
      <w:r>
        <w:rPr>
          <w:rFonts w:hint="eastAsia" w:ascii="宋体" w:hAnsi="宋体" w:eastAsia="宋体" w:cs="宋体"/>
          <w:sz w:val="21"/>
          <w:highlight w:val="none"/>
        </w:rPr>
        <w:t>。如有违反行为发生，按国家有关规定进行处理，责任由乙方承担。</w:t>
      </w:r>
    </w:p>
    <w:p>
      <w:pPr>
        <w:spacing w:line="400" w:lineRule="exact"/>
        <w:ind w:firstLine="480"/>
        <w:rPr>
          <w:rFonts w:hint="eastAsia" w:ascii="宋体" w:hAnsi="宋体" w:eastAsia="宋体" w:cs="宋体"/>
          <w:sz w:val="21"/>
          <w:highlight w:val="none"/>
        </w:rPr>
      </w:pPr>
      <w:r>
        <w:rPr>
          <w:rFonts w:hint="eastAsia" w:ascii="宋体" w:hAnsi="宋体" w:eastAsia="宋体" w:cs="宋体"/>
          <w:sz w:val="21"/>
          <w:highlight w:val="none"/>
        </w:rPr>
        <w:t>6.5乙方进入施工现场的人员</w:t>
      </w:r>
      <w:r>
        <w:rPr>
          <w:rFonts w:hint="eastAsia" w:ascii="宋体" w:hAnsi="宋体" w:eastAsia="宋体" w:cs="宋体"/>
          <w:sz w:val="21"/>
          <w:szCs w:val="21"/>
          <w:highlight w:val="none"/>
        </w:rPr>
        <w:t>车辆必须听从甲方现场人员的统一指挥和安排、</w:t>
      </w:r>
      <w:r>
        <w:rPr>
          <w:rFonts w:hint="eastAsia" w:ascii="宋体" w:hAnsi="宋体" w:eastAsia="宋体" w:cs="宋体"/>
          <w:sz w:val="21"/>
          <w:highlight w:val="none"/>
        </w:rPr>
        <w:t>必须按甲方要求穿戴个人防护物品，做好个人防护。</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6.6当乙方违反上述条款3次以下1次以上时（含1次），甲方将向乙方提出警告；3次以上（含3次），甲方将有权终止正在执行的合同，一切后果由乙方承担。</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7.甲方的责任和义务</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7.1</w:t>
      </w:r>
      <w:r>
        <w:rPr>
          <w:rFonts w:hint="eastAsia" w:ascii="宋体" w:hAnsi="宋体" w:eastAsia="宋体" w:cs="宋体"/>
          <w:color w:val="000000"/>
          <w:sz w:val="21"/>
          <w:szCs w:val="21"/>
          <w:highlight w:val="none"/>
        </w:rPr>
        <w:t>提供物资供应计划</w:t>
      </w:r>
      <w:r>
        <w:rPr>
          <w:rFonts w:hint="eastAsia" w:ascii="宋体" w:hAnsi="宋体" w:eastAsia="宋体" w:cs="宋体"/>
          <w:sz w:val="21"/>
          <w:szCs w:val="21"/>
          <w:highlight w:val="none"/>
        </w:rPr>
        <w:t>。</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7.2对乙方运抵的物资及时验收并为乙方卸货提供必要的方便。</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7.3及时组织物资质量检测，检测合格，及时签收确认；检测不合格，甲方有权拒收,由此产生的费用全部由乙方承担。</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7.4按约定支付乙方货款。</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8.乙方的责任和义务</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8.1将物资送至规定地点，</w:t>
      </w:r>
      <w:r>
        <w:rPr>
          <w:rFonts w:hint="eastAsia" w:ascii="宋体" w:hAnsi="宋体" w:eastAsia="宋体" w:cs="宋体"/>
          <w:sz w:val="21"/>
          <w:szCs w:val="21"/>
          <w:highlight w:val="none"/>
        </w:rPr>
        <w:t>配合卸货并码放整齐，保证堆放安全，否则甲方有权不予验收，由此给甲方造成的损失由乙方承担。</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8.2发货前应及时通知甲方，以便甲方做好接货准备。乙方不得因甲方要求延期交货而向甲方提出索赔。</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8.3向甲方提供必要的报检证明和结算证明（账户、开户行相关证件复印件及验收单等）。</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8.4供应的物资必须符合中华人民共和国国家、地方及行业最新颁布的相关标准及技术规范和甲方施工要求。</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8.5保证物资在运输过程中不受污染，做好物资运输过程中的防雨、防潮工作。</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8.6承担在供货过程中发生的交通事故、人身伤害、通讯或电力线路损害、污染物泄漏等突发事件造成的损失、罚款及其他一切责任。</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8.7遵守甲方有关的规章制度，并负责己方人员及运输设备的安全。</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8.8物资供应必须及时并保证满足甲方施工生产需要，如因乙方问题造成甲方停工待料，除不可抗力外，全部损失由乙方承担。</w:t>
      </w:r>
    </w:p>
    <w:p>
      <w:pPr>
        <w:tabs>
          <w:tab w:val="left" w:pos="810"/>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8.9必须按甲方提供的</w:t>
      </w:r>
      <w:r>
        <w:rPr>
          <w:rFonts w:hint="eastAsia" w:ascii="宋体" w:hAnsi="宋体" w:eastAsia="宋体" w:cs="宋体"/>
          <w:color w:val="000000"/>
          <w:sz w:val="21"/>
          <w:szCs w:val="21"/>
          <w:highlight w:val="none"/>
        </w:rPr>
        <w:t>物资供应计划</w:t>
      </w:r>
      <w:r>
        <w:rPr>
          <w:rFonts w:hint="eastAsia" w:ascii="宋体" w:hAnsi="宋体" w:eastAsia="宋体" w:cs="宋体"/>
          <w:sz w:val="21"/>
          <w:szCs w:val="21"/>
          <w:highlight w:val="none"/>
        </w:rPr>
        <w:t>的数量、时间供货，不得擅自改变计划内容。乙方对超出供货需求量供应的物资承担相应费用和责任，包括但不限于物资进场、退场的运输、装车、保管等。</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8.10应精心组织物资加工，参照甲方</w:t>
      </w:r>
      <w:r>
        <w:rPr>
          <w:rFonts w:hint="eastAsia" w:ascii="宋体" w:hAnsi="宋体" w:eastAsia="宋体" w:cs="宋体"/>
          <w:color w:val="000000"/>
          <w:sz w:val="21"/>
          <w:szCs w:val="21"/>
          <w:highlight w:val="none"/>
        </w:rPr>
        <w:t>物资供应计划</w:t>
      </w:r>
      <w:r>
        <w:rPr>
          <w:rFonts w:hint="eastAsia" w:ascii="宋体" w:hAnsi="宋体" w:eastAsia="宋体" w:cs="宋体"/>
          <w:sz w:val="21"/>
          <w:szCs w:val="21"/>
          <w:highlight w:val="none"/>
        </w:rPr>
        <w:t>，做好物资的储备工作，合理安排运输力量。如乙方不能按期完成甲方计划，应提前</w:t>
      </w:r>
      <w:r>
        <w:rPr>
          <w:rFonts w:hint="eastAsia" w:ascii="宋体" w:hAnsi="宋体" w:eastAsia="宋体" w:cs="宋体"/>
          <w:color w:val="000000"/>
          <w:sz w:val="21"/>
          <w:szCs w:val="21"/>
          <w:highlight w:val="none"/>
        </w:rPr>
        <w:t>5</w:t>
      </w:r>
      <w:r>
        <w:rPr>
          <w:rFonts w:hint="eastAsia" w:ascii="宋体" w:hAnsi="宋体" w:eastAsia="宋体" w:cs="宋体"/>
          <w:sz w:val="21"/>
          <w:szCs w:val="21"/>
          <w:highlight w:val="none"/>
        </w:rPr>
        <w:t>日历天向甲方说明，甲方将另行组织货源。如由于乙方原因影响甲方工程进度，甲方将扣除乙方相应货款作为违约金。</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8.11必须无条件满足合同内物资的供应，不得以生产商设备检修停产、未安排生产计划等为由在合同约定供货期内停止供货。</w:t>
      </w: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8.12乙方需正确填写发票，</w:t>
      </w:r>
      <w:r>
        <w:rPr>
          <w:rFonts w:hint="eastAsia" w:ascii="宋体" w:hAnsi="宋体" w:eastAsia="宋体" w:cs="宋体"/>
          <w:color w:val="000000"/>
          <w:sz w:val="21"/>
          <w:szCs w:val="21"/>
          <w:highlight w:val="none"/>
        </w:rPr>
        <w:t>因乙方发票填写错误，造成甲方损失的，由乙方进行全额赔偿，并支付“问题发票”等额的违约金给甲方。</w:t>
      </w:r>
      <w:r>
        <w:rPr>
          <w:rFonts w:hint="eastAsia" w:ascii="宋体" w:hAnsi="宋体" w:eastAsia="宋体" w:cs="宋体"/>
          <w:sz w:val="21"/>
          <w:szCs w:val="21"/>
          <w:highlight w:val="none"/>
        </w:rPr>
        <w:t>乙方在申请本合同下的货款和开据发票过程中发生的各种费用由</w:t>
      </w:r>
      <w:r>
        <w:rPr>
          <w:rFonts w:hint="eastAsia" w:ascii="宋体" w:hAnsi="宋体" w:eastAsia="宋体" w:cs="宋体"/>
          <w:color w:val="000000"/>
          <w:sz w:val="21"/>
          <w:szCs w:val="21"/>
          <w:highlight w:val="none"/>
        </w:rPr>
        <w:t>己</w:t>
      </w:r>
      <w:r>
        <w:rPr>
          <w:rFonts w:hint="eastAsia" w:ascii="宋体" w:hAnsi="宋体" w:eastAsia="宋体" w:cs="宋体"/>
          <w:sz w:val="21"/>
          <w:szCs w:val="21"/>
          <w:highlight w:val="none"/>
        </w:rPr>
        <w:t>方承担。</w:t>
      </w:r>
    </w:p>
    <w:p>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9.违约责任</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9.1以下情况乙方向甲方支付违约金，具体违约金金额在第一部分合同协议书中进行约定。此违约金在应付货款中直接扣除，情况严重时甲方有权单方终止合同。</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9.1.1乙方未按甲方物资供应计划要求供应本合同约定物资</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9.1.2乙方所供应物资检测不合格，且</w:t>
      </w:r>
      <w:r>
        <w:rPr>
          <w:rFonts w:hint="eastAsia" w:ascii="宋体" w:hAnsi="宋体" w:eastAsia="宋体" w:cs="宋体"/>
          <w:color w:val="000000"/>
          <w:sz w:val="21"/>
          <w:szCs w:val="21"/>
          <w:highlight w:val="none"/>
        </w:rPr>
        <w:t>48小时</w:t>
      </w:r>
      <w:r>
        <w:rPr>
          <w:rFonts w:hint="eastAsia" w:ascii="宋体" w:hAnsi="宋体" w:eastAsia="宋体" w:cs="宋体"/>
          <w:bCs/>
          <w:color w:val="000000"/>
          <w:kern w:val="0"/>
          <w:sz w:val="21"/>
          <w:szCs w:val="21"/>
          <w:highlight w:val="none"/>
        </w:rPr>
        <w:t>内未予处理的。</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9.2由于乙方原因造成甲方人员人身伤害，乙方应立即采取补救措施，并全额赔偿甲方相关人员损失。</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9.3如果由于物资质量问题，引起工程事故，导致甲方人员或财产损失的，乙方应承担相应的法律责任和经济责任，因此所导致的一切损失由乙方承担，该责任不因合同的终止而减小或解除。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9.4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20" w:firstLineChars="200"/>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9.5乙方收到甲方的索赔通知后10日历天内不作出书面答复，视为乙方同意甲方提出的一切索赔要求。</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9.6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9.7如发生以下任何一种情况履约保证金不予退还：</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9.7.1无法正常供货的情况，包括任何原因的不供货或连续5日历天未能按甲方要求的数量供货。</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9.7.2供应的物资不符合国家、甲方、业主和监理相关标准和要求，且在规定时间内不予调换、处理的情况。</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9.7.3不服从甲方管理的。</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9.7.4因乙方原因给甲方造成损失的。</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10.通知</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10.1根据本合同需要发出的双方的往来文件及与本合同有关的通知和要求等，可以选择通过传真、电子邮件、邮寄、当面送交等方式传递。以上方式无法送达的，方可采取公告送达的方式。</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10.2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11.争议的处理</w:t>
      </w:r>
    </w:p>
    <w:p>
      <w:pPr>
        <w:spacing w:line="400" w:lineRule="exact"/>
        <w:ind w:firstLine="420" w:firstLineChars="200"/>
        <w:jc w:val="left"/>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rPr>
        <w:t>本合同发生的有关争议应通过友好协商解决，经协商未能达成协议时，双方约定向甲方住所地有管辖权的人民法院提起诉讼。</w:t>
      </w:r>
      <w:r>
        <w:rPr>
          <w:rFonts w:hint="eastAsia" w:ascii="宋体" w:hAnsi="宋体" w:eastAsia="宋体" w:cs="宋体"/>
          <w:color w:val="C0C0C0"/>
          <w:sz w:val="21"/>
          <w:szCs w:val="21"/>
          <w:highlight w:val="none"/>
          <w:u w:val="single"/>
        </w:rPr>
        <w:t>（集团公司名义签署）</w:t>
      </w:r>
    </w:p>
    <w:p>
      <w:pPr>
        <w:tabs>
          <w:tab w:val="left" w:pos="810"/>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12.不可抗力 </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13.其他约定事项</w:t>
      </w:r>
    </w:p>
    <w:p>
      <w:pPr>
        <w:widowControl/>
        <w:spacing w:line="3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13.1本合同未尽事宜，双方另行协商并签订补充协议。</w:t>
      </w:r>
      <w:r>
        <w:rPr>
          <w:rFonts w:hint="eastAsia" w:ascii="宋体" w:hAnsi="宋体" w:eastAsia="宋体" w:cs="宋体"/>
          <w:color w:val="000000"/>
          <w:sz w:val="21"/>
          <w:szCs w:val="21"/>
          <w:highlight w:val="none"/>
        </w:rPr>
        <w:t>当乙方所供物资超出原合同价款的10%时，甲乙双方必须签订补充协议。</w:t>
      </w:r>
      <w:r>
        <w:rPr>
          <w:rFonts w:hint="eastAsia" w:ascii="宋体" w:hAnsi="宋体" w:eastAsia="宋体" w:cs="宋体"/>
          <w:sz w:val="21"/>
          <w:szCs w:val="21"/>
          <w:highlight w:val="none"/>
        </w:rPr>
        <w:t>补充协议作为本合同附件，与本合同具有同等法律效力。</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13.2因工程建设单位、监理单位及相关部门出台的相关规定文件、市场准入制度造成合同不能执行，甲方不承担任何责任。</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13.3</w:t>
      </w:r>
      <w:r>
        <w:rPr>
          <w:rFonts w:hint="eastAsia" w:ascii="宋体" w:hAnsi="宋体" w:eastAsia="宋体" w:cs="宋体"/>
          <w:color w:val="000000"/>
          <w:sz w:val="21"/>
          <w:szCs w:val="21"/>
          <w:highlight w:val="none"/>
        </w:rPr>
        <w:t>本合同自双方签字盖章之日起生效。</w:t>
      </w:r>
    </w:p>
    <w:p>
      <w:pPr>
        <w:spacing w:line="360" w:lineRule="exact"/>
        <w:ind w:firstLine="411" w:firstLineChars="195"/>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14.附件</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附件：分供廉政合同</w:t>
      </w:r>
    </w:p>
    <w:p>
      <w:pPr>
        <w:spacing w:line="400" w:lineRule="exact"/>
        <w:ind w:firstLine="420" w:firstLineChars="200"/>
        <w:rPr>
          <w:rFonts w:hint="eastAsia" w:ascii="宋体" w:hAnsi="宋体" w:eastAsia="宋体" w:cs="宋体"/>
          <w:color w:val="000000"/>
          <w:sz w:val="21"/>
          <w:szCs w:val="21"/>
          <w:highlight w:val="none"/>
        </w:rPr>
      </w:pPr>
    </w:p>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pPr>
        <w:spacing w:line="36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第三部分 专用合同条款</w:t>
      </w:r>
    </w:p>
    <w:p>
      <w:pPr>
        <w:tabs>
          <w:tab w:val="left" w:pos="425"/>
        </w:tabs>
        <w:spacing w:line="400" w:lineRule="exact"/>
        <w:ind w:left="42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1.适用法律法规</w:t>
      </w:r>
    </w:p>
    <w:p>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需要明示其他的法律、行政法规：</w:t>
      </w:r>
      <w:r>
        <w:rPr>
          <w:rFonts w:hint="eastAsia" w:ascii="宋体" w:hAnsi="宋体" w:eastAsia="宋体" w:cs="宋体"/>
          <w:color w:val="C0C0C0"/>
          <w:sz w:val="21"/>
          <w:szCs w:val="21"/>
          <w:highlight w:val="none"/>
          <w:u w:val="single"/>
        </w:rPr>
        <w:t xml:space="preserve">                             </w:t>
      </w:r>
    </w:p>
    <w:p>
      <w:pPr>
        <w:tabs>
          <w:tab w:val="left" w:pos="425"/>
        </w:tabs>
        <w:spacing w:line="400" w:lineRule="exact"/>
        <w:ind w:left="480" w:left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2.合同文件组成及解释顺序</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3.质量要求及技术标准</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3.1</w:t>
      </w: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3.2物资质量要求及技术标准。</w:t>
      </w:r>
    </w:p>
    <w:p>
      <w:pPr>
        <w:spacing w:line="400" w:lineRule="exact"/>
        <w:ind w:firstLine="420" w:firstLineChars="200"/>
        <w:rPr>
          <w:rFonts w:hint="eastAsia" w:cs="宋体"/>
          <w:sz w:val="21"/>
          <w:szCs w:val="21"/>
          <w:highlight w:val="none"/>
          <w:lang w:val="en-US" w:eastAsia="zh-CN"/>
        </w:rPr>
      </w:pPr>
      <w:r>
        <w:rPr>
          <w:rFonts w:hint="eastAsia" w:cs="宋体"/>
          <w:sz w:val="21"/>
          <w:szCs w:val="21"/>
          <w:highlight w:val="none"/>
          <w:lang w:val="en-US" w:eastAsia="zh-CN"/>
        </w:rPr>
        <w:t>交安物资：必须满足以下标准及要求，且满足中华人民共和国国家、地方及行业最新颁布的相关标准及技术规范，如果规范、标准、要求适用于同一种情况，则以标准高者为准：</w:t>
      </w:r>
    </w:p>
    <w:p>
      <w:pPr>
        <w:spacing w:line="400" w:lineRule="exact"/>
        <w:ind w:firstLine="420" w:firstLineChars="200"/>
        <w:rPr>
          <w:rFonts w:hint="eastAsia" w:cs="宋体"/>
          <w:sz w:val="21"/>
          <w:szCs w:val="21"/>
          <w:highlight w:val="none"/>
          <w:lang w:val="en-US" w:eastAsia="zh-CN"/>
        </w:rPr>
      </w:pPr>
      <w:r>
        <w:rPr>
          <w:rFonts w:hint="eastAsia" w:cs="宋体"/>
          <w:sz w:val="21"/>
          <w:szCs w:val="21"/>
          <w:highlight w:val="none"/>
          <w:lang w:val="en-US" w:eastAsia="zh-CN"/>
        </w:rPr>
        <w:t>《道路交通标准和标线》（GB5768-2016）；</w:t>
      </w:r>
    </w:p>
    <w:p>
      <w:pPr>
        <w:spacing w:line="400" w:lineRule="exact"/>
        <w:ind w:firstLine="420" w:firstLineChars="200"/>
        <w:rPr>
          <w:rFonts w:hint="eastAsia" w:cs="宋体"/>
          <w:sz w:val="21"/>
          <w:szCs w:val="21"/>
          <w:highlight w:val="none"/>
          <w:lang w:val="en-US" w:eastAsia="zh-CN"/>
        </w:rPr>
      </w:pPr>
      <w:r>
        <w:rPr>
          <w:rFonts w:hint="eastAsia" w:cs="宋体"/>
          <w:sz w:val="21"/>
          <w:szCs w:val="21"/>
          <w:highlight w:val="none"/>
          <w:lang w:val="en-US" w:eastAsia="zh-CN"/>
        </w:rPr>
        <w:t>《道路交通反光膜》（GB/T 18833-2012）；</w:t>
      </w:r>
    </w:p>
    <w:p>
      <w:pPr>
        <w:spacing w:line="400" w:lineRule="exact"/>
        <w:ind w:firstLine="420" w:firstLineChars="200"/>
        <w:rPr>
          <w:rFonts w:hint="eastAsia" w:cs="宋体"/>
          <w:sz w:val="21"/>
          <w:szCs w:val="21"/>
          <w:highlight w:val="none"/>
          <w:lang w:val="en-US" w:eastAsia="zh-CN"/>
        </w:rPr>
      </w:pPr>
      <w:r>
        <w:rPr>
          <w:rFonts w:hint="eastAsia" w:cs="宋体"/>
          <w:sz w:val="21"/>
          <w:szCs w:val="21"/>
          <w:highlight w:val="none"/>
          <w:lang w:val="en-US" w:eastAsia="zh-CN"/>
        </w:rPr>
        <w:fldChar w:fldCharType="begin"/>
      </w:r>
      <w:r>
        <w:rPr>
          <w:rFonts w:hint="eastAsia" w:cs="宋体"/>
          <w:sz w:val="21"/>
          <w:szCs w:val="21"/>
          <w:highlight w:val="none"/>
          <w:lang w:val="en-US" w:eastAsia="zh-CN"/>
        </w:rPr>
        <w:instrText xml:space="preserve"> HYPERLINK "https://www.baidu.com/s?wd=%E3%80%8A%E9%81%93%E8%B7%AF%E4%BA%A4%E9%80%9A%E6%A0%87%E5%BF%97%E6%9D%BF%E5%8F%8A%E6%94%AF%E6%92%91%E4%BB%B6%E3%80%8B&amp;tn=SE_PcZhidaonwhc_ngpagmjz&amp;rsv_dl=gh_pc_zhidao" \t "_blank" </w:instrText>
      </w:r>
      <w:r>
        <w:rPr>
          <w:rFonts w:hint="eastAsia" w:cs="宋体"/>
          <w:sz w:val="21"/>
          <w:szCs w:val="21"/>
          <w:highlight w:val="none"/>
          <w:lang w:val="en-US" w:eastAsia="zh-CN"/>
        </w:rPr>
        <w:fldChar w:fldCharType="separate"/>
      </w:r>
      <w:r>
        <w:rPr>
          <w:rFonts w:hint="eastAsia" w:cs="宋体"/>
          <w:sz w:val="21"/>
          <w:szCs w:val="21"/>
          <w:highlight w:val="none"/>
          <w:lang w:val="en-US" w:eastAsia="zh-CN"/>
        </w:rPr>
        <w:t>《道路交通标志板及支撑件》</w:t>
      </w:r>
      <w:r>
        <w:rPr>
          <w:rFonts w:hint="eastAsia" w:cs="宋体"/>
          <w:sz w:val="21"/>
          <w:szCs w:val="21"/>
          <w:highlight w:val="none"/>
          <w:lang w:val="en-US" w:eastAsia="zh-CN"/>
        </w:rPr>
        <w:fldChar w:fldCharType="end"/>
      </w:r>
      <w:r>
        <w:rPr>
          <w:rFonts w:hint="eastAsia" w:cs="宋体"/>
          <w:sz w:val="21"/>
          <w:szCs w:val="21"/>
          <w:highlight w:val="none"/>
          <w:lang w:val="en-US" w:eastAsia="zh-CN"/>
        </w:rPr>
        <w:t>（</w:t>
      </w:r>
      <w:r>
        <w:rPr>
          <w:rFonts w:hint="eastAsia" w:cs="宋体"/>
          <w:sz w:val="21"/>
          <w:szCs w:val="21"/>
          <w:highlight w:val="none"/>
          <w:lang w:val="en-US" w:eastAsia="zh-CN"/>
        </w:rPr>
        <w:fldChar w:fldCharType="begin"/>
      </w:r>
      <w:r>
        <w:rPr>
          <w:rFonts w:hint="eastAsia" w:cs="宋体"/>
          <w:sz w:val="21"/>
          <w:szCs w:val="21"/>
          <w:highlight w:val="none"/>
          <w:lang w:val="en-US" w:eastAsia="zh-CN"/>
        </w:rPr>
        <w:instrText xml:space="preserve"> HYPERLINK "https://www.baidu.com/s?wd=GB%2FT&amp;tn=SE_PcZhidaonwhc_ngpagmjz&amp;rsv_dl=gh_pc_zhidao" \t "_blank" </w:instrText>
      </w:r>
      <w:r>
        <w:rPr>
          <w:rFonts w:hint="eastAsia" w:cs="宋体"/>
          <w:sz w:val="21"/>
          <w:szCs w:val="21"/>
          <w:highlight w:val="none"/>
          <w:lang w:val="en-US" w:eastAsia="zh-CN"/>
        </w:rPr>
        <w:fldChar w:fldCharType="separate"/>
      </w:r>
      <w:r>
        <w:rPr>
          <w:rFonts w:hint="eastAsia" w:cs="宋体"/>
          <w:sz w:val="21"/>
          <w:szCs w:val="21"/>
          <w:highlight w:val="none"/>
          <w:lang w:val="en-US" w:eastAsia="zh-CN"/>
        </w:rPr>
        <w:t>GB/T</w:t>
      </w:r>
      <w:r>
        <w:rPr>
          <w:rFonts w:hint="eastAsia" w:cs="宋体"/>
          <w:sz w:val="21"/>
          <w:szCs w:val="21"/>
          <w:highlight w:val="none"/>
          <w:lang w:val="en-US" w:eastAsia="zh-CN"/>
        </w:rPr>
        <w:fldChar w:fldCharType="end"/>
      </w:r>
      <w:r>
        <w:rPr>
          <w:rFonts w:hint="eastAsia" w:cs="宋体"/>
          <w:sz w:val="21"/>
          <w:szCs w:val="21"/>
          <w:highlight w:val="none"/>
          <w:lang w:val="en-US" w:eastAsia="zh-CN"/>
        </w:rPr>
        <w:t xml:space="preserve"> 23827-2009）；</w:t>
      </w:r>
    </w:p>
    <w:p>
      <w:pPr>
        <w:spacing w:line="400" w:lineRule="exact"/>
        <w:ind w:firstLine="420" w:firstLineChars="200"/>
        <w:rPr>
          <w:rFonts w:hint="eastAsia" w:cs="宋体"/>
          <w:sz w:val="21"/>
          <w:szCs w:val="21"/>
          <w:highlight w:val="none"/>
          <w:lang w:val="en-US" w:eastAsia="zh-CN"/>
        </w:rPr>
      </w:pPr>
      <w:r>
        <w:rPr>
          <w:rFonts w:hint="eastAsia" w:cs="宋体"/>
          <w:sz w:val="21"/>
          <w:szCs w:val="21"/>
          <w:highlight w:val="none"/>
          <w:lang w:val="en-US" w:eastAsia="zh-CN"/>
        </w:rPr>
        <w:t>《公路交通标志和标线设置规范》（JTG D82-2009）；</w:t>
      </w:r>
    </w:p>
    <w:p>
      <w:pPr>
        <w:spacing w:line="400" w:lineRule="exact"/>
        <w:ind w:firstLine="420" w:firstLineChars="200"/>
        <w:rPr>
          <w:rFonts w:hint="eastAsia" w:cs="宋体"/>
          <w:sz w:val="21"/>
          <w:szCs w:val="21"/>
          <w:highlight w:val="none"/>
          <w:lang w:val="en-US" w:eastAsia="zh-CN"/>
        </w:rPr>
      </w:pPr>
      <w:r>
        <w:rPr>
          <w:rFonts w:hint="eastAsia" w:cs="宋体"/>
          <w:sz w:val="21"/>
          <w:szCs w:val="21"/>
          <w:highlight w:val="none"/>
          <w:lang w:val="en-US" w:eastAsia="zh-CN"/>
        </w:rPr>
        <w:t>《锥形交通路标》（JT/T595—2004）；</w:t>
      </w:r>
    </w:p>
    <w:p>
      <w:pPr>
        <w:spacing w:line="400" w:lineRule="exact"/>
        <w:ind w:firstLine="420" w:firstLineChars="200"/>
        <w:rPr>
          <w:rFonts w:hint="eastAsia" w:cs="宋体"/>
          <w:sz w:val="21"/>
          <w:szCs w:val="21"/>
          <w:highlight w:val="none"/>
          <w:lang w:val="en-US" w:eastAsia="zh-CN"/>
        </w:rPr>
      </w:pPr>
      <w:r>
        <w:rPr>
          <w:rFonts w:hint="eastAsia" w:cs="宋体"/>
          <w:sz w:val="21"/>
          <w:szCs w:val="21"/>
          <w:highlight w:val="none"/>
          <w:lang w:val="en-US" w:eastAsia="zh-CN"/>
        </w:rPr>
        <w:t>《公路防撞桶》（GB/T 28650-2012）。</w:t>
      </w:r>
    </w:p>
    <w:p>
      <w:pPr>
        <w:spacing w:line="400" w:lineRule="exact"/>
        <w:ind w:firstLine="420" w:firstLineChars="200"/>
        <w:rPr>
          <w:rFonts w:hint="eastAsia" w:cs="宋体"/>
          <w:sz w:val="21"/>
          <w:szCs w:val="21"/>
          <w:highlight w:val="none"/>
          <w:lang w:val="en-US" w:eastAsia="zh-CN"/>
        </w:rPr>
      </w:pPr>
      <w:r>
        <w:rPr>
          <w:rFonts w:hint="eastAsia" w:cs="宋体"/>
          <w:sz w:val="21"/>
          <w:szCs w:val="21"/>
          <w:highlight w:val="none"/>
          <w:lang w:val="en-US" w:eastAsia="zh-CN"/>
        </w:rPr>
        <w:t>施工图纸、技术规范和业主、监理下发的关于交安物资的相关要求。</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3.3</w:t>
      </w:r>
      <w:r>
        <w:rPr>
          <w:rFonts w:hint="eastAsia" w:ascii="宋体" w:hAnsi="宋体" w:eastAsia="宋体" w:cs="宋体"/>
          <w:color w:val="000000"/>
          <w:sz w:val="21"/>
          <w:szCs w:val="21"/>
          <w:highlight w:val="none"/>
        </w:rPr>
        <w:t>其他说明</w:t>
      </w:r>
      <w:r>
        <w:rPr>
          <w:rFonts w:hint="eastAsia" w:ascii="宋体" w:hAnsi="宋体" w:eastAsia="宋体" w:cs="宋体"/>
          <w:color w:val="C0C0C0"/>
          <w:sz w:val="21"/>
          <w:szCs w:val="21"/>
          <w:highlight w:val="none"/>
          <w:u w:val="single"/>
        </w:rPr>
        <w:t>（如果有）</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4.物资计量验收方式</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4.1</w:t>
      </w: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color w:val="000000"/>
          <w:sz w:val="21"/>
          <w:szCs w:val="21"/>
          <w:highlight w:val="none"/>
        </w:rPr>
        <w:t>4.2物资验收方式。</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4.2.1</w:t>
      </w:r>
      <w:r>
        <w:rPr>
          <w:rFonts w:hint="eastAsia" w:ascii="宋体" w:hAnsi="宋体" w:eastAsia="宋体" w:cs="宋体"/>
          <w:color w:val="000000"/>
          <w:sz w:val="21"/>
          <w:szCs w:val="21"/>
          <w:highlight w:val="none"/>
          <w:lang w:val="en-US" w:eastAsia="zh-CN"/>
        </w:rPr>
        <w:t>交安物资</w:t>
      </w:r>
      <w:r>
        <w:rPr>
          <w:rFonts w:hint="eastAsia" w:ascii="宋体" w:hAnsi="宋体" w:eastAsia="宋体" w:cs="宋体"/>
          <w:color w:val="000000"/>
          <w:sz w:val="21"/>
          <w:szCs w:val="21"/>
          <w:highlight w:val="none"/>
        </w:rPr>
        <w:t>等材料运至甲方指定地点计量，计量单位为</w:t>
      </w:r>
      <w:r>
        <w:rPr>
          <w:rFonts w:hint="eastAsia" w:ascii="宋体" w:hAnsi="宋体" w:eastAsia="宋体" w:cs="宋体"/>
          <w:color w:val="000000"/>
          <w:sz w:val="21"/>
          <w:szCs w:val="21"/>
          <w:highlight w:val="none"/>
          <w:lang w:val="en-US" w:eastAsia="zh-CN"/>
        </w:rPr>
        <w:t>个/套/m</w:t>
      </w:r>
      <w:r>
        <w:rPr>
          <w:rFonts w:hint="eastAsia" w:ascii="宋体" w:hAnsi="宋体" w:eastAsia="宋体" w:cs="宋体"/>
          <w:color w:val="000000"/>
          <w:sz w:val="21"/>
          <w:szCs w:val="21"/>
          <w:highlight w:val="none"/>
        </w:rPr>
        <w:t>；</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4.2.2材料进场时，按合同约定技术标准及质量要求进行验收。乙方提供材料必须符合本合同技术标准及质量要求，如不符合，乙方应无条件立即更换符合本合同要求的材料给甲方，本合同材料交货日期不变；</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4.2.3进场检验；</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（1）甲方有权对到货的产品进行各种检验,乙方必须配合；如检验不合格的检验费用由乙方承担；</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（2）乙方应在产品进场至少24小时前通知甲方；</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（3）经甲方验收不合格的产品,乙方负责退货,并承担由此造成的甲方损失；</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乙方必须在交货前对产品的质量、规格做认真的检验,并随货配备各种检测报告、合格证等资料。产品到场后,如发现其规格、性能与合同及甲方发出的定货单上的要求不符、质量低劣或损坏等情况时,应按以下情况处理:</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（5）产品的种类、规格、质量与甲方要求不符,甲方拒绝接收。由乙方在24小时内自费运出储存地点，并重新供货,保证工程施工的需要；</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（6）供应时间晚于甲方规定日期, 乙方应承担因此造成甲方延误工期的损失；</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（7）对方产品经甲方验收后，又发现产品的规格型号、质量、等级与甲方要求不符时，乙方仍应承担外运、重新供货的费用，并赔偿因此造成甲方的损失。</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5.包装、运输、卸货</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6．环境﹑安全保护原则</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7.甲方的责任和义务</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tabs>
          <w:tab w:val="left" w:pos="765"/>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8.乙方的责任和义务</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9.违约责任</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10.通知</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11.争议的处理</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tabs>
          <w:tab w:val="left" w:pos="810"/>
        </w:tabs>
        <w:spacing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12.不可抗力 </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13.其他约定事项</w:t>
      </w:r>
    </w:p>
    <w:p>
      <w:pPr>
        <w:spacing w:line="400" w:lineRule="exact"/>
        <w:ind w:firstLine="420" w:firstLineChars="200"/>
        <w:rPr>
          <w:rFonts w:hint="eastAsia" w:ascii="宋体" w:hAnsi="宋体" w:eastAsia="宋体" w:cs="宋体"/>
          <w:color w:val="C0C0C0"/>
          <w:sz w:val="21"/>
          <w:szCs w:val="21"/>
          <w:highlight w:val="none"/>
          <w:u w:val="single"/>
        </w:rPr>
      </w:pPr>
      <w:r>
        <w:rPr>
          <w:rFonts w:hint="eastAsia" w:ascii="宋体" w:hAnsi="宋体" w:eastAsia="宋体" w:cs="宋体"/>
          <w:sz w:val="21"/>
          <w:szCs w:val="21"/>
          <w:highlight w:val="none"/>
          <w:u w:val="single"/>
        </w:rPr>
        <w:t>见通用合同条款</w:t>
      </w:r>
      <w:r>
        <w:rPr>
          <w:rFonts w:hint="eastAsia" w:ascii="宋体" w:hAnsi="宋体" w:eastAsia="宋体" w:cs="宋体"/>
          <w:color w:val="C0C0C0"/>
          <w:sz w:val="21"/>
          <w:szCs w:val="21"/>
          <w:highlight w:val="none"/>
          <w:u w:val="single"/>
        </w:rPr>
        <w:t>（可修改或新增条款）</w:t>
      </w:r>
    </w:p>
    <w:p>
      <w:pPr>
        <w:spacing w:line="360" w:lineRule="exact"/>
        <w:ind w:firstLine="411" w:firstLineChars="195"/>
        <w:jc w:val="left"/>
        <w:rPr>
          <w:rFonts w:hint="eastAsia" w:ascii="宋体" w:hAnsi="宋体" w:eastAsia="宋体" w:cs="宋体"/>
          <w:highlight w:val="none"/>
        </w:rPr>
      </w:pPr>
      <w:r>
        <w:rPr>
          <w:rFonts w:hint="eastAsia" w:ascii="宋体" w:hAnsi="宋体" w:eastAsia="宋体" w:cs="宋体"/>
          <w:b/>
          <w:sz w:val="21"/>
          <w:szCs w:val="21"/>
          <w:highlight w:val="none"/>
        </w:rPr>
        <w:t>14.附件</w:t>
      </w:r>
      <w:r>
        <w:rPr>
          <w:rFonts w:hint="eastAsia" w:ascii="宋体" w:hAnsi="宋体" w:eastAsia="宋体" w:cs="宋体"/>
          <w:color w:val="C0C0C0"/>
          <w:sz w:val="21"/>
          <w:szCs w:val="21"/>
          <w:highlight w:val="none"/>
          <w:u w:val="single"/>
        </w:rPr>
        <w:t>（可修改或新增条款）</w:t>
      </w:r>
    </w:p>
    <w:p>
      <w:pPr>
        <w:widowControl/>
        <w:spacing w:line="480" w:lineRule="auto"/>
        <w:rPr>
          <w:rFonts w:ascii="宋体" w:hAnsi="宋体"/>
          <w:sz w:val="21"/>
          <w:szCs w:val="21"/>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cs="Times New Roman"/>
      </w:rPr>
    </w:pPr>
    <w:r>
      <w:fldChar w:fldCharType="begin"/>
    </w:r>
    <w:r>
      <w:rPr>
        <w:rStyle w:val="37"/>
        <w:rFonts w:cs="宋体"/>
      </w:rPr>
      <w:instrText xml:space="preserve"> PAGE </w:instrText>
    </w:r>
    <w:r>
      <w:fldChar w:fldCharType="separate"/>
    </w:r>
    <w:r>
      <w:rPr>
        <w:rStyle w:val="37"/>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C511F"/>
    <w:multiLevelType w:val="singleLevel"/>
    <w:tmpl w:val="391C511F"/>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3NmE5ZjEzNDcxMjljOTkyMTVmOTA2MmMxY2JhYzY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3B65"/>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55C6F"/>
    <w:rsid w:val="00866FD8"/>
    <w:rsid w:val="00867D58"/>
    <w:rsid w:val="0087546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30C"/>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6D5"/>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0937"/>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E025EA"/>
    <w:rsid w:val="030E48E0"/>
    <w:rsid w:val="03604FDE"/>
    <w:rsid w:val="054B5050"/>
    <w:rsid w:val="05854823"/>
    <w:rsid w:val="059F3A06"/>
    <w:rsid w:val="06123B25"/>
    <w:rsid w:val="06293014"/>
    <w:rsid w:val="06845347"/>
    <w:rsid w:val="07686EDA"/>
    <w:rsid w:val="07D65F6C"/>
    <w:rsid w:val="0A1E3055"/>
    <w:rsid w:val="0ACC485F"/>
    <w:rsid w:val="0AD27DEA"/>
    <w:rsid w:val="0B1017C3"/>
    <w:rsid w:val="0C3A66AE"/>
    <w:rsid w:val="0CFF09CB"/>
    <w:rsid w:val="0D195CE5"/>
    <w:rsid w:val="0E7204B5"/>
    <w:rsid w:val="0E9F5FA8"/>
    <w:rsid w:val="0EA84FF4"/>
    <w:rsid w:val="0FE73EE9"/>
    <w:rsid w:val="11DE34B9"/>
    <w:rsid w:val="12D335F1"/>
    <w:rsid w:val="12F625F6"/>
    <w:rsid w:val="13723F7D"/>
    <w:rsid w:val="13A144B3"/>
    <w:rsid w:val="14B4624A"/>
    <w:rsid w:val="155913E5"/>
    <w:rsid w:val="15814549"/>
    <w:rsid w:val="15A07AD1"/>
    <w:rsid w:val="16CC74C4"/>
    <w:rsid w:val="172709F9"/>
    <w:rsid w:val="175635F8"/>
    <w:rsid w:val="179F5ECF"/>
    <w:rsid w:val="181F4A63"/>
    <w:rsid w:val="18B10228"/>
    <w:rsid w:val="197A4670"/>
    <w:rsid w:val="199571A7"/>
    <w:rsid w:val="1A7A2CAD"/>
    <w:rsid w:val="1B0E2C71"/>
    <w:rsid w:val="1C562AF5"/>
    <w:rsid w:val="1C6009E5"/>
    <w:rsid w:val="1EA41923"/>
    <w:rsid w:val="1F2C2C0F"/>
    <w:rsid w:val="1F6319D6"/>
    <w:rsid w:val="233B1BD3"/>
    <w:rsid w:val="235553BF"/>
    <w:rsid w:val="23940C5C"/>
    <w:rsid w:val="246C4A0E"/>
    <w:rsid w:val="254B6F9C"/>
    <w:rsid w:val="266F2816"/>
    <w:rsid w:val="266F4F92"/>
    <w:rsid w:val="271764CE"/>
    <w:rsid w:val="274912B9"/>
    <w:rsid w:val="29BB1E01"/>
    <w:rsid w:val="2A634844"/>
    <w:rsid w:val="2A88656F"/>
    <w:rsid w:val="2B5E749F"/>
    <w:rsid w:val="2BD17E07"/>
    <w:rsid w:val="2BD94334"/>
    <w:rsid w:val="2D0314F6"/>
    <w:rsid w:val="2F8E3277"/>
    <w:rsid w:val="30390F89"/>
    <w:rsid w:val="311C1CD3"/>
    <w:rsid w:val="312B27A5"/>
    <w:rsid w:val="325925CC"/>
    <w:rsid w:val="34373666"/>
    <w:rsid w:val="34833825"/>
    <w:rsid w:val="35FC399A"/>
    <w:rsid w:val="37DD09A7"/>
    <w:rsid w:val="37EF5A09"/>
    <w:rsid w:val="39547B12"/>
    <w:rsid w:val="39746C56"/>
    <w:rsid w:val="3976087D"/>
    <w:rsid w:val="3996249A"/>
    <w:rsid w:val="39D41265"/>
    <w:rsid w:val="39D51E21"/>
    <w:rsid w:val="3AA80595"/>
    <w:rsid w:val="3B5129DA"/>
    <w:rsid w:val="3B6049CB"/>
    <w:rsid w:val="3D3E0D3C"/>
    <w:rsid w:val="3D5B369C"/>
    <w:rsid w:val="3D646C30"/>
    <w:rsid w:val="3E1D3D47"/>
    <w:rsid w:val="3E815385"/>
    <w:rsid w:val="3EAC495E"/>
    <w:rsid w:val="3F964E60"/>
    <w:rsid w:val="404544F3"/>
    <w:rsid w:val="408251EC"/>
    <w:rsid w:val="414260FE"/>
    <w:rsid w:val="41AB2F2C"/>
    <w:rsid w:val="41C51A2C"/>
    <w:rsid w:val="42366486"/>
    <w:rsid w:val="42766471"/>
    <w:rsid w:val="42CE781F"/>
    <w:rsid w:val="4318414A"/>
    <w:rsid w:val="4535226F"/>
    <w:rsid w:val="472649FE"/>
    <w:rsid w:val="47781E40"/>
    <w:rsid w:val="47A1104B"/>
    <w:rsid w:val="487E2294"/>
    <w:rsid w:val="4ADF53D0"/>
    <w:rsid w:val="4B1355B6"/>
    <w:rsid w:val="4C64223B"/>
    <w:rsid w:val="4C943735"/>
    <w:rsid w:val="4EEE2E1A"/>
    <w:rsid w:val="4EEE6235"/>
    <w:rsid w:val="4F425205"/>
    <w:rsid w:val="500049A1"/>
    <w:rsid w:val="501F59D0"/>
    <w:rsid w:val="509E6752"/>
    <w:rsid w:val="50BE4216"/>
    <w:rsid w:val="512744B1"/>
    <w:rsid w:val="51295B34"/>
    <w:rsid w:val="51955765"/>
    <w:rsid w:val="51F80C00"/>
    <w:rsid w:val="52B47467"/>
    <w:rsid w:val="534E25FD"/>
    <w:rsid w:val="543933C3"/>
    <w:rsid w:val="551B058A"/>
    <w:rsid w:val="566B42B9"/>
    <w:rsid w:val="56A96C69"/>
    <w:rsid w:val="576653CE"/>
    <w:rsid w:val="576C677A"/>
    <w:rsid w:val="57861C50"/>
    <w:rsid w:val="57D2259A"/>
    <w:rsid w:val="57E73733"/>
    <w:rsid w:val="57F347A6"/>
    <w:rsid w:val="58F509F1"/>
    <w:rsid w:val="5A6F3392"/>
    <w:rsid w:val="5AD47696"/>
    <w:rsid w:val="5B4718F8"/>
    <w:rsid w:val="5D366F1E"/>
    <w:rsid w:val="5D6D056A"/>
    <w:rsid w:val="5DB0123F"/>
    <w:rsid w:val="5DEE1D15"/>
    <w:rsid w:val="60103F63"/>
    <w:rsid w:val="618172C6"/>
    <w:rsid w:val="64CE648F"/>
    <w:rsid w:val="650E589F"/>
    <w:rsid w:val="65410C43"/>
    <w:rsid w:val="66AF5135"/>
    <w:rsid w:val="66D10089"/>
    <w:rsid w:val="67456568"/>
    <w:rsid w:val="68713205"/>
    <w:rsid w:val="68D423D1"/>
    <w:rsid w:val="697B3058"/>
    <w:rsid w:val="6A372C18"/>
    <w:rsid w:val="6B2B099F"/>
    <w:rsid w:val="6C7F7B56"/>
    <w:rsid w:val="6D3C6797"/>
    <w:rsid w:val="6D885538"/>
    <w:rsid w:val="6D8939C4"/>
    <w:rsid w:val="6DB82211"/>
    <w:rsid w:val="6DE10C13"/>
    <w:rsid w:val="6E1F3BFE"/>
    <w:rsid w:val="706202C3"/>
    <w:rsid w:val="7089477F"/>
    <w:rsid w:val="70B26956"/>
    <w:rsid w:val="70F679C3"/>
    <w:rsid w:val="711B78B6"/>
    <w:rsid w:val="71B95165"/>
    <w:rsid w:val="72D727FF"/>
    <w:rsid w:val="738022BD"/>
    <w:rsid w:val="74686F7D"/>
    <w:rsid w:val="74B66E2F"/>
    <w:rsid w:val="74CB389B"/>
    <w:rsid w:val="75521FEA"/>
    <w:rsid w:val="778056DC"/>
    <w:rsid w:val="77AA69AB"/>
    <w:rsid w:val="77CD73FD"/>
    <w:rsid w:val="78586342"/>
    <w:rsid w:val="792C76BC"/>
    <w:rsid w:val="79671E70"/>
    <w:rsid w:val="7A526F79"/>
    <w:rsid w:val="7A81178F"/>
    <w:rsid w:val="7B0A57DF"/>
    <w:rsid w:val="7B25086A"/>
    <w:rsid w:val="7B786BEC"/>
    <w:rsid w:val="7BD42D14"/>
    <w:rsid w:val="7C106ECB"/>
    <w:rsid w:val="7C445832"/>
    <w:rsid w:val="7C490589"/>
    <w:rsid w:val="7C6B1204"/>
    <w:rsid w:val="7CD51F65"/>
    <w:rsid w:val="7D055579"/>
    <w:rsid w:val="7D11343C"/>
    <w:rsid w:val="7D2B563D"/>
    <w:rsid w:val="7D55328A"/>
    <w:rsid w:val="7DF115D5"/>
    <w:rsid w:val="7E0150C3"/>
    <w:rsid w:val="7E694F12"/>
    <w:rsid w:val="7E912744"/>
    <w:rsid w:val="7EF156AE"/>
    <w:rsid w:val="7F0B7A18"/>
    <w:rsid w:val="7F9874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0"/>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1"/>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2"/>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3"/>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4"/>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spacing w:after="120"/>
    </w:pPr>
    <w:rPr>
      <w:rFonts w:ascii="宋体" w:hAnsi="宋体" w:eastAsia="宋体" w:cs="宋体"/>
      <w:kern w:val="44"/>
      <w:sz w:val="28"/>
      <w:szCs w:val="28"/>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Normal Indent"/>
    <w:basedOn w:val="1"/>
    <w:qFormat/>
    <w:uiPriority w:val="0"/>
    <w:pPr>
      <w:ind w:firstLine="420"/>
    </w:pPr>
    <w:rPr>
      <w:rFonts w:ascii="宋体" w:hAnsi="宋体" w:eastAsia="宋体" w:cs="宋体"/>
      <w:kern w:val="44"/>
      <w:sz w:val="21"/>
      <w:szCs w:val="21"/>
    </w:rPr>
  </w:style>
  <w:style w:type="paragraph" w:styleId="10">
    <w:name w:val="Document Map"/>
    <w:basedOn w:val="1"/>
    <w:link w:val="53"/>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2"/>
    <w:semiHidden/>
    <w:unhideWhenUsed/>
    <w:qFormat/>
    <w:uiPriority w:val="0"/>
    <w:pPr>
      <w:jc w:val="left"/>
    </w:pPr>
  </w:style>
  <w:style w:type="paragraph" w:styleId="12">
    <w:name w:val="Salutation"/>
    <w:basedOn w:val="1"/>
    <w:next w:val="1"/>
    <w:link w:val="55"/>
    <w:qFormat/>
    <w:uiPriority w:val="0"/>
    <w:rPr>
      <w:rFonts w:ascii="宋体" w:hAnsi="宋体" w:eastAsia="宋体" w:cs="宋体"/>
      <w:kern w:val="44"/>
      <w:sz w:val="32"/>
      <w:szCs w:val="32"/>
    </w:rPr>
  </w:style>
  <w:style w:type="paragraph" w:styleId="13">
    <w:name w:val="Body Text 3"/>
    <w:basedOn w:val="1"/>
    <w:link w:val="303"/>
    <w:semiHidden/>
    <w:unhideWhenUsed/>
    <w:qFormat/>
    <w:uiPriority w:val="99"/>
    <w:pPr>
      <w:spacing w:after="120"/>
    </w:pPr>
    <w:rPr>
      <w:sz w:val="16"/>
      <w:szCs w:val="16"/>
    </w:rPr>
  </w:style>
  <w:style w:type="paragraph" w:styleId="14">
    <w:name w:val="Body Text Indent"/>
    <w:basedOn w:val="1"/>
    <w:link w:val="74"/>
    <w:qFormat/>
    <w:uiPriority w:val="0"/>
    <w:pPr>
      <w:spacing w:after="120"/>
      <w:ind w:left="420" w:leftChars="200"/>
    </w:pPr>
    <w:rPr>
      <w:rFonts w:ascii="宋体" w:hAnsi="宋体" w:eastAsia="宋体" w:cs="宋体"/>
      <w:kern w:val="44"/>
      <w:sz w:val="28"/>
      <w:szCs w:val="28"/>
    </w:rPr>
  </w:style>
  <w:style w:type="paragraph" w:styleId="15">
    <w:name w:val="toc 5"/>
    <w:basedOn w:val="1"/>
    <w:next w:val="1"/>
    <w:qFormat/>
    <w:uiPriority w:val="0"/>
    <w:pPr>
      <w:ind w:left="1120"/>
      <w:jc w:val="left"/>
    </w:pPr>
    <w:rPr>
      <w:rFonts w:ascii="宋体" w:hAnsi="宋体" w:eastAsia="宋体" w:cs="宋体"/>
      <w:kern w:val="44"/>
      <w:sz w:val="18"/>
      <w:szCs w:val="18"/>
    </w:rPr>
  </w:style>
  <w:style w:type="paragraph" w:styleId="16">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2"/>
    <w:qFormat/>
    <w:uiPriority w:val="0"/>
    <w:rPr>
      <w:rFonts w:ascii="宋体" w:hAnsi="Courier New" w:eastAsia="宋体" w:cs="宋体"/>
      <w:kern w:val="44"/>
      <w:sz w:val="21"/>
      <w:szCs w:val="21"/>
    </w:rPr>
  </w:style>
  <w:style w:type="paragraph" w:styleId="18">
    <w:name w:val="toc 8"/>
    <w:basedOn w:val="1"/>
    <w:next w:val="1"/>
    <w:qFormat/>
    <w:uiPriority w:val="0"/>
    <w:pPr>
      <w:ind w:left="1960"/>
      <w:jc w:val="left"/>
    </w:pPr>
    <w:rPr>
      <w:rFonts w:ascii="宋体" w:hAnsi="宋体" w:eastAsia="宋体" w:cs="宋体"/>
      <w:kern w:val="44"/>
      <w:sz w:val="18"/>
      <w:szCs w:val="18"/>
    </w:rPr>
  </w:style>
  <w:style w:type="paragraph" w:styleId="19">
    <w:name w:val="Date"/>
    <w:basedOn w:val="1"/>
    <w:next w:val="1"/>
    <w:link w:val="50"/>
    <w:qFormat/>
    <w:uiPriority w:val="0"/>
    <w:pPr>
      <w:ind w:left="100" w:leftChars="2500"/>
    </w:pPr>
    <w:rPr>
      <w:rFonts w:ascii="宋体" w:hAnsi="宋体" w:eastAsia="宋体" w:cs="宋体"/>
      <w:kern w:val="44"/>
      <w:sz w:val="28"/>
      <w:szCs w:val="28"/>
    </w:rPr>
  </w:style>
  <w:style w:type="paragraph" w:styleId="20">
    <w:name w:val="Body Text Indent 2"/>
    <w:basedOn w:val="1"/>
    <w:link w:val="58"/>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6"/>
    <w:semiHidden/>
    <w:qFormat/>
    <w:uiPriority w:val="0"/>
    <w:rPr>
      <w:rFonts w:ascii="宋体" w:hAnsi="宋体" w:eastAsia="宋体" w:cs="宋体"/>
      <w:kern w:val="44"/>
      <w:sz w:val="18"/>
      <w:szCs w:val="18"/>
    </w:rPr>
  </w:style>
  <w:style w:type="paragraph" w:styleId="22">
    <w:name w:val="footer"/>
    <w:basedOn w:val="1"/>
    <w:link w:val="46"/>
    <w:unhideWhenUsed/>
    <w:qFormat/>
    <w:uiPriority w:val="0"/>
    <w:pPr>
      <w:tabs>
        <w:tab w:val="center" w:pos="4153"/>
        <w:tab w:val="right" w:pos="8306"/>
      </w:tabs>
      <w:snapToGrid w:val="0"/>
      <w:jc w:val="left"/>
    </w:pPr>
    <w:rPr>
      <w:sz w:val="18"/>
      <w:szCs w:val="18"/>
    </w:rPr>
  </w:style>
  <w:style w:type="paragraph" w:styleId="23">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qFormat/>
    <w:uiPriority w:val="0"/>
    <w:pPr>
      <w:ind w:left="840"/>
      <w:jc w:val="left"/>
    </w:pPr>
    <w:rPr>
      <w:rFonts w:ascii="宋体" w:hAnsi="宋体" w:eastAsia="宋体" w:cs="宋体"/>
      <w:kern w:val="44"/>
      <w:sz w:val="18"/>
      <w:szCs w:val="18"/>
    </w:rPr>
  </w:style>
  <w:style w:type="paragraph" w:styleId="26">
    <w:name w:val="toc 6"/>
    <w:basedOn w:val="1"/>
    <w:next w:val="1"/>
    <w:qFormat/>
    <w:uiPriority w:val="0"/>
    <w:pPr>
      <w:ind w:left="1400"/>
      <w:jc w:val="left"/>
    </w:pPr>
    <w:rPr>
      <w:rFonts w:ascii="宋体" w:hAnsi="宋体" w:eastAsia="宋体" w:cs="宋体"/>
      <w:kern w:val="44"/>
      <w:sz w:val="18"/>
      <w:szCs w:val="18"/>
    </w:rPr>
  </w:style>
  <w:style w:type="paragraph" w:styleId="27">
    <w:name w:val="Body Text Indent 3"/>
    <w:basedOn w:val="1"/>
    <w:link w:val="67"/>
    <w:qFormat/>
    <w:uiPriority w:val="0"/>
    <w:pPr>
      <w:spacing w:after="120"/>
      <w:ind w:left="420" w:leftChars="200"/>
    </w:pPr>
    <w:rPr>
      <w:rFonts w:ascii="宋体" w:hAnsi="宋体" w:eastAsia="宋体" w:cs="宋体"/>
      <w:kern w:val="44"/>
      <w:sz w:val="16"/>
      <w:szCs w:val="16"/>
    </w:rPr>
  </w:style>
  <w:style w:type="paragraph" w:styleId="28">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qFormat/>
    <w:uiPriority w:val="0"/>
    <w:pPr>
      <w:ind w:left="2240"/>
      <w:jc w:val="left"/>
    </w:pPr>
    <w:rPr>
      <w:rFonts w:ascii="宋体" w:hAnsi="宋体" w:eastAsia="宋体" w:cs="宋体"/>
      <w:kern w:val="44"/>
      <w:sz w:val="18"/>
      <w:szCs w:val="18"/>
    </w:rPr>
  </w:style>
  <w:style w:type="paragraph" w:styleId="30">
    <w:name w:val="Normal (Web)"/>
    <w:basedOn w:val="1"/>
    <w:qFormat/>
    <w:uiPriority w:val="0"/>
    <w:pPr>
      <w:widowControl/>
      <w:spacing w:before="300" w:after="300"/>
      <w:jc w:val="left"/>
    </w:pPr>
    <w:rPr>
      <w:rFonts w:ascii="宋体" w:hAnsi="宋体" w:eastAsia="宋体" w:cs="宋体"/>
      <w:kern w:val="0"/>
    </w:rPr>
  </w:style>
  <w:style w:type="paragraph" w:styleId="31">
    <w:name w:val="Title"/>
    <w:basedOn w:val="1"/>
    <w:next w:val="1"/>
    <w:link w:val="305"/>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1"/>
    <w:next w:val="11"/>
    <w:link w:val="60"/>
    <w:semiHidden/>
    <w:qFormat/>
    <w:uiPriority w:val="0"/>
    <w:rPr>
      <w:rFonts w:ascii="宋体" w:hAnsi="宋体" w:eastAsia="宋体" w:cs="宋体"/>
      <w:b/>
      <w:bCs/>
      <w:kern w:val="44"/>
      <w:sz w:val="28"/>
      <w:szCs w:val="28"/>
    </w:rPr>
  </w:style>
  <w:style w:type="paragraph" w:styleId="33">
    <w:name w:val="Body Text First Indent 2"/>
    <w:basedOn w:val="14"/>
    <w:link w:val="308"/>
    <w:unhideWhenUsed/>
    <w:qFormat/>
    <w:uiPriority w:val="0"/>
    <w:pPr>
      <w:ind w:firstLine="420" w:firstLineChars="200"/>
    </w:pPr>
    <w:rPr>
      <w:rFonts w:ascii="Times New Roman" w:hAnsi="Times New Roman" w:cs="Times New Roman"/>
      <w:kern w:val="2"/>
      <w:sz w:val="21"/>
      <w:szCs w:val="22"/>
    </w:rPr>
  </w:style>
  <w:style w:type="character" w:styleId="36">
    <w:name w:val="Strong"/>
    <w:basedOn w:val="35"/>
    <w:qFormat/>
    <w:uiPriority w:val="0"/>
    <w:rPr>
      <w:rFonts w:cs="Times New Roman"/>
      <w:b/>
      <w:bCs/>
    </w:rPr>
  </w:style>
  <w:style w:type="character" w:styleId="37">
    <w:name w:val="page number"/>
    <w:basedOn w:val="35"/>
    <w:qFormat/>
    <w:uiPriority w:val="0"/>
    <w:rPr>
      <w:rFonts w:cs="Times New Roman"/>
    </w:rPr>
  </w:style>
  <w:style w:type="character" w:styleId="38">
    <w:name w:val="FollowedHyperlink"/>
    <w:basedOn w:val="35"/>
    <w:qFormat/>
    <w:uiPriority w:val="0"/>
    <w:rPr>
      <w:rFonts w:cs="Times New Roman"/>
      <w:color w:val="800080"/>
      <w:u w:val="single"/>
    </w:rPr>
  </w:style>
  <w:style w:type="character" w:styleId="39">
    <w:name w:val="Hyperlink"/>
    <w:basedOn w:val="35"/>
    <w:unhideWhenUsed/>
    <w:qFormat/>
    <w:uiPriority w:val="0"/>
    <w:rPr>
      <w:color w:val="0000FF" w:themeColor="hyperlink"/>
      <w:u w:val="single"/>
    </w:rPr>
  </w:style>
  <w:style w:type="character" w:customStyle="1" w:styleId="40">
    <w:name w:val="标题 1 字符"/>
    <w:basedOn w:val="35"/>
    <w:link w:val="3"/>
    <w:qFormat/>
    <w:uiPriority w:val="0"/>
    <w:rPr>
      <w:rFonts w:ascii="宋体" w:hAnsi="宋体" w:eastAsia="宋体" w:cs="宋体"/>
      <w:b/>
      <w:bCs/>
      <w:kern w:val="44"/>
      <w:sz w:val="44"/>
      <w:szCs w:val="44"/>
    </w:rPr>
  </w:style>
  <w:style w:type="character" w:customStyle="1" w:styleId="41">
    <w:name w:val="标题 2 字符"/>
    <w:basedOn w:val="35"/>
    <w:link w:val="4"/>
    <w:qFormat/>
    <w:uiPriority w:val="0"/>
    <w:rPr>
      <w:rFonts w:ascii="Arial" w:hAnsi="Arial" w:eastAsia="黑体" w:cs="Arial"/>
      <w:b/>
      <w:bCs/>
      <w:kern w:val="44"/>
      <w:sz w:val="32"/>
      <w:szCs w:val="32"/>
    </w:rPr>
  </w:style>
  <w:style w:type="character" w:customStyle="1" w:styleId="42">
    <w:name w:val="标题 3 字符"/>
    <w:basedOn w:val="35"/>
    <w:link w:val="5"/>
    <w:qFormat/>
    <w:uiPriority w:val="0"/>
    <w:rPr>
      <w:rFonts w:ascii="宋体" w:hAnsi="宋体" w:eastAsia="宋体" w:cs="宋体"/>
      <w:b/>
      <w:bCs/>
      <w:kern w:val="44"/>
      <w:sz w:val="32"/>
      <w:szCs w:val="32"/>
    </w:rPr>
  </w:style>
  <w:style w:type="character" w:customStyle="1" w:styleId="43">
    <w:name w:val="标题 4 字符"/>
    <w:basedOn w:val="35"/>
    <w:link w:val="6"/>
    <w:qFormat/>
    <w:uiPriority w:val="0"/>
    <w:rPr>
      <w:rFonts w:ascii="Arial" w:hAnsi="Arial" w:eastAsia="黑体" w:cs="Arial"/>
      <w:b/>
      <w:bCs/>
      <w:kern w:val="44"/>
      <w:sz w:val="28"/>
      <w:szCs w:val="28"/>
    </w:rPr>
  </w:style>
  <w:style w:type="character" w:customStyle="1" w:styleId="44">
    <w:name w:val="标题 9 字符"/>
    <w:basedOn w:val="35"/>
    <w:link w:val="7"/>
    <w:qFormat/>
    <w:uiPriority w:val="0"/>
    <w:rPr>
      <w:rFonts w:ascii="Arial" w:hAnsi="Arial" w:eastAsia="黑体" w:cs="Arial"/>
      <w:kern w:val="44"/>
      <w:sz w:val="21"/>
      <w:szCs w:val="21"/>
    </w:rPr>
  </w:style>
  <w:style w:type="character" w:customStyle="1" w:styleId="45">
    <w:name w:val="页眉 字符"/>
    <w:basedOn w:val="35"/>
    <w:link w:val="23"/>
    <w:qFormat/>
    <w:uiPriority w:val="0"/>
    <w:rPr>
      <w:sz w:val="18"/>
      <w:szCs w:val="18"/>
    </w:rPr>
  </w:style>
  <w:style w:type="character" w:customStyle="1" w:styleId="46">
    <w:name w:val="页脚 字符"/>
    <w:basedOn w:val="35"/>
    <w:link w:val="22"/>
    <w:qFormat/>
    <w:uiPriority w:val="0"/>
    <w:rPr>
      <w:sz w:val="18"/>
      <w:szCs w:val="18"/>
    </w:rPr>
  </w:style>
  <w:style w:type="character" w:customStyle="1" w:styleId="47">
    <w:name w:val="Char Char11"/>
    <w:basedOn w:val="35"/>
    <w:qFormat/>
    <w:locked/>
    <w:uiPriority w:val="0"/>
    <w:rPr>
      <w:sz w:val="24"/>
      <w:szCs w:val="24"/>
      <w:lang w:bidi="ar-SA"/>
    </w:rPr>
  </w:style>
  <w:style w:type="paragraph" w:styleId="48">
    <w:name w:val="List Paragraph"/>
    <w:basedOn w:val="1"/>
    <w:qFormat/>
    <w:uiPriority w:val="34"/>
    <w:pPr>
      <w:ind w:firstLine="420" w:firstLineChars="200"/>
    </w:pPr>
  </w:style>
  <w:style w:type="character" w:customStyle="1" w:styleId="49">
    <w:name w:val="正文文本 字符"/>
    <w:basedOn w:val="35"/>
    <w:link w:val="2"/>
    <w:qFormat/>
    <w:locked/>
    <w:uiPriority w:val="0"/>
    <w:rPr>
      <w:rFonts w:ascii="宋体" w:hAnsi="宋体" w:eastAsia="宋体" w:cs="宋体"/>
      <w:kern w:val="44"/>
      <w:sz w:val="28"/>
      <w:szCs w:val="28"/>
    </w:rPr>
  </w:style>
  <w:style w:type="character" w:customStyle="1" w:styleId="50">
    <w:name w:val="日期 字符"/>
    <w:basedOn w:val="35"/>
    <w:link w:val="19"/>
    <w:qFormat/>
    <w:locked/>
    <w:uiPriority w:val="0"/>
    <w:rPr>
      <w:rFonts w:ascii="宋体" w:hAnsi="宋体" w:eastAsia="宋体" w:cs="宋体"/>
      <w:kern w:val="44"/>
      <w:sz w:val="28"/>
      <w:szCs w:val="28"/>
    </w:rPr>
  </w:style>
  <w:style w:type="character" w:customStyle="1" w:styleId="51">
    <w:name w:val="Char Char1"/>
    <w:basedOn w:val="35"/>
    <w:qFormat/>
    <w:locked/>
    <w:uiPriority w:val="0"/>
    <w:rPr>
      <w:rFonts w:ascii="宋体" w:hAnsi="宋体" w:eastAsia="宋体"/>
      <w:kern w:val="2"/>
      <w:sz w:val="18"/>
      <w:szCs w:val="18"/>
      <w:lang w:val="en-US" w:eastAsia="zh-CN" w:bidi="ar-SA"/>
    </w:rPr>
  </w:style>
  <w:style w:type="character" w:customStyle="1" w:styleId="52">
    <w:name w:val="apple-converted-space"/>
    <w:basedOn w:val="35"/>
    <w:qFormat/>
    <w:uiPriority w:val="0"/>
  </w:style>
  <w:style w:type="character" w:customStyle="1" w:styleId="53">
    <w:name w:val="文档结构图 字符"/>
    <w:basedOn w:val="35"/>
    <w:link w:val="10"/>
    <w:semiHidden/>
    <w:qFormat/>
    <w:locked/>
    <w:uiPriority w:val="0"/>
    <w:rPr>
      <w:rFonts w:ascii="宋体" w:hAnsi="宋体" w:eastAsia="宋体" w:cs="宋体"/>
      <w:kern w:val="44"/>
      <w:sz w:val="28"/>
      <w:szCs w:val="28"/>
      <w:shd w:val="clear" w:color="auto" w:fill="000080"/>
    </w:rPr>
  </w:style>
  <w:style w:type="character" w:customStyle="1" w:styleId="54">
    <w:name w:val="Char Char Char11"/>
    <w:basedOn w:val="35"/>
    <w:qFormat/>
    <w:locked/>
    <w:uiPriority w:val="0"/>
    <w:rPr>
      <w:rFonts w:ascii="宋体" w:hAnsi="Courier New" w:eastAsia="仿宋_GB2312" w:cs="宋体"/>
      <w:kern w:val="2"/>
      <w:sz w:val="21"/>
      <w:szCs w:val="21"/>
      <w:lang w:val="en-US" w:eastAsia="zh-CN"/>
    </w:rPr>
  </w:style>
  <w:style w:type="character" w:customStyle="1" w:styleId="55">
    <w:name w:val="称呼 字符"/>
    <w:basedOn w:val="35"/>
    <w:link w:val="12"/>
    <w:qFormat/>
    <w:locked/>
    <w:uiPriority w:val="0"/>
    <w:rPr>
      <w:rFonts w:ascii="宋体" w:hAnsi="宋体" w:eastAsia="宋体" w:cs="宋体"/>
      <w:kern w:val="44"/>
      <w:sz w:val="32"/>
      <w:szCs w:val="32"/>
    </w:rPr>
  </w:style>
  <w:style w:type="character" w:customStyle="1" w:styleId="56">
    <w:name w:val="批注框文本 字符"/>
    <w:basedOn w:val="35"/>
    <w:link w:val="21"/>
    <w:semiHidden/>
    <w:qFormat/>
    <w:locked/>
    <w:uiPriority w:val="0"/>
    <w:rPr>
      <w:rFonts w:ascii="宋体" w:hAnsi="宋体" w:eastAsia="宋体" w:cs="宋体"/>
      <w:kern w:val="44"/>
      <w:sz w:val="18"/>
      <w:szCs w:val="18"/>
    </w:rPr>
  </w:style>
  <w:style w:type="character" w:customStyle="1" w:styleId="57">
    <w:name w:val="H2 Char"/>
    <w:basedOn w:val="35"/>
    <w:qFormat/>
    <w:uiPriority w:val="0"/>
    <w:rPr>
      <w:rFonts w:ascii="Arial" w:hAnsi="Arial" w:eastAsia="黑体" w:cs="Arial"/>
      <w:b/>
      <w:bCs/>
      <w:kern w:val="2"/>
      <w:sz w:val="32"/>
      <w:szCs w:val="32"/>
      <w:lang w:val="en-US" w:eastAsia="zh-CN"/>
    </w:rPr>
  </w:style>
  <w:style w:type="character" w:customStyle="1" w:styleId="58">
    <w:name w:val="正文文本缩进 2 字符"/>
    <w:basedOn w:val="35"/>
    <w:link w:val="20"/>
    <w:qFormat/>
    <w:locked/>
    <w:uiPriority w:val="0"/>
    <w:rPr>
      <w:rFonts w:ascii="宋体" w:hAnsi="宋体" w:eastAsia="宋体" w:cs="宋体"/>
      <w:kern w:val="44"/>
      <w:sz w:val="28"/>
      <w:szCs w:val="28"/>
    </w:rPr>
  </w:style>
  <w:style w:type="character" w:customStyle="1" w:styleId="59">
    <w:name w:val="Char Char Char1"/>
    <w:basedOn w:val="35"/>
    <w:qFormat/>
    <w:uiPriority w:val="0"/>
    <w:rPr>
      <w:rFonts w:ascii="宋体" w:hAnsi="Courier New" w:eastAsia="宋体" w:cs="宋体"/>
      <w:kern w:val="2"/>
      <w:sz w:val="21"/>
      <w:szCs w:val="21"/>
      <w:lang w:val="en-US" w:eastAsia="zh-CN"/>
    </w:rPr>
  </w:style>
  <w:style w:type="character" w:customStyle="1" w:styleId="60">
    <w:name w:val="批注主题 字符"/>
    <w:basedOn w:val="61"/>
    <w:link w:val="32"/>
    <w:semiHidden/>
    <w:qFormat/>
    <w:locked/>
    <w:uiPriority w:val="0"/>
    <w:rPr>
      <w:rFonts w:ascii="宋体" w:hAnsi="宋体" w:eastAsia="宋体" w:cs="宋体"/>
      <w:b/>
      <w:bCs/>
      <w:kern w:val="44"/>
      <w:sz w:val="28"/>
      <w:szCs w:val="28"/>
      <w:lang w:val="en-US" w:eastAsia="zh-CN" w:bidi="ar-SA"/>
    </w:rPr>
  </w:style>
  <w:style w:type="character" w:customStyle="1" w:styleId="61">
    <w:name w:val="批注文字 Char"/>
    <w:basedOn w:val="35"/>
    <w:semiHidden/>
    <w:qFormat/>
    <w:locked/>
    <w:uiPriority w:val="0"/>
    <w:rPr>
      <w:rFonts w:ascii="宋体" w:hAnsi="宋体" w:eastAsia="宋体" w:cs="宋体"/>
      <w:kern w:val="44"/>
      <w:sz w:val="28"/>
      <w:szCs w:val="28"/>
      <w:lang w:val="en-US" w:eastAsia="zh-CN" w:bidi="ar-SA"/>
    </w:rPr>
  </w:style>
  <w:style w:type="character" w:customStyle="1" w:styleId="62">
    <w:name w:val="批注文字 字符"/>
    <w:basedOn w:val="35"/>
    <w:link w:val="11"/>
    <w:semiHidden/>
    <w:qFormat/>
    <w:uiPriority w:val="99"/>
  </w:style>
  <w:style w:type="character" w:customStyle="1" w:styleId="63">
    <w:name w:val="Char Char9"/>
    <w:basedOn w:val="35"/>
    <w:qFormat/>
    <w:locked/>
    <w:uiPriority w:val="0"/>
    <w:rPr>
      <w:rFonts w:ascii="宋体" w:hAnsi="Courier New" w:eastAsia="仿宋_GB2312" w:cs="宋体"/>
      <w:kern w:val="2"/>
      <w:sz w:val="21"/>
      <w:szCs w:val="21"/>
      <w:lang w:val="en-US" w:eastAsia="zh-CN"/>
    </w:rPr>
  </w:style>
  <w:style w:type="character" w:customStyle="1" w:styleId="64">
    <w:name w:val="Char Char3"/>
    <w:basedOn w:val="35"/>
    <w:qFormat/>
    <w:locked/>
    <w:uiPriority w:val="0"/>
    <w:rPr>
      <w:rFonts w:ascii="宋体" w:hAnsi="宋体" w:eastAsia="宋体"/>
      <w:kern w:val="2"/>
      <w:sz w:val="18"/>
      <w:szCs w:val="18"/>
      <w:lang w:val="en-US" w:eastAsia="zh-CN" w:bidi="ar-SA"/>
    </w:rPr>
  </w:style>
  <w:style w:type="character" w:customStyle="1" w:styleId="65">
    <w:name w:val="Char Char111"/>
    <w:basedOn w:val="35"/>
    <w:qFormat/>
    <w:uiPriority w:val="0"/>
    <w:rPr>
      <w:rFonts w:ascii="Arial" w:hAnsi="Arial" w:eastAsia="黑体" w:cs="Arial"/>
      <w:b/>
      <w:bCs/>
      <w:kern w:val="2"/>
      <w:sz w:val="32"/>
      <w:szCs w:val="32"/>
      <w:lang w:val="en-US" w:eastAsia="zh-CN"/>
    </w:rPr>
  </w:style>
  <w:style w:type="character" w:customStyle="1" w:styleId="66">
    <w:name w:val="Char Char6"/>
    <w:basedOn w:val="35"/>
    <w:qFormat/>
    <w:locked/>
    <w:uiPriority w:val="0"/>
    <w:rPr>
      <w:rFonts w:ascii="宋体" w:hAnsi="Courier New" w:eastAsia="仿宋_GB2312" w:cs="Courier New"/>
      <w:kern w:val="2"/>
      <w:sz w:val="21"/>
      <w:szCs w:val="21"/>
      <w:lang w:val="en-US" w:eastAsia="zh-CN" w:bidi="ar-SA"/>
    </w:rPr>
  </w:style>
  <w:style w:type="character" w:customStyle="1" w:styleId="67">
    <w:name w:val="正文文本缩进 3 字符"/>
    <w:basedOn w:val="35"/>
    <w:link w:val="27"/>
    <w:qFormat/>
    <w:locked/>
    <w:uiPriority w:val="0"/>
    <w:rPr>
      <w:rFonts w:ascii="宋体" w:hAnsi="宋体" w:eastAsia="宋体" w:cs="宋体"/>
      <w:kern w:val="44"/>
      <w:sz w:val="16"/>
      <w:szCs w:val="16"/>
    </w:rPr>
  </w:style>
  <w:style w:type="character" w:customStyle="1" w:styleId="68">
    <w:name w:val="纯文本 Char"/>
    <w:basedOn w:val="35"/>
    <w:qFormat/>
    <w:locked/>
    <w:uiPriority w:val="0"/>
    <w:rPr>
      <w:rFonts w:ascii="宋体" w:hAnsi="Courier New" w:eastAsia="宋体" w:cs="宋体"/>
      <w:kern w:val="44"/>
      <w:sz w:val="21"/>
      <w:szCs w:val="21"/>
    </w:rPr>
  </w:style>
  <w:style w:type="character" w:customStyle="1" w:styleId="69">
    <w:name w:val="正文 首行缩进 Char"/>
    <w:link w:val="70"/>
    <w:qFormat/>
    <w:uiPriority w:val="0"/>
    <w:rPr>
      <w:rFonts w:ascii="宋体" w:hAnsi="宋体"/>
      <w:color w:val="000000"/>
      <w:sz w:val="21"/>
      <w:szCs w:val="21"/>
    </w:rPr>
  </w:style>
  <w:style w:type="paragraph" w:customStyle="1" w:styleId="70">
    <w:name w:val="正文 首行缩进"/>
    <w:basedOn w:val="1"/>
    <w:link w:val="69"/>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1">
    <w:name w:val="Char Char12"/>
    <w:basedOn w:val="35"/>
    <w:qFormat/>
    <w:uiPriority w:val="0"/>
    <w:rPr>
      <w:rFonts w:ascii="Arial" w:hAnsi="Arial" w:eastAsia="黑体" w:cs="Arial"/>
      <w:b/>
      <w:bCs/>
      <w:kern w:val="2"/>
      <w:sz w:val="32"/>
      <w:szCs w:val="32"/>
      <w:lang w:val="en-US" w:eastAsia="zh-CN"/>
    </w:rPr>
  </w:style>
  <w:style w:type="character" w:customStyle="1" w:styleId="72">
    <w:name w:val="纯文本 字符"/>
    <w:basedOn w:val="35"/>
    <w:link w:val="17"/>
    <w:qFormat/>
    <w:locked/>
    <w:uiPriority w:val="0"/>
    <w:rPr>
      <w:rFonts w:ascii="宋体" w:hAnsi="Courier New" w:eastAsia="宋体" w:cs="宋体"/>
      <w:kern w:val="44"/>
      <w:sz w:val="21"/>
      <w:szCs w:val="21"/>
    </w:rPr>
  </w:style>
  <w:style w:type="character" w:customStyle="1" w:styleId="73">
    <w:name w:val="Char Char Char12"/>
    <w:basedOn w:val="35"/>
    <w:qFormat/>
    <w:uiPriority w:val="0"/>
    <w:rPr>
      <w:rFonts w:ascii="宋体" w:hAnsi="Courier New" w:eastAsia="宋体" w:cs="宋体"/>
      <w:kern w:val="2"/>
      <w:sz w:val="21"/>
      <w:szCs w:val="21"/>
      <w:lang w:val="en-US" w:eastAsia="zh-CN"/>
    </w:rPr>
  </w:style>
  <w:style w:type="character" w:customStyle="1" w:styleId="74">
    <w:name w:val="正文文本缩进 字符"/>
    <w:basedOn w:val="35"/>
    <w:link w:val="14"/>
    <w:qFormat/>
    <w:locked/>
    <w:uiPriority w:val="0"/>
    <w:rPr>
      <w:rFonts w:ascii="宋体" w:hAnsi="宋体" w:eastAsia="宋体" w:cs="宋体"/>
      <w:kern w:val="44"/>
      <w:sz w:val="28"/>
      <w:szCs w:val="28"/>
    </w:rPr>
  </w:style>
  <w:style w:type="paragraph" w:customStyle="1" w:styleId="75">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6">
    <w:name w:val="批注框文本 Char1"/>
    <w:basedOn w:val="35"/>
    <w:semiHidden/>
    <w:qFormat/>
    <w:uiPriority w:val="99"/>
    <w:rPr>
      <w:sz w:val="18"/>
      <w:szCs w:val="18"/>
    </w:rPr>
  </w:style>
  <w:style w:type="paragraph" w:customStyle="1" w:styleId="77">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79">
    <w:name w:val="正文文本缩进 3 Char1"/>
    <w:basedOn w:val="35"/>
    <w:semiHidden/>
    <w:qFormat/>
    <w:uiPriority w:val="99"/>
    <w:rPr>
      <w:sz w:val="16"/>
      <w:szCs w:val="16"/>
    </w:rPr>
  </w:style>
  <w:style w:type="paragraph" w:customStyle="1" w:styleId="8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1">
    <w:name w:val="日期 Char1"/>
    <w:basedOn w:val="35"/>
    <w:semiHidden/>
    <w:qFormat/>
    <w:uiPriority w:val="99"/>
  </w:style>
  <w:style w:type="paragraph" w:customStyle="1" w:styleId="8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3">
    <w:name w:val="正文文本缩进 Char1"/>
    <w:basedOn w:val="35"/>
    <w:semiHidden/>
    <w:qFormat/>
    <w:uiPriority w:val="99"/>
  </w:style>
  <w:style w:type="paragraph" w:customStyle="1" w:styleId="84">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5">
    <w:name w:val="文档结构图 Char1"/>
    <w:basedOn w:val="35"/>
    <w:semiHidden/>
    <w:qFormat/>
    <w:uiPriority w:val="99"/>
    <w:rPr>
      <w:rFonts w:ascii="Microsoft YaHei UI" w:eastAsia="Microsoft YaHei UI"/>
      <w:sz w:val="18"/>
      <w:szCs w:val="18"/>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88">
    <w:name w:val="批注主题 Char1"/>
    <w:basedOn w:val="62"/>
    <w:semiHidden/>
    <w:qFormat/>
    <w:uiPriority w:val="99"/>
    <w:rPr>
      <w:b/>
      <w:bCs/>
    </w:rPr>
  </w:style>
  <w:style w:type="paragraph" w:customStyle="1" w:styleId="89">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0">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2">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3">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4">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5">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7">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9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9">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1">
    <w:name w:val="列出段落1"/>
    <w:basedOn w:val="1"/>
    <w:qFormat/>
    <w:uiPriority w:val="0"/>
    <w:pPr>
      <w:ind w:firstLine="420"/>
    </w:pPr>
    <w:rPr>
      <w:rFonts w:ascii="Calibri" w:hAnsi="Calibri" w:eastAsia="宋体" w:cs="Calibri"/>
      <w:kern w:val="44"/>
      <w:sz w:val="21"/>
      <w:szCs w:val="21"/>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3">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5">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6">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7">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0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0">
    <w:name w:val="正文文本缩进 2 Char1"/>
    <w:basedOn w:val="35"/>
    <w:semiHidden/>
    <w:qFormat/>
    <w:uiPriority w:val="99"/>
  </w:style>
  <w:style w:type="paragraph" w:customStyle="1" w:styleId="111">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4">
    <w:name w:val="称呼 Char1"/>
    <w:basedOn w:val="35"/>
    <w:semiHidden/>
    <w:qFormat/>
    <w:uiPriority w:val="99"/>
  </w:style>
  <w:style w:type="paragraph" w:customStyle="1" w:styleId="115">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6">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19">
    <w:name w:val="正文文本 Char1"/>
    <w:basedOn w:val="35"/>
    <w:semiHidden/>
    <w:qFormat/>
    <w:uiPriority w:val="99"/>
  </w:style>
  <w:style w:type="paragraph" w:customStyle="1" w:styleId="120">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1">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3">
    <w:name w:val="表格文字"/>
    <w:basedOn w:val="14"/>
    <w:qFormat/>
    <w:uiPriority w:val="0"/>
    <w:pPr>
      <w:spacing w:before="60" w:after="60"/>
      <w:ind w:left="0" w:leftChars="0"/>
    </w:pPr>
    <w:rPr>
      <w:sz w:val="24"/>
      <w:szCs w:val="24"/>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6">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7">
    <w:name w:val="列出段落3"/>
    <w:basedOn w:val="1"/>
    <w:qFormat/>
    <w:uiPriority w:val="0"/>
    <w:pPr>
      <w:ind w:firstLine="420" w:firstLineChars="200"/>
    </w:pPr>
    <w:rPr>
      <w:rFonts w:ascii="Calibri" w:hAnsi="Calibri" w:eastAsia="宋体" w:cs="Calibri"/>
      <w:sz w:val="21"/>
      <w:szCs w:val="21"/>
    </w:rPr>
  </w:style>
  <w:style w:type="paragraph" w:customStyle="1" w:styleId="1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0">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2">
    <w:name w:val="纯文本 Char2"/>
    <w:basedOn w:val="35"/>
    <w:semiHidden/>
    <w:qFormat/>
    <w:uiPriority w:val="99"/>
    <w:rPr>
      <w:rFonts w:ascii="宋体" w:hAnsi="Courier New" w:eastAsia="宋体" w:cs="Courier New"/>
      <w:sz w:val="21"/>
      <w:szCs w:val="21"/>
    </w:rPr>
  </w:style>
  <w:style w:type="paragraph" w:customStyle="1" w:styleId="133">
    <w:name w:val="Char Char Char Char Char Char Char Char Char Char"/>
    <w:basedOn w:val="10"/>
    <w:qFormat/>
    <w:uiPriority w:val="0"/>
    <w:rPr>
      <w:rFonts w:ascii="Tahoma" w:hAnsi="Tahoma" w:cs="Tahoma"/>
      <w:sz w:val="24"/>
      <w:szCs w:val="24"/>
    </w:rPr>
  </w:style>
  <w:style w:type="paragraph" w:customStyle="1" w:styleId="134">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5">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6">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7">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8">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0">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1">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4">
    <w:name w:val="样式 标题 2 + Times New Roman 四号 非加粗 段前: 5 磅 段后: 0 磅 行距: 固定值 20..."/>
    <w:basedOn w:val="4"/>
    <w:next w:val="145"/>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5">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6">
    <w:name w:val="列出段落2"/>
    <w:basedOn w:val="1"/>
    <w:qFormat/>
    <w:uiPriority w:val="0"/>
    <w:pPr>
      <w:ind w:firstLine="420" w:firstLineChars="200"/>
    </w:pPr>
    <w:rPr>
      <w:rFonts w:ascii="Calibri" w:hAnsi="Calibri" w:eastAsia="宋体" w:cs="Calibri"/>
      <w:sz w:val="21"/>
      <w:szCs w:val="21"/>
    </w:rPr>
  </w:style>
  <w:style w:type="paragraph" w:customStyle="1" w:styleId="147">
    <w:name w:val="Char3"/>
    <w:basedOn w:val="1"/>
    <w:qFormat/>
    <w:uiPriority w:val="0"/>
    <w:rPr>
      <w:rFonts w:ascii="宋体" w:hAnsi="宋体" w:eastAsia="宋体" w:cs="宋体"/>
      <w:kern w:val="44"/>
      <w:sz w:val="21"/>
      <w:szCs w:val="21"/>
    </w:rPr>
  </w:style>
  <w:style w:type="paragraph" w:customStyle="1" w:styleId="1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9">
    <w:name w:val="Char Char Char Char Char Char Char Char Char Char1"/>
    <w:basedOn w:val="10"/>
    <w:qFormat/>
    <w:uiPriority w:val="0"/>
    <w:rPr>
      <w:rFonts w:ascii="Tahoma" w:hAnsi="Tahoma" w:cs="Tahoma"/>
      <w:sz w:val="24"/>
      <w:szCs w:val="24"/>
    </w:rPr>
  </w:style>
  <w:style w:type="paragraph" w:customStyle="1" w:styleId="150">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2">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3">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4">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6">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7">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5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0">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1">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3">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4">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6">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7">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9">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0">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1">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2">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5">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7">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78">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79">
    <w:name w:val="样式 标题 3 + (中文) 黑体 小四 非加粗 段前: 7.8 磅 段后: 0 磅 行距: 固定值 20 磅"/>
    <w:basedOn w:val="5"/>
    <w:next w:val="135"/>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0">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样式1"/>
    <w:link w:val="307"/>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3">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4">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5">
    <w:name w:val="Char1"/>
    <w:basedOn w:val="1"/>
    <w:qFormat/>
    <w:uiPriority w:val="0"/>
    <w:rPr>
      <w:rFonts w:ascii="宋体" w:hAnsi="宋体" w:eastAsia="宋体" w:cs="宋体"/>
      <w:kern w:val="44"/>
      <w:sz w:val="21"/>
      <w:szCs w:val="21"/>
    </w:rPr>
  </w:style>
  <w:style w:type="paragraph" w:customStyle="1" w:styleId="18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7">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8">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2">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3">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4">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5">
    <w:name w:val="列出段落11"/>
    <w:basedOn w:val="1"/>
    <w:qFormat/>
    <w:uiPriority w:val="0"/>
    <w:pPr>
      <w:ind w:firstLine="420" w:firstLineChars="200"/>
    </w:pPr>
    <w:rPr>
      <w:rFonts w:ascii="Calibri" w:hAnsi="Calibri" w:eastAsia="宋体" w:cs="Calibri"/>
      <w:sz w:val="21"/>
      <w:szCs w:val="21"/>
    </w:rPr>
  </w:style>
  <w:style w:type="paragraph" w:customStyle="1" w:styleId="196">
    <w:name w:val="Char Char Char Char Char Char Char Char Char Char3"/>
    <w:basedOn w:val="10"/>
    <w:qFormat/>
    <w:uiPriority w:val="0"/>
    <w:rPr>
      <w:rFonts w:ascii="Tahoma" w:hAnsi="Tahoma" w:cs="Tahoma"/>
      <w:sz w:val="24"/>
      <w:szCs w:val="24"/>
    </w:rPr>
  </w:style>
  <w:style w:type="paragraph" w:customStyle="1" w:styleId="197">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98">
    <w:name w:val="Char2"/>
    <w:basedOn w:val="1"/>
    <w:qFormat/>
    <w:uiPriority w:val="0"/>
    <w:rPr>
      <w:rFonts w:ascii="宋体" w:hAnsi="宋体" w:eastAsia="宋体" w:cs="宋体"/>
      <w:kern w:val="44"/>
      <w:sz w:val="21"/>
      <w:szCs w:val="21"/>
    </w:rPr>
  </w:style>
  <w:style w:type="paragraph" w:customStyle="1" w:styleId="199">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0">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2">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4">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5">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6">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08">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9">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0">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1">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2">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4">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18">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9">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1">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2">
    <w:name w:val="Char"/>
    <w:basedOn w:val="1"/>
    <w:qFormat/>
    <w:uiPriority w:val="0"/>
    <w:rPr>
      <w:rFonts w:ascii="宋体" w:hAnsi="宋体" w:eastAsia="宋体" w:cs="宋体"/>
      <w:kern w:val="44"/>
      <w:sz w:val="21"/>
      <w:szCs w:val="21"/>
    </w:rPr>
  </w:style>
  <w:style w:type="paragraph" w:customStyle="1" w:styleId="223">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29">
    <w:name w:val="Char Char Char Char Char Char Char4"/>
    <w:basedOn w:val="1"/>
    <w:qFormat/>
    <w:uiPriority w:val="0"/>
    <w:pPr>
      <w:spacing w:beforeLines="50" w:afterLines="50"/>
    </w:pPr>
    <w:rPr>
      <w:rFonts w:ascii="Tahoma" w:hAnsi="Tahoma" w:eastAsia="宋体" w:cs="Tahoma"/>
      <w:kern w:val="44"/>
    </w:rPr>
  </w:style>
  <w:style w:type="paragraph" w:customStyle="1" w:styleId="230">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1">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2">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5">
    <w:name w:val="Char Char Char Char Char Char Char Char Char Char2"/>
    <w:basedOn w:val="10"/>
    <w:qFormat/>
    <w:uiPriority w:val="0"/>
    <w:rPr>
      <w:rFonts w:ascii="Tahoma" w:hAnsi="Tahoma" w:cs="Tahoma"/>
      <w:sz w:val="24"/>
      <w:szCs w:val="24"/>
    </w:rPr>
  </w:style>
  <w:style w:type="paragraph" w:customStyle="1" w:styleId="236">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7">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8">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0">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1">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3">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4">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5">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6">
    <w:name w:val="Char Char Char Char"/>
    <w:basedOn w:val="10"/>
    <w:qFormat/>
    <w:uiPriority w:val="0"/>
    <w:rPr>
      <w:rFonts w:ascii="Tahoma" w:hAnsi="Tahoma" w:cs="Tahoma"/>
      <w:sz w:val="24"/>
      <w:szCs w:val="24"/>
    </w:rPr>
  </w:style>
  <w:style w:type="paragraph" w:customStyle="1" w:styleId="247">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4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4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0">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1">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3">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5">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6">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5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9">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0">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2">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4">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5">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6">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8">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69">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0">
    <w:name w:val="样式2"/>
    <w:qFormat/>
    <w:uiPriority w:val="0"/>
    <w:rPr>
      <w:rFonts w:ascii="Times New Roman" w:hAnsi="Times New Roman" w:eastAsia="仿宋_GB2312" w:cs="Times New Roman"/>
      <w:kern w:val="2"/>
      <w:sz w:val="18"/>
      <w:szCs w:val="18"/>
      <w:lang w:val="en-US" w:eastAsia="zh-CN" w:bidi="ar-SA"/>
    </w:rPr>
  </w:style>
  <w:style w:type="paragraph" w:customStyle="1" w:styleId="271">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3">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5">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6">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7">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78">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7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0">
    <w:name w:val="Char Char Char"/>
    <w:basedOn w:val="10"/>
    <w:qFormat/>
    <w:uiPriority w:val="0"/>
    <w:pPr>
      <w:adjustRightInd w:val="0"/>
      <w:spacing w:line="436" w:lineRule="exact"/>
      <w:ind w:left="357"/>
      <w:jc w:val="left"/>
      <w:outlineLvl w:val="3"/>
    </w:pPr>
    <w:rPr>
      <w:rFonts w:ascii="Tahoma" w:hAnsi="Tahoma" w:cs="Tahoma"/>
      <w:b/>
      <w:bCs/>
      <w:sz w:val="44"/>
      <w:szCs w:val="44"/>
    </w:rPr>
  </w:style>
  <w:style w:type="paragraph" w:customStyle="1" w:styleId="281">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2">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3">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4">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6">
    <w:name w:val="xl8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7">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0">
    <w:name w:val="xl190"/>
    <w:basedOn w:val="1"/>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1">
    <w:name w:val="Char Char Char Char1"/>
    <w:basedOn w:val="10"/>
    <w:uiPriority w:val="0"/>
    <w:rPr>
      <w:rFonts w:ascii="Tahoma" w:hAnsi="Tahoma" w:cs="Tahoma"/>
      <w:sz w:val="24"/>
      <w:szCs w:val="24"/>
    </w:rPr>
  </w:style>
  <w:style w:type="paragraph" w:customStyle="1" w:styleId="292">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4">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6">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9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0">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1">
    <w:name w:val="Char Char Char Char Char Char Char Char Char Char4"/>
    <w:basedOn w:val="10"/>
    <w:qFormat/>
    <w:uiPriority w:val="0"/>
    <w:rPr>
      <w:rFonts w:ascii="Tahoma" w:hAnsi="Tahoma" w:cs="Tahoma"/>
      <w:sz w:val="24"/>
      <w:szCs w:val="24"/>
    </w:rPr>
  </w:style>
  <w:style w:type="paragraph" w:customStyle="1" w:styleId="30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3">
    <w:name w:val="正文文本 3 字符"/>
    <w:basedOn w:val="35"/>
    <w:link w:val="13"/>
    <w:semiHidden/>
    <w:qFormat/>
    <w:uiPriority w:val="99"/>
    <w:rPr>
      <w:sz w:val="16"/>
      <w:szCs w:val="16"/>
    </w:rPr>
  </w:style>
  <w:style w:type="paragraph" w:customStyle="1" w:styleId="304">
    <w:name w:val="样式8"/>
    <w:basedOn w:val="270"/>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5">
    <w:name w:val="标题 字符"/>
    <w:basedOn w:val="35"/>
    <w:link w:val="31"/>
    <w:qFormat/>
    <w:uiPriority w:val="0"/>
    <w:rPr>
      <w:rFonts w:ascii="Times New Roman" w:hAnsi="Times New Roman" w:eastAsia="仿宋_GB2312" w:cs="Times New Roman"/>
      <w:bCs/>
      <w:sz w:val="28"/>
      <w:szCs w:val="32"/>
    </w:rPr>
  </w:style>
  <w:style w:type="paragraph" w:customStyle="1" w:styleId="306">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7">
    <w:name w:val="样式1 Char"/>
    <w:basedOn w:val="69"/>
    <w:link w:val="181"/>
    <w:qFormat/>
    <w:uiPriority w:val="0"/>
    <w:rPr>
      <w:rFonts w:ascii="Times New Roman" w:hAnsi="Times New Roman" w:eastAsia="仿宋_GB2312" w:cs="Times New Roman"/>
      <w:color w:val="000000"/>
      <w:sz w:val="18"/>
      <w:szCs w:val="18"/>
    </w:rPr>
  </w:style>
  <w:style w:type="character" w:customStyle="1" w:styleId="308">
    <w:name w:val="正文文本首行缩进 2 字符"/>
    <w:basedOn w:val="74"/>
    <w:link w:val="33"/>
    <w:qFormat/>
    <w:uiPriority w:val="0"/>
    <w:rPr>
      <w:rFonts w:ascii="Times New Roman" w:hAnsi="Times New Roman" w:eastAsia="宋体" w:cs="Times New Roman"/>
      <w:kern w:val="44"/>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A223A-A621-427B-8A0A-026AB51276BC}">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33</Pages>
  <Words>15584</Words>
  <Characters>16842</Characters>
  <Lines>92</Lines>
  <Paragraphs>26</Paragraphs>
  <TotalTime>5</TotalTime>
  <ScaleCrop>false</ScaleCrop>
  <LinksUpToDate>false</LinksUpToDate>
  <CharactersWithSpaces>18231</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史朝辉</cp:lastModifiedBy>
  <cp:lastPrinted>2020-05-07T01:04:00Z</cp:lastPrinted>
  <dcterms:modified xsi:type="dcterms:W3CDTF">2023-01-12T00:35:45Z</dcterms:modified>
  <dc:title>物资招标标准文本</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D4340E35EEBC42378C3E01B19B77AAB1</vt:lpwstr>
  </property>
</Properties>
</file>