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ZJLQ-FG-石太改扩建3分部-202300</w:t>
      </w:r>
      <w:r>
        <w:rPr>
          <w:rFonts w:cs="Times New Roman" w:asciiTheme="majorEastAsia" w:hAnsiTheme="majorEastAsia" w:eastAsiaTheme="majorEastAsia"/>
          <w:b/>
          <w:color w:val="000000"/>
          <w:kern w:val="2"/>
          <w:sz w:val="28"/>
          <w:szCs w:val="28"/>
          <w:highlight w:val="none"/>
          <w:u w:val="single"/>
        </w:rPr>
        <w:t>2</w:t>
      </w:r>
      <w:r>
        <w:rPr>
          <w:rFonts w:hint="eastAsia" w:cs="Times New Roman" w:asciiTheme="majorEastAsia" w:hAnsiTheme="majorEastAsia" w:eastAsiaTheme="majorEastAsia"/>
          <w:b/>
          <w:color w:val="000000"/>
          <w:kern w:val="2"/>
          <w:sz w:val="28"/>
          <w:szCs w:val="28"/>
          <w:highlight w:val="none"/>
          <w:u w:val="single"/>
        </w:rPr>
        <w:t>号</w:t>
      </w:r>
    </w:p>
    <w:p>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0"/>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30"/>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pPr>
        <w:pStyle w:val="30"/>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bookmarkStart w:id="0" w:name="_Hlk108080630"/>
      <w:r>
        <w:rPr>
          <w:rFonts w:hint="eastAsia" w:cs="Times New Roman" w:asciiTheme="majorEastAsia" w:hAnsiTheme="majorEastAsia" w:eastAsiaTheme="majorEastAsia"/>
          <w:b/>
          <w:color w:val="000000"/>
          <w:kern w:val="2"/>
          <w:sz w:val="44"/>
          <w:szCs w:val="44"/>
          <w:highlight w:val="none"/>
          <w:u w:val="single"/>
        </w:rPr>
        <w:t>石太高速公路改扩建工程3分部</w:t>
      </w:r>
      <w:r>
        <w:rPr>
          <w:rFonts w:hint="eastAsia" w:cs="Times New Roman" w:asciiTheme="majorEastAsia" w:hAnsiTheme="majorEastAsia" w:eastAsiaTheme="majorEastAsia"/>
          <w:b/>
          <w:color w:val="000000"/>
          <w:kern w:val="2"/>
          <w:sz w:val="44"/>
          <w:szCs w:val="44"/>
          <w:highlight w:val="none"/>
        </w:rPr>
        <w:t>项目</w:t>
      </w:r>
      <w:bookmarkEnd w:id="0"/>
    </w:p>
    <w:p>
      <w:pPr>
        <w:pStyle w:val="30"/>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 xml:space="preserve"> 商品混凝土 </w:t>
      </w:r>
      <w:r>
        <w:rPr>
          <w:rFonts w:hint="eastAsia" w:cs="Times New Roman" w:asciiTheme="majorEastAsia" w:hAnsiTheme="majorEastAsia" w:eastAsiaTheme="majorEastAsia"/>
          <w:b/>
          <w:color w:val="000000"/>
          <w:kern w:val="2"/>
          <w:sz w:val="44"/>
          <w:szCs w:val="44"/>
          <w:highlight w:val="none"/>
        </w:rPr>
        <w:t>采购</w:t>
      </w:r>
    </w:p>
    <w:p>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pStyle w:val="30"/>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1" w:name="_Toc17532"/>
    </w:p>
    <w:p>
      <w:pPr>
        <w:pStyle w:val="30"/>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p>
    <w:p>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2022</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01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07 </w:t>
      </w:r>
      <w:r>
        <w:rPr>
          <w:rFonts w:hint="eastAsia" w:cs="Times New Roman" w:asciiTheme="majorEastAsia" w:hAnsiTheme="majorEastAsia" w:eastAsiaTheme="majorEastAsia"/>
          <w:b/>
          <w:color w:val="000000"/>
          <w:kern w:val="2"/>
          <w:sz w:val="28"/>
          <w:szCs w:val="28"/>
          <w:highlight w:val="none"/>
        </w:rPr>
        <w:t>日</w:t>
      </w:r>
    </w:p>
    <w:p>
      <w:pPr>
        <w:widowControl/>
        <w:jc w:val="left"/>
        <w:rPr>
          <w:rFonts w:cs="黑体" w:asciiTheme="majorEastAsia" w:hAnsiTheme="majorEastAsia" w:eastAsiaTheme="majorEastAsia"/>
          <w:sz w:val="32"/>
          <w:szCs w:val="32"/>
          <w:highlight w:val="none"/>
        </w:rPr>
      </w:pPr>
      <w:r>
        <w:rPr>
          <w:rFonts w:cs="黑体" w:asciiTheme="majorEastAsia" w:hAnsiTheme="majorEastAsia" w:eastAsiaTheme="majorEastAsia"/>
          <w:sz w:val="32"/>
          <w:szCs w:val="32"/>
          <w:highlight w:val="none"/>
        </w:rPr>
        <w:br w:type="page"/>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jc w:val="center"/>
        <w:outlineLvl w:val="0"/>
        <w:rPr>
          <w:rFonts w:cs="黑体" w:asciiTheme="majorEastAsia" w:hAnsiTheme="majorEastAsia" w:eastAsiaTheme="majorEastAsia"/>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79"/>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8"/>
        <w:gridCol w:w="3971"/>
        <w:gridCol w:w="4364"/>
      </w:tblGrid>
      <w:tr>
        <w:tblPrEx>
          <w:tblCellMar>
            <w:top w:w="0" w:type="dxa"/>
            <w:left w:w="108" w:type="dxa"/>
            <w:bottom w:w="0" w:type="dxa"/>
            <w:right w:w="108" w:type="dxa"/>
          </w:tblCellMar>
        </w:tblPrEx>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bookmarkStart w:id="2" w:name="_Toc238552194"/>
            <w:bookmarkStart w:id="3" w:name="_Toc152042304"/>
            <w:bookmarkStart w:id="4" w:name="_Toc287545429"/>
            <w:bookmarkStart w:id="5" w:name="_Toc238797549"/>
            <w:bookmarkStart w:id="6" w:name="_Toc144974496"/>
            <w:bookmarkStart w:id="7" w:name="_Toc152045528"/>
            <w:r>
              <w:rPr>
                <w:rFonts w:hint="eastAsia" w:ascii="仿宋_GB2312" w:eastAsia="仿宋_GB2312" w:cs="宋体" w:hAnsiTheme="minorEastAsia"/>
                <w:sz w:val="21"/>
                <w:szCs w:val="21"/>
                <w:highlight w:val="none"/>
              </w:rPr>
              <w:t>序号</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按招标人要求准时足额供应  </w:t>
            </w:r>
            <w:r>
              <w:rPr>
                <w:rFonts w:hint="eastAsia" w:ascii="仿宋_GB2312" w:eastAsia="仿宋_GB2312" w:cs="宋体" w:hAnsiTheme="minorEastAsia"/>
                <w:sz w:val="21"/>
                <w:szCs w:val="21"/>
                <w:highlight w:val="none"/>
              </w:rPr>
              <w:t xml:space="preserve"> </w:t>
            </w:r>
          </w:p>
          <w:p>
            <w:pPr>
              <w:pStyle w:val="179"/>
              <w:keepNext w:val="0"/>
              <w:keepLines w:val="0"/>
              <w:rPr>
                <w:rFonts w:ascii="仿宋_GB2312" w:hAnsi="仿宋" w:eastAsia="仿宋_GB2312"/>
                <w:bCs/>
                <w:color w:val="000000" w:themeColor="text1"/>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 具有</w:t>
            </w:r>
            <w:r>
              <w:rPr>
                <w:rFonts w:hint="eastAsia" w:ascii="仿宋_GB2312" w:hAnsi="仿宋" w:eastAsia="仿宋_GB2312"/>
                <w:bCs/>
                <w:color w:val="000000" w:themeColor="text1"/>
                <w:sz w:val="21"/>
                <w:szCs w:val="21"/>
                <w:highlight w:val="none"/>
              </w:rPr>
              <w:t>绿色、节能、环保管理体系和管理，符合国家关于碳排放标准的要求。</w:t>
            </w:r>
          </w:p>
          <w:p>
            <w:pPr>
              <w:pStyle w:val="179"/>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，第</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个月末支付至当期应付货款的</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80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20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%货款在供货完毕，办理最终结算后支付。</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left"/>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具备使用银行承兑汇票或供应链金融等非现金业务的能力。乙方接受不低于合同总价</w:t>
            </w:r>
            <w:r>
              <w:rPr>
                <w:rFonts w:hint="eastAsia" w:ascii="仿宋_GB2312" w:eastAsia="仿宋_GB2312" w:cs="宋体" w:hAnsiTheme="minorEastAsia"/>
                <w:color w:val="000000" w:themeColor="text1"/>
                <w:sz w:val="21"/>
                <w:szCs w:val="21"/>
                <w:highlight w:val="none"/>
                <w:u w:val="single"/>
              </w:rPr>
              <w:t xml:space="preserve">  </w:t>
            </w:r>
            <w:r>
              <w:rPr>
                <w:rFonts w:ascii="仿宋_GB2312" w:eastAsia="仿宋_GB2312" w:cs="宋体" w:hAnsiTheme="minorEastAsia"/>
                <w:color w:val="000000" w:themeColor="text1"/>
                <w:sz w:val="21"/>
                <w:szCs w:val="21"/>
                <w:highlight w:val="none"/>
                <w:u w:val="single"/>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%的承兑汇票、供应链金融等非现金付款方式，期限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ascii="仿宋_GB2312" w:eastAsia="仿宋_GB2312" w:cs="宋体" w:hAnsiTheme="minorEastAsia"/>
                <w:color w:val="000000" w:themeColor="text1"/>
                <w:sz w:val="21"/>
                <w:szCs w:val="21"/>
                <w:highlight w:val="none"/>
                <w:u w:val="single"/>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 “招标文件”发布信息为准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hAnsi="宋体" w:eastAsia="仿宋_GB2312" w:cs="宋体"/>
                <w:sz w:val="21"/>
                <w:szCs w:val="21"/>
                <w:highlight w:val="none"/>
              </w:rPr>
              <w:sym w:font="Wingdings 2" w:char="0052"/>
            </w:r>
          </w:p>
          <w:p>
            <w:pPr>
              <w:pStyle w:val="135"/>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0.5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2105"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2313" w:type="pct"/>
            <w:tcBorders>
              <w:top w:val="single" w:color="auto" w:sz="4" w:space="0"/>
              <w:left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2105"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2313" w:type="pct"/>
            <w:tcBorders>
              <w:top w:val="single" w:color="auto" w:sz="4" w:space="0"/>
              <w:left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2.开标顺序：随机</w:t>
            </w:r>
            <w:r>
              <w:rPr>
                <w:rFonts w:ascii="仿宋_GB2312" w:eastAsia="仿宋_GB2312" w:cs="宋体" w:hAnsiTheme="minorEastAsia"/>
                <w:sz w:val="21"/>
                <w:szCs w:val="21"/>
                <w:highlight w:val="none"/>
              </w:rPr>
              <w:t xml:space="preserve"> </w:t>
            </w:r>
          </w:p>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2</w:t>
            </w:r>
            <w:r>
              <w:rPr>
                <w:rFonts w:ascii="仿宋_GB2312" w:eastAsia="仿宋_GB2312" w:cs="宋体" w:hAnsiTheme="minorEastAsia"/>
                <w:color w:val="000000" w:themeColor="text1"/>
                <w:sz w:val="21"/>
                <w:szCs w:val="21"/>
                <w:highlight w:val="none"/>
              </w:rPr>
              <w:t>0</w:t>
            </w:r>
          </w:p>
        </w:tc>
        <w:tc>
          <w:tcPr>
            <w:tcW w:w="2105"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物资计量方式：</w:t>
            </w:r>
          </w:p>
        </w:tc>
        <w:tc>
          <w:tcPr>
            <w:tcW w:w="2313"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过磅</w:t>
            </w:r>
            <w:r>
              <w:rPr>
                <w:rFonts w:hint="eastAsia" w:ascii="仿宋_GB2312" w:hAnsi="仿宋_GB2312" w:eastAsia="仿宋_GB2312" w:cs="仿宋_GB2312"/>
                <w:sz w:val="21"/>
                <w:szCs w:val="21"/>
                <w:highlight w:val="none"/>
              </w:rPr>
              <w:sym w:font="Wingdings 2" w:char="0052"/>
            </w:r>
            <w:r>
              <w:rPr>
                <w:rFonts w:hint="eastAsia" w:ascii="仿宋_GB2312" w:hAnsi="仿宋_GB2312" w:eastAsia="仿宋_GB2312" w:cs="仿宋_GB2312"/>
                <w:sz w:val="21"/>
                <w:szCs w:val="21"/>
                <w:highlight w:val="none"/>
              </w:rPr>
              <w:t>计件□</w:t>
            </w:r>
            <w:r>
              <w:rPr>
                <w:rFonts w:hint="eastAsia" w:ascii="仿宋_GB2312" w:eastAsia="仿宋_GB2312" w:cs="宋体" w:hAnsiTheme="minorEastAsia"/>
                <w:sz w:val="21"/>
                <w:szCs w:val="21"/>
                <w:highlight w:val="none"/>
              </w:rPr>
              <w:t xml:space="preserve"> 检尺□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bookmarkEnd w:id="1"/>
      <w:bookmarkEnd w:id="2"/>
      <w:bookmarkEnd w:id="3"/>
      <w:bookmarkEnd w:id="4"/>
      <w:bookmarkEnd w:id="5"/>
      <w:bookmarkEnd w:id="6"/>
      <w:bookmarkEnd w:id="7"/>
    </w:tbl>
    <w:p>
      <w:pPr>
        <w:widowControl/>
        <w:jc w:val="left"/>
        <w:rPr>
          <w:rFonts w:ascii="仿宋_GB2312" w:eastAsia="仿宋_GB2312" w:cs="Times New Roman" w:hAnsiTheme="minorEastAsia"/>
          <w:b/>
          <w:bCs/>
          <w:sz w:val="28"/>
          <w:szCs w:val="28"/>
          <w:highlight w:val="none"/>
        </w:rPr>
      </w:pPr>
      <w:bookmarkStart w:id="8" w:name="_Toc214333205"/>
      <w:bookmarkStart w:id="9" w:name="_Toc31831"/>
      <w:bookmarkStart w:id="10" w:name="_Toc214336660"/>
      <w:bookmarkStart w:id="11" w:name="_Toc214339494"/>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8"/>
      <w:bookmarkEnd w:id="9"/>
      <w:bookmarkEnd w:id="10"/>
      <w:bookmarkEnd w:id="11"/>
    </w:p>
    <w:p>
      <w:pPr>
        <w:pStyle w:val="179"/>
        <w:keepNext w:val="0"/>
        <w:keepLines w:val="0"/>
        <w:ind w:firstLine="482" w:firstLineChars="200"/>
        <w:jc w:val="left"/>
        <w:rPr>
          <w:rFonts w:ascii="仿宋_GB2312" w:eastAsia="仿宋_GB2312" w:hAnsiTheme="minorEastAsia"/>
          <w:b/>
          <w:bCs/>
          <w:highlight w:val="none"/>
        </w:rPr>
      </w:pPr>
      <w:bookmarkStart w:id="12" w:name="_Toc21102"/>
      <w:r>
        <w:rPr>
          <w:rFonts w:hint="eastAsia" w:ascii="仿宋_GB2312" w:eastAsia="仿宋_GB2312" w:cs="宋体" w:hAnsiTheme="minorEastAsia"/>
          <w:b/>
          <w:bCs/>
          <w:highlight w:val="none"/>
        </w:rPr>
        <w:t>1.项目概况</w:t>
      </w:r>
      <w:bookmarkEnd w:id="12"/>
    </w:p>
    <w:p>
      <w:pPr>
        <w:pStyle w:val="179"/>
        <w:keepNext w:val="0"/>
        <w:keepLines w:val="0"/>
        <w:ind w:firstLine="420" w:firstLineChars="200"/>
        <w:jc w:val="left"/>
        <w:rPr>
          <w:rFonts w:ascii="仿宋_GB2312" w:eastAsia="仿宋_GB2312" w:cs="宋体" w:hAnsiTheme="minorEastAsia"/>
          <w:sz w:val="21"/>
          <w:szCs w:val="21"/>
          <w:highlight w:val="none"/>
        </w:rPr>
      </w:pPr>
      <w:bookmarkStart w:id="13"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坚持以习近平新时代中国特色社会主义思想为指导，全面贯彻党的十九大精神。遵守自由、平等、公正、法治的社会主义核心价值观。</w:t>
      </w:r>
    </w:p>
    <w:p>
      <w:pPr>
        <w:pStyle w:val="179"/>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3"/>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pPr>
        <w:pStyle w:val="179"/>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ZJLQ-FG-石太改扩建3分部-202300</w:t>
      </w:r>
      <w:r>
        <w:rPr>
          <w:rFonts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u w:val="single"/>
        </w:rPr>
        <w:t xml:space="preserve">号  </w:t>
      </w:r>
      <w:r>
        <w:rPr>
          <w:rFonts w:ascii="仿宋_GB2312" w:eastAsia="仿宋_GB2312" w:cs="宋体" w:hAnsiTheme="minorEastAsia"/>
          <w:sz w:val="21"/>
          <w:szCs w:val="21"/>
          <w:highlight w:val="none"/>
        </w:rPr>
        <w:t xml:space="preserve"> </w:t>
      </w:r>
    </w:p>
    <w:p>
      <w:pPr>
        <w:pStyle w:val="179"/>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中建路桥集团有限公司石太高速公路改扩建工程3分部项目经理部</w:t>
      </w:r>
      <w:r>
        <w:rPr>
          <w:rFonts w:ascii="仿宋_GB2312" w:eastAsia="仿宋_GB2312" w:cs="宋体" w:hAnsiTheme="minorEastAsia"/>
          <w:sz w:val="21"/>
          <w:szCs w:val="21"/>
          <w:highlight w:val="none"/>
        </w:rPr>
        <w:t xml:space="preserve"> </w:t>
      </w:r>
    </w:p>
    <w:p>
      <w:pPr>
        <w:pStyle w:val="179"/>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河北省石家庄市井陉县 </w:t>
      </w:r>
    </w:p>
    <w:p>
      <w:pPr>
        <w:pStyle w:val="179"/>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鲁先生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15176142551 </w:t>
      </w:r>
    </w:p>
    <w:p>
      <w:pPr>
        <w:pStyle w:val="179"/>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79"/>
        <w:keepNext w:val="0"/>
        <w:keepLines w:val="0"/>
        <w:ind w:firstLine="482" w:firstLineChars="200"/>
        <w:jc w:val="left"/>
        <w:rPr>
          <w:rFonts w:ascii="仿宋_GB2312" w:eastAsia="仿宋_GB2312" w:hAnsiTheme="minorEastAsia"/>
          <w:b/>
          <w:bCs/>
          <w:highlight w:val="none"/>
        </w:rPr>
      </w:pPr>
      <w:bookmarkStart w:id="14" w:name="_Toc20775"/>
      <w:r>
        <w:rPr>
          <w:rFonts w:hint="eastAsia" w:ascii="仿宋_GB2312" w:eastAsia="仿宋_GB2312" w:cs="宋体" w:hAnsiTheme="minorEastAsia"/>
          <w:b/>
          <w:bCs/>
          <w:highlight w:val="none"/>
        </w:rPr>
        <w:t>2.招标人</w:t>
      </w:r>
      <w:bookmarkEnd w:id="14"/>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pPr>
        <w:pStyle w:val="179"/>
        <w:keepNext w:val="0"/>
        <w:keepLines w:val="0"/>
        <w:ind w:firstLine="482" w:firstLineChars="200"/>
        <w:jc w:val="left"/>
        <w:rPr>
          <w:rFonts w:ascii="仿宋_GB2312" w:eastAsia="仿宋_GB2312" w:hAnsiTheme="minorEastAsia"/>
          <w:b/>
          <w:bCs/>
          <w:highlight w:val="none"/>
        </w:rPr>
      </w:pPr>
      <w:bookmarkStart w:id="15" w:name="_Toc6649"/>
      <w:r>
        <w:rPr>
          <w:rFonts w:hint="eastAsia" w:ascii="仿宋_GB2312" w:eastAsia="仿宋_GB2312" w:cs="宋体" w:hAnsiTheme="minorEastAsia"/>
          <w:b/>
          <w:bCs/>
          <w:highlight w:val="none"/>
        </w:rPr>
        <w:t>3.采购资金来源</w:t>
      </w:r>
      <w:bookmarkEnd w:id="15"/>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79"/>
        <w:keepNext w:val="0"/>
        <w:keepLines w:val="0"/>
        <w:ind w:firstLine="482" w:firstLineChars="200"/>
        <w:jc w:val="left"/>
        <w:rPr>
          <w:rFonts w:ascii="仿宋_GB2312" w:eastAsia="仿宋_GB2312" w:hAnsiTheme="minorEastAsia"/>
          <w:b/>
          <w:bCs/>
          <w:highlight w:val="none"/>
        </w:rPr>
      </w:pPr>
      <w:bookmarkStart w:id="16" w:name="_Toc30721"/>
      <w:r>
        <w:rPr>
          <w:rFonts w:hint="eastAsia" w:ascii="仿宋_GB2312" w:eastAsia="仿宋_GB2312" w:cs="宋体" w:hAnsiTheme="minorEastAsia"/>
          <w:b/>
          <w:bCs/>
          <w:highlight w:val="none"/>
        </w:rPr>
        <w:t>4.招标物资、包件划分和要求</w:t>
      </w:r>
      <w:bookmarkEnd w:id="16"/>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石太高速公路改扩建工程3分部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商品混凝土 </w:t>
      </w:r>
      <w:r>
        <w:rPr>
          <w:rFonts w:hint="eastAsia" w:ascii="仿宋_GB2312" w:eastAsia="仿宋_GB2312" w:hAnsiTheme="minorEastAsia"/>
          <w:sz w:val="21"/>
          <w:szCs w:val="21"/>
          <w:highlight w:val="none"/>
        </w:rPr>
        <w:t>。具体数量详见下表。</w:t>
      </w:r>
    </w:p>
    <w:tbl>
      <w:tblPr>
        <w:tblStyle w:val="34"/>
        <w:tblW w:w="7774" w:type="dxa"/>
        <w:tblInd w:w="582" w:type="dxa"/>
        <w:tblLayout w:type="fixed"/>
        <w:tblCellMar>
          <w:top w:w="15" w:type="dxa"/>
          <w:left w:w="15" w:type="dxa"/>
          <w:bottom w:w="15" w:type="dxa"/>
          <w:right w:w="15" w:type="dxa"/>
        </w:tblCellMar>
      </w:tblPr>
      <w:tblGrid>
        <w:gridCol w:w="659"/>
        <w:gridCol w:w="1845"/>
        <w:gridCol w:w="1712"/>
        <w:gridCol w:w="1186"/>
        <w:gridCol w:w="1318"/>
        <w:gridCol w:w="1054"/>
      </w:tblGrid>
      <w:tr>
        <w:tblPrEx>
          <w:tblCellMar>
            <w:top w:w="15" w:type="dxa"/>
            <w:left w:w="15" w:type="dxa"/>
            <w:bottom w:w="15" w:type="dxa"/>
            <w:right w:w="15" w:type="dxa"/>
          </w:tblCellMar>
        </w:tblPrEx>
        <w:trPr>
          <w:trHeight w:val="645"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7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18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318"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05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tblPrEx>
          <w:tblCellMar>
            <w:top w:w="15" w:type="dxa"/>
            <w:left w:w="15" w:type="dxa"/>
            <w:bottom w:w="15" w:type="dxa"/>
            <w:right w:w="15" w:type="dxa"/>
          </w:tblCellMar>
        </w:tblPrEx>
        <w:trPr>
          <w:trHeight w:val="645"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商品混凝土</w:t>
            </w:r>
          </w:p>
        </w:tc>
        <w:tc>
          <w:tcPr>
            <w:tcW w:w="171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C15</w:t>
            </w:r>
          </w:p>
        </w:tc>
        <w:tc>
          <w:tcPr>
            <w:tcW w:w="11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m³</w:t>
            </w:r>
          </w:p>
        </w:tc>
        <w:tc>
          <w:tcPr>
            <w:tcW w:w="1318"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100</w:t>
            </w:r>
          </w:p>
        </w:tc>
        <w:tc>
          <w:tcPr>
            <w:tcW w:w="105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highlight w:val="none"/>
              </w:rPr>
            </w:pPr>
          </w:p>
        </w:tc>
      </w:tr>
      <w:tr>
        <w:tblPrEx>
          <w:tblCellMar>
            <w:top w:w="15" w:type="dxa"/>
            <w:left w:w="15" w:type="dxa"/>
            <w:bottom w:w="15" w:type="dxa"/>
            <w:right w:w="15" w:type="dxa"/>
          </w:tblCellMar>
        </w:tblPrEx>
        <w:trPr>
          <w:trHeight w:val="645"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2</w:t>
            </w:r>
          </w:p>
        </w:tc>
        <w:tc>
          <w:tcPr>
            <w:tcW w:w="18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商品混凝土</w:t>
            </w:r>
          </w:p>
        </w:tc>
        <w:tc>
          <w:tcPr>
            <w:tcW w:w="171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C20</w:t>
            </w:r>
          </w:p>
        </w:tc>
        <w:tc>
          <w:tcPr>
            <w:tcW w:w="11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m³</w:t>
            </w:r>
          </w:p>
        </w:tc>
        <w:tc>
          <w:tcPr>
            <w:tcW w:w="1318"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100</w:t>
            </w:r>
          </w:p>
        </w:tc>
        <w:tc>
          <w:tcPr>
            <w:tcW w:w="105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highlight w:val="none"/>
              </w:rPr>
            </w:pPr>
          </w:p>
        </w:tc>
      </w:tr>
      <w:tr>
        <w:tblPrEx>
          <w:tblCellMar>
            <w:top w:w="15" w:type="dxa"/>
            <w:left w:w="15" w:type="dxa"/>
            <w:bottom w:w="15" w:type="dxa"/>
            <w:right w:w="15" w:type="dxa"/>
          </w:tblCellMar>
        </w:tblPrEx>
        <w:trPr>
          <w:trHeight w:val="645"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3</w:t>
            </w:r>
          </w:p>
        </w:tc>
        <w:tc>
          <w:tcPr>
            <w:tcW w:w="18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商品混凝土</w:t>
            </w:r>
          </w:p>
        </w:tc>
        <w:tc>
          <w:tcPr>
            <w:tcW w:w="171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C25</w:t>
            </w:r>
          </w:p>
        </w:tc>
        <w:tc>
          <w:tcPr>
            <w:tcW w:w="11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m³</w:t>
            </w:r>
          </w:p>
        </w:tc>
        <w:tc>
          <w:tcPr>
            <w:tcW w:w="1318"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100</w:t>
            </w:r>
          </w:p>
        </w:tc>
        <w:tc>
          <w:tcPr>
            <w:tcW w:w="105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highlight w:val="none"/>
              </w:rPr>
            </w:pPr>
          </w:p>
        </w:tc>
      </w:tr>
      <w:tr>
        <w:tblPrEx>
          <w:tblCellMar>
            <w:top w:w="15" w:type="dxa"/>
            <w:left w:w="15" w:type="dxa"/>
            <w:bottom w:w="15" w:type="dxa"/>
            <w:right w:w="15" w:type="dxa"/>
          </w:tblCellMar>
        </w:tblPrEx>
        <w:trPr>
          <w:trHeight w:val="645"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ascii="仿宋_GB2312" w:eastAsia="仿宋_GB2312"/>
                <w:sz w:val="21"/>
                <w:szCs w:val="21"/>
                <w:highlight w:val="none"/>
              </w:rPr>
              <w:t>4</w:t>
            </w:r>
          </w:p>
        </w:tc>
        <w:tc>
          <w:tcPr>
            <w:tcW w:w="18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商品混凝土</w:t>
            </w:r>
          </w:p>
        </w:tc>
        <w:tc>
          <w:tcPr>
            <w:tcW w:w="171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C30</w:t>
            </w:r>
          </w:p>
        </w:tc>
        <w:tc>
          <w:tcPr>
            <w:tcW w:w="11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m³</w:t>
            </w:r>
          </w:p>
        </w:tc>
        <w:tc>
          <w:tcPr>
            <w:tcW w:w="1318"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700</w:t>
            </w:r>
          </w:p>
        </w:tc>
        <w:tc>
          <w:tcPr>
            <w:tcW w:w="105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highlight w:val="none"/>
              </w:rPr>
            </w:pPr>
          </w:p>
        </w:tc>
      </w:tr>
      <w:tr>
        <w:tblPrEx>
          <w:tblCellMar>
            <w:top w:w="15" w:type="dxa"/>
            <w:left w:w="15" w:type="dxa"/>
            <w:bottom w:w="15" w:type="dxa"/>
            <w:right w:w="15" w:type="dxa"/>
          </w:tblCellMar>
        </w:tblPrEx>
        <w:trPr>
          <w:trHeight w:val="645"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5</w:t>
            </w:r>
          </w:p>
        </w:tc>
        <w:tc>
          <w:tcPr>
            <w:tcW w:w="18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商品混凝土</w:t>
            </w:r>
          </w:p>
        </w:tc>
        <w:tc>
          <w:tcPr>
            <w:tcW w:w="171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C40</w:t>
            </w:r>
          </w:p>
        </w:tc>
        <w:tc>
          <w:tcPr>
            <w:tcW w:w="11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m³</w:t>
            </w:r>
          </w:p>
        </w:tc>
        <w:tc>
          <w:tcPr>
            <w:tcW w:w="1318"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100</w:t>
            </w:r>
          </w:p>
        </w:tc>
        <w:tc>
          <w:tcPr>
            <w:tcW w:w="105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highlight w:val="none"/>
              </w:rPr>
            </w:pPr>
          </w:p>
        </w:tc>
      </w:tr>
      <w:tr>
        <w:tblPrEx>
          <w:tblCellMar>
            <w:top w:w="15" w:type="dxa"/>
            <w:left w:w="15" w:type="dxa"/>
            <w:bottom w:w="15" w:type="dxa"/>
            <w:right w:w="15" w:type="dxa"/>
          </w:tblCellMar>
        </w:tblPrEx>
        <w:trPr>
          <w:trHeight w:val="645"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合计</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hAnsi="仿宋" w:eastAsia="仿宋_GB2312"/>
                <w:bCs/>
                <w:color w:val="000000" w:themeColor="text1"/>
                <w:sz w:val="21"/>
                <w:szCs w:val="21"/>
                <w:highlight w:val="none"/>
              </w:rPr>
            </w:pPr>
          </w:p>
        </w:tc>
        <w:tc>
          <w:tcPr>
            <w:tcW w:w="171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hAnsi="仿宋" w:eastAsia="仿宋_GB2312"/>
                <w:bCs/>
                <w:color w:val="000000" w:themeColor="text1"/>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hAnsi="仿宋" w:eastAsia="仿宋_GB2312"/>
                <w:bCs/>
                <w:color w:val="000000" w:themeColor="text1"/>
                <w:sz w:val="21"/>
                <w:szCs w:val="21"/>
                <w:highlight w:val="none"/>
              </w:rPr>
            </w:pPr>
          </w:p>
        </w:tc>
        <w:tc>
          <w:tcPr>
            <w:tcW w:w="13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ascii="仿宋_GB2312" w:hAnsi="仿宋" w:eastAsia="仿宋_GB2312"/>
                <w:bCs/>
                <w:color w:val="000000" w:themeColor="text1"/>
                <w:sz w:val="21"/>
                <w:szCs w:val="21"/>
                <w:highlight w:val="none"/>
              </w:rPr>
            </w:pPr>
            <w:r>
              <w:rPr>
                <w:rFonts w:ascii="仿宋_GB2312" w:hAnsi="仿宋" w:eastAsia="仿宋_GB2312"/>
                <w:bCs/>
                <w:color w:val="000000" w:themeColor="text1"/>
                <w:sz w:val="21"/>
                <w:szCs w:val="21"/>
                <w:highlight w:val="none"/>
              </w:rPr>
              <w:t>1100</w:t>
            </w:r>
          </w:p>
        </w:tc>
        <w:tc>
          <w:tcPr>
            <w:tcW w:w="105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hAnsi="仿宋" w:eastAsia="仿宋_GB2312"/>
                <w:bCs/>
                <w:color w:val="000000" w:themeColor="text1"/>
                <w:sz w:val="21"/>
                <w:szCs w:val="21"/>
                <w:highlight w:val="none"/>
              </w:rPr>
            </w:pPr>
          </w:p>
        </w:tc>
      </w:tr>
    </w:tbl>
    <w:p>
      <w:pPr>
        <w:spacing w:line="400" w:lineRule="exact"/>
        <w:ind w:firstLine="420" w:firstLineChars="200"/>
        <w:jc w:val="left"/>
        <w:outlineLvl w:val="2"/>
        <w:rPr>
          <w:rFonts w:ascii="仿宋_GB2312" w:eastAsia="仿宋_GB2312" w:hAnsiTheme="minorEastAsia"/>
          <w:sz w:val="21"/>
          <w:szCs w:val="21"/>
          <w:highlight w:val="none"/>
        </w:rPr>
      </w:pPr>
    </w:p>
    <w:p>
      <w:pPr>
        <w:spacing w:line="400" w:lineRule="exact"/>
        <w:ind w:firstLine="420" w:firstLineChars="200"/>
        <w:jc w:val="left"/>
        <w:outlineLvl w:val="2"/>
        <w:rPr>
          <w:rFonts w:ascii="仿宋_GB2312" w:eastAsia="仿宋_GB2312" w:hAnsiTheme="minorEastAsia"/>
          <w:sz w:val="21"/>
          <w:szCs w:val="21"/>
          <w:highlight w:val="none"/>
        </w:rPr>
      </w:pPr>
    </w:p>
    <w:p>
      <w:pPr>
        <w:spacing w:line="400" w:lineRule="exact"/>
        <w:ind w:firstLine="420" w:firstLineChars="200"/>
        <w:jc w:val="left"/>
        <w:outlineLvl w:val="2"/>
        <w:rPr>
          <w:rFonts w:ascii="仿宋_GB2312" w:eastAsia="仿宋_GB2312" w:hAnsiTheme="minorEastAsia"/>
          <w:sz w:val="21"/>
          <w:szCs w:val="21"/>
          <w:highlight w:val="none"/>
        </w:rPr>
      </w:pP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rPr>
        <w:t xml:space="preserve"> 石太高速公路改扩建工程3分部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河北省石家庄市井陉县指定地点</w:t>
      </w:r>
      <w:r>
        <w:rPr>
          <w:rFonts w:ascii="仿宋_GB2312" w:eastAsia="仿宋_GB2312" w:hAnsiTheme="minorEastAsia"/>
          <w:sz w:val="21"/>
          <w:szCs w:val="21"/>
          <w:highlight w:val="none"/>
          <w:u w:val="single"/>
        </w:rPr>
        <w:t xml:space="preserve">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pPr>
        <w:pStyle w:val="179"/>
        <w:keepNext w:val="0"/>
        <w:keepLines w:val="0"/>
        <w:ind w:firstLine="482" w:firstLineChars="200"/>
        <w:jc w:val="left"/>
        <w:rPr>
          <w:rFonts w:ascii="仿宋_GB2312" w:eastAsia="仿宋_GB2312" w:hAnsiTheme="minorEastAsia"/>
          <w:b/>
          <w:bCs/>
          <w:highlight w:val="none"/>
        </w:rPr>
      </w:pPr>
      <w:bookmarkStart w:id="17" w:name="_Toc8674"/>
      <w:r>
        <w:rPr>
          <w:rFonts w:hint="eastAsia" w:ascii="仿宋_GB2312" w:eastAsia="仿宋_GB2312" w:cs="宋体" w:hAnsiTheme="minorEastAsia"/>
          <w:b/>
          <w:bCs/>
          <w:highlight w:val="none"/>
        </w:rPr>
        <w:t>5.投标人</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8" w:name="_Toc20481"/>
      <w:r>
        <w:rPr>
          <w:rFonts w:hint="eastAsia" w:ascii="仿宋_GB2312" w:eastAsia="仿宋_GB2312" w:hAnsiTheme="minorEastAsia"/>
          <w:sz w:val="21"/>
          <w:szCs w:val="21"/>
          <w:highlight w:val="none"/>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rPr>
        <w:t>5.1.5绿色、节能、环保</w:t>
      </w:r>
      <w:r>
        <w:rPr>
          <w:rFonts w:hint="eastAsia" w:ascii="仿宋_GB2312" w:eastAsia="仿宋_GB2312" w:hAnsiTheme="minorEastAsia"/>
          <w:sz w:val="21"/>
          <w:szCs w:val="21"/>
          <w:highlight w:val="none"/>
        </w:rPr>
        <w:t>能力</w:t>
      </w:r>
      <w:r>
        <w:rPr>
          <w:rFonts w:hint="eastAsia" w:ascii="仿宋_GB2312" w:hAnsi="仿宋" w:eastAsia="仿宋_GB2312"/>
          <w:bCs/>
          <w:color w:val="000000" w:themeColor="text1"/>
          <w:sz w:val="21"/>
          <w:szCs w:val="21"/>
          <w:highlight w:val="none"/>
        </w:rPr>
        <w:t>要求：</w:t>
      </w:r>
      <w:r>
        <w:rPr>
          <w:rFonts w:hint="eastAsia" w:ascii="仿宋_GB2312" w:eastAsia="仿宋_GB2312" w:hAnsiTheme="minorEastAsia"/>
          <w:sz w:val="21"/>
          <w:szCs w:val="21"/>
          <w:highlight w:val="none"/>
        </w:rPr>
        <w:t>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5.1.7履约信用要求：见投标人须知前附表；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5.1.9其他要求：见投标人须知前附表。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.2.6招标人不合格分供商名录单位。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79"/>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8"/>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r>
        <w:rPr>
          <w:rFonts w:hint="eastAsia" w:ascii="仿宋_GB2312" w:hAnsi="仿宋" w:eastAsia="仿宋_GB2312"/>
          <w:bCs/>
          <w:color w:val="000000" w:themeColor="text1"/>
          <w:sz w:val="21"/>
          <w:szCs w:val="21"/>
          <w:highlight w:val="none"/>
        </w:rPr>
        <w:t>优先选择绿色节能环保材料</w:t>
      </w:r>
      <w:r>
        <w:rPr>
          <w:rFonts w:hint="eastAsia" w:ascii="仿宋_GB2312" w:eastAsia="仿宋_GB2312" w:hAnsiTheme="minorEastAsia"/>
          <w:sz w:val="21"/>
          <w:szCs w:val="21"/>
          <w:highlight w:val="none"/>
        </w:rPr>
        <w:t>。</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pPr>
        <w:pStyle w:val="179"/>
        <w:keepNext w:val="0"/>
        <w:keepLines w:val="0"/>
        <w:ind w:firstLine="482" w:firstLineChars="200"/>
        <w:jc w:val="left"/>
        <w:rPr>
          <w:rFonts w:ascii="仿宋_GB2312" w:eastAsia="仿宋_GB2312" w:hAnsiTheme="minorEastAsia"/>
          <w:b/>
          <w:bCs/>
          <w:highlight w:val="none"/>
        </w:rPr>
      </w:pPr>
      <w:bookmarkStart w:id="19" w:name="_Toc6990"/>
      <w:r>
        <w:rPr>
          <w:rFonts w:hint="eastAsia" w:ascii="仿宋_GB2312" w:eastAsia="仿宋_GB2312" w:cs="宋体" w:hAnsiTheme="minorEastAsia"/>
          <w:b/>
          <w:bCs/>
          <w:highlight w:val="none"/>
        </w:rPr>
        <w:t>7.投标费用</w:t>
      </w:r>
      <w:bookmarkEnd w:id="19"/>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7.2投标保证金必须从投标人的基本账户以电汇的方式汇出，投标人须保证投标报价结束前将投标保证金支付到达招标文件指定的银行账户，并注明：石太改扩建工程3分部商品混凝土投标保证金。</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中建路桥集团有限公司石太高速公路改扩建工程3分部 </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ascii="仿宋_GB2312" w:eastAsia="仿宋_GB2312" w:hAnsiTheme="minorEastAsia"/>
          <w:b/>
          <w:sz w:val="21"/>
          <w:szCs w:val="21"/>
          <w:highlight w:val="none"/>
          <w:u w:val="single"/>
        </w:rPr>
        <w:t>13050161710800001472</w:t>
      </w:r>
      <w:r>
        <w:rPr>
          <w:rFonts w:hint="eastAsia" w:ascii="仿宋_GB2312" w:eastAsia="仿宋_GB2312" w:hAnsiTheme="minorEastAsia"/>
          <w:b/>
          <w:sz w:val="21"/>
          <w:szCs w:val="21"/>
          <w:highlight w:val="none"/>
          <w:u w:val="single"/>
        </w:rPr>
        <w:t xml:space="preserve"> </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中国建设银行井陉支行 </w:t>
      </w:r>
      <w:bookmarkStart w:id="20" w:name="_Toc238797563"/>
      <w:bookmarkStart w:id="21" w:name="_Toc287545441"/>
      <w:bookmarkStart w:id="22" w:name="_Toc238552208"/>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20"/>
      <w:bookmarkEnd w:id="21"/>
      <w:bookmarkEnd w:id="22"/>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3" w:name="_Toc214333206"/>
      <w:bookmarkStart w:id="24" w:name="_Toc28053"/>
      <w:bookmarkStart w:id="25" w:name="_Toc214336661"/>
      <w:bookmarkStart w:id="26" w:name="_Toc214339495"/>
      <w:r>
        <w:rPr>
          <w:rFonts w:hint="eastAsia" w:ascii="宋体" w:hAnsi="宋体" w:eastAsia="宋体" w:cs="宋体"/>
          <w:sz w:val="21"/>
          <w:szCs w:val="21"/>
          <w:highlight w:val="none"/>
        </w:rPr>
        <w:t>。</w:t>
      </w:r>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3"/>
      <w:bookmarkEnd w:id="24"/>
      <w:bookmarkEnd w:id="25"/>
      <w:bookmarkEnd w:id="26"/>
      <w:r>
        <w:rPr>
          <w:rFonts w:hint="eastAsia" w:ascii="仿宋_GB2312" w:eastAsia="仿宋_GB2312" w:cs="黑体" w:hAnsiTheme="minorEastAsia"/>
          <w:bCs w:val="0"/>
          <w:kern w:val="2"/>
          <w:sz w:val="28"/>
          <w:szCs w:val="28"/>
          <w:highlight w:val="none"/>
        </w:rPr>
        <w:t>的澄清和修改</w:t>
      </w:r>
    </w:p>
    <w:p>
      <w:pPr>
        <w:pStyle w:val="179"/>
        <w:keepNext w:val="0"/>
        <w:keepLines w:val="0"/>
        <w:ind w:firstLine="482" w:firstLineChars="200"/>
        <w:jc w:val="left"/>
        <w:rPr>
          <w:rFonts w:ascii="仿宋_GB2312" w:eastAsia="仿宋_GB2312" w:hAnsiTheme="minorEastAsia"/>
          <w:b/>
          <w:bCs/>
          <w:highlight w:val="none"/>
        </w:rPr>
      </w:pPr>
      <w:bookmarkStart w:id="27"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7"/>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179"/>
        <w:keepNext w:val="0"/>
        <w:keepLines w:val="0"/>
        <w:ind w:firstLine="482" w:firstLineChars="200"/>
        <w:jc w:val="left"/>
        <w:rPr>
          <w:rFonts w:ascii="仿宋_GB2312" w:eastAsia="仿宋_GB2312" w:hAnsiTheme="minorEastAsia"/>
          <w:b/>
          <w:bCs/>
          <w:highlight w:val="none"/>
        </w:rPr>
      </w:pPr>
      <w:bookmarkStart w:id="28"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8"/>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9" w:name="_Toc214336662"/>
      <w:bookmarkStart w:id="30" w:name="_Toc10683"/>
      <w:bookmarkStart w:id="31" w:name="_Toc214333207"/>
      <w:bookmarkStart w:id="32" w:name="_Toc214335335"/>
      <w:bookmarkStart w:id="33" w:name="_Toc214331811"/>
      <w:bookmarkStart w:id="34" w:name="_Toc214339496"/>
    </w:p>
    <w:p>
      <w:pPr>
        <w:spacing w:line="400" w:lineRule="exact"/>
        <w:ind w:firstLine="420" w:firstLineChars="200"/>
        <w:jc w:val="left"/>
        <w:outlineLvl w:val="2"/>
        <w:rPr>
          <w:rFonts w:ascii="仿宋_GB2312" w:eastAsia="仿宋_GB2312" w:cs="Times New Roman" w:hAnsiTheme="minorEastAsia"/>
          <w:sz w:val="21"/>
          <w:szCs w:val="21"/>
          <w:highlight w:val="none"/>
        </w:rPr>
      </w:pPr>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9"/>
      <w:bookmarkEnd w:id="30"/>
      <w:bookmarkEnd w:id="31"/>
      <w:bookmarkEnd w:id="32"/>
      <w:bookmarkEnd w:id="33"/>
      <w:bookmarkEnd w:id="34"/>
      <w:r>
        <w:rPr>
          <w:rFonts w:hint="eastAsia" w:ascii="仿宋_GB2312" w:eastAsia="仿宋_GB2312" w:cs="黑体" w:hAnsiTheme="minorEastAsia"/>
          <w:bCs w:val="0"/>
          <w:kern w:val="2"/>
          <w:sz w:val="28"/>
          <w:szCs w:val="28"/>
          <w:highlight w:val="none"/>
        </w:rPr>
        <w:t>及相关事项说明</w:t>
      </w:r>
    </w:p>
    <w:p>
      <w:pPr>
        <w:pStyle w:val="179"/>
        <w:keepNext w:val="0"/>
        <w:keepLines w:val="0"/>
        <w:ind w:firstLine="482" w:firstLineChars="200"/>
        <w:jc w:val="left"/>
        <w:rPr>
          <w:rFonts w:ascii="仿宋_GB2312" w:eastAsia="仿宋_GB2312" w:hAnsiTheme="minorEastAsia"/>
          <w:b/>
          <w:bCs/>
          <w:highlight w:val="none"/>
        </w:rPr>
      </w:pPr>
      <w:bookmarkStart w:id="35"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5"/>
    </w:p>
    <w:p>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6"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.1投标文件采用A4纸（附图、附表除外）打印，文字用中文简体。</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.2所有文字、图表必须清晰可辨。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.3投标文件纸质版必须按连续页码顺序排版。</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.4每个包件均应单独编制投标文件。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.5投标文件送达指定地点。</w:t>
      </w:r>
    </w:p>
    <w:p>
      <w:pPr>
        <w:pStyle w:val="179"/>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79"/>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ascii="仿宋_GB2312" w:eastAsia="仿宋_GB2312" w:hAnsiTheme="minorEastAsia"/>
          <w:b/>
          <w:sz w:val="21"/>
          <w:szCs w:val="21"/>
          <w:highlight w:val="none"/>
          <w:u w:val="single"/>
        </w:rPr>
        <w:t>0.5</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：伍仟元整 </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pPr>
        <w:pStyle w:val="179"/>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固定价格一</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79"/>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179"/>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179"/>
        <w:keepNext w:val="0"/>
        <w:keepLines w:val="0"/>
        <w:ind w:firstLine="482" w:firstLineChars="200"/>
        <w:jc w:val="left"/>
        <w:rPr>
          <w:rFonts w:ascii="仿宋_GB2312" w:eastAsia="仿宋_GB2312" w:cs="宋体" w:hAnsiTheme="minorEastAsia"/>
          <w:b/>
          <w:bCs/>
          <w:highlight w:val="none"/>
        </w:rPr>
      </w:pPr>
      <w:bookmarkStart w:id="37" w:name="_Toc16914"/>
      <w:r>
        <w:rPr>
          <w:rFonts w:hint="eastAsia" w:ascii="仿宋_GB2312" w:eastAsia="仿宋_GB2312" w:cs="宋体" w:hAnsiTheme="minorEastAsia"/>
          <w:b/>
          <w:bCs/>
          <w:highlight w:val="none"/>
        </w:rPr>
        <w:t>16.投标文件的签署</w:t>
      </w:r>
      <w:bookmarkEnd w:id="37"/>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pPr>
        <w:pStyle w:val="179"/>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8" w:name="_Toc16382"/>
    </w:p>
    <w:p>
      <w:pPr>
        <w:pStyle w:val="179"/>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16.5投标文件的封套</w:t>
      </w:r>
      <w:bookmarkEnd w:id="38"/>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9" w:name="_Toc214335336"/>
      <w:bookmarkStart w:id="40" w:name="_Toc214339497"/>
      <w:bookmarkStart w:id="41" w:name="_Toc214331812"/>
      <w:bookmarkStart w:id="42" w:name="_Toc31618"/>
      <w:bookmarkStart w:id="43" w:name="_Toc214336663"/>
      <w:bookmarkStart w:id="44" w:name="_Toc214333208"/>
      <w:bookmarkStart w:id="45" w:name="_Hlk38441028"/>
    </w:p>
    <w:p>
      <w:pPr>
        <w:pStyle w:val="17"/>
        <w:adjustRightInd w:val="0"/>
        <w:snapToGrid w:val="0"/>
        <w:spacing w:line="400" w:lineRule="exact"/>
        <w:ind w:firstLine="420" w:firstLineChars="200"/>
        <w:jc w:val="left"/>
        <w:outlineLvl w:val="2"/>
        <w:rPr>
          <w:rFonts w:ascii="仿宋_GB2312" w:eastAsia="仿宋_GB2312" w:hAnsiTheme="minorEastAsia"/>
          <w:kern w:val="2"/>
          <w:highlight w:val="none"/>
        </w:rPr>
      </w:pPr>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9"/>
      <w:bookmarkEnd w:id="40"/>
      <w:bookmarkEnd w:id="41"/>
      <w:bookmarkEnd w:id="42"/>
      <w:bookmarkEnd w:id="43"/>
      <w:bookmarkEnd w:id="44"/>
      <w:bookmarkEnd w:id="45"/>
    </w:p>
    <w:p>
      <w:pPr>
        <w:pStyle w:val="179"/>
        <w:keepNext w:val="0"/>
        <w:keepLines w:val="0"/>
        <w:ind w:firstLine="482" w:firstLineChars="200"/>
        <w:jc w:val="left"/>
        <w:rPr>
          <w:rFonts w:ascii="仿宋_GB2312" w:eastAsia="仿宋_GB2312" w:hAnsiTheme="minorEastAsia"/>
          <w:b/>
          <w:bCs/>
          <w:highlight w:val="none"/>
        </w:rPr>
      </w:pPr>
      <w:bookmarkStart w:id="46"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w:t>
      </w:r>
      <w:r>
        <w:rPr>
          <w:rFonts w:hint="eastAsia" w:ascii="仿宋_GB2312" w:eastAsia="仿宋_GB2312" w:hAnsiTheme="minorEastAsia"/>
          <w:sz w:val="21"/>
          <w:szCs w:val="21"/>
          <w:highlight w:val="yellow"/>
        </w:rPr>
        <w:t>于</w:t>
      </w:r>
      <w:r>
        <w:rPr>
          <w:rFonts w:hint="eastAsia" w:ascii="仿宋_GB2312" w:eastAsia="仿宋_GB2312" w:hAnsiTheme="minorEastAsia"/>
          <w:bCs/>
          <w:sz w:val="21"/>
          <w:szCs w:val="21"/>
          <w:highlight w:val="yellow"/>
          <w:u w:val="single"/>
        </w:rPr>
        <w:t xml:space="preserve"> </w:t>
      </w:r>
      <w:r>
        <w:rPr>
          <w:rFonts w:ascii="仿宋_GB2312" w:eastAsia="仿宋_GB2312" w:hAnsiTheme="minorEastAsia"/>
          <w:bCs/>
          <w:sz w:val="21"/>
          <w:szCs w:val="21"/>
          <w:highlight w:val="yellow"/>
          <w:u w:val="single"/>
        </w:rPr>
        <w:t>2023</w:t>
      </w:r>
      <w:r>
        <w:rPr>
          <w:rFonts w:hint="eastAsia" w:ascii="仿宋_GB2312" w:eastAsia="仿宋_GB2312" w:hAnsiTheme="minorEastAsia"/>
          <w:bCs/>
          <w:sz w:val="21"/>
          <w:szCs w:val="21"/>
          <w:highlight w:val="yellow"/>
          <w:u w:val="single"/>
        </w:rPr>
        <w:t xml:space="preserve"> </w:t>
      </w:r>
      <w:r>
        <w:rPr>
          <w:rFonts w:hint="eastAsia" w:ascii="仿宋_GB2312" w:eastAsia="仿宋_GB2312" w:hAnsiTheme="minorEastAsia"/>
          <w:bCs/>
          <w:sz w:val="21"/>
          <w:szCs w:val="21"/>
          <w:highlight w:val="yellow"/>
        </w:rPr>
        <w:t>年</w:t>
      </w:r>
      <w:r>
        <w:rPr>
          <w:rFonts w:hint="eastAsia" w:ascii="仿宋_GB2312" w:eastAsia="仿宋_GB2312" w:hAnsiTheme="minorEastAsia"/>
          <w:bCs/>
          <w:sz w:val="21"/>
          <w:szCs w:val="21"/>
          <w:highlight w:val="yellow"/>
          <w:u w:val="single"/>
        </w:rPr>
        <w:t xml:space="preserve"> </w:t>
      </w:r>
      <w:r>
        <w:rPr>
          <w:rFonts w:ascii="仿宋_GB2312" w:eastAsia="仿宋_GB2312" w:hAnsiTheme="minorEastAsia"/>
          <w:bCs/>
          <w:sz w:val="21"/>
          <w:szCs w:val="21"/>
          <w:highlight w:val="yellow"/>
          <w:u w:val="single"/>
        </w:rPr>
        <w:t>0</w:t>
      </w:r>
      <w:r>
        <w:rPr>
          <w:rFonts w:hint="eastAsia" w:ascii="仿宋_GB2312" w:eastAsia="仿宋_GB2312" w:hAnsiTheme="minorEastAsia"/>
          <w:bCs/>
          <w:sz w:val="21"/>
          <w:szCs w:val="21"/>
          <w:highlight w:val="yellow"/>
          <w:u w:val="single"/>
          <w:lang w:val="en-US" w:eastAsia="zh-CN"/>
        </w:rPr>
        <w:t>2</w:t>
      </w:r>
      <w:r>
        <w:rPr>
          <w:rFonts w:hint="eastAsia" w:ascii="仿宋_GB2312" w:eastAsia="仿宋_GB2312" w:hAnsiTheme="minorEastAsia"/>
          <w:bCs/>
          <w:sz w:val="21"/>
          <w:szCs w:val="21"/>
          <w:highlight w:val="yellow"/>
          <w:u w:val="single"/>
        </w:rPr>
        <w:t xml:space="preserve"> </w:t>
      </w:r>
      <w:r>
        <w:rPr>
          <w:rFonts w:hint="eastAsia" w:ascii="仿宋_GB2312" w:eastAsia="仿宋_GB2312" w:hAnsiTheme="minorEastAsia"/>
          <w:bCs/>
          <w:sz w:val="21"/>
          <w:szCs w:val="21"/>
          <w:highlight w:val="yellow"/>
        </w:rPr>
        <w:t>月</w:t>
      </w:r>
      <w:r>
        <w:rPr>
          <w:rFonts w:hint="eastAsia" w:ascii="仿宋_GB2312" w:eastAsia="仿宋_GB2312" w:hAnsiTheme="minorEastAsia"/>
          <w:bCs/>
          <w:sz w:val="21"/>
          <w:szCs w:val="21"/>
          <w:highlight w:val="yellow"/>
          <w:u w:val="single"/>
        </w:rPr>
        <w:t xml:space="preserve"> </w:t>
      </w:r>
      <w:r>
        <w:rPr>
          <w:rFonts w:hint="eastAsia" w:ascii="仿宋_GB2312" w:eastAsia="仿宋_GB2312" w:hAnsiTheme="minorEastAsia"/>
          <w:bCs/>
          <w:sz w:val="21"/>
          <w:szCs w:val="21"/>
          <w:highlight w:val="yellow"/>
          <w:u w:val="single"/>
          <w:lang w:val="en-US" w:eastAsia="zh-CN"/>
        </w:rPr>
        <w:t>08</w:t>
      </w:r>
      <w:r>
        <w:rPr>
          <w:rFonts w:hint="eastAsia" w:ascii="仿宋_GB2312" w:eastAsia="仿宋_GB2312" w:hAnsiTheme="minorEastAsia"/>
          <w:bCs/>
          <w:sz w:val="21"/>
          <w:szCs w:val="21"/>
          <w:highlight w:val="yellow"/>
          <w:u w:val="single"/>
        </w:rPr>
        <w:t xml:space="preserve">  </w:t>
      </w:r>
      <w:r>
        <w:rPr>
          <w:rFonts w:hint="eastAsia" w:ascii="仿宋_GB2312" w:eastAsia="仿宋_GB2312" w:hAnsiTheme="minorEastAsia"/>
          <w:bCs/>
          <w:sz w:val="21"/>
          <w:szCs w:val="21"/>
          <w:highlight w:val="yellow"/>
        </w:rPr>
        <w:t>日</w:t>
      </w:r>
      <w:r>
        <w:rPr>
          <w:rFonts w:hint="eastAsia" w:ascii="仿宋_GB2312" w:eastAsia="仿宋_GB2312" w:hAnsiTheme="minorEastAsia"/>
          <w:bCs/>
          <w:sz w:val="21"/>
          <w:szCs w:val="21"/>
          <w:highlight w:val="yellow"/>
          <w:u w:val="single"/>
        </w:rPr>
        <w:t xml:space="preserve"> </w:t>
      </w:r>
      <w:r>
        <w:rPr>
          <w:rFonts w:ascii="仿宋_GB2312" w:eastAsia="仿宋_GB2312" w:hAnsiTheme="minorEastAsia"/>
          <w:bCs/>
          <w:sz w:val="21"/>
          <w:szCs w:val="21"/>
          <w:highlight w:val="yellow"/>
          <w:u w:val="single"/>
        </w:rPr>
        <w:t>08</w:t>
      </w:r>
      <w:r>
        <w:rPr>
          <w:rFonts w:hint="eastAsia" w:ascii="仿宋_GB2312" w:eastAsia="仿宋_GB2312" w:hAnsiTheme="minorEastAsia"/>
          <w:bCs/>
          <w:sz w:val="21"/>
          <w:szCs w:val="21"/>
          <w:highlight w:val="yellow"/>
          <w:u w:val="single"/>
        </w:rPr>
        <w:t xml:space="preserve"> </w:t>
      </w:r>
      <w:r>
        <w:rPr>
          <w:rFonts w:hint="eastAsia" w:ascii="仿宋_GB2312" w:eastAsia="仿宋_GB2312" w:hAnsiTheme="minorEastAsia"/>
          <w:bCs/>
          <w:sz w:val="21"/>
          <w:szCs w:val="21"/>
          <w:highlight w:val="yellow"/>
        </w:rPr>
        <w:t>时之前</w:t>
      </w:r>
      <w:r>
        <w:rPr>
          <w:rFonts w:hint="eastAsia" w:ascii="仿宋_GB2312" w:eastAsia="仿宋_GB2312" w:hAnsiTheme="minorEastAsia"/>
          <w:sz w:val="21"/>
          <w:szCs w:val="21"/>
          <w:highlight w:val="yellow"/>
        </w:rPr>
        <w:t>完成递交</w:t>
      </w:r>
      <w:r>
        <w:rPr>
          <w:rFonts w:hint="eastAsia" w:ascii="仿宋_GB2312" w:eastAsia="仿宋_GB2312" w:hAnsiTheme="minorEastAsia"/>
          <w:sz w:val="21"/>
          <w:szCs w:val="21"/>
          <w:highlight w:val="none"/>
        </w:rPr>
        <w:t>，在此时间之后交来的投标文件恕不接受。</w:t>
      </w:r>
    </w:p>
    <w:p>
      <w:pPr>
        <w:spacing w:line="400" w:lineRule="exact"/>
        <w:ind w:firstLine="420" w:firstLineChars="200"/>
        <w:jc w:val="left"/>
        <w:outlineLvl w:val="2"/>
        <w:rPr>
          <w:rFonts w:hint="default" w:ascii="仿宋_GB2312" w:eastAsia="仿宋_GB2312" w:cs="Times New Roman" w:hAnsiTheme="minorEastAsia"/>
          <w:sz w:val="21"/>
          <w:szCs w:val="21"/>
          <w:highlight w:val="none"/>
          <w:lang w:val="en-US"/>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rPr>
        <w:t>河北省石家庄市桥西区新石北路362号中建路桥建设发展有限公司</w:t>
      </w:r>
      <w:r>
        <w:rPr>
          <w:rFonts w:hint="eastAsia" w:ascii="仿宋_GB2312" w:eastAsia="仿宋_GB2312" w:cs="Times New Roman" w:hAnsiTheme="minorEastAsia"/>
          <w:sz w:val="21"/>
          <w:szCs w:val="21"/>
          <w:highlight w:val="none"/>
          <w:u w:val="single"/>
        </w:rPr>
        <w:t xml:space="preserve"> </w:t>
      </w:r>
      <w:r>
        <w:rPr>
          <w:rFonts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rPr>
        <w:t>联系人：</w:t>
      </w:r>
      <w:r>
        <w:rPr>
          <w:rFonts w:hint="eastAsia" w:ascii="仿宋_GB2312" w:eastAsia="仿宋_GB2312" w:cs="Times New Roman" w:hAnsiTheme="minorEastAsia"/>
          <w:sz w:val="21"/>
          <w:szCs w:val="21"/>
          <w:highlight w:val="none"/>
          <w:u w:val="single"/>
          <w:lang w:val="en-US" w:eastAsia="zh-CN"/>
        </w:rPr>
        <w:t>何经理</w:t>
      </w:r>
      <w:bookmarkStart w:id="77" w:name="_GoBack"/>
      <w:bookmarkEnd w:id="77"/>
      <w:r>
        <w:rPr>
          <w:rFonts w:hint="eastAsia" w:ascii="仿宋_GB2312" w:eastAsia="仿宋_GB2312" w:cs="Times New Roman" w:hAnsiTheme="minorEastAsia"/>
          <w:sz w:val="21"/>
          <w:szCs w:val="21"/>
          <w:highlight w:val="none"/>
          <w:u w:val="single"/>
          <w:lang w:val="en-US" w:eastAsia="zh-CN"/>
        </w:rPr>
        <w:t xml:space="preserve">0311-89915077 </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7" w:name="_Toc214331813"/>
      <w:bookmarkStart w:id="48" w:name="_Toc4220"/>
      <w:bookmarkStart w:id="49" w:name="_Toc214339498"/>
      <w:bookmarkStart w:id="50" w:name="_Toc214333209"/>
      <w:bookmarkStart w:id="51" w:name="_Toc214336664"/>
      <w:bookmarkStart w:id="52" w:name="_Toc214335337"/>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7"/>
      <w:bookmarkEnd w:id="48"/>
      <w:bookmarkEnd w:id="49"/>
      <w:bookmarkEnd w:id="50"/>
      <w:bookmarkEnd w:id="51"/>
      <w:bookmarkEnd w:id="52"/>
    </w:p>
    <w:p>
      <w:pPr>
        <w:pStyle w:val="179"/>
        <w:keepNext w:val="0"/>
        <w:keepLines w:val="0"/>
        <w:ind w:firstLine="482" w:firstLineChars="200"/>
        <w:jc w:val="left"/>
        <w:rPr>
          <w:rFonts w:ascii="仿宋_GB2312" w:eastAsia="仿宋_GB2312" w:hAnsiTheme="minorEastAsia"/>
          <w:b/>
          <w:bCs/>
          <w:highlight w:val="none"/>
        </w:rPr>
      </w:pPr>
      <w:bookmarkStart w:id="53"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3"/>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w:t>
      </w:r>
      <w:r>
        <w:rPr>
          <w:rFonts w:hint="eastAsia" w:ascii="仿宋_GB2312" w:eastAsia="仿宋_GB2312" w:hAnsiTheme="minorEastAsia"/>
          <w:kern w:val="2"/>
          <w:highlight w:val="none"/>
        </w:rPr>
        <w:t>标人将于</w:t>
      </w:r>
      <w:r>
        <w:rPr>
          <w:rFonts w:hint="eastAsia" w:ascii="仿宋_GB2312" w:eastAsia="仿宋_GB2312" w:hAnsiTheme="minorEastAsia"/>
          <w:bCs/>
          <w:kern w:val="2"/>
          <w:highlight w:val="none"/>
          <w:u w:val="single"/>
        </w:rPr>
        <w:t xml:space="preserve"> </w:t>
      </w:r>
      <w:r>
        <w:rPr>
          <w:rFonts w:ascii="仿宋_GB2312" w:eastAsia="仿宋_GB2312" w:hAnsiTheme="minorEastAsia"/>
          <w:bCs/>
          <w:kern w:val="2"/>
          <w:highlight w:val="none"/>
          <w:u w:val="single"/>
        </w:rPr>
        <w:t>2023</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ascii="仿宋_GB2312" w:eastAsia="仿宋_GB2312" w:hAnsiTheme="minorEastAsia"/>
          <w:bCs/>
          <w:kern w:val="2"/>
          <w:highlight w:val="none"/>
          <w:u w:val="single"/>
        </w:rPr>
        <w:t>02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08</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ascii="仿宋_GB2312" w:eastAsia="仿宋_GB2312" w:hAnsiTheme="minorEastAsia"/>
          <w:bCs/>
          <w:kern w:val="2"/>
          <w:highlight w:val="none"/>
          <w:u w:val="single"/>
        </w:rPr>
        <w:t>09</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rPr>
        <w:t>河北省石家庄市桥西区新石北路362号中建路桥建设发展有限公司</w:t>
      </w:r>
      <w:r>
        <w:rPr>
          <w:rFonts w:hint="eastAsia" w:ascii="仿宋_GB2312" w:eastAsia="仿宋_GB2312" w:hAnsiTheme="minorEastAsia"/>
          <w:kern w:val="2"/>
          <w:highlight w:val="none"/>
        </w:rPr>
        <w:t>公开开标。</w:t>
      </w:r>
    </w:p>
    <w:p>
      <w:pPr>
        <w:pStyle w:val="179"/>
        <w:keepNext w:val="0"/>
        <w:keepLines w:val="0"/>
        <w:ind w:firstLine="482" w:firstLineChars="200"/>
        <w:jc w:val="left"/>
        <w:rPr>
          <w:rFonts w:ascii="仿宋_GB2312" w:eastAsia="仿宋_GB2312" w:cs="宋体" w:hAnsiTheme="minorEastAsia"/>
          <w:b/>
          <w:bCs/>
          <w:highlight w:val="none"/>
        </w:rPr>
      </w:pPr>
      <w:bookmarkStart w:id="54"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4"/>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pPr>
        <w:pStyle w:val="179"/>
        <w:keepNext w:val="0"/>
        <w:keepLines w:val="0"/>
        <w:ind w:firstLine="420" w:firstLineChars="200"/>
        <w:jc w:val="left"/>
        <w:rPr>
          <w:rFonts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评标原则：遵循公平、公正、科学、择优和市场价格调查的原则。本次招标将选取报价较低且合理的分供商进入议标，报价较高或异常的分供商不进入议标，请投标人谨慎报价。</w:t>
      </w:r>
      <w:bookmarkStart w:id="55" w:name="_Toc31000"/>
    </w:p>
    <w:p>
      <w:pPr>
        <w:pStyle w:val="179"/>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5"/>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79"/>
        <w:keepNext w:val="0"/>
        <w:keepLines w:val="0"/>
        <w:ind w:firstLine="482" w:firstLineChars="200"/>
        <w:jc w:val="left"/>
        <w:rPr>
          <w:rFonts w:ascii="仿宋_GB2312" w:eastAsia="仿宋_GB2312" w:hAnsiTheme="minorEastAsia"/>
          <w:b/>
          <w:bCs/>
          <w:color w:val="0000FF"/>
          <w:highlight w:val="none"/>
        </w:rPr>
      </w:pPr>
      <w:bookmarkStart w:id="56"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.废标处理的条件</w:t>
      </w:r>
      <w:bookmarkEnd w:id="5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7" w:name="_Toc214339499"/>
      <w:bookmarkStart w:id="58" w:name="_Toc214335338"/>
      <w:bookmarkStart w:id="59" w:name="_Toc4715"/>
      <w:bookmarkStart w:id="60" w:name="_Toc214333210"/>
      <w:bookmarkStart w:id="61" w:name="_Toc214336665"/>
      <w:bookmarkStart w:id="62" w:name="_Toc214331814"/>
      <w:r>
        <w:rPr>
          <w:rFonts w:hint="eastAsia" w:ascii="仿宋_GB2312" w:eastAsia="仿宋_GB2312" w:cs="黑体" w:hAnsiTheme="minorEastAsia"/>
          <w:bCs w:val="0"/>
          <w:kern w:val="2"/>
          <w:sz w:val="28"/>
          <w:szCs w:val="28"/>
          <w:highlight w:val="none"/>
        </w:rPr>
        <w:t>六、定标</w:t>
      </w:r>
      <w:bookmarkEnd w:id="57"/>
      <w:bookmarkEnd w:id="58"/>
      <w:bookmarkEnd w:id="59"/>
      <w:bookmarkEnd w:id="60"/>
      <w:bookmarkEnd w:id="61"/>
      <w:bookmarkEnd w:id="62"/>
    </w:p>
    <w:p>
      <w:pPr>
        <w:pStyle w:val="179"/>
        <w:keepNext w:val="0"/>
        <w:keepLines w:val="0"/>
        <w:ind w:firstLine="482" w:firstLineChars="200"/>
        <w:jc w:val="left"/>
        <w:rPr>
          <w:rFonts w:ascii="仿宋_GB2312" w:eastAsia="仿宋_GB2312" w:hAnsiTheme="minorEastAsia"/>
          <w:b/>
          <w:bCs/>
          <w:highlight w:val="none"/>
        </w:rPr>
      </w:pPr>
      <w:bookmarkStart w:id="63"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3"/>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79"/>
        <w:keepNext w:val="0"/>
        <w:keepLines w:val="0"/>
        <w:ind w:firstLine="482" w:firstLineChars="200"/>
        <w:jc w:val="left"/>
        <w:rPr>
          <w:rFonts w:ascii="仿宋_GB2312" w:eastAsia="仿宋_GB2312" w:hAnsiTheme="minorEastAsia"/>
          <w:b/>
          <w:bCs/>
          <w:highlight w:val="none"/>
        </w:rPr>
      </w:pPr>
      <w:bookmarkStart w:id="64"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4"/>
    </w:p>
    <w:p>
      <w:pPr>
        <w:spacing w:line="400" w:lineRule="exact"/>
        <w:ind w:firstLine="420" w:firstLineChars="200"/>
        <w:jc w:val="left"/>
        <w:outlineLvl w:val="2"/>
        <w:rPr>
          <w:rFonts w:ascii="仿宋_GB2312" w:eastAsia="仿宋_GB2312" w:hAnsiTheme="majorEastAsia"/>
          <w:b/>
          <w:bCs/>
          <w:sz w:val="36"/>
          <w:szCs w:val="36"/>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.1纸版或其它方式通知。</w:t>
      </w:r>
      <w:r>
        <w:rPr>
          <w:rFonts w:ascii="仿宋_GB2312" w:eastAsia="仿宋_GB2312" w:hAnsiTheme="minorEastAsia"/>
          <w:sz w:val="21"/>
          <w:szCs w:val="21"/>
          <w:highlight w:val="none"/>
        </w:rPr>
        <w:br w:type="page"/>
      </w: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17"/>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pPr>
        <w:pStyle w:val="17"/>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2.1乙方投标材料质量应符合：</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《混凝土结构设计规范》GB 50010</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《普通混凝土拌合物性能试验方法标准》GB/T 50080</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《普通混凝土力学性能试验方法标准》GB/T 50081</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《普通混凝土长期性能和耐久性能试验方法标准》GB/T 50082</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《混凝土强度检验评定标准》GB/T 50107</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《混凝土外加剂应用技术规范》GB 50119</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《混凝土质量控制标准》GB 50164</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《混凝土结构耐久性设计规范》GB/T 50476</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《大体积混凝土施工规范》GB 50496</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《混凝土结构工程施工规范》GB 50666</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《预防混凝土碱骨料反应技术规范》GB/T 50733</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《通用硅酸盐水泥》GB 175</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《用于水泥和混凝土中的粉煤灰》GB/T 1596</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《建筑材料放射性核素限量》GB 6566</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《混凝土外加剂》GB 8076</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《混凝土搅拌站（楼）》GB 10171</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《用于水泥和混凝土中的粒化高炉矿渣粉》GB/T 18046</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《高强高性能混凝土用矿物外加剂》GB/T 18736</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《用于水泥和混凝土中的钢渣粉》GB/T 20491</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《混凝土膨胀剂》GB 23439</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《混凝土泵送施工技术规程》JGJ/T 10</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《普通混凝土用砂、石质量及检验方法标准》JGJ 52</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《普通混凝土配合比设计规程》JGJ 55</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《混凝土用水标准》JGJ 63</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《清水混凝土应用技术规程》JGJ 169</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《补偿收缩混凝土应用技术规程》JGJ/T 178</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《混凝土耐久性检验评定标准》JGJ/T 193</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《纤维混凝土应用技术规程》JGJ/T 221</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《混凝土用粒化电炉磷渣粉》JG/T 317</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《混凝土搅拌运输车》JG/T 5094</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 xml:space="preserve"> 《公路工程混凝土养护剂》JT/T 522 </w:t>
      </w:r>
    </w:p>
    <w:p>
      <w:pPr>
        <w:pStyle w:val="17"/>
        <w:snapToGrid w:val="0"/>
        <w:spacing w:line="400" w:lineRule="exact"/>
        <w:ind w:firstLine="420" w:firstLineChars="200"/>
        <w:jc w:val="left"/>
        <w:outlineLvl w:val="2"/>
        <w:rPr>
          <w:rFonts w:ascii="仿宋_GB2312" w:eastAsia="仿宋_GB2312" w:hAnsiTheme="minorEastAsia"/>
          <w:kern w:val="2"/>
          <w:highlight w:val="none"/>
        </w:rPr>
      </w:pPr>
      <w:r>
        <w:rPr>
          <w:rFonts w:hint="eastAsia" w:ascii="仿宋_GB2312" w:eastAsia="仿宋_GB2312" w:hAnsiTheme="minorEastAsia"/>
          <w:kern w:val="2"/>
          <w:highlight w:val="none"/>
        </w:rPr>
        <w:t>2.2招标人对产品有特殊要求时，同时还应满足招标人的特殊要求，同时需满足本工程的技术要求。在工程实施过程中，所引用的国家或行业标准或规范如果有修改或新颁，应由招标人决定是否适用新标准或新规范，对此乙方应予理解并承担其风险。</w:t>
      </w:r>
    </w:p>
    <w:p>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eastAsia="仿宋_GB2312" w:hAnsiTheme="minorEastAsia"/>
          <w:kern w:val="2"/>
          <w:highlight w:val="none"/>
        </w:rPr>
        <w:t>2.3质量验收方式：按现场实际使用情况和质量检测情况结合商品混凝土发货单对混凝土数量进行计量。甲方可随机对进场混凝土进行过磅称重，如实际重量不足，低于理论重量的2%，本批次混凝土将按此抽检结果进行计算核定。计量单位为“立方米”</w:t>
      </w:r>
    </w:p>
    <w:p>
      <w:pPr>
        <w:spacing w:line="400" w:lineRule="exact"/>
        <w:jc w:val="center"/>
        <w:outlineLvl w:val="0"/>
        <w:rPr>
          <w:rFonts w:ascii="仿宋_GB2312" w:eastAsia="仿宋_GB2312" w:hAnsiTheme="majorEastAsia"/>
          <w:b/>
          <w:bCs/>
          <w:sz w:val="36"/>
          <w:szCs w:val="36"/>
          <w:highlight w:val="none"/>
        </w:rPr>
      </w:pPr>
    </w:p>
    <w:p>
      <w:pPr>
        <w:widowControl/>
        <w:jc w:val="left"/>
        <w:rPr>
          <w:rFonts w:ascii="仿宋_GB2312" w:eastAsia="仿宋_GB2312" w:hAnsiTheme="majorEastAsia"/>
          <w:b/>
          <w:bCs/>
          <w:sz w:val="36"/>
          <w:szCs w:val="36"/>
          <w:highlight w:val="none"/>
        </w:rPr>
      </w:pPr>
      <w:r>
        <w:rPr>
          <w:rFonts w:ascii="仿宋_GB2312" w:eastAsia="仿宋_GB2312" w:hAnsiTheme="majorEastAsia"/>
          <w:b/>
          <w:bCs/>
          <w:sz w:val="36"/>
          <w:szCs w:val="36"/>
          <w:highlight w:val="none"/>
        </w:rPr>
        <w:br w:type="page"/>
      </w: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石太高速公路改扩建工程3分部 </w:t>
      </w:r>
      <w:r>
        <w:rPr>
          <w:rFonts w:hint="eastAsia" w:ascii="宋体" w:hAnsi="宋体" w:cs="宋体"/>
          <w:b/>
          <w:color w:val="000000"/>
          <w:sz w:val="28"/>
          <w:szCs w:val="28"/>
          <w:highlight w:val="none"/>
        </w:rPr>
        <w:t>项目经理部</w:t>
      </w: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商品混凝土 </w:t>
      </w:r>
      <w:r>
        <w:rPr>
          <w:rFonts w:hint="eastAsia" w:ascii="宋体" w:hAnsi="宋体" w:cs="宋体"/>
          <w:b/>
          <w:color w:val="000000"/>
          <w:sz w:val="28"/>
          <w:szCs w:val="28"/>
          <w:highlight w:val="none"/>
        </w:rPr>
        <w:t>采购项目</w:t>
      </w: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ZJLQ-FG-石太改扩建3分部-202300</w:t>
      </w:r>
      <w:r>
        <w:rPr>
          <w:rFonts w:ascii="宋体" w:hAnsi="宋体" w:cs="宋体"/>
          <w:b/>
          <w:color w:val="000000"/>
          <w:sz w:val="28"/>
          <w:szCs w:val="28"/>
          <w:highlight w:val="none"/>
          <w:u w:val="single"/>
        </w:rPr>
        <w:t>2</w:t>
      </w:r>
      <w:r>
        <w:rPr>
          <w:rFonts w:hint="eastAsia" w:ascii="宋体" w:hAnsi="宋体" w:cs="宋体"/>
          <w:b/>
          <w:color w:val="000000"/>
          <w:sz w:val="28"/>
          <w:szCs w:val="28"/>
          <w:highlight w:val="none"/>
          <w:u w:val="single"/>
        </w:rPr>
        <w:t xml:space="preserve"> </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3"/>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widowControl/>
        <w:jc w:val="left"/>
        <w:rPr>
          <w:rFonts w:ascii="仿宋_GB2312" w:eastAsia="仿宋_GB2312" w:cs="宋体" w:hAnsiTheme="minorEastAsia"/>
          <w:b/>
          <w:w w:val="90"/>
          <w:highlight w:val="none"/>
        </w:rPr>
      </w:pPr>
      <w:r>
        <w:rPr>
          <w:rFonts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商品混凝土    </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6.4.2.3若由于不合格物资原因造成的检测费用、工程工期延迟、工程损失及其它总包方损失等问题，投标人将承担相应的经济赔偿。</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7.2若投标人在执行合同期间没有供货合同中所要求的钢筋，投标人将在市场上进行采购以保障贵司工程工期，由此可能造成的经济损失由投标人自行承担。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投标人愿意接受贵司采用银行电汇及承兑汇票、供应链金融等非现金付款方式支付形式作为结算方式。承兑汇票、供应链金融等非现金付款方式支付比例不低于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widowControl/>
        <w:jc w:val="left"/>
        <w:rPr>
          <w:rFonts w:ascii="仿宋_GB2312" w:eastAsia="仿宋_GB2312" w:cs="宋体" w:hAnsiTheme="minorEastAsia"/>
          <w:b/>
          <w:w w:val="90"/>
          <w:sz w:val="32"/>
          <w:szCs w:val="32"/>
          <w:highlight w:val="none"/>
        </w:rPr>
      </w:pPr>
      <w:r>
        <w:rPr>
          <w:rFonts w:ascii="仿宋_GB2312" w:eastAsia="仿宋_GB2312" w:cs="宋体" w:hAnsiTheme="minorEastAsia"/>
          <w:b/>
          <w:w w:val="90"/>
          <w:sz w:val="32"/>
          <w:szCs w:val="32"/>
          <w:highlight w:val="none"/>
        </w:rPr>
        <w:br w:type="page"/>
      </w:r>
    </w:p>
    <w:p>
      <w:pPr>
        <w:widowControl/>
        <w:jc w:val="left"/>
        <w:rPr>
          <w:rFonts w:ascii="仿宋_GB2312" w:eastAsia="仿宋_GB2312" w:cs="宋体" w:hAnsiTheme="minorEastAsia"/>
          <w:b/>
          <w:color w:val="000000" w:themeColor="text1"/>
          <w:w w:val="90"/>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p>
    <w:p>
      <w:pPr>
        <w:widowControl/>
        <w:jc w:val="left"/>
        <w:rPr>
          <w:rFonts w:ascii="仿宋_GB2312" w:eastAsia="仿宋_GB2312" w:cs="宋体" w:hAnsiTheme="minorEastAsia"/>
          <w:b/>
          <w:color w:val="000000" w:themeColor="text1"/>
          <w:w w:val="90"/>
          <w:highlight w:val="none"/>
        </w:rPr>
      </w:pPr>
    </w:p>
    <w:p>
      <w:pPr>
        <w:widowControl/>
        <w:jc w:val="left"/>
        <w:rPr>
          <w:rFonts w:ascii="仿宋_GB2312" w:eastAsia="仿宋_GB2312" w:cs="宋体" w:hAnsiTheme="minorEastAsia"/>
          <w:b/>
          <w:color w:val="000000" w:themeColor="text1"/>
          <w:w w:val="90"/>
          <w:highlight w:val="none"/>
          <w:u w:val="single"/>
        </w:rPr>
      </w:pPr>
      <w:r>
        <w:rPr>
          <w:rFonts w:hint="eastAsia" w:ascii="仿宋_GB2312" w:eastAsia="仿宋_GB2312" w:cs="宋体" w:hAnsiTheme="minorEastAsia"/>
          <w:b/>
          <w:color w:val="000000" w:themeColor="text1"/>
          <w:w w:val="90"/>
          <w:highlight w:val="none"/>
        </w:rPr>
        <w:t>投标人名称：</w:t>
      </w:r>
      <w:r>
        <w:rPr>
          <w:rFonts w:hint="eastAsia" w:ascii="仿宋_GB2312" w:eastAsia="仿宋_GB2312" w:cs="宋体" w:hAnsiTheme="minorEastAsia"/>
          <w:b/>
          <w:color w:val="000000" w:themeColor="text1"/>
          <w:w w:val="90"/>
          <w:highlight w:val="none"/>
          <w:u w:val="single"/>
        </w:rPr>
        <w:t xml:space="preserve"> </w:t>
      </w:r>
      <w:r>
        <w:rPr>
          <w:rFonts w:ascii="仿宋_GB2312" w:eastAsia="仿宋_GB2312" w:cs="宋体" w:hAnsiTheme="minorEastAsia"/>
          <w:b/>
          <w:color w:val="000000" w:themeColor="text1"/>
          <w:w w:val="90"/>
          <w:highlight w:val="none"/>
          <w:u w:val="single"/>
        </w:rPr>
        <w:t xml:space="preserve">                             </w:t>
      </w:r>
    </w:p>
    <w:p>
      <w:pPr>
        <w:widowControl/>
        <w:jc w:val="left"/>
        <w:rPr>
          <w:rFonts w:ascii="仿宋_GB2312" w:eastAsia="仿宋_GB2312" w:cs="宋体" w:hAnsiTheme="minorEastAsia"/>
          <w:b/>
          <w:color w:val="000000" w:themeColor="text1"/>
          <w:w w:val="90"/>
          <w:highlight w:val="none"/>
        </w:rPr>
      </w:pPr>
    </w:p>
    <w:p>
      <w:pPr>
        <w:widowControl/>
        <w:jc w:val="left"/>
        <w:rPr>
          <w:rFonts w:ascii="仿宋_GB2312" w:eastAsia="仿宋_GB2312" w:cs="宋体" w:hAnsiTheme="minorEastAsia"/>
          <w:b/>
          <w:color w:val="000000" w:themeColor="text1"/>
          <w:w w:val="90"/>
          <w:highlight w:val="none"/>
          <w:u w:val="single"/>
        </w:rPr>
      </w:pPr>
      <w:r>
        <w:rPr>
          <w:rFonts w:hint="eastAsia" w:ascii="仿宋_GB2312" w:eastAsia="仿宋_GB2312" w:cs="宋体" w:hAnsiTheme="minorEastAsia"/>
          <w:b/>
          <w:color w:val="000000" w:themeColor="text1"/>
          <w:w w:val="90"/>
          <w:highlight w:val="none"/>
        </w:rPr>
        <w:t>招标编号：</w:t>
      </w:r>
      <w:r>
        <w:rPr>
          <w:rFonts w:hint="eastAsia" w:ascii="仿宋_GB2312" w:eastAsia="仿宋_GB2312" w:cs="宋体" w:hAnsiTheme="minorEastAsia"/>
          <w:b/>
          <w:color w:val="000000" w:themeColor="text1"/>
          <w:w w:val="90"/>
          <w:highlight w:val="none"/>
          <w:u w:val="single"/>
        </w:rPr>
        <w:t xml:space="preserve"> ZJLQ-FG-石太改扩建3分部-202300</w:t>
      </w:r>
      <w:r>
        <w:rPr>
          <w:rFonts w:ascii="仿宋_GB2312" w:eastAsia="仿宋_GB2312" w:cs="宋体" w:hAnsiTheme="minorEastAsia"/>
          <w:b/>
          <w:color w:val="000000" w:themeColor="text1"/>
          <w:w w:val="90"/>
          <w:highlight w:val="none"/>
          <w:u w:val="single"/>
        </w:rPr>
        <w:t xml:space="preserve">2 </w:t>
      </w:r>
    </w:p>
    <w:p>
      <w:pPr>
        <w:spacing w:line="400" w:lineRule="exact"/>
        <w:jc w:val="center"/>
        <w:rPr>
          <w:rFonts w:ascii="仿宋_GB2312" w:eastAsia="仿宋_GB2312" w:cs="宋体" w:hAnsiTheme="minorEastAsia"/>
          <w:w w:val="90"/>
          <w:sz w:val="21"/>
          <w:szCs w:val="21"/>
          <w:highlight w:val="none"/>
        </w:rPr>
      </w:pPr>
      <w:bookmarkStart w:id="65" w:name="_Toc54281196"/>
      <w:bookmarkStart w:id="66" w:name="_Toc54281622"/>
      <w:bookmarkStart w:id="67" w:name="_Toc54278961"/>
      <w:bookmarkStart w:id="68" w:name="_Toc53949581"/>
      <w:bookmarkStart w:id="69" w:name="_Toc54280344"/>
      <w:bookmarkStart w:id="70" w:name="_Toc54291526"/>
      <w:bookmarkStart w:id="71" w:name="_Toc53948739"/>
      <w:bookmarkStart w:id="72" w:name="_Toc54280770"/>
      <w:bookmarkStart w:id="73" w:name="_Toc53949160"/>
      <w:r>
        <w:rPr>
          <w:rFonts w:hint="eastAsia" w:ascii="仿宋_GB2312" w:eastAsia="仿宋_GB2312" w:cs="宋体" w:hAnsiTheme="minorEastAsia"/>
          <w:b/>
          <w:color w:val="000000" w:themeColor="text1"/>
          <w:sz w:val="21"/>
          <w:szCs w:val="21"/>
          <w:highlight w:val="none"/>
        </w:rPr>
        <w:t>固定价格报价单</w:t>
      </w:r>
    </w:p>
    <w:tbl>
      <w:tblPr>
        <w:tblStyle w:val="34"/>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418"/>
        <w:gridCol w:w="1134"/>
        <w:gridCol w:w="708"/>
        <w:gridCol w:w="1701"/>
        <w:gridCol w:w="709"/>
        <w:gridCol w:w="992"/>
        <w:gridCol w:w="119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物资名称</w:t>
            </w:r>
          </w:p>
        </w:tc>
        <w:tc>
          <w:tcPr>
            <w:tcW w:w="1418"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型号</w:t>
            </w:r>
          </w:p>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规格</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单位</w:t>
            </w:r>
          </w:p>
        </w:tc>
        <w:tc>
          <w:tcPr>
            <w:tcW w:w="708"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数量</w:t>
            </w:r>
          </w:p>
        </w:tc>
        <w:tc>
          <w:tcPr>
            <w:tcW w:w="4592"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综合单价</w:t>
            </w:r>
            <w:r>
              <w:rPr>
                <w:rFonts w:hint="eastAsia" w:cs="宋体" w:asciiTheme="minorEastAsia" w:hAnsiTheme="minorEastAsia"/>
                <w:color w:val="000000"/>
                <w:sz w:val="21"/>
                <w:szCs w:val="21"/>
                <w:highlight w:val="none"/>
              </w:rPr>
              <w:t>（元 / 吨）</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highlight w:val="none"/>
              </w:rPr>
            </w:pPr>
            <w:r>
              <w:rPr>
                <w:rFonts w:hint="eastAsia" w:ascii="仿宋_GB2312" w:eastAsia="仿宋_GB2312" w:cs="宋体" w:hAnsiTheme="minorEastAsia"/>
                <w:color w:val="000000"/>
                <w:sz w:val="21"/>
                <w:szCs w:val="21"/>
                <w:highlight w:val="none"/>
              </w:rPr>
              <w:t>合计</w:t>
            </w:r>
          </w:p>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宋体" w:hAnsi="宋体" w:eastAsia="宋体" w:cs="宋体"/>
                <w:color w:val="000000"/>
                <w:sz w:val="21"/>
                <w:szCs w:val="21"/>
                <w:highlight w:val="none"/>
              </w:rPr>
              <w:t>金额</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418"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708"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单价</w:t>
            </w:r>
            <w:r>
              <w:rPr>
                <w:rFonts w:hint="eastAsia" w:ascii="仿宋_GB2312" w:eastAsia="仿宋_GB2312" w:cs="宋体" w:hAnsiTheme="minorEastAsia"/>
                <w:color w:val="000000"/>
                <w:kern w:val="0"/>
                <w:sz w:val="21"/>
                <w:szCs w:val="21"/>
                <w:highlight w:val="none"/>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商品混凝土</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C15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m³</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100</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商品混凝土</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C20</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m³</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100</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商品混凝土</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C25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m³</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100</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商品混凝土</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C30</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m³</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700</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0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商品混凝土</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C40</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m³</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100</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2"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不含税金额合计</w:t>
            </w:r>
          </w:p>
        </w:tc>
        <w:tc>
          <w:tcPr>
            <w:tcW w:w="7317"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元整，￥：</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2"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税额合计</w:t>
            </w:r>
          </w:p>
        </w:tc>
        <w:tc>
          <w:tcPr>
            <w:tcW w:w="7317"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元整，￥：</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02"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含税金额合计</w:t>
            </w:r>
          </w:p>
        </w:tc>
        <w:tc>
          <w:tcPr>
            <w:tcW w:w="7317"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 xml:space="preserve">元整，￥： </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19" w:type="dxa"/>
            <w:gridSpan w:val="9"/>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 xml:space="preserve">，即不受市场变化影响，且无论进场数量多少价格亦不发生变化。招标方负责卸车。  </w:t>
            </w:r>
            <w:r>
              <w:rPr>
                <w:rFonts w:hint="eastAsia" w:ascii="仿宋_GB2312" w:eastAsia="仿宋_GB2312" w:cs="宋体" w:hAnsiTheme="minorEastAsia"/>
                <w:kern w:val="0"/>
                <w:sz w:val="21"/>
                <w:szCs w:val="21"/>
                <w:highlight w:val="none"/>
              </w:rPr>
              <w:t xml:space="preserve">  </w:t>
            </w:r>
          </w:p>
          <w:p>
            <w:pPr>
              <w:spacing w:line="400" w:lineRule="exact"/>
              <w:ind w:firstLine="420" w:firstLineChars="200"/>
              <w:jc w:val="left"/>
              <w:outlineLvl w:val="2"/>
              <w:rPr>
                <w:rFonts w:ascii="仿宋_GB2312" w:hAnsi="宋体" w:eastAsia="仿宋_GB2312" w:cs="宋体"/>
                <w:sz w:val="21"/>
                <w:szCs w:val="21"/>
                <w:highlight w:val="none"/>
              </w:rPr>
            </w:pPr>
          </w:p>
        </w:tc>
      </w:tr>
    </w:tbl>
    <w:p>
      <w:pPr>
        <w:spacing w:line="360" w:lineRule="auto"/>
        <w:ind w:left="5250" w:hanging="5250" w:hangingChars="25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bookmarkStart w:id="74" w:name="_Toc18209295"/>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联系方式：</w:t>
      </w:r>
      <w:r>
        <w:rPr>
          <w:rFonts w:hint="eastAsia" w:ascii="仿宋_GB2312" w:eastAsia="仿宋_GB2312" w:cs="宋体" w:hAnsiTheme="minorEastAsia"/>
          <w:kern w:val="0"/>
          <w:sz w:val="21"/>
          <w:szCs w:val="21"/>
          <w:highlight w:val="none"/>
          <w:u w:val="single"/>
        </w:rPr>
        <w:t xml:space="preserve"> </w:t>
      </w:r>
      <w:r>
        <w:rPr>
          <w:rFonts w:ascii="仿宋_GB2312" w:eastAsia="仿宋_GB2312" w:cs="宋体" w:hAnsiTheme="minorEastAsia"/>
          <w:kern w:val="0"/>
          <w:sz w:val="21"/>
          <w:szCs w:val="21"/>
          <w:highlight w:val="none"/>
          <w:u w:val="single"/>
        </w:rPr>
        <w:t xml:space="preserve">                   </w:t>
      </w:r>
    </w:p>
    <w:p>
      <w:pPr>
        <w:spacing w:line="400" w:lineRule="exact"/>
        <w:ind w:firstLine="5880" w:firstLineChars="2800"/>
        <w:jc w:val="left"/>
        <w:rPr>
          <w:rFonts w:ascii="仿宋_GB2312" w:eastAsia="仿宋_GB2312" w:cs="宋体" w:hAnsiTheme="minorEastAsia"/>
          <w:b/>
          <w:w w:val="90"/>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r>
        <w:rPr>
          <w:rFonts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中建路桥集团有限公司石太高速公路改扩建工程3分部项目商品混凝土物资采购招标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ZJLQ-FG-石太改扩建3分部-202300</w:t>
      </w:r>
      <w:r>
        <w:rPr>
          <w:rFonts w:ascii="仿宋_GB2312" w:eastAsia="仿宋_GB2312" w:cs="宋体" w:hAnsiTheme="minorEastAsia"/>
          <w:sz w:val="21"/>
          <w:szCs w:val="21"/>
          <w:highlight w:val="none"/>
          <w:u w:val="single"/>
        </w:rPr>
        <w:t xml:space="preserve">2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widowControl/>
        <w:jc w:val="left"/>
        <w:rPr>
          <w:rFonts w:ascii="仿宋_GB2312" w:eastAsia="仿宋_GB2312" w:cs="宋体" w:hAnsiTheme="minorEastAsia"/>
          <w:b/>
          <w:w w:val="90"/>
          <w:highlight w:val="none"/>
        </w:rPr>
      </w:pPr>
      <w:r>
        <w:rPr>
          <w:rFonts w:ascii="仿宋_GB2312" w:eastAsia="仿宋_GB2312" w:cs="宋体" w:hAnsiTheme="minorEastAsia"/>
          <w:b/>
          <w:w w:val="90"/>
          <w:highlight w:val="none"/>
        </w:rPr>
        <w:br w:type="page"/>
      </w:r>
      <w:r>
        <w:rPr>
          <w:rFonts w:hint="eastAsia" w:ascii="仿宋_GB2312" w:eastAsia="仿宋_GB2312" w:cs="宋体" w:hAnsiTheme="minorEastAsia"/>
          <w:b/>
          <w:w w:val="90"/>
          <w:highlight w:val="none"/>
        </w:rPr>
        <w:t>4</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投标人身份证明文件</w:t>
      </w:r>
    </w:p>
    <w:p>
      <w:pPr>
        <w:spacing w:line="360" w:lineRule="auto"/>
        <w:jc w:val="center"/>
        <w:rPr>
          <w:rFonts w:ascii="仿宋_GB2312" w:eastAsia="仿宋_GB2312" w:cs="宋体" w:hAnsiTheme="minorEastAsia"/>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6"/>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pPr>
              <w:pStyle w:val="306"/>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6"/>
              <w:keepNext w:val="0"/>
              <w:keepLines w:val="0"/>
              <w:spacing w:before="240" w:beforeLines="100" w:line="360" w:lineRule="auto"/>
              <w:jc w:val="both"/>
              <w:rPr>
                <w:rFonts w:hAnsiTheme="minorEastAsia"/>
                <w:b w:val="0"/>
                <w:highlight w:val="none"/>
              </w:rPr>
            </w:pPr>
          </w:p>
          <w:p>
            <w:pPr>
              <w:pStyle w:val="306"/>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b/>
          <w:sz w:val="32"/>
          <w:szCs w:val="32"/>
          <w:highlight w:val="none"/>
        </w:rPr>
      </w:pPr>
    </w:p>
    <w:p>
      <w:pPr>
        <w:widowControl/>
        <w:jc w:val="left"/>
        <w:rPr>
          <w:rFonts w:ascii="仿宋_GB2312" w:eastAsia="仿宋_GB2312" w:cs="宋体" w:hAnsiTheme="minorEastAsia"/>
          <w:b/>
          <w:sz w:val="32"/>
          <w:szCs w:val="32"/>
          <w:highlight w:val="none"/>
        </w:rPr>
      </w:pPr>
      <w:r>
        <w:rPr>
          <w:rFonts w:ascii="仿宋_GB2312" w:eastAsia="仿宋_GB2312" w:cs="宋体" w:hAnsiTheme="minorEastAsia"/>
          <w:b/>
          <w:sz w:val="32"/>
          <w:szCs w:val="32"/>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widowControl/>
        <w:jc w:val="left"/>
        <w:rPr>
          <w:rFonts w:ascii="仿宋_GB2312" w:eastAsia="仿宋_GB2312" w:cs="宋体" w:hAnsiTheme="minorEastAsia"/>
          <w:b/>
          <w:sz w:val="28"/>
          <w:szCs w:val="28"/>
          <w:highlight w:val="none"/>
        </w:rPr>
      </w:pPr>
      <w:r>
        <w:rPr>
          <w:rFonts w:ascii="仿宋_GB2312" w:eastAsia="仿宋_GB2312" w:cs="宋体" w:hAnsiTheme="minorEastAsia"/>
          <w:b/>
          <w:sz w:val="28"/>
          <w:szCs w:val="28"/>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bl>
    <w:p>
      <w:pPr>
        <w:outlineLvl w:val="1"/>
        <w:rPr>
          <w:rFonts w:ascii="仿宋_GB2312" w:hAnsi="华文仿宋" w:eastAsia="仿宋_GB2312" w:cs="Times New Roman"/>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bl>
    <w:p>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pPr>
        <w:widowControl/>
        <w:spacing w:line="480" w:lineRule="auto"/>
        <w:rPr>
          <w:rFonts w:ascii="宋体" w:hAnsi="宋体"/>
          <w:sz w:val="28"/>
          <w:szCs w:val="28"/>
          <w:highlight w:val="none"/>
        </w:rPr>
      </w:pPr>
      <w:r>
        <w:rPr>
          <w:rFonts w:ascii="Times New Roman" w:hAnsi="Times New Roman"/>
          <w:sz w:val="21"/>
          <w:highlight w:val="none"/>
        </w:rPr>
        <w:pict>
          <v:shape id="Text Box 7" o:spid="_x0000_s2052" o:spt="202" type="#_x0000_t202" style="position:absolute;left:0pt;margin-left:211.85pt;margin-top:32.55pt;height:22.55pt;width:240.65pt;z-index:251660288;mso-width-relative:page;mso-height-relative:page;" filled="f" coordsize="21600,21600">
            <v:path/>
            <v:fill on="f" focussize="0,0"/>
            <v:stroke joinstyle="miter"/>
            <v:imagedata o:title=""/>
            <o:lock v:ext="edit"/>
            <v:textbox>
              <w:txbxContent>
                <w:p>
                  <w:pPr>
                    <w:rPr>
                      <w:rFonts w:asciiTheme="minorEastAsia" w:hAnsiTheme="minorEastAsia"/>
                    </w:rPr>
                  </w:pPr>
                  <w:r>
                    <w:rPr>
                      <w:rFonts w:hint="eastAsia" w:asciiTheme="minorEastAsia" w:hAnsiTheme="minorEastAsia"/>
                    </w:rPr>
                    <w:t>合同编号：ZJLQ-FG-石太改扩建3分部-XXX</w:t>
                  </w:r>
                </w:p>
              </w:txbxContent>
            </v:textbox>
          </v:shape>
        </w:pict>
      </w:r>
    </w:p>
    <w:p>
      <w:pPr>
        <w:widowControl/>
        <w:spacing w:line="480" w:lineRule="auto"/>
        <w:rPr>
          <w:rFonts w:ascii="宋体" w:hAnsi="宋体"/>
          <w:sz w:val="28"/>
          <w:szCs w:val="28"/>
          <w:highlight w:val="none"/>
        </w:rPr>
      </w:pPr>
    </w:p>
    <w:p>
      <w:pPr>
        <w:tabs>
          <w:tab w:val="left" w:pos="8735"/>
        </w:tabs>
        <w:spacing w:line="360" w:lineRule="auto"/>
        <w:ind w:left="6120" w:leftChars="1250" w:hanging="3120" w:hangingChars="1300"/>
        <w:rPr>
          <w:rFonts w:ascii="宋体" w:hAnsi="宋体"/>
          <w:highlight w:val="none"/>
        </w:rPr>
      </w:pPr>
    </w:p>
    <w:p>
      <w:pPr>
        <w:spacing w:line="220" w:lineRule="atLeast"/>
        <w:jc w:val="center"/>
        <w:rPr>
          <w:rFonts w:ascii="黑体" w:hAnsi="黑体" w:eastAsia="黑体"/>
          <w:b/>
          <w:sz w:val="52"/>
          <w:szCs w:val="52"/>
          <w:highlight w:val="none"/>
        </w:rPr>
      </w:pPr>
    </w:p>
    <w:p>
      <w:pPr>
        <w:spacing w:line="220" w:lineRule="atLeast"/>
        <w:jc w:val="center"/>
        <w:rPr>
          <w:rFonts w:ascii="黑体" w:hAnsi="黑体" w:eastAsia="黑体"/>
          <w:b/>
          <w:sz w:val="52"/>
          <w:szCs w:val="52"/>
          <w:highlight w:val="none"/>
        </w:rPr>
      </w:pPr>
    </w:p>
    <w:p>
      <w:pPr>
        <w:spacing w:line="220" w:lineRule="atLeast"/>
        <w:jc w:val="center"/>
        <w:rPr>
          <w:rFonts w:ascii="黑体" w:hAnsi="黑体" w:eastAsia="黑体"/>
          <w:b/>
          <w:sz w:val="52"/>
          <w:szCs w:val="52"/>
          <w:highlight w:val="none"/>
        </w:rPr>
      </w:pPr>
      <w:r>
        <w:rPr>
          <w:rFonts w:hint="eastAsia" w:ascii="黑体" w:hAnsi="黑体" w:eastAsia="黑体"/>
          <w:b/>
          <w:sz w:val="52"/>
          <w:szCs w:val="52"/>
          <w:highlight w:val="none"/>
        </w:rPr>
        <w:t>物资购销合同</w:t>
      </w:r>
    </w:p>
    <w:p>
      <w:pPr>
        <w:spacing w:line="220" w:lineRule="atLeast"/>
        <w:jc w:val="center"/>
        <w:rPr>
          <w:rFonts w:ascii="宋体" w:hAnsi="宋体"/>
          <w:sz w:val="28"/>
          <w:szCs w:val="28"/>
          <w:highlight w:val="none"/>
        </w:rPr>
      </w:pPr>
      <w:r>
        <w:rPr>
          <w:rFonts w:hint="eastAsia" w:ascii="宋体" w:hAnsi="宋体"/>
          <w:sz w:val="28"/>
          <w:szCs w:val="28"/>
          <w:highlight w:val="none"/>
        </w:rPr>
        <w:t xml:space="preserve">                 </w:t>
      </w:r>
    </w:p>
    <w:p>
      <w:pPr>
        <w:spacing w:line="220" w:lineRule="atLeast"/>
        <w:jc w:val="center"/>
        <w:rPr>
          <w:rFonts w:ascii="黑体" w:hAnsi="黑体" w:eastAsia="黑体"/>
          <w:b/>
          <w:sz w:val="52"/>
          <w:szCs w:val="52"/>
          <w:highlight w:val="none"/>
        </w:rPr>
      </w:pPr>
      <w:r>
        <w:rPr>
          <w:rFonts w:hint="eastAsia" w:ascii="宋体" w:hAnsi="宋体"/>
          <w:sz w:val="28"/>
          <w:szCs w:val="28"/>
          <w:highlight w:val="none"/>
        </w:rPr>
        <w:t xml:space="preserve">                物资名称：</w:t>
      </w:r>
      <w:r>
        <w:rPr>
          <w:rFonts w:hint="eastAsia" w:ascii="宋体" w:hAnsi="宋体"/>
          <w:sz w:val="28"/>
          <w:szCs w:val="28"/>
          <w:highlight w:val="none"/>
          <w:u w:val="single"/>
        </w:rPr>
        <w:t xml:space="preserve"> 商品混凝土 </w:t>
      </w:r>
      <w:r>
        <w:rPr>
          <w:rFonts w:hint="eastAsia" w:ascii="宋体" w:hAnsi="宋体"/>
          <w:highlight w:val="none"/>
        </w:rPr>
        <w:t xml:space="preserve">  </w:t>
      </w:r>
      <w:r>
        <w:rPr>
          <w:rFonts w:ascii="宋体" w:hAnsi="宋体"/>
          <w:highlight w:val="none"/>
        </w:rPr>
        <w:pict>
          <v:group id="Group 5" o:spid="_x0000_s2050" o:spt="203" style="height:23.4pt;width:99pt;" coordsize="1721,408203">
            <o:lock v:ext="edit" aspectratio="t"/>
            <v:shape id="Picture 6" o:spid="_x0000_s2051" o:spt="75" type="#_x0000_t75" style="position:absolute;left:0;top:0;height:408;width:1721;" filled="f" o:preferrelative="f" stroked="f" coordsize="21600,21600">
              <v:path/>
              <v:fill on="f" focussize="0,0"/>
              <v:stroke on="f" joinstyle="miter"/>
              <v:imagedata o:title=""/>
              <o:lock v:ext="edit" aspectratio="t"/>
            </v:shape>
            <w10:wrap type="none"/>
            <w10:anchorlock/>
          </v:group>
        </w:pict>
      </w:r>
    </w:p>
    <w:p>
      <w:pPr>
        <w:spacing w:line="360" w:lineRule="auto"/>
        <w:jc w:val="center"/>
        <w:outlineLvl w:val="0"/>
        <w:rPr>
          <w:rFonts w:ascii="宋体" w:hAnsi="宋体"/>
          <w:b/>
          <w:spacing w:val="-20"/>
          <w:sz w:val="48"/>
          <w:szCs w:val="48"/>
          <w:highlight w:val="none"/>
        </w:rPr>
      </w:pPr>
    </w:p>
    <w:p>
      <w:pPr>
        <w:spacing w:line="360" w:lineRule="auto"/>
        <w:outlineLvl w:val="0"/>
        <w:rPr>
          <w:rFonts w:ascii="宋体" w:hAnsi="宋体"/>
          <w:b/>
          <w:spacing w:val="-20"/>
          <w:sz w:val="52"/>
          <w:szCs w:val="52"/>
          <w:highlight w:val="none"/>
        </w:rPr>
      </w:pPr>
    </w:p>
    <w:p>
      <w:pPr>
        <w:spacing w:line="360" w:lineRule="auto"/>
        <w:rPr>
          <w:rFonts w:ascii="宋体" w:hAnsi="宋体"/>
          <w:b/>
          <w:highlight w:val="none"/>
          <w:u w:val="single"/>
        </w:rPr>
      </w:pPr>
    </w:p>
    <w:p>
      <w:pPr>
        <w:spacing w:line="360" w:lineRule="auto"/>
        <w:rPr>
          <w:rFonts w:ascii="宋体" w:hAnsi="宋体"/>
          <w:b/>
          <w:highlight w:val="none"/>
          <w:u w:val="single"/>
        </w:rPr>
      </w:pPr>
      <w:r>
        <w:rPr>
          <w:rFonts w:hint="eastAsia" w:ascii="宋体" w:hAnsi="宋体"/>
          <w:b/>
          <w:highlight w:val="none"/>
          <w:u w:val="single"/>
        </w:rPr>
        <w:br w:type="textWrapping"/>
      </w:r>
    </w:p>
    <w:p>
      <w:pPr>
        <w:spacing w:line="360" w:lineRule="auto"/>
        <w:ind w:left="4140" w:leftChars="1200" w:hanging="1260" w:hangingChars="450"/>
        <w:rPr>
          <w:rFonts w:ascii="宋体" w:hAnsi="宋体"/>
          <w:sz w:val="28"/>
          <w:szCs w:val="28"/>
          <w:highlight w:val="none"/>
          <w:u w:val="single"/>
        </w:rPr>
      </w:pPr>
      <w:r>
        <w:rPr>
          <w:rFonts w:hint="eastAsia" w:ascii="宋体" w:hAnsi="宋体"/>
          <w:sz w:val="28"/>
          <w:szCs w:val="28"/>
          <w:highlight w:val="none"/>
        </w:rPr>
        <w:t>甲方：</w:t>
      </w:r>
      <w:r>
        <w:rPr>
          <w:rFonts w:hint="eastAsia" w:ascii="宋体" w:hAnsi="宋体"/>
          <w:sz w:val="28"/>
          <w:szCs w:val="28"/>
          <w:highlight w:val="none"/>
          <w:u w:val="single"/>
        </w:rPr>
        <w:t>中建路桥集团有限公司</w:t>
      </w:r>
    </w:p>
    <w:p>
      <w:pPr>
        <w:spacing w:line="360" w:lineRule="auto"/>
        <w:ind w:firstLine="2800" w:firstLineChars="1000"/>
        <w:rPr>
          <w:rFonts w:ascii="宋体" w:hAnsi="宋体"/>
          <w:sz w:val="28"/>
          <w:szCs w:val="28"/>
          <w:highlight w:val="none"/>
          <w:u w:val="single"/>
        </w:rPr>
      </w:pPr>
      <w:r>
        <w:rPr>
          <w:rFonts w:hint="eastAsia" w:ascii="宋体" w:hAnsi="宋体"/>
          <w:sz w:val="28"/>
          <w:szCs w:val="28"/>
          <w:highlight w:val="none"/>
        </w:rPr>
        <w:t>乙方：</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p>
    <w:p>
      <w:pPr>
        <w:spacing w:line="360" w:lineRule="auto"/>
        <w:ind w:firstLine="1687" w:firstLineChars="700"/>
        <w:rPr>
          <w:rFonts w:ascii="宋体" w:hAnsi="宋体"/>
          <w:b/>
          <w:highlight w:val="none"/>
          <w:u w:val="single"/>
        </w:rPr>
      </w:pPr>
    </w:p>
    <w:p>
      <w:pPr>
        <w:spacing w:line="360" w:lineRule="auto"/>
        <w:ind w:firstLine="1687" w:firstLineChars="700"/>
        <w:rPr>
          <w:rFonts w:ascii="宋体" w:hAnsi="宋体"/>
          <w:b/>
          <w:highlight w:val="none"/>
          <w:u w:val="single"/>
        </w:rPr>
      </w:pPr>
    </w:p>
    <w:p>
      <w:pPr>
        <w:spacing w:line="360" w:lineRule="auto"/>
        <w:rPr>
          <w:rFonts w:ascii="宋体" w:hAnsi="宋体"/>
          <w:b/>
          <w:highlight w:val="none"/>
          <w:u w:val="single"/>
        </w:rPr>
      </w:pPr>
    </w:p>
    <w:p>
      <w:pPr>
        <w:spacing w:line="360" w:lineRule="auto"/>
        <w:jc w:val="center"/>
        <w:rPr>
          <w:rFonts w:ascii="宋体" w:hAnsi="宋体"/>
          <w:sz w:val="28"/>
          <w:szCs w:val="28"/>
          <w:highlight w:val="none"/>
        </w:rPr>
      </w:pPr>
      <w:r>
        <w:rPr>
          <w:rFonts w:hint="eastAsia" w:ascii="宋体" w:hAnsi="宋体"/>
          <w:sz w:val="28"/>
          <w:szCs w:val="28"/>
          <w:highlight w:val="none"/>
        </w:rPr>
        <w:t>合同订立日期：</w:t>
      </w:r>
      <w:r>
        <w:rPr>
          <w:rFonts w:hint="eastAsia" w:ascii="宋体" w:hAnsi="宋体"/>
          <w:sz w:val="28"/>
          <w:szCs w:val="28"/>
          <w:highlight w:val="none"/>
          <w:u w:val="single"/>
        </w:rPr>
        <w:t xml:space="preserve"> </w:t>
      </w:r>
      <w:r>
        <w:rPr>
          <w:rFonts w:ascii="宋体" w:hAnsi="宋体"/>
          <w:sz w:val="28"/>
          <w:szCs w:val="28"/>
          <w:highlight w:val="none"/>
          <w:u w:val="single"/>
        </w:rPr>
        <w:t>2023</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rPr>
        <w:t>日</w:t>
      </w:r>
    </w:p>
    <w:p>
      <w:pPr>
        <w:spacing w:line="360" w:lineRule="auto"/>
        <w:jc w:val="center"/>
        <w:rPr>
          <w:rFonts w:ascii="宋体" w:hAnsi="宋体"/>
          <w:sz w:val="28"/>
          <w:szCs w:val="28"/>
          <w:highlight w:val="none"/>
        </w:rPr>
      </w:pPr>
      <w:r>
        <w:rPr>
          <w:rFonts w:hint="eastAsia" w:ascii="宋体" w:hAnsi="宋体"/>
          <w:sz w:val="28"/>
          <w:szCs w:val="28"/>
          <w:highlight w:val="none"/>
        </w:rPr>
        <w:t>合同订立地点：石家庄市</w:t>
      </w:r>
    </w:p>
    <w:p>
      <w:pPr>
        <w:widowControl/>
        <w:jc w:val="center"/>
        <w:rPr>
          <w:rFonts w:ascii="宋体" w:hAnsi="宋体"/>
          <w:b/>
          <w:sz w:val="36"/>
          <w:szCs w:val="36"/>
          <w:highlight w:val="none"/>
        </w:rPr>
      </w:pPr>
      <w:r>
        <w:rPr>
          <w:rFonts w:ascii="宋体" w:hAnsi="宋体"/>
          <w:b/>
          <w:sz w:val="36"/>
          <w:szCs w:val="36"/>
          <w:highlight w:val="none"/>
        </w:rPr>
        <w:br w:type="page"/>
      </w:r>
      <w:r>
        <w:rPr>
          <w:rFonts w:hint="eastAsia" w:ascii="宋体" w:hAnsi="宋体"/>
          <w:b/>
          <w:sz w:val="36"/>
          <w:szCs w:val="36"/>
          <w:highlight w:val="none"/>
        </w:rPr>
        <w:t>物资购销合同</w:t>
      </w:r>
    </w:p>
    <w:p>
      <w:pPr>
        <w:spacing w:before="192" w:beforeLines="80" w:line="220" w:lineRule="atLeast"/>
        <w:jc w:val="center"/>
        <w:rPr>
          <w:rFonts w:ascii="宋体" w:hAnsi="宋体"/>
          <w:b/>
          <w:sz w:val="30"/>
          <w:szCs w:val="30"/>
          <w:highlight w:val="none"/>
        </w:rPr>
      </w:pPr>
      <w:r>
        <w:rPr>
          <w:rFonts w:hint="eastAsia" w:ascii="宋体" w:hAnsi="宋体"/>
          <w:b/>
          <w:sz w:val="30"/>
          <w:szCs w:val="30"/>
          <w:highlight w:val="none"/>
        </w:rPr>
        <w:t>第一部分  合同</w:t>
      </w:r>
      <w:r>
        <w:rPr>
          <w:rFonts w:ascii="宋体" w:hAnsi="宋体"/>
          <w:b/>
          <w:sz w:val="30"/>
          <w:szCs w:val="30"/>
          <w:highlight w:val="none"/>
        </w:rPr>
        <w:t>协议书</w:t>
      </w:r>
    </w:p>
    <w:p>
      <w:pPr>
        <w:spacing w:line="400" w:lineRule="exact"/>
        <w:rPr>
          <w:rFonts w:ascii="宋体" w:hAnsi="宋体"/>
          <w:szCs w:val="21"/>
          <w:highlight w:val="none"/>
        </w:rPr>
      </w:pPr>
      <w:r>
        <w:rPr>
          <w:rFonts w:hint="eastAsia" w:ascii="宋体" w:hAnsi="宋体"/>
          <w:szCs w:val="21"/>
          <w:highlight w:val="none"/>
        </w:rPr>
        <w:t>甲方（需方）：</w:t>
      </w:r>
      <w:r>
        <w:rPr>
          <w:rFonts w:hint="eastAsia" w:ascii="宋体" w:hAnsi="宋体"/>
          <w:szCs w:val="21"/>
          <w:highlight w:val="none"/>
          <w:u w:val="single"/>
        </w:rPr>
        <w:t>中建路桥集团有限公司</w:t>
      </w:r>
    </w:p>
    <w:p>
      <w:pPr>
        <w:tabs>
          <w:tab w:val="center" w:pos="5081"/>
        </w:tabs>
        <w:spacing w:line="400" w:lineRule="exact"/>
        <w:rPr>
          <w:rFonts w:ascii="宋体" w:hAnsi="宋体"/>
          <w:szCs w:val="21"/>
          <w:highlight w:val="none"/>
          <w:u w:val="single"/>
        </w:rPr>
      </w:pPr>
      <w:r>
        <w:rPr>
          <w:rFonts w:hint="eastAsia" w:ascii="宋体" w:hAnsi="宋体"/>
          <w:szCs w:val="21"/>
          <w:highlight w:val="none"/>
        </w:rPr>
        <w:t>乙方（供方）：</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pStyle w:val="70"/>
        <w:spacing w:beforeLines="0" w:line="400" w:lineRule="exact"/>
        <w:jc w:val="left"/>
        <w:rPr>
          <w:highlight w:val="none"/>
        </w:rPr>
      </w:pPr>
      <w:r>
        <w:rPr>
          <w:rFonts w:hint="eastAsia"/>
          <w:highlight w:val="none"/>
        </w:rPr>
        <w:t>依据《中华人民共和国民法典》及相关法律、法规，遵循平等、自愿、公平和诚实信用的原则，为明确甲方与乙方的权利和义务，经双方协商就物资采购事宜达成一致意见，特签订本合同，双方共同遵照执行。</w:t>
      </w:r>
    </w:p>
    <w:p>
      <w:pPr>
        <w:spacing w:line="400" w:lineRule="exact"/>
        <w:ind w:firstLine="482" w:firstLineChars="200"/>
        <w:jc w:val="left"/>
        <w:rPr>
          <w:rFonts w:ascii="宋体" w:hAnsi="宋体"/>
          <w:b/>
          <w:szCs w:val="21"/>
          <w:highlight w:val="none"/>
        </w:rPr>
      </w:pPr>
      <w:r>
        <w:rPr>
          <w:rFonts w:hint="eastAsia" w:ascii="宋体" w:hAnsi="宋体"/>
          <w:b/>
          <w:szCs w:val="21"/>
          <w:highlight w:val="none"/>
        </w:rPr>
        <w:t>一、项目名称和项目地点</w:t>
      </w:r>
    </w:p>
    <w:p>
      <w:pPr>
        <w:spacing w:line="400" w:lineRule="exact"/>
        <w:ind w:firstLine="480" w:firstLineChars="200"/>
        <w:jc w:val="left"/>
        <w:rPr>
          <w:rFonts w:ascii="宋体" w:hAnsi="宋体"/>
          <w:szCs w:val="21"/>
          <w:highlight w:val="none"/>
        </w:rPr>
      </w:pPr>
      <w:r>
        <w:rPr>
          <w:rFonts w:ascii="宋体" w:hAnsi="宋体"/>
          <w:szCs w:val="21"/>
          <w:highlight w:val="none"/>
        </w:rPr>
        <w:t>(</w:t>
      </w:r>
      <w:r>
        <w:rPr>
          <w:rFonts w:hint="eastAsia" w:ascii="宋体" w:hAnsi="宋体"/>
          <w:szCs w:val="21"/>
          <w:highlight w:val="none"/>
        </w:rPr>
        <w:t>一)项目名称：</w:t>
      </w:r>
      <w:r>
        <w:rPr>
          <w:rFonts w:hint="eastAsia" w:ascii="宋体" w:hAnsi="宋体"/>
          <w:szCs w:val="21"/>
          <w:highlight w:val="none"/>
          <w:u w:val="single"/>
        </w:rPr>
        <w:t>中建路桥集团有限公司石太高速公路改扩建工程3分部项目经理部</w:t>
      </w:r>
      <w:r>
        <w:rPr>
          <w:rFonts w:hint="eastAsia" w:ascii="宋体" w:hAnsi="宋体"/>
          <w:szCs w:val="21"/>
          <w:highlight w:val="none"/>
        </w:rPr>
        <w:t>。</w:t>
      </w:r>
    </w:p>
    <w:p>
      <w:pPr>
        <w:spacing w:line="400" w:lineRule="exact"/>
        <w:ind w:firstLine="480" w:firstLineChars="200"/>
        <w:jc w:val="left"/>
        <w:rPr>
          <w:rFonts w:ascii="宋体" w:hAnsi="宋体"/>
          <w:szCs w:val="21"/>
          <w:highlight w:val="none"/>
        </w:rPr>
      </w:pPr>
      <w:r>
        <w:rPr>
          <w:rFonts w:hint="eastAsia" w:ascii="宋体" w:hAnsi="宋体"/>
          <w:szCs w:val="21"/>
          <w:highlight w:val="none"/>
        </w:rPr>
        <w:t>(二)项目地点：</w:t>
      </w:r>
      <w:r>
        <w:rPr>
          <w:rFonts w:hint="eastAsia" w:ascii="宋体" w:hAnsi="宋体"/>
          <w:szCs w:val="21"/>
          <w:highlight w:val="none"/>
          <w:u w:val="single"/>
        </w:rPr>
        <w:t xml:space="preserve">河北省石家庄市井陉县 </w:t>
      </w:r>
      <w:r>
        <w:rPr>
          <w:rFonts w:hint="eastAsia" w:ascii="宋体" w:hAnsi="宋体"/>
          <w:szCs w:val="21"/>
          <w:highlight w:val="none"/>
        </w:rPr>
        <w:t>。</w:t>
      </w:r>
    </w:p>
    <w:p>
      <w:pPr>
        <w:spacing w:line="400" w:lineRule="exact"/>
        <w:ind w:firstLine="482" w:firstLineChars="200"/>
        <w:rPr>
          <w:rFonts w:ascii="宋体" w:hAnsi="宋体"/>
          <w:color w:val="000000" w:themeColor="text1"/>
          <w:szCs w:val="21"/>
          <w:highlight w:val="none"/>
          <w:u w:val="single"/>
        </w:rPr>
      </w:pPr>
      <w:r>
        <w:rPr>
          <w:rFonts w:hint="eastAsia" w:ascii="宋体" w:hAnsi="宋体"/>
          <w:b/>
          <w:color w:val="000000" w:themeColor="text1"/>
          <w:szCs w:val="21"/>
          <w:highlight w:val="none"/>
        </w:rPr>
        <w:t>二、物资信息</w:t>
      </w:r>
    </w:p>
    <w:p>
      <w:pPr>
        <w:spacing w:line="400" w:lineRule="exact"/>
        <w:ind w:firstLine="360" w:firstLineChars="150"/>
        <w:rPr>
          <w:rFonts w:ascii="宋体" w:hAnsi="宋体"/>
          <w:color w:val="000000" w:themeColor="text1"/>
          <w:szCs w:val="21"/>
          <w:highlight w:val="none"/>
        </w:rPr>
      </w:pPr>
      <w:r>
        <w:rPr>
          <w:rFonts w:ascii="宋体" w:hAnsi="宋体"/>
          <w:color w:val="000000" w:themeColor="text1"/>
          <w:szCs w:val="21"/>
          <w:highlight w:val="none"/>
        </w:rPr>
        <w:t>(</w:t>
      </w:r>
      <w:r>
        <w:rPr>
          <w:rFonts w:hint="eastAsia" w:ascii="宋体" w:hAnsi="宋体"/>
          <w:color w:val="000000" w:themeColor="text1"/>
          <w:szCs w:val="21"/>
          <w:highlight w:val="none"/>
        </w:rPr>
        <w:t>一)综合单价</w:t>
      </w:r>
    </w:p>
    <w:tbl>
      <w:tblPr>
        <w:tblStyle w:val="34"/>
        <w:tblpPr w:leftFromText="180" w:rightFromText="180" w:vertAnchor="text" w:horzAnchor="page" w:tblpX="1659" w:tblpY="158"/>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1137"/>
        <w:gridCol w:w="1138"/>
        <w:gridCol w:w="568"/>
        <w:gridCol w:w="852"/>
        <w:gridCol w:w="1137"/>
        <w:gridCol w:w="996"/>
        <w:gridCol w:w="852"/>
        <w:gridCol w:w="113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93" w:type="dxa"/>
            <w:vMerge w:val="restart"/>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序号</w:t>
            </w:r>
          </w:p>
        </w:tc>
        <w:tc>
          <w:tcPr>
            <w:tcW w:w="1137" w:type="dxa"/>
            <w:vMerge w:val="restart"/>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物资名称</w:t>
            </w:r>
          </w:p>
        </w:tc>
        <w:tc>
          <w:tcPr>
            <w:tcW w:w="1138" w:type="dxa"/>
            <w:vMerge w:val="restart"/>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规格</w:t>
            </w:r>
          </w:p>
        </w:tc>
        <w:tc>
          <w:tcPr>
            <w:tcW w:w="568" w:type="dxa"/>
            <w:vMerge w:val="restart"/>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单位</w:t>
            </w:r>
          </w:p>
        </w:tc>
        <w:tc>
          <w:tcPr>
            <w:tcW w:w="852" w:type="dxa"/>
            <w:vMerge w:val="restart"/>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暂定数量（吨）</w:t>
            </w:r>
          </w:p>
        </w:tc>
        <w:tc>
          <w:tcPr>
            <w:tcW w:w="4123" w:type="dxa"/>
            <w:gridSpan w:val="4"/>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综合单价（元）</w:t>
            </w:r>
          </w:p>
        </w:tc>
        <w:tc>
          <w:tcPr>
            <w:tcW w:w="1425" w:type="dxa"/>
            <w:vMerge w:val="restart"/>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93" w:type="dxa"/>
            <w:vMerge w:val="continue"/>
            <w:vAlign w:val="center"/>
          </w:tcPr>
          <w:p>
            <w:pPr>
              <w:spacing w:line="360" w:lineRule="auto"/>
              <w:jc w:val="center"/>
              <w:rPr>
                <w:rFonts w:ascii="宋体" w:hAnsi="宋体"/>
                <w:color w:val="000000" w:themeColor="text1"/>
                <w:szCs w:val="21"/>
                <w:highlight w:val="none"/>
              </w:rPr>
            </w:pPr>
          </w:p>
        </w:tc>
        <w:tc>
          <w:tcPr>
            <w:tcW w:w="1137" w:type="dxa"/>
            <w:vMerge w:val="continue"/>
            <w:vAlign w:val="center"/>
          </w:tcPr>
          <w:p>
            <w:pPr>
              <w:spacing w:line="360" w:lineRule="auto"/>
              <w:jc w:val="center"/>
              <w:rPr>
                <w:rFonts w:ascii="宋体" w:hAnsi="宋体"/>
                <w:color w:val="000000" w:themeColor="text1"/>
                <w:szCs w:val="21"/>
                <w:highlight w:val="none"/>
              </w:rPr>
            </w:pPr>
          </w:p>
        </w:tc>
        <w:tc>
          <w:tcPr>
            <w:tcW w:w="1138" w:type="dxa"/>
            <w:vMerge w:val="continue"/>
            <w:vAlign w:val="center"/>
          </w:tcPr>
          <w:p>
            <w:pPr>
              <w:spacing w:line="360" w:lineRule="auto"/>
              <w:jc w:val="center"/>
              <w:rPr>
                <w:rFonts w:ascii="宋体" w:hAnsi="宋体"/>
                <w:color w:val="000000" w:themeColor="text1"/>
                <w:szCs w:val="21"/>
                <w:highlight w:val="none"/>
              </w:rPr>
            </w:pPr>
          </w:p>
        </w:tc>
        <w:tc>
          <w:tcPr>
            <w:tcW w:w="568" w:type="dxa"/>
            <w:vMerge w:val="continue"/>
            <w:vAlign w:val="center"/>
          </w:tcPr>
          <w:p>
            <w:pPr>
              <w:spacing w:line="360" w:lineRule="auto"/>
              <w:jc w:val="center"/>
              <w:rPr>
                <w:rFonts w:ascii="宋体" w:hAnsi="宋体"/>
                <w:color w:val="000000" w:themeColor="text1"/>
                <w:szCs w:val="21"/>
                <w:highlight w:val="none"/>
              </w:rPr>
            </w:pPr>
          </w:p>
        </w:tc>
        <w:tc>
          <w:tcPr>
            <w:tcW w:w="852" w:type="dxa"/>
            <w:vMerge w:val="continue"/>
            <w:vAlign w:val="center"/>
          </w:tcPr>
          <w:p>
            <w:pPr>
              <w:spacing w:line="360" w:lineRule="auto"/>
              <w:jc w:val="center"/>
              <w:rPr>
                <w:rFonts w:ascii="宋体" w:hAnsi="宋体"/>
                <w:color w:val="000000" w:themeColor="text1"/>
                <w:szCs w:val="21"/>
                <w:highlight w:val="none"/>
              </w:rPr>
            </w:pPr>
          </w:p>
        </w:tc>
        <w:tc>
          <w:tcPr>
            <w:tcW w:w="1137" w:type="dxa"/>
            <w:vAlign w:val="center"/>
          </w:tcPr>
          <w:p>
            <w:pPr>
              <w:widowControl/>
              <w:spacing w:line="360" w:lineRule="auto"/>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单价（不含税）</w:t>
            </w:r>
          </w:p>
        </w:tc>
        <w:tc>
          <w:tcPr>
            <w:tcW w:w="996" w:type="dxa"/>
            <w:vAlign w:val="center"/>
          </w:tcPr>
          <w:p>
            <w:pPr>
              <w:widowControl/>
              <w:spacing w:line="360" w:lineRule="auto"/>
              <w:jc w:val="center"/>
              <w:textAlignment w:val="center"/>
              <w:rPr>
                <w:rFonts w:ascii="宋体" w:hAnsi="宋体" w:cs="宋体"/>
                <w:color w:val="000000" w:themeColor="text1"/>
                <w:szCs w:val="21"/>
                <w:highlight w:val="none"/>
              </w:rPr>
            </w:pPr>
            <w:r>
              <w:rPr>
                <w:rFonts w:hint="eastAsia" w:ascii="宋体" w:hAnsi="宋体"/>
                <w:color w:val="000000" w:themeColor="text1"/>
                <w:szCs w:val="21"/>
                <w:highlight w:val="none"/>
              </w:rPr>
              <w:t>发票票面税率</w:t>
            </w:r>
          </w:p>
        </w:tc>
        <w:tc>
          <w:tcPr>
            <w:tcW w:w="852" w:type="dxa"/>
            <w:vAlign w:val="center"/>
          </w:tcPr>
          <w:p>
            <w:pPr>
              <w:widowControl/>
              <w:spacing w:line="360" w:lineRule="auto"/>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税额</w:t>
            </w:r>
          </w:p>
        </w:tc>
        <w:tc>
          <w:tcPr>
            <w:tcW w:w="1138" w:type="dxa"/>
            <w:vAlign w:val="center"/>
          </w:tcPr>
          <w:p>
            <w:pPr>
              <w:widowControl/>
              <w:spacing w:line="360" w:lineRule="auto"/>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价税合计</w:t>
            </w:r>
          </w:p>
        </w:tc>
        <w:tc>
          <w:tcPr>
            <w:tcW w:w="1425" w:type="dxa"/>
            <w:vMerge w:val="continue"/>
            <w:vAlign w:val="center"/>
          </w:tcPr>
          <w:p>
            <w:pPr>
              <w:spacing w:line="360" w:lineRule="auto"/>
              <w:jc w:val="center"/>
              <w:rPr>
                <w:rFonts w:ascii="宋体" w:hAnsi="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3" w:type="dxa"/>
            <w:shd w:val="clear" w:color="auto" w:fill="auto"/>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1</w:t>
            </w:r>
          </w:p>
        </w:tc>
        <w:tc>
          <w:tcPr>
            <w:tcW w:w="1137"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r>
              <w:rPr>
                <w:rFonts w:hint="eastAsia"/>
                <w:highlight w:val="none"/>
              </w:rPr>
              <w:t>商品混凝土</w:t>
            </w:r>
          </w:p>
        </w:tc>
        <w:tc>
          <w:tcPr>
            <w:tcW w:w="1138"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r>
              <w:rPr>
                <w:rFonts w:hint="eastAsia"/>
                <w:highlight w:val="none"/>
              </w:rPr>
              <w:t>C15</w:t>
            </w:r>
          </w:p>
        </w:tc>
        <w:tc>
          <w:tcPr>
            <w:tcW w:w="568"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r>
              <w:rPr>
                <w:rFonts w:hint="eastAsia"/>
                <w:highlight w:val="none"/>
              </w:rPr>
              <w:t>m³</w:t>
            </w:r>
          </w:p>
        </w:tc>
        <w:tc>
          <w:tcPr>
            <w:tcW w:w="852"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1</w:t>
            </w:r>
            <w:r>
              <w:rPr>
                <w:rFonts w:asciiTheme="minorEastAsia" w:hAnsiTheme="minorEastAsia"/>
                <w:color w:val="000000" w:themeColor="text1"/>
                <w:szCs w:val="21"/>
                <w:highlight w:val="none"/>
              </w:rPr>
              <w:t>00</w:t>
            </w:r>
          </w:p>
        </w:tc>
        <w:tc>
          <w:tcPr>
            <w:tcW w:w="1137"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996"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852"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1138"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1425" w:type="dxa"/>
            <w:shd w:val="clear" w:color="auto" w:fill="auto"/>
            <w:vAlign w:val="center"/>
          </w:tcPr>
          <w:p>
            <w:pPr>
              <w:widowControl/>
              <w:spacing w:line="360" w:lineRule="auto"/>
              <w:jc w:val="left"/>
              <w:textAlignment w:val="center"/>
              <w:rPr>
                <w:rFonts w:asciiTheme="minorEastAsia" w:hAnsiTheme="minorEastAsia"/>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3" w:type="dxa"/>
            <w:shd w:val="clear" w:color="auto" w:fill="auto"/>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2</w:t>
            </w:r>
          </w:p>
        </w:tc>
        <w:tc>
          <w:tcPr>
            <w:tcW w:w="1137"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r>
              <w:rPr>
                <w:rFonts w:hint="eastAsia"/>
                <w:highlight w:val="none"/>
              </w:rPr>
              <w:t>商品混凝土</w:t>
            </w:r>
          </w:p>
        </w:tc>
        <w:tc>
          <w:tcPr>
            <w:tcW w:w="1138" w:type="dxa"/>
            <w:shd w:val="clear" w:color="auto" w:fill="auto"/>
            <w:vAlign w:val="center"/>
          </w:tcPr>
          <w:p>
            <w:pPr>
              <w:adjustRightInd w:val="0"/>
              <w:snapToGrid w:val="0"/>
              <w:spacing w:line="360" w:lineRule="auto"/>
              <w:jc w:val="center"/>
              <w:rPr>
                <w:rFonts w:asciiTheme="minorEastAsia" w:hAnsiTheme="minorEastAsia"/>
                <w:highlight w:val="none"/>
              </w:rPr>
            </w:pPr>
            <w:r>
              <w:rPr>
                <w:rFonts w:hint="eastAsia"/>
                <w:highlight w:val="none"/>
              </w:rPr>
              <w:t>C20</w:t>
            </w:r>
          </w:p>
        </w:tc>
        <w:tc>
          <w:tcPr>
            <w:tcW w:w="568" w:type="dxa"/>
            <w:shd w:val="clear" w:color="auto" w:fill="auto"/>
            <w:vAlign w:val="center"/>
          </w:tcPr>
          <w:p>
            <w:pPr>
              <w:adjustRightInd w:val="0"/>
              <w:snapToGrid w:val="0"/>
              <w:spacing w:line="360" w:lineRule="auto"/>
              <w:jc w:val="center"/>
              <w:rPr>
                <w:rFonts w:asciiTheme="minorEastAsia" w:hAnsiTheme="minorEastAsia"/>
                <w:highlight w:val="none"/>
              </w:rPr>
            </w:pPr>
            <w:r>
              <w:rPr>
                <w:rFonts w:hint="eastAsia"/>
                <w:highlight w:val="none"/>
              </w:rPr>
              <w:t>m³</w:t>
            </w:r>
          </w:p>
        </w:tc>
        <w:tc>
          <w:tcPr>
            <w:tcW w:w="852" w:type="dxa"/>
            <w:shd w:val="clear" w:color="auto" w:fill="auto"/>
            <w:vAlign w:val="center"/>
          </w:tcPr>
          <w:p>
            <w:pPr>
              <w:adjustRightInd w:val="0"/>
              <w:snapToGrid w:val="0"/>
              <w:spacing w:line="360" w:lineRule="auto"/>
              <w:jc w:val="center"/>
              <w:rPr>
                <w:rFonts w:asciiTheme="minorEastAsia" w:hAnsiTheme="minorEastAsia"/>
                <w:highlight w:val="none"/>
              </w:rPr>
            </w:pPr>
            <w:r>
              <w:rPr>
                <w:rFonts w:hint="eastAsia" w:asciiTheme="minorEastAsia" w:hAnsiTheme="minorEastAsia"/>
                <w:highlight w:val="none"/>
              </w:rPr>
              <w:t>1</w:t>
            </w:r>
            <w:r>
              <w:rPr>
                <w:rFonts w:asciiTheme="minorEastAsia" w:hAnsiTheme="minorEastAsia"/>
                <w:highlight w:val="none"/>
              </w:rPr>
              <w:t>00</w:t>
            </w:r>
          </w:p>
        </w:tc>
        <w:tc>
          <w:tcPr>
            <w:tcW w:w="1137"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996"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852"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1138"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1425" w:type="dxa"/>
            <w:shd w:val="clear" w:color="auto" w:fill="auto"/>
            <w:vAlign w:val="center"/>
          </w:tcPr>
          <w:p>
            <w:pPr>
              <w:widowControl/>
              <w:spacing w:line="360" w:lineRule="auto"/>
              <w:jc w:val="left"/>
              <w:textAlignment w:val="center"/>
              <w:rPr>
                <w:rFonts w:asciiTheme="minorEastAsia" w:hAnsiTheme="minorEastAsia"/>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3" w:type="dxa"/>
            <w:shd w:val="clear" w:color="auto" w:fill="auto"/>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3</w:t>
            </w:r>
          </w:p>
        </w:tc>
        <w:tc>
          <w:tcPr>
            <w:tcW w:w="1137"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r>
              <w:rPr>
                <w:rFonts w:hint="eastAsia"/>
                <w:highlight w:val="none"/>
              </w:rPr>
              <w:t>商品混凝土</w:t>
            </w:r>
          </w:p>
        </w:tc>
        <w:tc>
          <w:tcPr>
            <w:tcW w:w="1138" w:type="dxa"/>
            <w:shd w:val="clear" w:color="auto" w:fill="auto"/>
            <w:vAlign w:val="center"/>
          </w:tcPr>
          <w:p>
            <w:pPr>
              <w:adjustRightInd w:val="0"/>
              <w:snapToGrid w:val="0"/>
              <w:spacing w:line="360" w:lineRule="auto"/>
              <w:jc w:val="center"/>
              <w:rPr>
                <w:rFonts w:asciiTheme="minorEastAsia" w:hAnsiTheme="minorEastAsia"/>
                <w:highlight w:val="none"/>
              </w:rPr>
            </w:pPr>
            <w:r>
              <w:rPr>
                <w:rFonts w:hint="eastAsia"/>
                <w:highlight w:val="none"/>
              </w:rPr>
              <w:t>C25</w:t>
            </w:r>
          </w:p>
        </w:tc>
        <w:tc>
          <w:tcPr>
            <w:tcW w:w="568" w:type="dxa"/>
            <w:shd w:val="clear" w:color="auto" w:fill="auto"/>
            <w:vAlign w:val="center"/>
          </w:tcPr>
          <w:p>
            <w:pPr>
              <w:adjustRightInd w:val="0"/>
              <w:snapToGrid w:val="0"/>
              <w:spacing w:line="360" w:lineRule="auto"/>
              <w:jc w:val="center"/>
              <w:rPr>
                <w:rFonts w:asciiTheme="minorEastAsia" w:hAnsiTheme="minorEastAsia"/>
                <w:highlight w:val="none"/>
              </w:rPr>
            </w:pPr>
            <w:r>
              <w:rPr>
                <w:rFonts w:hint="eastAsia"/>
                <w:highlight w:val="none"/>
              </w:rPr>
              <w:t>m³</w:t>
            </w:r>
          </w:p>
        </w:tc>
        <w:tc>
          <w:tcPr>
            <w:tcW w:w="852" w:type="dxa"/>
            <w:shd w:val="clear" w:color="auto" w:fill="auto"/>
            <w:vAlign w:val="center"/>
          </w:tcPr>
          <w:p>
            <w:pPr>
              <w:adjustRightInd w:val="0"/>
              <w:snapToGrid w:val="0"/>
              <w:spacing w:line="360" w:lineRule="auto"/>
              <w:jc w:val="center"/>
              <w:rPr>
                <w:rFonts w:asciiTheme="minorEastAsia" w:hAnsiTheme="minorEastAsia"/>
                <w:highlight w:val="none"/>
              </w:rPr>
            </w:pPr>
            <w:r>
              <w:rPr>
                <w:rFonts w:hint="eastAsia"/>
                <w:highlight w:val="none"/>
              </w:rPr>
              <w:t>100</w:t>
            </w:r>
          </w:p>
        </w:tc>
        <w:tc>
          <w:tcPr>
            <w:tcW w:w="1137"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996"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852"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1138"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1425" w:type="dxa"/>
            <w:shd w:val="clear" w:color="auto" w:fill="auto"/>
            <w:vAlign w:val="center"/>
          </w:tcPr>
          <w:p>
            <w:pPr>
              <w:widowControl/>
              <w:spacing w:line="360" w:lineRule="auto"/>
              <w:jc w:val="left"/>
              <w:textAlignment w:val="center"/>
              <w:rPr>
                <w:rFonts w:asciiTheme="minorEastAsia" w:hAnsiTheme="minorEastAsia"/>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3" w:type="dxa"/>
            <w:shd w:val="clear" w:color="auto" w:fill="auto"/>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4</w:t>
            </w:r>
          </w:p>
        </w:tc>
        <w:tc>
          <w:tcPr>
            <w:tcW w:w="1137"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r>
              <w:rPr>
                <w:rFonts w:hint="eastAsia"/>
                <w:highlight w:val="none"/>
              </w:rPr>
              <w:t>商品混凝土</w:t>
            </w:r>
          </w:p>
        </w:tc>
        <w:tc>
          <w:tcPr>
            <w:tcW w:w="1138" w:type="dxa"/>
            <w:shd w:val="clear" w:color="auto" w:fill="auto"/>
            <w:vAlign w:val="center"/>
          </w:tcPr>
          <w:p>
            <w:pPr>
              <w:adjustRightInd w:val="0"/>
              <w:snapToGrid w:val="0"/>
              <w:spacing w:line="360" w:lineRule="auto"/>
              <w:jc w:val="center"/>
              <w:rPr>
                <w:rFonts w:asciiTheme="minorEastAsia" w:hAnsiTheme="minorEastAsia"/>
                <w:highlight w:val="none"/>
              </w:rPr>
            </w:pPr>
            <w:r>
              <w:rPr>
                <w:rFonts w:hint="eastAsia"/>
                <w:highlight w:val="none"/>
              </w:rPr>
              <w:t>C30</w:t>
            </w:r>
          </w:p>
        </w:tc>
        <w:tc>
          <w:tcPr>
            <w:tcW w:w="568" w:type="dxa"/>
            <w:shd w:val="clear" w:color="auto" w:fill="auto"/>
            <w:vAlign w:val="center"/>
          </w:tcPr>
          <w:p>
            <w:pPr>
              <w:adjustRightInd w:val="0"/>
              <w:snapToGrid w:val="0"/>
              <w:spacing w:line="360" w:lineRule="auto"/>
              <w:jc w:val="center"/>
              <w:rPr>
                <w:rFonts w:asciiTheme="minorEastAsia" w:hAnsiTheme="minorEastAsia"/>
                <w:highlight w:val="none"/>
              </w:rPr>
            </w:pPr>
            <w:r>
              <w:rPr>
                <w:rFonts w:hint="eastAsia"/>
                <w:highlight w:val="none"/>
              </w:rPr>
              <w:t>m³</w:t>
            </w:r>
          </w:p>
        </w:tc>
        <w:tc>
          <w:tcPr>
            <w:tcW w:w="852" w:type="dxa"/>
            <w:shd w:val="clear" w:color="auto" w:fill="auto"/>
            <w:vAlign w:val="center"/>
          </w:tcPr>
          <w:p>
            <w:pPr>
              <w:adjustRightInd w:val="0"/>
              <w:snapToGrid w:val="0"/>
              <w:spacing w:line="360" w:lineRule="auto"/>
              <w:jc w:val="center"/>
              <w:rPr>
                <w:rFonts w:asciiTheme="minorEastAsia" w:hAnsiTheme="minorEastAsia"/>
                <w:highlight w:val="none"/>
              </w:rPr>
            </w:pPr>
            <w:r>
              <w:rPr>
                <w:highlight w:val="none"/>
              </w:rPr>
              <w:t>7</w:t>
            </w:r>
            <w:r>
              <w:rPr>
                <w:rFonts w:hint="eastAsia"/>
                <w:highlight w:val="none"/>
              </w:rPr>
              <w:t>00</w:t>
            </w:r>
          </w:p>
        </w:tc>
        <w:tc>
          <w:tcPr>
            <w:tcW w:w="1137"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996"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852"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1138"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1425" w:type="dxa"/>
            <w:shd w:val="clear" w:color="auto" w:fill="auto"/>
            <w:vAlign w:val="center"/>
          </w:tcPr>
          <w:p>
            <w:pPr>
              <w:widowControl/>
              <w:spacing w:line="360" w:lineRule="auto"/>
              <w:jc w:val="left"/>
              <w:textAlignment w:val="center"/>
              <w:rPr>
                <w:rFonts w:asciiTheme="minorEastAsia" w:hAnsiTheme="minorEastAsia"/>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93" w:type="dxa"/>
            <w:shd w:val="clear" w:color="auto" w:fill="auto"/>
            <w:vAlign w:val="center"/>
          </w:tcPr>
          <w:p>
            <w:pPr>
              <w:adjustRightInd w:val="0"/>
              <w:snapToGrid w:val="0"/>
              <w:spacing w:line="360" w:lineRule="auto"/>
              <w:jc w:val="center"/>
              <w:rPr>
                <w:rFonts w:ascii="宋体" w:hAnsi="宋体"/>
                <w:color w:val="000000" w:themeColor="text1"/>
                <w:szCs w:val="21"/>
                <w:highlight w:val="none"/>
              </w:rPr>
            </w:pPr>
            <w:r>
              <w:rPr>
                <w:rFonts w:ascii="宋体" w:hAnsi="宋体"/>
                <w:color w:val="000000" w:themeColor="text1"/>
                <w:szCs w:val="21"/>
                <w:highlight w:val="none"/>
              </w:rPr>
              <w:t>5</w:t>
            </w:r>
          </w:p>
        </w:tc>
        <w:tc>
          <w:tcPr>
            <w:tcW w:w="1137"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r>
              <w:rPr>
                <w:rFonts w:hint="eastAsia"/>
                <w:highlight w:val="none"/>
              </w:rPr>
              <w:t>商品混凝土</w:t>
            </w:r>
          </w:p>
        </w:tc>
        <w:tc>
          <w:tcPr>
            <w:tcW w:w="1138"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r>
              <w:rPr>
                <w:rFonts w:hint="eastAsia"/>
                <w:highlight w:val="none"/>
              </w:rPr>
              <w:t>C</w:t>
            </w:r>
            <w:r>
              <w:rPr>
                <w:highlight w:val="none"/>
              </w:rPr>
              <w:t>4</w:t>
            </w:r>
            <w:r>
              <w:rPr>
                <w:rFonts w:hint="eastAsia"/>
                <w:highlight w:val="none"/>
              </w:rPr>
              <w:t>0</w:t>
            </w:r>
          </w:p>
        </w:tc>
        <w:tc>
          <w:tcPr>
            <w:tcW w:w="568"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r>
              <w:rPr>
                <w:rFonts w:hint="eastAsia"/>
                <w:highlight w:val="none"/>
              </w:rPr>
              <w:t>m³</w:t>
            </w:r>
          </w:p>
        </w:tc>
        <w:tc>
          <w:tcPr>
            <w:tcW w:w="852"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r>
              <w:rPr>
                <w:highlight w:val="none"/>
              </w:rPr>
              <w:t>1</w:t>
            </w:r>
            <w:r>
              <w:rPr>
                <w:rFonts w:hint="eastAsia"/>
                <w:highlight w:val="none"/>
              </w:rPr>
              <w:t>00</w:t>
            </w:r>
          </w:p>
        </w:tc>
        <w:tc>
          <w:tcPr>
            <w:tcW w:w="1137"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996"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852"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1138" w:type="dxa"/>
            <w:shd w:val="clear" w:color="auto" w:fill="auto"/>
            <w:vAlign w:val="center"/>
          </w:tcPr>
          <w:p>
            <w:pPr>
              <w:adjustRightInd w:val="0"/>
              <w:snapToGrid w:val="0"/>
              <w:spacing w:line="360" w:lineRule="auto"/>
              <w:jc w:val="center"/>
              <w:rPr>
                <w:rFonts w:asciiTheme="minorEastAsia" w:hAnsiTheme="minorEastAsia"/>
                <w:color w:val="000000" w:themeColor="text1"/>
                <w:szCs w:val="21"/>
                <w:highlight w:val="none"/>
              </w:rPr>
            </w:pPr>
          </w:p>
        </w:tc>
        <w:tc>
          <w:tcPr>
            <w:tcW w:w="1425" w:type="dxa"/>
            <w:shd w:val="clear" w:color="auto" w:fill="auto"/>
            <w:vAlign w:val="center"/>
          </w:tcPr>
          <w:p>
            <w:pPr>
              <w:widowControl/>
              <w:spacing w:line="360" w:lineRule="auto"/>
              <w:jc w:val="left"/>
              <w:textAlignment w:val="center"/>
              <w:rPr>
                <w:rFonts w:asciiTheme="minorEastAsia" w:hAnsiTheme="minorEastAsia"/>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2668" w:type="dxa"/>
            <w:gridSpan w:val="3"/>
            <w:vAlign w:val="center"/>
          </w:tcPr>
          <w:p>
            <w:pPr>
              <w:tabs>
                <w:tab w:val="left" w:pos="2857"/>
              </w:tabs>
              <w:spacing w:line="360" w:lineRule="auto"/>
              <w:jc w:val="left"/>
              <w:rPr>
                <w:rFonts w:ascii="宋体" w:hAnsi="宋体"/>
                <w:color w:val="000000" w:themeColor="text1"/>
                <w:szCs w:val="21"/>
                <w:highlight w:val="none"/>
              </w:rPr>
            </w:pPr>
            <w:r>
              <w:rPr>
                <w:rFonts w:hint="eastAsia" w:ascii="宋体" w:hAnsi="宋体"/>
                <w:color w:val="000000" w:themeColor="text1"/>
                <w:szCs w:val="21"/>
                <w:highlight w:val="none"/>
              </w:rPr>
              <w:t>不含税金额</w:t>
            </w:r>
            <w:r>
              <w:rPr>
                <w:rFonts w:ascii="宋体" w:hAnsi="宋体"/>
                <w:color w:val="000000" w:themeColor="text1"/>
                <w:szCs w:val="21"/>
                <w:highlight w:val="none"/>
              </w:rPr>
              <w:t>合计</w:t>
            </w:r>
          </w:p>
        </w:tc>
        <w:tc>
          <w:tcPr>
            <w:tcW w:w="6968" w:type="dxa"/>
            <w:gridSpan w:val="7"/>
            <w:vAlign w:val="center"/>
          </w:tcPr>
          <w:p>
            <w:pPr>
              <w:tabs>
                <w:tab w:val="left" w:pos="2857"/>
              </w:tabs>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大写：</w:t>
            </w:r>
            <w:r>
              <w:rPr>
                <w:rFonts w:hint="eastAsia" w:ascii="宋体" w:hAnsi="宋体"/>
                <w:color w:val="000000" w:themeColor="text1"/>
                <w:szCs w:val="21"/>
                <w:highlight w:val="none"/>
                <w:u w:val="single"/>
              </w:rPr>
              <w:t xml:space="preserve"> </w:t>
            </w:r>
            <w:r>
              <w:rPr>
                <w:rFonts w:ascii="宋体" w:hAns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ascii="宋体" w:hAns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元整，￥：</w:t>
            </w:r>
            <w:r>
              <w:rPr>
                <w:rFonts w:hint="eastAsia" w:ascii="宋体" w:hAnsi="宋体"/>
                <w:color w:val="000000" w:themeColor="text1"/>
                <w:szCs w:val="21"/>
                <w:highlight w:val="none"/>
                <w:u w:val="single"/>
              </w:rPr>
              <w:t xml:space="preserve"> </w:t>
            </w:r>
            <w:r>
              <w:rPr>
                <w:rFonts w:ascii="宋体" w:hAns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2668" w:type="dxa"/>
            <w:gridSpan w:val="3"/>
            <w:vAlign w:val="center"/>
          </w:tcPr>
          <w:p>
            <w:pPr>
              <w:tabs>
                <w:tab w:val="left" w:pos="2857"/>
              </w:tabs>
              <w:spacing w:line="360" w:lineRule="auto"/>
              <w:jc w:val="left"/>
              <w:rPr>
                <w:rFonts w:ascii="宋体" w:hAnsi="宋体"/>
                <w:color w:val="000000" w:themeColor="text1"/>
                <w:szCs w:val="21"/>
                <w:highlight w:val="none"/>
              </w:rPr>
            </w:pPr>
            <w:r>
              <w:rPr>
                <w:rFonts w:hint="eastAsia" w:ascii="宋体" w:hAnsi="宋体"/>
                <w:color w:val="000000" w:themeColor="text1"/>
                <w:szCs w:val="21"/>
                <w:highlight w:val="none"/>
              </w:rPr>
              <w:t>税额</w:t>
            </w:r>
            <w:r>
              <w:rPr>
                <w:rFonts w:ascii="宋体" w:hAnsi="宋体"/>
                <w:color w:val="000000" w:themeColor="text1"/>
                <w:szCs w:val="21"/>
                <w:highlight w:val="none"/>
              </w:rPr>
              <w:t>合计</w:t>
            </w:r>
          </w:p>
        </w:tc>
        <w:tc>
          <w:tcPr>
            <w:tcW w:w="6968" w:type="dxa"/>
            <w:gridSpan w:val="7"/>
            <w:vAlign w:val="center"/>
          </w:tcPr>
          <w:p>
            <w:pPr>
              <w:tabs>
                <w:tab w:val="left" w:pos="2857"/>
              </w:tabs>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大写：</w:t>
            </w:r>
            <w:r>
              <w:rPr>
                <w:rFonts w:hint="eastAsia" w:ascii="宋体" w:hAnsi="宋体"/>
                <w:color w:val="000000" w:themeColor="text1"/>
                <w:szCs w:val="21"/>
                <w:highlight w:val="none"/>
                <w:u w:val="single"/>
              </w:rPr>
              <w:t xml:space="preserve">    </w:t>
            </w:r>
            <w:r>
              <w:rPr>
                <w:rFonts w:ascii="宋体" w:hAns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元整，￥：</w:t>
            </w:r>
            <w:r>
              <w:rPr>
                <w:rFonts w:hint="eastAsia" w:ascii="宋体" w:hAnsi="宋体"/>
                <w:color w:val="000000" w:themeColor="text1"/>
                <w:szCs w:val="21"/>
                <w:highlight w:val="none"/>
                <w:u w:val="single"/>
              </w:rPr>
              <w:t xml:space="preserve">  </w:t>
            </w:r>
            <w:r>
              <w:rPr>
                <w:rFonts w:ascii="宋体" w:hAns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2668" w:type="dxa"/>
            <w:gridSpan w:val="3"/>
            <w:vAlign w:val="center"/>
          </w:tcPr>
          <w:p>
            <w:pPr>
              <w:tabs>
                <w:tab w:val="left" w:pos="2857"/>
              </w:tabs>
              <w:spacing w:line="360" w:lineRule="auto"/>
              <w:jc w:val="left"/>
              <w:rPr>
                <w:rFonts w:ascii="宋体" w:hAnsi="宋体"/>
                <w:color w:val="000000" w:themeColor="text1"/>
                <w:szCs w:val="21"/>
                <w:highlight w:val="none"/>
              </w:rPr>
            </w:pPr>
            <w:r>
              <w:rPr>
                <w:rFonts w:hint="eastAsia" w:ascii="宋体" w:hAnsi="宋体"/>
                <w:color w:val="000000" w:themeColor="text1"/>
                <w:szCs w:val="21"/>
                <w:highlight w:val="none"/>
              </w:rPr>
              <w:t>含税</w:t>
            </w:r>
            <w:r>
              <w:rPr>
                <w:rFonts w:ascii="宋体" w:hAnsi="宋体"/>
                <w:color w:val="000000" w:themeColor="text1"/>
                <w:szCs w:val="21"/>
                <w:highlight w:val="none"/>
              </w:rPr>
              <w:t>金额合计</w:t>
            </w:r>
          </w:p>
        </w:tc>
        <w:tc>
          <w:tcPr>
            <w:tcW w:w="6968" w:type="dxa"/>
            <w:gridSpan w:val="7"/>
            <w:vAlign w:val="center"/>
          </w:tcPr>
          <w:p>
            <w:pPr>
              <w:tabs>
                <w:tab w:val="left" w:pos="2857"/>
              </w:tabs>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大写：</w:t>
            </w:r>
            <w:r>
              <w:rPr>
                <w:rFonts w:hint="eastAsia" w:ascii="宋体" w:hAnsi="宋体"/>
                <w:color w:val="000000" w:themeColor="text1"/>
                <w:szCs w:val="21"/>
                <w:highlight w:val="none"/>
                <w:u w:val="single"/>
              </w:rPr>
              <w:t xml:space="preserve">  </w:t>
            </w:r>
            <w:r>
              <w:rPr>
                <w:rFonts w:ascii="宋体" w:hAns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元整，￥：</w:t>
            </w:r>
            <w:r>
              <w:rPr>
                <w:rFonts w:hint="eastAsia" w:ascii="宋体" w:hAnsi="宋体"/>
                <w:color w:val="000000" w:themeColor="text1"/>
                <w:szCs w:val="21"/>
                <w:highlight w:val="none"/>
                <w:u w:val="single"/>
              </w:rPr>
              <w:t xml:space="preserve"> </w:t>
            </w:r>
            <w:r>
              <w:rPr>
                <w:rFonts w:ascii="宋体" w:hAns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9636" w:type="dxa"/>
            <w:gridSpan w:val="10"/>
            <w:vAlign w:val="center"/>
          </w:tcPr>
          <w:p>
            <w:pPr>
              <w:ind w:left="600" w:hanging="600" w:hangingChars="250"/>
              <w:jc w:val="left"/>
              <w:rPr>
                <w:rFonts w:cs="宋体" w:asciiTheme="minorEastAsia" w:hAnsiTheme="minorEastAsia"/>
                <w:color w:val="000000"/>
                <w:szCs w:val="21"/>
                <w:highlight w:val="none"/>
              </w:rPr>
            </w:pPr>
            <w:r>
              <w:rPr>
                <w:rFonts w:hint="eastAsia" w:cs="宋体" w:asciiTheme="minorEastAsia" w:hAnsiTheme="minorEastAsia"/>
                <w:color w:val="000000"/>
                <w:szCs w:val="21"/>
                <w:highlight w:val="none"/>
              </w:rPr>
              <w:t>合同所示的货物数量为暂定数量，最终结算数量以甲方通知进场且实际收到的合格产品数量为准。</w:t>
            </w:r>
          </w:p>
          <w:p>
            <w:pPr>
              <w:ind w:left="600" w:hanging="600" w:hangingChars="250"/>
              <w:jc w:val="left"/>
              <w:rPr>
                <w:rFonts w:cs="宋体" w:asciiTheme="minorEastAsia" w:hAnsiTheme="minorEastAsia"/>
                <w:szCs w:val="21"/>
                <w:highlight w:val="none"/>
              </w:rPr>
            </w:pPr>
            <w:r>
              <w:rPr>
                <w:rFonts w:hint="eastAsia" w:cs="宋体" w:asciiTheme="minorEastAsia" w:hAnsiTheme="minorEastAsia"/>
                <w:szCs w:val="21"/>
                <w:highlight w:val="none"/>
              </w:rPr>
              <w:t>甲方负责卸车。</w:t>
            </w:r>
          </w:p>
        </w:tc>
      </w:tr>
    </w:tbl>
    <w:p>
      <w:pPr>
        <w:spacing w:line="400" w:lineRule="exact"/>
        <w:ind w:firstLine="480" w:firstLineChars="200"/>
        <w:rPr>
          <w:rFonts w:ascii="宋体" w:hAnsi="宋体"/>
          <w:bCs/>
          <w:color w:val="000000" w:themeColor="text1"/>
          <w:szCs w:val="21"/>
          <w:highlight w:val="none"/>
        </w:rPr>
      </w:pPr>
      <w:r>
        <w:rPr>
          <w:rFonts w:hint="eastAsia" w:ascii="宋体" w:hAnsi="宋体"/>
          <w:bCs/>
          <w:color w:val="000000" w:themeColor="text1"/>
          <w:szCs w:val="21"/>
          <w:highlight w:val="none"/>
        </w:rPr>
        <w:t>(二)合同单价所示的“综合单价”为物资运至工地的单价,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spacing w:line="400" w:lineRule="exact"/>
        <w:ind w:firstLine="480" w:firstLineChars="200"/>
        <w:rPr>
          <w:rFonts w:ascii="宋体" w:hAnsi="宋体"/>
          <w:bCs/>
          <w:color w:val="000000" w:themeColor="text1"/>
          <w:szCs w:val="21"/>
          <w:highlight w:val="none"/>
        </w:rPr>
      </w:pPr>
      <w:r>
        <w:rPr>
          <w:rFonts w:hint="eastAsia" w:ascii="宋体" w:hAnsi="宋体"/>
          <w:bCs/>
          <w:color w:val="000000" w:themeColor="text1"/>
          <w:szCs w:val="21"/>
          <w:highlight w:val="none"/>
        </w:rPr>
        <w:t>(三)本合同约定的“综合单价”为固定单价，即不受市场变化影响，且无论进场数量多少价格亦不发生变化。</w:t>
      </w:r>
    </w:p>
    <w:p>
      <w:pPr>
        <w:spacing w:line="400" w:lineRule="exact"/>
        <w:ind w:firstLine="480" w:firstLineChars="200"/>
        <w:rPr>
          <w:rFonts w:ascii="宋体" w:hAnsi="宋体"/>
          <w:bCs/>
          <w:color w:val="000000" w:themeColor="text1"/>
          <w:szCs w:val="21"/>
          <w:highlight w:val="none"/>
        </w:rPr>
      </w:pPr>
      <w:r>
        <w:rPr>
          <w:rFonts w:hint="eastAsia" w:ascii="宋体" w:hAnsi="宋体"/>
          <w:bCs/>
          <w:color w:val="000000" w:themeColor="text1"/>
          <w:szCs w:val="21"/>
          <w:highlight w:val="none"/>
        </w:rPr>
        <w:t>(四)乙方所供物资必须为</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公司生产产品。</w:t>
      </w:r>
    </w:p>
    <w:p>
      <w:pPr>
        <w:spacing w:line="400" w:lineRule="exact"/>
        <w:ind w:firstLine="482" w:firstLineChars="200"/>
        <w:rPr>
          <w:rFonts w:ascii="宋体" w:hAnsi="宋体"/>
          <w:b/>
          <w:color w:val="000000" w:themeColor="text1"/>
          <w:szCs w:val="21"/>
          <w:highlight w:val="none"/>
        </w:rPr>
      </w:pPr>
      <w:r>
        <w:rPr>
          <w:rFonts w:hint="eastAsia" w:ascii="宋体" w:hAnsi="宋体"/>
          <w:b/>
          <w:color w:val="000000" w:themeColor="text1"/>
          <w:szCs w:val="21"/>
          <w:highlight w:val="none"/>
        </w:rPr>
        <w:t>三、物资供应及</w:t>
      </w:r>
      <w:r>
        <w:rPr>
          <w:rFonts w:ascii="宋体" w:hAnsi="宋体"/>
          <w:b/>
          <w:color w:val="000000" w:themeColor="text1"/>
          <w:szCs w:val="21"/>
          <w:highlight w:val="none"/>
        </w:rPr>
        <w:t>计量方式</w:t>
      </w:r>
    </w:p>
    <w:p>
      <w:pPr>
        <w:spacing w:line="400" w:lineRule="exact"/>
        <w:ind w:firstLine="48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（一）乙方应严格按照甲方发出的物资供应</w:t>
      </w:r>
      <w:r>
        <w:rPr>
          <w:rFonts w:ascii="宋体" w:hAnsi="宋体" w:cs="宋体"/>
          <w:color w:val="000000" w:themeColor="text1"/>
          <w:szCs w:val="21"/>
          <w:highlight w:val="none"/>
        </w:rPr>
        <w:t>计划</w:t>
      </w:r>
      <w:r>
        <w:rPr>
          <w:rFonts w:hint="eastAsia" w:ascii="宋体" w:hAnsi="宋体" w:cs="宋体"/>
          <w:color w:val="000000" w:themeColor="text1"/>
          <w:szCs w:val="21"/>
          <w:highlight w:val="none"/>
        </w:rPr>
        <w:t>中要求的时间将合同约定的物资保质保量地运至交货地。乙方应在甲方发出进场通知后</w:t>
      </w:r>
      <w:r>
        <w:rPr>
          <w:rFonts w:hint="eastAsia" w:ascii="宋体" w:hAnsi="宋体"/>
          <w:color w:val="000000" w:themeColor="text1"/>
          <w:szCs w:val="21"/>
          <w:highlight w:val="none"/>
          <w:u w:val="single"/>
        </w:rPr>
        <w:t xml:space="preserve"> </w:t>
      </w:r>
      <w:r>
        <w:rPr>
          <w:rFonts w:ascii="宋体" w:hAns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个日历天</w:t>
      </w:r>
      <w:r>
        <w:rPr>
          <w:rFonts w:hint="eastAsia" w:ascii="宋体" w:hAnsi="宋体" w:cs="宋体"/>
          <w:color w:val="000000" w:themeColor="text1"/>
          <w:szCs w:val="21"/>
          <w:highlight w:val="none"/>
        </w:rPr>
        <w:t>内将物资运达交货地点。</w:t>
      </w:r>
    </w:p>
    <w:p>
      <w:pPr>
        <w:spacing w:line="400" w:lineRule="exact"/>
        <w:ind w:firstLine="480" w:firstLineChars="200"/>
        <w:rPr>
          <w:rFonts w:ascii="宋体" w:hAnsi="宋体"/>
          <w:color w:val="000000" w:themeColor="text1"/>
          <w:szCs w:val="21"/>
          <w:highlight w:val="none"/>
        </w:rPr>
      </w:pPr>
      <w:r>
        <w:rPr>
          <w:rFonts w:hint="eastAsia" w:ascii="宋体" w:hAnsi="宋体" w:cs="宋体"/>
          <w:color w:val="000000" w:themeColor="text1"/>
          <w:szCs w:val="21"/>
          <w:highlight w:val="none"/>
        </w:rPr>
        <w:t>（二）</w:t>
      </w:r>
      <w:r>
        <w:rPr>
          <w:rFonts w:hint="eastAsia" w:ascii="宋体" w:hAnsi="宋体"/>
          <w:color w:val="000000" w:themeColor="text1"/>
          <w:szCs w:val="21"/>
          <w:highlight w:val="none"/>
        </w:rPr>
        <w:t>物资计量方式：过磅</w:t>
      </w:r>
      <w:r>
        <w:rPr>
          <w:rFonts w:hint="eastAsia" w:ascii="宋体" w:hAnsi="宋体"/>
          <w:color w:val="000000" w:themeColor="text1"/>
          <w:szCs w:val="21"/>
          <w:highlight w:val="none"/>
        </w:rPr>
        <w:sym w:font="Wingdings" w:char="F0FE"/>
      </w:r>
      <w:r>
        <w:rPr>
          <w:rFonts w:hint="eastAsia" w:ascii="宋体" w:hAnsi="宋体"/>
          <w:color w:val="000000" w:themeColor="text1"/>
          <w:szCs w:val="21"/>
          <w:highlight w:val="none"/>
        </w:rPr>
        <w:t xml:space="preserve"> 计件□ 检尺□ 其他计量方式</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w:t>
      </w:r>
    </w:p>
    <w:p>
      <w:pPr>
        <w:spacing w:line="400" w:lineRule="exact"/>
        <w:ind w:firstLine="482" w:firstLineChars="200"/>
        <w:rPr>
          <w:rFonts w:ascii="宋体" w:hAnsi="宋体"/>
          <w:b/>
          <w:szCs w:val="21"/>
          <w:highlight w:val="none"/>
        </w:rPr>
      </w:pPr>
      <w:r>
        <w:rPr>
          <w:rFonts w:hint="eastAsia" w:ascii="宋体" w:hAnsi="宋体"/>
          <w:b/>
          <w:szCs w:val="21"/>
          <w:highlight w:val="none"/>
        </w:rPr>
        <w:t>四、支付、结算</w:t>
      </w:r>
    </w:p>
    <w:p>
      <w:pPr>
        <w:spacing w:line="400" w:lineRule="exact"/>
        <w:ind w:firstLine="480" w:firstLineChars="200"/>
        <w:rPr>
          <w:rFonts w:ascii="宋体" w:hAnsi="宋体"/>
          <w:b/>
          <w:szCs w:val="21"/>
          <w:highlight w:val="none"/>
        </w:rPr>
      </w:pPr>
      <w:r>
        <w:rPr>
          <w:rFonts w:ascii="宋体" w:hAnsi="宋体"/>
          <w:szCs w:val="21"/>
          <w:highlight w:val="none"/>
        </w:rPr>
        <w:t>(</w:t>
      </w:r>
      <w:r>
        <w:rPr>
          <w:rFonts w:hint="eastAsia" w:ascii="宋体" w:hAnsi="宋体"/>
          <w:szCs w:val="21"/>
          <w:highlight w:val="none"/>
        </w:rPr>
        <w:t>一)乙方银行信息：单位名称:</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；开户行：</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；账  号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p>
    <w:p>
      <w:pPr>
        <w:tabs>
          <w:tab w:val="left" w:pos="765"/>
        </w:tabs>
        <w:spacing w:line="400" w:lineRule="exact"/>
        <w:ind w:firstLine="480" w:firstLineChars="200"/>
        <w:jc w:val="left"/>
        <w:rPr>
          <w:rFonts w:ascii="宋体" w:hAnsi="宋体"/>
          <w:szCs w:val="21"/>
          <w:highlight w:val="none"/>
          <w:u w:val="single"/>
        </w:rPr>
      </w:pPr>
      <w:r>
        <w:rPr>
          <w:rFonts w:ascii="宋体" w:hAnsi="宋体"/>
          <w:szCs w:val="21"/>
          <w:highlight w:val="none"/>
        </w:rPr>
        <w:t>(</w:t>
      </w:r>
      <w:r>
        <w:rPr>
          <w:rFonts w:hint="eastAsia" w:ascii="宋体" w:hAnsi="宋体"/>
          <w:szCs w:val="21"/>
          <w:highlight w:val="none"/>
        </w:rPr>
        <w:t>二)乙方结算人: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；身份证:</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；联系电话:</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tabs>
          <w:tab w:val="left" w:pos="765"/>
        </w:tabs>
        <w:spacing w:line="400" w:lineRule="exact"/>
        <w:ind w:firstLine="480" w:firstLineChars="200"/>
        <w:jc w:val="left"/>
        <w:rPr>
          <w:rFonts w:ascii="宋体" w:hAnsi="宋体"/>
          <w:szCs w:val="21"/>
          <w:highlight w:val="none"/>
          <w:u w:val="single"/>
        </w:rPr>
      </w:pPr>
      <w:r>
        <w:rPr>
          <w:rFonts w:ascii="宋体" w:hAnsi="宋体"/>
          <w:szCs w:val="21"/>
          <w:highlight w:val="none"/>
        </w:rPr>
        <w:t>(</w:t>
      </w:r>
      <w:r>
        <w:rPr>
          <w:rFonts w:hint="eastAsia" w:ascii="宋体" w:hAnsi="宋体"/>
          <w:szCs w:val="21"/>
          <w:highlight w:val="none"/>
        </w:rPr>
        <w:t>三)结算方式</w:t>
      </w:r>
      <w:r>
        <w:rPr>
          <w:rFonts w:hint="eastAsia" w:ascii="宋体" w:hAnsi="宋体" w:cs="宋体"/>
          <w:w w:val="90"/>
          <w:szCs w:val="21"/>
          <w:highlight w:val="none"/>
        </w:rPr>
        <w:t>：</w:t>
      </w:r>
      <w:r>
        <w:rPr>
          <w:rFonts w:hint="eastAsia" w:ascii="宋体" w:hAnsi="宋体" w:cs="宋体"/>
          <w:szCs w:val="21"/>
          <w:highlight w:val="none"/>
        </w:rPr>
        <w:t>本合同约定按月度结算。开始供货后双方每月</w:t>
      </w:r>
      <w:r>
        <w:rPr>
          <w:rFonts w:hint="eastAsia" w:ascii="宋体" w:hAnsi="宋体" w:cs="宋体"/>
          <w:szCs w:val="21"/>
          <w:highlight w:val="none"/>
          <w:u w:val="single"/>
        </w:rPr>
        <w:t xml:space="preserve"> </w:t>
      </w:r>
      <w:r>
        <w:rPr>
          <w:rFonts w:ascii="宋体" w:hAnsi="宋体" w:cs="宋体"/>
          <w:szCs w:val="21"/>
          <w:highlight w:val="none"/>
          <w:u w:val="single"/>
        </w:rPr>
        <w:t>15</w:t>
      </w:r>
      <w:r>
        <w:rPr>
          <w:rFonts w:hint="eastAsia" w:ascii="宋体" w:hAnsi="宋体" w:cs="宋体"/>
          <w:szCs w:val="21"/>
          <w:highlight w:val="none"/>
          <w:u w:val="single"/>
        </w:rPr>
        <w:t xml:space="preserve"> </w:t>
      </w:r>
      <w:r>
        <w:rPr>
          <w:rFonts w:hint="eastAsia" w:ascii="宋体" w:hAnsi="宋体" w:cs="宋体"/>
          <w:szCs w:val="21"/>
          <w:highlight w:val="none"/>
        </w:rPr>
        <w:t>日后将上月</w:t>
      </w:r>
      <w:r>
        <w:rPr>
          <w:rFonts w:hint="eastAsia" w:ascii="宋体" w:hAnsi="宋体" w:cs="宋体"/>
          <w:szCs w:val="21"/>
          <w:highlight w:val="none"/>
          <w:u w:val="single"/>
        </w:rPr>
        <w:t xml:space="preserve"> </w:t>
      </w:r>
      <w:r>
        <w:rPr>
          <w:rFonts w:ascii="宋体" w:hAnsi="宋体" w:cs="宋体"/>
          <w:szCs w:val="21"/>
          <w:highlight w:val="none"/>
          <w:u w:val="single"/>
        </w:rPr>
        <w:t>16</w:t>
      </w:r>
      <w:r>
        <w:rPr>
          <w:rFonts w:hint="eastAsia" w:ascii="宋体" w:hAnsi="宋体" w:cs="宋体"/>
          <w:szCs w:val="21"/>
          <w:highlight w:val="none"/>
          <w:u w:val="single"/>
        </w:rPr>
        <w:t xml:space="preserve"> </w:t>
      </w:r>
      <w:r>
        <w:rPr>
          <w:rFonts w:hint="eastAsia" w:ascii="宋体" w:hAnsi="宋体" w:cs="宋体"/>
          <w:szCs w:val="21"/>
          <w:highlight w:val="none"/>
        </w:rPr>
        <w:t>日至本月</w:t>
      </w:r>
      <w:r>
        <w:rPr>
          <w:rFonts w:hint="eastAsia" w:ascii="宋体" w:hAnsi="宋体"/>
          <w:szCs w:val="21"/>
          <w:highlight w:val="none"/>
          <w:u w:val="single"/>
        </w:rPr>
        <w:t xml:space="preserve"> </w:t>
      </w:r>
      <w:r>
        <w:rPr>
          <w:rFonts w:ascii="宋体" w:hAnsi="宋体"/>
          <w:szCs w:val="21"/>
          <w:highlight w:val="none"/>
          <w:u w:val="single"/>
        </w:rPr>
        <w:t>15</w:t>
      </w:r>
      <w:r>
        <w:rPr>
          <w:rFonts w:hint="eastAsia" w:ascii="宋体" w:hAnsi="宋体"/>
          <w:szCs w:val="21"/>
          <w:highlight w:val="none"/>
          <w:u w:val="single"/>
        </w:rPr>
        <w:t xml:space="preserve"> </w:t>
      </w:r>
      <w:r>
        <w:rPr>
          <w:rFonts w:hint="eastAsia" w:ascii="宋体" w:hAnsi="宋体" w:cs="宋体"/>
          <w:szCs w:val="21"/>
          <w:highlight w:val="none"/>
        </w:rPr>
        <w:t>日的供货数量进行核对并及时办理月结手续，乙方向甲方提交等额的符合甲</w:t>
      </w:r>
      <w:r>
        <w:rPr>
          <w:rFonts w:hint="eastAsia" w:ascii="宋体" w:hAnsi="宋体" w:cs="宋体"/>
          <w:color w:val="000000" w:themeColor="text1"/>
          <w:szCs w:val="21"/>
          <w:highlight w:val="none"/>
        </w:rPr>
        <w:t>方财务和</w:t>
      </w:r>
      <w:r>
        <w:rPr>
          <w:rFonts w:hint="eastAsia" w:ascii="宋体" w:hAnsi="宋体" w:cs="宋体"/>
          <w:szCs w:val="21"/>
          <w:highlight w:val="none"/>
        </w:rPr>
        <w:t>国家税法要求的</w:t>
      </w:r>
      <w:r>
        <w:rPr>
          <w:rFonts w:hint="eastAsia" w:ascii="宋体" w:hAnsi="宋体" w:cs="宋体"/>
          <w:b/>
          <w:bCs/>
          <w:szCs w:val="21"/>
          <w:highlight w:val="none"/>
        </w:rPr>
        <w:t>增值税专用发票</w:t>
      </w:r>
      <w:r>
        <w:rPr>
          <w:rFonts w:hint="eastAsia" w:ascii="宋体" w:hAnsi="宋体" w:cs="宋体"/>
          <w:b/>
          <w:szCs w:val="21"/>
          <w:highlight w:val="none"/>
        </w:rPr>
        <w:t>，发票票面税率</w:t>
      </w:r>
      <w:r>
        <w:rPr>
          <w:rFonts w:hint="eastAsia" w:ascii="宋体" w:hAnsi="宋体"/>
          <w:szCs w:val="21"/>
          <w:highlight w:val="none"/>
          <w:u w:val="single"/>
        </w:rPr>
        <w:t xml:space="preserve"> </w:t>
      </w:r>
      <w:r>
        <w:rPr>
          <w:rFonts w:ascii="宋体" w:hAnsi="宋体"/>
          <w:szCs w:val="21"/>
          <w:highlight w:val="none"/>
          <w:u w:val="single"/>
        </w:rPr>
        <w:t>13</w:t>
      </w:r>
      <w:r>
        <w:rPr>
          <w:rFonts w:hint="eastAsia" w:ascii="宋体" w:hAnsi="宋体"/>
          <w:szCs w:val="21"/>
          <w:highlight w:val="none"/>
          <w:u w:val="single"/>
        </w:rPr>
        <w:t xml:space="preserve"> </w:t>
      </w:r>
      <w:r>
        <w:rPr>
          <w:rFonts w:hint="eastAsia" w:ascii="宋体" w:hAnsi="宋体" w:cs="宋体"/>
          <w:b/>
          <w:szCs w:val="21"/>
          <w:highlight w:val="none"/>
        </w:rPr>
        <w:t>%</w:t>
      </w:r>
      <w:r>
        <w:rPr>
          <w:rFonts w:hint="eastAsia" w:ascii="宋体" w:hAnsi="宋体" w:cs="宋体"/>
          <w:szCs w:val="21"/>
          <w:highlight w:val="none"/>
        </w:rPr>
        <w:t>，开票信息如下：</w:t>
      </w:r>
    </w:p>
    <w:p>
      <w:pPr>
        <w:tabs>
          <w:tab w:val="left" w:pos="765"/>
        </w:tabs>
        <w:spacing w:line="400" w:lineRule="exact"/>
        <w:ind w:firstLine="480" w:firstLineChars="200"/>
        <w:jc w:val="left"/>
        <w:rPr>
          <w:rFonts w:ascii="宋体" w:hAnsi="宋体"/>
          <w:szCs w:val="21"/>
          <w:highlight w:val="none"/>
        </w:rPr>
      </w:pPr>
      <w:r>
        <w:rPr>
          <w:rFonts w:hint="eastAsia" w:ascii="宋体" w:hAnsi="宋体"/>
          <w:szCs w:val="21"/>
          <w:highlight w:val="none"/>
        </w:rPr>
        <w:t>发票抬头：中建路桥集团有限公司；税号：91130000401700454L；</w:t>
      </w:r>
    </w:p>
    <w:p>
      <w:pPr>
        <w:tabs>
          <w:tab w:val="left" w:pos="765"/>
        </w:tabs>
        <w:spacing w:line="400" w:lineRule="exact"/>
        <w:ind w:firstLine="480" w:firstLineChars="200"/>
        <w:jc w:val="left"/>
        <w:rPr>
          <w:rFonts w:ascii="宋体" w:hAnsi="宋体"/>
          <w:szCs w:val="21"/>
          <w:highlight w:val="none"/>
        </w:rPr>
      </w:pPr>
      <w:r>
        <w:rPr>
          <w:rFonts w:hint="eastAsia" w:ascii="宋体" w:hAnsi="宋体"/>
          <w:szCs w:val="21"/>
          <w:highlight w:val="none"/>
        </w:rPr>
        <w:t>地址：河北省石家庄桥西区市建设南大街70号；电话：0311-86028814；</w:t>
      </w:r>
    </w:p>
    <w:p>
      <w:pPr>
        <w:tabs>
          <w:tab w:val="left" w:pos="765"/>
        </w:tabs>
        <w:spacing w:line="400" w:lineRule="exact"/>
        <w:ind w:firstLine="480" w:firstLineChars="200"/>
        <w:jc w:val="left"/>
        <w:rPr>
          <w:rFonts w:ascii="宋体" w:hAnsi="宋体"/>
          <w:szCs w:val="21"/>
          <w:highlight w:val="none"/>
        </w:rPr>
      </w:pPr>
      <w:r>
        <w:rPr>
          <w:rFonts w:hint="eastAsia" w:ascii="宋体" w:hAnsi="宋体"/>
          <w:szCs w:val="21"/>
          <w:highlight w:val="none"/>
        </w:rPr>
        <w:t>开户行：建行石家庄平安大街支行；账号：13001618601050504927；</w:t>
      </w:r>
    </w:p>
    <w:p>
      <w:pPr>
        <w:tabs>
          <w:tab w:val="left" w:pos="765"/>
        </w:tabs>
        <w:spacing w:line="400" w:lineRule="exact"/>
        <w:ind w:firstLine="480" w:firstLineChars="200"/>
        <w:jc w:val="left"/>
        <w:rPr>
          <w:rFonts w:ascii="宋体" w:hAnsi="宋体"/>
          <w:szCs w:val="21"/>
          <w:highlight w:val="none"/>
          <w:u w:val="single"/>
        </w:rPr>
      </w:pPr>
      <w:r>
        <w:rPr>
          <w:rFonts w:hint="eastAsia" w:ascii="宋体" w:hAnsi="宋体"/>
          <w:szCs w:val="21"/>
          <w:highlight w:val="none"/>
        </w:rPr>
        <w:t>备注：</w:t>
      </w:r>
      <w:r>
        <w:rPr>
          <w:rFonts w:hint="eastAsia" w:ascii="宋体" w:hAnsi="宋体"/>
          <w:szCs w:val="21"/>
          <w:highlight w:val="none"/>
          <w:u w:val="single"/>
        </w:rPr>
        <w:t xml:space="preserve"> 中建路桥石太改扩建3分部  </w:t>
      </w:r>
      <w:r>
        <w:rPr>
          <w:rFonts w:hint="eastAsia" w:ascii="宋体" w:hAnsi="宋体"/>
          <w:szCs w:val="21"/>
          <w:highlight w:val="none"/>
        </w:rPr>
        <w:t>。</w:t>
      </w:r>
    </w:p>
    <w:p>
      <w:pPr>
        <w:tabs>
          <w:tab w:val="left" w:pos="765"/>
        </w:tabs>
        <w:spacing w:line="400" w:lineRule="exact"/>
        <w:ind w:firstLine="480" w:firstLineChars="200"/>
        <w:jc w:val="left"/>
        <w:rPr>
          <w:rFonts w:asciiTheme="minorEastAsia" w:hAnsiTheme="minorEastAsia"/>
          <w:szCs w:val="21"/>
          <w:highlight w:val="none"/>
        </w:rPr>
      </w:pPr>
      <w:r>
        <w:rPr>
          <w:rFonts w:asciiTheme="minorEastAsia" w:hAnsiTheme="minorEastAsia"/>
          <w:szCs w:val="21"/>
          <w:highlight w:val="none"/>
        </w:rPr>
        <w:t xml:space="preserve"> (</w:t>
      </w:r>
      <w:r>
        <w:rPr>
          <w:rFonts w:hint="eastAsia" w:asciiTheme="minorEastAsia" w:hAnsiTheme="minorEastAsia"/>
          <w:szCs w:val="21"/>
          <w:highlight w:val="none"/>
        </w:rPr>
        <w:t>四) 本合同无预付款，货款来源于项目工程结算款。甲方收到业主支付的工程款后按资金审批计划对货款进行支付，支付比例不超业主支付比例。</w:t>
      </w:r>
      <w:r>
        <w:rPr>
          <w:rFonts w:hint="eastAsia" w:cs="宋体" w:asciiTheme="minorEastAsia" w:hAnsiTheme="minorEastAsia"/>
          <w:szCs w:val="21"/>
          <w:highlight w:val="none"/>
        </w:rPr>
        <w:t>付款期限自双方确认结算金额之日起计算，暂定为在甲乙双方完成月度物资结算手续且甲方收到乙方相应全额发票后，</w:t>
      </w:r>
      <w:r>
        <w:rPr>
          <w:rFonts w:hint="eastAsia" w:cs="宋体" w:asciiTheme="minorEastAsia" w:hAnsiTheme="minorEastAsia"/>
          <w:szCs w:val="21"/>
          <w:highlight w:val="none"/>
          <w:u w:val="single"/>
        </w:rPr>
        <w:t xml:space="preserve"> </w:t>
      </w:r>
      <w:r>
        <w:rPr>
          <w:rFonts w:asciiTheme="minorEastAsia" w:hAnsiTheme="minorEastAsia"/>
          <w:szCs w:val="21"/>
          <w:highlight w:val="none"/>
          <w:u w:val="single"/>
        </w:rPr>
        <w:t xml:space="preserve">1 </w:t>
      </w:r>
      <w:r>
        <w:rPr>
          <w:rFonts w:hint="eastAsia" w:asciiTheme="minorEastAsia" w:hAnsiTheme="minorEastAsia"/>
          <w:szCs w:val="21"/>
          <w:highlight w:val="none"/>
        </w:rPr>
        <w:t xml:space="preserve">个月内支付当期应付货款的 </w:t>
      </w:r>
      <w:r>
        <w:rPr>
          <w:rFonts w:hint="eastAsia" w:asciiTheme="minorEastAsia" w:hAnsiTheme="minorEastAsia"/>
          <w:szCs w:val="21"/>
          <w:highlight w:val="none"/>
          <w:u w:val="single"/>
        </w:rPr>
        <w:t xml:space="preserve"> </w:t>
      </w:r>
      <w:r>
        <w:rPr>
          <w:rFonts w:asciiTheme="minorEastAsia" w:hAnsiTheme="minorEastAsia"/>
          <w:szCs w:val="21"/>
          <w:highlight w:val="none"/>
          <w:u w:val="single"/>
        </w:rPr>
        <w:t>70</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%，剩余款项在供货完毕，办理最终结算后支付。</w:t>
      </w:r>
    </w:p>
    <w:p>
      <w:pPr>
        <w:tabs>
          <w:tab w:val="left" w:pos="765"/>
        </w:tabs>
        <w:spacing w:line="400" w:lineRule="exact"/>
        <w:ind w:firstLine="480" w:firstLineChars="200"/>
        <w:jc w:val="left"/>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五)付款方式</w:t>
      </w:r>
      <w:r>
        <w:rPr>
          <w:rFonts w:hint="eastAsia" w:asciiTheme="minorEastAsia" w:hAnsiTheme="minorEastAsia"/>
          <w:highlight w:val="none"/>
        </w:rPr>
        <w:t>：</w:t>
      </w:r>
      <w:r>
        <w:rPr>
          <w:rFonts w:hint="eastAsia" w:asciiTheme="minorEastAsia" w:hAnsiTheme="minorEastAsia"/>
          <w:szCs w:val="21"/>
          <w:highlight w:val="none"/>
        </w:rPr>
        <w:t>乙方承诺具备使用承兑汇票或供应链金融等非现金业务的的能力，乙方接受不低于合同总价</w:t>
      </w:r>
      <w:r>
        <w:rPr>
          <w:rFonts w:hint="eastAsia" w:asciiTheme="minorEastAsia" w:hAnsiTheme="minorEastAsia"/>
          <w:szCs w:val="21"/>
          <w:highlight w:val="none"/>
          <w:u w:val="single"/>
        </w:rPr>
        <w:t xml:space="preserve"> </w:t>
      </w:r>
      <w:r>
        <w:rPr>
          <w:rFonts w:asciiTheme="minorEastAsia" w:hAnsiTheme="minorEastAsia"/>
          <w:szCs w:val="21"/>
          <w:highlight w:val="none"/>
          <w:u w:val="single"/>
        </w:rPr>
        <w:t>30</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%的承兑汇票、供应链金融等非现金付款方式，期限为</w:t>
      </w:r>
      <w:r>
        <w:rPr>
          <w:rFonts w:hint="eastAsia" w:asciiTheme="minorEastAsia" w:hAnsiTheme="minorEastAsia"/>
          <w:szCs w:val="21"/>
          <w:highlight w:val="none"/>
          <w:u w:val="single"/>
        </w:rPr>
        <w:t xml:space="preserve">  </w:t>
      </w:r>
      <w:r>
        <w:rPr>
          <w:rFonts w:asciiTheme="minorEastAsia" w:hAnsiTheme="minorEastAsia"/>
          <w:szCs w:val="21"/>
          <w:highlight w:val="none"/>
          <w:u w:val="single"/>
        </w:rPr>
        <w:t>6</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个月，因此产生的相关贴现成本由乙方承担。</w:t>
      </w:r>
    </w:p>
    <w:p>
      <w:pPr>
        <w:tabs>
          <w:tab w:val="left" w:pos="765"/>
        </w:tabs>
        <w:spacing w:line="400" w:lineRule="exact"/>
        <w:ind w:firstLine="480" w:firstLineChars="200"/>
        <w:jc w:val="left"/>
        <w:rPr>
          <w:rFonts w:asciiTheme="minorEastAsia" w:hAnsiTheme="minorEastAsia"/>
          <w:szCs w:val="21"/>
          <w:highlight w:val="none"/>
        </w:rPr>
      </w:pPr>
      <w:r>
        <w:rPr>
          <w:rFonts w:hint="eastAsia" w:asciiTheme="minorEastAsia" w:hAnsiTheme="minorEastAsia"/>
          <w:szCs w:val="21"/>
          <w:highlight w:val="none"/>
        </w:rPr>
        <w:t>甲方向乙方付款采用银行承兑汇票、供应链金融、银行支票或网上银行等方式支付。乙方须保证资金往来账户与本合同所约定账户一致，开票单位名称与合同约定名称一致。</w:t>
      </w:r>
    </w:p>
    <w:p>
      <w:pPr>
        <w:tabs>
          <w:tab w:val="left" w:pos="765"/>
        </w:tabs>
        <w:spacing w:line="400" w:lineRule="exact"/>
        <w:ind w:firstLine="480" w:firstLineChars="200"/>
        <w:jc w:val="left"/>
        <w:rPr>
          <w:rFonts w:asciiTheme="minorEastAsia" w:hAnsiTheme="minorEastAsia"/>
          <w:szCs w:val="21"/>
          <w:highlight w:val="none"/>
        </w:rPr>
      </w:pPr>
      <w:r>
        <w:rPr>
          <w:rFonts w:hint="eastAsia" w:asciiTheme="minorEastAsia" w:hAnsiTheme="minorEastAsia"/>
          <w:szCs w:val="21"/>
          <w:highlight w:val="none"/>
        </w:rPr>
        <w:t>（六）由于业主方原因造成甲方延迟支付货款，甲方不承担逾期利息。</w:t>
      </w:r>
    </w:p>
    <w:p>
      <w:pPr>
        <w:tabs>
          <w:tab w:val="right" w:pos="8306"/>
        </w:tabs>
        <w:spacing w:line="400" w:lineRule="exact"/>
        <w:ind w:firstLine="482" w:firstLineChars="200"/>
        <w:rPr>
          <w:rFonts w:ascii="宋体" w:hAnsi="宋体"/>
          <w:color w:val="C0C0C0"/>
          <w:szCs w:val="21"/>
          <w:highlight w:val="none"/>
          <w:u w:val="single"/>
        </w:rPr>
      </w:pPr>
      <w:r>
        <w:rPr>
          <w:rFonts w:hint="eastAsia" w:ascii="宋体" w:hAnsi="宋体"/>
          <w:b/>
          <w:szCs w:val="21"/>
          <w:highlight w:val="none"/>
        </w:rPr>
        <w:t>五、履约保证金</w:t>
      </w:r>
    </w:p>
    <w:p>
      <w:pPr>
        <w:spacing w:line="400" w:lineRule="exact"/>
        <w:ind w:firstLine="48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一)本合同履约保证金为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万元（大写：伍仟元整）。</w:t>
      </w:r>
    </w:p>
    <w:p>
      <w:pPr>
        <w:spacing w:line="400" w:lineRule="exact"/>
        <w:ind w:firstLine="48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二)在合同完成后</w:t>
      </w:r>
      <w:r>
        <w:rPr>
          <w:rFonts w:hint="eastAsia" w:ascii="宋体" w:hAnsi="宋体"/>
          <w:szCs w:val="21"/>
          <w:highlight w:val="none"/>
          <w:u w:val="single"/>
        </w:rPr>
        <w:t xml:space="preserve">  </w:t>
      </w:r>
      <w:r>
        <w:rPr>
          <w:rFonts w:ascii="宋体" w:hAnsi="宋体"/>
          <w:szCs w:val="21"/>
          <w:highlight w:val="none"/>
          <w:u w:val="single"/>
        </w:rPr>
        <w:t>90</w:t>
      </w:r>
      <w:r>
        <w:rPr>
          <w:rFonts w:hint="eastAsia" w:ascii="宋体" w:hAnsi="宋体"/>
          <w:szCs w:val="21"/>
          <w:highlight w:val="none"/>
          <w:u w:val="single"/>
        </w:rPr>
        <w:t xml:space="preserve">个  </w:t>
      </w:r>
      <w:r>
        <w:rPr>
          <w:rFonts w:hint="eastAsia" w:ascii="宋体" w:hAnsi="宋体"/>
          <w:szCs w:val="21"/>
          <w:highlight w:val="none"/>
        </w:rPr>
        <w:t>工作日</w:t>
      </w:r>
      <w:r>
        <w:rPr>
          <w:rFonts w:ascii="宋体" w:hAnsi="宋体"/>
          <w:szCs w:val="21"/>
          <w:highlight w:val="none"/>
        </w:rPr>
        <w:t>内</w:t>
      </w:r>
      <w:r>
        <w:rPr>
          <w:rFonts w:hint="eastAsia" w:ascii="宋体" w:hAnsi="宋体"/>
          <w:szCs w:val="21"/>
          <w:highlight w:val="none"/>
        </w:rPr>
        <w:t>甲方无息退还乙方履约保证金。</w:t>
      </w:r>
    </w:p>
    <w:p>
      <w:pPr>
        <w:spacing w:line="400" w:lineRule="exact"/>
        <w:ind w:firstLine="482" w:firstLineChars="200"/>
        <w:rPr>
          <w:rFonts w:ascii="宋体" w:hAnsi="宋体"/>
          <w:b/>
          <w:szCs w:val="21"/>
          <w:highlight w:val="none"/>
        </w:rPr>
      </w:pPr>
      <w:r>
        <w:rPr>
          <w:rFonts w:hint="eastAsia" w:ascii="宋体" w:hAnsi="宋体"/>
          <w:b/>
          <w:szCs w:val="21"/>
          <w:highlight w:val="none"/>
        </w:rPr>
        <w:t>六、违约金：</w:t>
      </w:r>
      <w:r>
        <w:rPr>
          <w:rFonts w:hint="eastAsia" w:ascii="宋体" w:hAnsi="宋体"/>
          <w:bCs/>
          <w:szCs w:val="21"/>
          <w:highlight w:val="none"/>
        </w:rPr>
        <w:t>乙方按人民币 1000 元/日历天向甲方支付违约金</w:t>
      </w:r>
    </w:p>
    <w:p>
      <w:pPr>
        <w:spacing w:line="400" w:lineRule="exact"/>
        <w:ind w:firstLine="482" w:firstLineChars="200"/>
        <w:rPr>
          <w:rFonts w:ascii="宋体" w:hAnsi="宋体"/>
          <w:szCs w:val="21"/>
          <w:highlight w:val="none"/>
        </w:rPr>
      </w:pPr>
      <w:r>
        <w:rPr>
          <w:rFonts w:hint="eastAsia" w:ascii="宋体" w:hAnsi="宋体"/>
          <w:b/>
          <w:szCs w:val="21"/>
          <w:highlight w:val="none"/>
        </w:rPr>
        <w:t>七</w:t>
      </w:r>
      <w:r>
        <w:rPr>
          <w:rFonts w:ascii="宋体" w:hAnsi="宋体"/>
          <w:b/>
          <w:szCs w:val="21"/>
          <w:highlight w:val="none"/>
        </w:rPr>
        <w:t>、</w:t>
      </w:r>
      <w:r>
        <w:rPr>
          <w:rFonts w:hint="eastAsia" w:ascii="宋体" w:hAnsi="宋体"/>
          <w:b/>
          <w:szCs w:val="21"/>
          <w:highlight w:val="none"/>
        </w:rPr>
        <w:t>合同份数：</w:t>
      </w:r>
      <w:r>
        <w:rPr>
          <w:rFonts w:hint="eastAsia" w:ascii="宋体" w:hAnsi="宋体"/>
          <w:szCs w:val="21"/>
          <w:highlight w:val="none"/>
        </w:rPr>
        <w:t>本合同一式</w:t>
      </w:r>
      <w:r>
        <w:rPr>
          <w:rFonts w:hint="eastAsia" w:ascii="宋体" w:hAnsi="宋体"/>
          <w:szCs w:val="21"/>
          <w:highlight w:val="none"/>
          <w:u w:val="single"/>
        </w:rPr>
        <w:t xml:space="preserve"> </w:t>
      </w:r>
      <w:r>
        <w:rPr>
          <w:rFonts w:ascii="宋体" w:hAnsi="宋体"/>
          <w:szCs w:val="21"/>
          <w:highlight w:val="none"/>
          <w:u w:val="single"/>
        </w:rPr>
        <w:t>6</w:t>
      </w:r>
      <w:r>
        <w:rPr>
          <w:rFonts w:hint="eastAsia" w:ascii="宋体" w:hAnsi="宋体"/>
          <w:szCs w:val="21"/>
          <w:highlight w:val="none"/>
          <w:u w:val="single"/>
        </w:rPr>
        <w:t xml:space="preserve"> </w:t>
      </w:r>
      <w:r>
        <w:rPr>
          <w:rFonts w:hint="eastAsia" w:ascii="宋体" w:hAnsi="宋体"/>
          <w:szCs w:val="21"/>
          <w:highlight w:val="none"/>
        </w:rPr>
        <w:t>份，甲方执</w:t>
      </w:r>
      <w:r>
        <w:rPr>
          <w:rFonts w:hint="eastAsia" w:ascii="宋体" w:hAnsi="宋体"/>
          <w:szCs w:val="21"/>
          <w:highlight w:val="none"/>
          <w:u w:val="single"/>
        </w:rPr>
        <w:t xml:space="preserve"> </w:t>
      </w:r>
      <w:r>
        <w:rPr>
          <w:rFonts w:ascii="宋体" w:hAnsi="宋体"/>
          <w:szCs w:val="21"/>
          <w:highlight w:val="none"/>
          <w:u w:val="single"/>
        </w:rPr>
        <w:t>5</w:t>
      </w:r>
      <w:r>
        <w:rPr>
          <w:rFonts w:hint="eastAsia" w:ascii="宋体" w:hAnsi="宋体"/>
          <w:szCs w:val="21"/>
          <w:highlight w:val="none"/>
          <w:u w:val="single"/>
        </w:rPr>
        <w:t xml:space="preserve"> </w:t>
      </w:r>
      <w:r>
        <w:rPr>
          <w:rFonts w:hint="eastAsia" w:ascii="宋体" w:hAnsi="宋体"/>
          <w:szCs w:val="21"/>
          <w:highlight w:val="none"/>
        </w:rPr>
        <w:t>份，乙方执</w:t>
      </w:r>
      <w:r>
        <w:rPr>
          <w:rFonts w:hint="eastAsia" w:ascii="宋体" w:hAnsi="宋体"/>
          <w:szCs w:val="21"/>
          <w:highlight w:val="none"/>
          <w:u w:val="single"/>
        </w:rPr>
        <w:t xml:space="preserve"> 1 </w:t>
      </w:r>
      <w:r>
        <w:rPr>
          <w:rFonts w:hint="eastAsia" w:ascii="宋体" w:hAnsi="宋体"/>
          <w:szCs w:val="21"/>
          <w:highlight w:val="none"/>
        </w:rPr>
        <w:t>份。</w:t>
      </w:r>
    </w:p>
    <w:p>
      <w:pPr>
        <w:snapToGrid w:val="0"/>
        <w:spacing w:line="400" w:lineRule="exact"/>
        <w:ind w:firstLine="480" w:firstLineChars="200"/>
        <w:rPr>
          <w:rFonts w:ascii="宋体" w:hAnsi="宋体"/>
          <w:szCs w:val="21"/>
          <w:highlight w:val="none"/>
        </w:rPr>
      </w:pPr>
      <w:r>
        <w:rPr>
          <w:rFonts w:hint="eastAsia" w:ascii="宋体" w:hAnsi="宋体"/>
          <w:szCs w:val="21"/>
          <w:highlight w:val="none"/>
        </w:rPr>
        <w:t xml:space="preserve">甲方：中建路桥集团有限公司（盖章）      乙方： （盖章） </w:t>
      </w:r>
    </w:p>
    <w:p>
      <w:pPr>
        <w:snapToGrid w:val="0"/>
        <w:spacing w:line="400" w:lineRule="exact"/>
        <w:ind w:firstLine="480" w:firstLineChars="200"/>
        <w:jc w:val="left"/>
        <w:rPr>
          <w:rFonts w:ascii="宋体" w:hAnsi="宋体"/>
          <w:szCs w:val="21"/>
          <w:highlight w:val="none"/>
        </w:rPr>
      </w:pPr>
      <w:r>
        <w:rPr>
          <w:rFonts w:hint="eastAsia" w:ascii="宋体" w:hAnsi="宋体"/>
          <w:szCs w:val="21"/>
          <w:highlight w:val="none"/>
        </w:rPr>
        <w:t xml:space="preserve">法定代表人                                   法定代表人 </w:t>
      </w:r>
    </w:p>
    <w:p>
      <w:pPr>
        <w:snapToGrid w:val="0"/>
        <w:spacing w:line="400" w:lineRule="exact"/>
        <w:ind w:firstLine="480" w:firstLineChars="200"/>
        <w:rPr>
          <w:rFonts w:ascii="宋体" w:hAnsi="宋体"/>
          <w:szCs w:val="21"/>
          <w:highlight w:val="none"/>
        </w:rPr>
      </w:pPr>
      <w:r>
        <w:rPr>
          <w:rFonts w:hint="eastAsia" w:ascii="宋体" w:hAnsi="宋体"/>
          <w:szCs w:val="21"/>
          <w:highlight w:val="none"/>
        </w:rPr>
        <w:t>或被授权人签字：                             或被授权人签字：</w:t>
      </w:r>
    </w:p>
    <w:p>
      <w:pPr>
        <w:snapToGrid w:val="0"/>
        <w:spacing w:line="400" w:lineRule="exact"/>
        <w:ind w:firstLine="480" w:firstLineChars="200"/>
        <w:rPr>
          <w:rFonts w:ascii="宋体" w:hAnsi="宋体"/>
          <w:szCs w:val="21"/>
          <w:highlight w:val="none"/>
        </w:rPr>
      </w:pPr>
      <w:r>
        <w:rPr>
          <w:rFonts w:hint="eastAsia" w:ascii="宋体" w:hAnsi="宋体"/>
          <w:szCs w:val="21"/>
          <w:highlight w:val="none"/>
        </w:rPr>
        <w:t>联系电话：                                   联系电话：</w:t>
      </w:r>
    </w:p>
    <w:p>
      <w:pPr>
        <w:widowControl/>
        <w:jc w:val="left"/>
        <w:rPr>
          <w:rFonts w:ascii="宋体" w:hAnsi="宋体"/>
          <w:szCs w:val="21"/>
          <w:highlight w:val="none"/>
        </w:rPr>
      </w:pPr>
      <w:r>
        <w:rPr>
          <w:rFonts w:ascii="宋体" w:hAnsi="宋体"/>
          <w:szCs w:val="21"/>
          <w:highlight w:val="none"/>
        </w:rPr>
        <w:br w:type="page"/>
      </w:r>
    </w:p>
    <w:p>
      <w:pPr>
        <w:spacing w:before="192" w:beforeLines="80" w:line="360" w:lineRule="exact"/>
        <w:jc w:val="center"/>
        <w:rPr>
          <w:rFonts w:ascii="宋体" w:hAnsi="宋体"/>
          <w:b/>
          <w:sz w:val="30"/>
          <w:szCs w:val="30"/>
          <w:highlight w:val="none"/>
        </w:rPr>
      </w:pPr>
      <w:r>
        <w:rPr>
          <w:rFonts w:hint="eastAsia" w:ascii="宋体" w:hAnsi="宋体"/>
          <w:b/>
          <w:sz w:val="30"/>
          <w:szCs w:val="30"/>
          <w:highlight w:val="none"/>
        </w:rPr>
        <w:t>第二部分 通用合同条款</w:t>
      </w:r>
      <w:bookmarkStart w:id="75" w:name="A3"/>
      <w:bookmarkEnd w:id="75"/>
    </w:p>
    <w:p>
      <w:pPr>
        <w:tabs>
          <w:tab w:val="left" w:pos="425"/>
        </w:tabs>
        <w:spacing w:line="400" w:lineRule="exact"/>
        <w:ind w:firstLine="482" w:firstLineChars="200"/>
        <w:jc w:val="left"/>
        <w:rPr>
          <w:rFonts w:ascii="宋体" w:hAnsi="宋体"/>
          <w:b/>
          <w:szCs w:val="21"/>
          <w:highlight w:val="none"/>
        </w:rPr>
      </w:pPr>
      <w:r>
        <w:rPr>
          <w:rFonts w:hint="eastAsia" w:ascii="宋体" w:hAnsi="宋体"/>
          <w:b/>
          <w:szCs w:val="21"/>
          <w:highlight w:val="none"/>
        </w:rPr>
        <w:t>1</w:t>
      </w:r>
      <w:r>
        <w:rPr>
          <w:rFonts w:ascii="宋体" w:hAnsi="宋体"/>
          <w:b/>
          <w:szCs w:val="21"/>
          <w:highlight w:val="none"/>
        </w:rPr>
        <w:t>.</w:t>
      </w:r>
      <w:r>
        <w:rPr>
          <w:rFonts w:hint="eastAsia" w:ascii="宋体" w:hAnsi="宋体"/>
          <w:b/>
          <w:szCs w:val="21"/>
          <w:highlight w:val="none"/>
        </w:rPr>
        <w:t>适用法律法规</w:t>
      </w:r>
    </w:p>
    <w:p>
      <w:pPr>
        <w:tabs>
          <w:tab w:val="left" w:pos="992"/>
        </w:tabs>
        <w:spacing w:line="400" w:lineRule="exact"/>
        <w:ind w:firstLine="480" w:firstLineChars="200"/>
        <w:jc w:val="left"/>
        <w:rPr>
          <w:rFonts w:ascii="宋体" w:hAnsi="宋体"/>
          <w:b/>
          <w:szCs w:val="21"/>
          <w:highlight w:val="none"/>
        </w:rPr>
      </w:pPr>
      <w:bookmarkStart w:id="76" w:name="A2"/>
      <w:bookmarkEnd w:id="76"/>
      <w:r>
        <w:rPr>
          <w:rFonts w:hint="eastAsia" w:ascii="宋体" w:hAnsi="宋体"/>
          <w:szCs w:val="21"/>
          <w:highlight w:val="none"/>
        </w:rPr>
        <w:t>1.</w:t>
      </w:r>
      <w:r>
        <w:rPr>
          <w:rFonts w:ascii="宋体" w:hAnsi="宋体"/>
          <w:szCs w:val="21"/>
          <w:highlight w:val="none"/>
        </w:rPr>
        <w:t>1适用于</w:t>
      </w:r>
      <w:r>
        <w:rPr>
          <w:rFonts w:hint="eastAsia" w:ascii="宋体" w:hAnsi="宋体"/>
          <w:szCs w:val="21"/>
          <w:highlight w:val="none"/>
        </w:rPr>
        <w:t>本</w:t>
      </w:r>
      <w:r>
        <w:rPr>
          <w:rFonts w:ascii="宋体" w:hAnsi="宋体"/>
          <w:szCs w:val="21"/>
          <w:highlight w:val="none"/>
        </w:rPr>
        <w:t>合同的法律包括中华人民共和国</w:t>
      </w:r>
      <w:r>
        <w:rPr>
          <w:rFonts w:hint="eastAsia" w:ascii="宋体" w:hAnsi="宋体"/>
          <w:szCs w:val="21"/>
          <w:highlight w:val="none"/>
        </w:rPr>
        <w:t>正式颁布实施的</w:t>
      </w:r>
      <w:r>
        <w:rPr>
          <w:rFonts w:ascii="宋体" w:hAnsi="宋体"/>
          <w:szCs w:val="21"/>
          <w:highlight w:val="none"/>
        </w:rPr>
        <w:t>法律</w:t>
      </w:r>
      <w:r>
        <w:rPr>
          <w:rFonts w:hint="eastAsia" w:ascii="宋体" w:hAnsi="宋体"/>
          <w:szCs w:val="21"/>
          <w:highlight w:val="none"/>
        </w:rPr>
        <w:t>、</w:t>
      </w:r>
      <w:r>
        <w:rPr>
          <w:rFonts w:ascii="宋体" w:hAnsi="宋体"/>
          <w:szCs w:val="21"/>
          <w:highlight w:val="none"/>
        </w:rPr>
        <w:t>行政法规</w:t>
      </w:r>
      <w:r>
        <w:rPr>
          <w:rFonts w:hint="eastAsia" w:ascii="宋体" w:hAnsi="宋体"/>
          <w:szCs w:val="21"/>
          <w:highlight w:val="none"/>
        </w:rPr>
        <w:t>、</w:t>
      </w:r>
      <w:r>
        <w:rPr>
          <w:rFonts w:ascii="宋体" w:hAnsi="宋体"/>
          <w:szCs w:val="21"/>
          <w:highlight w:val="none"/>
        </w:rPr>
        <w:t>部门规章，以及</w:t>
      </w:r>
      <w:r>
        <w:rPr>
          <w:rFonts w:hint="eastAsia" w:ascii="宋体" w:hAnsi="宋体"/>
          <w:szCs w:val="21"/>
          <w:highlight w:val="none"/>
        </w:rPr>
        <w:t>项目</w:t>
      </w:r>
      <w:r>
        <w:rPr>
          <w:rFonts w:ascii="宋体" w:hAnsi="宋体"/>
          <w:szCs w:val="21"/>
          <w:highlight w:val="none"/>
        </w:rPr>
        <w:t>所在地的地方法规</w:t>
      </w:r>
      <w:r>
        <w:rPr>
          <w:rFonts w:hint="eastAsia" w:ascii="宋体" w:hAnsi="宋体"/>
          <w:szCs w:val="21"/>
          <w:highlight w:val="none"/>
        </w:rPr>
        <w:t>、</w:t>
      </w:r>
      <w:r>
        <w:rPr>
          <w:rFonts w:ascii="宋体" w:hAnsi="宋体"/>
          <w:szCs w:val="21"/>
          <w:highlight w:val="none"/>
        </w:rPr>
        <w:t>自治条例</w:t>
      </w:r>
      <w:r>
        <w:rPr>
          <w:rFonts w:hint="eastAsia" w:ascii="宋体" w:hAnsi="宋体"/>
          <w:szCs w:val="21"/>
          <w:highlight w:val="none"/>
        </w:rPr>
        <w:t>、</w:t>
      </w:r>
      <w:r>
        <w:rPr>
          <w:rFonts w:ascii="宋体" w:hAnsi="宋体"/>
          <w:szCs w:val="21"/>
          <w:highlight w:val="none"/>
        </w:rPr>
        <w:t>单行条例和地方政府规章</w:t>
      </w:r>
      <w:r>
        <w:rPr>
          <w:rFonts w:hint="eastAsia" w:ascii="宋体" w:hAnsi="宋体"/>
          <w:szCs w:val="21"/>
          <w:highlight w:val="none"/>
        </w:rPr>
        <w:t>，包括但不限于</w:t>
      </w:r>
      <w:r>
        <w:rPr>
          <w:rFonts w:hint="eastAsia" w:ascii="宋体" w:hAnsi="宋体"/>
          <w:kern w:val="10"/>
          <w:szCs w:val="21"/>
          <w:highlight w:val="none"/>
        </w:rPr>
        <w:t>《中华人民共和国民法典》《中华人民共和国产品质量法》</w:t>
      </w:r>
      <w:r>
        <w:rPr>
          <w:rFonts w:hint="eastAsia" w:ascii="Arial" w:hAnsi="Arial" w:cs="Arial"/>
          <w:highlight w:val="none"/>
        </w:rPr>
        <w:t>等。</w:t>
      </w:r>
    </w:p>
    <w:p>
      <w:pPr>
        <w:tabs>
          <w:tab w:val="left" w:pos="425"/>
          <w:tab w:val="left" w:pos="992"/>
        </w:tabs>
        <w:spacing w:line="400" w:lineRule="exact"/>
        <w:ind w:firstLine="480" w:firstLineChars="200"/>
        <w:jc w:val="left"/>
        <w:rPr>
          <w:rFonts w:ascii="宋体" w:hAnsi="宋体"/>
          <w:szCs w:val="21"/>
          <w:highlight w:val="none"/>
        </w:rPr>
      </w:pPr>
      <w:r>
        <w:rPr>
          <w:rFonts w:ascii="宋体" w:hAnsi="宋体"/>
          <w:szCs w:val="21"/>
          <w:highlight w:val="none"/>
        </w:rPr>
        <w:t>1.2</w:t>
      </w:r>
      <w:r>
        <w:rPr>
          <w:rFonts w:hint="eastAsia" w:ascii="宋体" w:hAnsi="宋体"/>
          <w:szCs w:val="21"/>
          <w:highlight w:val="none"/>
        </w:rPr>
        <w:t>如在合同有效期内，颁布新的法律法规或修订了原有法律法规，则后继的法律法规将自动适用于本合同。</w:t>
      </w:r>
    </w:p>
    <w:p>
      <w:pPr>
        <w:tabs>
          <w:tab w:val="left" w:pos="425"/>
        </w:tabs>
        <w:spacing w:line="400" w:lineRule="exact"/>
        <w:ind w:firstLine="482" w:firstLineChars="200"/>
        <w:jc w:val="left"/>
        <w:rPr>
          <w:rFonts w:ascii="宋体" w:hAnsi="宋体"/>
          <w:b/>
          <w:szCs w:val="21"/>
          <w:highlight w:val="none"/>
        </w:rPr>
      </w:pPr>
      <w:r>
        <w:rPr>
          <w:rFonts w:hint="eastAsia" w:ascii="宋体" w:hAnsi="宋体"/>
          <w:b/>
          <w:szCs w:val="21"/>
          <w:highlight w:val="none"/>
        </w:rPr>
        <w:t>2</w:t>
      </w:r>
      <w:r>
        <w:rPr>
          <w:rFonts w:ascii="宋体" w:hAnsi="宋体"/>
          <w:b/>
          <w:szCs w:val="21"/>
          <w:highlight w:val="none"/>
        </w:rPr>
        <w:t>.</w:t>
      </w:r>
      <w:r>
        <w:rPr>
          <w:rFonts w:hint="eastAsia" w:ascii="宋体" w:hAnsi="宋体"/>
          <w:b/>
          <w:szCs w:val="21"/>
          <w:highlight w:val="none"/>
        </w:rPr>
        <w:t>合同文件组成及解释顺序</w:t>
      </w:r>
    </w:p>
    <w:p>
      <w:pPr>
        <w:tabs>
          <w:tab w:val="left" w:pos="425"/>
          <w:tab w:val="left" w:pos="992"/>
        </w:tabs>
        <w:spacing w:line="400" w:lineRule="exact"/>
        <w:ind w:left="480" w:leftChars="200"/>
        <w:jc w:val="left"/>
        <w:rPr>
          <w:rFonts w:ascii="宋体" w:hAnsi="宋体"/>
          <w:szCs w:val="21"/>
          <w:highlight w:val="none"/>
        </w:rPr>
      </w:pPr>
      <w:r>
        <w:rPr>
          <w:rFonts w:ascii="宋体" w:hAnsi="宋体"/>
          <w:szCs w:val="21"/>
          <w:highlight w:val="none"/>
        </w:rPr>
        <w:t>2.1</w:t>
      </w:r>
      <w:r>
        <w:rPr>
          <w:rFonts w:hint="eastAsia" w:ascii="宋体" w:hAnsi="宋体"/>
          <w:szCs w:val="21"/>
          <w:highlight w:val="none"/>
        </w:rPr>
        <w:t>除专用合同条款另有约定外，组成本合同的文件及优先解释顺序如下：</w:t>
      </w:r>
    </w:p>
    <w:p>
      <w:pPr>
        <w:spacing w:line="400" w:lineRule="exact"/>
        <w:ind w:left="480" w:leftChars="200"/>
        <w:jc w:val="left"/>
        <w:rPr>
          <w:rFonts w:ascii="宋体" w:hAnsi="宋体"/>
          <w:szCs w:val="21"/>
          <w:highlight w:val="none"/>
        </w:rPr>
      </w:pPr>
      <w:r>
        <w:rPr>
          <w:rFonts w:ascii="宋体" w:hAnsi="宋体"/>
          <w:szCs w:val="21"/>
          <w:highlight w:val="none"/>
        </w:rPr>
        <w:t>2.1.1</w:t>
      </w:r>
      <w:r>
        <w:rPr>
          <w:rFonts w:hint="eastAsia" w:ascii="宋体" w:hAnsi="宋体"/>
          <w:szCs w:val="21"/>
          <w:highlight w:val="none"/>
        </w:rPr>
        <w:t>补充协议文件；</w:t>
      </w:r>
    </w:p>
    <w:p>
      <w:pPr>
        <w:spacing w:line="400" w:lineRule="exact"/>
        <w:ind w:left="480" w:leftChars="200"/>
        <w:jc w:val="left"/>
        <w:rPr>
          <w:rFonts w:ascii="宋体" w:hAnsi="宋体"/>
          <w:szCs w:val="21"/>
          <w:highlight w:val="none"/>
        </w:rPr>
      </w:pPr>
      <w:r>
        <w:rPr>
          <w:rFonts w:ascii="宋体" w:hAnsi="宋体"/>
          <w:szCs w:val="21"/>
          <w:highlight w:val="none"/>
        </w:rPr>
        <w:t>2.1.2</w:t>
      </w:r>
      <w:r>
        <w:rPr>
          <w:rFonts w:hint="eastAsia" w:ascii="宋体" w:hAnsi="宋体"/>
          <w:szCs w:val="21"/>
          <w:highlight w:val="none"/>
        </w:rPr>
        <w:t>本</w:t>
      </w:r>
      <w:r>
        <w:rPr>
          <w:rFonts w:ascii="宋体" w:hAnsi="宋体"/>
          <w:szCs w:val="21"/>
          <w:highlight w:val="none"/>
        </w:rPr>
        <w:t>合同</w:t>
      </w:r>
      <w:r>
        <w:rPr>
          <w:rFonts w:hint="eastAsia" w:ascii="宋体" w:hAnsi="宋体"/>
          <w:szCs w:val="21"/>
          <w:highlight w:val="none"/>
        </w:rPr>
        <w:t>；</w:t>
      </w:r>
    </w:p>
    <w:p>
      <w:pPr>
        <w:spacing w:line="400" w:lineRule="exact"/>
        <w:ind w:left="480" w:leftChars="200"/>
        <w:jc w:val="left"/>
        <w:rPr>
          <w:rFonts w:ascii="宋体" w:hAnsi="宋体"/>
          <w:szCs w:val="21"/>
          <w:highlight w:val="none"/>
        </w:rPr>
      </w:pPr>
      <w:r>
        <w:rPr>
          <w:rFonts w:ascii="宋体" w:hAnsi="宋体"/>
          <w:szCs w:val="21"/>
          <w:highlight w:val="none"/>
        </w:rPr>
        <w:t>2.1.3</w:t>
      </w:r>
      <w:r>
        <w:rPr>
          <w:rFonts w:hint="eastAsia" w:ascii="宋体" w:hAnsi="宋体"/>
          <w:szCs w:val="21"/>
          <w:highlight w:val="none"/>
        </w:rPr>
        <w:t>标准、规范及有关</w:t>
      </w:r>
      <w:r>
        <w:rPr>
          <w:rFonts w:ascii="宋体" w:hAnsi="宋体"/>
          <w:szCs w:val="21"/>
          <w:highlight w:val="none"/>
        </w:rPr>
        <w:t>技术标准和要求；</w:t>
      </w:r>
    </w:p>
    <w:p>
      <w:pPr>
        <w:spacing w:line="400" w:lineRule="exact"/>
        <w:ind w:left="480" w:leftChars="200"/>
        <w:jc w:val="left"/>
        <w:rPr>
          <w:rFonts w:ascii="宋体" w:hAnsi="宋体"/>
          <w:szCs w:val="21"/>
          <w:highlight w:val="none"/>
        </w:rPr>
      </w:pPr>
      <w:r>
        <w:rPr>
          <w:rFonts w:ascii="宋体" w:hAnsi="宋体"/>
          <w:szCs w:val="21"/>
          <w:highlight w:val="none"/>
        </w:rPr>
        <w:t>2.1.4</w:t>
      </w:r>
      <w:r>
        <w:rPr>
          <w:rFonts w:hint="eastAsia" w:ascii="宋体" w:hAnsi="宋体"/>
          <w:szCs w:val="21"/>
          <w:highlight w:val="none"/>
        </w:rPr>
        <w:t>招标文件及补遗文件；</w:t>
      </w:r>
    </w:p>
    <w:p>
      <w:pPr>
        <w:spacing w:line="400" w:lineRule="exact"/>
        <w:ind w:left="480" w:leftChars="200"/>
        <w:jc w:val="left"/>
        <w:rPr>
          <w:rFonts w:ascii="宋体" w:hAnsi="宋体"/>
          <w:szCs w:val="21"/>
          <w:highlight w:val="none"/>
        </w:rPr>
      </w:pPr>
      <w:r>
        <w:rPr>
          <w:rFonts w:ascii="宋体" w:hAnsi="宋体"/>
          <w:szCs w:val="21"/>
          <w:highlight w:val="none"/>
        </w:rPr>
        <w:t>2.1.5</w:t>
      </w:r>
      <w:r>
        <w:rPr>
          <w:rFonts w:hint="eastAsia" w:ascii="宋体" w:hAnsi="宋体"/>
          <w:szCs w:val="21"/>
          <w:highlight w:val="none"/>
        </w:rPr>
        <w:t>投标文件；</w:t>
      </w:r>
    </w:p>
    <w:p>
      <w:pPr>
        <w:spacing w:line="400" w:lineRule="exact"/>
        <w:ind w:left="480" w:leftChars="200"/>
        <w:jc w:val="left"/>
        <w:rPr>
          <w:rFonts w:ascii="宋体" w:hAnsi="宋体"/>
          <w:szCs w:val="21"/>
          <w:highlight w:val="none"/>
        </w:rPr>
      </w:pPr>
      <w:r>
        <w:rPr>
          <w:rFonts w:ascii="宋体" w:hAnsi="宋体"/>
          <w:szCs w:val="21"/>
          <w:highlight w:val="none"/>
        </w:rPr>
        <w:t>2.1.6</w:t>
      </w:r>
      <w:r>
        <w:rPr>
          <w:rFonts w:hint="eastAsia" w:ascii="宋体" w:hAnsi="宋体"/>
          <w:szCs w:val="21"/>
          <w:highlight w:val="none"/>
        </w:rPr>
        <w:t>与本合同有关的其他文件。</w:t>
      </w:r>
    </w:p>
    <w:p>
      <w:pPr>
        <w:spacing w:line="400" w:lineRule="exact"/>
        <w:ind w:firstLine="480" w:firstLineChars="200"/>
        <w:rPr>
          <w:rFonts w:ascii="宋体" w:hAnsi="宋体"/>
          <w:szCs w:val="21"/>
          <w:highlight w:val="none"/>
        </w:rPr>
      </w:pPr>
      <w:r>
        <w:rPr>
          <w:rFonts w:ascii="宋体" w:hAnsi="宋体"/>
          <w:szCs w:val="21"/>
          <w:highlight w:val="none"/>
        </w:rPr>
        <w:t>2.2</w:t>
      </w:r>
      <w:r>
        <w:rPr>
          <w:rFonts w:hint="eastAsia" w:ascii="宋体" w:hAnsi="宋体"/>
          <w:szCs w:val="21"/>
          <w:highlight w:val="none"/>
        </w:rPr>
        <w:t>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82" w:firstLineChars="200"/>
        <w:jc w:val="left"/>
        <w:rPr>
          <w:rFonts w:ascii="宋体" w:hAnsi="宋体"/>
          <w:b/>
          <w:szCs w:val="21"/>
          <w:highlight w:val="none"/>
        </w:rPr>
      </w:pPr>
      <w:r>
        <w:rPr>
          <w:rFonts w:ascii="宋体" w:hAnsi="宋体"/>
          <w:b/>
          <w:szCs w:val="21"/>
          <w:highlight w:val="none"/>
        </w:rPr>
        <w:t>3.</w:t>
      </w:r>
      <w:r>
        <w:rPr>
          <w:rFonts w:hint="eastAsia" w:ascii="宋体" w:hAnsi="宋体"/>
          <w:b/>
          <w:szCs w:val="21"/>
          <w:highlight w:val="none"/>
        </w:rPr>
        <w:t>物资质量要求及技术标准</w:t>
      </w:r>
    </w:p>
    <w:p>
      <w:pPr>
        <w:spacing w:line="400" w:lineRule="exact"/>
        <w:ind w:firstLine="48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产品必须满足中华人民共和国国家、地方及行业最新颁布的相关标准及技术规范，如果规范、标准、要求适用于同一种情况，则以标准高者为准。</w:t>
      </w:r>
    </w:p>
    <w:p>
      <w:pPr>
        <w:spacing w:line="400" w:lineRule="exact"/>
        <w:ind w:firstLine="48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乙方对质量负责的条件和期限：如甲方在进行质量检验过程中，发现不符合标准要求的物资，乙方必须在</w:t>
      </w:r>
      <w:r>
        <w:rPr>
          <w:rFonts w:hint="eastAsia" w:ascii="宋体" w:hAnsi="宋体"/>
          <w:color w:val="000000" w:themeColor="text1"/>
          <w:szCs w:val="21"/>
          <w:highlight w:val="none"/>
        </w:rPr>
        <w:t>48小时内</w:t>
      </w:r>
      <w:r>
        <w:rPr>
          <w:rFonts w:hint="eastAsia" w:ascii="宋体" w:hAnsi="宋体"/>
          <w:szCs w:val="21"/>
          <w:highlight w:val="none"/>
        </w:rPr>
        <w:t>将不合格物资无条件清理出场并予以退换，由此造成的一切损失由乙方负担。</w:t>
      </w:r>
    </w:p>
    <w:p>
      <w:pPr>
        <w:spacing w:line="400" w:lineRule="exact"/>
        <w:ind w:firstLine="480" w:firstLineChars="200"/>
        <w:rPr>
          <w:rFonts w:ascii="宋体" w:hAnsi="宋体"/>
          <w:szCs w:val="21"/>
          <w:highlight w:val="none"/>
        </w:rPr>
      </w:pPr>
      <w:r>
        <w:rPr>
          <w:rFonts w:hint="eastAsia" w:ascii="宋体" w:hAnsi="宋体"/>
          <w:szCs w:val="21"/>
          <w:highlight w:val="none"/>
        </w:rPr>
        <w:t>3.3</w:t>
      </w:r>
      <w:r>
        <w:rPr>
          <w:rFonts w:hint="eastAsia" w:ascii="宋体" w:hAnsi="宋体"/>
          <w:color w:val="000000" w:themeColor="text1"/>
          <w:szCs w:val="21"/>
          <w:highlight w:val="none"/>
        </w:rPr>
        <w:t>具体物资质量要求及技术标准见专用条款。</w:t>
      </w:r>
    </w:p>
    <w:p>
      <w:pPr>
        <w:spacing w:line="400" w:lineRule="exact"/>
        <w:ind w:firstLine="482" w:firstLineChars="200"/>
        <w:rPr>
          <w:rFonts w:ascii="宋体" w:hAnsi="宋体"/>
          <w:b/>
          <w:szCs w:val="21"/>
          <w:highlight w:val="none"/>
        </w:rPr>
      </w:pPr>
      <w:r>
        <w:rPr>
          <w:rFonts w:ascii="宋体" w:hAnsi="宋体"/>
          <w:b/>
          <w:szCs w:val="21"/>
          <w:highlight w:val="none"/>
        </w:rPr>
        <w:t>4.</w:t>
      </w:r>
      <w:r>
        <w:rPr>
          <w:rFonts w:hint="eastAsia" w:ascii="宋体" w:hAnsi="宋体"/>
          <w:b/>
          <w:szCs w:val="21"/>
          <w:highlight w:val="none"/>
        </w:rPr>
        <w:t>物资计量验收方式</w:t>
      </w:r>
    </w:p>
    <w:p>
      <w:pPr>
        <w:spacing w:line="400" w:lineRule="exact"/>
        <w:ind w:firstLine="480" w:firstLineChars="200"/>
        <w:rPr>
          <w:rFonts w:ascii="宋体" w:hAnsi="宋体"/>
          <w:bCs/>
          <w:color w:val="000000" w:themeColor="text1"/>
          <w:szCs w:val="21"/>
          <w:highlight w:val="none"/>
        </w:rPr>
      </w:pPr>
      <w:r>
        <w:rPr>
          <w:rFonts w:ascii="宋体" w:hAnsi="宋体"/>
          <w:color w:val="000000" w:themeColor="text1"/>
          <w:szCs w:val="21"/>
          <w:highlight w:val="none"/>
        </w:rPr>
        <w:t>4.1</w:t>
      </w:r>
      <w:r>
        <w:rPr>
          <w:rFonts w:hint="eastAsia" w:ascii="宋体" w:hAnsi="宋体"/>
          <w:color w:val="000000" w:themeColor="text1"/>
          <w:szCs w:val="21"/>
          <w:highlight w:val="none"/>
        </w:rPr>
        <w:t>物资验收地点在甲方指定位置。物资交货时，乙方必须提</w:t>
      </w:r>
      <w:r>
        <w:rPr>
          <w:rFonts w:hint="eastAsia" w:ascii="宋体" w:hAnsi="宋体"/>
          <w:bCs/>
          <w:color w:val="000000" w:themeColor="text1"/>
          <w:szCs w:val="21"/>
          <w:highlight w:val="none"/>
        </w:rPr>
        <w:t>供质量证明书、出厂检验报告.材质单等甲方为完成计量、竣工资料等所需要的所有资料，并及时交送到甲方指定负责人处，乙方提供资料均需在有效期内。</w:t>
      </w:r>
    </w:p>
    <w:p>
      <w:pPr>
        <w:spacing w:line="400" w:lineRule="exact"/>
        <w:ind w:firstLine="480" w:firstLineChars="200"/>
        <w:rPr>
          <w:rFonts w:ascii="宋体" w:hAnsi="宋体"/>
          <w:bCs/>
          <w:color w:val="000000" w:themeColor="text1"/>
          <w:kern w:val="0"/>
          <w:szCs w:val="21"/>
          <w:highlight w:val="none"/>
        </w:rPr>
      </w:pPr>
      <w:r>
        <w:rPr>
          <w:rFonts w:ascii="宋体" w:hAnsi="宋体"/>
          <w:bCs/>
          <w:color w:val="000000" w:themeColor="text1"/>
          <w:kern w:val="0"/>
          <w:szCs w:val="21"/>
          <w:highlight w:val="none"/>
        </w:rPr>
        <w:t>4.2</w:t>
      </w:r>
      <w:r>
        <w:rPr>
          <w:rFonts w:hint="eastAsia" w:ascii="宋体" w:hAnsi="宋体"/>
          <w:bCs/>
          <w:color w:val="000000" w:themeColor="text1"/>
          <w:kern w:val="0"/>
          <w:szCs w:val="21"/>
          <w:highlight w:val="none"/>
        </w:rPr>
        <w:t>甲方组织验收时乙方不到场，又不及时通知甲方，甲方将自行组织进场验收，并视为乙方认同验收结果。</w:t>
      </w:r>
    </w:p>
    <w:p>
      <w:pPr>
        <w:spacing w:line="400" w:lineRule="exact"/>
        <w:ind w:firstLine="480" w:firstLineChars="200"/>
        <w:rPr>
          <w:rFonts w:ascii="宋体" w:hAnsi="宋体"/>
          <w:color w:val="000000" w:themeColor="text1"/>
          <w:szCs w:val="21"/>
          <w:highlight w:val="none"/>
        </w:rPr>
      </w:pPr>
      <w:r>
        <w:rPr>
          <w:rFonts w:ascii="宋体" w:hAnsi="宋体"/>
          <w:color w:val="000000" w:themeColor="text1"/>
          <w:szCs w:val="21"/>
          <w:highlight w:val="none"/>
        </w:rPr>
        <w:t>4.3</w:t>
      </w:r>
      <w:r>
        <w:rPr>
          <w:rFonts w:hint="eastAsia" w:ascii="宋体" w:hAnsi="宋体"/>
          <w:color w:val="000000" w:themeColor="text1"/>
          <w:szCs w:val="21"/>
          <w:highlight w:val="none"/>
        </w:rPr>
        <w:t>若物资进场经双倍取样试件不合格，发生相关的试验费用由乙方承担。</w:t>
      </w:r>
    </w:p>
    <w:p>
      <w:pPr>
        <w:spacing w:line="400" w:lineRule="exact"/>
        <w:ind w:firstLine="480" w:firstLineChars="200"/>
        <w:rPr>
          <w:rFonts w:ascii="宋体" w:hAnsi="宋体"/>
          <w:color w:val="000000" w:themeColor="text1"/>
          <w:szCs w:val="21"/>
          <w:highlight w:val="none"/>
        </w:rPr>
      </w:pPr>
      <w:r>
        <w:rPr>
          <w:rFonts w:ascii="宋体" w:hAnsi="宋体"/>
          <w:color w:val="000000" w:themeColor="text1"/>
          <w:szCs w:val="21"/>
          <w:highlight w:val="none"/>
        </w:rPr>
        <w:t>4.4</w:t>
      </w:r>
      <w:r>
        <w:rPr>
          <w:rFonts w:hint="eastAsia" w:ascii="宋体" w:hAnsi="宋体"/>
          <w:color w:val="000000" w:themeColor="text1"/>
          <w:szCs w:val="21"/>
          <w:highlight w:val="none"/>
        </w:rPr>
        <w:t>乙方执行合同所承担的任何责任不因甲方进行了物资进场验收而解除或减弱。</w:t>
      </w:r>
    </w:p>
    <w:p>
      <w:pPr>
        <w:spacing w:line="400" w:lineRule="exact"/>
        <w:ind w:firstLine="480" w:firstLineChars="200"/>
        <w:rPr>
          <w:rFonts w:ascii="宋体" w:hAnsi="宋体"/>
          <w:color w:val="000000" w:themeColor="text1"/>
          <w:szCs w:val="21"/>
          <w:highlight w:val="none"/>
        </w:rPr>
      </w:pPr>
      <w:r>
        <w:rPr>
          <w:rFonts w:ascii="宋体" w:hAnsi="宋体"/>
          <w:color w:val="000000" w:themeColor="text1"/>
          <w:szCs w:val="21"/>
          <w:highlight w:val="none"/>
        </w:rPr>
        <w:t>4.5</w:t>
      </w:r>
      <w:r>
        <w:rPr>
          <w:rFonts w:hint="eastAsia" w:ascii="宋体" w:hAnsi="宋体"/>
          <w:color w:val="000000" w:themeColor="text1"/>
          <w:szCs w:val="21"/>
          <w:highlight w:val="none"/>
        </w:rPr>
        <w:t>物资到指定地点后，由甲方物资管理人员进行数量验收，并开具收料单，收料单不作为结算数量的依据，甲方物资管理人员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pPr>
        <w:spacing w:line="400" w:lineRule="exact"/>
        <w:ind w:firstLine="480" w:firstLineChars="200"/>
        <w:rPr>
          <w:rFonts w:ascii="宋体" w:hAnsi="宋体"/>
          <w:color w:val="000000" w:themeColor="text1"/>
          <w:szCs w:val="21"/>
          <w:highlight w:val="none"/>
        </w:rPr>
      </w:pPr>
      <w:r>
        <w:rPr>
          <w:rFonts w:hint="eastAsia" w:ascii="宋体" w:hAnsi="宋体"/>
          <w:color w:val="000000" w:themeColor="text1"/>
          <w:szCs w:val="21"/>
          <w:highlight w:val="none"/>
        </w:rPr>
        <w:t>4</w:t>
      </w:r>
      <w:r>
        <w:rPr>
          <w:rFonts w:ascii="宋体" w:hAnsi="宋体"/>
          <w:color w:val="000000" w:themeColor="text1"/>
          <w:szCs w:val="21"/>
          <w:highlight w:val="none"/>
        </w:rPr>
        <w:t>.6</w:t>
      </w:r>
      <w:r>
        <w:rPr>
          <w:rFonts w:hint="eastAsia" w:ascii="宋体" w:hAnsi="宋体"/>
          <w:color w:val="000000" w:themeColor="text1"/>
          <w:szCs w:val="21"/>
          <w:highlight w:val="none"/>
        </w:rPr>
        <w:t>具体的物资计量验收</w:t>
      </w:r>
      <w:r>
        <w:rPr>
          <w:rFonts w:ascii="宋体" w:hAnsi="宋体"/>
          <w:color w:val="000000" w:themeColor="text1"/>
          <w:szCs w:val="21"/>
          <w:highlight w:val="none"/>
        </w:rPr>
        <w:t>方式</w:t>
      </w:r>
      <w:r>
        <w:rPr>
          <w:rFonts w:hint="eastAsia" w:ascii="宋体" w:hAnsi="宋体"/>
          <w:color w:val="000000" w:themeColor="text1"/>
          <w:szCs w:val="21"/>
          <w:highlight w:val="none"/>
        </w:rPr>
        <w:t>见专用条款。</w:t>
      </w:r>
    </w:p>
    <w:p>
      <w:pPr>
        <w:spacing w:line="400" w:lineRule="exact"/>
        <w:ind w:firstLine="480" w:firstLineChars="200"/>
        <w:rPr>
          <w:rFonts w:ascii="宋体" w:hAnsi="宋体"/>
          <w:color w:val="000000" w:themeColor="text1"/>
          <w:szCs w:val="21"/>
          <w:highlight w:val="none"/>
        </w:rPr>
      </w:pPr>
      <w:r>
        <w:rPr>
          <w:rFonts w:ascii="宋体" w:hAnsi="宋体"/>
          <w:color w:val="000000" w:themeColor="text1"/>
          <w:szCs w:val="21"/>
          <w:highlight w:val="none"/>
        </w:rPr>
        <w:t>4</w:t>
      </w:r>
      <w:r>
        <w:rPr>
          <w:rFonts w:hint="eastAsia" w:ascii="宋体" w:hAnsi="宋体"/>
          <w:color w:val="000000" w:themeColor="text1"/>
          <w:szCs w:val="21"/>
          <w:highlight w:val="none"/>
        </w:rPr>
        <w:t>.</w:t>
      </w:r>
      <w:r>
        <w:rPr>
          <w:rFonts w:ascii="宋体" w:hAnsi="宋体"/>
          <w:color w:val="000000" w:themeColor="text1"/>
          <w:szCs w:val="21"/>
          <w:highlight w:val="none"/>
        </w:rPr>
        <w:t>7</w:t>
      </w:r>
      <w:r>
        <w:rPr>
          <w:rFonts w:hint="eastAsia" w:ascii="宋体" w:hAnsi="宋体"/>
          <w:color w:val="000000" w:themeColor="text1"/>
          <w:szCs w:val="21"/>
          <w:highlight w:val="none"/>
        </w:rPr>
        <w:t>乙方对验收数量有异议时，可要求甲乙双方共同到有相关资质的第三方处复验，相关费用由过错方承担。最终结算数量以甲方</w:t>
      </w:r>
      <w:r>
        <w:rPr>
          <w:rFonts w:hint="eastAsia" w:ascii="宋体" w:hAnsi="宋体" w:cs="宋体"/>
          <w:color w:val="000000" w:themeColor="text1"/>
          <w:szCs w:val="21"/>
          <w:highlight w:val="none"/>
        </w:rPr>
        <w:t>物资供应</w:t>
      </w:r>
      <w:r>
        <w:rPr>
          <w:rFonts w:ascii="宋体" w:hAnsi="宋体" w:cs="宋体"/>
          <w:color w:val="000000" w:themeColor="text1"/>
          <w:szCs w:val="21"/>
          <w:highlight w:val="none"/>
        </w:rPr>
        <w:t>计划</w:t>
      </w:r>
      <w:r>
        <w:rPr>
          <w:rFonts w:hint="eastAsia" w:ascii="宋体" w:hAnsi="宋体" w:cs="宋体"/>
          <w:color w:val="000000" w:themeColor="text1"/>
          <w:szCs w:val="21"/>
          <w:highlight w:val="none"/>
        </w:rPr>
        <w:t>约定范围内</w:t>
      </w:r>
      <w:r>
        <w:rPr>
          <w:rFonts w:hint="eastAsia" w:ascii="宋体" w:hAnsi="宋体"/>
          <w:color w:val="000000" w:themeColor="text1"/>
          <w:szCs w:val="21"/>
          <w:highlight w:val="none"/>
        </w:rPr>
        <w:t>且实际收到的合格产品数量为准。</w:t>
      </w:r>
    </w:p>
    <w:p>
      <w:pPr>
        <w:spacing w:line="400" w:lineRule="exact"/>
        <w:ind w:firstLine="482" w:firstLineChars="200"/>
        <w:rPr>
          <w:rFonts w:ascii="宋体" w:hAnsi="宋体"/>
          <w:b/>
          <w:szCs w:val="21"/>
          <w:highlight w:val="none"/>
        </w:rPr>
      </w:pPr>
      <w:r>
        <w:rPr>
          <w:rFonts w:ascii="宋体" w:hAnsi="宋体"/>
          <w:b/>
          <w:szCs w:val="21"/>
          <w:highlight w:val="none"/>
        </w:rPr>
        <w:t>5.</w:t>
      </w:r>
      <w:r>
        <w:rPr>
          <w:rFonts w:hint="eastAsia" w:ascii="宋体" w:hAnsi="宋体"/>
          <w:b/>
          <w:szCs w:val="21"/>
          <w:highlight w:val="none"/>
        </w:rPr>
        <w:t>包装、运输、卸货</w:t>
      </w:r>
    </w:p>
    <w:p>
      <w:pPr>
        <w:spacing w:line="400" w:lineRule="exact"/>
        <w:ind w:firstLine="480" w:firstLineChars="200"/>
        <w:rPr>
          <w:rFonts w:ascii="宋体" w:hAnsi="宋体"/>
          <w:bCs/>
          <w:szCs w:val="21"/>
          <w:highlight w:val="none"/>
        </w:rPr>
      </w:pPr>
      <w:r>
        <w:rPr>
          <w:rFonts w:ascii="宋体" w:hAnsi="宋体"/>
          <w:bCs/>
          <w:szCs w:val="21"/>
          <w:highlight w:val="none"/>
        </w:rPr>
        <w:t>5.1</w:t>
      </w:r>
      <w:r>
        <w:rPr>
          <w:rFonts w:hint="eastAsia" w:ascii="宋体" w:hAnsi="宋体"/>
          <w:bCs/>
          <w:szCs w:val="21"/>
          <w:highlight w:val="none"/>
        </w:rPr>
        <w:t>物资的装车、运输、车辆返回全过程出现的安全事故或其它任何意外均由乙方承担责任。装车和运输途中的物资品质发生变化或丢失由乙方负责，由此造成的损失由乙方承担。</w:t>
      </w:r>
    </w:p>
    <w:p>
      <w:pPr>
        <w:spacing w:line="400" w:lineRule="exact"/>
        <w:ind w:firstLine="480" w:firstLineChars="200"/>
        <w:rPr>
          <w:rFonts w:ascii="宋体" w:hAnsi="宋体" w:cs="宋体"/>
          <w:szCs w:val="21"/>
          <w:highlight w:val="none"/>
        </w:rPr>
      </w:pPr>
      <w:r>
        <w:rPr>
          <w:rFonts w:ascii="宋体" w:hAnsi="宋体" w:cs="宋体"/>
          <w:szCs w:val="21"/>
          <w:highlight w:val="none"/>
        </w:rPr>
        <w:t>5.2</w:t>
      </w:r>
      <w:r>
        <w:rPr>
          <w:rFonts w:hint="eastAsia" w:ascii="宋体" w:hAnsi="宋体" w:cs="宋体"/>
          <w:szCs w:val="21"/>
          <w:highlight w:val="none"/>
        </w:rPr>
        <w:t>乙方应对运输人员进行安全管理和安全教育，运输人员遵守交通法规。若运输过程中发生安全事故，责任全部由乙方承担，与甲方无任何关系。</w:t>
      </w:r>
    </w:p>
    <w:p>
      <w:pPr>
        <w:spacing w:line="400" w:lineRule="exact"/>
        <w:ind w:firstLine="480" w:firstLineChars="200"/>
        <w:rPr>
          <w:rFonts w:ascii="宋体" w:hAnsi="宋体" w:cs="宋体"/>
          <w:szCs w:val="21"/>
          <w:highlight w:val="none"/>
        </w:rPr>
      </w:pPr>
      <w:r>
        <w:rPr>
          <w:rFonts w:ascii="宋体" w:hAnsi="宋体" w:cs="宋体"/>
          <w:szCs w:val="21"/>
          <w:highlight w:val="none"/>
        </w:rPr>
        <w:t>5.3</w:t>
      </w:r>
      <w:r>
        <w:rPr>
          <w:rFonts w:hint="eastAsia" w:ascii="宋体" w:hAnsi="宋体" w:cs="宋体"/>
          <w:szCs w:val="21"/>
          <w:highlight w:val="none"/>
        </w:rPr>
        <w:t>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80" w:firstLineChars="200"/>
        <w:rPr>
          <w:rFonts w:ascii="宋体" w:hAnsi="宋体" w:cs="宋体"/>
          <w:szCs w:val="21"/>
          <w:highlight w:val="none"/>
        </w:rPr>
      </w:pPr>
      <w:r>
        <w:rPr>
          <w:rFonts w:ascii="宋体" w:hAnsi="宋体" w:cs="宋体"/>
          <w:szCs w:val="21"/>
          <w:highlight w:val="none"/>
        </w:rPr>
        <w:t>5.4</w:t>
      </w:r>
      <w:r>
        <w:rPr>
          <w:rFonts w:hint="eastAsia" w:ascii="宋体" w:hAnsi="宋体" w:cs="宋体"/>
          <w:szCs w:val="21"/>
          <w:highlight w:val="none"/>
        </w:rPr>
        <w:t>乙方不得利用遥控等科技手段控制磅秤增加物资重量，不得进行</w:t>
      </w:r>
      <w:r>
        <w:rPr>
          <w:rFonts w:ascii="宋体" w:hAnsi="宋体" w:cs="宋体"/>
          <w:szCs w:val="21"/>
          <w:highlight w:val="none"/>
        </w:rPr>
        <w:t>任何形式的弄虚作假行为</w:t>
      </w:r>
      <w:r>
        <w:rPr>
          <w:rFonts w:hint="eastAsia" w:ascii="宋体" w:hAnsi="宋体" w:cs="宋体"/>
          <w:szCs w:val="21"/>
          <w:highlight w:val="none"/>
        </w:rPr>
        <w:t>。一经发现，甲方将按发现作弊或</w:t>
      </w:r>
      <w:r>
        <w:rPr>
          <w:rFonts w:ascii="宋体" w:hAnsi="宋体" w:cs="宋体"/>
          <w:szCs w:val="21"/>
          <w:highlight w:val="none"/>
        </w:rPr>
        <w:t>弄虚作假</w:t>
      </w:r>
      <w:r>
        <w:rPr>
          <w:rFonts w:hint="eastAsia" w:ascii="宋体" w:hAnsi="宋体" w:cs="宋体"/>
          <w:szCs w:val="21"/>
          <w:highlight w:val="none"/>
        </w:rPr>
        <w:t>数量占本批次运输物资百分比扣除发现作弊日前物资进场总数量对应的货款，并</w:t>
      </w:r>
      <w:r>
        <w:rPr>
          <w:rFonts w:hint="eastAsia" w:ascii="宋体" w:hAnsi="宋体" w:cs="宋体"/>
          <w:color w:val="000000" w:themeColor="text1"/>
          <w:szCs w:val="21"/>
          <w:highlight w:val="none"/>
        </w:rPr>
        <w:t>交由</w:t>
      </w:r>
      <w:r>
        <w:rPr>
          <w:rFonts w:hint="eastAsia" w:ascii="宋体" w:hAnsi="宋体" w:cs="宋体"/>
          <w:szCs w:val="21"/>
          <w:highlight w:val="none"/>
        </w:rPr>
        <w:t>公安机关处理。</w:t>
      </w:r>
    </w:p>
    <w:p>
      <w:pPr>
        <w:spacing w:line="400" w:lineRule="exact"/>
        <w:ind w:firstLine="480" w:firstLineChars="200"/>
        <w:rPr>
          <w:rFonts w:ascii="宋体" w:hAnsi="宋体" w:cs="宋体"/>
          <w:szCs w:val="21"/>
          <w:highlight w:val="none"/>
        </w:rPr>
      </w:pPr>
      <w:r>
        <w:rPr>
          <w:rFonts w:ascii="宋体" w:hAnsi="宋体" w:cs="宋体"/>
          <w:szCs w:val="21"/>
          <w:highlight w:val="none"/>
        </w:rPr>
        <w:t>5.5</w:t>
      </w:r>
      <w:r>
        <w:rPr>
          <w:rFonts w:hint="eastAsia" w:ascii="宋体" w:hAnsi="宋体" w:cs="宋体"/>
          <w:szCs w:val="21"/>
          <w:highlight w:val="none"/>
        </w:rPr>
        <w:t>甲方物资管理人员要为物资进场提供必要的便利，及时验收质量与数量，不得无故拖延时间、扣减物资数量。</w:t>
      </w:r>
    </w:p>
    <w:p>
      <w:pPr>
        <w:spacing w:line="400" w:lineRule="exact"/>
        <w:ind w:firstLine="480" w:firstLineChars="200"/>
        <w:rPr>
          <w:rFonts w:ascii="宋体" w:hAnsi="宋体" w:cs="宋体"/>
          <w:szCs w:val="21"/>
          <w:highlight w:val="none"/>
        </w:rPr>
      </w:pPr>
      <w:r>
        <w:rPr>
          <w:rFonts w:ascii="宋体" w:hAnsi="宋体" w:cs="宋体"/>
          <w:szCs w:val="21"/>
          <w:highlight w:val="none"/>
        </w:rPr>
        <w:t>5.6</w:t>
      </w:r>
      <w:r>
        <w:rPr>
          <w:rFonts w:hint="eastAsia" w:ascii="宋体" w:hAnsi="宋体" w:cs="宋体"/>
          <w:szCs w:val="21"/>
          <w:highlight w:val="none"/>
        </w:rPr>
        <w:t>乙方不得因双方分歧寻衅滋事，否则，甲方有权随时终止合同。</w:t>
      </w:r>
    </w:p>
    <w:p>
      <w:pPr>
        <w:spacing w:line="400" w:lineRule="exact"/>
        <w:ind w:firstLine="480" w:firstLineChars="200"/>
        <w:rPr>
          <w:rFonts w:ascii="宋体" w:hAnsi="宋体" w:cs="宋体"/>
          <w:szCs w:val="21"/>
          <w:highlight w:val="none"/>
        </w:rPr>
      </w:pPr>
      <w:r>
        <w:rPr>
          <w:highlight w:val="none"/>
        </w:rPr>
        <w:t>5.7</w:t>
      </w:r>
      <w:r>
        <w:rPr>
          <w:rFonts w:hint="eastAsia"/>
          <w:highlight w:val="none"/>
        </w:rPr>
        <w:t>乙方必须配合甲方的</w:t>
      </w:r>
      <w:r>
        <w:rPr>
          <w:rFonts w:hint="eastAsia" w:ascii="宋体" w:hAnsi="宋体" w:cs="宋体"/>
          <w:color w:val="000000" w:themeColor="text1"/>
          <w:szCs w:val="21"/>
          <w:highlight w:val="none"/>
        </w:rPr>
        <w:t>物资供应</w:t>
      </w:r>
      <w:r>
        <w:rPr>
          <w:rFonts w:ascii="宋体" w:hAnsi="宋体" w:cs="宋体"/>
          <w:color w:val="000000" w:themeColor="text1"/>
          <w:szCs w:val="21"/>
          <w:highlight w:val="none"/>
        </w:rPr>
        <w:t>计划</w:t>
      </w:r>
      <w:r>
        <w:rPr>
          <w:rFonts w:hint="eastAsia"/>
          <w:highlight w:val="none"/>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765"/>
        </w:tabs>
        <w:spacing w:line="400" w:lineRule="exact"/>
        <w:ind w:firstLine="482" w:firstLineChars="200"/>
        <w:jc w:val="left"/>
        <w:rPr>
          <w:rFonts w:ascii="宋体"/>
          <w:b/>
          <w:szCs w:val="21"/>
          <w:highlight w:val="none"/>
        </w:rPr>
      </w:pPr>
      <w:r>
        <w:rPr>
          <w:rFonts w:ascii="宋体" w:hAnsi="宋体"/>
          <w:b/>
          <w:szCs w:val="21"/>
          <w:highlight w:val="none"/>
        </w:rPr>
        <w:t>6</w:t>
      </w:r>
      <w:r>
        <w:rPr>
          <w:rFonts w:hint="eastAsia" w:ascii="宋体" w:hAnsi="宋体"/>
          <w:b/>
          <w:szCs w:val="21"/>
          <w:highlight w:val="none"/>
        </w:rPr>
        <w:t>．环境﹑安全保护原则</w:t>
      </w:r>
    </w:p>
    <w:p>
      <w:pPr>
        <w:tabs>
          <w:tab w:val="left" w:pos="765"/>
        </w:tabs>
        <w:spacing w:line="400" w:lineRule="exact"/>
        <w:ind w:firstLine="480" w:firstLineChars="200"/>
        <w:jc w:val="left"/>
        <w:rPr>
          <w:highlight w:val="none"/>
        </w:rPr>
      </w:pPr>
      <w:r>
        <w:rPr>
          <w:rFonts w:ascii="宋体" w:hAnsi="宋体"/>
          <w:szCs w:val="21"/>
          <w:highlight w:val="none"/>
        </w:rPr>
        <w:t>6.1</w:t>
      </w:r>
      <w:r>
        <w:rPr>
          <w:rFonts w:hint="eastAsia"/>
          <w:highlight w:val="none"/>
        </w:rPr>
        <w:t>乙方必须遵守环境﹑安全保护的法律法规。</w:t>
      </w:r>
    </w:p>
    <w:p>
      <w:pPr>
        <w:tabs>
          <w:tab w:val="left" w:pos="765"/>
        </w:tabs>
        <w:spacing w:line="400" w:lineRule="exact"/>
        <w:ind w:firstLine="480" w:firstLineChars="200"/>
        <w:jc w:val="left"/>
        <w:rPr>
          <w:rFonts w:asciiTheme="minorEastAsia" w:hAnsiTheme="minorEastAsia"/>
          <w:highlight w:val="none"/>
        </w:rPr>
      </w:pPr>
      <w:r>
        <w:rPr>
          <w:rFonts w:asciiTheme="minorEastAsia" w:hAnsiTheme="minorEastAsia"/>
          <w:highlight w:val="none"/>
        </w:rPr>
        <w:t>6.2</w:t>
      </w:r>
      <w:r>
        <w:rPr>
          <w:rFonts w:hint="eastAsia" w:asciiTheme="minorEastAsia" w:hAnsiTheme="minorEastAsia"/>
          <w:highlight w:val="none"/>
        </w:rPr>
        <w:t>乙方所供物资，在保证质量的同时，还应确保材质符合环境﹑安全保护要求。</w:t>
      </w:r>
    </w:p>
    <w:p>
      <w:pPr>
        <w:tabs>
          <w:tab w:val="left" w:pos="765"/>
        </w:tabs>
        <w:spacing w:line="400" w:lineRule="exact"/>
        <w:ind w:firstLine="480" w:firstLineChars="200"/>
        <w:jc w:val="left"/>
        <w:rPr>
          <w:rFonts w:asciiTheme="minorEastAsia" w:hAnsiTheme="minorEastAsia"/>
          <w:highlight w:val="none"/>
        </w:rPr>
      </w:pPr>
      <w:r>
        <w:rPr>
          <w:rFonts w:asciiTheme="minorEastAsia" w:hAnsiTheme="minorEastAsia"/>
          <w:highlight w:val="none"/>
        </w:rPr>
        <w:t>6.3</w:t>
      </w:r>
      <w:r>
        <w:rPr>
          <w:rFonts w:hint="eastAsia" w:asciiTheme="minorEastAsia" w:hAnsiTheme="minorEastAsia"/>
          <w:highlight w:val="none"/>
        </w:rPr>
        <w:t>乙方供货时，物资的包装必须满足环境﹑安全管理要求，并在外包装商做标志，以便于物资的验证和保管。</w:t>
      </w:r>
    </w:p>
    <w:p>
      <w:pPr>
        <w:tabs>
          <w:tab w:val="left" w:pos="765"/>
        </w:tabs>
        <w:spacing w:line="400" w:lineRule="exact"/>
        <w:ind w:firstLine="480" w:firstLineChars="200"/>
        <w:jc w:val="left"/>
        <w:rPr>
          <w:rFonts w:asciiTheme="minorEastAsia" w:hAnsiTheme="minorEastAsia"/>
          <w:highlight w:val="none"/>
        </w:rPr>
      </w:pPr>
      <w:r>
        <w:rPr>
          <w:rFonts w:asciiTheme="minorEastAsia" w:hAnsiTheme="minorEastAsia"/>
          <w:highlight w:val="none"/>
        </w:rPr>
        <w:t>6.4</w:t>
      </w:r>
      <w:r>
        <w:rPr>
          <w:rFonts w:hint="eastAsia" w:asciiTheme="minorEastAsia" w:hAnsiTheme="minorEastAsia"/>
          <w:highlight w:val="none"/>
        </w:rPr>
        <w:t>在物资运输过程中，粉尘﹑噪声及尾气排放必须满足国家及地方的有关规定</w:t>
      </w:r>
      <w:r>
        <w:rPr>
          <w:rFonts w:hint="eastAsia" w:asciiTheme="minorEastAsia" w:hAnsiTheme="minorEastAsia"/>
          <w:szCs w:val="21"/>
          <w:highlight w:val="none"/>
        </w:rPr>
        <w:t>采取必要措施防止运输中发生有害物质泄漏，对周边环境造成污染</w:t>
      </w:r>
      <w:r>
        <w:rPr>
          <w:rFonts w:hint="eastAsia" w:asciiTheme="minorEastAsia" w:hAnsiTheme="minorEastAsia"/>
          <w:highlight w:val="none"/>
        </w:rPr>
        <w:t>。如有违反行为发生，按国家有关规定进行处理，责任由乙方承担。</w:t>
      </w:r>
    </w:p>
    <w:p>
      <w:pPr>
        <w:spacing w:line="400" w:lineRule="exact"/>
        <w:ind w:firstLine="480"/>
        <w:rPr>
          <w:highlight w:val="none"/>
        </w:rPr>
      </w:pPr>
      <w:r>
        <w:rPr>
          <w:rFonts w:asciiTheme="minorEastAsia" w:hAnsiTheme="minorEastAsia"/>
          <w:highlight w:val="none"/>
        </w:rPr>
        <w:t>6.5</w:t>
      </w:r>
      <w:r>
        <w:rPr>
          <w:rFonts w:hint="eastAsia"/>
          <w:highlight w:val="none"/>
        </w:rPr>
        <w:t>乙方进入施工现场的人员</w:t>
      </w:r>
      <w:r>
        <w:rPr>
          <w:rFonts w:hint="eastAsia" w:ascii="宋体" w:hAnsi="宋体"/>
          <w:szCs w:val="21"/>
          <w:highlight w:val="none"/>
        </w:rPr>
        <w:t>车辆必须听从甲方现场人员的统一指挥和安排、</w:t>
      </w:r>
      <w:r>
        <w:rPr>
          <w:rFonts w:hint="eastAsia"/>
          <w:highlight w:val="none"/>
        </w:rPr>
        <w:t>必须按甲方要求穿戴个人防护物品，做好个人防护。</w:t>
      </w:r>
    </w:p>
    <w:p>
      <w:pPr>
        <w:tabs>
          <w:tab w:val="left" w:pos="765"/>
        </w:tabs>
        <w:spacing w:line="400" w:lineRule="exact"/>
        <w:ind w:firstLine="480" w:firstLineChars="200"/>
        <w:jc w:val="left"/>
        <w:rPr>
          <w:rFonts w:ascii="宋体" w:hAnsi="宋体"/>
          <w:szCs w:val="21"/>
          <w:highlight w:val="none"/>
        </w:rPr>
      </w:pPr>
      <w:r>
        <w:rPr>
          <w:rFonts w:ascii="宋体" w:hAnsi="宋体"/>
          <w:szCs w:val="21"/>
          <w:highlight w:val="none"/>
        </w:rPr>
        <w:t>6.6</w:t>
      </w:r>
      <w:r>
        <w:rPr>
          <w:rFonts w:hint="eastAsia" w:ascii="宋体" w:hAnsi="宋体"/>
          <w:szCs w:val="21"/>
          <w:highlight w:val="none"/>
        </w:rPr>
        <w:t>当乙方违反上述条款</w:t>
      </w:r>
      <w:r>
        <w:rPr>
          <w:rFonts w:ascii="宋体" w:hAnsi="宋体"/>
          <w:szCs w:val="21"/>
          <w:highlight w:val="none"/>
        </w:rPr>
        <w:t>3</w:t>
      </w:r>
      <w:r>
        <w:rPr>
          <w:rFonts w:hint="eastAsia" w:ascii="宋体" w:hAnsi="宋体"/>
          <w:szCs w:val="21"/>
          <w:highlight w:val="none"/>
        </w:rPr>
        <w:t>次以下</w:t>
      </w:r>
      <w:r>
        <w:rPr>
          <w:rFonts w:ascii="宋体" w:hAnsi="宋体"/>
          <w:szCs w:val="21"/>
          <w:highlight w:val="none"/>
        </w:rPr>
        <w:t>1</w:t>
      </w:r>
      <w:r>
        <w:rPr>
          <w:rFonts w:hint="eastAsia" w:ascii="宋体" w:hAnsi="宋体"/>
          <w:szCs w:val="21"/>
          <w:highlight w:val="none"/>
        </w:rPr>
        <w:t>次以上时（含</w:t>
      </w:r>
      <w:r>
        <w:rPr>
          <w:rFonts w:ascii="宋体" w:hAnsi="宋体"/>
          <w:szCs w:val="21"/>
          <w:highlight w:val="none"/>
        </w:rPr>
        <w:t>1</w:t>
      </w:r>
      <w:r>
        <w:rPr>
          <w:rFonts w:hint="eastAsia" w:ascii="宋体" w:hAnsi="宋体"/>
          <w:szCs w:val="21"/>
          <w:highlight w:val="none"/>
        </w:rPr>
        <w:t>次），甲方将向乙方提出警告；</w:t>
      </w:r>
      <w:r>
        <w:rPr>
          <w:rFonts w:ascii="宋体" w:hAnsi="宋体"/>
          <w:szCs w:val="21"/>
          <w:highlight w:val="none"/>
        </w:rPr>
        <w:t>3</w:t>
      </w:r>
      <w:r>
        <w:rPr>
          <w:rFonts w:hint="eastAsia" w:ascii="宋体" w:hAnsi="宋体"/>
          <w:szCs w:val="21"/>
          <w:highlight w:val="none"/>
        </w:rPr>
        <w:t>次以上（含</w:t>
      </w:r>
      <w:r>
        <w:rPr>
          <w:rFonts w:ascii="宋体" w:hAnsi="宋体"/>
          <w:szCs w:val="21"/>
          <w:highlight w:val="none"/>
        </w:rPr>
        <w:t>3</w:t>
      </w:r>
      <w:r>
        <w:rPr>
          <w:rFonts w:hint="eastAsia" w:ascii="宋体" w:hAnsi="宋体"/>
          <w:szCs w:val="21"/>
          <w:highlight w:val="none"/>
        </w:rPr>
        <w:t>次），甲方将有权终止正在执行的合同，一切后果由乙方承担。</w:t>
      </w:r>
    </w:p>
    <w:p>
      <w:pPr>
        <w:spacing w:line="400" w:lineRule="exact"/>
        <w:ind w:firstLine="482" w:firstLineChars="200"/>
        <w:rPr>
          <w:rFonts w:ascii="宋体" w:hAnsi="宋体"/>
          <w:b/>
          <w:szCs w:val="21"/>
          <w:highlight w:val="none"/>
        </w:rPr>
      </w:pPr>
      <w:r>
        <w:rPr>
          <w:rFonts w:ascii="宋体" w:hAnsi="宋体"/>
          <w:b/>
          <w:szCs w:val="21"/>
          <w:highlight w:val="none"/>
        </w:rPr>
        <w:t>7.</w:t>
      </w:r>
      <w:r>
        <w:rPr>
          <w:rFonts w:hint="eastAsia" w:ascii="宋体" w:hAnsi="宋体"/>
          <w:b/>
          <w:szCs w:val="21"/>
          <w:highlight w:val="none"/>
        </w:rPr>
        <w:t>甲方的责任和义务</w:t>
      </w:r>
    </w:p>
    <w:p>
      <w:pPr>
        <w:tabs>
          <w:tab w:val="left" w:pos="765"/>
        </w:tabs>
        <w:spacing w:line="400" w:lineRule="exact"/>
        <w:ind w:firstLine="480" w:firstLineChars="200"/>
        <w:jc w:val="left"/>
        <w:rPr>
          <w:rFonts w:ascii="宋体" w:hAnsi="宋体"/>
          <w:szCs w:val="21"/>
          <w:highlight w:val="none"/>
        </w:rPr>
      </w:pPr>
      <w:r>
        <w:rPr>
          <w:rFonts w:ascii="宋体" w:hAnsi="宋体"/>
          <w:szCs w:val="21"/>
          <w:highlight w:val="none"/>
        </w:rPr>
        <w:t>7.1</w:t>
      </w:r>
      <w:r>
        <w:rPr>
          <w:rFonts w:hint="eastAsia" w:ascii="宋体" w:hAnsi="宋体"/>
          <w:color w:val="000000" w:themeColor="text1"/>
          <w:szCs w:val="21"/>
          <w:highlight w:val="none"/>
        </w:rPr>
        <w:t>提供物资供应计划</w:t>
      </w:r>
      <w:r>
        <w:rPr>
          <w:rFonts w:hint="eastAsia" w:ascii="宋体" w:hAnsi="宋体"/>
          <w:szCs w:val="21"/>
          <w:highlight w:val="none"/>
        </w:rPr>
        <w:t>。</w:t>
      </w:r>
    </w:p>
    <w:p>
      <w:pPr>
        <w:tabs>
          <w:tab w:val="left" w:pos="765"/>
        </w:tabs>
        <w:spacing w:line="400" w:lineRule="exact"/>
        <w:ind w:firstLine="480" w:firstLineChars="200"/>
        <w:jc w:val="left"/>
        <w:rPr>
          <w:rFonts w:ascii="宋体" w:hAnsi="宋体"/>
          <w:szCs w:val="21"/>
          <w:highlight w:val="none"/>
        </w:rPr>
      </w:pPr>
      <w:r>
        <w:rPr>
          <w:rFonts w:ascii="宋体" w:hAnsi="宋体"/>
          <w:szCs w:val="21"/>
          <w:highlight w:val="none"/>
        </w:rPr>
        <w:t>7.</w:t>
      </w:r>
      <w:r>
        <w:rPr>
          <w:rFonts w:hint="eastAsia" w:ascii="宋体" w:hAnsi="宋体"/>
          <w:szCs w:val="21"/>
          <w:highlight w:val="none"/>
        </w:rPr>
        <w:t>2对乙方运抵的物资及时验收并为乙方卸货提供必要的方便。</w:t>
      </w:r>
    </w:p>
    <w:p>
      <w:pPr>
        <w:tabs>
          <w:tab w:val="left" w:pos="765"/>
        </w:tabs>
        <w:spacing w:line="400" w:lineRule="exact"/>
        <w:ind w:firstLine="480" w:firstLineChars="200"/>
        <w:jc w:val="left"/>
        <w:rPr>
          <w:rFonts w:ascii="宋体" w:hAnsi="宋体"/>
          <w:szCs w:val="21"/>
          <w:highlight w:val="none"/>
        </w:rPr>
      </w:pPr>
      <w:r>
        <w:rPr>
          <w:rFonts w:ascii="宋体" w:hAnsi="宋体"/>
          <w:szCs w:val="21"/>
          <w:highlight w:val="none"/>
        </w:rPr>
        <w:t>7.3</w:t>
      </w:r>
      <w:r>
        <w:rPr>
          <w:rFonts w:hint="eastAsia" w:ascii="宋体" w:hAnsi="宋体"/>
          <w:szCs w:val="21"/>
          <w:highlight w:val="none"/>
        </w:rPr>
        <w:t>及时组织物资质量检测，检测合格，及时签收确认；检测不合格，甲方有权拒收,由此产生的费用全部由乙方承担。</w:t>
      </w:r>
    </w:p>
    <w:p>
      <w:pPr>
        <w:tabs>
          <w:tab w:val="left" w:pos="765"/>
        </w:tabs>
        <w:spacing w:line="400" w:lineRule="exact"/>
        <w:ind w:firstLine="480" w:firstLineChars="200"/>
        <w:jc w:val="left"/>
        <w:rPr>
          <w:rFonts w:ascii="宋体" w:hAnsi="宋体"/>
          <w:szCs w:val="21"/>
          <w:highlight w:val="none"/>
        </w:rPr>
      </w:pPr>
      <w:r>
        <w:rPr>
          <w:rFonts w:ascii="宋体" w:hAnsi="宋体"/>
          <w:szCs w:val="21"/>
          <w:highlight w:val="none"/>
        </w:rPr>
        <w:t>7.4</w:t>
      </w:r>
      <w:r>
        <w:rPr>
          <w:rFonts w:hint="eastAsia" w:ascii="宋体" w:hAnsi="宋体"/>
          <w:szCs w:val="21"/>
          <w:highlight w:val="none"/>
        </w:rPr>
        <w:t>按约定支付乙方货款。</w:t>
      </w:r>
    </w:p>
    <w:p>
      <w:pPr>
        <w:tabs>
          <w:tab w:val="left" w:pos="765"/>
        </w:tabs>
        <w:spacing w:line="400" w:lineRule="exact"/>
        <w:ind w:firstLine="482" w:firstLineChars="200"/>
        <w:jc w:val="left"/>
        <w:rPr>
          <w:rFonts w:ascii="宋体" w:hAnsi="宋体"/>
          <w:b/>
          <w:szCs w:val="21"/>
          <w:highlight w:val="none"/>
        </w:rPr>
      </w:pPr>
      <w:r>
        <w:rPr>
          <w:rFonts w:ascii="宋体" w:hAnsi="宋体"/>
          <w:b/>
          <w:szCs w:val="21"/>
          <w:highlight w:val="none"/>
        </w:rPr>
        <w:t>8.</w:t>
      </w:r>
      <w:r>
        <w:rPr>
          <w:rFonts w:hint="eastAsia" w:ascii="宋体" w:hAnsi="宋体"/>
          <w:b/>
          <w:szCs w:val="21"/>
          <w:highlight w:val="none"/>
        </w:rPr>
        <w:t>乙方的责任和义务</w:t>
      </w:r>
    </w:p>
    <w:p>
      <w:pPr>
        <w:tabs>
          <w:tab w:val="left" w:pos="765"/>
        </w:tabs>
        <w:spacing w:line="400" w:lineRule="exact"/>
        <w:ind w:firstLine="480" w:firstLineChars="200"/>
        <w:jc w:val="left"/>
        <w:rPr>
          <w:rFonts w:ascii="宋体" w:hAnsi="宋体"/>
          <w:szCs w:val="21"/>
          <w:highlight w:val="none"/>
        </w:rPr>
      </w:pPr>
      <w:r>
        <w:rPr>
          <w:rFonts w:ascii="宋体" w:hAnsi="宋体"/>
          <w:color w:val="000000" w:themeColor="text1"/>
          <w:szCs w:val="21"/>
          <w:highlight w:val="none"/>
        </w:rPr>
        <w:t>8</w:t>
      </w:r>
      <w:r>
        <w:rPr>
          <w:rFonts w:hint="eastAsia" w:ascii="宋体" w:hAnsi="宋体"/>
          <w:color w:val="000000" w:themeColor="text1"/>
          <w:szCs w:val="21"/>
          <w:highlight w:val="none"/>
        </w:rPr>
        <w:t>.1将物资送至规定地点，</w:t>
      </w:r>
      <w:r>
        <w:rPr>
          <w:rFonts w:hint="eastAsia" w:ascii="宋体" w:hAnsi="宋体"/>
          <w:szCs w:val="21"/>
          <w:highlight w:val="none"/>
        </w:rPr>
        <w:t>配合卸货并码放整齐，保证堆放安全，否则甲方有权不予验收，由此给甲方造成的损失由乙方承担。</w:t>
      </w:r>
    </w:p>
    <w:p>
      <w:pPr>
        <w:tabs>
          <w:tab w:val="left" w:pos="765"/>
        </w:tabs>
        <w:spacing w:line="400" w:lineRule="exact"/>
        <w:ind w:firstLine="480" w:firstLineChars="200"/>
        <w:jc w:val="left"/>
        <w:rPr>
          <w:rFonts w:ascii="宋体" w:hAnsi="宋体" w:cs="宋体"/>
          <w:szCs w:val="21"/>
          <w:highlight w:val="none"/>
        </w:rPr>
      </w:pPr>
      <w:r>
        <w:rPr>
          <w:rFonts w:ascii="宋体" w:hAnsi="宋体" w:cs="宋体"/>
          <w:szCs w:val="21"/>
          <w:highlight w:val="none"/>
        </w:rPr>
        <w:t>8</w:t>
      </w:r>
      <w:r>
        <w:rPr>
          <w:rFonts w:hint="eastAsia" w:ascii="宋体" w:hAnsi="宋体" w:cs="宋体"/>
          <w:szCs w:val="21"/>
          <w:highlight w:val="none"/>
        </w:rPr>
        <w:t>.2发货前应及时通知甲方，以便甲方做好接货准备。乙方不得因甲方要求延期交货而向甲方提出索赔。</w:t>
      </w:r>
    </w:p>
    <w:p>
      <w:pPr>
        <w:tabs>
          <w:tab w:val="left" w:pos="765"/>
        </w:tabs>
        <w:spacing w:line="400" w:lineRule="exact"/>
        <w:ind w:firstLine="480" w:firstLineChars="200"/>
        <w:jc w:val="left"/>
        <w:rPr>
          <w:rFonts w:asciiTheme="minorEastAsia" w:hAnsiTheme="minorEastAsia"/>
          <w:szCs w:val="21"/>
          <w:highlight w:val="none"/>
        </w:rPr>
      </w:pPr>
      <w:r>
        <w:rPr>
          <w:rFonts w:asciiTheme="minorEastAsia" w:hAnsiTheme="minorEastAsia"/>
          <w:szCs w:val="21"/>
          <w:highlight w:val="none"/>
        </w:rPr>
        <w:t>8.3</w:t>
      </w:r>
      <w:r>
        <w:rPr>
          <w:rFonts w:hint="eastAsia" w:asciiTheme="minorEastAsia" w:hAnsiTheme="minorEastAsia"/>
          <w:szCs w:val="21"/>
          <w:highlight w:val="none"/>
        </w:rPr>
        <w:t>向甲方提供必要的报检证明和结算证明（账户、开户行相关证件复印件及验收单等）。</w:t>
      </w:r>
    </w:p>
    <w:p>
      <w:pPr>
        <w:tabs>
          <w:tab w:val="left" w:pos="765"/>
        </w:tabs>
        <w:spacing w:line="400" w:lineRule="exact"/>
        <w:ind w:firstLine="480" w:firstLineChars="200"/>
        <w:jc w:val="left"/>
        <w:rPr>
          <w:rFonts w:asciiTheme="minorEastAsia" w:hAnsiTheme="minorEastAsia"/>
          <w:szCs w:val="21"/>
          <w:highlight w:val="none"/>
        </w:rPr>
      </w:pPr>
      <w:r>
        <w:rPr>
          <w:rFonts w:asciiTheme="minorEastAsia" w:hAnsiTheme="minorEastAsia"/>
          <w:szCs w:val="21"/>
          <w:highlight w:val="none"/>
        </w:rPr>
        <w:t>8.4</w:t>
      </w:r>
      <w:r>
        <w:rPr>
          <w:rFonts w:hint="eastAsia" w:asciiTheme="minorEastAsia" w:hAnsiTheme="minorEastAsia"/>
          <w:szCs w:val="21"/>
          <w:highlight w:val="none"/>
        </w:rPr>
        <w:t>供应的物资必须符合</w:t>
      </w:r>
      <w:r>
        <w:rPr>
          <w:rFonts w:hint="eastAsia" w:ascii="宋体" w:hAnsi="宋体"/>
          <w:szCs w:val="21"/>
          <w:highlight w:val="none"/>
        </w:rPr>
        <w:t>中华人民共和国国家、地方及行业最新颁布的相关标准及技术规范</w:t>
      </w:r>
      <w:r>
        <w:rPr>
          <w:rFonts w:hint="eastAsia" w:asciiTheme="minorEastAsia" w:hAnsiTheme="minorEastAsia"/>
          <w:szCs w:val="21"/>
          <w:highlight w:val="none"/>
        </w:rPr>
        <w:t>和甲方施工要求。</w:t>
      </w:r>
    </w:p>
    <w:p>
      <w:pPr>
        <w:spacing w:line="400" w:lineRule="exact"/>
        <w:ind w:firstLine="480" w:firstLineChars="200"/>
        <w:rPr>
          <w:rFonts w:asciiTheme="minorEastAsia" w:hAnsiTheme="minorEastAsia"/>
          <w:szCs w:val="21"/>
          <w:highlight w:val="none"/>
        </w:rPr>
      </w:pPr>
      <w:r>
        <w:rPr>
          <w:rFonts w:asciiTheme="minorEastAsia" w:hAnsiTheme="minorEastAsia"/>
          <w:szCs w:val="21"/>
          <w:highlight w:val="none"/>
        </w:rPr>
        <w:t>8.5</w:t>
      </w:r>
      <w:r>
        <w:rPr>
          <w:rFonts w:hint="eastAsia" w:asciiTheme="minorEastAsia" w:hAnsiTheme="minorEastAsia"/>
          <w:szCs w:val="21"/>
          <w:highlight w:val="none"/>
        </w:rPr>
        <w:t>保证物资在运输过程中不受污染，做好物资运输过程中的防雨、防潮工作。</w:t>
      </w:r>
    </w:p>
    <w:p>
      <w:pPr>
        <w:spacing w:line="400" w:lineRule="exact"/>
        <w:ind w:firstLine="480" w:firstLineChars="200"/>
        <w:rPr>
          <w:rFonts w:asciiTheme="minorEastAsia" w:hAnsiTheme="minorEastAsia"/>
          <w:szCs w:val="21"/>
          <w:highlight w:val="none"/>
        </w:rPr>
      </w:pPr>
      <w:r>
        <w:rPr>
          <w:rFonts w:asciiTheme="minorEastAsia" w:hAnsiTheme="minorEastAsia"/>
          <w:szCs w:val="21"/>
          <w:highlight w:val="none"/>
        </w:rPr>
        <w:t>8.6</w:t>
      </w:r>
      <w:r>
        <w:rPr>
          <w:rFonts w:hint="eastAsia" w:asciiTheme="minorEastAsia" w:hAnsiTheme="minorEastAsia"/>
          <w:szCs w:val="21"/>
          <w:highlight w:val="none"/>
        </w:rPr>
        <w:t>承担在供货过程中发生的交通事故、人身伤害、通讯或电力线路损害、污染物泄漏等突发事件造成的损失、罚款及其他一切责任。</w:t>
      </w:r>
    </w:p>
    <w:p>
      <w:pPr>
        <w:tabs>
          <w:tab w:val="left" w:pos="765"/>
        </w:tabs>
        <w:spacing w:line="400" w:lineRule="exact"/>
        <w:ind w:firstLine="480" w:firstLineChars="200"/>
        <w:jc w:val="left"/>
        <w:rPr>
          <w:rFonts w:asciiTheme="minorEastAsia" w:hAnsiTheme="minorEastAsia"/>
          <w:szCs w:val="21"/>
          <w:highlight w:val="none"/>
        </w:rPr>
      </w:pPr>
      <w:r>
        <w:rPr>
          <w:rFonts w:asciiTheme="minorEastAsia" w:hAnsiTheme="minorEastAsia"/>
          <w:szCs w:val="21"/>
          <w:highlight w:val="none"/>
        </w:rPr>
        <w:t>8.7</w:t>
      </w:r>
      <w:r>
        <w:rPr>
          <w:rFonts w:hint="eastAsia" w:asciiTheme="minorEastAsia" w:hAnsiTheme="minorEastAsia"/>
          <w:szCs w:val="21"/>
          <w:highlight w:val="none"/>
        </w:rPr>
        <w:t>遵守甲方有关的规章制度，并负责己方人员及运输设备的安全。</w:t>
      </w:r>
    </w:p>
    <w:p>
      <w:pPr>
        <w:tabs>
          <w:tab w:val="left" w:pos="765"/>
        </w:tabs>
        <w:spacing w:line="400" w:lineRule="exact"/>
        <w:ind w:firstLine="480" w:firstLineChars="200"/>
        <w:jc w:val="left"/>
        <w:rPr>
          <w:rFonts w:asciiTheme="minorEastAsia" w:hAnsiTheme="minorEastAsia"/>
          <w:szCs w:val="21"/>
          <w:highlight w:val="none"/>
        </w:rPr>
      </w:pPr>
      <w:r>
        <w:rPr>
          <w:rFonts w:asciiTheme="minorEastAsia" w:hAnsiTheme="minorEastAsia"/>
          <w:szCs w:val="21"/>
          <w:highlight w:val="none"/>
        </w:rPr>
        <w:t>8.8</w:t>
      </w:r>
      <w:r>
        <w:rPr>
          <w:rFonts w:hint="eastAsia" w:asciiTheme="minorEastAsia" w:hAnsiTheme="minorEastAsia"/>
          <w:szCs w:val="21"/>
          <w:highlight w:val="none"/>
        </w:rPr>
        <w:t>物资供应必须及时并保证满足甲方施工生产需要，如因乙方问题造成甲方停工待料，除不可抗力外，全部损失由乙方承担。</w:t>
      </w:r>
    </w:p>
    <w:p>
      <w:pPr>
        <w:tabs>
          <w:tab w:val="left" w:pos="810"/>
        </w:tabs>
        <w:spacing w:line="400" w:lineRule="exact"/>
        <w:ind w:firstLine="480" w:firstLineChars="200"/>
        <w:jc w:val="left"/>
        <w:rPr>
          <w:rFonts w:asciiTheme="minorEastAsia" w:hAnsiTheme="minorEastAsia"/>
          <w:szCs w:val="21"/>
          <w:highlight w:val="none"/>
        </w:rPr>
      </w:pPr>
      <w:r>
        <w:rPr>
          <w:rFonts w:asciiTheme="minorEastAsia" w:hAnsiTheme="minorEastAsia"/>
          <w:szCs w:val="21"/>
          <w:highlight w:val="none"/>
        </w:rPr>
        <w:t>8.9</w:t>
      </w:r>
      <w:r>
        <w:rPr>
          <w:rFonts w:hint="eastAsia" w:asciiTheme="minorEastAsia" w:hAnsiTheme="minorEastAsia"/>
          <w:szCs w:val="21"/>
          <w:highlight w:val="none"/>
        </w:rPr>
        <w:t>必须按甲方提供的</w:t>
      </w:r>
      <w:r>
        <w:rPr>
          <w:rFonts w:hint="eastAsia" w:ascii="宋体" w:hAnsi="宋体"/>
          <w:color w:val="000000" w:themeColor="text1"/>
          <w:szCs w:val="21"/>
          <w:highlight w:val="none"/>
        </w:rPr>
        <w:t>物资供应计划</w:t>
      </w:r>
      <w:r>
        <w:rPr>
          <w:rFonts w:hint="eastAsia" w:asciiTheme="minorEastAsia" w:hAnsiTheme="minorEastAsia"/>
          <w:szCs w:val="21"/>
          <w:highlight w:val="none"/>
        </w:rPr>
        <w:t>的</w:t>
      </w:r>
      <w:r>
        <w:rPr>
          <w:rFonts w:hint="eastAsia" w:ascii="宋体" w:hAnsi="宋体"/>
          <w:szCs w:val="21"/>
          <w:highlight w:val="none"/>
        </w:rPr>
        <w:t>数量、时间供货，</w:t>
      </w:r>
      <w:r>
        <w:rPr>
          <w:rFonts w:hint="eastAsia" w:asciiTheme="minorEastAsia" w:hAnsiTheme="minorEastAsia"/>
          <w:szCs w:val="21"/>
          <w:highlight w:val="none"/>
        </w:rPr>
        <w:t>不得擅自改变计划内容。</w:t>
      </w:r>
      <w:r>
        <w:rPr>
          <w:rFonts w:hint="eastAsia" w:ascii="宋体" w:hAnsi="宋体"/>
          <w:szCs w:val="21"/>
          <w:highlight w:val="none"/>
        </w:rPr>
        <w:t>乙方对超出供货需求量供应的物资承担相应费用和责任，包括但不限于物资进场、退场的运输、装车、保管等。</w:t>
      </w:r>
    </w:p>
    <w:p>
      <w:pPr>
        <w:spacing w:line="400" w:lineRule="exact"/>
        <w:ind w:firstLine="480" w:firstLineChars="200"/>
        <w:rPr>
          <w:rFonts w:ascii="宋体" w:hAnsi="宋体" w:cs="宋体"/>
          <w:szCs w:val="21"/>
          <w:highlight w:val="none"/>
        </w:rPr>
      </w:pPr>
      <w:r>
        <w:rPr>
          <w:rFonts w:ascii="宋体" w:hAnsi="宋体" w:cs="宋体"/>
          <w:szCs w:val="21"/>
          <w:highlight w:val="none"/>
        </w:rPr>
        <w:t>8.10</w:t>
      </w:r>
      <w:r>
        <w:rPr>
          <w:rFonts w:hint="eastAsia" w:ascii="宋体" w:hAnsi="宋体" w:cs="宋体"/>
          <w:szCs w:val="21"/>
          <w:highlight w:val="none"/>
        </w:rPr>
        <w:t>应精心组织物资加工，参照甲方</w:t>
      </w:r>
      <w:r>
        <w:rPr>
          <w:rFonts w:hint="eastAsia" w:ascii="宋体" w:hAnsi="宋体"/>
          <w:color w:val="000000" w:themeColor="text1"/>
          <w:szCs w:val="21"/>
          <w:highlight w:val="none"/>
        </w:rPr>
        <w:t>物资供应计划</w:t>
      </w:r>
      <w:r>
        <w:rPr>
          <w:rFonts w:hint="eastAsia" w:ascii="宋体" w:hAnsi="宋体" w:cs="宋体"/>
          <w:szCs w:val="21"/>
          <w:highlight w:val="none"/>
        </w:rPr>
        <w:t>，做好物资的储备工作，合理安排运输力量。如乙方不能按期完成甲方计划，应提前</w:t>
      </w:r>
      <w:r>
        <w:rPr>
          <w:rFonts w:hint="eastAsia" w:ascii="宋体" w:hAnsi="宋体" w:cs="宋体"/>
          <w:color w:val="000000" w:themeColor="text1"/>
          <w:szCs w:val="21"/>
          <w:highlight w:val="none"/>
        </w:rPr>
        <w:t>5</w:t>
      </w:r>
      <w:r>
        <w:rPr>
          <w:rFonts w:hint="eastAsia" w:ascii="宋体" w:hAnsi="宋体" w:cs="宋体"/>
          <w:szCs w:val="21"/>
          <w:highlight w:val="none"/>
        </w:rPr>
        <w:t>日历天向甲方说明，甲方将另行组织货源。如由于乙方原因影响甲方工程进度，甲方将扣除乙方相应货款作为违约金。</w:t>
      </w:r>
    </w:p>
    <w:p>
      <w:pPr>
        <w:spacing w:line="400" w:lineRule="exact"/>
        <w:ind w:firstLine="480" w:firstLineChars="200"/>
        <w:rPr>
          <w:rFonts w:asciiTheme="minorEastAsia" w:hAnsiTheme="minorEastAsia"/>
          <w:szCs w:val="21"/>
          <w:highlight w:val="none"/>
        </w:rPr>
      </w:pPr>
      <w:r>
        <w:rPr>
          <w:rFonts w:asciiTheme="minorEastAsia" w:hAnsiTheme="minorEastAsia"/>
          <w:szCs w:val="21"/>
          <w:highlight w:val="none"/>
        </w:rPr>
        <w:t>8.11</w:t>
      </w:r>
      <w:r>
        <w:rPr>
          <w:rFonts w:hint="eastAsia" w:asciiTheme="minorEastAsia" w:hAnsiTheme="minorEastAsia"/>
          <w:szCs w:val="21"/>
          <w:highlight w:val="none"/>
        </w:rPr>
        <w:t>必须无条件满足合同内物资的供应，不得以生产商设备检修停产、未安排生产计划等为由在合同约定供货期内停止供货。</w:t>
      </w:r>
    </w:p>
    <w:p>
      <w:pPr>
        <w:snapToGrid w:val="0"/>
        <w:spacing w:line="400" w:lineRule="exact"/>
        <w:ind w:firstLine="480" w:firstLineChars="200"/>
        <w:rPr>
          <w:rFonts w:ascii="宋体" w:hAnsi="宋体"/>
          <w:szCs w:val="21"/>
          <w:highlight w:val="none"/>
        </w:rPr>
      </w:pPr>
      <w:r>
        <w:rPr>
          <w:rFonts w:hint="eastAsia" w:ascii="宋体" w:hAnsi="宋体"/>
          <w:szCs w:val="21"/>
          <w:highlight w:val="none"/>
        </w:rPr>
        <w:t>8.12乙方需正确填写发票，</w:t>
      </w:r>
      <w:r>
        <w:rPr>
          <w:rFonts w:hint="eastAsia" w:ascii="宋体" w:hAnsi="宋体"/>
          <w:color w:val="000000" w:themeColor="text1"/>
          <w:szCs w:val="21"/>
          <w:highlight w:val="none"/>
        </w:rPr>
        <w:t>因乙方发票填写错误，造成甲方损失的，由乙方进行全额赔偿，并支付“问题发票”等额的违约金给甲方。</w:t>
      </w:r>
      <w:r>
        <w:rPr>
          <w:rFonts w:hint="eastAsia" w:ascii="宋体" w:hAnsi="宋体"/>
          <w:szCs w:val="21"/>
          <w:highlight w:val="none"/>
        </w:rPr>
        <w:t>乙方在申请本合同下的货款和开据发票过程中发生的各种费用由</w:t>
      </w:r>
      <w:r>
        <w:rPr>
          <w:rFonts w:hint="eastAsia" w:ascii="宋体" w:hAnsi="宋体"/>
          <w:color w:val="000000" w:themeColor="text1"/>
          <w:szCs w:val="21"/>
          <w:highlight w:val="none"/>
        </w:rPr>
        <w:t>己</w:t>
      </w:r>
      <w:r>
        <w:rPr>
          <w:rFonts w:hint="eastAsia" w:ascii="宋体" w:hAnsi="宋体"/>
          <w:szCs w:val="21"/>
          <w:highlight w:val="none"/>
        </w:rPr>
        <w:t>方承担。</w:t>
      </w:r>
    </w:p>
    <w:p>
      <w:pPr>
        <w:snapToGrid w:val="0"/>
        <w:spacing w:line="400" w:lineRule="exact"/>
        <w:ind w:firstLine="480" w:firstLineChars="200"/>
        <w:rPr>
          <w:rFonts w:ascii="宋体" w:hAnsi="宋体"/>
          <w:szCs w:val="21"/>
          <w:highlight w:val="none"/>
        </w:rPr>
      </w:pPr>
      <w:r>
        <w:rPr>
          <w:rFonts w:hint="eastAsia" w:ascii="宋体" w:hAnsi="宋体"/>
          <w:szCs w:val="21"/>
          <w:highlight w:val="none"/>
        </w:rPr>
        <w:t>8.13  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spacing w:line="400" w:lineRule="exact"/>
        <w:ind w:firstLine="482" w:firstLineChars="200"/>
        <w:rPr>
          <w:rFonts w:ascii="宋体" w:hAnsi="宋体"/>
          <w:b/>
          <w:szCs w:val="21"/>
          <w:highlight w:val="none"/>
        </w:rPr>
      </w:pPr>
      <w:r>
        <w:rPr>
          <w:rFonts w:ascii="宋体" w:hAnsi="宋体"/>
          <w:b/>
          <w:szCs w:val="21"/>
          <w:highlight w:val="none"/>
        </w:rPr>
        <w:t>9.</w:t>
      </w:r>
      <w:r>
        <w:rPr>
          <w:rFonts w:hint="eastAsia" w:ascii="宋体" w:hAnsi="宋体"/>
          <w:b/>
          <w:szCs w:val="21"/>
          <w:highlight w:val="none"/>
        </w:rPr>
        <w:t>违约责任</w:t>
      </w:r>
    </w:p>
    <w:p>
      <w:pPr>
        <w:spacing w:line="400" w:lineRule="exact"/>
        <w:ind w:firstLine="480" w:firstLineChars="200"/>
        <w:rPr>
          <w:rFonts w:ascii="宋体" w:hAnsi="宋体"/>
          <w:szCs w:val="21"/>
          <w:highlight w:val="none"/>
        </w:rPr>
      </w:pPr>
      <w:r>
        <w:rPr>
          <w:rFonts w:ascii="宋体" w:hAnsi="宋体"/>
          <w:szCs w:val="21"/>
          <w:highlight w:val="none"/>
        </w:rPr>
        <w:t>9.1</w:t>
      </w:r>
      <w:r>
        <w:rPr>
          <w:rFonts w:hint="eastAsia" w:ascii="宋体" w:hAnsi="宋体"/>
          <w:szCs w:val="21"/>
          <w:highlight w:val="none"/>
        </w:rPr>
        <w:t>以下情况乙方向甲方支付违约金，具体违约金金额在第一部分合同</w:t>
      </w:r>
      <w:r>
        <w:rPr>
          <w:rFonts w:ascii="宋体" w:hAnsi="宋体"/>
          <w:szCs w:val="21"/>
          <w:highlight w:val="none"/>
        </w:rPr>
        <w:t>协议书</w:t>
      </w:r>
      <w:r>
        <w:rPr>
          <w:rFonts w:hint="eastAsia" w:ascii="宋体" w:hAnsi="宋体"/>
          <w:szCs w:val="21"/>
          <w:highlight w:val="none"/>
        </w:rPr>
        <w:t>中进行约定。此违约金在应付货款中直接扣除，情况严重时甲方有权单方终止合同。</w:t>
      </w:r>
    </w:p>
    <w:p>
      <w:pPr>
        <w:spacing w:line="400" w:lineRule="exact"/>
        <w:ind w:firstLine="480" w:firstLineChars="200"/>
        <w:rPr>
          <w:rFonts w:ascii="宋体" w:hAnsi="宋体"/>
          <w:szCs w:val="21"/>
          <w:highlight w:val="none"/>
        </w:rPr>
      </w:pPr>
      <w:r>
        <w:rPr>
          <w:rFonts w:ascii="宋体" w:hAnsi="宋体"/>
          <w:szCs w:val="21"/>
          <w:highlight w:val="none"/>
        </w:rPr>
        <w:t>9.1.1</w:t>
      </w:r>
      <w:r>
        <w:rPr>
          <w:rFonts w:hint="eastAsia" w:ascii="宋体" w:hAnsi="宋体"/>
          <w:szCs w:val="21"/>
          <w:highlight w:val="none"/>
        </w:rPr>
        <w:t>乙方未按甲方物资供应计划要求供应本合同约定物资</w:t>
      </w:r>
    </w:p>
    <w:p>
      <w:pPr>
        <w:spacing w:line="400" w:lineRule="exact"/>
        <w:ind w:firstLine="480" w:firstLineChars="200"/>
        <w:rPr>
          <w:rFonts w:ascii="宋体" w:hAnsi="宋体"/>
          <w:szCs w:val="21"/>
          <w:highlight w:val="none"/>
        </w:rPr>
      </w:pPr>
      <w:r>
        <w:rPr>
          <w:rFonts w:ascii="宋体" w:hAnsi="宋体"/>
          <w:szCs w:val="21"/>
          <w:highlight w:val="none"/>
        </w:rPr>
        <w:t>9.1.2</w:t>
      </w:r>
      <w:r>
        <w:rPr>
          <w:rFonts w:hint="eastAsia" w:ascii="宋体" w:hAnsi="宋体"/>
          <w:szCs w:val="21"/>
          <w:highlight w:val="none"/>
        </w:rPr>
        <w:t>乙方所供应物资检测不合格，且</w:t>
      </w:r>
      <w:r>
        <w:rPr>
          <w:rFonts w:hint="eastAsia" w:ascii="宋体" w:hAnsi="宋体"/>
          <w:color w:val="000000" w:themeColor="text1"/>
          <w:szCs w:val="21"/>
          <w:highlight w:val="none"/>
        </w:rPr>
        <w:t>48小时</w:t>
      </w:r>
      <w:r>
        <w:rPr>
          <w:rFonts w:hint="eastAsia" w:ascii="宋体" w:hAnsi="宋体"/>
          <w:bCs/>
          <w:color w:val="000000"/>
          <w:kern w:val="0"/>
          <w:szCs w:val="21"/>
          <w:highlight w:val="none"/>
        </w:rPr>
        <w:t>内未予处理的。</w:t>
      </w:r>
    </w:p>
    <w:p>
      <w:pPr>
        <w:spacing w:line="400" w:lineRule="exact"/>
        <w:ind w:firstLine="480" w:firstLineChars="200"/>
        <w:rPr>
          <w:rFonts w:ascii="宋体" w:hAnsi="宋体"/>
          <w:szCs w:val="21"/>
          <w:highlight w:val="none"/>
        </w:rPr>
      </w:pPr>
      <w:r>
        <w:rPr>
          <w:rFonts w:ascii="宋体" w:hAnsi="宋体"/>
          <w:szCs w:val="21"/>
          <w:highlight w:val="none"/>
        </w:rPr>
        <w:t>9.2</w:t>
      </w:r>
      <w:r>
        <w:rPr>
          <w:rFonts w:hint="eastAsia" w:ascii="宋体" w:hAnsi="宋体"/>
          <w:szCs w:val="21"/>
          <w:highlight w:val="none"/>
        </w:rPr>
        <w:t>由于乙方原因造成甲方人员人身伤害，乙方应立即采取补救措施，并全额赔偿甲方相关人员损失。</w:t>
      </w:r>
    </w:p>
    <w:p>
      <w:pPr>
        <w:spacing w:line="400" w:lineRule="exact"/>
        <w:ind w:firstLine="480" w:firstLineChars="200"/>
        <w:rPr>
          <w:rFonts w:ascii="宋体" w:hAnsi="宋体"/>
          <w:szCs w:val="21"/>
          <w:highlight w:val="none"/>
        </w:rPr>
      </w:pPr>
      <w:r>
        <w:rPr>
          <w:rFonts w:ascii="宋体" w:hAnsi="宋体"/>
          <w:szCs w:val="21"/>
          <w:highlight w:val="none"/>
        </w:rPr>
        <w:t>9.3</w:t>
      </w:r>
      <w:r>
        <w:rPr>
          <w:rFonts w:hint="eastAsia" w:ascii="宋体" w:hAnsi="宋体"/>
          <w:szCs w:val="21"/>
          <w:highlight w:val="none"/>
        </w:rPr>
        <w:t>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80" w:firstLineChars="200"/>
        <w:rPr>
          <w:rFonts w:ascii="宋体" w:hAnsi="宋体"/>
          <w:szCs w:val="21"/>
          <w:highlight w:val="none"/>
        </w:rPr>
      </w:pPr>
      <w:r>
        <w:rPr>
          <w:rFonts w:ascii="宋体" w:hAnsi="宋体"/>
          <w:szCs w:val="21"/>
          <w:highlight w:val="none"/>
        </w:rPr>
        <w:t>9.4</w:t>
      </w:r>
      <w:r>
        <w:rPr>
          <w:rFonts w:hint="eastAsia" w:ascii="宋体" w:hAnsi="宋体"/>
          <w:szCs w:val="21"/>
          <w:highlight w:val="none"/>
        </w:rPr>
        <w:t>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同时债权转让不发生法律效力。</w:t>
      </w:r>
    </w:p>
    <w:p>
      <w:pPr>
        <w:spacing w:line="400" w:lineRule="exact"/>
        <w:ind w:firstLine="480" w:firstLineChars="200"/>
        <w:jc w:val="left"/>
        <w:rPr>
          <w:rFonts w:ascii="宋体" w:hAnsi="宋体"/>
          <w:b/>
          <w:szCs w:val="21"/>
          <w:highlight w:val="none"/>
        </w:rPr>
      </w:pPr>
      <w:r>
        <w:rPr>
          <w:rFonts w:ascii="宋体" w:hAnsi="宋体"/>
          <w:szCs w:val="21"/>
          <w:highlight w:val="none"/>
        </w:rPr>
        <w:t>9.5</w:t>
      </w:r>
      <w:r>
        <w:rPr>
          <w:rFonts w:hint="eastAsia" w:ascii="宋体" w:hAnsi="宋体"/>
          <w:szCs w:val="21"/>
          <w:highlight w:val="none"/>
        </w:rPr>
        <w:t>乙方收到甲方的索赔通知后</w:t>
      </w:r>
      <w:r>
        <w:rPr>
          <w:rFonts w:ascii="宋体" w:hAnsi="宋体"/>
          <w:szCs w:val="21"/>
          <w:highlight w:val="none"/>
        </w:rPr>
        <w:t>10</w:t>
      </w:r>
      <w:r>
        <w:rPr>
          <w:rFonts w:hint="eastAsia" w:ascii="宋体" w:hAnsi="宋体"/>
          <w:szCs w:val="21"/>
          <w:highlight w:val="none"/>
        </w:rPr>
        <w:t>日历天内不作出书面答复，视为乙方同意甲方提出的一切索赔要求。</w:t>
      </w:r>
    </w:p>
    <w:p>
      <w:pPr>
        <w:spacing w:line="400" w:lineRule="exact"/>
        <w:ind w:firstLine="480" w:firstLineChars="200"/>
        <w:rPr>
          <w:rFonts w:ascii="宋体" w:hAnsi="宋体"/>
          <w:szCs w:val="21"/>
          <w:highlight w:val="none"/>
        </w:rPr>
      </w:pPr>
      <w:r>
        <w:rPr>
          <w:rFonts w:ascii="宋体" w:hAnsi="宋体"/>
          <w:szCs w:val="21"/>
          <w:highlight w:val="none"/>
        </w:rPr>
        <w:t>9.6</w:t>
      </w:r>
      <w:r>
        <w:rPr>
          <w:rFonts w:hint="eastAsia" w:ascii="宋体" w:hAnsi="宋体"/>
          <w:szCs w:val="21"/>
          <w:highlight w:val="none"/>
        </w:rPr>
        <w:t>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80" w:firstLineChars="200"/>
        <w:rPr>
          <w:rFonts w:ascii="宋体" w:hAnsi="宋体"/>
          <w:szCs w:val="21"/>
          <w:highlight w:val="none"/>
        </w:rPr>
      </w:pPr>
      <w:r>
        <w:rPr>
          <w:rFonts w:hint="eastAsia" w:ascii="宋体" w:hAnsi="宋体"/>
          <w:szCs w:val="21"/>
          <w:highlight w:val="none"/>
        </w:rPr>
        <w:t>9.7如发生以下任何一种情况履约保证金不予退还：</w:t>
      </w:r>
    </w:p>
    <w:p>
      <w:pPr>
        <w:spacing w:line="400" w:lineRule="exact"/>
        <w:ind w:firstLine="480" w:firstLineChars="200"/>
        <w:rPr>
          <w:rFonts w:ascii="宋体" w:hAnsi="宋体"/>
          <w:szCs w:val="21"/>
          <w:highlight w:val="none"/>
        </w:rPr>
      </w:pPr>
      <w:r>
        <w:rPr>
          <w:rFonts w:hint="eastAsia" w:ascii="宋体" w:hAnsi="宋体"/>
          <w:szCs w:val="21"/>
          <w:highlight w:val="none"/>
        </w:rPr>
        <w:t>9.7.1无法正常供货的情况，包括任何原因的不供货或连续5日历天未能按甲方要求的数量供货。</w:t>
      </w:r>
    </w:p>
    <w:p>
      <w:pPr>
        <w:spacing w:line="400" w:lineRule="exact"/>
        <w:ind w:firstLine="480" w:firstLineChars="200"/>
        <w:rPr>
          <w:rFonts w:ascii="宋体" w:hAnsi="宋体"/>
          <w:szCs w:val="21"/>
          <w:highlight w:val="none"/>
        </w:rPr>
      </w:pPr>
      <w:r>
        <w:rPr>
          <w:rFonts w:hint="eastAsia" w:ascii="宋体" w:hAnsi="宋体"/>
          <w:szCs w:val="21"/>
          <w:highlight w:val="none"/>
        </w:rPr>
        <w:t>9.7.2供应的物资不符合国家、甲方、业主和监理相关标准和要求，且在规定时间内不予调换、处理的情况。</w:t>
      </w:r>
    </w:p>
    <w:p>
      <w:pPr>
        <w:spacing w:line="400" w:lineRule="exact"/>
        <w:ind w:firstLine="480" w:firstLineChars="200"/>
        <w:rPr>
          <w:rFonts w:ascii="宋体" w:hAnsi="宋体"/>
          <w:szCs w:val="21"/>
          <w:highlight w:val="none"/>
        </w:rPr>
      </w:pPr>
      <w:r>
        <w:rPr>
          <w:rFonts w:hint="eastAsia" w:ascii="宋体" w:hAnsi="宋体"/>
          <w:szCs w:val="21"/>
          <w:highlight w:val="none"/>
        </w:rPr>
        <w:t>9.7.3不服从甲方管理的。</w:t>
      </w:r>
    </w:p>
    <w:p>
      <w:pPr>
        <w:spacing w:line="400" w:lineRule="exact"/>
        <w:ind w:firstLine="480" w:firstLineChars="200"/>
        <w:rPr>
          <w:rFonts w:ascii="宋体" w:hAnsi="宋体"/>
          <w:szCs w:val="21"/>
          <w:highlight w:val="none"/>
        </w:rPr>
      </w:pPr>
      <w:r>
        <w:rPr>
          <w:rFonts w:hint="eastAsia" w:ascii="宋体" w:hAnsi="宋体"/>
          <w:szCs w:val="21"/>
          <w:highlight w:val="none"/>
        </w:rPr>
        <w:t>9.7.4因乙方原因给甲方造成损失的。</w:t>
      </w:r>
    </w:p>
    <w:p>
      <w:pPr>
        <w:spacing w:line="400" w:lineRule="exact"/>
        <w:ind w:firstLine="482" w:firstLineChars="200"/>
        <w:jc w:val="left"/>
        <w:rPr>
          <w:rFonts w:ascii="宋体" w:hAnsi="宋体"/>
          <w:b/>
          <w:szCs w:val="21"/>
          <w:highlight w:val="none"/>
        </w:rPr>
      </w:pPr>
      <w:r>
        <w:rPr>
          <w:rFonts w:ascii="宋体" w:hAnsi="宋体"/>
          <w:b/>
          <w:szCs w:val="21"/>
          <w:highlight w:val="none"/>
        </w:rPr>
        <w:t>10.</w:t>
      </w:r>
      <w:r>
        <w:rPr>
          <w:rFonts w:hint="eastAsia" w:ascii="宋体" w:hAnsi="宋体"/>
          <w:b/>
          <w:szCs w:val="21"/>
          <w:highlight w:val="none"/>
        </w:rPr>
        <w:t>通知</w:t>
      </w:r>
    </w:p>
    <w:p>
      <w:pPr>
        <w:spacing w:line="400" w:lineRule="exact"/>
        <w:ind w:firstLine="480" w:firstLineChars="200"/>
        <w:jc w:val="left"/>
        <w:rPr>
          <w:rFonts w:ascii="宋体" w:hAnsi="宋体"/>
          <w:szCs w:val="21"/>
          <w:highlight w:val="none"/>
        </w:rPr>
      </w:pPr>
      <w:r>
        <w:rPr>
          <w:rFonts w:ascii="宋体" w:hAnsi="宋体"/>
          <w:szCs w:val="21"/>
          <w:highlight w:val="none"/>
        </w:rPr>
        <w:t>10.1</w:t>
      </w:r>
      <w:r>
        <w:rPr>
          <w:rFonts w:hint="eastAsia" w:ascii="宋体" w:hAnsi="宋体"/>
          <w:szCs w:val="21"/>
          <w:highlight w:val="none"/>
        </w:rPr>
        <w:t>根据本合同需要发出的双方的往来文件及与本合同有关的通知和要求等，</w:t>
      </w:r>
      <w:r>
        <w:rPr>
          <w:rFonts w:hint="eastAsia" w:ascii="宋体" w:hAnsi="宋体" w:cs="宋体"/>
          <w:szCs w:val="21"/>
          <w:highlight w:val="none"/>
        </w:rPr>
        <w:t>可以选择通过传真、电子邮件、</w:t>
      </w:r>
      <w:r>
        <w:rPr>
          <w:rFonts w:hint="eastAsia" w:ascii="宋体" w:hAnsi="宋体"/>
          <w:szCs w:val="21"/>
          <w:highlight w:val="none"/>
        </w:rPr>
        <w:t>邮寄、当面送交</w:t>
      </w:r>
      <w:r>
        <w:rPr>
          <w:rFonts w:hint="eastAsia" w:ascii="宋体" w:hAnsi="宋体" w:cs="宋体"/>
          <w:szCs w:val="21"/>
          <w:highlight w:val="none"/>
        </w:rPr>
        <w:t>等方式</w:t>
      </w:r>
      <w:r>
        <w:rPr>
          <w:rFonts w:hint="eastAsia" w:ascii="宋体" w:hAnsi="宋体"/>
          <w:szCs w:val="21"/>
          <w:highlight w:val="none"/>
        </w:rPr>
        <w:t>传递。以上方式无法送达的，方可采取公告送达的方式。</w:t>
      </w:r>
    </w:p>
    <w:p>
      <w:pPr>
        <w:spacing w:line="400" w:lineRule="exact"/>
        <w:ind w:firstLine="480" w:firstLineChars="200"/>
        <w:jc w:val="left"/>
        <w:rPr>
          <w:rFonts w:ascii="宋体" w:hAnsi="宋体"/>
          <w:szCs w:val="21"/>
          <w:highlight w:val="none"/>
        </w:rPr>
      </w:pPr>
      <w:r>
        <w:rPr>
          <w:rFonts w:ascii="宋体" w:hAnsi="宋体"/>
          <w:szCs w:val="21"/>
          <w:highlight w:val="none"/>
        </w:rPr>
        <w:t>10.2</w:t>
      </w:r>
      <w:r>
        <w:rPr>
          <w:rFonts w:hint="eastAsia" w:ascii="宋体" w:hAnsi="宋体"/>
          <w:szCs w:val="21"/>
          <w:highlight w:val="none"/>
        </w:rPr>
        <w:t>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82" w:firstLineChars="200"/>
        <w:jc w:val="left"/>
        <w:rPr>
          <w:rFonts w:ascii="宋体" w:hAnsi="宋体"/>
          <w:b/>
          <w:szCs w:val="21"/>
          <w:highlight w:val="none"/>
        </w:rPr>
      </w:pPr>
      <w:r>
        <w:rPr>
          <w:rFonts w:hint="eastAsia" w:ascii="宋体" w:hAnsi="宋体"/>
          <w:b/>
          <w:szCs w:val="21"/>
          <w:highlight w:val="none"/>
        </w:rPr>
        <w:t>1</w:t>
      </w:r>
      <w:r>
        <w:rPr>
          <w:rFonts w:ascii="宋体" w:hAnsi="宋体"/>
          <w:b/>
          <w:szCs w:val="21"/>
          <w:highlight w:val="none"/>
        </w:rPr>
        <w:t>1.</w:t>
      </w:r>
      <w:r>
        <w:rPr>
          <w:rFonts w:hint="eastAsia" w:ascii="宋体" w:hAnsi="宋体"/>
          <w:b/>
          <w:szCs w:val="21"/>
          <w:highlight w:val="none"/>
        </w:rPr>
        <w:t>争议的处理</w:t>
      </w:r>
    </w:p>
    <w:p>
      <w:pPr>
        <w:spacing w:line="400" w:lineRule="exact"/>
        <w:ind w:firstLine="480" w:firstLineChars="200"/>
        <w:jc w:val="left"/>
        <w:rPr>
          <w:rFonts w:ascii="宋体" w:hAnsi="宋体"/>
          <w:szCs w:val="21"/>
          <w:highlight w:val="none"/>
        </w:rPr>
      </w:pPr>
      <w:r>
        <w:rPr>
          <w:rFonts w:hint="eastAsia" w:ascii="宋体" w:hAnsi="宋体"/>
          <w:szCs w:val="21"/>
          <w:highlight w:val="none"/>
        </w:rPr>
        <w:t>本合同发生的有关争议应通过友好协商解决，经协商未能达成协议时，双方约定向甲方住所地有管辖权的人民法院提起诉讼。</w:t>
      </w:r>
    </w:p>
    <w:p>
      <w:pPr>
        <w:tabs>
          <w:tab w:val="left" w:pos="810"/>
        </w:tabs>
        <w:spacing w:line="400" w:lineRule="exact"/>
        <w:ind w:firstLine="482" w:firstLineChars="200"/>
        <w:jc w:val="left"/>
        <w:rPr>
          <w:rFonts w:ascii="宋体" w:hAnsi="宋体"/>
          <w:b/>
          <w:szCs w:val="21"/>
          <w:highlight w:val="none"/>
        </w:rPr>
      </w:pPr>
      <w:r>
        <w:rPr>
          <w:rFonts w:hint="eastAsia" w:ascii="宋体" w:hAnsi="宋体"/>
          <w:b/>
          <w:szCs w:val="21"/>
          <w:highlight w:val="none"/>
        </w:rPr>
        <w:t>1</w:t>
      </w:r>
      <w:r>
        <w:rPr>
          <w:rFonts w:ascii="宋体" w:hAnsi="宋体"/>
          <w:b/>
          <w:szCs w:val="21"/>
          <w:highlight w:val="none"/>
        </w:rPr>
        <w:t>2.</w:t>
      </w:r>
      <w:r>
        <w:rPr>
          <w:rFonts w:hint="eastAsia" w:ascii="宋体" w:hAnsi="宋体"/>
          <w:b/>
          <w:szCs w:val="21"/>
          <w:highlight w:val="none"/>
        </w:rPr>
        <w:t xml:space="preserve">不可抗力 </w:t>
      </w:r>
    </w:p>
    <w:p>
      <w:pPr>
        <w:spacing w:line="400" w:lineRule="exact"/>
        <w:ind w:firstLine="480" w:firstLineChars="200"/>
        <w:rPr>
          <w:rFonts w:ascii="宋体" w:hAnsi="宋体"/>
          <w:szCs w:val="21"/>
          <w:highlight w:val="none"/>
        </w:rPr>
      </w:pPr>
      <w:r>
        <w:rPr>
          <w:rFonts w:hint="eastAsia" w:ascii="宋体" w:hAnsi="宋体"/>
          <w:szCs w:val="21"/>
          <w:highlight w:val="none"/>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82" w:firstLineChars="200"/>
        <w:rPr>
          <w:rFonts w:ascii="宋体" w:hAnsi="宋体"/>
          <w:b/>
          <w:szCs w:val="21"/>
          <w:highlight w:val="none"/>
        </w:rPr>
      </w:pPr>
      <w:r>
        <w:rPr>
          <w:rFonts w:hint="eastAsia" w:ascii="宋体" w:hAnsi="宋体"/>
          <w:b/>
          <w:szCs w:val="21"/>
          <w:highlight w:val="none"/>
        </w:rPr>
        <w:t>1</w:t>
      </w:r>
      <w:r>
        <w:rPr>
          <w:rFonts w:ascii="宋体" w:hAnsi="宋体"/>
          <w:b/>
          <w:szCs w:val="21"/>
          <w:highlight w:val="none"/>
        </w:rPr>
        <w:t>3.</w:t>
      </w:r>
      <w:r>
        <w:rPr>
          <w:rFonts w:hint="eastAsia" w:ascii="宋体" w:hAnsi="宋体"/>
          <w:b/>
          <w:szCs w:val="21"/>
          <w:highlight w:val="none"/>
        </w:rPr>
        <w:t>其他约定事项</w:t>
      </w:r>
    </w:p>
    <w:p>
      <w:pPr>
        <w:widowControl/>
        <w:spacing w:line="360" w:lineRule="exact"/>
        <w:ind w:firstLine="480" w:firstLineChars="200"/>
        <w:jc w:val="left"/>
        <w:rPr>
          <w:rFonts w:ascii="宋体" w:hAnsi="宋体"/>
          <w:szCs w:val="21"/>
          <w:highlight w:val="none"/>
        </w:rPr>
      </w:pPr>
      <w:r>
        <w:rPr>
          <w:rFonts w:ascii="宋体" w:hAnsi="宋体"/>
          <w:szCs w:val="21"/>
          <w:highlight w:val="none"/>
        </w:rPr>
        <w:t>13.1</w:t>
      </w:r>
      <w:r>
        <w:rPr>
          <w:rFonts w:hint="eastAsia" w:ascii="宋体" w:hAnsi="宋体"/>
          <w:szCs w:val="21"/>
          <w:highlight w:val="none"/>
        </w:rPr>
        <w:t>本合同未尽事宜，双方另行协商并签订补充协议。</w:t>
      </w:r>
      <w:r>
        <w:rPr>
          <w:rFonts w:hint="eastAsia" w:ascii="宋体" w:hAnsi="宋体"/>
          <w:color w:val="000000" w:themeColor="text1"/>
          <w:szCs w:val="21"/>
          <w:highlight w:val="none"/>
        </w:rPr>
        <w:t>当乙方所供</w:t>
      </w:r>
      <w:r>
        <w:rPr>
          <w:rFonts w:ascii="宋体" w:hAnsi="宋体"/>
          <w:color w:val="000000" w:themeColor="text1"/>
          <w:szCs w:val="21"/>
          <w:highlight w:val="none"/>
        </w:rPr>
        <w:t>物资</w:t>
      </w:r>
      <w:r>
        <w:rPr>
          <w:rFonts w:hint="eastAsia" w:ascii="宋体" w:hAnsi="宋体"/>
          <w:color w:val="000000" w:themeColor="text1"/>
          <w:szCs w:val="21"/>
          <w:highlight w:val="none"/>
        </w:rPr>
        <w:t>超出原合同价款的</w:t>
      </w:r>
      <w:r>
        <w:rPr>
          <w:rFonts w:ascii="宋体" w:hAnsi="宋体"/>
          <w:color w:val="000000" w:themeColor="text1"/>
          <w:szCs w:val="21"/>
          <w:highlight w:val="none"/>
        </w:rPr>
        <w:t>10%</w:t>
      </w:r>
      <w:r>
        <w:rPr>
          <w:rFonts w:hint="eastAsia" w:ascii="宋体" w:hAnsi="宋体"/>
          <w:color w:val="000000" w:themeColor="text1"/>
          <w:szCs w:val="21"/>
          <w:highlight w:val="none"/>
        </w:rPr>
        <w:t>时，甲乙</w:t>
      </w:r>
      <w:r>
        <w:rPr>
          <w:rFonts w:ascii="宋体" w:hAnsi="宋体"/>
          <w:color w:val="000000" w:themeColor="text1"/>
          <w:szCs w:val="21"/>
          <w:highlight w:val="none"/>
        </w:rPr>
        <w:t>双方</w:t>
      </w:r>
      <w:r>
        <w:rPr>
          <w:rFonts w:hint="eastAsia" w:ascii="宋体" w:hAnsi="宋体"/>
          <w:color w:val="000000" w:themeColor="text1"/>
          <w:szCs w:val="21"/>
          <w:highlight w:val="none"/>
        </w:rPr>
        <w:t>必须签订补充协议。</w:t>
      </w:r>
      <w:r>
        <w:rPr>
          <w:rFonts w:hint="eastAsia" w:ascii="宋体" w:hAnsi="宋体"/>
          <w:szCs w:val="21"/>
          <w:highlight w:val="none"/>
        </w:rPr>
        <w:t>补充协议作为本合同附件，与本合同具有同等法律效力。</w:t>
      </w:r>
    </w:p>
    <w:p>
      <w:pPr>
        <w:spacing w:line="400" w:lineRule="exact"/>
        <w:ind w:firstLine="480" w:firstLineChars="200"/>
        <w:rPr>
          <w:rFonts w:ascii="宋体" w:hAnsi="宋体"/>
          <w:szCs w:val="21"/>
          <w:highlight w:val="none"/>
        </w:rPr>
      </w:pPr>
      <w:r>
        <w:rPr>
          <w:rFonts w:ascii="宋体" w:hAnsi="宋体"/>
          <w:szCs w:val="21"/>
          <w:highlight w:val="none"/>
        </w:rPr>
        <w:t>13.2</w:t>
      </w:r>
      <w:r>
        <w:rPr>
          <w:rFonts w:hint="eastAsia" w:ascii="宋体" w:hAnsi="宋体"/>
          <w:szCs w:val="21"/>
          <w:highlight w:val="none"/>
        </w:rPr>
        <w:t>因工程建设单位、监理单位及相关部门出台的相关规定文件、市场准入制度造成合同不能执行，甲方不承担任何责任。</w:t>
      </w:r>
    </w:p>
    <w:p>
      <w:pPr>
        <w:spacing w:line="400" w:lineRule="exact"/>
        <w:ind w:firstLine="480" w:firstLineChars="200"/>
        <w:rPr>
          <w:rFonts w:ascii="宋体" w:hAnsi="宋体"/>
          <w:color w:val="000000" w:themeColor="text1"/>
          <w:szCs w:val="21"/>
          <w:highlight w:val="none"/>
        </w:rPr>
      </w:pPr>
      <w:r>
        <w:rPr>
          <w:rFonts w:ascii="宋体" w:hAnsi="宋体"/>
          <w:szCs w:val="21"/>
          <w:highlight w:val="none"/>
        </w:rPr>
        <w:t>13.3</w:t>
      </w:r>
      <w:r>
        <w:rPr>
          <w:rFonts w:hint="eastAsia" w:ascii="宋体" w:hAnsi="宋体"/>
          <w:color w:val="000000" w:themeColor="text1"/>
          <w:szCs w:val="21"/>
          <w:highlight w:val="none"/>
        </w:rPr>
        <w:t>本合同自双方签字盖章之日起生效。</w:t>
      </w:r>
    </w:p>
    <w:p>
      <w:pPr>
        <w:spacing w:line="360" w:lineRule="exact"/>
        <w:ind w:firstLine="470" w:firstLineChars="195"/>
        <w:jc w:val="left"/>
        <w:rPr>
          <w:rFonts w:ascii="宋体" w:hAnsi="宋体"/>
          <w:b/>
          <w:szCs w:val="21"/>
          <w:highlight w:val="none"/>
        </w:rPr>
      </w:pPr>
      <w:r>
        <w:rPr>
          <w:rFonts w:ascii="宋体" w:hAnsi="宋体"/>
          <w:b/>
          <w:szCs w:val="21"/>
          <w:highlight w:val="none"/>
        </w:rPr>
        <w:t>14</w:t>
      </w:r>
      <w:r>
        <w:rPr>
          <w:rFonts w:hint="eastAsia" w:ascii="宋体" w:hAnsi="宋体"/>
          <w:b/>
          <w:szCs w:val="21"/>
          <w:highlight w:val="none"/>
        </w:rPr>
        <w:t>.附件</w:t>
      </w:r>
    </w:p>
    <w:p>
      <w:pPr>
        <w:spacing w:line="400" w:lineRule="exact"/>
        <w:ind w:firstLine="480" w:firstLineChars="200"/>
        <w:rPr>
          <w:rFonts w:ascii="宋体" w:hAnsi="宋体"/>
          <w:szCs w:val="21"/>
          <w:highlight w:val="none"/>
        </w:rPr>
      </w:pPr>
      <w:r>
        <w:rPr>
          <w:rFonts w:hint="eastAsia" w:ascii="宋体" w:hAnsi="宋体"/>
          <w:szCs w:val="21"/>
          <w:highlight w:val="none"/>
        </w:rPr>
        <w:t>附件</w:t>
      </w:r>
      <w:r>
        <w:rPr>
          <w:rFonts w:ascii="宋体" w:hAnsi="宋体"/>
          <w:szCs w:val="21"/>
          <w:highlight w:val="none"/>
        </w:rPr>
        <w:t>：</w:t>
      </w:r>
      <w:r>
        <w:rPr>
          <w:rFonts w:hint="eastAsia" w:ascii="宋体" w:hAnsi="宋体"/>
          <w:szCs w:val="21"/>
          <w:highlight w:val="none"/>
        </w:rPr>
        <w:t>分供</w:t>
      </w:r>
      <w:r>
        <w:rPr>
          <w:rFonts w:ascii="宋体" w:hAnsi="宋体"/>
          <w:szCs w:val="21"/>
          <w:highlight w:val="none"/>
        </w:rPr>
        <w:t>廉政合同</w:t>
      </w:r>
    </w:p>
    <w:p>
      <w:pPr>
        <w:spacing w:line="400" w:lineRule="exact"/>
        <w:ind w:firstLine="480" w:firstLineChars="200"/>
        <w:rPr>
          <w:rFonts w:ascii="宋体" w:hAnsi="宋体"/>
          <w:color w:val="000000" w:themeColor="text1"/>
          <w:szCs w:val="21"/>
          <w:highlight w:val="none"/>
        </w:rPr>
      </w:pPr>
    </w:p>
    <w:p>
      <w:pPr>
        <w:spacing w:line="360" w:lineRule="exact"/>
        <w:jc w:val="center"/>
        <w:rPr>
          <w:rFonts w:ascii="宋体" w:hAnsi="宋体"/>
          <w:b/>
          <w:sz w:val="30"/>
          <w:szCs w:val="30"/>
          <w:highlight w:val="none"/>
        </w:rPr>
      </w:pPr>
    </w:p>
    <w:p>
      <w:pPr>
        <w:widowControl/>
        <w:jc w:val="left"/>
        <w:rPr>
          <w:rFonts w:ascii="宋体" w:hAnsi="宋体"/>
          <w:b/>
          <w:sz w:val="30"/>
          <w:szCs w:val="30"/>
          <w:highlight w:val="none"/>
        </w:rPr>
      </w:pPr>
      <w:r>
        <w:rPr>
          <w:rFonts w:ascii="宋体" w:hAnsi="宋体"/>
          <w:b/>
          <w:sz w:val="30"/>
          <w:szCs w:val="30"/>
          <w:highlight w:val="none"/>
        </w:rPr>
        <w:br w:type="page"/>
      </w:r>
    </w:p>
    <w:p>
      <w:pPr>
        <w:spacing w:line="360" w:lineRule="exact"/>
        <w:jc w:val="center"/>
        <w:rPr>
          <w:rFonts w:ascii="宋体" w:hAnsi="宋体"/>
          <w:b/>
          <w:sz w:val="30"/>
          <w:szCs w:val="30"/>
          <w:highlight w:val="none"/>
        </w:rPr>
      </w:pPr>
      <w:r>
        <w:rPr>
          <w:rFonts w:hint="eastAsia" w:ascii="宋体" w:hAnsi="宋体"/>
          <w:b/>
          <w:sz w:val="30"/>
          <w:szCs w:val="30"/>
          <w:highlight w:val="none"/>
        </w:rPr>
        <w:t>第三部分 专用合同条款</w:t>
      </w:r>
    </w:p>
    <w:p>
      <w:pPr>
        <w:tabs>
          <w:tab w:val="left" w:pos="425"/>
        </w:tabs>
        <w:spacing w:line="400" w:lineRule="exact"/>
        <w:ind w:left="420"/>
        <w:jc w:val="left"/>
        <w:rPr>
          <w:rFonts w:ascii="宋体" w:hAnsi="宋体"/>
          <w:b/>
          <w:szCs w:val="21"/>
          <w:highlight w:val="none"/>
        </w:rPr>
      </w:pPr>
      <w:r>
        <w:rPr>
          <w:rFonts w:hint="eastAsia" w:ascii="宋体" w:hAnsi="宋体"/>
          <w:b/>
          <w:szCs w:val="21"/>
          <w:highlight w:val="none"/>
        </w:rPr>
        <w:t>1.适用法律法规</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p>
    <w:p>
      <w:pPr>
        <w:spacing w:line="360" w:lineRule="exact"/>
        <w:ind w:firstLine="480" w:firstLineChars="200"/>
        <w:rPr>
          <w:rFonts w:ascii="宋体" w:hAnsi="宋体"/>
          <w:szCs w:val="21"/>
          <w:highlight w:val="none"/>
        </w:rPr>
      </w:pPr>
      <w:r>
        <w:rPr>
          <w:rFonts w:hint="eastAsia" w:ascii="宋体" w:hAnsi="宋体"/>
          <w:szCs w:val="21"/>
          <w:highlight w:val="none"/>
        </w:rPr>
        <w:t>需要明示其他的法律、行政法规：</w:t>
      </w:r>
      <w:r>
        <w:rPr>
          <w:rFonts w:hint="eastAsia" w:ascii="宋体" w:hAnsi="宋体"/>
          <w:color w:val="C0C0C0"/>
          <w:szCs w:val="21"/>
          <w:highlight w:val="none"/>
          <w:u w:val="single"/>
        </w:rPr>
        <w:t xml:space="preserve"> </w:t>
      </w:r>
    </w:p>
    <w:p>
      <w:pPr>
        <w:tabs>
          <w:tab w:val="left" w:pos="425"/>
        </w:tabs>
        <w:spacing w:line="400" w:lineRule="exact"/>
        <w:ind w:left="480" w:leftChars="200"/>
        <w:jc w:val="left"/>
        <w:rPr>
          <w:rFonts w:ascii="宋体" w:hAnsi="宋体"/>
          <w:b/>
          <w:szCs w:val="21"/>
          <w:highlight w:val="none"/>
        </w:rPr>
      </w:pPr>
      <w:r>
        <w:rPr>
          <w:rFonts w:hint="eastAsia" w:ascii="宋体" w:hAnsi="宋体"/>
          <w:b/>
          <w:szCs w:val="21"/>
          <w:highlight w:val="none"/>
        </w:rPr>
        <w:t>2.合同文件组成及解释顺序</w:t>
      </w:r>
    </w:p>
    <w:p>
      <w:pPr>
        <w:spacing w:line="400" w:lineRule="exact"/>
        <w:ind w:firstLine="480" w:firstLineChars="200"/>
        <w:rPr>
          <w:rFonts w:ascii="宋体" w:hAnsi="宋体"/>
          <w:color w:val="000000" w:themeColor="text1"/>
          <w:szCs w:val="21"/>
          <w:highlight w:val="none"/>
        </w:rPr>
      </w:pPr>
      <w:r>
        <w:rPr>
          <w:rFonts w:hint="eastAsia" w:ascii="宋体" w:hAnsi="宋体"/>
          <w:szCs w:val="21"/>
          <w:highlight w:val="none"/>
          <w:u w:val="single"/>
        </w:rPr>
        <w:t>见通用合同条款。</w:t>
      </w:r>
    </w:p>
    <w:p>
      <w:pPr>
        <w:spacing w:line="400" w:lineRule="exact"/>
        <w:ind w:firstLine="482" w:firstLineChars="200"/>
        <w:rPr>
          <w:rFonts w:ascii="宋体" w:hAnsi="宋体"/>
          <w:b/>
          <w:szCs w:val="21"/>
          <w:highlight w:val="none"/>
        </w:rPr>
      </w:pPr>
      <w:r>
        <w:rPr>
          <w:rFonts w:ascii="宋体" w:hAnsi="宋体"/>
          <w:b/>
          <w:szCs w:val="21"/>
          <w:highlight w:val="none"/>
        </w:rPr>
        <w:t>3.</w:t>
      </w:r>
      <w:r>
        <w:rPr>
          <w:rFonts w:hint="eastAsia" w:ascii="宋体" w:hAnsi="宋体"/>
          <w:b/>
          <w:szCs w:val="21"/>
          <w:highlight w:val="none"/>
        </w:rPr>
        <w:t>质量要求及技术标准</w:t>
      </w:r>
    </w:p>
    <w:p>
      <w:pPr>
        <w:spacing w:line="400" w:lineRule="exact"/>
        <w:ind w:firstLine="480" w:firstLineChars="200"/>
        <w:rPr>
          <w:rFonts w:ascii="宋体" w:hAnsi="宋体"/>
          <w:szCs w:val="21"/>
          <w:highlight w:val="none"/>
        </w:rPr>
      </w:pPr>
      <w:r>
        <w:rPr>
          <w:rFonts w:hint="eastAsia" w:ascii="宋体" w:hAnsi="宋体"/>
          <w:szCs w:val="21"/>
          <w:highlight w:val="none"/>
        </w:rPr>
        <w:t>3.1见通用合同条款。</w:t>
      </w:r>
    </w:p>
    <w:p>
      <w:pPr>
        <w:spacing w:line="400" w:lineRule="exact"/>
        <w:ind w:firstLine="480" w:firstLineChars="200"/>
        <w:rPr>
          <w:rFonts w:ascii="宋体" w:hAnsi="宋体"/>
          <w:szCs w:val="21"/>
          <w:highlight w:val="none"/>
        </w:rPr>
      </w:pPr>
      <w:r>
        <w:rPr>
          <w:rFonts w:hint="eastAsia" w:ascii="宋体" w:hAnsi="宋体"/>
          <w:szCs w:val="21"/>
          <w:highlight w:val="none"/>
        </w:rPr>
        <w:t>3.2乙方必须在收到甲方书面通知后48小时内将不合格物资无条件清理出场并予以退换</w:t>
      </w:r>
    </w:p>
    <w:p>
      <w:pPr>
        <w:spacing w:line="400" w:lineRule="exact"/>
        <w:ind w:firstLine="480" w:firstLineChars="200"/>
        <w:rPr>
          <w:rFonts w:ascii="宋体" w:hAnsi="宋体"/>
          <w:szCs w:val="21"/>
          <w:highlight w:val="none"/>
        </w:rPr>
      </w:pPr>
      <w:r>
        <w:rPr>
          <w:rFonts w:hint="eastAsia" w:ascii="宋体" w:hAnsi="宋体"/>
          <w:szCs w:val="21"/>
          <w:highlight w:val="none"/>
        </w:rPr>
        <w:t>3.3物资质量要求及技术标准。</w:t>
      </w:r>
    </w:p>
    <w:p>
      <w:pPr>
        <w:spacing w:line="400" w:lineRule="exact"/>
        <w:ind w:firstLine="480" w:firstLineChars="200"/>
        <w:rPr>
          <w:rFonts w:ascii="宋体" w:hAnsi="宋体"/>
          <w:szCs w:val="21"/>
          <w:highlight w:val="none"/>
        </w:rPr>
      </w:pPr>
      <w:r>
        <w:rPr>
          <w:rFonts w:hint="eastAsia" w:ascii="宋体" w:hAnsi="宋体"/>
          <w:szCs w:val="21"/>
          <w:highlight w:val="none"/>
        </w:rPr>
        <w:t>3.3.1.甲方留存乙方投标时合格的质量检测样本作为质量检测的基本标准；</w:t>
      </w:r>
    </w:p>
    <w:p>
      <w:pPr>
        <w:spacing w:line="400" w:lineRule="exact"/>
        <w:ind w:firstLine="480" w:firstLineChars="200"/>
        <w:rPr>
          <w:rFonts w:ascii="宋体" w:hAnsi="宋体"/>
          <w:szCs w:val="21"/>
          <w:highlight w:val="none"/>
        </w:rPr>
      </w:pPr>
      <w:r>
        <w:rPr>
          <w:rFonts w:hint="eastAsia" w:ascii="宋体" w:hAnsi="宋体"/>
          <w:szCs w:val="21"/>
          <w:highlight w:val="none"/>
        </w:rPr>
        <w:t>3.3.2.物资必须满足以下标准及要求，且满足中华人民共和国国家、地方及行业最新颁布的相关标准及技术规范，如果规范、标准、要求适用于同一种情况，则以标准高者为准。</w:t>
      </w:r>
    </w:p>
    <w:p>
      <w:pPr>
        <w:spacing w:line="400" w:lineRule="exact"/>
        <w:ind w:firstLine="480" w:firstLineChars="200"/>
        <w:rPr>
          <w:rFonts w:ascii="宋体" w:hAnsi="宋体"/>
          <w:szCs w:val="21"/>
          <w:highlight w:val="none"/>
        </w:rPr>
      </w:pPr>
      <w:r>
        <w:rPr>
          <w:rFonts w:hint="eastAsia" w:ascii="宋体" w:hAnsi="宋体"/>
          <w:szCs w:val="21"/>
          <w:highlight w:val="none"/>
        </w:rPr>
        <w:t>《混凝土外加剂匀质性试验方法》  (GB/T 8077-2012)；</w:t>
      </w:r>
    </w:p>
    <w:p>
      <w:pPr>
        <w:spacing w:line="400" w:lineRule="exact"/>
        <w:ind w:firstLine="480" w:firstLineChars="200"/>
        <w:rPr>
          <w:rFonts w:ascii="宋体" w:hAnsi="宋体"/>
          <w:szCs w:val="21"/>
          <w:highlight w:val="none"/>
        </w:rPr>
      </w:pPr>
      <w:r>
        <w:rPr>
          <w:rFonts w:hint="eastAsia" w:ascii="宋体" w:hAnsi="宋体"/>
          <w:szCs w:val="21"/>
          <w:highlight w:val="none"/>
        </w:rPr>
        <w:t>《混凝土结构设计规范》（GB50010-2019）；</w:t>
      </w:r>
    </w:p>
    <w:p>
      <w:pPr>
        <w:spacing w:line="400" w:lineRule="exact"/>
        <w:ind w:firstLine="480" w:firstLineChars="200"/>
        <w:rPr>
          <w:rFonts w:ascii="宋体" w:hAnsi="宋体"/>
          <w:szCs w:val="21"/>
          <w:highlight w:val="none"/>
        </w:rPr>
      </w:pPr>
      <w:r>
        <w:rPr>
          <w:rFonts w:hint="eastAsia" w:ascii="宋体" w:hAnsi="宋体"/>
          <w:szCs w:val="21"/>
          <w:highlight w:val="none"/>
        </w:rPr>
        <w:t>《混凝土结构工程施工质量验收规范》（GB50204-2015）；</w:t>
      </w:r>
    </w:p>
    <w:p>
      <w:pPr>
        <w:spacing w:line="400" w:lineRule="exact"/>
        <w:ind w:firstLine="480" w:firstLineChars="200"/>
        <w:rPr>
          <w:rFonts w:ascii="宋体" w:hAnsi="宋体"/>
          <w:szCs w:val="21"/>
          <w:highlight w:val="none"/>
        </w:rPr>
      </w:pPr>
      <w:r>
        <w:rPr>
          <w:rFonts w:hint="eastAsia" w:ascii="宋体" w:hAnsi="宋体"/>
          <w:szCs w:val="21"/>
          <w:highlight w:val="none"/>
        </w:rPr>
        <w:t>《混凝土强度检验评定标准》(GBJ107-2010)；</w:t>
      </w:r>
    </w:p>
    <w:p>
      <w:pPr>
        <w:spacing w:line="400" w:lineRule="exact"/>
        <w:ind w:firstLine="480" w:firstLineChars="200"/>
        <w:rPr>
          <w:rFonts w:ascii="宋体" w:hAnsi="宋体"/>
          <w:szCs w:val="21"/>
          <w:highlight w:val="none"/>
        </w:rPr>
      </w:pPr>
      <w:r>
        <w:rPr>
          <w:rFonts w:hint="eastAsia" w:ascii="宋体" w:hAnsi="宋体"/>
          <w:szCs w:val="21"/>
          <w:highlight w:val="none"/>
        </w:rPr>
        <w:t>《混凝土质量控制标准》(GB50164-2011)；</w:t>
      </w:r>
    </w:p>
    <w:p>
      <w:pPr>
        <w:spacing w:line="400" w:lineRule="exact"/>
        <w:ind w:firstLine="480" w:firstLineChars="200"/>
        <w:rPr>
          <w:rFonts w:ascii="宋体" w:hAnsi="宋体"/>
          <w:szCs w:val="21"/>
          <w:highlight w:val="none"/>
        </w:rPr>
      </w:pPr>
      <w:r>
        <w:rPr>
          <w:rFonts w:hint="eastAsia" w:ascii="宋体" w:hAnsi="宋体"/>
          <w:szCs w:val="21"/>
          <w:highlight w:val="none"/>
        </w:rPr>
        <w:t>《普通混凝土配合比设计规程》(JGJ55-2011)；</w:t>
      </w:r>
    </w:p>
    <w:p>
      <w:pPr>
        <w:spacing w:line="400" w:lineRule="exact"/>
        <w:ind w:firstLine="480" w:firstLineChars="200"/>
        <w:rPr>
          <w:rFonts w:ascii="宋体" w:hAnsi="宋体"/>
          <w:szCs w:val="21"/>
          <w:highlight w:val="none"/>
        </w:rPr>
      </w:pPr>
      <w:r>
        <w:rPr>
          <w:rFonts w:hint="eastAsia" w:ascii="宋体" w:hAnsi="宋体"/>
          <w:szCs w:val="21"/>
          <w:highlight w:val="none"/>
        </w:rPr>
        <w:t>《混凝土用水标准》(JGJ63-2006)；</w:t>
      </w:r>
    </w:p>
    <w:p>
      <w:pPr>
        <w:spacing w:line="400" w:lineRule="exact"/>
        <w:ind w:firstLine="480" w:firstLineChars="200"/>
        <w:rPr>
          <w:rFonts w:ascii="宋体" w:hAnsi="宋体"/>
          <w:szCs w:val="21"/>
          <w:highlight w:val="none"/>
        </w:rPr>
      </w:pPr>
      <w:r>
        <w:rPr>
          <w:rFonts w:hint="eastAsia" w:ascii="宋体" w:hAnsi="宋体"/>
          <w:szCs w:val="21"/>
          <w:highlight w:val="none"/>
        </w:rPr>
        <w:t>《混凝土外加剂》  （GB8076-2009）；</w:t>
      </w:r>
    </w:p>
    <w:p>
      <w:pPr>
        <w:spacing w:line="400" w:lineRule="exact"/>
        <w:ind w:firstLine="480" w:firstLineChars="200"/>
        <w:rPr>
          <w:rFonts w:ascii="宋体" w:hAnsi="宋体"/>
          <w:szCs w:val="21"/>
          <w:highlight w:val="none"/>
        </w:rPr>
      </w:pPr>
      <w:r>
        <w:rPr>
          <w:rFonts w:hint="eastAsia" w:ascii="宋体" w:hAnsi="宋体"/>
          <w:szCs w:val="21"/>
          <w:highlight w:val="none"/>
        </w:rPr>
        <w:t>《通用硅酸盐水泥》  (GB 175-2007/XG1-2009)；</w:t>
      </w:r>
    </w:p>
    <w:p>
      <w:pPr>
        <w:spacing w:line="400" w:lineRule="exact"/>
        <w:ind w:firstLine="480" w:firstLineChars="200"/>
        <w:rPr>
          <w:rFonts w:ascii="宋体" w:hAnsi="宋体"/>
          <w:szCs w:val="21"/>
          <w:highlight w:val="none"/>
        </w:rPr>
      </w:pPr>
      <w:r>
        <w:rPr>
          <w:rFonts w:hint="eastAsia" w:ascii="宋体" w:hAnsi="宋体"/>
          <w:szCs w:val="21"/>
          <w:highlight w:val="none"/>
        </w:rPr>
        <w:t>《普通混凝土用砂、石质量及检验方法》 (JGJ52-2006)；</w:t>
      </w:r>
    </w:p>
    <w:p>
      <w:pPr>
        <w:spacing w:line="400" w:lineRule="exact"/>
        <w:ind w:firstLine="480" w:firstLineChars="200"/>
        <w:rPr>
          <w:rFonts w:ascii="宋体" w:hAnsi="宋体"/>
          <w:szCs w:val="21"/>
          <w:highlight w:val="none"/>
        </w:rPr>
      </w:pPr>
      <w:r>
        <w:rPr>
          <w:rFonts w:hint="eastAsia" w:ascii="宋体" w:hAnsi="宋体"/>
          <w:szCs w:val="21"/>
          <w:highlight w:val="none"/>
        </w:rPr>
        <w:t>《预拌混凝土》(GB/T 14902-2012) ；</w:t>
      </w:r>
    </w:p>
    <w:p>
      <w:pPr>
        <w:spacing w:line="400" w:lineRule="exact"/>
        <w:ind w:firstLine="480" w:firstLineChars="200"/>
        <w:rPr>
          <w:rFonts w:ascii="宋体" w:hAnsi="宋体"/>
          <w:szCs w:val="21"/>
          <w:highlight w:val="none"/>
        </w:rPr>
      </w:pPr>
      <w:r>
        <w:rPr>
          <w:rFonts w:hint="eastAsia" w:ascii="宋体" w:hAnsi="宋体"/>
          <w:szCs w:val="21"/>
          <w:highlight w:val="none"/>
        </w:rPr>
        <w:t>《混凝土泵送施工技术规程》（JGJ/T10-2011）；</w:t>
      </w:r>
    </w:p>
    <w:p>
      <w:pPr>
        <w:spacing w:line="400" w:lineRule="exact"/>
        <w:ind w:firstLine="480" w:firstLineChars="200"/>
        <w:rPr>
          <w:rFonts w:ascii="宋体" w:hAnsi="宋体"/>
          <w:szCs w:val="21"/>
          <w:highlight w:val="none"/>
        </w:rPr>
      </w:pPr>
      <w:r>
        <w:rPr>
          <w:rFonts w:hint="eastAsia" w:ascii="宋体" w:hAnsi="宋体"/>
          <w:szCs w:val="21"/>
          <w:highlight w:val="none"/>
        </w:rPr>
        <w:t>《用于水泥和混凝土中的粉煤灰》（GB/T1596-2017） ；</w:t>
      </w:r>
    </w:p>
    <w:p>
      <w:pPr>
        <w:spacing w:line="400" w:lineRule="exact"/>
        <w:ind w:firstLine="480" w:firstLineChars="200"/>
        <w:rPr>
          <w:rFonts w:ascii="宋体" w:hAnsi="宋体"/>
          <w:szCs w:val="21"/>
          <w:highlight w:val="none"/>
        </w:rPr>
      </w:pPr>
      <w:r>
        <w:rPr>
          <w:rFonts w:hint="eastAsia" w:ascii="宋体" w:hAnsi="宋体"/>
          <w:szCs w:val="21"/>
          <w:highlight w:val="none"/>
        </w:rPr>
        <w:t>《粉煤灰在混凝土和砂浆中的应用技术规程》（JGJ28-86）；</w:t>
      </w:r>
    </w:p>
    <w:p>
      <w:pPr>
        <w:spacing w:line="400" w:lineRule="exact"/>
        <w:ind w:firstLine="480" w:firstLineChars="200"/>
        <w:rPr>
          <w:rFonts w:ascii="宋体" w:hAnsi="宋体"/>
          <w:szCs w:val="21"/>
          <w:highlight w:val="none"/>
        </w:rPr>
      </w:pPr>
      <w:r>
        <w:rPr>
          <w:rFonts w:hint="eastAsia" w:ascii="宋体" w:hAnsi="宋体"/>
          <w:szCs w:val="21"/>
          <w:highlight w:val="none"/>
        </w:rPr>
        <w:t xml:space="preserve">《普通混凝土力学性能试验方法标准》（GB/T50081-2002）； </w:t>
      </w:r>
    </w:p>
    <w:p>
      <w:pPr>
        <w:spacing w:line="400" w:lineRule="exact"/>
        <w:ind w:firstLine="480" w:firstLineChars="200"/>
        <w:rPr>
          <w:rFonts w:ascii="宋体" w:hAnsi="宋体"/>
          <w:szCs w:val="21"/>
          <w:highlight w:val="none"/>
        </w:rPr>
      </w:pPr>
      <w:r>
        <w:rPr>
          <w:rFonts w:hint="eastAsia" w:ascii="宋体" w:hAnsi="宋体"/>
          <w:szCs w:val="21"/>
          <w:highlight w:val="none"/>
        </w:rPr>
        <w:t>《公路工程水泥及水泥混凝土试验规程》JTGE30-2005；</w:t>
      </w:r>
    </w:p>
    <w:p>
      <w:pPr>
        <w:spacing w:line="400" w:lineRule="exact"/>
        <w:ind w:firstLine="480" w:firstLineChars="200"/>
        <w:rPr>
          <w:rFonts w:ascii="宋体" w:hAnsi="宋体"/>
          <w:szCs w:val="21"/>
          <w:highlight w:val="none"/>
        </w:rPr>
      </w:pPr>
      <w:r>
        <w:rPr>
          <w:rFonts w:hint="eastAsia" w:ascii="宋体" w:hAnsi="宋体"/>
          <w:szCs w:val="21"/>
          <w:highlight w:val="none"/>
        </w:rPr>
        <w:t>《公路水泥混凝土路面设计规范》(JTG D40-2011)；</w:t>
      </w:r>
    </w:p>
    <w:p>
      <w:pPr>
        <w:spacing w:line="400" w:lineRule="exact"/>
        <w:ind w:firstLine="480" w:firstLineChars="200"/>
        <w:rPr>
          <w:rFonts w:ascii="宋体" w:hAnsi="宋体"/>
          <w:szCs w:val="21"/>
          <w:highlight w:val="none"/>
        </w:rPr>
      </w:pPr>
      <w:r>
        <w:rPr>
          <w:rFonts w:hint="eastAsia" w:ascii="宋体" w:hAnsi="宋体"/>
          <w:szCs w:val="21"/>
          <w:highlight w:val="none"/>
        </w:rPr>
        <w:t>《公路工程集料试验规程》(JTG E42-2005)；</w:t>
      </w:r>
    </w:p>
    <w:p>
      <w:pPr>
        <w:spacing w:line="400" w:lineRule="exact"/>
        <w:ind w:firstLine="480" w:firstLineChars="200"/>
        <w:rPr>
          <w:rFonts w:ascii="宋体" w:hAnsi="宋体"/>
          <w:szCs w:val="21"/>
          <w:highlight w:val="none"/>
        </w:rPr>
      </w:pPr>
      <w:r>
        <w:rPr>
          <w:rFonts w:hint="eastAsia" w:ascii="宋体" w:hAnsi="宋体"/>
          <w:szCs w:val="21"/>
          <w:highlight w:val="none"/>
        </w:rPr>
        <w:t>《公路水泥混凝土路面施工技术细则》JTG/T F30-2014；</w:t>
      </w:r>
    </w:p>
    <w:p>
      <w:pPr>
        <w:spacing w:line="400" w:lineRule="exact"/>
        <w:ind w:firstLine="480" w:firstLineChars="200"/>
        <w:rPr>
          <w:rFonts w:ascii="宋体" w:hAnsi="宋体"/>
          <w:szCs w:val="21"/>
          <w:highlight w:val="none"/>
        </w:rPr>
      </w:pPr>
      <w:r>
        <w:rPr>
          <w:rFonts w:hint="eastAsia" w:ascii="宋体" w:hAnsi="宋体"/>
          <w:szCs w:val="21"/>
          <w:highlight w:val="none"/>
        </w:rPr>
        <w:t xml:space="preserve">《公路工程质量检验评定标准》(JTG F80/1-2017)； </w:t>
      </w:r>
    </w:p>
    <w:p>
      <w:pPr>
        <w:spacing w:line="400" w:lineRule="exact"/>
        <w:ind w:firstLine="480" w:firstLineChars="200"/>
        <w:rPr>
          <w:rFonts w:ascii="宋体" w:hAnsi="宋体"/>
          <w:szCs w:val="21"/>
          <w:highlight w:val="none"/>
        </w:rPr>
      </w:pPr>
      <w:r>
        <w:rPr>
          <w:rFonts w:hint="eastAsia" w:ascii="宋体" w:hAnsi="宋体"/>
          <w:szCs w:val="21"/>
          <w:highlight w:val="none"/>
        </w:rPr>
        <w:t xml:space="preserve"> 现行国家关于水泥混凝土强制性标准；</w:t>
      </w:r>
    </w:p>
    <w:p>
      <w:pPr>
        <w:spacing w:line="400" w:lineRule="exact"/>
        <w:ind w:firstLine="480" w:firstLineChars="200"/>
        <w:rPr>
          <w:rFonts w:ascii="宋体" w:hAnsi="宋体"/>
          <w:szCs w:val="21"/>
          <w:highlight w:val="none"/>
        </w:rPr>
      </w:pPr>
      <w:r>
        <w:rPr>
          <w:rFonts w:hint="eastAsia" w:ascii="宋体" w:hAnsi="宋体"/>
          <w:szCs w:val="21"/>
          <w:highlight w:val="none"/>
        </w:rPr>
        <w:t xml:space="preserve"> 原材料、添加剂符合国家及行业相关标准要求；同时应符合施工工艺有关规定并取得甲方、监理同意；</w:t>
      </w:r>
    </w:p>
    <w:p>
      <w:pPr>
        <w:spacing w:line="400" w:lineRule="exact"/>
        <w:ind w:firstLine="480" w:firstLineChars="200"/>
        <w:rPr>
          <w:rFonts w:ascii="宋体" w:hAnsi="宋体"/>
          <w:szCs w:val="21"/>
          <w:highlight w:val="none"/>
        </w:rPr>
      </w:pPr>
      <w:r>
        <w:rPr>
          <w:rFonts w:hint="eastAsia" w:ascii="宋体" w:hAnsi="宋体"/>
          <w:szCs w:val="21"/>
          <w:highlight w:val="none"/>
        </w:rPr>
        <w:t>3.3.3.混凝土有关性能指标要求：乙方所供混凝土应达到甲方所要求的力学性能、耐久性能、和易性能、坍落度、初凝、终凝时间及其他性能要求，并按相关国家和行业标准进行检验合格；</w:t>
      </w:r>
    </w:p>
    <w:p>
      <w:pPr>
        <w:spacing w:line="400" w:lineRule="exact"/>
        <w:ind w:firstLine="480" w:firstLineChars="200"/>
        <w:rPr>
          <w:rFonts w:ascii="宋体" w:hAnsi="宋体"/>
          <w:szCs w:val="21"/>
          <w:highlight w:val="none"/>
        </w:rPr>
      </w:pPr>
      <w:r>
        <w:rPr>
          <w:rFonts w:hint="eastAsia" w:ascii="宋体" w:hAnsi="宋体"/>
          <w:szCs w:val="21"/>
          <w:highlight w:val="none"/>
        </w:rPr>
        <w:t>3.3.4.混凝土所有原材料均应满足如下要求：原材料由乙方负责并对其质量负责，如乙方使用不符合规定的原材料，给甲方造成的一切责任和损失均由乙方承担，并额外支付甲方材料暂定总价的5%作为违约金；</w:t>
      </w:r>
      <w:r>
        <w:rPr>
          <w:rFonts w:hint="eastAsia" w:ascii="宋体" w:hAnsi="宋体"/>
          <w:szCs w:val="21"/>
          <w:highlight w:val="none"/>
        </w:rPr>
        <w:tab/>
      </w:r>
    </w:p>
    <w:p>
      <w:pPr>
        <w:spacing w:line="400" w:lineRule="exact"/>
        <w:ind w:firstLine="480" w:firstLineChars="200"/>
        <w:rPr>
          <w:rFonts w:ascii="宋体" w:hAnsi="宋体"/>
          <w:szCs w:val="21"/>
          <w:highlight w:val="none"/>
        </w:rPr>
      </w:pPr>
      <w:r>
        <w:rPr>
          <w:rFonts w:hint="eastAsia" w:ascii="宋体" w:hAnsi="宋体"/>
          <w:szCs w:val="21"/>
          <w:highlight w:val="none"/>
        </w:rPr>
        <w:t>3.3.5.乙方应按照甲方确定且经监理批准的混凝土配合比进行生产，乙方在生产过程中，甲方有权派试验员进行监控，随机抽查逐盘配合比记录，但甲方试验员的监控不能减轻或免除乙方的产品和技术责任；</w:t>
      </w:r>
    </w:p>
    <w:p>
      <w:pPr>
        <w:spacing w:line="400" w:lineRule="exact"/>
        <w:ind w:firstLine="480" w:firstLineChars="200"/>
        <w:rPr>
          <w:rFonts w:ascii="宋体" w:hAnsi="宋体"/>
          <w:szCs w:val="21"/>
          <w:highlight w:val="none"/>
        </w:rPr>
      </w:pPr>
      <w:r>
        <w:rPr>
          <w:rFonts w:hint="eastAsia" w:ascii="宋体" w:hAnsi="宋体"/>
          <w:szCs w:val="21"/>
          <w:highlight w:val="none"/>
        </w:rPr>
        <w:t>3.3.6.不合格商品混凝土无条件退货，乙方承担所有费用，如乙方未在规定时间内到达现场处理，不合格商品混凝土按废弃物处理，乙方拖出工地自行处理；</w:t>
      </w:r>
    </w:p>
    <w:p>
      <w:pPr>
        <w:spacing w:line="400" w:lineRule="exact"/>
        <w:ind w:firstLine="480" w:firstLineChars="200"/>
        <w:rPr>
          <w:rFonts w:ascii="宋体" w:hAnsi="宋体"/>
          <w:szCs w:val="21"/>
          <w:highlight w:val="none"/>
        </w:rPr>
      </w:pPr>
      <w:r>
        <w:rPr>
          <w:rFonts w:hint="eastAsia" w:ascii="宋体" w:hAnsi="宋体"/>
          <w:szCs w:val="21"/>
          <w:highlight w:val="none"/>
        </w:rPr>
        <w:t>3.3.7.乙方根据所选出的原材料及外加剂、掺和料等,依据有关的规范、规定、标准进行混凝土试配，得出优化配合比，经甲方、监理确认后方可送货。当出现下列情况之一时，乙方应对混凝土配合比重新设计：</w:t>
      </w:r>
    </w:p>
    <w:p>
      <w:pPr>
        <w:spacing w:line="400" w:lineRule="exact"/>
        <w:ind w:firstLine="480" w:firstLineChars="200"/>
        <w:rPr>
          <w:rFonts w:ascii="宋体" w:hAnsi="宋体"/>
          <w:szCs w:val="21"/>
          <w:highlight w:val="none"/>
        </w:rPr>
      </w:pPr>
      <w:r>
        <w:rPr>
          <w:rFonts w:hint="eastAsia" w:ascii="宋体" w:hAnsi="宋体"/>
          <w:szCs w:val="21"/>
          <w:highlight w:val="none"/>
        </w:rPr>
        <w:t>3.3.7.1原材料的生产厂家或品种有变化时；</w:t>
      </w:r>
    </w:p>
    <w:p>
      <w:pPr>
        <w:spacing w:line="400" w:lineRule="exact"/>
        <w:ind w:firstLine="480" w:firstLineChars="200"/>
        <w:rPr>
          <w:rFonts w:ascii="宋体" w:hAnsi="宋体"/>
          <w:szCs w:val="21"/>
          <w:highlight w:val="none"/>
        </w:rPr>
      </w:pPr>
      <w:r>
        <w:rPr>
          <w:rFonts w:hint="eastAsia" w:ascii="宋体" w:hAnsi="宋体"/>
          <w:szCs w:val="21"/>
          <w:highlight w:val="none"/>
        </w:rPr>
        <w:t>3.3.7.2该配合比的混凝土生产间断半年以上；</w:t>
      </w:r>
    </w:p>
    <w:p>
      <w:pPr>
        <w:spacing w:line="400" w:lineRule="exact"/>
        <w:ind w:firstLine="480" w:firstLineChars="200"/>
        <w:rPr>
          <w:rFonts w:ascii="宋体" w:hAnsi="宋体"/>
          <w:szCs w:val="21"/>
          <w:highlight w:val="none"/>
        </w:rPr>
      </w:pPr>
      <w:r>
        <w:rPr>
          <w:rFonts w:hint="eastAsia" w:ascii="宋体" w:hAnsi="宋体"/>
          <w:szCs w:val="21"/>
          <w:highlight w:val="none"/>
        </w:rPr>
        <w:t>3.3.7.3甲方、监理或业主提出更改意见。</w:t>
      </w:r>
    </w:p>
    <w:p>
      <w:pPr>
        <w:spacing w:line="400" w:lineRule="exact"/>
        <w:ind w:firstLine="480" w:firstLineChars="200"/>
        <w:rPr>
          <w:rFonts w:ascii="宋体" w:hAnsi="宋体"/>
          <w:szCs w:val="21"/>
          <w:highlight w:val="none"/>
        </w:rPr>
      </w:pPr>
      <w:r>
        <w:rPr>
          <w:rFonts w:hint="eastAsia" w:ascii="宋体" w:hAnsi="宋体"/>
          <w:szCs w:val="21"/>
          <w:highlight w:val="none"/>
        </w:rPr>
        <w:t>3.3.8.每次开盘随第一车混凝土提供给甲方的资料：</w:t>
      </w:r>
    </w:p>
    <w:p>
      <w:pPr>
        <w:spacing w:line="400" w:lineRule="exact"/>
        <w:ind w:firstLine="480" w:firstLineChars="200"/>
        <w:rPr>
          <w:rFonts w:ascii="宋体" w:hAnsi="宋体"/>
          <w:szCs w:val="21"/>
          <w:highlight w:val="none"/>
        </w:rPr>
      </w:pPr>
      <w:r>
        <w:rPr>
          <w:rFonts w:hint="eastAsia" w:ascii="宋体" w:hAnsi="宋体"/>
          <w:szCs w:val="21"/>
          <w:highlight w:val="none"/>
        </w:rPr>
        <w:t>3.3.8.1水泥混凝土配合比通知单；</w:t>
      </w:r>
    </w:p>
    <w:p>
      <w:pPr>
        <w:spacing w:line="400" w:lineRule="exact"/>
        <w:ind w:firstLine="480" w:firstLineChars="200"/>
        <w:rPr>
          <w:rFonts w:ascii="宋体" w:hAnsi="宋体"/>
          <w:szCs w:val="21"/>
          <w:highlight w:val="none"/>
        </w:rPr>
      </w:pPr>
      <w:r>
        <w:rPr>
          <w:rFonts w:hint="eastAsia" w:ascii="宋体" w:hAnsi="宋体"/>
          <w:szCs w:val="21"/>
          <w:highlight w:val="none"/>
        </w:rPr>
        <w:t>3.3.8.2水泥混凝土中水泥出厂合格证；</w:t>
      </w:r>
    </w:p>
    <w:p>
      <w:pPr>
        <w:spacing w:line="400" w:lineRule="exact"/>
        <w:ind w:firstLine="480" w:firstLineChars="200"/>
        <w:rPr>
          <w:rFonts w:ascii="宋体" w:hAnsi="宋体"/>
          <w:szCs w:val="21"/>
          <w:highlight w:val="none"/>
        </w:rPr>
      </w:pPr>
      <w:r>
        <w:rPr>
          <w:rFonts w:hint="eastAsia" w:ascii="宋体" w:hAnsi="宋体"/>
          <w:szCs w:val="21"/>
          <w:highlight w:val="none"/>
        </w:rPr>
        <w:t>3.3.8.3水泥混凝土中水泥进场复试试验报告；</w:t>
      </w:r>
    </w:p>
    <w:p>
      <w:pPr>
        <w:spacing w:line="400" w:lineRule="exact"/>
        <w:ind w:firstLine="480" w:firstLineChars="200"/>
        <w:rPr>
          <w:rFonts w:ascii="宋体" w:hAnsi="宋体"/>
          <w:szCs w:val="21"/>
          <w:highlight w:val="none"/>
        </w:rPr>
      </w:pPr>
      <w:r>
        <w:rPr>
          <w:rFonts w:hint="eastAsia" w:ascii="宋体" w:hAnsi="宋体"/>
          <w:szCs w:val="21"/>
          <w:highlight w:val="none"/>
        </w:rPr>
        <w:t>3.3.8.4水泥混凝土砂试验报告；</w:t>
      </w:r>
    </w:p>
    <w:p>
      <w:pPr>
        <w:spacing w:line="400" w:lineRule="exact"/>
        <w:ind w:firstLine="480" w:firstLineChars="200"/>
        <w:rPr>
          <w:rFonts w:ascii="宋体" w:hAnsi="宋体"/>
          <w:szCs w:val="21"/>
          <w:highlight w:val="none"/>
        </w:rPr>
      </w:pPr>
      <w:r>
        <w:rPr>
          <w:rFonts w:hint="eastAsia" w:ascii="宋体" w:hAnsi="宋体"/>
          <w:szCs w:val="21"/>
          <w:highlight w:val="none"/>
        </w:rPr>
        <w:t>3.3.8.5水泥混凝土中卵(碎)石试验报告；</w:t>
      </w:r>
    </w:p>
    <w:p>
      <w:pPr>
        <w:spacing w:line="400" w:lineRule="exact"/>
        <w:ind w:firstLine="480" w:firstLineChars="200"/>
        <w:rPr>
          <w:rFonts w:ascii="宋体" w:hAnsi="宋体"/>
          <w:szCs w:val="21"/>
          <w:highlight w:val="none"/>
        </w:rPr>
      </w:pPr>
      <w:r>
        <w:rPr>
          <w:rFonts w:hint="eastAsia" w:ascii="宋体" w:hAnsi="宋体"/>
          <w:szCs w:val="21"/>
          <w:highlight w:val="none"/>
        </w:rPr>
        <w:t>3.3.8.6水泥混凝土中外加剂出厂质量证明、使用说明；</w:t>
      </w:r>
    </w:p>
    <w:p>
      <w:pPr>
        <w:spacing w:line="400" w:lineRule="exact"/>
        <w:ind w:firstLine="480" w:firstLineChars="200"/>
        <w:rPr>
          <w:rFonts w:ascii="宋体" w:hAnsi="宋体"/>
          <w:szCs w:val="21"/>
          <w:highlight w:val="none"/>
        </w:rPr>
      </w:pPr>
      <w:r>
        <w:rPr>
          <w:rFonts w:hint="eastAsia" w:ascii="宋体" w:hAnsi="宋体"/>
          <w:szCs w:val="21"/>
          <w:highlight w:val="none"/>
        </w:rPr>
        <w:t>3.3.8.7水泥混凝土中外加剂进场复试报告；</w:t>
      </w:r>
    </w:p>
    <w:p>
      <w:pPr>
        <w:spacing w:line="400" w:lineRule="exact"/>
        <w:ind w:firstLine="480" w:firstLineChars="200"/>
        <w:rPr>
          <w:rFonts w:ascii="宋体" w:hAnsi="宋体"/>
          <w:szCs w:val="21"/>
          <w:highlight w:val="none"/>
        </w:rPr>
      </w:pPr>
      <w:r>
        <w:rPr>
          <w:rFonts w:hint="eastAsia" w:ascii="宋体" w:hAnsi="宋体"/>
          <w:szCs w:val="21"/>
          <w:highlight w:val="none"/>
        </w:rPr>
        <w:t>3.3.8.8水泥混凝土中掺和料出厂质量证明；</w:t>
      </w:r>
    </w:p>
    <w:p>
      <w:pPr>
        <w:spacing w:line="400" w:lineRule="exact"/>
        <w:ind w:firstLine="480" w:firstLineChars="200"/>
        <w:rPr>
          <w:rFonts w:ascii="宋体" w:hAnsi="宋体"/>
          <w:szCs w:val="21"/>
          <w:highlight w:val="none"/>
        </w:rPr>
      </w:pPr>
      <w:r>
        <w:rPr>
          <w:rFonts w:hint="eastAsia" w:ascii="宋体" w:hAnsi="宋体"/>
          <w:szCs w:val="21"/>
          <w:highlight w:val="none"/>
        </w:rPr>
        <w:t>3.3.8.9水泥混凝土中掺和料进场复试报告；</w:t>
      </w:r>
    </w:p>
    <w:p>
      <w:pPr>
        <w:spacing w:line="400" w:lineRule="exact"/>
        <w:ind w:firstLine="480" w:firstLineChars="200"/>
        <w:rPr>
          <w:rFonts w:ascii="宋体" w:hAnsi="宋体"/>
          <w:szCs w:val="21"/>
          <w:highlight w:val="none"/>
        </w:rPr>
      </w:pPr>
      <w:r>
        <w:rPr>
          <w:rFonts w:hint="eastAsia" w:ascii="宋体" w:hAnsi="宋体"/>
          <w:szCs w:val="21"/>
          <w:highlight w:val="none"/>
        </w:rPr>
        <w:t>3.3.8.10水泥混凝土中原材料的碱含量试验报告；</w:t>
      </w:r>
    </w:p>
    <w:p>
      <w:pPr>
        <w:spacing w:line="400" w:lineRule="exact"/>
        <w:ind w:firstLine="480" w:firstLineChars="200"/>
        <w:rPr>
          <w:rFonts w:ascii="宋体" w:hAnsi="宋体"/>
          <w:szCs w:val="21"/>
          <w:highlight w:val="none"/>
        </w:rPr>
      </w:pPr>
      <w:r>
        <w:rPr>
          <w:rFonts w:hint="eastAsia" w:ascii="宋体" w:hAnsi="宋体"/>
          <w:szCs w:val="21"/>
          <w:highlight w:val="none"/>
        </w:rPr>
        <w:t>3.3.8.11水泥混凝土中混凝土外加剂碱含量及氯离子含量试验报告；</w:t>
      </w:r>
    </w:p>
    <w:p>
      <w:pPr>
        <w:spacing w:line="400" w:lineRule="exact"/>
        <w:ind w:firstLine="480" w:firstLineChars="200"/>
        <w:rPr>
          <w:rFonts w:ascii="宋体" w:hAnsi="宋体"/>
          <w:szCs w:val="21"/>
          <w:highlight w:val="none"/>
        </w:rPr>
      </w:pPr>
      <w:r>
        <w:rPr>
          <w:rFonts w:hint="eastAsia" w:ascii="宋体" w:hAnsi="宋体"/>
          <w:szCs w:val="21"/>
          <w:highlight w:val="none"/>
        </w:rPr>
        <w:t>3.3.8.12水泥混凝土运输单；</w:t>
      </w:r>
    </w:p>
    <w:p>
      <w:pPr>
        <w:spacing w:line="400" w:lineRule="exact"/>
        <w:ind w:firstLine="480" w:firstLineChars="200"/>
        <w:rPr>
          <w:rFonts w:ascii="宋体" w:hAnsi="宋体"/>
          <w:szCs w:val="21"/>
          <w:highlight w:val="none"/>
        </w:rPr>
      </w:pPr>
      <w:r>
        <w:rPr>
          <w:rFonts w:hint="eastAsia" w:ascii="宋体" w:hAnsi="宋体"/>
          <w:szCs w:val="21"/>
          <w:highlight w:val="none"/>
        </w:rPr>
        <w:t>3.3.8.13其他甲方要求的资料；</w:t>
      </w:r>
    </w:p>
    <w:p>
      <w:pPr>
        <w:spacing w:line="400" w:lineRule="exact"/>
        <w:ind w:firstLine="480" w:firstLineChars="200"/>
        <w:rPr>
          <w:rFonts w:ascii="宋体" w:hAnsi="宋体"/>
          <w:szCs w:val="21"/>
          <w:highlight w:val="none"/>
        </w:rPr>
      </w:pPr>
      <w:r>
        <w:rPr>
          <w:rFonts w:hint="eastAsia" w:ascii="宋体" w:hAnsi="宋体"/>
          <w:szCs w:val="21"/>
          <w:highlight w:val="none"/>
        </w:rPr>
        <w:t>3.3.8.14其它乙方认为须提供的资料；</w:t>
      </w:r>
    </w:p>
    <w:p>
      <w:pPr>
        <w:spacing w:line="400" w:lineRule="exact"/>
        <w:ind w:firstLine="480" w:firstLineChars="200"/>
        <w:rPr>
          <w:rFonts w:ascii="宋体" w:hAnsi="宋体"/>
          <w:szCs w:val="21"/>
          <w:highlight w:val="none"/>
        </w:rPr>
      </w:pPr>
      <w:r>
        <w:rPr>
          <w:rFonts w:hint="eastAsia" w:ascii="宋体" w:hAnsi="宋体"/>
          <w:szCs w:val="21"/>
          <w:highlight w:val="none"/>
        </w:rPr>
        <w:t>3.3.9.混凝土浇注后30日之内应提供的资料:</w:t>
      </w:r>
    </w:p>
    <w:p>
      <w:pPr>
        <w:spacing w:line="400" w:lineRule="exact"/>
        <w:ind w:firstLine="480" w:firstLineChars="200"/>
        <w:rPr>
          <w:rFonts w:ascii="宋体" w:hAnsi="宋体"/>
          <w:szCs w:val="21"/>
          <w:highlight w:val="none"/>
        </w:rPr>
      </w:pPr>
      <w:r>
        <w:rPr>
          <w:rFonts w:hint="eastAsia" w:ascii="宋体" w:hAnsi="宋体"/>
          <w:szCs w:val="21"/>
          <w:highlight w:val="none"/>
        </w:rPr>
        <w:t>3.3.9.1水泥混凝土中水泥材质证明28天强度补报单；</w:t>
      </w:r>
    </w:p>
    <w:p>
      <w:pPr>
        <w:spacing w:line="400" w:lineRule="exact"/>
        <w:ind w:firstLine="480" w:firstLineChars="200"/>
        <w:rPr>
          <w:rFonts w:ascii="宋体" w:hAnsi="宋体"/>
          <w:szCs w:val="21"/>
          <w:highlight w:val="none"/>
        </w:rPr>
      </w:pPr>
      <w:r>
        <w:rPr>
          <w:rFonts w:hint="eastAsia" w:ascii="宋体" w:hAnsi="宋体"/>
          <w:szCs w:val="21"/>
          <w:highlight w:val="none"/>
        </w:rPr>
        <w:t>3.3.9.2水泥混凝土出厂合格证；</w:t>
      </w:r>
    </w:p>
    <w:p>
      <w:pPr>
        <w:spacing w:line="400" w:lineRule="exact"/>
        <w:ind w:firstLine="480" w:firstLineChars="200"/>
        <w:rPr>
          <w:rFonts w:ascii="宋体" w:hAnsi="宋体"/>
          <w:szCs w:val="21"/>
          <w:highlight w:val="none"/>
        </w:rPr>
      </w:pPr>
      <w:r>
        <w:rPr>
          <w:rFonts w:hint="eastAsia" w:ascii="宋体" w:hAnsi="宋体"/>
          <w:szCs w:val="21"/>
          <w:highlight w:val="none"/>
        </w:rPr>
        <w:t>3.3.9.3水泥混凝土出厂检验强度试验报告；</w:t>
      </w:r>
    </w:p>
    <w:p>
      <w:pPr>
        <w:spacing w:line="400" w:lineRule="exact"/>
        <w:ind w:firstLine="480" w:firstLineChars="200"/>
        <w:rPr>
          <w:rFonts w:ascii="宋体" w:hAnsi="宋体"/>
          <w:szCs w:val="21"/>
          <w:highlight w:val="none"/>
        </w:rPr>
      </w:pPr>
      <w:r>
        <w:rPr>
          <w:rFonts w:hint="eastAsia" w:ascii="宋体" w:hAnsi="宋体"/>
          <w:szCs w:val="21"/>
          <w:highlight w:val="none"/>
        </w:rPr>
        <w:t xml:space="preserve">3.3.9.4其他甲方要求的资料。 </w:t>
      </w:r>
    </w:p>
    <w:p>
      <w:pPr>
        <w:spacing w:line="400" w:lineRule="exact"/>
        <w:ind w:firstLine="480" w:firstLineChars="200"/>
        <w:rPr>
          <w:rFonts w:ascii="宋体" w:hAnsi="宋体"/>
          <w:color w:val="000000" w:themeColor="text1"/>
          <w:szCs w:val="21"/>
          <w:highlight w:val="none"/>
        </w:rPr>
      </w:pPr>
      <w:r>
        <w:rPr>
          <w:rFonts w:hint="eastAsia" w:ascii="宋体" w:hAnsi="宋体"/>
          <w:szCs w:val="21"/>
          <w:highlight w:val="none"/>
        </w:rPr>
        <w:t>乙方对质量负责的条件和期限：甲方在进行质量检验过程中，发现不符合标准要求的，乙方必须立即将不合格产品无条件清理出场并予以退换，由此造成的一切损失由乙方负担。</w:t>
      </w:r>
    </w:p>
    <w:p>
      <w:pPr>
        <w:spacing w:line="400" w:lineRule="exact"/>
        <w:ind w:firstLine="482" w:firstLineChars="200"/>
        <w:rPr>
          <w:rFonts w:ascii="宋体" w:hAnsi="宋体"/>
          <w:b/>
          <w:szCs w:val="21"/>
          <w:highlight w:val="none"/>
        </w:rPr>
      </w:pPr>
      <w:r>
        <w:rPr>
          <w:rFonts w:ascii="宋体" w:hAnsi="宋体"/>
          <w:b/>
          <w:szCs w:val="21"/>
          <w:highlight w:val="none"/>
        </w:rPr>
        <w:t>4.</w:t>
      </w:r>
      <w:r>
        <w:rPr>
          <w:rFonts w:hint="eastAsia" w:ascii="宋体" w:hAnsi="宋体"/>
          <w:b/>
          <w:szCs w:val="21"/>
          <w:highlight w:val="none"/>
        </w:rPr>
        <w:t>物资计量验收方式</w:t>
      </w:r>
    </w:p>
    <w:p>
      <w:pPr>
        <w:spacing w:line="400" w:lineRule="exact"/>
        <w:ind w:firstLine="480" w:firstLineChars="200"/>
        <w:rPr>
          <w:rFonts w:ascii="宋体" w:hAnsi="宋体"/>
          <w:color w:val="000000" w:themeColor="text1"/>
          <w:szCs w:val="21"/>
          <w:highlight w:val="none"/>
        </w:rPr>
      </w:pPr>
      <w:r>
        <w:rPr>
          <w:rFonts w:hint="eastAsia" w:ascii="宋体" w:hAnsi="宋体"/>
          <w:color w:val="000000" w:themeColor="text1"/>
          <w:szCs w:val="21"/>
          <w:highlight w:val="none"/>
        </w:rPr>
        <w:t>4.1见通用合同条款。</w:t>
      </w:r>
    </w:p>
    <w:p>
      <w:pPr>
        <w:spacing w:line="400" w:lineRule="exact"/>
        <w:ind w:firstLine="480" w:firstLineChars="200"/>
        <w:rPr>
          <w:rFonts w:ascii="宋体" w:hAnsi="宋体"/>
          <w:color w:val="000000" w:themeColor="text1"/>
          <w:szCs w:val="21"/>
          <w:highlight w:val="none"/>
        </w:rPr>
      </w:pPr>
      <w:r>
        <w:rPr>
          <w:rFonts w:hint="eastAsia" w:ascii="宋体" w:hAnsi="宋体"/>
          <w:color w:val="000000" w:themeColor="text1"/>
          <w:szCs w:val="21"/>
          <w:highlight w:val="none"/>
        </w:rPr>
        <w:t>4.2物资验收方式。</w:t>
      </w:r>
    </w:p>
    <w:p>
      <w:pPr>
        <w:spacing w:line="400" w:lineRule="exact"/>
        <w:ind w:firstLine="480" w:firstLineChars="200"/>
        <w:rPr>
          <w:rFonts w:ascii="宋体" w:hAnsi="宋体"/>
          <w:color w:val="000000" w:themeColor="text1"/>
          <w:szCs w:val="21"/>
          <w:highlight w:val="none"/>
        </w:rPr>
      </w:pPr>
      <w:r>
        <w:rPr>
          <w:rFonts w:hint="eastAsia" w:ascii="宋体" w:hAnsi="宋体"/>
          <w:color w:val="000000" w:themeColor="text1"/>
          <w:szCs w:val="21"/>
          <w:highlight w:val="none"/>
        </w:rPr>
        <w:t>按现场实际使用情况和质量检测情况结合商品混凝土发货单对混凝土数量进行计量。甲方可随机对进场混凝土进行过磅称重，如实际重量不足，低于理论重量的2%，本批次混凝土将按此抽检结果进行计算核定。计量单位为“立方米”</w:t>
      </w:r>
    </w:p>
    <w:p>
      <w:pPr>
        <w:spacing w:line="400" w:lineRule="exact"/>
        <w:ind w:firstLine="482" w:firstLineChars="200"/>
        <w:rPr>
          <w:rFonts w:ascii="宋体" w:hAnsi="宋体"/>
          <w:b/>
          <w:szCs w:val="21"/>
          <w:highlight w:val="none"/>
        </w:rPr>
      </w:pPr>
      <w:r>
        <w:rPr>
          <w:rFonts w:ascii="宋体" w:hAnsi="宋体"/>
          <w:b/>
          <w:szCs w:val="21"/>
          <w:highlight w:val="none"/>
        </w:rPr>
        <w:t>5.</w:t>
      </w:r>
      <w:r>
        <w:rPr>
          <w:rFonts w:hint="eastAsia" w:ascii="宋体" w:hAnsi="宋体"/>
          <w:b/>
          <w:szCs w:val="21"/>
          <w:highlight w:val="none"/>
        </w:rPr>
        <w:t>包装、运输、卸货</w:t>
      </w:r>
    </w:p>
    <w:p>
      <w:pPr>
        <w:spacing w:line="400" w:lineRule="exact"/>
        <w:ind w:firstLine="480" w:firstLineChars="200"/>
        <w:rPr>
          <w:rFonts w:ascii="宋体" w:hAnsi="宋体"/>
          <w:color w:val="C0C0C0"/>
          <w:szCs w:val="21"/>
          <w:highlight w:val="none"/>
          <w:u w:val="single"/>
        </w:rPr>
      </w:pPr>
      <w:r>
        <w:rPr>
          <w:rFonts w:hint="eastAsia" w:ascii="宋体" w:hAnsi="宋体"/>
          <w:szCs w:val="21"/>
          <w:highlight w:val="none"/>
          <w:u w:val="single"/>
        </w:rPr>
        <w:t>见通用合同条款。</w:t>
      </w:r>
    </w:p>
    <w:p>
      <w:pPr>
        <w:tabs>
          <w:tab w:val="left" w:pos="765"/>
        </w:tabs>
        <w:spacing w:line="400" w:lineRule="exact"/>
        <w:ind w:firstLine="482" w:firstLineChars="200"/>
        <w:jc w:val="left"/>
        <w:rPr>
          <w:rFonts w:ascii="宋体"/>
          <w:b/>
          <w:szCs w:val="21"/>
          <w:highlight w:val="none"/>
        </w:rPr>
      </w:pPr>
      <w:r>
        <w:rPr>
          <w:rFonts w:ascii="宋体" w:hAnsi="宋体"/>
          <w:b/>
          <w:szCs w:val="21"/>
          <w:highlight w:val="none"/>
        </w:rPr>
        <w:t>6</w:t>
      </w:r>
      <w:r>
        <w:rPr>
          <w:rFonts w:hint="eastAsia" w:ascii="宋体" w:hAnsi="宋体"/>
          <w:b/>
          <w:szCs w:val="21"/>
          <w:highlight w:val="none"/>
        </w:rPr>
        <w:t>．环境﹑安全保护原则</w:t>
      </w:r>
    </w:p>
    <w:p>
      <w:pPr>
        <w:spacing w:line="400" w:lineRule="exact"/>
        <w:ind w:firstLine="480" w:firstLineChars="200"/>
        <w:rPr>
          <w:rFonts w:ascii="宋体" w:hAnsi="宋体"/>
          <w:color w:val="C0C0C0"/>
          <w:szCs w:val="21"/>
          <w:highlight w:val="none"/>
          <w:u w:val="single"/>
        </w:rPr>
      </w:pPr>
      <w:r>
        <w:rPr>
          <w:rFonts w:hint="eastAsia" w:ascii="宋体" w:hAnsi="宋体"/>
          <w:szCs w:val="21"/>
          <w:highlight w:val="none"/>
          <w:u w:val="single"/>
        </w:rPr>
        <w:t>见通用合同条款。</w:t>
      </w:r>
    </w:p>
    <w:p>
      <w:pPr>
        <w:spacing w:line="400" w:lineRule="exact"/>
        <w:ind w:firstLine="482" w:firstLineChars="200"/>
        <w:rPr>
          <w:rFonts w:ascii="宋体" w:hAnsi="宋体"/>
          <w:b/>
          <w:szCs w:val="21"/>
          <w:highlight w:val="none"/>
        </w:rPr>
      </w:pPr>
      <w:r>
        <w:rPr>
          <w:rFonts w:ascii="宋体" w:hAnsi="宋体"/>
          <w:b/>
          <w:szCs w:val="21"/>
          <w:highlight w:val="none"/>
        </w:rPr>
        <w:t>7.</w:t>
      </w:r>
      <w:r>
        <w:rPr>
          <w:rFonts w:hint="eastAsia" w:ascii="宋体" w:hAnsi="宋体"/>
          <w:b/>
          <w:szCs w:val="21"/>
          <w:highlight w:val="none"/>
        </w:rPr>
        <w:t>甲方的责任和义务</w:t>
      </w:r>
    </w:p>
    <w:p>
      <w:pPr>
        <w:spacing w:line="400" w:lineRule="exact"/>
        <w:ind w:firstLine="480" w:firstLineChars="200"/>
        <w:rPr>
          <w:rFonts w:ascii="宋体" w:hAnsi="宋体"/>
          <w:color w:val="C0C0C0"/>
          <w:szCs w:val="21"/>
          <w:highlight w:val="none"/>
          <w:u w:val="single"/>
        </w:rPr>
      </w:pPr>
      <w:r>
        <w:rPr>
          <w:rFonts w:hint="eastAsia" w:ascii="宋体" w:hAnsi="宋体"/>
          <w:szCs w:val="21"/>
          <w:highlight w:val="none"/>
          <w:u w:val="single"/>
        </w:rPr>
        <w:t>见通用合同条款。</w:t>
      </w:r>
    </w:p>
    <w:p>
      <w:pPr>
        <w:tabs>
          <w:tab w:val="left" w:pos="765"/>
        </w:tabs>
        <w:spacing w:line="400" w:lineRule="exact"/>
        <w:ind w:firstLine="482" w:firstLineChars="200"/>
        <w:jc w:val="left"/>
        <w:rPr>
          <w:rFonts w:ascii="宋体" w:hAnsi="宋体"/>
          <w:b/>
          <w:szCs w:val="21"/>
          <w:highlight w:val="none"/>
        </w:rPr>
      </w:pPr>
      <w:r>
        <w:rPr>
          <w:rFonts w:ascii="宋体" w:hAnsi="宋体"/>
          <w:b/>
          <w:szCs w:val="21"/>
          <w:highlight w:val="none"/>
        </w:rPr>
        <w:t>8.</w:t>
      </w:r>
      <w:r>
        <w:rPr>
          <w:rFonts w:hint="eastAsia" w:ascii="宋体" w:hAnsi="宋体"/>
          <w:b/>
          <w:szCs w:val="21"/>
          <w:highlight w:val="none"/>
        </w:rPr>
        <w:t>乙方的责任和义务</w:t>
      </w:r>
    </w:p>
    <w:p>
      <w:pPr>
        <w:spacing w:line="40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p>
    <w:p>
      <w:pPr>
        <w:spacing w:line="400" w:lineRule="exact"/>
        <w:ind w:firstLine="482" w:firstLineChars="200"/>
        <w:rPr>
          <w:rFonts w:ascii="宋体" w:hAnsi="宋体"/>
          <w:b/>
          <w:szCs w:val="21"/>
          <w:highlight w:val="none"/>
        </w:rPr>
      </w:pPr>
      <w:r>
        <w:rPr>
          <w:rFonts w:ascii="宋体" w:hAnsi="宋体"/>
          <w:b/>
          <w:szCs w:val="21"/>
          <w:highlight w:val="none"/>
        </w:rPr>
        <w:t>9.</w:t>
      </w:r>
      <w:r>
        <w:rPr>
          <w:rFonts w:hint="eastAsia" w:ascii="宋体" w:hAnsi="宋体"/>
          <w:b/>
          <w:szCs w:val="21"/>
          <w:highlight w:val="none"/>
        </w:rPr>
        <w:t>违约责任</w:t>
      </w:r>
    </w:p>
    <w:p>
      <w:pPr>
        <w:spacing w:line="400" w:lineRule="exact"/>
        <w:ind w:firstLine="480" w:firstLineChars="200"/>
        <w:rPr>
          <w:rFonts w:ascii="宋体" w:hAnsi="宋体"/>
          <w:color w:val="C0C0C0"/>
          <w:szCs w:val="21"/>
          <w:highlight w:val="none"/>
          <w:u w:val="single"/>
        </w:rPr>
      </w:pPr>
      <w:r>
        <w:rPr>
          <w:rFonts w:hint="eastAsia" w:ascii="宋体" w:hAnsi="宋体"/>
          <w:szCs w:val="21"/>
          <w:highlight w:val="none"/>
          <w:u w:val="single"/>
        </w:rPr>
        <w:t>见通用合同条款。</w:t>
      </w:r>
    </w:p>
    <w:p>
      <w:pPr>
        <w:spacing w:line="400" w:lineRule="exact"/>
        <w:ind w:firstLine="482" w:firstLineChars="200"/>
        <w:jc w:val="left"/>
        <w:rPr>
          <w:rFonts w:ascii="宋体" w:hAnsi="宋体"/>
          <w:b/>
          <w:szCs w:val="21"/>
          <w:highlight w:val="none"/>
        </w:rPr>
      </w:pPr>
      <w:r>
        <w:rPr>
          <w:rFonts w:hint="eastAsia" w:ascii="宋体" w:hAnsi="宋体"/>
          <w:b/>
          <w:szCs w:val="21"/>
          <w:highlight w:val="none"/>
        </w:rPr>
        <w:t>1</w:t>
      </w:r>
      <w:r>
        <w:rPr>
          <w:rFonts w:ascii="宋体" w:hAnsi="宋体"/>
          <w:b/>
          <w:szCs w:val="21"/>
          <w:highlight w:val="none"/>
        </w:rPr>
        <w:t>0.</w:t>
      </w:r>
      <w:r>
        <w:rPr>
          <w:rFonts w:hint="eastAsia" w:ascii="宋体" w:hAnsi="宋体"/>
          <w:b/>
          <w:szCs w:val="21"/>
          <w:highlight w:val="none"/>
        </w:rPr>
        <w:t>通知</w:t>
      </w:r>
    </w:p>
    <w:p>
      <w:pPr>
        <w:spacing w:line="400" w:lineRule="exact"/>
        <w:ind w:firstLine="480" w:firstLineChars="200"/>
        <w:rPr>
          <w:rFonts w:ascii="宋体" w:hAnsi="宋体"/>
          <w:color w:val="C0C0C0"/>
          <w:szCs w:val="21"/>
          <w:highlight w:val="none"/>
          <w:u w:val="single"/>
        </w:rPr>
      </w:pPr>
      <w:r>
        <w:rPr>
          <w:rFonts w:hint="eastAsia" w:ascii="宋体" w:hAnsi="宋体"/>
          <w:szCs w:val="21"/>
          <w:highlight w:val="none"/>
          <w:u w:val="single"/>
        </w:rPr>
        <w:t>见通用合同条款。</w:t>
      </w:r>
    </w:p>
    <w:p>
      <w:pPr>
        <w:spacing w:line="400" w:lineRule="exact"/>
        <w:ind w:firstLine="482" w:firstLineChars="200"/>
        <w:jc w:val="left"/>
        <w:rPr>
          <w:rFonts w:ascii="宋体" w:hAnsi="宋体"/>
          <w:b/>
          <w:szCs w:val="21"/>
          <w:highlight w:val="none"/>
        </w:rPr>
      </w:pPr>
      <w:r>
        <w:rPr>
          <w:rFonts w:hint="eastAsia" w:ascii="宋体" w:hAnsi="宋体"/>
          <w:b/>
          <w:szCs w:val="21"/>
          <w:highlight w:val="none"/>
        </w:rPr>
        <w:t>1</w:t>
      </w:r>
      <w:r>
        <w:rPr>
          <w:rFonts w:ascii="宋体" w:hAnsi="宋体"/>
          <w:b/>
          <w:szCs w:val="21"/>
          <w:highlight w:val="none"/>
        </w:rPr>
        <w:t>1.</w:t>
      </w:r>
      <w:r>
        <w:rPr>
          <w:rFonts w:hint="eastAsia" w:ascii="宋体" w:hAnsi="宋体"/>
          <w:b/>
          <w:szCs w:val="21"/>
          <w:highlight w:val="none"/>
        </w:rPr>
        <w:t>争议的处理</w:t>
      </w:r>
    </w:p>
    <w:p>
      <w:pPr>
        <w:spacing w:line="400" w:lineRule="exact"/>
        <w:ind w:firstLine="480" w:firstLineChars="200"/>
        <w:rPr>
          <w:rFonts w:ascii="宋体" w:hAnsi="宋体"/>
          <w:color w:val="C0C0C0"/>
          <w:szCs w:val="21"/>
          <w:highlight w:val="none"/>
          <w:u w:val="single"/>
        </w:rPr>
      </w:pPr>
      <w:r>
        <w:rPr>
          <w:rFonts w:hint="eastAsia" w:ascii="宋体" w:hAnsi="宋体"/>
          <w:szCs w:val="21"/>
          <w:highlight w:val="none"/>
          <w:u w:val="single"/>
        </w:rPr>
        <w:t>见通用合同条款。</w:t>
      </w:r>
    </w:p>
    <w:p>
      <w:pPr>
        <w:tabs>
          <w:tab w:val="left" w:pos="810"/>
        </w:tabs>
        <w:spacing w:line="400" w:lineRule="exact"/>
        <w:ind w:firstLine="482" w:firstLineChars="200"/>
        <w:jc w:val="left"/>
        <w:rPr>
          <w:rFonts w:ascii="宋体" w:hAnsi="宋体"/>
          <w:b/>
          <w:szCs w:val="21"/>
          <w:highlight w:val="none"/>
        </w:rPr>
      </w:pPr>
      <w:r>
        <w:rPr>
          <w:rFonts w:hint="eastAsia" w:ascii="宋体" w:hAnsi="宋体"/>
          <w:b/>
          <w:szCs w:val="21"/>
          <w:highlight w:val="none"/>
        </w:rPr>
        <w:t>1</w:t>
      </w:r>
      <w:r>
        <w:rPr>
          <w:rFonts w:ascii="宋体" w:hAnsi="宋体"/>
          <w:b/>
          <w:szCs w:val="21"/>
          <w:highlight w:val="none"/>
        </w:rPr>
        <w:t>2.</w:t>
      </w:r>
      <w:r>
        <w:rPr>
          <w:rFonts w:hint="eastAsia" w:ascii="宋体" w:hAnsi="宋体"/>
          <w:b/>
          <w:szCs w:val="21"/>
          <w:highlight w:val="none"/>
        </w:rPr>
        <w:t xml:space="preserve">不可抗力 </w:t>
      </w:r>
    </w:p>
    <w:p>
      <w:pPr>
        <w:spacing w:line="400" w:lineRule="exact"/>
        <w:ind w:firstLine="480" w:firstLineChars="200"/>
        <w:rPr>
          <w:rFonts w:ascii="宋体" w:hAnsi="宋体"/>
          <w:color w:val="C0C0C0"/>
          <w:szCs w:val="21"/>
          <w:highlight w:val="none"/>
          <w:u w:val="single"/>
        </w:rPr>
      </w:pPr>
      <w:r>
        <w:rPr>
          <w:rFonts w:hint="eastAsia" w:ascii="宋体" w:hAnsi="宋体"/>
          <w:szCs w:val="21"/>
          <w:highlight w:val="none"/>
          <w:u w:val="single"/>
        </w:rPr>
        <w:t>见通用合同条款。</w:t>
      </w:r>
    </w:p>
    <w:p>
      <w:pPr>
        <w:spacing w:line="400" w:lineRule="exact"/>
        <w:ind w:firstLine="482" w:firstLineChars="200"/>
        <w:rPr>
          <w:rFonts w:ascii="宋体" w:hAnsi="宋体"/>
          <w:b/>
          <w:szCs w:val="21"/>
          <w:highlight w:val="none"/>
        </w:rPr>
      </w:pPr>
      <w:r>
        <w:rPr>
          <w:rFonts w:hint="eastAsia" w:ascii="宋体" w:hAnsi="宋体"/>
          <w:b/>
          <w:szCs w:val="21"/>
          <w:highlight w:val="none"/>
        </w:rPr>
        <w:t>1</w:t>
      </w:r>
      <w:r>
        <w:rPr>
          <w:rFonts w:ascii="宋体" w:hAnsi="宋体"/>
          <w:b/>
          <w:szCs w:val="21"/>
          <w:highlight w:val="none"/>
        </w:rPr>
        <w:t>3.</w:t>
      </w:r>
      <w:r>
        <w:rPr>
          <w:rFonts w:hint="eastAsia" w:ascii="宋体" w:hAnsi="宋体"/>
          <w:b/>
          <w:szCs w:val="21"/>
          <w:highlight w:val="none"/>
        </w:rPr>
        <w:t>其他约定事项</w:t>
      </w:r>
    </w:p>
    <w:p>
      <w:pPr>
        <w:spacing w:line="40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p>
    <w:p>
      <w:pPr>
        <w:spacing w:line="360" w:lineRule="exact"/>
        <w:ind w:firstLine="470" w:firstLineChars="195"/>
        <w:jc w:val="left"/>
        <w:rPr>
          <w:rFonts w:ascii="宋体" w:hAnsi="宋体"/>
          <w:b/>
          <w:szCs w:val="21"/>
          <w:highlight w:val="none"/>
        </w:rPr>
      </w:pPr>
      <w:r>
        <w:rPr>
          <w:rFonts w:ascii="宋体" w:hAnsi="宋体"/>
          <w:b/>
          <w:szCs w:val="21"/>
          <w:highlight w:val="none"/>
        </w:rPr>
        <w:t>14</w:t>
      </w:r>
      <w:r>
        <w:rPr>
          <w:rFonts w:hint="eastAsia" w:ascii="宋体" w:hAnsi="宋体"/>
          <w:b/>
          <w:szCs w:val="21"/>
          <w:highlight w:val="none"/>
        </w:rPr>
        <w:t>.附件</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cs="Times New Roman"/>
      </w:rPr>
    </w:pPr>
    <w:r>
      <w:fldChar w:fldCharType="begin"/>
    </w:r>
    <w:r>
      <w:rPr>
        <w:rStyle w:val="37"/>
        <w:rFonts w:cs="宋体"/>
      </w:rPr>
      <w:instrText xml:space="preserve"> PAGE </w:instrText>
    </w:r>
    <w:r>
      <w:fldChar w:fldCharType="separate"/>
    </w:r>
    <w:r>
      <w:rPr>
        <w:rStyle w:val="37"/>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4YTMzMWRiM2JkODFhODE1NjdkZjEwNGRhYWFmOD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75671"/>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0F8F"/>
    <w:rsid w:val="000E3358"/>
    <w:rsid w:val="000E3E4B"/>
    <w:rsid w:val="000E5A62"/>
    <w:rsid w:val="000E6AB2"/>
    <w:rsid w:val="000F2F00"/>
    <w:rsid w:val="000F32F1"/>
    <w:rsid w:val="001024CB"/>
    <w:rsid w:val="00102DFF"/>
    <w:rsid w:val="00103508"/>
    <w:rsid w:val="00103A8E"/>
    <w:rsid w:val="00104858"/>
    <w:rsid w:val="00104DC7"/>
    <w:rsid w:val="00113B93"/>
    <w:rsid w:val="00132C92"/>
    <w:rsid w:val="00133F88"/>
    <w:rsid w:val="00135A58"/>
    <w:rsid w:val="001373B4"/>
    <w:rsid w:val="00142D87"/>
    <w:rsid w:val="00144BDF"/>
    <w:rsid w:val="001460D4"/>
    <w:rsid w:val="00150C96"/>
    <w:rsid w:val="0015124A"/>
    <w:rsid w:val="00151B06"/>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26EB"/>
    <w:rsid w:val="001D41BE"/>
    <w:rsid w:val="001D5DF1"/>
    <w:rsid w:val="001E26F0"/>
    <w:rsid w:val="001E7D65"/>
    <w:rsid w:val="001F29B8"/>
    <w:rsid w:val="001F3E86"/>
    <w:rsid w:val="001F4E95"/>
    <w:rsid w:val="00201F63"/>
    <w:rsid w:val="00202FD5"/>
    <w:rsid w:val="002058D2"/>
    <w:rsid w:val="002068FC"/>
    <w:rsid w:val="002075DA"/>
    <w:rsid w:val="0022260F"/>
    <w:rsid w:val="0022277F"/>
    <w:rsid w:val="00223849"/>
    <w:rsid w:val="00232082"/>
    <w:rsid w:val="00234609"/>
    <w:rsid w:val="00236784"/>
    <w:rsid w:val="00237151"/>
    <w:rsid w:val="002401E5"/>
    <w:rsid w:val="0024632B"/>
    <w:rsid w:val="00252FBB"/>
    <w:rsid w:val="002572EE"/>
    <w:rsid w:val="00260000"/>
    <w:rsid w:val="002621AB"/>
    <w:rsid w:val="00267FDB"/>
    <w:rsid w:val="00270AC1"/>
    <w:rsid w:val="002723B2"/>
    <w:rsid w:val="0027422B"/>
    <w:rsid w:val="002755F4"/>
    <w:rsid w:val="002839BD"/>
    <w:rsid w:val="00283B65"/>
    <w:rsid w:val="00286944"/>
    <w:rsid w:val="00290E31"/>
    <w:rsid w:val="00295725"/>
    <w:rsid w:val="002A0E52"/>
    <w:rsid w:val="002A2BC6"/>
    <w:rsid w:val="002B0633"/>
    <w:rsid w:val="002B07D3"/>
    <w:rsid w:val="002B348A"/>
    <w:rsid w:val="002C053F"/>
    <w:rsid w:val="002C26A5"/>
    <w:rsid w:val="002C47B7"/>
    <w:rsid w:val="002C6655"/>
    <w:rsid w:val="002C7B0A"/>
    <w:rsid w:val="002D01CF"/>
    <w:rsid w:val="002D13E8"/>
    <w:rsid w:val="002D37F3"/>
    <w:rsid w:val="002D41F9"/>
    <w:rsid w:val="002D540E"/>
    <w:rsid w:val="002D6B37"/>
    <w:rsid w:val="002E0268"/>
    <w:rsid w:val="002E127D"/>
    <w:rsid w:val="002E5D2D"/>
    <w:rsid w:val="002E6AD4"/>
    <w:rsid w:val="002F23E6"/>
    <w:rsid w:val="002F422C"/>
    <w:rsid w:val="002F4256"/>
    <w:rsid w:val="002F51AD"/>
    <w:rsid w:val="002F5489"/>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271D5"/>
    <w:rsid w:val="004301DC"/>
    <w:rsid w:val="004313D7"/>
    <w:rsid w:val="00443CCD"/>
    <w:rsid w:val="004443E4"/>
    <w:rsid w:val="0045554D"/>
    <w:rsid w:val="0045689E"/>
    <w:rsid w:val="00456C80"/>
    <w:rsid w:val="00460D4B"/>
    <w:rsid w:val="004636A1"/>
    <w:rsid w:val="00475D0A"/>
    <w:rsid w:val="00475F5A"/>
    <w:rsid w:val="00480601"/>
    <w:rsid w:val="004A0199"/>
    <w:rsid w:val="004A1020"/>
    <w:rsid w:val="004A2E48"/>
    <w:rsid w:val="004A3BA3"/>
    <w:rsid w:val="004A7675"/>
    <w:rsid w:val="004A7A9E"/>
    <w:rsid w:val="004B0ED1"/>
    <w:rsid w:val="004B1A06"/>
    <w:rsid w:val="004B7419"/>
    <w:rsid w:val="004C4AFE"/>
    <w:rsid w:val="004D5A89"/>
    <w:rsid w:val="004E4113"/>
    <w:rsid w:val="004F20CD"/>
    <w:rsid w:val="004F6F2C"/>
    <w:rsid w:val="00501F13"/>
    <w:rsid w:val="0050580F"/>
    <w:rsid w:val="00511169"/>
    <w:rsid w:val="0051320C"/>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95CBE"/>
    <w:rsid w:val="007A0AFC"/>
    <w:rsid w:val="007A0B84"/>
    <w:rsid w:val="007B19C4"/>
    <w:rsid w:val="007B3AB9"/>
    <w:rsid w:val="007B3CA5"/>
    <w:rsid w:val="007B4274"/>
    <w:rsid w:val="007B75D2"/>
    <w:rsid w:val="007C3B73"/>
    <w:rsid w:val="007C752F"/>
    <w:rsid w:val="007D013D"/>
    <w:rsid w:val="007D132B"/>
    <w:rsid w:val="007D25F1"/>
    <w:rsid w:val="007D5478"/>
    <w:rsid w:val="007E494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55C6F"/>
    <w:rsid w:val="00866FD8"/>
    <w:rsid w:val="00867D58"/>
    <w:rsid w:val="00870FB6"/>
    <w:rsid w:val="00875EB6"/>
    <w:rsid w:val="00890DAD"/>
    <w:rsid w:val="008A0613"/>
    <w:rsid w:val="008A07C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04432"/>
    <w:rsid w:val="009103F6"/>
    <w:rsid w:val="00912983"/>
    <w:rsid w:val="00922A78"/>
    <w:rsid w:val="009231AD"/>
    <w:rsid w:val="0092410E"/>
    <w:rsid w:val="0093030C"/>
    <w:rsid w:val="00930AF6"/>
    <w:rsid w:val="00932ECD"/>
    <w:rsid w:val="00940296"/>
    <w:rsid w:val="00941390"/>
    <w:rsid w:val="00950AF2"/>
    <w:rsid w:val="009535F3"/>
    <w:rsid w:val="00953647"/>
    <w:rsid w:val="009545A4"/>
    <w:rsid w:val="00962D26"/>
    <w:rsid w:val="00962D43"/>
    <w:rsid w:val="00963AFA"/>
    <w:rsid w:val="00963ED4"/>
    <w:rsid w:val="00965D76"/>
    <w:rsid w:val="0096637C"/>
    <w:rsid w:val="009666F4"/>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19A6"/>
    <w:rsid w:val="009E6E7D"/>
    <w:rsid w:val="009F0AC9"/>
    <w:rsid w:val="009F1809"/>
    <w:rsid w:val="009F7A8F"/>
    <w:rsid w:val="009F7F7E"/>
    <w:rsid w:val="00A01456"/>
    <w:rsid w:val="00A01736"/>
    <w:rsid w:val="00A15D31"/>
    <w:rsid w:val="00A16332"/>
    <w:rsid w:val="00A207CB"/>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1AA6"/>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2FF9"/>
    <w:rsid w:val="00BC65FB"/>
    <w:rsid w:val="00BC7D3D"/>
    <w:rsid w:val="00BD2734"/>
    <w:rsid w:val="00BD4596"/>
    <w:rsid w:val="00BD673C"/>
    <w:rsid w:val="00BE2982"/>
    <w:rsid w:val="00BE6716"/>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60319"/>
    <w:rsid w:val="00D610E5"/>
    <w:rsid w:val="00D61EBC"/>
    <w:rsid w:val="00D744A4"/>
    <w:rsid w:val="00D7479D"/>
    <w:rsid w:val="00D75C8E"/>
    <w:rsid w:val="00D85DFC"/>
    <w:rsid w:val="00D87D9A"/>
    <w:rsid w:val="00D9255A"/>
    <w:rsid w:val="00D9282E"/>
    <w:rsid w:val="00D92F2C"/>
    <w:rsid w:val="00D94A7E"/>
    <w:rsid w:val="00DA0236"/>
    <w:rsid w:val="00DA2DC5"/>
    <w:rsid w:val="00DB37B9"/>
    <w:rsid w:val="00DB43B7"/>
    <w:rsid w:val="00DB44CB"/>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67A3C"/>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400"/>
    <w:rsid w:val="00EE5A0B"/>
    <w:rsid w:val="00EE5DA4"/>
    <w:rsid w:val="00EE7CA6"/>
    <w:rsid w:val="00EF0871"/>
    <w:rsid w:val="00EF1729"/>
    <w:rsid w:val="00EF3AC8"/>
    <w:rsid w:val="00EF650D"/>
    <w:rsid w:val="00F003CA"/>
    <w:rsid w:val="00F0286B"/>
    <w:rsid w:val="00F02894"/>
    <w:rsid w:val="00F11036"/>
    <w:rsid w:val="00F1134F"/>
    <w:rsid w:val="00F156C1"/>
    <w:rsid w:val="00F217A6"/>
    <w:rsid w:val="00F2219C"/>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753AF"/>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E025EA"/>
    <w:rsid w:val="06123B25"/>
    <w:rsid w:val="09077E63"/>
    <w:rsid w:val="11FF50D0"/>
    <w:rsid w:val="12F625F6"/>
    <w:rsid w:val="14B4624A"/>
    <w:rsid w:val="175635F8"/>
    <w:rsid w:val="18337D9E"/>
    <w:rsid w:val="192F0F26"/>
    <w:rsid w:val="23940C5C"/>
    <w:rsid w:val="46E2098A"/>
    <w:rsid w:val="52B47467"/>
    <w:rsid w:val="584F2D6B"/>
    <w:rsid w:val="650E589F"/>
    <w:rsid w:val="696857DB"/>
    <w:rsid w:val="72C07522"/>
    <w:rsid w:val="74CB389B"/>
    <w:rsid w:val="7C6B12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1"/>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2"/>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3"/>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4"/>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3"/>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2"/>
    <w:semiHidden/>
    <w:unhideWhenUsed/>
    <w:qFormat/>
    <w:uiPriority w:val="0"/>
    <w:pPr>
      <w:jc w:val="left"/>
    </w:pPr>
  </w:style>
  <w:style w:type="paragraph" w:styleId="11">
    <w:name w:val="Salutation"/>
    <w:basedOn w:val="1"/>
    <w:next w:val="1"/>
    <w:link w:val="55"/>
    <w:qFormat/>
    <w:uiPriority w:val="0"/>
    <w:rPr>
      <w:rFonts w:ascii="宋体" w:hAnsi="宋体" w:eastAsia="宋体" w:cs="宋体"/>
      <w:kern w:val="44"/>
      <w:sz w:val="32"/>
      <w:szCs w:val="32"/>
    </w:rPr>
  </w:style>
  <w:style w:type="paragraph" w:styleId="12">
    <w:name w:val="Body Text 3"/>
    <w:basedOn w:val="1"/>
    <w:link w:val="303"/>
    <w:semiHidden/>
    <w:unhideWhenUsed/>
    <w:qFormat/>
    <w:uiPriority w:val="99"/>
    <w:pPr>
      <w:spacing w:after="120"/>
    </w:pPr>
    <w:rPr>
      <w:sz w:val="16"/>
      <w:szCs w:val="16"/>
    </w:rPr>
  </w:style>
  <w:style w:type="paragraph" w:styleId="13">
    <w:name w:val="Body Text"/>
    <w:basedOn w:val="1"/>
    <w:link w:val="49"/>
    <w:qFormat/>
    <w:uiPriority w:val="0"/>
    <w:pPr>
      <w:spacing w:after="120"/>
    </w:pPr>
    <w:rPr>
      <w:rFonts w:ascii="宋体" w:hAnsi="宋体" w:eastAsia="宋体" w:cs="宋体"/>
      <w:kern w:val="44"/>
      <w:sz w:val="28"/>
      <w:szCs w:val="28"/>
    </w:rPr>
  </w:style>
  <w:style w:type="paragraph" w:styleId="14">
    <w:name w:val="Body Text Indent"/>
    <w:basedOn w:val="1"/>
    <w:link w:val="74"/>
    <w:uiPriority w:val="0"/>
    <w:pPr>
      <w:spacing w:after="120"/>
      <w:ind w:left="420" w:leftChars="200"/>
    </w:pPr>
    <w:rPr>
      <w:rFonts w:ascii="宋体" w:hAnsi="宋体" w:eastAsia="宋体" w:cs="宋体"/>
      <w:kern w:val="44"/>
      <w:sz w:val="28"/>
      <w:szCs w:val="28"/>
    </w:rPr>
  </w:style>
  <w:style w:type="paragraph" w:styleId="15">
    <w:name w:val="toc 5"/>
    <w:basedOn w:val="1"/>
    <w:next w:val="1"/>
    <w:qFormat/>
    <w:uiPriority w:val="0"/>
    <w:pPr>
      <w:ind w:left="1120"/>
      <w:jc w:val="left"/>
    </w:pPr>
    <w:rPr>
      <w:rFonts w:ascii="宋体" w:hAnsi="宋体" w:eastAsia="宋体" w:cs="宋体"/>
      <w:kern w:val="44"/>
      <w:sz w:val="18"/>
      <w:szCs w:val="18"/>
    </w:rPr>
  </w:style>
  <w:style w:type="paragraph" w:styleId="16">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7">
    <w:name w:val="Plain Text"/>
    <w:basedOn w:val="1"/>
    <w:link w:val="72"/>
    <w:qFormat/>
    <w:uiPriority w:val="0"/>
    <w:rPr>
      <w:rFonts w:ascii="宋体" w:hAnsi="Courier New" w:eastAsia="宋体" w:cs="宋体"/>
      <w:kern w:val="44"/>
      <w:sz w:val="21"/>
      <w:szCs w:val="21"/>
    </w:rPr>
  </w:style>
  <w:style w:type="paragraph" w:styleId="18">
    <w:name w:val="toc 8"/>
    <w:basedOn w:val="1"/>
    <w:next w:val="1"/>
    <w:qFormat/>
    <w:uiPriority w:val="0"/>
    <w:pPr>
      <w:ind w:left="1960"/>
      <w:jc w:val="left"/>
    </w:pPr>
    <w:rPr>
      <w:rFonts w:ascii="宋体" w:hAnsi="宋体" w:eastAsia="宋体" w:cs="宋体"/>
      <w:kern w:val="44"/>
      <w:sz w:val="18"/>
      <w:szCs w:val="18"/>
    </w:rPr>
  </w:style>
  <w:style w:type="paragraph" w:styleId="19">
    <w:name w:val="Date"/>
    <w:basedOn w:val="1"/>
    <w:next w:val="1"/>
    <w:link w:val="50"/>
    <w:qFormat/>
    <w:uiPriority w:val="0"/>
    <w:pPr>
      <w:ind w:left="100" w:leftChars="2500"/>
    </w:pPr>
    <w:rPr>
      <w:rFonts w:ascii="宋体" w:hAnsi="宋体" w:eastAsia="宋体" w:cs="宋体"/>
      <w:kern w:val="44"/>
      <w:sz w:val="28"/>
      <w:szCs w:val="28"/>
    </w:rPr>
  </w:style>
  <w:style w:type="paragraph" w:styleId="20">
    <w:name w:val="Body Text Indent 2"/>
    <w:basedOn w:val="1"/>
    <w:link w:val="58"/>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6"/>
    <w:semiHidden/>
    <w:qFormat/>
    <w:uiPriority w:val="0"/>
    <w:rPr>
      <w:rFonts w:ascii="宋体" w:hAnsi="宋体" w:eastAsia="宋体" w:cs="宋体"/>
      <w:kern w:val="44"/>
      <w:sz w:val="18"/>
      <w:szCs w:val="18"/>
    </w:rPr>
  </w:style>
  <w:style w:type="paragraph" w:styleId="22">
    <w:name w:val="footer"/>
    <w:basedOn w:val="1"/>
    <w:link w:val="46"/>
    <w:unhideWhenUsed/>
    <w:qFormat/>
    <w:uiPriority w:val="0"/>
    <w:pPr>
      <w:tabs>
        <w:tab w:val="center" w:pos="4153"/>
        <w:tab w:val="right" w:pos="8306"/>
      </w:tabs>
      <w:snapToGrid w:val="0"/>
      <w:jc w:val="left"/>
    </w:pPr>
    <w:rPr>
      <w:sz w:val="18"/>
      <w:szCs w:val="18"/>
    </w:rPr>
  </w:style>
  <w:style w:type="paragraph" w:styleId="23">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uiPriority w:val="0"/>
    <w:pPr>
      <w:ind w:left="840"/>
      <w:jc w:val="left"/>
    </w:pPr>
    <w:rPr>
      <w:rFonts w:ascii="宋体" w:hAnsi="宋体" w:eastAsia="宋体" w:cs="宋体"/>
      <w:kern w:val="44"/>
      <w:sz w:val="18"/>
      <w:szCs w:val="18"/>
    </w:rPr>
  </w:style>
  <w:style w:type="paragraph" w:styleId="26">
    <w:name w:val="toc 6"/>
    <w:basedOn w:val="1"/>
    <w:next w:val="1"/>
    <w:qFormat/>
    <w:uiPriority w:val="0"/>
    <w:pPr>
      <w:ind w:left="1400"/>
      <w:jc w:val="left"/>
    </w:pPr>
    <w:rPr>
      <w:rFonts w:ascii="宋体" w:hAnsi="宋体" w:eastAsia="宋体" w:cs="宋体"/>
      <w:kern w:val="44"/>
      <w:sz w:val="18"/>
      <w:szCs w:val="18"/>
    </w:rPr>
  </w:style>
  <w:style w:type="paragraph" w:styleId="27">
    <w:name w:val="Body Text Indent 3"/>
    <w:basedOn w:val="1"/>
    <w:link w:val="67"/>
    <w:uiPriority w:val="0"/>
    <w:pPr>
      <w:spacing w:after="120"/>
      <w:ind w:left="420" w:leftChars="200"/>
    </w:pPr>
    <w:rPr>
      <w:rFonts w:ascii="宋体" w:hAnsi="宋体" w:eastAsia="宋体" w:cs="宋体"/>
      <w:kern w:val="44"/>
      <w:sz w:val="16"/>
      <w:szCs w:val="16"/>
    </w:rPr>
  </w:style>
  <w:style w:type="paragraph" w:styleId="28">
    <w:name w:val="toc 2"/>
    <w:basedOn w:val="1"/>
    <w:next w:val="1"/>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qFormat/>
    <w:uiPriority w:val="0"/>
    <w:pPr>
      <w:ind w:left="2240"/>
      <w:jc w:val="left"/>
    </w:pPr>
    <w:rPr>
      <w:rFonts w:ascii="宋体" w:hAnsi="宋体" w:eastAsia="宋体" w:cs="宋体"/>
      <w:kern w:val="44"/>
      <w:sz w:val="18"/>
      <w:szCs w:val="18"/>
    </w:rPr>
  </w:style>
  <w:style w:type="paragraph" w:styleId="30">
    <w:name w:val="Normal (Web)"/>
    <w:basedOn w:val="1"/>
    <w:qFormat/>
    <w:uiPriority w:val="0"/>
    <w:pPr>
      <w:widowControl/>
      <w:spacing w:before="300" w:after="300"/>
      <w:jc w:val="left"/>
    </w:pPr>
    <w:rPr>
      <w:rFonts w:ascii="宋体" w:hAnsi="宋体" w:eastAsia="宋体" w:cs="宋体"/>
      <w:kern w:val="0"/>
    </w:rPr>
  </w:style>
  <w:style w:type="paragraph" w:styleId="31">
    <w:name w:val="Title"/>
    <w:basedOn w:val="1"/>
    <w:next w:val="1"/>
    <w:link w:val="305"/>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0"/>
    <w:next w:val="10"/>
    <w:link w:val="60"/>
    <w:semiHidden/>
    <w:uiPriority w:val="0"/>
    <w:rPr>
      <w:rFonts w:ascii="宋体" w:hAnsi="宋体" w:eastAsia="宋体" w:cs="宋体"/>
      <w:b/>
      <w:bCs/>
      <w:kern w:val="44"/>
      <w:sz w:val="28"/>
      <w:szCs w:val="28"/>
    </w:rPr>
  </w:style>
  <w:style w:type="paragraph" w:styleId="33">
    <w:name w:val="Body Text First Indent 2"/>
    <w:basedOn w:val="14"/>
    <w:link w:val="308"/>
    <w:unhideWhenUsed/>
    <w:uiPriority w:val="0"/>
    <w:pPr>
      <w:ind w:firstLine="420" w:firstLineChars="200"/>
    </w:pPr>
    <w:rPr>
      <w:rFonts w:ascii="Times New Roman" w:hAnsi="Times New Roman" w:cs="Times New Roman"/>
      <w:kern w:val="2"/>
      <w:sz w:val="21"/>
      <w:szCs w:val="22"/>
    </w:rPr>
  </w:style>
  <w:style w:type="character" w:styleId="36">
    <w:name w:val="Strong"/>
    <w:basedOn w:val="35"/>
    <w:qFormat/>
    <w:uiPriority w:val="0"/>
    <w:rPr>
      <w:rFonts w:cs="Times New Roman"/>
      <w:b/>
      <w:bCs/>
    </w:rPr>
  </w:style>
  <w:style w:type="character" w:styleId="37">
    <w:name w:val="page number"/>
    <w:basedOn w:val="35"/>
    <w:qFormat/>
    <w:uiPriority w:val="0"/>
    <w:rPr>
      <w:rFonts w:cs="Times New Roman"/>
    </w:rPr>
  </w:style>
  <w:style w:type="character" w:styleId="38">
    <w:name w:val="FollowedHyperlink"/>
    <w:basedOn w:val="35"/>
    <w:qFormat/>
    <w:uiPriority w:val="0"/>
    <w:rPr>
      <w:rFonts w:cs="Times New Roman"/>
      <w:color w:val="800080"/>
      <w:u w:val="single"/>
    </w:rPr>
  </w:style>
  <w:style w:type="character" w:styleId="39">
    <w:name w:val="Hyperlink"/>
    <w:basedOn w:val="35"/>
    <w:unhideWhenUsed/>
    <w:qFormat/>
    <w:uiPriority w:val="0"/>
    <w:rPr>
      <w:color w:val="0000FF" w:themeColor="hyperlink"/>
      <w:u w:val="single"/>
    </w:rPr>
  </w:style>
  <w:style w:type="character" w:customStyle="1" w:styleId="40">
    <w:name w:val="标题 1 字符"/>
    <w:basedOn w:val="35"/>
    <w:link w:val="2"/>
    <w:uiPriority w:val="0"/>
    <w:rPr>
      <w:rFonts w:ascii="宋体" w:hAnsi="宋体" w:eastAsia="宋体" w:cs="宋体"/>
      <w:b/>
      <w:bCs/>
      <w:kern w:val="44"/>
      <w:sz w:val="44"/>
      <w:szCs w:val="44"/>
    </w:rPr>
  </w:style>
  <w:style w:type="character" w:customStyle="1" w:styleId="41">
    <w:name w:val="标题 2 字符"/>
    <w:basedOn w:val="35"/>
    <w:link w:val="3"/>
    <w:uiPriority w:val="0"/>
    <w:rPr>
      <w:rFonts w:ascii="Arial" w:hAnsi="Arial" w:eastAsia="黑体" w:cs="Arial"/>
      <w:b/>
      <w:bCs/>
      <w:kern w:val="44"/>
      <w:sz w:val="32"/>
      <w:szCs w:val="32"/>
    </w:rPr>
  </w:style>
  <w:style w:type="character" w:customStyle="1" w:styleId="42">
    <w:name w:val="标题 3 字符"/>
    <w:basedOn w:val="35"/>
    <w:link w:val="4"/>
    <w:uiPriority w:val="0"/>
    <w:rPr>
      <w:rFonts w:ascii="宋体" w:hAnsi="宋体" w:eastAsia="宋体" w:cs="宋体"/>
      <w:b/>
      <w:bCs/>
      <w:kern w:val="44"/>
      <w:sz w:val="32"/>
      <w:szCs w:val="32"/>
    </w:rPr>
  </w:style>
  <w:style w:type="character" w:customStyle="1" w:styleId="43">
    <w:name w:val="标题 4 字符"/>
    <w:basedOn w:val="35"/>
    <w:link w:val="5"/>
    <w:uiPriority w:val="0"/>
    <w:rPr>
      <w:rFonts w:ascii="Arial" w:hAnsi="Arial" w:eastAsia="黑体" w:cs="Arial"/>
      <w:b/>
      <w:bCs/>
      <w:kern w:val="44"/>
      <w:sz w:val="28"/>
      <w:szCs w:val="28"/>
    </w:rPr>
  </w:style>
  <w:style w:type="character" w:customStyle="1" w:styleId="44">
    <w:name w:val="标题 9 字符"/>
    <w:basedOn w:val="35"/>
    <w:link w:val="6"/>
    <w:uiPriority w:val="0"/>
    <w:rPr>
      <w:rFonts w:ascii="Arial" w:hAnsi="Arial" w:eastAsia="黑体" w:cs="Arial"/>
      <w:kern w:val="44"/>
      <w:sz w:val="21"/>
      <w:szCs w:val="21"/>
    </w:rPr>
  </w:style>
  <w:style w:type="character" w:customStyle="1" w:styleId="45">
    <w:name w:val="页眉 字符"/>
    <w:basedOn w:val="35"/>
    <w:link w:val="23"/>
    <w:qFormat/>
    <w:uiPriority w:val="0"/>
    <w:rPr>
      <w:sz w:val="18"/>
      <w:szCs w:val="18"/>
    </w:rPr>
  </w:style>
  <w:style w:type="character" w:customStyle="1" w:styleId="46">
    <w:name w:val="页脚 字符"/>
    <w:basedOn w:val="35"/>
    <w:link w:val="22"/>
    <w:qFormat/>
    <w:uiPriority w:val="0"/>
    <w:rPr>
      <w:sz w:val="18"/>
      <w:szCs w:val="18"/>
    </w:rPr>
  </w:style>
  <w:style w:type="character" w:customStyle="1" w:styleId="47">
    <w:name w:val="Char Char11"/>
    <w:basedOn w:val="35"/>
    <w:qFormat/>
    <w:locked/>
    <w:uiPriority w:val="0"/>
    <w:rPr>
      <w:sz w:val="24"/>
      <w:szCs w:val="24"/>
      <w:lang w:bidi="ar-SA"/>
    </w:rPr>
  </w:style>
  <w:style w:type="paragraph" w:styleId="48">
    <w:name w:val="List Paragraph"/>
    <w:basedOn w:val="1"/>
    <w:qFormat/>
    <w:uiPriority w:val="34"/>
    <w:pPr>
      <w:ind w:firstLine="420" w:firstLineChars="200"/>
    </w:pPr>
  </w:style>
  <w:style w:type="character" w:customStyle="1" w:styleId="49">
    <w:name w:val="正文文本 字符"/>
    <w:basedOn w:val="35"/>
    <w:link w:val="13"/>
    <w:qFormat/>
    <w:locked/>
    <w:uiPriority w:val="0"/>
    <w:rPr>
      <w:rFonts w:ascii="宋体" w:hAnsi="宋体" w:eastAsia="宋体" w:cs="宋体"/>
      <w:kern w:val="44"/>
      <w:sz w:val="28"/>
      <w:szCs w:val="28"/>
    </w:rPr>
  </w:style>
  <w:style w:type="character" w:customStyle="1" w:styleId="50">
    <w:name w:val="日期 字符"/>
    <w:basedOn w:val="35"/>
    <w:link w:val="19"/>
    <w:qFormat/>
    <w:locked/>
    <w:uiPriority w:val="0"/>
    <w:rPr>
      <w:rFonts w:ascii="宋体" w:hAnsi="宋体" w:eastAsia="宋体" w:cs="宋体"/>
      <w:kern w:val="44"/>
      <w:sz w:val="28"/>
      <w:szCs w:val="28"/>
    </w:rPr>
  </w:style>
  <w:style w:type="character" w:customStyle="1" w:styleId="51">
    <w:name w:val="Char Char1"/>
    <w:basedOn w:val="35"/>
    <w:qFormat/>
    <w:locked/>
    <w:uiPriority w:val="0"/>
    <w:rPr>
      <w:rFonts w:ascii="宋体" w:hAnsi="宋体" w:eastAsia="宋体"/>
      <w:kern w:val="2"/>
      <w:sz w:val="18"/>
      <w:szCs w:val="18"/>
      <w:lang w:val="en-US" w:eastAsia="zh-CN" w:bidi="ar-SA"/>
    </w:rPr>
  </w:style>
  <w:style w:type="character" w:customStyle="1" w:styleId="52">
    <w:name w:val="apple-converted-space"/>
    <w:basedOn w:val="35"/>
    <w:qFormat/>
    <w:uiPriority w:val="0"/>
  </w:style>
  <w:style w:type="character" w:customStyle="1" w:styleId="53">
    <w:name w:val="文档结构图 字符"/>
    <w:basedOn w:val="35"/>
    <w:link w:val="9"/>
    <w:semiHidden/>
    <w:qFormat/>
    <w:locked/>
    <w:uiPriority w:val="0"/>
    <w:rPr>
      <w:rFonts w:ascii="宋体" w:hAnsi="宋体" w:eastAsia="宋体" w:cs="宋体"/>
      <w:kern w:val="44"/>
      <w:sz w:val="28"/>
      <w:szCs w:val="28"/>
      <w:shd w:val="clear" w:color="auto" w:fill="000080"/>
    </w:rPr>
  </w:style>
  <w:style w:type="character" w:customStyle="1" w:styleId="54">
    <w:name w:val="Char Char Char11"/>
    <w:basedOn w:val="35"/>
    <w:qFormat/>
    <w:locked/>
    <w:uiPriority w:val="0"/>
    <w:rPr>
      <w:rFonts w:ascii="宋体" w:hAnsi="Courier New" w:eastAsia="仿宋_GB2312" w:cs="宋体"/>
      <w:kern w:val="2"/>
      <w:sz w:val="21"/>
      <w:szCs w:val="21"/>
      <w:lang w:val="en-US" w:eastAsia="zh-CN"/>
    </w:rPr>
  </w:style>
  <w:style w:type="character" w:customStyle="1" w:styleId="55">
    <w:name w:val="称呼 字符"/>
    <w:basedOn w:val="35"/>
    <w:link w:val="11"/>
    <w:qFormat/>
    <w:locked/>
    <w:uiPriority w:val="0"/>
    <w:rPr>
      <w:rFonts w:ascii="宋体" w:hAnsi="宋体" w:eastAsia="宋体" w:cs="宋体"/>
      <w:kern w:val="44"/>
      <w:sz w:val="32"/>
      <w:szCs w:val="32"/>
    </w:rPr>
  </w:style>
  <w:style w:type="character" w:customStyle="1" w:styleId="56">
    <w:name w:val="批注框文本 字符"/>
    <w:basedOn w:val="35"/>
    <w:link w:val="21"/>
    <w:semiHidden/>
    <w:qFormat/>
    <w:locked/>
    <w:uiPriority w:val="0"/>
    <w:rPr>
      <w:rFonts w:ascii="宋体" w:hAnsi="宋体" w:eastAsia="宋体" w:cs="宋体"/>
      <w:kern w:val="44"/>
      <w:sz w:val="18"/>
      <w:szCs w:val="18"/>
    </w:rPr>
  </w:style>
  <w:style w:type="character" w:customStyle="1" w:styleId="57">
    <w:name w:val="H2 Char"/>
    <w:basedOn w:val="35"/>
    <w:qFormat/>
    <w:uiPriority w:val="0"/>
    <w:rPr>
      <w:rFonts w:ascii="Arial" w:hAnsi="Arial" w:eastAsia="黑体" w:cs="Arial"/>
      <w:b/>
      <w:bCs/>
      <w:kern w:val="2"/>
      <w:sz w:val="32"/>
      <w:szCs w:val="32"/>
      <w:lang w:val="en-US" w:eastAsia="zh-CN"/>
    </w:rPr>
  </w:style>
  <w:style w:type="character" w:customStyle="1" w:styleId="58">
    <w:name w:val="正文文本缩进 2 字符"/>
    <w:basedOn w:val="35"/>
    <w:link w:val="20"/>
    <w:qFormat/>
    <w:locked/>
    <w:uiPriority w:val="0"/>
    <w:rPr>
      <w:rFonts w:ascii="宋体" w:hAnsi="宋体" w:eastAsia="宋体" w:cs="宋体"/>
      <w:kern w:val="44"/>
      <w:sz w:val="28"/>
      <w:szCs w:val="28"/>
    </w:rPr>
  </w:style>
  <w:style w:type="character" w:customStyle="1" w:styleId="59">
    <w:name w:val="Char Char Char1"/>
    <w:basedOn w:val="35"/>
    <w:qFormat/>
    <w:uiPriority w:val="0"/>
    <w:rPr>
      <w:rFonts w:ascii="宋体" w:hAnsi="Courier New" w:eastAsia="宋体" w:cs="宋体"/>
      <w:kern w:val="2"/>
      <w:sz w:val="21"/>
      <w:szCs w:val="21"/>
      <w:lang w:val="en-US" w:eastAsia="zh-CN"/>
    </w:rPr>
  </w:style>
  <w:style w:type="character" w:customStyle="1" w:styleId="60">
    <w:name w:val="批注主题 字符"/>
    <w:basedOn w:val="61"/>
    <w:link w:val="32"/>
    <w:semiHidden/>
    <w:qFormat/>
    <w:locked/>
    <w:uiPriority w:val="0"/>
    <w:rPr>
      <w:rFonts w:ascii="宋体" w:hAnsi="宋体" w:eastAsia="宋体" w:cs="宋体"/>
      <w:b/>
      <w:bCs/>
      <w:kern w:val="44"/>
      <w:sz w:val="28"/>
      <w:szCs w:val="28"/>
      <w:lang w:val="en-US" w:eastAsia="zh-CN" w:bidi="ar-SA"/>
    </w:rPr>
  </w:style>
  <w:style w:type="character" w:customStyle="1" w:styleId="61">
    <w:name w:val="批注文字 Char"/>
    <w:basedOn w:val="35"/>
    <w:semiHidden/>
    <w:qFormat/>
    <w:locked/>
    <w:uiPriority w:val="0"/>
    <w:rPr>
      <w:rFonts w:ascii="宋体" w:hAnsi="宋体" w:eastAsia="宋体" w:cs="宋体"/>
      <w:kern w:val="44"/>
      <w:sz w:val="28"/>
      <w:szCs w:val="28"/>
      <w:lang w:val="en-US" w:eastAsia="zh-CN" w:bidi="ar-SA"/>
    </w:rPr>
  </w:style>
  <w:style w:type="character" w:customStyle="1" w:styleId="62">
    <w:name w:val="批注文字 字符"/>
    <w:basedOn w:val="35"/>
    <w:link w:val="10"/>
    <w:semiHidden/>
    <w:uiPriority w:val="99"/>
  </w:style>
  <w:style w:type="character" w:customStyle="1" w:styleId="63">
    <w:name w:val="Char Char9"/>
    <w:basedOn w:val="35"/>
    <w:qFormat/>
    <w:locked/>
    <w:uiPriority w:val="0"/>
    <w:rPr>
      <w:rFonts w:ascii="宋体" w:hAnsi="Courier New" w:eastAsia="仿宋_GB2312" w:cs="宋体"/>
      <w:kern w:val="2"/>
      <w:sz w:val="21"/>
      <w:szCs w:val="21"/>
      <w:lang w:val="en-US" w:eastAsia="zh-CN"/>
    </w:rPr>
  </w:style>
  <w:style w:type="character" w:customStyle="1" w:styleId="64">
    <w:name w:val="Char Char3"/>
    <w:basedOn w:val="35"/>
    <w:qFormat/>
    <w:locked/>
    <w:uiPriority w:val="0"/>
    <w:rPr>
      <w:rFonts w:ascii="宋体" w:hAnsi="宋体" w:eastAsia="宋体"/>
      <w:kern w:val="2"/>
      <w:sz w:val="18"/>
      <w:szCs w:val="18"/>
      <w:lang w:val="en-US" w:eastAsia="zh-CN" w:bidi="ar-SA"/>
    </w:rPr>
  </w:style>
  <w:style w:type="character" w:customStyle="1" w:styleId="65">
    <w:name w:val="Char Char111"/>
    <w:basedOn w:val="35"/>
    <w:qFormat/>
    <w:uiPriority w:val="0"/>
    <w:rPr>
      <w:rFonts w:ascii="Arial" w:hAnsi="Arial" w:eastAsia="黑体" w:cs="Arial"/>
      <w:b/>
      <w:bCs/>
      <w:kern w:val="2"/>
      <w:sz w:val="32"/>
      <w:szCs w:val="32"/>
      <w:lang w:val="en-US" w:eastAsia="zh-CN"/>
    </w:rPr>
  </w:style>
  <w:style w:type="character" w:customStyle="1" w:styleId="66">
    <w:name w:val="Char Char6"/>
    <w:basedOn w:val="35"/>
    <w:locked/>
    <w:uiPriority w:val="0"/>
    <w:rPr>
      <w:rFonts w:ascii="宋体" w:hAnsi="Courier New" w:eastAsia="仿宋_GB2312" w:cs="Courier New"/>
      <w:kern w:val="2"/>
      <w:sz w:val="21"/>
      <w:szCs w:val="21"/>
      <w:lang w:val="en-US" w:eastAsia="zh-CN" w:bidi="ar-SA"/>
    </w:rPr>
  </w:style>
  <w:style w:type="character" w:customStyle="1" w:styleId="67">
    <w:name w:val="正文文本缩进 3 字符"/>
    <w:basedOn w:val="35"/>
    <w:link w:val="27"/>
    <w:qFormat/>
    <w:locked/>
    <w:uiPriority w:val="0"/>
    <w:rPr>
      <w:rFonts w:ascii="宋体" w:hAnsi="宋体" w:eastAsia="宋体" w:cs="宋体"/>
      <w:kern w:val="44"/>
      <w:sz w:val="16"/>
      <w:szCs w:val="16"/>
    </w:rPr>
  </w:style>
  <w:style w:type="character" w:customStyle="1" w:styleId="68">
    <w:name w:val="纯文本 Char"/>
    <w:basedOn w:val="35"/>
    <w:locked/>
    <w:uiPriority w:val="0"/>
    <w:rPr>
      <w:rFonts w:ascii="宋体" w:hAnsi="Courier New" w:eastAsia="宋体" w:cs="宋体"/>
      <w:kern w:val="44"/>
      <w:sz w:val="21"/>
      <w:szCs w:val="21"/>
    </w:rPr>
  </w:style>
  <w:style w:type="character" w:customStyle="1" w:styleId="69">
    <w:name w:val="正文 首行缩进 Char"/>
    <w:link w:val="70"/>
    <w:qFormat/>
    <w:uiPriority w:val="0"/>
    <w:rPr>
      <w:rFonts w:ascii="宋体" w:hAnsi="宋体"/>
      <w:color w:val="000000"/>
      <w:sz w:val="21"/>
      <w:szCs w:val="21"/>
    </w:rPr>
  </w:style>
  <w:style w:type="paragraph" w:customStyle="1" w:styleId="70">
    <w:name w:val="正文 首行缩进"/>
    <w:basedOn w:val="1"/>
    <w:link w:val="69"/>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1">
    <w:name w:val="Char Char12"/>
    <w:basedOn w:val="35"/>
    <w:qFormat/>
    <w:uiPriority w:val="0"/>
    <w:rPr>
      <w:rFonts w:ascii="Arial" w:hAnsi="Arial" w:eastAsia="黑体" w:cs="Arial"/>
      <w:b/>
      <w:bCs/>
      <w:kern w:val="2"/>
      <w:sz w:val="32"/>
      <w:szCs w:val="32"/>
      <w:lang w:val="en-US" w:eastAsia="zh-CN"/>
    </w:rPr>
  </w:style>
  <w:style w:type="character" w:customStyle="1" w:styleId="72">
    <w:name w:val="纯文本 字符"/>
    <w:basedOn w:val="35"/>
    <w:link w:val="17"/>
    <w:qFormat/>
    <w:locked/>
    <w:uiPriority w:val="0"/>
    <w:rPr>
      <w:rFonts w:ascii="宋体" w:hAnsi="Courier New" w:eastAsia="宋体" w:cs="宋体"/>
      <w:kern w:val="44"/>
      <w:sz w:val="21"/>
      <w:szCs w:val="21"/>
    </w:rPr>
  </w:style>
  <w:style w:type="character" w:customStyle="1" w:styleId="73">
    <w:name w:val="Char Char Char12"/>
    <w:basedOn w:val="35"/>
    <w:qFormat/>
    <w:uiPriority w:val="0"/>
    <w:rPr>
      <w:rFonts w:ascii="宋体" w:hAnsi="Courier New" w:eastAsia="宋体" w:cs="宋体"/>
      <w:kern w:val="2"/>
      <w:sz w:val="21"/>
      <w:szCs w:val="21"/>
      <w:lang w:val="en-US" w:eastAsia="zh-CN"/>
    </w:rPr>
  </w:style>
  <w:style w:type="character" w:customStyle="1" w:styleId="74">
    <w:name w:val="正文文本缩进 字符"/>
    <w:basedOn w:val="35"/>
    <w:link w:val="14"/>
    <w:qFormat/>
    <w:locked/>
    <w:uiPriority w:val="0"/>
    <w:rPr>
      <w:rFonts w:ascii="宋体" w:hAnsi="宋体" w:eastAsia="宋体" w:cs="宋体"/>
      <w:kern w:val="44"/>
      <w:sz w:val="28"/>
      <w:szCs w:val="28"/>
    </w:rPr>
  </w:style>
  <w:style w:type="paragraph" w:customStyle="1" w:styleId="75">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6">
    <w:name w:val="批注框文本 Char1"/>
    <w:basedOn w:val="35"/>
    <w:semiHidden/>
    <w:qFormat/>
    <w:uiPriority w:val="99"/>
    <w:rPr>
      <w:sz w:val="18"/>
      <w:szCs w:val="18"/>
    </w:rPr>
  </w:style>
  <w:style w:type="paragraph" w:customStyle="1" w:styleId="77">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7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79">
    <w:name w:val="正文文本缩进 3 Char1"/>
    <w:basedOn w:val="35"/>
    <w:semiHidden/>
    <w:qFormat/>
    <w:uiPriority w:val="99"/>
    <w:rPr>
      <w:sz w:val="16"/>
      <w:szCs w:val="16"/>
    </w:rPr>
  </w:style>
  <w:style w:type="paragraph" w:customStyle="1" w:styleId="8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1">
    <w:name w:val="日期 Char1"/>
    <w:basedOn w:val="35"/>
    <w:semiHidden/>
    <w:qFormat/>
    <w:uiPriority w:val="99"/>
  </w:style>
  <w:style w:type="paragraph" w:customStyle="1" w:styleId="8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3">
    <w:name w:val="正文文本缩进 Char1"/>
    <w:basedOn w:val="35"/>
    <w:semiHidden/>
    <w:qFormat/>
    <w:uiPriority w:val="99"/>
  </w:style>
  <w:style w:type="paragraph" w:customStyle="1" w:styleId="84">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5">
    <w:name w:val="文档结构图 Char1"/>
    <w:basedOn w:val="35"/>
    <w:semiHidden/>
    <w:uiPriority w:val="99"/>
    <w:rPr>
      <w:rFonts w:ascii="Microsoft YaHei UI" w:eastAsia="Microsoft YaHei UI"/>
      <w:sz w:val="18"/>
      <w:szCs w:val="18"/>
    </w:rPr>
  </w:style>
  <w:style w:type="paragraph" w:customStyle="1" w:styleId="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font18"/>
    <w:basedOn w:val="1"/>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88">
    <w:name w:val="批注主题 Char1"/>
    <w:basedOn w:val="62"/>
    <w:semiHidden/>
    <w:qFormat/>
    <w:uiPriority w:val="99"/>
    <w:rPr>
      <w:b/>
      <w:bCs/>
    </w:rPr>
  </w:style>
  <w:style w:type="paragraph" w:customStyle="1" w:styleId="89">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0">
    <w:name w:val="xl2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2">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3">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4">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5">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7">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98">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9">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1">
    <w:name w:val="列出段落1"/>
    <w:basedOn w:val="1"/>
    <w:uiPriority w:val="0"/>
    <w:pPr>
      <w:ind w:firstLine="420"/>
    </w:pPr>
    <w:rPr>
      <w:rFonts w:ascii="Calibri" w:hAnsi="Calibri" w:eastAsia="宋体" w:cs="Calibri"/>
      <w:kern w:val="44"/>
      <w:sz w:val="21"/>
      <w:szCs w:val="21"/>
    </w:rPr>
  </w:style>
  <w:style w:type="paragraph" w:customStyle="1" w:styleId="102">
    <w:name w:val="xl2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3">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5">
    <w:name w:val="xl132"/>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6">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7">
    <w:name w:val="xl185"/>
    <w:basedOn w:val="1"/>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0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9">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0">
    <w:name w:val="正文文本缩进 2 Char1"/>
    <w:basedOn w:val="35"/>
    <w:semiHidden/>
    <w:qFormat/>
    <w:uiPriority w:val="99"/>
  </w:style>
  <w:style w:type="paragraph" w:customStyle="1" w:styleId="111">
    <w:name w:val="xl4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4">
    <w:name w:val="称呼 Char1"/>
    <w:basedOn w:val="35"/>
    <w:semiHidden/>
    <w:qFormat/>
    <w:uiPriority w:val="99"/>
  </w:style>
  <w:style w:type="paragraph" w:customStyle="1" w:styleId="115">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6">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7">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8">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19">
    <w:name w:val="正文文本 Char1"/>
    <w:basedOn w:val="35"/>
    <w:semiHidden/>
    <w:uiPriority w:val="99"/>
  </w:style>
  <w:style w:type="paragraph" w:customStyle="1" w:styleId="120">
    <w:name w:val="xl193"/>
    <w:basedOn w:val="1"/>
    <w:uiPriority w:val="0"/>
    <w:pPr>
      <w:widowControl/>
      <w:spacing w:before="100" w:beforeAutospacing="1" w:after="100" w:afterAutospacing="1"/>
      <w:jc w:val="left"/>
    </w:pPr>
    <w:rPr>
      <w:rFonts w:ascii="宋体" w:hAnsi="宋体" w:eastAsia="宋体" w:cs="宋体"/>
      <w:kern w:val="0"/>
    </w:rPr>
  </w:style>
  <w:style w:type="paragraph" w:customStyle="1" w:styleId="121">
    <w:name w:val="xl130"/>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3">
    <w:name w:val="表格文字"/>
    <w:basedOn w:val="14"/>
    <w:uiPriority w:val="0"/>
    <w:pPr>
      <w:spacing w:before="60" w:after="60"/>
      <w:ind w:left="0" w:leftChars="0"/>
    </w:pPr>
    <w:rPr>
      <w:sz w:val="24"/>
      <w:szCs w:val="24"/>
    </w:rPr>
  </w:style>
  <w:style w:type="paragraph" w:customStyle="1" w:styleId="124">
    <w:name w:val="xl129"/>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5">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6">
    <w:name w:val="xl104"/>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7">
    <w:name w:val="列出段落3"/>
    <w:basedOn w:val="1"/>
    <w:uiPriority w:val="0"/>
    <w:pPr>
      <w:ind w:firstLine="420" w:firstLineChars="200"/>
    </w:pPr>
    <w:rPr>
      <w:rFonts w:ascii="Calibri" w:hAnsi="Calibri" w:eastAsia="宋体" w:cs="Calibri"/>
      <w:sz w:val="21"/>
      <w:szCs w:val="21"/>
    </w:rPr>
  </w:style>
  <w:style w:type="paragraph" w:customStyle="1" w:styleId="128">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2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0">
    <w:name w:val="xl2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1">
    <w:name w:val="xl1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2">
    <w:name w:val="纯文本 Char2"/>
    <w:basedOn w:val="35"/>
    <w:semiHidden/>
    <w:uiPriority w:val="99"/>
    <w:rPr>
      <w:rFonts w:ascii="宋体" w:hAnsi="Courier New" w:eastAsia="宋体" w:cs="Courier New"/>
      <w:sz w:val="21"/>
      <w:szCs w:val="21"/>
    </w:rPr>
  </w:style>
  <w:style w:type="paragraph" w:customStyle="1" w:styleId="133">
    <w:name w:val="Char Char Char Char Char Char Char Char Char Char"/>
    <w:basedOn w:val="9"/>
    <w:uiPriority w:val="0"/>
    <w:rPr>
      <w:rFonts w:ascii="Tahoma" w:hAnsi="Tahoma" w:cs="Tahoma"/>
      <w:sz w:val="24"/>
      <w:szCs w:val="24"/>
    </w:rPr>
  </w:style>
  <w:style w:type="paragraph" w:customStyle="1" w:styleId="134">
    <w:name w:val="font13"/>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5">
    <w:name w:val="font12"/>
    <w:basedOn w:val="1"/>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6">
    <w:name w:val="xl125"/>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7">
    <w:name w:val="xl2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8">
    <w:name w:val="xl120"/>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9">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0">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1">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4">
    <w:name w:val="样式 标题 2 + Times New Roman 四号 非加粗 段前: 5 磅 段后: 0 磅 行距: 固定值 20..."/>
    <w:basedOn w:val="3"/>
    <w:next w:val="145"/>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5">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6">
    <w:name w:val="列出段落2"/>
    <w:basedOn w:val="1"/>
    <w:qFormat/>
    <w:uiPriority w:val="0"/>
    <w:pPr>
      <w:ind w:firstLine="420" w:firstLineChars="200"/>
    </w:pPr>
    <w:rPr>
      <w:rFonts w:ascii="Calibri" w:hAnsi="Calibri" w:eastAsia="宋体" w:cs="Calibri"/>
      <w:sz w:val="21"/>
      <w:szCs w:val="21"/>
    </w:rPr>
  </w:style>
  <w:style w:type="paragraph" w:customStyle="1" w:styleId="147">
    <w:name w:val="Char3"/>
    <w:basedOn w:val="1"/>
    <w:qFormat/>
    <w:uiPriority w:val="0"/>
    <w:rPr>
      <w:rFonts w:ascii="宋体" w:hAnsi="宋体" w:eastAsia="宋体" w:cs="宋体"/>
      <w:kern w:val="44"/>
      <w:sz w:val="21"/>
      <w:szCs w:val="21"/>
    </w:rPr>
  </w:style>
  <w:style w:type="paragraph" w:customStyle="1" w:styleId="14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9">
    <w:name w:val="Char Char Char Char Char Char Char Char Char Char1"/>
    <w:basedOn w:val="9"/>
    <w:qFormat/>
    <w:uiPriority w:val="0"/>
    <w:rPr>
      <w:rFonts w:ascii="Tahoma" w:hAnsi="Tahoma" w:cs="Tahoma"/>
      <w:sz w:val="24"/>
      <w:szCs w:val="24"/>
    </w:rPr>
  </w:style>
  <w:style w:type="paragraph" w:customStyle="1" w:styleId="150">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2">
    <w:name w:val="font26"/>
    <w:basedOn w:val="1"/>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3">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4">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5">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6">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7">
    <w:name w:val="xl2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8">
    <w:name w:val="xl1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59">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0">
    <w:name w:val="font16"/>
    <w:basedOn w:val="1"/>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1">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3">
    <w:name w:val="font10"/>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4">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9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6">
    <w:name w:val="xl38"/>
    <w:basedOn w:val="1"/>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7">
    <w:name w:val="xl123"/>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8">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9">
    <w:name w:val="xl39"/>
    <w:basedOn w:val="1"/>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0">
    <w:name w:val="xl7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1">
    <w:name w:val="font27"/>
    <w:basedOn w:val="1"/>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2">
    <w:name w:val="font6"/>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3">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4">
    <w:name w:val="xl1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5">
    <w:name w:val="xl45"/>
    <w:basedOn w:val="1"/>
    <w:uiPriority w:val="0"/>
    <w:pPr>
      <w:widowControl/>
      <w:spacing w:before="100" w:beforeAutospacing="1" w:after="100" w:afterAutospacing="1"/>
      <w:jc w:val="left"/>
    </w:pPr>
    <w:rPr>
      <w:rFonts w:ascii="宋体" w:hAnsi="宋体" w:eastAsia="宋体" w:cs="宋体"/>
      <w:kern w:val="0"/>
    </w:rPr>
  </w:style>
  <w:style w:type="paragraph" w:customStyle="1" w:styleId="176">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7">
    <w:name w:val="xl2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78">
    <w:name w:val="xl2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79">
    <w:name w:val="样式 标题 3 + (中文) 黑体 小四 非加粗 段前: 7.8 磅 段后: 0 磅 行距: 固定值 20 磅"/>
    <w:basedOn w:val="4"/>
    <w:next w:val="135"/>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0">
    <w:name w:val="xl43"/>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样式1"/>
    <w:link w:val="307"/>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2">
    <w:name w:val="xl9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3">
    <w:name w:val="font31"/>
    <w:basedOn w:val="1"/>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4">
    <w:name w:val="xl11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5">
    <w:name w:val="Char1"/>
    <w:basedOn w:val="1"/>
    <w:uiPriority w:val="0"/>
    <w:rPr>
      <w:rFonts w:ascii="宋体" w:hAnsi="宋体" w:eastAsia="宋体" w:cs="宋体"/>
      <w:kern w:val="44"/>
      <w:sz w:val="21"/>
      <w:szCs w:val="21"/>
    </w:rPr>
  </w:style>
  <w:style w:type="paragraph" w:customStyle="1" w:styleId="186">
    <w:name w:val="xl9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7">
    <w:name w:val="xl116"/>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8">
    <w:name w:val="xl117"/>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9">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0">
    <w:name w:val="xl2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1">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2">
    <w:name w:val="xl8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3">
    <w:name w:val="xl34"/>
    <w:basedOn w:val="1"/>
    <w:uiPriority w:val="0"/>
    <w:pPr>
      <w:widowControl/>
      <w:spacing w:before="100" w:beforeAutospacing="1" w:after="100" w:afterAutospacing="1"/>
      <w:jc w:val="left"/>
    </w:pPr>
    <w:rPr>
      <w:rFonts w:ascii="宋体" w:hAnsi="宋体" w:eastAsia="宋体" w:cs="宋体"/>
      <w:color w:val="000000"/>
      <w:kern w:val="0"/>
    </w:rPr>
  </w:style>
  <w:style w:type="paragraph" w:customStyle="1" w:styleId="194">
    <w:name w:val="xl204"/>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5">
    <w:name w:val="列出段落11"/>
    <w:basedOn w:val="1"/>
    <w:uiPriority w:val="0"/>
    <w:pPr>
      <w:ind w:firstLine="420" w:firstLineChars="200"/>
    </w:pPr>
    <w:rPr>
      <w:rFonts w:ascii="Calibri" w:hAnsi="Calibri" w:eastAsia="宋体" w:cs="Calibri"/>
      <w:sz w:val="21"/>
      <w:szCs w:val="21"/>
    </w:rPr>
  </w:style>
  <w:style w:type="paragraph" w:customStyle="1" w:styleId="196">
    <w:name w:val="Char Char Char Char Char Char Char Char Char Char3"/>
    <w:basedOn w:val="9"/>
    <w:uiPriority w:val="0"/>
    <w:rPr>
      <w:rFonts w:ascii="Tahoma" w:hAnsi="Tahoma" w:cs="Tahoma"/>
      <w:sz w:val="24"/>
      <w:szCs w:val="24"/>
    </w:rPr>
  </w:style>
  <w:style w:type="paragraph" w:customStyle="1" w:styleId="197">
    <w:name w:val="xl7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98">
    <w:name w:val="Char2"/>
    <w:basedOn w:val="1"/>
    <w:uiPriority w:val="0"/>
    <w:rPr>
      <w:rFonts w:ascii="宋体" w:hAnsi="宋体" w:eastAsia="宋体" w:cs="宋体"/>
      <w:kern w:val="44"/>
      <w:sz w:val="21"/>
      <w:szCs w:val="21"/>
    </w:rPr>
  </w:style>
  <w:style w:type="paragraph" w:customStyle="1" w:styleId="199">
    <w:name w:val="xl36"/>
    <w:basedOn w:val="1"/>
    <w:uiPriority w:val="0"/>
    <w:pPr>
      <w:widowControl/>
      <w:spacing w:before="100" w:beforeAutospacing="1" w:after="100" w:afterAutospacing="1"/>
      <w:jc w:val="center"/>
    </w:pPr>
    <w:rPr>
      <w:rFonts w:ascii="宋体" w:hAnsi="宋体" w:eastAsia="宋体" w:cs="宋体"/>
      <w:kern w:val="0"/>
    </w:rPr>
  </w:style>
  <w:style w:type="paragraph" w:customStyle="1" w:styleId="200">
    <w:name w:val="xl127"/>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1">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2">
    <w:name w:val="xl9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3">
    <w:name w:val="xl9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4">
    <w:name w:val="xl7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5">
    <w:name w:val="xl1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6">
    <w:name w:val="xl227"/>
    <w:basedOn w:val="1"/>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7">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08">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9">
    <w:name w:val="xl128"/>
    <w:basedOn w:val="1"/>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0">
    <w:name w:val="xl135"/>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1">
    <w:name w:val="font24"/>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2">
    <w:name w:val="xl225"/>
    <w:basedOn w:val="1"/>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3">
    <w:name w:val="xl1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4">
    <w:name w:val="xl10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xl13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6">
    <w:name w:val="xl11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18">
    <w:name w:val="xl119"/>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9">
    <w:name w:val="xl10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0">
    <w:name w:val="xl1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1">
    <w:name w:val="font8"/>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2">
    <w:name w:val="Char"/>
    <w:basedOn w:val="1"/>
    <w:uiPriority w:val="0"/>
    <w:rPr>
      <w:rFonts w:ascii="宋体" w:hAnsi="宋体" w:eastAsia="宋体" w:cs="宋体"/>
      <w:kern w:val="44"/>
      <w:sz w:val="21"/>
      <w:szCs w:val="21"/>
    </w:rPr>
  </w:style>
  <w:style w:type="paragraph" w:customStyle="1" w:styleId="223">
    <w:name w:val="xl181"/>
    <w:basedOn w:val="1"/>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4">
    <w:name w:val="xl1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font11"/>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xl1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30"/>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29">
    <w:name w:val="Char Char Char Char Char Char Char4"/>
    <w:basedOn w:val="1"/>
    <w:uiPriority w:val="0"/>
    <w:pPr>
      <w:spacing w:beforeLines="50" w:afterLines="50"/>
    </w:pPr>
    <w:rPr>
      <w:rFonts w:ascii="Tahoma" w:hAnsi="Tahoma" w:eastAsia="宋体" w:cs="Tahoma"/>
      <w:kern w:val="44"/>
    </w:rPr>
  </w:style>
  <w:style w:type="paragraph" w:customStyle="1" w:styleId="230">
    <w:name w:val="xl1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1">
    <w:name w:val="xl112"/>
    <w:basedOn w:val="1"/>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2">
    <w:name w:val="无间隔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xl189"/>
    <w:basedOn w:val="1"/>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4">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5">
    <w:name w:val="Char Char Char Char Char Char Char Char Char Char2"/>
    <w:basedOn w:val="9"/>
    <w:uiPriority w:val="0"/>
    <w:rPr>
      <w:rFonts w:ascii="Tahoma" w:hAnsi="Tahoma" w:cs="Tahoma"/>
      <w:sz w:val="24"/>
      <w:szCs w:val="24"/>
    </w:rPr>
  </w:style>
  <w:style w:type="paragraph" w:customStyle="1" w:styleId="236">
    <w:name w:val="xl2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7">
    <w:name w:val="xl4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8">
    <w:name w:val="xl195"/>
    <w:basedOn w:val="1"/>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0">
    <w:name w:val="font28"/>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1">
    <w:name w:val="xl8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2">
    <w:name w:val="xl10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3">
    <w:name w:val="xl2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4">
    <w:name w:val="xl186"/>
    <w:basedOn w:val="1"/>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5">
    <w:name w:val="xl2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6">
    <w:name w:val="Char Char Char Char"/>
    <w:basedOn w:val="9"/>
    <w:uiPriority w:val="0"/>
    <w:rPr>
      <w:rFonts w:ascii="Tahoma" w:hAnsi="Tahoma" w:cs="Tahoma"/>
      <w:sz w:val="24"/>
      <w:szCs w:val="24"/>
    </w:rPr>
  </w:style>
  <w:style w:type="paragraph" w:customStyle="1" w:styleId="247">
    <w:name w:val="xl40"/>
    <w:basedOn w:val="1"/>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48">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49">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0">
    <w:name w:val="xl1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1">
    <w:name w:val="font23"/>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2">
    <w:name w:val="xl1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3">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82"/>
    <w:basedOn w:val="1"/>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5">
    <w:name w:val="xl11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6">
    <w:name w:val="xl20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7">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58">
    <w:name w:val="xl1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9">
    <w:name w:val="xl11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0">
    <w:name w:val="xl219"/>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184"/>
    <w:basedOn w:val="1"/>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2">
    <w:name w:val="xl118"/>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3">
    <w:name w:val="xl10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4">
    <w:name w:val="xl133"/>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5">
    <w:name w:val="xl2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6">
    <w:name w:val="xl106"/>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7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8">
    <w:name w:val="font20"/>
    <w:basedOn w:val="1"/>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69">
    <w:name w:val="xl96"/>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0">
    <w:name w:val="样式2"/>
    <w:uiPriority w:val="0"/>
    <w:rPr>
      <w:rFonts w:ascii="Times New Roman" w:hAnsi="Times New Roman" w:eastAsia="仿宋_GB2312" w:cs="Times New Roman"/>
      <w:kern w:val="2"/>
      <w:sz w:val="18"/>
      <w:szCs w:val="18"/>
      <w:lang w:val="en-US" w:eastAsia="zh-CN" w:bidi="ar-SA"/>
    </w:rPr>
  </w:style>
  <w:style w:type="paragraph" w:customStyle="1" w:styleId="271">
    <w:name w:val="xl226"/>
    <w:basedOn w:val="1"/>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2">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3">
    <w:name w:val="正文1"/>
    <w:basedOn w:val="1"/>
    <w:uiPriority w:val="0"/>
    <w:pPr>
      <w:adjustRightInd w:val="0"/>
      <w:spacing w:line="360" w:lineRule="atLeast"/>
      <w:jc w:val="left"/>
      <w:textAlignment w:val="baseline"/>
    </w:pPr>
    <w:rPr>
      <w:rFonts w:ascii="宋体" w:hAnsi="宋体" w:eastAsia="楷体_GB2312" w:cs="宋体"/>
      <w:kern w:val="0"/>
    </w:rPr>
  </w:style>
  <w:style w:type="paragraph" w:customStyle="1" w:styleId="274">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5">
    <w:name w:val="xl46"/>
    <w:basedOn w:val="1"/>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6">
    <w:name w:val="xl121"/>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7">
    <w:name w:val="xl20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78">
    <w:name w:val="xl35"/>
    <w:basedOn w:val="1"/>
    <w:uiPriority w:val="0"/>
    <w:pPr>
      <w:widowControl/>
      <w:spacing w:before="100" w:beforeAutospacing="1" w:after="100" w:afterAutospacing="1"/>
      <w:jc w:val="left"/>
    </w:pPr>
    <w:rPr>
      <w:rFonts w:ascii="宋体" w:hAnsi="宋体" w:eastAsia="宋体" w:cs="宋体"/>
      <w:kern w:val="0"/>
    </w:rPr>
  </w:style>
  <w:style w:type="paragraph" w:customStyle="1" w:styleId="27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0">
    <w:name w:val="Char Char Char"/>
    <w:basedOn w:val="9"/>
    <w:uiPriority w:val="0"/>
    <w:pPr>
      <w:adjustRightInd w:val="0"/>
      <w:spacing w:line="436" w:lineRule="exact"/>
      <w:ind w:left="357"/>
      <w:jc w:val="left"/>
      <w:outlineLvl w:val="3"/>
    </w:pPr>
    <w:rPr>
      <w:rFonts w:ascii="Tahoma" w:hAnsi="Tahoma" w:cs="Tahoma"/>
      <w:b/>
      <w:bCs/>
      <w:sz w:val="44"/>
      <w:szCs w:val="44"/>
    </w:rPr>
  </w:style>
  <w:style w:type="paragraph" w:customStyle="1" w:styleId="281">
    <w:name w:val="xl41"/>
    <w:basedOn w:val="1"/>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2">
    <w:name w:val="font19"/>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3">
    <w:name w:val="xl11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4">
    <w:name w:val="xl218"/>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5">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6">
    <w:name w:val="xl8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7">
    <w:name w:val="font17"/>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8">
    <w:name w:val="xl1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9">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0">
    <w:name w:val="xl190"/>
    <w:basedOn w:val="1"/>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1">
    <w:name w:val="Char Char Char Char1"/>
    <w:basedOn w:val="9"/>
    <w:uiPriority w:val="0"/>
    <w:rPr>
      <w:rFonts w:ascii="Tahoma" w:hAnsi="Tahoma" w:cs="Tahoma"/>
      <w:sz w:val="24"/>
      <w:szCs w:val="24"/>
    </w:rPr>
  </w:style>
  <w:style w:type="paragraph" w:customStyle="1" w:styleId="292">
    <w:name w:val="xl7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3">
    <w:name w:val="xl2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4">
    <w:name w:val="xl224"/>
    <w:basedOn w:val="1"/>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5">
    <w:name w:val="xl6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6">
    <w:name w:val="xl19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font21"/>
    <w:basedOn w:val="1"/>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98">
    <w:name w:val="xl2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9">
    <w:name w:val="xl2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0">
    <w:name w:val="xl13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1">
    <w:name w:val="Char Char Char Char Char Char Char Char Char Char4"/>
    <w:basedOn w:val="9"/>
    <w:uiPriority w:val="0"/>
    <w:rPr>
      <w:rFonts w:ascii="Tahoma" w:hAnsi="Tahoma" w:cs="Tahoma"/>
      <w:sz w:val="24"/>
      <w:szCs w:val="24"/>
    </w:rPr>
  </w:style>
  <w:style w:type="paragraph" w:customStyle="1" w:styleId="302">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3">
    <w:name w:val="正文文本 3 字符"/>
    <w:basedOn w:val="35"/>
    <w:link w:val="12"/>
    <w:semiHidden/>
    <w:uiPriority w:val="99"/>
    <w:rPr>
      <w:sz w:val="16"/>
      <w:szCs w:val="16"/>
    </w:rPr>
  </w:style>
  <w:style w:type="paragraph" w:customStyle="1" w:styleId="304">
    <w:name w:val="样式8"/>
    <w:basedOn w:val="270"/>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5">
    <w:name w:val="标题 字符"/>
    <w:basedOn w:val="35"/>
    <w:link w:val="31"/>
    <w:qFormat/>
    <w:uiPriority w:val="0"/>
    <w:rPr>
      <w:rFonts w:ascii="Times New Roman" w:hAnsi="Times New Roman" w:eastAsia="仿宋_GB2312" w:cs="Times New Roman"/>
      <w:bCs/>
      <w:sz w:val="28"/>
      <w:szCs w:val="32"/>
    </w:rPr>
  </w:style>
  <w:style w:type="paragraph" w:customStyle="1" w:styleId="306">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7">
    <w:name w:val="样式1 Char"/>
    <w:basedOn w:val="69"/>
    <w:link w:val="181"/>
    <w:qFormat/>
    <w:uiPriority w:val="0"/>
    <w:rPr>
      <w:rFonts w:ascii="Times New Roman" w:hAnsi="Times New Roman" w:eastAsia="仿宋_GB2312" w:cs="Times New Roman"/>
      <w:color w:val="000000"/>
      <w:sz w:val="18"/>
      <w:szCs w:val="18"/>
    </w:rPr>
  </w:style>
  <w:style w:type="character" w:customStyle="1" w:styleId="308">
    <w:name w:val="正文文本首行缩进 2 字符"/>
    <w:basedOn w:val="74"/>
    <w:link w:val="33"/>
    <w:uiPriority w:val="0"/>
    <w:rPr>
      <w:rFonts w:ascii="Times New Roman" w:hAnsi="Times New Roman" w:eastAsia="宋体" w:cs="Times New Roman"/>
      <w:kern w:val="44"/>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A223A-A621-427B-8A0A-026AB51276B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34</Pages>
  <Words>16459</Words>
  <Characters>18170</Characters>
  <Lines>147</Lines>
  <Paragraphs>41</Paragraphs>
  <TotalTime>533</TotalTime>
  <ScaleCrop>false</ScaleCrop>
  <LinksUpToDate>false</LinksUpToDate>
  <CharactersWithSpaces>19735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魏宏博</dc:creator>
  <cp:lastModifiedBy>112</cp:lastModifiedBy>
  <cp:lastPrinted>2020-05-07T01:04:00Z</cp:lastPrinted>
  <dcterms:modified xsi:type="dcterms:W3CDTF">2023-02-01T08:46:05Z</dcterms:modified>
  <dc:title>物资招标标准文本</dc:title>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D4340E35EEBC42378C3E01B19B77AAB1</vt:lpwstr>
  </property>
</Properties>
</file>