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0"/>
        <w:tabs>
          <w:tab w:val="left" w:pos="8100"/>
        </w:tabs>
        <w:spacing w:line="360" w:lineRule="auto"/>
        <w:jc w:val="center"/>
        <w:rPr>
          <w:rFonts w:cs="Times New Roman" w:asciiTheme="majorEastAsia" w:hAnsiTheme="majorEastAsia" w:eastAsiaTheme="majorEastAsia"/>
          <w:b/>
          <w:color w:val="000000" w:themeColor="text1"/>
          <w:kern w:val="2"/>
          <w:sz w:val="48"/>
          <w:szCs w:val="48"/>
          <w:highlight w:val="none"/>
        </w:rPr>
      </w:pPr>
    </w:p>
    <w:p>
      <w:pPr>
        <w:pStyle w:val="30"/>
        <w:tabs>
          <w:tab w:val="left" w:pos="8100"/>
        </w:tabs>
        <w:spacing w:line="360" w:lineRule="auto"/>
        <w:jc w:val="center"/>
        <w:rPr>
          <w:rFonts w:cs="Times New Roman" w:asciiTheme="majorEastAsia" w:hAnsiTheme="majorEastAsia" w:eastAsiaTheme="majorEastAsia"/>
          <w:b/>
          <w:color w:val="000000" w:themeColor="text1"/>
          <w:kern w:val="2"/>
          <w:sz w:val="48"/>
          <w:szCs w:val="48"/>
          <w:highlight w:val="none"/>
        </w:rPr>
      </w:pPr>
    </w:p>
    <w:p>
      <w:pPr>
        <w:pStyle w:val="30"/>
        <w:tabs>
          <w:tab w:val="left" w:pos="8100"/>
        </w:tabs>
        <w:spacing w:line="360" w:lineRule="auto"/>
        <w:jc w:val="center"/>
        <w:rPr>
          <w:rFonts w:asciiTheme="majorEastAsia" w:hAnsiTheme="majorEastAsia" w:eastAsiaTheme="majorEastAsia"/>
          <w:highlight w:val="none"/>
        </w:rPr>
      </w:pPr>
      <w:r>
        <w:rPr>
          <w:rFonts w:hint="eastAsia" w:cs="Times New Roman" w:asciiTheme="majorEastAsia" w:hAnsiTheme="majorEastAsia" w:eastAsiaTheme="majorEastAsia"/>
          <w:b/>
          <w:color w:val="000000"/>
          <w:kern w:val="2"/>
          <w:sz w:val="52"/>
          <w:szCs w:val="52"/>
          <w:highlight w:val="none"/>
        </w:rPr>
        <w:t>物</w:t>
      </w:r>
      <w:bookmarkStart w:id="76" w:name="_GoBack"/>
      <w:bookmarkEnd w:id="76"/>
      <w:r>
        <w:rPr>
          <w:rFonts w:hint="eastAsia" w:cs="Times New Roman" w:asciiTheme="majorEastAsia" w:hAnsiTheme="majorEastAsia" w:eastAsiaTheme="majorEastAsia"/>
          <w:b/>
          <w:color w:val="000000"/>
          <w:kern w:val="2"/>
          <w:sz w:val="52"/>
          <w:szCs w:val="52"/>
          <w:highlight w:val="none"/>
        </w:rPr>
        <w:t>资</w:t>
      </w:r>
      <w:r>
        <w:rPr>
          <w:rFonts w:hint="eastAsia" w:cs="Times New Roman" w:asciiTheme="majorEastAsia" w:hAnsiTheme="majorEastAsia" w:eastAsiaTheme="majorEastAsia"/>
          <w:b/>
          <w:color w:val="000000"/>
          <w:kern w:val="2"/>
          <w:sz w:val="52"/>
          <w:szCs w:val="52"/>
          <w:highlight w:val="none"/>
          <w:lang w:eastAsia="zh-CN"/>
        </w:rPr>
        <w:t>采购</w:t>
      </w:r>
      <w:r>
        <w:rPr>
          <w:rFonts w:hint="eastAsia" w:cs="Times New Roman" w:asciiTheme="majorEastAsia" w:hAnsiTheme="majorEastAsia" w:eastAsiaTheme="majorEastAsia"/>
          <w:b/>
          <w:color w:val="000000"/>
          <w:kern w:val="2"/>
          <w:sz w:val="52"/>
          <w:szCs w:val="52"/>
          <w:highlight w:val="none"/>
        </w:rPr>
        <w:t>招标文件</w:t>
      </w:r>
    </w:p>
    <w:p>
      <w:pPr>
        <w:pStyle w:val="3"/>
        <w:keepNext w:val="0"/>
        <w:keepLines w:val="0"/>
        <w:spacing w:before="120" w:after="120" w:line="400" w:lineRule="exact"/>
        <w:jc w:val="center"/>
        <w:rPr>
          <w:rFonts w:cs="黑体" w:asciiTheme="majorEastAsia" w:hAnsiTheme="majorEastAsia" w:eastAsiaTheme="majorEastAsia"/>
          <w:b w:val="0"/>
          <w:bCs w:val="0"/>
          <w:kern w:val="2"/>
          <w:sz w:val="32"/>
          <w:szCs w:val="32"/>
          <w:highlight w:val="none"/>
        </w:rPr>
      </w:pPr>
    </w:p>
    <w:p>
      <w:pPr>
        <w:jc w:val="center"/>
        <w:rPr>
          <w:highlight w:val="none"/>
        </w:rPr>
      </w:pPr>
    </w:p>
    <w:p>
      <w:pPr>
        <w:jc w:val="center"/>
        <w:rPr>
          <w:highlight w:val="none"/>
        </w:rPr>
      </w:pPr>
    </w:p>
    <w:p>
      <w:pPr>
        <w:jc w:val="center"/>
        <w:rPr>
          <w:highlight w:val="none"/>
        </w:rPr>
      </w:pPr>
    </w:p>
    <w:p>
      <w:pPr>
        <w:jc w:val="center"/>
        <w:rPr>
          <w:highlight w:val="none"/>
        </w:rPr>
      </w:pPr>
    </w:p>
    <w:p>
      <w:pPr>
        <w:jc w:val="center"/>
        <w:rPr>
          <w:highlight w:val="none"/>
        </w:rPr>
      </w:pPr>
    </w:p>
    <w:p>
      <w:pPr>
        <w:jc w:val="center"/>
        <w:rPr>
          <w:highlight w:val="none"/>
        </w:rPr>
      </w:pPr>
    </w:p>
    <w:p>
      <w:pPr>
        <w:jc w:val="center"/>
        <w:rPr>
          <w:highlight w:val="none"/>
        </w:rPr>
      </w:pPr>
    </w:p>
    <w:p>
      <w:pPr>
        <w:jc w:val="center"/>
        <w:rPr>
          <w:highlight w:val="none"/>
        </w:rPr>
      </w:pPr>
    </w:p>
    <w:p>
      <w:pPr>
        <w:jc w:val="center"/>
        <w:rPr>
          <w:highlight w:val="none"/>
        </w:rPr>
      </w:pPr>
    </w:p>
    <w:p>
      <w:pPr>
        <w:jc w:val="center"/>
        <w:rPr>
          <w:highlight w:val="none"/>
        </w:rPr>
      </w:pPr>
    </w:p>
    <w:p>
      <w:pPr>
        <w:jc w:val="center"/>
        <w:rPr>
          <w:highlight w:val="none"/>
        </w:rPr>
      </w:pPr>
    </w:p>
    <w:p>
      <w:pPr>
        <w:jc w:val="center"/>
        <w:rPr>
          <w:highlight w:val="none"/>
        </w:rPr>
      </w:pPr>
    </w:p>
    <w:p>
      <w:pPr>
        <w:jc w:val="center"/>
        <w:rPr>
          <w:highlight w:val="none"/>
        </w:rPr>
      </w:pPr>
    </w:p>
    <w:p>
      <w:pPr>
        <w:jc w:val="center"/>
        <w:rPr>
          <w:highlight w:val="none"/>
        </w:rPr>
      </w:pPr>
    </w:p>
    <w:p>
      <w:pPr>
        <w:jc w:val="center"/>
        <w:rPr>
          <w:highlight w:val="none"/>
        </w:rPr>
      </w:pPr>
    </w:p>
    <w:p>
      <w:pPr>
        <w:jc w:val="center"/>
        <w:rPr>
          <w:highlight w:val="none"/>
        </w:rPr>
      </w:pPr>
    </w:p>
    <w:p>
      <w:pPr>
        <w:jc w:val="center"/>
        <w:rPr>
          <w:highlight w:val="none"/>
        </w:rPr>
      </w:pPr>
    </w:p>
    <w:p>
      <w:pPr>
        <w:pStyle w:val="30"/>
        <w:tabs>
          <w:tab w:val="left" w:pos="8100"/>
        </w:tabs>
        <w:spacing w:before="240" w:after="240" w:line="360" w:lineRule="auto"/>
        <w:jc w:val="center"/>
        <w:rPr>
          <w:rFonts w:cs="Times New Roman" w:asciiTheme="majorEastAsia" w:hAnsiTheme="majorEastAsia" w:eastAsiaTheme="majorEastAsia"/>
          <w:b/>
          <w:color w:val="000000" w:themeColor="text1"/>
          <w:kern w:val="2"/>
          <w:sz w:val="44"/>
          <w:szCs w:val="44"/>
          <w:highlight w:val="none"/>
        </w:rPr>
      </w:pPr>
      <w:r>
        <w:rPr>
          <w:rFonts w:hint="eastAsia" w:cs="Times New Roman" w:asciiTheme="majorEastAsia" w:hAnsiTheme="majorEastAsia" w:eastAsiaTheme="majorEastAsia"/>
          <w:b/>
          <w:color w:val="000000" w:themeColor="text1"/>
          <w:kern w:val="2"/>
          <w:sz w:val="44"/>
          <w:szCs w:val="44"/>
          <w:highlight w:val="none"/>
        </w:rPr>
        <w:t>中建路桥集团</w:t>
      </w:r>
      <w:r>
        <w:rPr>
          <w:rFonts w:hint="eastAsia" w:cs="Times New Roman" w:asciiTheme="majorEastAsia" w:hAnsiTheme="majorEastAsia" w:eastAsiaTheme="majorEastAsia"/>
          <w:b/>
          <w:color w:val="000000" w:themeColor="text1"/>
          <w:kern w:val="2"/>
          <w:sz w:val="44"/>
          <w:szCs w:val="44"/>
          <w:highlight w:val="none"/>
          <w:lang w:val="en-US" w:eastAsia="zh-CN"/>
        </w:rPr>
        <w:t>高速公路养护</w:t>
      </w:r>
      <w:r>
        <w:rPr>
          <w:rFonts w:hint="eastAsia" w:cs="Times New Roman" w:asciiTheme="majorEastAsia" w:hAnsiTheme="majorEastAsia" w:eastAsiaTheme="majorEastAsia"/>
          <w:b/>
          <w:color w:val="000000" w:themeColor="text1"/>
          <w:kern w:val="2"/>
          <w:sz w:val="44"/>
          <w:szCs w:val="44"/>
          <w:highlight w:val="none"/>
        </w:rPr>
        <w:t>有限公司</w:t>
      </w:r>
    </w:p>
    <w:p>
      <w:pPr>
        <w:jc w:val="center"/>
        <w:rPr>
          <w:rFonts w:asciiTheme="minorEastAsia" w:hAnsiTheme="minorEastAsia"/>
          <w:b/>
          <w:bCs/>
          <w:sz w:val="36"/>
          <w:szCs w:val="36"/>
          <w:highlight w:val="none"/>
        </w:rPr>
      </w:pPr>
      <w:r>
        <w:rPr>
          <w:rFonts w:hint="eastAsia" w:asciiTheme="minorEastAsia" w:hAnsiTheme="minorEastAsia"/>
          <w:b/>
          <w:bCs/>
          <w:sz w:val="36"/>
          <w:szCs w:val="36"/>
          <w:highlight w:val="none"/>
        </w:rPr>
        <w:t>202</w:t>
      </w:r>
      <w:r>
        <w:rPr>
          <w:rFonts w:hint="eastAsia" w:asciiTheme="minorEastAsia" w:hAnsiTheme="minorEastAsia"/>
          <w:b/>
          <w:bCs/>
          <w:sz w:val="36"/>
          <w:szCs w:val="36"/>
          <w:highlight w:val="none"/>
          <w:lang w:val="en-US" w:eastAsia="zh-CN"/>
        </w:rPr>
        <w:t>3</w:t>
      </w:r>
      <w:r>
        <w:rPr>
          <w:rFonts w:hint="eastAsia" w:asciiTheme="minorEastAsia" w:hAnsiTheme="minorEastAsia"/>
          <w:b/>
          <w:bCs/>
          <w:sz w:val="36"/>
          <w:szCs w:val="36"/>
          <w:highlight w:val="none"/>
        </w:rPr>
        <w:t>年</w:t>
      </w:r>
      <w:r>
        <w:rPr>
          <w:rFonts w:hint="eastAsia" w:asciiTheme="minorEastAsia" w:hAnsiTheme="minorEastAsia"/>
          <w:b/>
          <w:bCs/>
          <w:sz w:val="36"/>
          <w:szCs w:val="36"/>
          <w:highlight w:val="none"/>
          <w:lang w:val="en-US" w:eastAsia="zh-CN"/>
        </w:rPr>
        <w:t>2月24日</w:t>
      </w:r>
    </w:p>
    <w:p>
      <w:pPr>
        <w:widowControl/>
        <w:jc w:val="left"/>
        <w:rPr>
          <w:rFonts w:hint="eastAsia" w:cs="Times New Roman" w:asciiTheme="majorEastAsia" w:hAnsiTheme="majorEastAsia" w:eastAsiaTheme="majorEastAsia"/>
          <w:b/>
          <w:color w:val="000000"/>
          <w:kern w:val="2"/>
          <w:sz w:val="28"/>
          <w:szCs w:val="28"/>
          <w:highlight w:val="none"/>
        </w:rPr>
      </w:pPr>
      <w:r>
        <w:rPr>
          <w:b/>
          <w:sz w:val="28"/>
          <w:szCs w:val="28"/>
          <w:highlight w:val="none"/>
        </w:rPr>
        <w:br w:type="page"/>
      </w:r>
    </w:p>
    <w:p>
      <w:pPr>
        <w:pStyle w:val="30"/>
        <w:tabs>
          <w:tab w:val="left" w:pos="8100"/>
        </w:tabs>
        <w:spacing w:line="360" w:lineRule="auto"/>
        <w:jc w:val="right"/>
        <w:rPr>
          <w:rFonts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招标编号：</w:t>
      </w:r>
      <w:r>
        <w:rPr>
          <w:rFonts w:hint="eastAsia" w:cs="宋体"/>
          <w:b/>
          <w:color w:val="000000"/>
          <w:kern w:val="2"/>
          <w:sz w:val="28"/>
          <w:szCs w:val="28"/>
          <w:highlight w:val="none"/>
          <w:u w:val="single"/>
          <w:lang w:val="en-US" w:eastAsia="zh-CN"/>
        </w:rPr>
        <w:t>YHGS-FGZB-晋州项目-2023001</w:t>
      </w:r>
      <w:r>
        <w:rPr>
          <w:rFonts w:hint="eastAsia" w:ascii="宋体" w:hAnsi="宋体" w:eastAsia="宋体" w:cs="宋体"/>
          <w:b/>
          <w:bCs/>
          <w:sz w:val="28"/>
          <w:szCs w:val="28"/>
          <w:highlight w:val="none"/>
          <w:u w:val="single"/>
        </w:rPr>
        <w:t>号</w:t>
      </w:r>
    </w:p>
    <w:p>
      <w:pPr>
        <w:pStyle w:val="30"/>
        <w:tabs>
          <w:tab w:val="left" w:pos="8100"/>
        </w:tabs>
        <w:spacing w:line="360" w:lineRule="auto"/>
        <w:jc w:val="center"/>
        <w:rPr>
          <w:rFonts w:asciiTheme="majorEastAsia" w:hAnsiTheme="majorEastAsia" w:eastAsiaTheme="majorEastAsia"/>
          <w:b/>
          <w:color w:val="000000"/>
          <w:kern w:val="2"/>
          <w:sz w:val="28"/>
          <w:szCs w:val="28"/>
          <w:highlight w:val="none"/>
        </w:rPr>
      </w:pPr>
    </w:p>
    <w:p>
      <w:pPr>
        <w:pStyle w:val="30"/>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p>
    <w:p>
      <w:pPr>
        <w:pStyle w:val="30"/>
        <w:tabs>
          <w:tab w:val="left" w:pos="8100"/>
        </w:tabs>
        <w:spacing w:line="360" w:lineRule="auto"/>
        <w:jc w:val="center"/>
        <w:rPr>
          <w:rFonts w:cs="Times New Roman" w:asciiTheme="majorEastAsia" w:hAnsiTheme="majorEastAsia" w:eastAsiaTheme="majorEastAsia"/>
          <w:b/>
          <w:color w:val="000000"/>
          <w:kern w:val="2"/>
          <w:sz w:val="48"/>
          <w:szCs w:val="48"/>
          <w:highlight w:val="none"/>
        </w:rPr>
      </w:pPr>
    </w:p>
    <w:p>
      <w:pPr>
        <w:pStyle w:val="30"/>
        <w:tabs>
          <w:tab w:val="left" w:pos="8100"/>
        </w:tabs>
        <w:spacing w:line="360" w:lineRule="auto"/>
        <w:jc w:val="center"/>
        <w:rPr>
          <w:rFonts w:hint="eastAsia"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rPr>
        <w:t>中建路桥集团</w:t>
      </w:r>
      <w:r>
        <w:rPr>
          <w:rFonts w:hint="eastAsia" w:cs="Times New Roman" w:asciiTheme="majorEastAsia" w:hAnsiTheme="majorEastAsia" w:eastAsiaTheme="majorEastAsia"/>
          <w:b/>
          <w:color w:val="000000"/>
          <w:kern w:val="2"/>
          <w:sz w:val="44"/>
          <w:szCs w:val="44"/>
          <w:highlight w:val="none"/>
          <w:lang w:val="en-US" w:eastAsia="zh-CN"/>
        </w:rPr>
        <w:t>高速公路养护</w:t>
      </w:r>
      <w:r>
        <w:rPr>
          <w:rFonts w:hint="eastAsia" w:cs="Times New Roman" w:asciiTheme="majorEastAsia" w:hAnsiTheme="majorEastAsia" w:eastAsiaTheme="majorEastAsia"/>
          <w:b/>
          <w:color w:val="000000"/>
          <w:kern w:val="2"/>
          <w:sz w:val="44"/>
          <w:szCs w:val="44"/>
          <w:highlight w:val="none"/>
        </w:rPr>
        <w:t>有限公司</w:t>
      </w:r>
    </w:p>
    <w:p>
      <w:pPr>
        <w:pStyle w:val="30"/>
        <w:tabs>
          <w:tab w:val="left" w:pos="8100"/>
        </w:tabs>
        <w:spacing w:line="360" w:lineRule="auto"/>
        <w:jc w:val="center"/>
        <w:rPr>
          <w:rFonts w:hint="eastAsia" w:cs="Times New Roman" w:asciiTheme="majorEastAsia" w:hAnsiTheme="majorEastAsia" w:eastAsiaTheme="majorEastAsia"/>
          <w:b/>
          <w:color w:val="000000"/>
          <w:kern w:val="2"/>
          <w:sz w:val="44"/>
          <w:szCs w:val="44"/>
          <w:highlight w:val="none"/>
        </w:rPr>
      </w:pPr>
    </w:p>
    <w:p>
      <w:pPr>
        <w:pStyle w:val="30"/>
        <w:tabs>
          <w:tab w:val="left" w:pos="8100"/>
        </w:tabs>
        <w:spacing w:line="360" w:lineRule="auto"/>
        <w:jc w:val="center"/>
        <w:rPr>
          <w:rFonts w:hint="eastAsia" w:cs="Times New Roman" w:asciiTheme="majorEastAsia" w:hAnsiTheme="majorEastAsia" w:eastAsiaTheme="majorEastAsia"/>
          <w:b/>
          <w:color w:val="000000"/>
          <w:kern w:val="2"/>
          <w:sz w:val="36"/>
          <w:szCs w:val="36"/>
          <w:highlight w:val="none"/>
          <w:lang w:val="en-US" w:eastAsia="zh-CN"/>
        </w:rPr>
      </w:pPr>
      <w:r>
        <w:rPr>
          <w:rFonts w:hint="eastAsia" w:cs="Times New Roman" w:asciiTheme="majorEastAsia" w:hAnsiTheme="majorEastAsia" w:eastAsiaTheme="majorEastAsia"/>
          <w:b/>
          <w:color w:val="000000"/>
          <w:kern w:val="2"/>
          <w:sz w:val="36"/>
          <w:szCs w:val="36"/>
          <w:highlight w:val="none"/>
          <w:u w:val="single"/>
          <w:lang w:val="en-US" w:eastAsia="zh-CN"/>
        </w:rPr>
        <w:t>晋州市2022年营里镇片高标准农田建设项目一标段</w:t>
      </w:r>
      <w:r>
        <w:rPr>
          <w:rFonts w:hint="eastAsia" w:cs="Times New Roman" w:asciiTheme="majorEastAsia" w:hAnsiTheme="majorEastAsia" w:eastAsiaTheme="majorEastAsia"/>
          <w:b/>
          <w:color w:val="000000"/>
          <w:kern w:val="2"/>
          <w:sz w:val="36"/>
          <w:szCs w:val="36"/>
          <w:highlight w:val="none"/>
          <w:lang w:val="en-US" w:eastAsia="zh-CN"/>
        </w:rPr>
        <w:t xml:space="preserve"> 项目 </w:t>
      </w:r>
      <w:r>
        <w:rPr>
          <w:rFonts w:hint="eastAsia" w:cs="Times New Roman" w:asciiTheme="majorEastAsia" w:hAnsiTheme="majorEastAsia" w:eastAsiaTheme="majorEastAsia"/>
          <w:b/>
          <w:color w:val="000000"/>
          <w:kern w:val="2"/>
          <w:sz w:val="36"/>
          <w:szCs w:val="36"/>
          <w:highlight w:val="none"/>
          <w:u w:val="single"/>
          <w:lang w:val="en-US" w:eastAsia="zh-CN"/>
        </w:rPr>
        <w:t>商品混凝土、 井首装置、水泵及配件</w:t>
      </w:r>
      <w:r>
        <w:rPr>
          <w:rFonts w:hint="eastAsia" w:cs="Times New Roman" w:asciiTheme="majorEastAsia" w:hAnsiTheme="majorEastAsia" w:eastAsiaTheme="majorEastAsia"/>
          <w:b/>
          <w:color w:val="000000"/>
          <w:kern w:val="2"/>
          <w:sz w:val="36"/>
          <w:szCs w:val="36"/>
          <w:highlight w:val="none"/>
          <w:lang w:val="en-US" w:eastAsia="zh-CN"/>
        </w:rPr>
        <w:t xml:space="preserve"> 物资采购</w:t>
      </w:r>
    </w:p>
    <w:p>
      <w:pPr>
        <w:pStyle w:val="30"/>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r>
        <w:rPr>
          <w:rFonts w:hint="eastAsia" w:cs="Times New Roman" w:asciiTheme="majorEastAsia" w:hAnsiTheme="majorEastAsia" w:eastAsiaTheme="majorEastAsia"/>
          <w:b/>
          <w:color w:val="000000"/>
          <w:kern w:val="2"/>
          <w:sz w:val="52"/>
          <w:szCs w:val="52"/>
          <w:highlight w:val="none"/>
        </w:rPr>
        <w:t>招标文件</w:t>
      </w:r>
    </w:p>
    <w:p>
      <w:pPr>
        <w:pStyle w:val="3"/>
        <w:keepNext w:val="0"/>
        <w:keepLines w:val="0"/>
        <w:spacing w:before="120" w:after="120" w:line="400" w:lineRule="exact"/>
        <w:jc w:val="center"/>
        <w:rPr>
          <w:rFonts w:cs="黑体" w:asciiTheme="majorEastAsia" w:hAnsiTheme="majorEastAsia" w:eastAsiaTheme="majorEastAsia"/>
          <w:b w:val="0"/>
          <w:bCs w:val="0"/>
          <w:kern w:val="2"/>
          <w:sz w:val="32"/>
          <w:szCs w:val="32"/>
          <w:highlight w:val="none"/>
        </w:rPr>
      </w:pPr>
    </w:p>
    <w:p>
      <w:pPr>
        <w:rPr>
          <w:highlight w:val="none"/>
        </w:rPr>
      </w:pPr>
    </w:p>
    <w:p>
      <w:pPr>
        <w:jc w:val="center"/>
        <w:rPr>
          <w:highlight w:val="none"/>
        </w:rPr>
      </w:pPr>
    </w:p>
    <w:p>
      <w:pPr>
        <w:pStyle w:val="30"/>
        <w:tabs>
          <w:tab w:val="left" w:pos="8100"/>
        </w:tabs>
        <w:spacing w:line="360" w:lineRule="auto"/>
        <w:jc w:val="center"/>
        <w:rPr>
          <w:rFonts w:cs="Times New Roman" w:asciiTheme="majorEastAsia" w:hAnsiTheme="majorEastAsia" w:eastAsiaTheme="majorEastAsia"/>
          <w:b/>
          <w:color w:val="000000"/>
          <w:kern w:val="2"/>
          <w:sz w:val="36"/>
          <w:szCs w:val="36"/>
          <w:highlight w:val="none"/>
        </w:rPr>
      </w:pPr>
      <w:bookmarkStart w:id="0" w:name="_Toc17532"/>
    </w:p>
    <w:p>
      <w:pPr>
        <w:pStyle w:val="30"/>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招标人：</w:t>
      </w:r>
      <w:r>
        <w:rPr>
          <w:rFonts w:hint="eastAsia" w:cs="Times New Roman" w:asciiTheme="majorEastAsia" w:hAnsiTheme="majorEastAsia" w:eastAsiaTheme="majorEastAsia"/>
          <w:b/>
          <w:color w:val="000000"/>
          <w:kern w:val="2"/>
          <w:sz w:val="28"/>
          <w:szCs w:val="28"/>
          <w:highlight w:val="none"/>
          <w:u w:val="single"/>
        </w:rPr>
        <w:t>中建路桥集团</w:t>
      </w:r>
      <w:r>
        <w:rPr>
          <w:rFonts w:hint="eastAsia" w:cs="Times New Roman" w:asciiTheme="majorEastAsia" w:hAnsiTheme="majorEastAsia" w:eastAsiaTheme="majorEastAsia"/>
          <w:b/>
          <w:color w:val="000000"/>
          <w:kern w:val="2"/>
          <w:sz w:val="28"/>
          <w:szCs w:val="28"/>
          <w:highlight w:val="none"/>
          <w:u w:val="single"/>
          <w:lang w:eastAsia="zh-CN"/>
        </w:rPr>
        <w:t>高速公路养护</w:t>
      </w:r>
      <w:r>
        <w:rPr>
          <w:rFonts w:hint="eastAsia" w:cs="Times New Roman" w:asciiTheme="majorEastAsia" w:hAnsiTheme="majorEastAsia" w:eastAsiaTheme="majorEastAsia"/>
          <w:b/>
          <w:color w:val="000000"/>
          <w:kern w:val="2"/>
          <w:sz w:val="28"/>
          <w:szCs w:val="28"/>
          <w:highlight w:val="none"/>
          <w:u w:val="single"/>
        </w:rPr>
        <w:t>有限公司</w:t>
      </w:r>
    </w:p>
    <w:p>
      <w:pPr>
        <w:pStyle w:val="30"/>
        <w:tabs>
          <w:tab w:val="left" w:pos="8100"/>
        </w:tabs>
        <w:spacing w:line="360" w:lineRule="auto"/>
        <w:jc w:val="center"/>
        <w:rPr>
          <w:rFonts w:cs="黑体" w:asciiTheme="majorEastAsia" w:hAnsiTheme="majorEastAsia" w:eastAsiaTheme="majorEastAsia"/>
          <w:sz w:val="32"/>
          <w:szCs w:val="32"/>
          <w:highlight w:val="none"/>
        </w:rPr>
      </w:pPr>
      <w:r>
        <w:rPr>
          <w:rFonts w:hint="eastAsia" w:cs="Times New Roman" w:asciiTheme="majorEastAsia" w:hAnsiTheme="majorEastAsia" w:eastAsiaTheme="majorEastAsia"/>
          <w:b/>
          <w:color w:val="000000"/>
          <w:kern w:val="2"/>
          <w:sz w:val="28"/>
          <w:szCs w:val="28"/>
          <w:highlight w:val="none"/>
        </w:rPr>
        <w:t>招标日期：</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2023</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年</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2</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月</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24</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日</w:t>
      </w:r>
    </w:p>
    <w:p>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本招标文件由招标公告及以下文件组成：</w:t>
      </w:r>
    </w:p>
    <w:p>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第一部分 投标人须知</w:t>
      </w:r>
    </w:p>
    <w:p>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第二部分 技术标准和图纸</w:t>
      </w:r>
    </w:p>
    <w:p>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第三部分 投标文件格式</w:t>
      </w:r>
    </w:p>
    <w:p>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第四部分 合同文件（请投标人认真阅读合同文件）</w:t>
      </w:r>
    </w:p>
    <w:p>
      <w:pPr>
        <w:jc w:val="center"/>
        <w:outlineLvl w:val="0"/>
        <w:rPr>
          <w:rFonts w:cs="黑体" w:asciiTheme="majorEastAsia" w:hAnsiTheme="majorEastAsia" w:eastAsiaTheme="majorEastAsia"/>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widowControl/>
        <w:jc w:val="left"/>
        <w:rPr>
          <w:rFonts w:ascii="仿宋_GB2312" w:eastAsia="仿宋_GB2312" w:hAnsiTheme="majorEastAsia"/>
          <w:b/>
          <w:bCs/>
          <w:sz w:val="28"/>
          <w:szCs w:val="28"/>
          <w:highlight w:val="none"/>
        </w:rPr>
      </w:pPr>
      <w:r>
        <w:rPr>
          <w:rFonts w:ascii="仿宋_GB2312" w:eastAsia="仿宋_GB2312" w:hAnsiTheme="majorEastAsia"/>
          <w:b/>
          <w:bCs/>
          <w:sz w:val="28"/>
          <w:szCs w:val="28"/>
          <w:highlight w:val="none"/>
        </w:rPr>
        <w:br w:type="page"/>
      </w:r>
    </w:p>
    <w:p>
      <w:pPr>
        <w:spacing w:line="400" w:lineRule="exact"/>
        <w:jc w:val="center"/>
        <w:outlineLvl w:val="0"/>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第一部分  投标人须知</w:t>
      </w:r>
    </w:p>
    <w:p>
      <w:pPr>
        <w:pStyle w:val="179"/>
        <w:keepNext w:val="0"/>
        <w:keepLines w:val="0"/>
        <w:spacing w:line="240" w:lineRule="exact"/>
        <w:jc w:val="left"/>
        <w:rPr>
          <w:rFonts w:ascii="仿宋_GB2312" w:eastAsia="仿宋_GB2312" w:cs="宋体" w:hAnsiTheme="minorEastAsia"/>
          <w:bCs/>
          <w:sz w:val="21"/>
          <w:szCs w:val="21"/>
          <w:highlight w:val="none"/>
        </w:rPr>
      </w:pPr>
      <w:r>
        <w:rPr>
          <w:rFonts w:hint="eastAsia" w:ascii="仿宋_GB2312" w:eastAsia="仿宋_GB2312" w:cs="宋体" w:hAnsiTheme="minorEastAsia"/>
          <w:bCs/>
          <w:sz w:val="21"/>
          <w:szCs w:val="21"/>
          <w:highlight w:val="none"/>
        </w:rPr>
        <w:t>投标人须知前附表：</w:t>
      </w:r>
    </w:p>
    <w:tbl>
      <w:tblPr>
        <w:tblStyle w:val="34"/>
        <w:tblpPr w:leftFromText="180" w:rightFromText="180" w:vertAnchor="text" w:horzAnchor="margin" w:tblpY="241"/>
        <w:tblW w:w="9433" w:type="dxa"/>
        <w:tblInd w:w="0" w:type="dxa"/>
        <w:tblLayout w:type="fixed"/>
        <w:tblCellMar>
          <w:top w:w="0" w:type="dxa"/>
          <w:left w:w="108" w:type="dxa"/>
          <w:bottom w:w="0" w:type="dxa"/>
          <w:right w:w="108" w:type="dxa"/>
        </w:tblCellMar>
      </w:tblPr>
      <w:tblGrid>
        <w:gridCol w:w="1098"/>
        <w:gridCol w:w="4120"/>
        <w:gridCol w:w="4215"/>
      </w:tblGrid>
      <w:tr>
        <w:tblPrEx>
          <w:tblLayout w:type="fixed"/>
          <w:tblCellMar>
            <w:top w:w="0" w:type="dxa"/>
            <w:left w:w="108" w:type="dxa"/>
            <w:bottom w:w="0" w:type="dxa"/>
            <w:right w:w="108" w:type="dxa"/>
          </w:tblCellMar>
        </w:tblPrEx>
        <w:trPr>
          <w:trHeight w:val="90" w:hRule="atLeast"/>
        </w:trPr>
        <w:tc>
          <w:tcPr>
            <w:tcW w:w="1098" w:type="dxa"/>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sz w:val="21"/>
                <w:szCs w:val="21"/>
                <w:highlight w:val="none"/>
              </w:rPr>
            </w:pPr>
            <w:bookmarkStart w:id="1" w:name="_Toc152042304"/>
            <w:bookmarkStart w:id="2" w:name="_Toc144974496"/>
            <w:bookmarkStart w:id="3" w:name="_Toc238797549"/>
            <w:bookmarkStart w:id="4" w:name="_Toc152045528"/>
            <w:bookmarkStart w:id="5" w:name="_Toc238552194"/>
            <w:bookmarkStart w:id="6" w:name="_Toc287545429"/>
            <w:r>
              <w:rPr>
                <w:rFonts w:hint="eastAsia" w:ascii="仿宋_GB2312" w:eastAsia="仿宋_GB2312" w:cs="宋体" w:hAnsiTheme="minorEastAsia"/>
                <w:sz w:val="21"/>
                <w:szCs w:val="21"/>
                <w:highlight w:val="none"/>
              </w:rPr>
              <w:t>序号</w:t>
            </w:r>
          </w:p>
        </w:tc>
        <w:tc>
          <w:tcPr>
            <w:tcW w:w="4120" w:type="dxa"/>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条  款  名  称</w:t>
            </w:r>
          </w:p>
        </w:tc>
        <w:tc>
          <w:tcPr>
            <w:tcW w:w="4215" w:type="dxa"/>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编  列  内  容</w:t>
            </w:r>
          </w:p>
        </w:tc>
      </w:tr>
      <w:tr>
        <w:tblPrEx>
          <w:tblLayout w:type="fixed"/>
          <w:tblCellMar>
            <w:top w:w="0" w:type="dxa"/>
            <w:left w:w="108" w:type="dxa"/>
            <w:bottom w:w="0" w:type="dxa"/>
            <w:right w:w="108" w:type="dxa"/>
          </w:tblCellMar>
        </w:tblPrEx>
        <w:trPr>
          <w:trHeight w:val="344" w:hRule="atLeast"/>
        </w:trPr>
        <w:tc>
          <w:tcPr>
            <w:tcW w:w="1098" w:type="dxa"/>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w:t>
            </w:r>
          </w:p>
        </w:tc>
        <w:tc>
          <w:tcPr>
            <w:tcW w:w="4120" w:type="dxa"/>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招标物资种类及数量</w:t>
            </w:r>
          </w:p>
        </w:tc>
        <w:tc>
          <w:tcPr>
            <w:tcW w:w="4215" w:type="dxa"/>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详见总则4.1</w:t>
            </w:r>
          </w:p>
        </w:tc>
      </w:tr>
      <w:tr>
        <w:tblPrEx>
          <w:tblLayout w:type="fixed"/>
          <w:tblCellMar>
            <w:top w:w="0" w:type="dxa"/>
            <w:left w:w="108" w:type="dxa"/>
            <w:bottom w:w="0" w:type="dxa"/>
            <w:right w:w="108" w:type="dxa"/>
          </w:tblCellMar>
        </w:tblPrEx>
        <w:trPr>
          <w:trHeight w:val="344" w:hRule="atLeast"/>
        </w:trPr>
        <w:tc>
          <w:tcPr>
            <w:tcW w:w="1098" w:type="dxa"/>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2</w:t>
            </w:r>
          </w:p>
        </w:tc>
        <w:tc>
          <w:tcPr>
            <w:tcW w:w="4120" w:type="dxa"/>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招标内容</w:t>
            </w:r>
          </w:p>
        </w:tc>
        <w:tc>
          <w:tcPr>
            <w:tcW w:w="4215" w:type="dxa"/>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商品混凝土、 井首装置、水泵及配件</w:t>
            </w:r>
          </w:p>
        </w:tc>
      </w:tr>
      <w:tr>
        <w:tblPrEx>
          <w:tblLayout w:type="fixed"/>
          <w:tblCellMar>
            <w:top w:w="0" w:type="dxa"/>
            <w:left w:w="108" w:type="dxa"/>
            <w:bottom w:w="0" w:type="dxa"/>
            <w:right w:w="108" w:type="dxa"/>
          </w:tblCellMar>
        </w:tblPrEx>
        <w:trPr>
          <w:trHeight w:val="454" w:hRule="atLeast"/>
        </w:trPr>
        <w:tc>
          <w:tcPr>
            <w:tcW w:w="1098" w:type="dxa"/>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3</w:t>
            </w:r>
          </w:p>
        </w:tc>
        <w:tc>
          <w:tcPr>
            <w:tcW w:w="4120" w:type="dxa"/>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投标人应具备承担本招标物资生产供应能力</w:t>
            </w:r>
          </w:p>
        </w:tc>
        <w:tc>
          <w:tcPr>
            <w:tcW w:w="4215" w:type="dxa"/>
            <w:tcBorders>
              <w:top w:val="single" w:color="auto" w:sz="4" w:space="0"/>
              <w:left w:val="single" w:color="auto" w:sz="4" w:space="0"/>
              <w:bottom w:val="single" w:color="auto" w:sz="4" w:space="0"/>
              <w:right w:val="single" w:color="auto" w:sz="4" w:space="0"/>
            </w:tcBorders>
            <w:vAlign w:val="center"/>
          </w:tcPr>
          <w:p>
            <w:pPr>
              <w:pStyle w:val="179"/>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营业范围要求：在中华人民共和国境内依法注册、具有独立法人资格以及招标物资生产供应经验的生产商或销售商；</w:t>
            </w:r>
          </w:p>
          <w:p>
            <w:pPr>
              <w:pStyle w:val="179"/>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生产能力要求：</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w:t>
            </w:r>
          </w:p>
          <w:p>
            <w:pPr>
              <w:pStyle w:val="179"/>
              <w:keepNext w:val="0"/>
              <w:keepLines w:val="0"/>
              <w:rPr>
                <w:rFonts w:hint="eastAsia" w:ascii="仿宋_GB2312" w:hAnsi="仿宋" w:eastAsia="仿宋_GB2312"/>
                <w:bCs/>
                <w:color w:val="000000" w:themeColor="text1"/>
                <w:sz w:val="21"/>
                <w:szCs w:val="21"/>
                <w:highlight w:val="none"/>
                <w:lang w:val="en-US" w:eastAsia="zh-CN"/>
              </w:rPr>
            </w:pPr>
            <w:r>
              <w:rPr>
                <w:rFonts w:hint="eastAsia" w:ascii="仿宋_GB2312" w:eastAsia="仿宋_GB2312" w:cs="宋体" w:hAnsiTheme="minorEastAsia"/>
                <w:sz w:val="21"/>
                <w:szCs w:val="21"/>
                <w:highlight w:val="none"/>
              </w:rPr>
              <w:t>质量保证能力要求：物资各项指标均必须满足招标方施工技术要求，满足中华人民共和国国家、地方及行业最新颁布的相关标准及技术规范，如果规范、标准、要求适用于同一种情况，则以标准高着为准；</w:t>
            </w:r>
            <w:r>
              <w:rPr>
                <w:rFonts w:hint="eastAsia" w:ascii="仿宋_GB2312" w:eastAsia="仿宋_GB2312" w:cs="宋体" w:hAnsiTheme="minorEastAsia"/>
                <w:sz w:val="21"/>
                <w:szCs w:val="21"/>
                <w:highlight w:val="none"/>
                <w:lang w:val="en-US" w:eastAsia="zh-CN"/>
              </w:rPr>
              <w:t>具有</w:t>
            </w:r>
            <w:r>
              <w:rPr>
                <w:rFonts w:hint="eastAsia" w:ascii="仿宋_GB2312" w:hAnsi="仿宋" w:eastAsia="仿宋_GB2312"/>
                <w:bCs/>
                <w:color w:val="000000" w:themeColor="text1"/>
                <w:sz w:val="21"/>
                <w:szCs w:val="21"/>
                <w:highlight w:val="none"/>
                <w:lang w:val="en-US" w:eastAsia="zh-CN"/>
              </w:rPr>
              <w:t>绿色、节能、环保管理体系和管理，符合国家关于碳排放标准的要求。</w:t>
            </w:r>
          </w:p>
          <w:p>
            <w:pPr>
              <w:pStyle w:val="179"/>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财务能力要求：具有健全的财务会计制度，近两年财务状况良好；</w:t>
            </w:r>
          </w:p>
          <w:p>
            <w:pPr>
              <w:pStyle w:val="179"/>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供货业绩要求：投标人须具有近三年类似工程供货业绩（附合同扫描件，提供原件备查）；</w:t>
            </w:r>
          </w:p>
          <w:p>
            <w:pPr>
              <w:pStyle w:val="179"/>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履约信用要求：良好，无不良社会记录；</w:t>
            </w:r>
          </w:p>
          <w:p>
            <w:pPr>
              <w:pStyle w:val="179"/>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其他要求：投标人须提供有效的符合招标文件要求的合格检测报告</w:t>
            </w:r>
            <w:r>
              <w:rPr>
                <w:rFonts w:hint="eastAsia" w:ascii="仿宋_GB2312" w:hAnsi="宋体" w:eastAsia="仿宋_GB2312" w:cs="宋体"/>
                <w:sz w:val="21"/>
                <w:szCs w:val="21"/>
                <w:highlight w:val="none"/>
              </w:rPr>
              <w:t>。</w:t>
            </w:r>
          </w:p>
        </w:tc>
      </w:tr>
      <w:tr>
        <w:tblPrEx>
          <w:tblLayout w:type="fixed"/>
          <w:tblCellMar>
            <w:top w:w="0" w:type="dxa"/>
            <w:left w:w="108" w:type="dxa"/>
            <w:bottom w:w="0" w:type="dxa"/>
            <w:right w:w="108" w:type="dxa"/>
          </w:tblCellMar>
        </w:tblPrEx>
        <w:trPr>
          <w:trHeight w:val="454" w:hRule="atLeast"/>
        </w:trPr>
        <w:tc>
          <w:tcPr>
            <w:tcW w:w="1098" w:type="dxa"/>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4</w:t>
            </w:r>
          </w:p>
        </w:tc>
        <w:tc>
          <w:tcPr>
            <w:tcW w:w="4120" w:type="dxa"/>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结算方式</w:t>
            </w:r>
          </w:p>
        </w:tc>
        <w:tc>
          <w:tcPr>
            <w:tcW w:w="4215" w:type="dxa"/>
            <w:tcBorders>
              <w:top w:val="single" w:color="auto" w:sz="4" w:space="0"/>
              <w:left w:val="single" w:color="auto" w:sz="4" w:space="0"/>
              <w:bottom w:val="single" w:color="auto" w:sz="4" w:space="0"/>
              <w:right w:val="single" w:color="auto" w:sz="4" w:space="0"/>
            </w:tcBorders>
            <w:vAlign w:val="center"/>
          </w:tcPr>
          <w:p>
            <w:pPr>
              <w:pStyle w:val="179"/>
              <w:keepNext w:val="0"/>
              <w:keepLines w:val="0"/>
              <w:rPr>
                <w:rFonts w:hint="eastAsia" w:ascii="仿宋_GB2312" w:eastAsia="仿宋" w:cs="宋体" w:hAnsiTheme="minorEastAsia"/>
                <w:sz w:val="21"/>
                <w:szCs w:val="21"/>
                <w:highlight w:val="none"/>
                <w:lang w:val="en-US" w:eastAsia="zh-CN"/>
              </w:rPr>
            </w:pPr>
            <w:r>
              <w:rPr>
                <w:rFonts w:hint="eastAsia" w:ascii="仿宋_GB2312" w:eastAsia="仿宋_GB2312" w:cs="宋体" w:hAnsiTheme="minorEastAsia"/>
                <w:sz w:val="21"/>
                <w:szCs w:val="21"/>
                <w:highlight w:val="none"/>
                <w:lang w:eastAsia="zh-CN"/>
              </w:rPr>
              <w:t>工程完工后一次结算</w:t>
            </w:r>
          </w:p>
        </w:tc>
      </w:tr>
      <w:tr>
        <w:tblPrEx>
          <w:tblLayout w:type="fixed"/>
          <w:tblCellMar>
            <w:top w:w="0" w:type="dxa"/>
            <w:left w:w="108" w:type="dxa"/>
            <w:bottom w:w="0" w:type="dxa"/>
            <w:right w:w="108" w:type="dxa"/>
          </w:tblCellMar>
        </w:tblPrEx>
        <w:trPr>
          <w:trHeight w:val="454" w:hRule="atLeast"/>
        </w:trPr>
        <w:tc>
          <w:tcPr>
            <w:tcW w:w="1098" w:type="dxa"/>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5</w:t>
            </w:r>
          </w:p>
        </w:tc>
        <w:tc>
          <w:tcPr>
            <w:tcW w:w="4120" w:type="dxa"/>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付款比例</w:t>
            </w:r>
          </w:p>
        </w:tc>
        <w:tc>
          <w:tcPr>
            <w:tcW w:w="4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tabs>
                <w:tab w:val="left" w:pos="765"/>
              </w:tabs>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1"/>
                <w:szCs w:val="21"/>
                <w:highlight w:val="none"/>
              </w:rPr>
            </w:pPr>
            <w:r>
              <w:rPr>
                <w:rFonts w:hint="eastAsia" w:ascii="仿宋" w:hAnsi="仿宋" w:eastAsia="仿宋" w:cs="仿宋"/>
                <w:b w:val="0"/>
                <w:bCs w:val="0"/>
                <w:color w:val="auto"/>
                <w:kern w:val="2"/>
                <w:sz w:val="21"/>
                <w:szCs w:val="21"/>
                <w:highlight w:val="none"/>
                <w:lang w:val="en-US" w:eastAsia="zh-CN" w:bidi="ar-SA"/>
              </w:rPr>
              <w:t>无预付款，货款来源于项目工程结算款。乙方最后一批物资供应完毕且验收合格后6个月内，甲方支付给乙方结算价款的100%，以上付款比例及付款节点按业主资金拨付情况和项目资金状况而定，支付比例不超过业主拨付比例。若业主付款推迟则该付款期限相应推迟，延期付款部分不计利息。</w:t>
            </w:r>
          </w:p>
        </w:tc>
      </w:tr>
      <w:tr>
        <w:tblPrEx>
          <w:tblLayout w:type="fixed"/>
          <w:tblCellMar>
            <w:top w:w="0" w:type="dxa"/>
            <w:left w:w="108" w:type="dxa"/>
            <w:bottom w:w="0" w:type="dxa"/>
            <w:right w:w="108" w:type="dxa"/>
          </w:tblCellMar>
        </w:tblPrEx>
        <w:trPr>
          <w:trHeight w:val="454" w:hRule="atLeast"/>
        </w:trPr>
        <w:tc>
          <w:tcPr>
            <w:tcW w:w="1098" w:type="dxa"/>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6</w:t>
            </w:r>
          </w:p>
        </w:tc>
        <w:tc>
          <w:tcPr>
            <w:tcW w:w="4120" w:type="dxa"/>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付款方式</w:t>
            </w:r>
          </w:p>
        </w:tc>
        <w:tc>
          <w:tcPr>
            <w:tcW w:w="4215" w:type="dxa"/>
            <w:tcBorders>
              <w:top w:val="single" w:color="auto" w:sz="4" w:space="0"/>
              <w:left w:val="single" w:color="auto" w:sz="4" w:space="0"/>
              <w:bottom w:val="single" w:color="auto" w:sz="4" w:space="0"/>
              <w:right w:val="single" w:color="auto" w:sz="4" w:space="0"/>
            </w:tcBorders>
            <w:vAlign w:val="center"/>
          </w:tcPr>
          <w:p>
            <w:pPr>
              <w:pStyle w:val="179"/>
              <w:keepNext w:val="0"/>
              <w:keepLines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按合同约定银行账户转账，招标方</w:t>
            </w:r>
            <w:r>
              <w:rPr>
                <w:rFonts w:hint="eastAsia" w:ascii="仿宋" w:hAnsi="仿宋" w:eastAsia="仿宋" w:cs="仿宋"/>
                <w:color w:val="auto"/>
                <w:sz w:val="21"/>
                <w:szCs w:val="21"/>
                <w:highlight w:val="none"/>
                <w:lang w:val="zh-CN"/>
              </w:rPr>
              <w:t>货款</w:t>
            </w:r>
            <w:r>
              <w:rPr>
                <w:rFonts w:hint="eastAsia" w:ascii="仿宋" w:hAnsi="仿宋" w:eastAsia="仿宋" w:cs="仿宋"/>
                <w:color w:val="auto"/>
                <w:sz w:val="21"/>
                <w:szCs w:val="21"/>
                <w:highlight w:val="none"/>
              </w:rPr>
              <w:t>支付形式</w:t>
            </w:r>
            <w:r>
              <w:rPr>
                <w:rFonts w:hint="eastAsia" w:ascii="仿宋" w:hAnsi="仿宋" w:eastAsia="仿宋" w:cs="仿宋"/>
                <w:color w:val="auto"/>
                <w:sz w:val="21"/>
                <w:szCs w:val="21"/>
                <w:highlight w:val="none"/>
                <w:lang w:val="zh-CN"/>
              </w:rPr>
              <w:t>:银行电汇支付，</w:t>
            </w:r>
            <w:r>
              <w:rPr>
                <w:rFonts w:hint="eastAsia" w:ascii="仿宋" w:hAnsi="仿宋" w:eastAsia="仿宋" w:cs="仿宋"/>
                <w:color w:val="auto"/>
                <w:sz w:val="21"/>
                <w:szCs w:val="21"/>
                <w:highlight w:val="none"/>
              </w:rPr>
              <w:t>投标方</w:t>
            </w:r>
            <w:r>
              <w:rPr>
                <w:rFonts w:hint="eastAsia" w:ascii="仿宋" w:hAnsi="仿宋" w:eastAsia="仿宋" w:cs="仿宋"/>
                <w:color w:val="auto"/>
                <w:sz w:val="21"/>
                <w:szCs w:val="21"/>
                <w:highlight w:val="none"/>
                <w:lang w:val="zh-CN"/>
              </w:rPr>
              <w:t>须保证对</w:t>
            </w:r>
            <w:r>
              <w:rPr>
                <w:rFonts w:hint="eastAsia" w:ascii="仿宋" w:hAnsi="仿宋" w:eastAsia="仿宋" w:cs="仿宋"/>
                <w:color w:val="auto"/>
                <w:sz w:val="21"/>
                <w:szCs w:val="21"/>
                <w:highlight w:val="none"/>
              </w:rPr>
              <w:t>招标方</w:t>
            </w:r>
            <w:r>
              <w:rPr>
                <w:rFonts w:hint="eastAsia" w:ascii="仿宋" w:hAnsi="仿宋" w:eastAsia="仿宋" w:cs="仿宋"/>
                <w:color w:val="auto"/>
                <w:sz w:val="21"/>
                <w:szCs w:val="21"/>
                <w:highlight w:val="none"/>
                <w:lang w:val="zh-CN"/>
              </w:rPr>
              <w:t>的资金往来账户与本合同所约定账户一致，开票单位名称与合同约定名称一致。</w:t>
            </w:r>
          </w:p>
        </w:tc>
      </w:tr>
      <w:tr>
        <w:tblPrEx>
          <w:tblLayout w:type="fixed"/>
          <w:tblCellMar>
            <w:top w:w="0" w:type="dxa"/>
            <w:left w:w="108" w:type="dxa"/>
            <w:bottom w:w="0" w:type="dxa"/>
            <w:right w:w="108" w:type="dxa"/>
          </w:tblCellMar>
        </w:tblPrEx>
        <w:trPr>
          <w:trHeight w:val="454" w:hRule="atLeast"/>
        </w:trPr>
        <w:tc>
          <w:tcPr>
            <w:tcW w:w="1098" w:type="dxa"/>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7</w:t>
            </w:r>
          </w:p>
        </w:tc>
        <w:tc>
          <w:tcPr>
            <w:tcW w:w="4120" w:type="dxa"/>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时间</w:t>
            </w:r>
          </w:p>
        </w:tc>
        <w:tc>
          <w:tcPr>
            <w:tcW w:w="4215" w:type="dxa"/>
            <w:tcBorders>
              <w:top w:val="single" w:color="auto" w:sz="4" w:space="0"/>
              <w:left w:val="single" w:color="auto" w:sz="4" w:space="0"/>
              <w:bottom w:val="single" w:color="auto" w:sz="4" w:space="0"/>
              <w:right w:val="single" w:color="auto" w:sz="4" w:space="0"/>
            </w:tcBorders>
            <w:vAlign w:val="center"/>
          </w:tcPr>
          <w:p>
            <w:pPr>
              <w:pStyle w:val="179"/>
              <w:keepNext w:val="0"/>
              <w:keepLines w:val="0"/>
              <w:rPr>
                <w:rFonts w:hint="eastAsia" w:ascii="仿宋" w:hAnsi="仿宋" w:eastAsia="仿宋" w:cs="仿宋"/>
                <w:sz w:val="21"/>
                <w:szCs w:val="21"/>
                <w:highlight w:val="none"/>
              </w:rPr>
            </w:pPr>
            <w:r>
              <w:rPr>
                <w:rFonts w:hint="eastAsia" w:ascii="仿宋" w:hAnsi="仿宋" w:eastAsia="仿宋" w:cs="仿宋"/>
                <w:sz w:val="21"/>
                <w:szCs w:val="21"/>
                <w:highlight w:val="none"/>
              </w:rPr>
              <w:t>“招标文件”发布信息为准</w:t>
            </w:r>
          </w:p>
        </w:tc>
      </w:tr>
      <w:tr>
        <w:tblPrEx>
          <w:tblLayout w:type="fixed"/>
          <w:tblCellMar>
            <w:top w:w="0" w:type="dxa"/>
            <w:left w:w="108" w:type="dxa"/>
            <w:bottom w:w="0" w:type="dxa"/>
            <w:right w:w="108" w:type="dxa"/>
          </w:tblCellMar>
        </w:tblPrEx>
        <w:trPr>
          <w:trHeight w:val="454" w:hRule="atLeast"/>
        </w:trPr>
        <w:tc>
          <w:tcPr>
            <w:tcW w:w="1098" w:type="dxa"/>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8</w:t>
            </w:r>
          </w:p>
        </w:tc>
        <w:tc>
          <w:tcPr>
            <w:tcW w:w="4120" w:type="dxa"/>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标的物生产厂家要求</w:t>
            </w:r>
          </w:p>
        </w:tc>
        <w:tc>
          <w:tcPr>
            <w:tcW w:w="4215" w:type="dxa"/>
            <w:tcBorders>
              <w:top w:val="single" w:color="auto" w:sz="4" w:space="0"/>
              <w:left w:val="single" w:color="auto" w:sz="4" w:space="0"/>
              <w:bottom w:val="single" w:color="auto" w:sz="4" w:space="0"/>
              <w:right w:val="single" w:color="auto" w:sz="4" w:space="0"/>
            </w:tcBorders>
            <w:vAlign w:val="center"/>
          </w:tcPr>
          <w:p>
            <w:pPr>
              <w:pStyle w:val="179"/>
              <w:keepNext w:val="0"/>
              <w:keepLines w:val="0"/>
              <w:spacing w:line="320" w:lineRule="exac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是否指定生产厂家/品牌：是□   否</w:t>
            </w:r>
            <w:r>
              <w:rPr>
                <w:rFonts w:hint="eastAsia" w:ascii="仿宋" w:hAnsi="仿宋" w:eastAsia="仿宋" w:cs="仿宋"/>
                <w:sz w:val="21"/>
                <w:szCs w:val="21"/>
                <w:highlight w:val="none"/>
                <w:lang w:eastAsia="zh-CN"/>
              </w:rPr>
              <w:t>☑</w:t>
            </w:r>
          </w:p>
          <w:p>
            <w:pPr>
              <w:pStyle w:val="135"/>
              <w:spacing w:before="0" w:beforeAutospacing="0" w:after="0" w:afterAutospacing="0" w:line="320" w:lineRule="exact"/>
              <w:rPr>
                <w:rFonts w:hint="eastAsia" w:ascii="仿宋" w:hAnsi="仿宋" w:eastAsia="仿宋" w:cs="仿宋"/>
                <w:highlight w:val="none"/>
                <w:u w:val="single"/>
              </w:rPr>
            </w:pPr>
            <w:r>
              <w:rPr>
                <w:rFonts w:hint="eastAsia" w:ascii="仿宋" w:hAnsi="仿宋" w:eastAsia="仿宋" w:cs="仿宋"/>
                <w:b w:val="0"/>
                <w:bCs w:val="0"/>
                <w:kern w:val="2"/>
                <w:sz w:val="21"/>
                <w:szCs w:val="21"/>
                <w:highlight w:val="none"/>
              </w:rPr>
              <w:t>要求提供以下厂家/品牌产品：</w:t>
            </w:r>
            <w:r>
              <w:rPr>
                <w:rFonts w:hint="eastAsia" w:ascii="仿宋" w:hAnsi="仿宋" w:eastAsia="仿宋" w:cs="仿宋"/>
                <w:b w:val="0"/>
                <w:bCs w:val="0"/>
                <w:kern w:val="2"/>
                <w:sz w:val="21"/>
                <w:szCs w:val="21"/>
                <w:highlight w:val="none"/>
                <w:u w:val="single"/>
              </w:rPr>
              <w:t xml:space="preserve">    </w:t>
            </w:r>
            <w:r>
              <w:rPr>
                <w:rFonts w:hint="eastAsia" w:ascii="仿宋" w:hAnsi="仿宋" w:eastAsia="仿宋" w:cs="仿宋"/>
                <w:b w:val="0"/>
                <w:bCs w:val="0"/>
                <w:kern w:val="2"/>
                <w:sz w:val="21"/>
                <w:szCs w:val="21"/>
                <w:highlight w:val="none"/>
                <w:u w:val="single"/>
                <w:lang w:val="en-US" w:eastAsia="zh-CN"/>
              </w:rPr>
              <w:t>/</w:t>
            </w:r>
            <w:r>
              <w:rPr>
                <w:rFonts w:hint="eastAsia" w:ascii="仿宋" w:hAnsi="仿宋" w:eastAsia="仿宋" w:cs="仿宋"/>
                <w:b w:val="0"/>
                <w:bCs w:val="0"/>
                <w:kern w:val="2"/>
                <w:sz w:val="21"/>
                <w:szCs w:val="21"/>
                <w:highlight w:val="none"/>
                <w:u w:val="single"/>
              </w:rPr>
              <w:t xml:space="preserve">     </w:t>
            </w:r>
          </w:p>
        </w:tc>
      </w:tr>
      <w:tr>
        <w:tblPrEx>
          <w:tblLayout w:type="fixed"/>
          <w:tblCellMar>
            <w:top w:w="0" w:type="dxa"/>
            <w:left w:w="108" w:type="dxa"/>
            <w:bottom w:w="0" w:type="dxa"/>
            <w:right w:w="108" w:type="dxa"/>
          </w:tblCellMar>
        </w:tblPrEx>
        <w:trPr>
          <w:trHeight w:val="454" w:hRule="atLeast"/>
        </w:trPr>
        <w:tc>
          <w:tcPr>
            <w:tcW w:w="1098" w:type="dxa"/>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9</w:t>
            </w:r>
          </w:p>
        </w:tc>
        <w:tc>
          <w:tcPr>
            <w:tcW w:w="4120" w:type="dxa"/>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技术标准和图纸</w:t>
            </w:r>
          </w:p>
        </w:tc>
        <w:tc>
          <w:tcPr>
            <w:tcW w:w="4215" w:type="dxa"/>
            <w:tcBorders>
              <w:top w:val="single" w:color="auto" w:sz="4" w:space="0"/>
              <w:left w:val="single" w:color="auto" w:sz="4" w:space="0"/>
              <w:bottom w:val="single" w:color="auto" w:sz="4" w:space="0"/>
              <w:right w:val="single" w:color="auto" w:sz="4" w:space="0"/>
            </w:tcBorders>
            <w:vAlign w:val="center"/>
          </w:tcPr>
          <w:p>
            <w:pPr>
              <w:pStyle w:val="179"/>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详见第二部分 技术标准和图纸</w:t>
            </w:r>
          </w:p>
        </w:tc>
      </w:tr>
      <w:tr>
        <w:tblPrEx>
          <w:tblLayout w:type="fixed"/>
          <w:tblCellMar>
            <w:top w:w="0" w:type="dxa"/>
            <w:left w:w="108" w:type="dxa"/>
            <w:bottom w:w="0" w:type="dxa"/>
            <w:right w:w="108" w:type="dxa"/>
          </w:tblCellMar>
        </w:tblPrEx>
        <w:trPr>
          <w:trHeight w:val="454" w:hRule="atLeast"/>
        </w:trPr>
        <w:tc>
          <w:tcPr>
            <w:tcW w:w="1098" w:type="dxa"/>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10</w:t>
            </w:r>
          </w:p>
        </w:tc>
        <w:tc>
          <w:tcPr>
            <w:tcW w:w="4120" w:type="dxa"/>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p>
        </w:tc>
        <w:tc>
          <w:tcPr>
            <w:tcW w:w="4215" w:type="dxa"/>
            <w:tcBorders>
              <w:top w:val="single" w:color="auto" w:sz="4" w:space="0"/>
              <w:left w:val="single" w:color="auto" w:sz="4" w:space="0"/>
              <w:bottom w:val="single" w:color="auto" w:sz="4" w:space="0"/>
              <w:right w:val="single" w:color="auto" w:sz="4" w:space="0"/>
            </w:tcBorders>
            <w:vAlign w:val="center"/>
          </w:tcPr>
          <w:p>
            <w:pPr>
              <w:pStyle w:val="179"/>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r>
              <w:rPr>
                <w:rFonts w:ascii="仿宋_GB2312" w:eastAsia="仿宋_GB2312" w:cs="宋体" w:hAnsiTheme="minorEastAsia"/>
                <w:color w:val="000000" w:themeColor="text1"/>
                <w:sz w:val="21"/>
                <w:szCs w:val="21"/>
                <w:highlight w:val="none"/>
              </w:rPr>
              <w:t>9</w:t>
            </w:r>
            <w:r>
              <w:rPr>
                <w:rFonts w:hint="eastAsia" w:ascii="仿宋_GB2312" w:eastAsia="仿宋_GB2312" w:cs="宋体" w:hAnsiTheme="minorEastAsia"/>
                <w:color w:val="000000" w:themeColor="text1"/>
                <w:sz w:val="21"/>
                <w:szCs w:val="21"/>
                <w:highlight w:val="none"/>
              </w:rPr>
              <w:t>0</w:t>
            </w:r>
            <w:r>
              <w:rPr>
                <w:rFonts w:hint="eastAsia" w:ascii="仿宋_GB2312" w:eastAsia="仿宋_GB2312" w:cs="宋体" w:hAnsiTheme="minorEastAsia"/>
                <w:sz w:val="21"/>
                <w:szCs w:val="21"/>
                <w:highlight w:val="none"/>
              </w:rPr>
              <w:t>天</w:t>
            </w:r>
          </w:p>
        </w:tc>
      </w:tr>
      <w:tr>
        <w:tblPrEx>
          <w:tblLayout w:type="fixed"/>
          <w:tblCellMar>
            <w:top w:w="0" w:type="dxa"/>
            <w:left w:w="108" w:type="dxa"/>
            <w:bottom w:w="0" w:type="dxa"/>
            <w:right w:w="108" w:type="dxa"/>
          </w:tblCellMar>
        </w:tblPrEx>
        <w:trPr>
          <w:trHeight w:val="454" w:hRule="atLeast"/>
        </w:trPr>
        <w:tc>
          <w:tcPr>
            <w:tcW w:w="1098" w:type="dxa"/>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11</w:t>
            </w:r>
          </w:p>
        </w:tc>
        <w:tc>
          <w:tcPr>
            <w:tcW w:w="4120" w:type="dxa"/>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投标保证金</w:t>
            </w:r>
          </w:p>
        </w:tc>
        <w:tc>
          <w:tcPr>
            <w:tcW w:w="4215" w:type="dxa"/>
            <w:tcBorders>
              <w:top w:val="single" w:color="auto" w:sz="4" w:space="0"/>
              <w:left w:val="single" w:color="auto" w:sz="4" w:space="0"/>
              <w:bottom w:val="single" w:color="auto" w:sz="4" w:space="0"/>
              <w:right w:val="single" w:color="auto" w:sz="4" w:space="0"/>
            </w:tcBorders>
            <w:vAlign w:val="center"/>
          </w:tcPr>
          <w:p>
            <w:pPr>
              <w:pStyle w:val="179"/>
              <w:keepNext w:val="0"/>
              <w:keepLines w:val="0"/>
              <w:rPr>
                <w:rFonts w:ascii="仿宋_GB2312" w:eastAsia="仿宋_GB2312" w:cs="宋体" w:hAnsiTheme="minorEastAsia"/>
                <w:sz w:val="21"/>
                <w:szCs w:val="21"/>
                <w:highlight w:val="none"/>
                <w:u w:val="single"/>
              </w:rPr>
            </w:pPr>
            <w:r>
              <w:rPr>
                <w:rFonts w:hint="eastAsia" w:ascii="仿宋_GB2312" w:eastAsia="仿宋_GB2312" w:hAnsiTheme="minorEastAsia"/>
                <w:sz w:val="21"/>
                <w:szCs w:val="21"/>
                <w:highlight w:val="none"/>
              </w:rPr>
              <w:t>投标保证金必须从投标人的基本账户以电汇的方式汇出，</w:t>
            </w:r>
            <w:r>
              <w:rPr>
                <w:rFonts w:hint="eastAsia" w:ascii="仿宋_GB2312" w:eastAsia="仿宋_GB2312" w:cs="宋体" w:hAnsiTheme="minorEastAsia"/>
                <w:sz w:val="21"/>
                <w:szCs w:val="21"/>
                <w:highlight w:val="none"/>
              </w:rPr>
              <w:t>投标保证金</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2</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万元，汇款账户详情见总则</w:t>
            </w:r>
            <w:r>
              <w:rPr>
                <w:rFonts w:hint="eastAsia" w:ascii="仿宋_GB2312" w:eastAsia="仿宋_GB2312" w:cs="宋体" w:hAnsiTheme="minorEastAsia"/>
                <w:color w:val="000000" w:themeColor="text1"/>
                <w:sz w:val="21"/>
                <w:szCs w:val="21"/>
                <w:highlight w:val="none"/>
              </w:rPr>
              <w:t>7.2。其他相关事项见总则</w:t>
            </w:r>
            <w:r>
              <w:rPr>
                <w:rFonts w:ascii="仿宋_GB2312" w:eastAsia="仿宋_GB2312" w:cs="宋体" w:hAnsiTheme="minorEastAsia"/>
                <w:color w:val="000000" w:themeColor="text1"/>
                <w:sz w:val="21"/>
                <w:szCs w:val="21"/>
                <w:highlight w:val="none"/>
              </w:rPr>
              <w:t>13</w:t>
            </w:r>
          </w:p>
        </w:tc>
      </w:tr>
      <w:tr>
        <w:tblPrEx>
          <w:tblLayout w:type="fixed"/>
          <w:tblCellMar>
            <w:top w:w="0" w:type="dxa"/>
            <w:left w:w="108" w:type="dxa"/>
            <w:bottom w:w="0" w:type="dxa"/>
            <w:right w:w="108" w:type="dxa"/>
          </w:tblCellMar>
        </w:tblPrEx>
        <w:trPr>
          <w:trHeight w:val="454" w:hRule="atLeast"/>
        </w:trPr>
        <w:tc>
          <w:tcPr>
            <w:tcW w:w="1098" w:type="dxa"/>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12</w:t>
            </w:r>
          </w:p>
        </w:tc>
        <w:tc>
          <w:tcPr>
            <w:tcW w:w="4120" w:type="dxa"/>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签字或盖章要求</w:t>
            </w:r>
          </w:p>
        </w:tc>
        <w:tc>
          <w:tcPr>
            <w:tcW w:w="4215" w:type="dxa"/>
            <w:tcBorders>
              <w:top w:val="single" w:color="auto" w:sz="4" w:space="0"/>
              <w:left w:val="single" w:color="auto" w:sz="4" w:space="0"/>
              <w:bottom w:val="single" w:color="auto" w:sz="4" w:space="0"/>
              <w:right w:val="single" w:color="auto" w:sz="4" w:space="0"/>
            </w:tcBorders>
            <w:vAlign w:val="center"/>
          </w:tcPr>
          <w:p>
            <w:pPr>
              <w:pStyle w:val="179"/>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法定代表人或委托代理人签字并盖单位章</w:t>
            </w:r>
          </w:p>
        </w:tc>
      </w:tr>
      <w:tr>
        <w:tblPrEx>
          <w:tblLayout w:type="fixed"/>
          <w:tblCellMar>
            <w:top w:w="0" w:type="dxa"/>
            <w:left w:w="108" w:type="dxa"/>
            <w:bottom w:w="0" w:type="dxa"/>
            <w:right w:w="108" w:type="dxa"/>
          </w:tblCellMar>
        </w:tblPrEx>
        <w:trPr>
          <w:trHeight w:val="454" w:hRule="atLeast"/>
        </w:trPr>
        <w:tc>
          <w:tcPr>
            <w:tcW w:w="1098" w:type="dxa"/>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13</w:t>
            </w:r>
          </w:p>
        </w:tc>
        <w:tc>
          <w:tcPr>
            <w:tcW w:w="4120" w:type="dxa"/>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投标文件副本份数</w:t>
            </w:r>
          </w:p>
        </w:tc>
        <w:tc>
          <w:tcPr>
            <w:tcW w:w="4215" w:type="dxa"/>
            <w:tcBorders>
              <w:top w:val="single" w:color="auto" w:sz="4" w:space="0"/>
              <w:left w:val="single" w:color="auto" w:sz="4" w:space="0"/>
              <w:bottom w:val="single" w:color="auto" w:sz="4" w:space="0"/>
              <w:right w:val="single" w:color="auto" w:sz="4" w:space="0"/>
            </w:tcBorders>
            <w:vAlign w:val="center"/>
          </w:tcPr>
          <w:p>
            <w:pPr>
              <w:pStyle w:val="179"/>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以招标人要求为准</w:t>
            </w:r>
          </w:p>
        </w:tc>
      </w:tr>
      <w:tr>
        <w:tblPrEx>
          <w:tblLayout w:type="fixed"/>
          <w:tblCellMar>
            <w:top w:w="0" w:type="dxa"/>
            <w:left w:w="108" w:type="dxa"/>
            <w:bottom w:w="0" w:type="dxa"/>
            <w:right w:w="108" w:type="dxa"/>
          </w:tblCellMar>
        </w:tblPrEx>
        <w:trPr>
          <w:trHeight w:val="454" w:hRule="atLeast"/>
        </w:trPr>
        <w:tc>
          <w:tcPr>
            <w:tcW w:w="1098" w:type="dxa"/>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4</w:t>
            </w:r>
          </w:p>
        </w:tc>
        <w:tc>
          <w:tcPr>
            <w:tcW w:w="4120" w:type="dxa"/>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装订要求</w:t>
            </w:r>
          </w:p>
        </w:tc>
        <w:tc>
          <w:tcPr>
            <w:tcW w:w="4215" w:type="dxa"/>
            <w:tcBorders>
              <w:top w:val="single" w:color="auto" w:sz="4" w:space="0"/>
              <w:left w:val="single" w:color="auto" w:sz="4" w:space="0"/>
              <w:bottom w:val="single" w:color="auto" w:sz="4" w:space="0"/>
              <w:right w:val="single" w:color="auto" w:sz="4" w:space="0"/>
            </w:tcBorders>
            <w:vAlign w:val="center"/>
          </w:tcPr>
          <w:p>
            <w:pPr>
              <w:pStyle w:val="179"/>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投标文件的正本与副本应分别装订成册，采用胶订、平订或线订等，不得采用活页装订方式</w:t>
            </w:r>
          </w:p>
        </w:tc>
      </w:tr>
      <w:tr>
        <w:tblPrEx>
          <w:tblLayout w:type="fixed"/>
          <w:tblCellMar>
            <w:top w:w="0" w:type="dxa"/>
            <w:left w:w="108" w:type="dxa"/>
            <w:bottom w:w="0" w:type="dxa"/>
            <w:right w:w="108" w:type="dxa"/>
          </w:tblCellMar>
        </w:tblPrEx>
        <w:trPr>
          <w:trHeight w:val="1090" w:hRule="atLeast"/>
        </w:trPr>
        <w:tc>
          <w:tcPr>
            <w:tcW w:w="1098" w:type="dxa"/>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5</w:t>
            </w:r>
          </w:p>
        </w:tc>
        <w:tc>
          <w:tcPr>
            <w:tcW w:w="4120" w:type="dxa"/>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封套</w:t>
            </w:r>
          </w:p>
        </w:tc>
        <w:tc>
          <w:tcPr>
            <w:tcW w:w="4215" w:type="dxa"/>
            <w:tcBorders>
              <w:top w:val="single" w:color="auto" w:sz="4" w:space="0"/>
              <w:left w:val="single" w:color="auto" w:sz="4" w:space="0"/>
              <w:bottom w:val="single" w:color="auto" w:sz="4" w:space="0"/>
              <w:right w:val="single" w:color="auto" w:sz="4" w:space="0"/>
            </w:tcBorders>
            <w:vAlign w:val="center"/>
          </w:tcPr>
          <w:p>
            <w:pPr>
              <w:pStyle w:val="179"/>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注明招标项目名称、招标编号/包件号和投标人全称，注明“在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 xml:space="preserve"> 2023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3</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2</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14</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时前不得开启”字样，密封处应有密封章</w:t>
            </w:r>
          </w:p>
        </w:tc>
      </w:tr>
      <w:tr>
        <w:tblPrEx>
          <w:tblLayout w:type="fixed"/>
          <w:tblCellMar>
            <w:top w:w="0" w:type="dxa"/>
            <w:left w:w="108" w:type="dxa"/>
            <w:bottom w:w="0" w:type="dxa"/>
            <w:right w:w="108" w:type="dxa"/>
          </w:tblCellMar>
        </w:tblPrEx>
        <w:trPr>
          <w:trHeight w:val="364" w:hRule="atLeast"/>
        </w:trPr>
        <w:tc>
          <w:tcPr>
            <w:tcW w:w="1098" w:type="dxa"/>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6</w:t>
            </w:r>
          </w:p>
        </w:tc>
        <w:tc>
          <w:tcPr>
            <w:tcW w:w="4120" w:type="dxa"/>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递交投标文件地点</w:t>
            </w:r>
          </w:p>
        </w:tc>
        <w:tc>
          <w:tcPr>
            <w:tcW w:w="4215" w:type="dxa"/>
            <w:tcBorders>
              <w:top w:val="single" w:color="auto" w:sz="4" w:space="0"/>
              <w:left w:val="single" w:color="auto" w:sz="4" w:space="0"/>
              <w:bottom w:val="single" w:color="auto" w:sz="4" w:space="0"/>
              <w:right w:val="single" w:color="auto" w:sz="4" w:space="0"/>
            </w:tcBorders>
            <w:vAlign w:val="center"/>
          </w:tcPr>
          <w:p>
            <w:pPr>
              <w:pStyle w:val="179"/>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见总则1</w:t>
            </w:r>
            <w:r>
              <w:rPr>
                <w:rFonts w:ascii="仿宋_GB2312" w:eastAsia="仿宋_GB2312" w:cs="宋体" w:hAnsiTheme="minorEastAsia"/>
                <w:sz w:val="21"/>
                <w:szCs w:val="21"/>
                <w:highlight w:val="none"/>
              </w:rPr>
              <w:t>8.1</w:t>
            </w:r>
            <w:r>
              <w:rPr>
                <w:rFonts w:hint="eastAsia" w:ascii="仿宋_GB2312" w:eastAsia="仿宋_GB2312" w:cs="宋体" w:hAnsiTheme="minorEastAsia"/>
                <w:sz w:val="21"/>
                <w:szCs w:val="21"/>
                <w:highlight w:val="none"/>
              </w:rPr>
              <w:t>或相关补遗文件</w:t>
            </w:r>
          </w:p>
        </w:tc>
      </w:tr>
      <w:tr>
        <w:tblPrEx>
          <w:tblLayout w:type="fixed"/>
          <w:tblCellMar>
            <w:top w:w="0" w:type="dxa"/>
            <w:left w:w="108" w:type="dxa"/>
            <w:bottom w:w="0" w:type="dxa"/>
            <w:right w:w="108" w:type="dxa"/>
          </w:tblCellMar>
        </w:tblPrEx>
        <w:trPr>
          <w:trHeight w:val="374" w:hRule="atLeast"/>
        </w:trPr>
        <w:tc>
          <w:tcPr>
            <w:tcW w:w="1098" w:type="dxa"/>
            <w:tcBorders>
              <w:top w:val="single" w:color="auto" w:sz="4" w:space="0"/>
              <w:left w:val="single" w:color="auto" w:sz="4" w:space="0"/>
              <w:right w:val="single" w:color="auto" w:sz="4" w:space="0"/>
            </w:tcBorders>
            <w:vAlign w:val="center"/>
          </w:tcPr>
          <w:p>
            <w:pPr>
              <w:pStyle w:val="179"/>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7</w:t>
            </w:r>
          </w:p>
        </w:tc>
        <w:tc>
          <w:tcPr>
            <w:tcW w:w="4120" w:type="dxa"/>
            <w:tcBorders>
              <w:top w:val="single" w:color="auto" w:sz="4" w:space="0"/>
              <w:left w:val="single" w:color="auto" w:sz="4" w:space="0"/>
              <w:right w:val="single" w:color="auto" w:sz="4" w:space="0"/>
            </w:tcBorders>
            <w:vAlign w:val="center"/>
          </w:tcPr>
          <w:p>
            <w:pPr>
              <w:pStyle w:val="179"/>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开标时间和地点</w:t>
            </w:r>
          </w:p>
        </w:tc>
        <w:tc>
          <w:tcPr>
            <w:tcW w:w="4215" w:type="dxa"/>
            <w:tcBorders>
              <w:top w:val="single" w:color="auto" w:sz="4" w:space="0"/>
              <w:left w:val="single" w:color="auto" w:sz="4" w:space="0"/>
              <w:right w:val="single" w:color="auto" w:sz="4" w:space="0"/>
            </w:tcBorders>
            <w:vAlign w:val="center"/>
          </w:tcPr>
          <w:p>
            <w:pPr>
              <w:pStyle w:val="179"/>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见招标公告及相关补遗文件</w:t>
            </w:r>
          </w:p>
        </w:tc>
      </w:tr>
      <w:tr>
        <w:tblPrEx>
          <w:tblLayout w:type="fixed"/>
          <w:tblCellMar>
            <w:top w:w="0" w:type="dxa"/>
            <w:left w:w="108" w:type="dxa"/>
            <w:bottom w:w="0" w:type="dxa"/>
            <w:right w:w="108" w:type="dxa"/>
          </w:tblCellMar>
        </w:tblPrEx>
        <w:trPr>
          <w:trHeight w:val="454" w:hRule="atLeast"/>
        </w:trPr>
        <w:tc>
          <w:tcPr>
            <w:tcW w:w="1098" w:type="dxa"/>
            <w:tcBorders>
              <w:top w:val="single" w:color="auto" w:sz="4" w:space="0"/>
              <w:left w:val="single" w:color="auto" w:sz="4" w:space="0"/>
              <w:right w:val="single" w:color="auto" w:sz="4" w:space="0"/>
            </w:tcBorders>
            <w:vAlign w:val="center"/>
          </w:tcPr>
          <w:p>
            <w:pPr>
              <w:pStyle w:val="179"/>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8</w:t>
            </w:r>
          </w:p>
        </w:tc>
        <w:tc>
          <w:tcPr>
            <w:tcW w:w="4120" w:type="dxa"/>
            <w:tcBorders>
              <w:top w:val="single" w:color="auto" w:sz="4" w:space="0"/>
              <w:left w:val="single" w:color="auto" w:sz="4" w:space="0"/>
              <w:right w:val="single" w:color="auto" w:sz="4" w:space="0"/>
            </w:tcBorders>
            <w:vAlign w:val="center"/>
          </w:tcPr>
          <w:p>
            <w:pPr>
              <w:pStyle w:val="179"/>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开标程序</w:t>
            </w:r>
          </w:p>
        </w:tc>
        <w:tc>
          <w:tcPr>
            <w:tcW w:w="4215" w:type="dxa"/>
            <w:tcBorders>
              <w:top w:val="single" w:color="auto" w:sz="4" w:space="0"/>
              <w:left w:val="single" w:color="auto" w:sz="4" w:space="0"/>
              <w:right w:val="single" w:color="auto" w:sz="4" w:space="0"/>
            </w:tcBorders>
            <w:vAlign w:val="center"/>
          </w:tcPr>
          <w:p>
            <w:pPr>
              <w:pStyle w:val="179"/>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现场开标程序</w:t>
            </w:r>
          </w:p>
          <w:p>
            <w:pPr>
              <w:pStyle w:val="179"/>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1.密封情况检查</w:t>
            </w:r>
          </w:p>
          <w:p>
            <w:pPr>
              <w:pStyle w:val="179"/>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2.开标顺序：随机</w:t>
            </w:r>
            <w:r>
              <w:rPr>
                <w:rFonts w:ascii="仿宋_GB2312" w:eastAsia="仿宋_GB2312" w:cs="宋体" w:hAnsiTheme="minorEastAsia"/>
                <w:sz w:val="21"/>
                <w:szCs w:val="21"/>
                <w:highlight w:val="none"/>
              </w:rPr>
              <w:t xml:space="preserve"> </w:t>
            </w:r>
          </w:p>
          <w:p>
            <w:pPr>
              <w:pStyle w:val="179"/>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3.投标人代表是否在开标记录上签字不影响开标记录的效力</w:t>
            </w:r>
          </w:p>
        </w:tc>
      </w:tr>
      <w:tr>
        <w:tblPrEx>
          <w:tblLayout w:type="fixed"/>
          <w:tblCellMar>
            <w:top w:w="0" w:type="dxa"/>
            <w:left w:w="108" w:type="dxa"/>
            <w:bottom w:w="0" w:type="dxa"/>
            <w:right w:w="108" w:type="dxa"/>
          </w:tblCellMar>
        </w:tblPrEx>
        <w:trPr>
          <w:trHeight w:val="454" w:hRule="atLeast"/>
        </w:trPr>
        <w:tc>
          <w:tcPr>
            <w:tcW w:w="1098" w:type="dxa"/>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9</w:t>
            </w:r>
          </w:p>
        </w:tc>
        <w:tc>
          <w:tcPr>
            <w:tcW w:w="4120" w:type="dxa"/>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w:t>
            </w:r>
          </w:p>
        </w:tc>
        <w:tc>
          <w:tcPr>
            <w:tcW w:w="4215" w:type="dxa"/>
            <w:tcBorders>
              <w:top w:val="single" w:color="auto" w:sz="4" w:space="0"/>
              <w:left w:val="single" w:color="auto" w:sz="4" w:space="0"/>
              <w:bottom w:val="single" w:color="auto" w:sz="4" w:space="0"/>
              <w:right w:val="single" w:color="auto" w:sz="4" w:space="0"/>
            </w:tcBorders>
            <w:vAlign w:val="center"/>
          </w:tcPr>
          <w:p>
            <w:pPr>
              <w:pStyle w:val="179"/>
              <w:keepNext w:val="0"/>
              <w:keepLines w:val="0"/>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sz w:val="21"/>
                <w:szCs w:val="21"/>
                <w:highlight w:val="none"/>
              </w:rPr>
              <w:t>履约保证金：</w:t>
            </w:r>
            <w:r>
              <w:rPr>
                <w:rFonts w:hint="eastAsia" w:ascii="仿宋_GB2312" w:eastAsia="仿宋_GB2312" w:cs="宋体" w:hAnsiTheme="minorEastAsia"/>
                <w:sz w:val="21"/>
                <w:szCs w:val="21"/>
                <w:highlight w:val="none"/>
                <w:lang w:val="en-US" w:eastAsia="zh-CN"/>
              </w:rPr>
              <w:t>2万。</w:t>
            </w:r>
          </w:p>
        </w:tc>
      </w:tr>
      <w:tr>
        <w:tblPrEx>
          <w:tblLayout w:type="fixed"/>
          <w:tblCellMar>
            <w:top w:w="0" w:type="dxa"/>
            <w:left w:w="108" w:type="dxa"/>
            <w:bottom w:w="0" w:type="dxa"/>
            <w:right w:w="108" w:type="dxa"/>
          </w:tblCellMar>
        </w:tblPrEx>
        <w:trPr>
          <w:trHeight w:val="454" w:hRule="atLeast"/>
        </w:trPr>
        <w:tc>
          <w:tcPr>
            <w:tcW w:w="1098" w:type="dxa"/>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hint="eastAsia"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2</w:t>
            </w:r>
            <w:r>
              <w:rPr>
                <w:rFonts w:ascii="仿宋_GB2312" w:eastAsia="仿宋_GB2312" w:cs="宋体" w:hAnsiTheme="minorEastAsia"/>
                <w:color w:val="000000" w:themeColor="text1"/>
                <w:sz w:val="21"/>
                <w:szCs w:val="21"/>
                <w:highlight w:val="none"/>
              </w:rPr>
              <w:t>0</w:t>
            </w:r>
          </w:p>
        </w:tc>
        <w:tc>
          <w:tcPr>
            <w:tcW w:w="4120" w:type="dxa"/>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物资计量方式：</w:t>
            </w:r>
          </w:p>
        </w:tc>
        <w:tc>
          <w:tcPr>
            <w:tcW w:w="4215" w:type="dxa"/>
            <w:tcBorders>
              <w:top w:val="single" w:color="auto" w:sz="4" w:space="0"/>
              <w:left w:val="single" w:color="auto" w:sz="4" w:space="0"/>
              <w:bottom w:val="single" w:color="auto" w:sz="4" w:space="0"/>
              <w:right w:val="single" w:color="auto" w:sz="4" w:space="0"/>
            </w:tcBorders>
            <w:vAlign w:val="center"/>
          </w:tcPr>
          <w:p>
            <w:pPr>
              <w:pStyle w:val="179"/>
              <w:keepNext w:val="0"/>
              <w:keepLines w:val="0"/>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过磅</w:t>
            </w:r>
            <w:r>
              <w:rPr>
                <w:rFonts w:hint="eastAsia" w:ascii="仿宋_GB2312" w:hAnsi="仿宋_GB2312" w:eastAsia="仿宋_GB2312" w:cs="仿宋_GB2312"/>
                <w:sz w:val="21"/>
                <w:szCs w:val="21"/>
                <w:highlight w:val="none"/>
                <w:lang w:eastAsia="zh-CN"/>
              </w:rPr>
              <w:sym w:font="Wingdings 2" w:char="00A3"/>
            </w:r>
            <w:r>
              <w:rPr>
                <w:rFonts w:hint="eastAsia" w:ascii="仿宋_GB2312" w:hAnsi="仿宋_GB2312" w:eastAsia="仿宋_GB2312" w:cs="仿宋_GB2312"/>
                <w:sz w:val="21"/>
                <w:szCs w:val="21"/>
                <w:highlight w:val="none"/>
              </w:rPr>
              <w:t>计件</w:t>
            </w:r>
            <w:r>
              <w:rPr>
                <w:rFonts w:hint="eastAsia" w:ascii="仿宋_GB2312" w:hAnsi="仿宋_GB2312" w:eastAsia="仿宋_GB2312" w:cs="仿宋_GB2312"/>
                <w:sz w:val="21"/>
                <w:szCs w:val="21"/>
                <w:highlight w:val="none"/>
              </w:rPr>
              <w:sym w:font="Wingdings 2" w:char="00A3"/>
            </w:r>
            <w:r>
              <w:rPr>
                <w:rFonts w:hint="eastAsia" w:ascii="仿宋_GB2312" w:eastAsia="仿宋_GB2312" w:cs="宋体" w:hAnsiTheme="minorEastAsia"/>
                <w:sz w:val="21"/>
                <w:szCs w:val="21"/>
                <w:highlight w:val="none"/>
              </w:rPr>
              <w:t xml:space="preserve"> 检尺□ 其他计量方式</w:t>
            </w:r>
            <w:r>
              <w:rPr>
                <w:rFonts w:hint="eastAsia" w:ascii="仿宋_GB2312" w:eastAsia="仿宋_GB2312" w:cs="宋体" w:hAnsiTheme="minorEastAsia"/>
                <w:sz w:val="21"/>
                <w:szCs w:val="21"/>
                <w:highlight w:val="none"/>
                <w:u w:val="single"/>
              </w:rPr>
              <w:t xml:space="preserve"> </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eastAsia="zh-CN"/>
              </w:rPr>
              <w:t>商混按方计量、其他物资计件计量</w:t>
            </w:r>
            <w:r>
              <w:rPr>
                <w:rFonts w:ascii="仿宋_GB2312" w:eastAsia="仿宋_GB2312" w:cs="宋体" w:hAnsiTheme="minorEastAsia"/>
                <w:sz w:val="21"/>
                <w:szCs w:val="21"/>
                <w:highlight w:val="none"/>
                <w:u w:val="single"/>
              </w:rPr>
              <w:t xml:space="preserve">   </w:t>
            </w:r>
          </w:p>
        </w:tc>
      </w:tr>
      <w:bookmarkEnd w:id="0"/>
      <w:bookmarkEnd w:id="1"/>
      <w:bookmarkEnd w:id="2"/>
      <w:bookmarkEnd w:id="3"/>
      <w:bookmarkEnd w:id="4"/>
      <w:bookmarkEnd w:id="5"/>
      <w:bookmarkEnd w:id="6"/>
    </w:tbl>
    <w:p>
      <w:pPr>
        <w:widowControl/>
        <w:jc w:val="left"/>
        <w:rPr>
          <w:rFonts w:ascii="仿宋_GB2312" w:eastAsia="仿宋_GB2312" w:cs="Times New Roman" w:hAnsiTheme="minorEastAsia"/>
          <w:b/>
          <w:bCs/>
          <w:sz w:val="28"/>
          <w:szCs w:val="28"/>
          <w:highlight w:val="none"/>
        </w:rPr>
      </w:pPr>
      <w:bookmarkStart w:id="7" w:name="_Toc31831"/>
      <w:bookmarkStart w:id="8" w:name="_Toc214339494"/>
      <w:bookmarkStart w:id="9" w:name="_Toc214333205"/>
      <w:bookmarkStart w:id="10" w:name="_Toc214336660"/>
      <w:r>
        <w:rPr>
          <w:rFonts w:ascii="仿宋_GB2312" w:eastAsia="仿宋_GB2312" w:cs="黑体" w:hAnsiTheme="minorEastAsia"/>
          <w:bCs/>
          <w:sz w:val="28"/>
          <w:szCs w:val="28"/>
          <w:highlight w:val="none"/>
        </w:rPr>
        <w:br w:type="page"/>
      </w:r>
      <w:r>
        <w:rPr>
          <w:rFonts w:hint="eastAsia" w:ascii="仿宋_GB2312" w:eastAsia="仿宋_GB2312" w:cs="黑体" w:hAnsiTheme="minorEastAsia"/>
          <w:b/>
          <w:sz w:val="28"/>
          <w:szCs w:val="28"/>
          <w:highlight w:val="none"/>
        </w:rPr>
        <w:t>一、总则</w:t>
      </w:r>
      <w:bookmarkEnd w:id="7"/>
      <w:bookmarkEnd w:id="8"/>
      <w:bookmarkEnd w:id="9"/>
      <w:bookmarkEnd w:id="10"/>
    </w:p>
    <w:p>
      <w:pPr>
        <w:pStyle w:val="179"/>
        <w:keepNext w:val="0"/>
        <w:keepLines w:val="0"/>
        <w:ind w:firstLine="482" w:firstLineChars="200"/>
        <w:jc w:val="left"/>
        <w:rPr>
          <w:rFonts w:ascii="仿宋_GB2312" w:eastAsia="仿宋_GB2312" w:hAnsiTheme="minorEastAsia"/>
          <w:b/>
          <w:bCs/>
          <w:highlight w:val="none"/>
        </w:rPr>
      </w:pPr>
      <w:bookmarkStart w:id="11" w:name="_Toc21102"/>
      <w:r>
        <w:rPr>
          <w:rFonts w:hint="eastAsia" w:ascii="仿宋_GB2312" w:eastAsia="仿宋_GB2312" w:cs="宋体" w:hAnsiTheme="minorEastAsia"/>
          <w:b/>
          <w:bCs/>
          <w:highlight w:val="none"/>
        </w:rPr>
        <w:t>1.项目概况</w:t>
      </w:r>
      <w:bookmarkEnd w:id="11"/>
    </w:p>
    <w:p>
      <w:pPr>
        <w:pStyle w:val="179"/>
        <w:keepNext w:val="0"/>
        <w:keepLines w:val="0"/>
        <w:ind w:firstLine="420" w:firstLineChars="200"/>
        <w:jc w:val="both"/>
        <w:rPr>
          <w:rFonts w:ascii="仿宋_GB2312" w:eastAsia="仿宋_GB2312" w:cs="宋体" w:hAnsiTheme="minorEastAsia"/>
          <w:sz w:val="21"/>
          <w:szCs w:val="21"/>
          <w:highlight w:val="none"/>
        </w:rPr>
      </w:pPr>
      <w:bookmarkStart w:id="12" w:name="_Toc27169"/>
      <w:r>
        <w:rPr>
          <w:rFonts w:hint="eastAsia" w:ascii="仿宋_GB2312" w:eastAsia="仿宋_GB2312" w:cs="宋体" w:hAnsiTheme="minorEastAsia"/>
          <w:sz w:val="21"/>
          <w:szCs w:val="21"/>
          <w:highlight w:val="none"/>
        </w:rPr>
        <w:t>1.1</w:t>
      </w:r>
      <w:r>
        <w:rPr>
          <w:rFonts w:hint="eastAsia" w:ascii="仿宋_GB2312" w:eastAsia="仿宋_GB2312" w:hAnsiTheme="minorEastAsia"/>
          <w:kern w:val="0"/>
          <w:sz w:val="21"/>
          <w:szCs w:val="21"/>
          <w:highlight w:val="none"/>
        </w:rPr>
        <w:t>坚持以习近平新时代中国特色社会主义思想为指导，全面贯彻党的</w:t>
      </w:r>
      <w:r>
        <w:rPr>
          <w:rFonts w:hint="eastAsia" w:ascii="仿宋_GB2312" w:eastAsia="仿宋_GB2312" w:hAnsiTheme="minorEastAsia"/>
          <w:kern w:val="0"/>
          <w:sz w:val="21"/>
          <w:szCs w:val="21"/>
          <w:highlight w:val="none"/>
          <w:lang w:val="en-US" w:eastAsia="zh-CN"/>
        </w:rPr>
        <w:t>二十</w:t>
      </w:r>
      <w:r>
        <w:rPr>
          <w:rFonts w:hint="eastAsia" w:ascii="仿宋_GB2312" w:eastAsia="仿宋_GB2312" w:hAnsiTheme="minorEastAsia"/>
          <w:kern w:val="0"/>
          <w:sz w:val="21"/>
          <w:szCs w:val="21"/>
          <w:highlight w:val="none"/>
        </w:rPr>
        <w:t>大精神。遵守自由、平等、公正、法治的社会主义核心价值观。</w:t>
      </w:r>
    </w:p>
    <w:p>
      <w:pPr>
        <w:pStyle w:val="179"/>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w:t>
      </w:r>
      <w:bookmarkEnd w:id="12"/>
      <w:r>
        <w:rPr>
          <w:rFonts w:hint="eastAsia" w:ascii="仿宋_GB2312" w:eastAsia="仿宋_GB2312" w:cs="宋体" w:hAnsiTheme="minorEastAsia"/>
          <w:sz w:val="21"/>
          <w:szCs w:val="21"/>
          <w:highlight w:val="none"/>
        </w:rPr>
        <w:t>2根据《中华人民共和国招标投标法》等有关法律、法规的规定，以及招标人相应管理办法，本招标项目有关物资采购已具备招标条件，现进行招标。</w:t>
      </w:r>
    </w:p>
    <w:p>
      <w:pPr>
        <w:pStyle w:val="179"/>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1.3招标编号：</w:t>
      </w:r>
      <w:r>
        <w:rPr>
          <w:rFonts w:hint="eastAsia" w:ascii="仿宋_GB2312" w:eastAsia="仿宋_GB2312" w:cs="宋体" w:hAnsiTheme="minorEastAsia"/>
          <w:sz w:val="21"/>
          <w:szCs w:val="21"/>
          <w:highlight w:val="none"/>
          <w:u w:val="single"/>
          <w:lang w:val="en-US" w:eastAsia="zh-CN"/>
        </w:rPr>
        <w:t>YHGS-FGZB-晋州项目-2023001</w:t>
      </w:r>
    </w:p>
    <w:p>
      <w:pPr>
        <w:pStyle w:val="179"/>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1.4项目名称：</w:t>
      </w:r>
      <w:r>
        <w:rPr>
          <w:rFonts w:hint="eastAsia" w:ascii="仿宋_GB2312" w:hAnsi="仿宋" w:eastAsia="仿宋_GB2312"/>
          <w:bCs/>
          <w:color w:val="000000" w:themeColor="text1"/>
          <w:sz w:val="21"/>
          <w:szCs w:val="21"/>
          <w:highlight w:val="none"/>
          <w:u w:val="single"/>
          <w:lang w:val="en-US" w:eastAsia="zh-CN"/>
        </w:rPr>
        <w:t>晋州市2022年营里镇片高标准农田建设项目一标段</w:t>
      </w:r>
      <w:r>
        <w:rPr>
          <w:rFonts w:hint="eastAsia" w:ascii="仿宋_GB2312" w:hAnsi="仿宋" w:eastAsia="仿宋_GB2312"/>
          <w:bCs/>
          <w:sz w:val="21"/>
          <w:szCs w:val="21"/>
          <w:highlight w:val="none"/>
        </w:rPr>
        <w:t>项目</w:t>
      </w:r>
    </w:p>
    <w:p>
      <w:pPr>
        <w:pStyle w:val="179"/>
        <w:keepNext w:val="0"/>
        <w:keepLines w:val="0"/>
        <w:ind w:firstLine="420" w:firstLineChars="200"/>
        <w:jc w:val="left"/>
        <w:rPr>
          <w:rFonts w:hint="default" w:ascii="仿宋_GB2312" w:eastAsia="仿宋_GB2312" w:cs="宋体" w:hAnsiTheme="minorEastAsia"/>
          <w:sz w:val="21"/>
          <w:szCs w:val="21"/>
          <w:highlight w:val="none"/>
          <w:u w:val="single"/>
          <w:lang w:val="en-US"/>
        </w:rPr>
      </w:pPr>
      <w:r>
        <w:rPr>
          <w:rFonts w:hint="eastAsia" w:ascii="仿宋_GB2312" w:eastAsia="仿宋_GB2312" w:cs="宋体" w:hAnsiTheme="minorEastAsia"/>
          <w:sz w:val="21"/>
          <w:szCs w:val="21"/>
          <w:highlight w:val="none"/>
        </w:rPr>
        <w:t>1.5项目地点：</w:t>
      </w:r>
      <w:r>
        <w:rPr>
          <w:rFonts w:hint="eastAsia" w:ascii="仿宋" w:hAnsi="仿宋" w:eastAsia="仿宋" w:cs="仿宋"/>
          <w:sz w:val="21"/>
          <w:szCs w:val="21"/>
          <w:highlight w:val="none"/>
          <w:u w:val="single"/>
          <w:lang w:val="en-US" w:eastAsia="zh-CN"/>
        </w:rPr>
        <w:t>石家庄市晋州县</w:t>
      </w:r>
    </w:p>
    <w:p>
      <w:pPr>
        <w:pStyle w:val="179"/>
        <w:keepNext w:val="0"/>
        <w:keepLines w:val="0"/>
        <w:ind w:firstLine="420" w:firstLineChars="200"/>
        <w:jc w:val="left"/>
        <w:rPr>
          <w:rFonts w:hint="default" w:ascii="仿宋_GB2312" w:eastAsia="仿宋_GB2312" w:cs="宋体" w:hAnsiTheme="minorEastAsia"/>
          <w:sz w:val="21"/>
          <w:szCs w:val="21"/>
          <w:highlight w:val="none"/>
          <w:u w:val="single"/>
          <w:lang w:val="en-US" w:eastAsia="zh-CN"/>
        </w:rPr>
      </w:pPr>
      <w:r>
        <w:rPr>
          <w:rFonts w:hint="eastAsia" w:ascii="仿宋_GB2312" w:eastAsia="仿宋_GB2312" w:cs="宋体" w:hAnsiTheme="minorEastAsia"/>
          <w:sz w:val="21"/>
          <w:szCs w:val="21"/>
          <w:highlight w:val="none"/>
        </w:rPr>
        <w:t>1.6项目现场条件：现场一切条件及运输过程中的各种障碍、各种意外费用等均由投标人自行考虑，费用自行承担。项目现场条件考察时间截止投标报价结束前，现场考察联系人：</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薛亚立</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，电话：</w:t>
      </w:r>
      <w:r>
        <w:rPr>
          <w:rFonts w:hint="eastAsia" w:ascii="仿宋_GB2312" w:eastAsia="仿宋_GB2312" w:cs="宋体" w:hAnsiTheme="minorEastAsia"/>
          <w:sz w:val="21"/>
          <w:szCs w:val="21"/>
          <w:highlight w:val="none"/>
          <w:u w:val="single"/>
          <w:lang w:val="en-US" w:eastAsia="zh-CN"/>
        </w:rPr>
        <w:t>18533151129</w:t>
      </w:r>
    </w:p>
    <w:p>
      <w:pPr>
        <w:pStyle w:val="179"/>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1.7工期</w:t>
      </w:r>
      <w:r>
        <w:rPr>
          <w:rFonts w:hint="eastAsia" w:ascii="宋体" w:hAnsi="宋体" w:eastAsia="宋体" w:cs="宋体"/>
          <w:sz w:val="21"/>
          <w:szCs w:val="21"/>
          <w:highlight w:val="none"/>
        </w:rPr>
        <w:t>：</w:t>
      </w:r>
      <w:r>
        <w:rPr>
          <w:rFonts w:hint="eastAsia" w:ascii="仿宋_GB2312" w:eastAsia="仿宋_GB2312" w:cs="宋体" w:hAnsiTheme="minorEastAsia"/>
          <w:sz w:val="21"/>
          <w:szCs w:val="21"/>
          <w:highlight w:val="none"/>
        </w:rPr>
        <w:t>计划供货期见招标公告。投标人应按照招标人对供货时间、质量、数量等要求，在招标人规定的期限之内组织招标人所需的物资进场。工期包括国家法定节假日、公休日和不可避免的交叉作业影响因素。</w:t>
      </w:r>
    </w:p>
    <w:p>
      <w:pPr>
        <w:pStyle w:val="179"/>
        <w:keepNext w:val="0"/>
        <w:keepLines w:val="0"/>
        <w:ind w:firstLine="482" w:firstLineChars="200"/>
        <w:jc w:val="left"/>
        <w:rPr>
          <w:rFonts w:ascii="仿宋_GB2312" w:eastAsia="仿宋_GB2312" w:hAnsiTheme="minorEastAsia"/>
          <w:b/>
          <w:bCs/>
          <w:highlight w:val="none"/>
        </w:rPr>
      </w:pPr>
      <w:bookmarkStart w:id="13" w:name="_Toc20775"/>
      <w:r>
        <w:rPr>
          <w:rFonts w:hint="eastAsia" w:ascii="仿宋_GB2312" w:eastAsia="仿宋_GB2312" w:cs="宋体" w:hAnsiTheme="minorEastAsia"/>
          <w:b/>
          <w:bCs/>
          <w:highlight w:val="none"/>
        </w:rPr>
        <w:t>2.招标人</w:t>
      </w:r>
      <w:bookmarkEnd w:id="13"/>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中建路桥集团</w:t>
      </w:r>
      <w:r>
        <w:rPr>
          <w:rFonts w:hint="eastAsia" w:ascii="仿宋_GB2312" w:eastAsia="仿宋_GB2312" w:hAnsiTheme="minorEastAsia"/>
          <w:sz w:val="21"/>
          <w:szCs w:val="21"/>
          <w:highlight w:val="none"/>
          <w:lang w:val="en-US" w:eastAsia="zh-CN"/>
        </w:rPr>
        <w:t>高速公路养护</w:t>
      </w:r>
      <w:r>
        <w:rPr>
          <w:rFonts w:hint="eastAsia" w:ascii="仿宋_GB2312" w:eastAsia="仿宋_GB2312" w:hAnsiTheme="minorEastAsia"/>
          <w:sz w:val="21"/>
          <w:szCs w:val="21"/>
          <w:highlight w:val="none"/>
        </w:rPr>
        <w:t>有限公司</w:t>
      </w:r>
    </w:p>
    <w:p>
      <w:pPr>
        <w:pStyle w:val="179"/>
        <w:keepNext w:val="0"/>
        <w:keepLines w:val="0"/>
        <w:ind w:firstLine="482" w:firstLineChars="200"/>
        <w:jc w:val="left"/>
        <w:rPr>
          <w:rFonts w:ascii="仿宋_GB2312" w:eastAsia="仿宋_GB2312" w:hAnsiTheme="minorEastAsia"/>
          <w:b/>
          <w:bCs/>
          <w:highlight w:val="none"/>
        </w:rPr>
      </w:pPr>
      <w:bookmarkStart w:id="14" w:name="_Toc6649"/>
      <w:r>
        <w:rPr>
          <w:rFonts w:hint="eastAsia" w:ascii="仿宋_GB2312" w:eastAsia="仿宋_GB2312" w:cs="宋体" w:hAnsiTheme="minorEastAsia"/>
          <w:b/>
          <w:bCs/>
          <w:highlight w:val="none"/>
        </w:rPr>
        <w:t>3.采购资金来源</w:t>
      </w:r>
      <w:bookmarkEnd w:id="14"/>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项目结算工程款</w:t>
      </w:r>
    </w:p>
    <w:p>
      <w:pPr>
        <w:pStyle w:val="179"/>
        <w:keepNext w:val="0"/>
        <w:keepLines w:val="0"/>
        <w:ind w:firstLine="482" w:firstLineChars="200"/>
        <w:jc w:val="left"/>
        <w:rPr>
          <w:rFonts w:ascii="仿宋_GB2312" w:eastAsia="仿宋_GB2312" w:hAnsiTheme="minorEastAsia"/>
          <w:b/>
          <w:bCs/>
          <w:highlight w:val="none"/>
        </w:rPr>
      </w:pPr>
      <w:bookmarkStart w:id="15" w:name="_Toc30721"/>
      <w:r>
        <w:rPr>
          <w:rFonts w:hint="eastAsia" w:ascii="仿宋_GB2312" w:eastAsia="仿宋_GB2312" w:cs="宋体" w:hAnsiTheme="minorEastAsia"/>
          <w:b/>
          <w:bCs/>
          <w:highlight w:val="none"/>
        </w:rPr>
        <w:t>4.招标物资、包件划分和要求</w:t>
      </w:r>
      <w:bookmarkEnd w:id="15"/>
    </w:p>
    <w:p>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4.1本次招标采购物资为中建路桥集团有限公司</w:t>
      </w:r>
      <w:r>
        <w:rPr>
          <w:rFonts w:hint="eastAsia" w:ascii="仿宋" w:hAnsi="仿宋" w:eastAsia="仿宋" w:cs="仿宋"/>
          <w:sz w:val="21"/>
          <w:szCs w:val="21"/>
          <w:highlight w:val="none"/>
          <w:u w:val="single"/>
          <w:lang w:eastAsia="zh-CN"/>
        </w:rPr>
        <w:t>中建路桥集团</w:t>
      </w:r>
      <w:r>
        <w:rPr>
          <w:rFonts w:hint="eastAsia" w:ascii="仿宋" w:hAnsi="仿宋" w:eastAsia="仿宋" w:cs="仿宋"/>
          <w:sz w:val="21"/>
          <w:szCs w:val="21"/>
          <w:highlight w:val="none"/>
          <w:u w:val="single"/>
          <w:lang w:val="en-US" w:eastAsia="zh-CN"/>
        </w:rPr>
        <w:t>高速公路养护</w:t>
      </w:r>
      <w:r>
        <w:rPr>
          <w:rFonts w:hint="eastAsia" w:ascii="仿宋" w:hAnsi="仿宋" w:eastAsia="仿宋" w:cs="仿宋"/>
          <w:sz w:val="21"/>
          <w:szCs w:val="21"/>
          <w:highlight w:val="none"/>
          <w:u w:val="single"/>
          <w:lang w:eastAsia="zh-CN"/>
        </w:rPr>
        <w:t>有限公司</w:t>
      </w:r>
      <w:r>
        <w:rPr>
          <w:rFonts w:hint="eastAsia" w:ascii="仿宋_GB2312" w:hAnsi="仿宋" w:eastAsia="仿宋_GB2312"/>
          <w:bCs/>
          <w:color w:val="000000" w:themeColor="text1"/>
          <w:sz w:val="21"/>
          <w:szCs w:val="21"/>
          <w:highlight w:val="none"/>
          <w:u w:val="single"/>
          <w:lang w:val="en-US" w:eastAsia="zh-CN"/>
        </w:rPr>
        <w:t>晋州市2022年营里镇片高标准农田建设项目</w:t>
      </w:r>
      <w:r>
        <w:rPr>
          <w:rFonts w:hint="eastAsia" w:ascii="仿宋_GB2312" w:eastAsia="仿宋_GB2312" w:hAnsiTheme="minorEastAsia"/>
          <w:sz w:val="21"/>
          <w:szCs w:val="21"/>
          <w:highlight w:val="none"/>
        </w:rPr>
        <w:t>项目所需</w:t>
      </w:r>
      <w:r>
        <w:rPr>
          <w:rFonts w:hint="eastAsia" w:ascii="仿宋_GB2312" w:eastAsia="仿宋_GB2312" w:hAnsiTheme="minorEastAsia"/>
          <w:b/>
          <w:bCs/>
          <w:sz w:val="21"/>
          <w:szCs w:val="21"/>
          <w:highlight w:val="none"/>
          <w:u w:val="single"/>
        </w:rPr>
        <w:t xml:space="preserve"> </w:t>
      </w:r>
      <w:r>
        <w:rPr>
          <w:rFonts w:hint="eastAsia" w:ascii="仿宋_GB2312" w:eastAsia="仿宋_GB2312" w:hAnsiTheme="minorEastAsia"/>
          <w:b/>
          <w:bCs/>
          <w:sz w:val="21"/>
          <w:szCs w:val="21"/>
          <w:highlight w:val="none"/>
          <w:u w:val="single"/>
          <w:lang w:val="en-US" w:eastAsia="zh-CN"/>
        </w:rPr>
        <w:t>商品混凝土</w:t>
      </w:r>
      <w:r>
        <w:rPr>
          <w:rFonts w:hint="eastAsia" w:ascii="仿宋_GB2312" w:eastAsia="仿宋_GB2312" w:cs="宋体" w:hAnsiTheme="minorEastAsia"/>
          <w:b/>
          <w:bCs/>
          <w:sz w:val="21"/>
          <w:szCs w:val="21"/>
          <w:highlight w:val="none"/>
          <w:u w:val="single"/>
          <w:lang w:val="en-US" w:eastAsia="zh-CN"/>
        </w:rPr>
        <w:t>、 井首装置、水泵及配件</w:t>
      </w:r>
      <w:r>
        <w:rPr>
          <w:rFonts w:hint="eastAsia" w:ascii="仿宋_GB2312" w:eastAsia="仿宋_GB2312" w:hAnsiTheme="minorEastAsia"/>
          <w:b/>
          <w:bCs/>
          <w:sz w:val="21"/>
          <w:szCs w:val="21"/>
          <w:highlight w:val="none"/>
          <w:u w:val="single"/>
        </w:rPr>
        <w:t xml:space="preserve"> </w:t>
      </w:r>
      <w:r>
        <w:rPr>
          <w:rFonts w:hint="eastAsia" w:ascii="仿宋_GB2312" w:eastAsia="仿宋_GB2312" w:hAnsiTheme="minorEastAsia"/>
          <w:sz w:val="21"/>
          <w:szCs w:val="21"/>
          <w:highlight w:val="none"/>
        </w:rPr>
        <w:t>。具体数量详见下表。</w:t>
      </w:r>
    </w:p>
    <w:p>
      <w:pPr>
        <w:pStyle w:val="2"/>
        <w:rPr>
          <w:rFonts w:hint="eastAsia" w:ascii="仿宋_GB2312" w:eastAsia="仿宋_GB2312" w:hAnsiTheme="minorEastAsia"/>
          <w:sz w:val="21"/>
          <w:szCs w:val="21"/>
          <w:highlight w:val="none"/>
        </w:rPr>
      </w:pPr>
    </w:p>
    <w:p>
      <w:pPr>
        <w:pStyle w:val="2"/>
        <w:rPr>
          <w:rFonts w:hint="eastAsia" w:ascii="仿宋_GB2312" w:eastAsia="仿宋_GB2312" w:hAnsiTheme="minorEastAsia"/>
          <w:sz w:val="21"/>
          <w:szCs w:val="21"/>
          <w:highlight w:val="none"/>
        </w:rPr>
      </w:pPr>
    </w:p>
    <w:p>
      <w:pPr>
        <w:pStyle w:val="2"/>
        <w:rPr>
          <w:rFonts w:hint="eastAsia" w:ascii="仿宋_GB2312" w:eastAsia="仿宋_GB2312" w:hAnsiTheme="minorEastAsia"/>
          <w:sz w:val="21"/>
          <w:szCs w:val="21"/>
          <w:highlight w:val="none"/>
        </w:rPr>
      </w:pPr>
    </w:p>
    <w:p>
      <w:pPr>
        <w:pStyle w:val="2"/>
        <w:rPr>
          <w:rFonts w:hint="eastAsia" w:ascii="仿宋_GB2312" w:eastAsia="仿宋_GB2312" w:hAnsiTheme="minorEastAsia"/>
          <w:sz w:val="21"/>
          <w:szCs w:val="21"/>
          <w:highlight w:val="none"/>
        </w:rPr>
      </w:pPr>
    </w:p>
    <w:p>
      <w:pPr>
        <w:pStyle w:val="2"/>
        <w:rPr>
          <w:rFonts w:hint="eastAsia" w:ascii="仿宋_GB2312" w:eastAsia="仿宋_GB2312" w:hAnsiTheme="minorEastAsia"/>
          <w:sz w:val="21"/>
          <w:szCs w:val="21"/>
          <w:highlight w:val="none"/>
        </w:rPr>
      </w:pPr>
    </w:p>
    <w:p>
      <w:pPr>
        <w:pStyle w:val="2"/>
        <w:rPr>
          <w:rFonts w:hint="eastAsia" w:ascii="仿宋_GB2312" w:eastAsia="仿宋_GB2312" w:hAnsiTheme="minorEastAsia"/>
          <w:sz w:val="21"/>
          <w:szCs w:val="21"/>
          <w:highlight w:val="none"/>
        </w:rPr>
      </w:pPr>
    </w:p>
    <w:p>
      <w:pPr>
        <w:pStyle w:val="2"/>
        <w:rPr>
          <w:rFonts w:hint="eastAsia" w:ascii="仿宋_GB2312" w:eastAsia="仿宋_GB2312" w:hAnsiTheme="minorEastAsia"/>
          <w:sz w:val="21"/>
          <w:szCs w:val="21"/>
          <w:highlight w:val="none"/>
        </w:rPr>
      </w:pPr>
    </w:p>
    <w:p>
      <w:pPr>
        <w:pStyle w:val="2"/>
        <w:rPr>
          <w:rFonts w:hint="eastAsia" w:ascii="仿宋_GB2312" w:eastAsia="仿宋_GB2312" w:hAnsiTheme="minorEastAsia"/>
          <w:sz w:val="21"/>
          <w:szCs w:val="21"/>
          <w:highlight w:val="none"/>
        </w:rPr>
      </w:pPr>
    </w:p>
    <w:p>
      <w:pPr>
        <w:pStyle w:val="2"/>
        <w:rPr>
          <w:rFonts w:hint="eastAsia" w:ascii="仿宋_GB2312" w:eastAsia="仿宋_GB2312" w:hAnsiTheme="minorEastAsia"/>
          <w:sz w:val="21"/>
          <w:szCs w:val="21"/>
          <w:highlight w:val="none"/>
        </w:rPr>
      </w:pPr>
    </w:p>
    <w:p>
      <w:pPr>
        <w:pStyle w:val="2"/>
        <w:rPr>
          <w:rFonts w:hint="eastAsia" w:ascii="仿宋_GB2312" w:eastAsia="仿宋_GB2312" w:hAnsiTheme="minorEastAsia"/>
          <w:sz w:val="21"/>
          <w:szCs w:val="21"/>
          <w:highlight w:val="none"/>
        </w:rPr>
      </w:pPr>
    </w:p>
    <w:p>
      <w:pPr>
        <w:pStyle w:val="2"/>
        <w:rPr>
          <w:rFonts w:hint="eastAsia" w:ascii="仿宋_GB2312" w:eastAsia="仿宋_GB2312" w:hAnsiTheme="minorEastAsia"/>
          <w:sz w:val="21"/>
          <w:szCs w:val="21"/>
          <w:highlight w:val="none"/>
        </w:rPr>
      </w:pPr>
    </w:p>
    <w:tbl>
      <w:tblPr>
        <w:tblStyle w:val="34"/>
        <w:tblpPr w:leftFromText="181" w:rightFromText="181" w:vertAnchor="text" w:horzAnchor="page" w:tblpX="1537" w:tblpY="364"/>
        <w:tblW w:w="9099" w:type="dxa"/>
        <w:tblInd w:w="0" w:type="dxa"/>
        <w:tblLayout w:type="fixed"/>
        <w:tblCellMar>
          <w:top w:w="17" w:type="dxa"/>
          <w:left w:w="17" w:type="dxa"/>
          <w:bottom w:w="17" w:type="dxa"/>
          <w:right w:w="17" w:type="dxa"/>
        </w:tblCellMar>
      </w:tblPr>
      <w:tblGrid>
        <w:gridCol w:w="770"/>
        <w:gridCol w:w="2159"/>
        <w:gridCol w:w="2004"/>
        <w:gridCol w:w="1387"/>
        <w:gridCol w:w="1542"/>
        <w:gridCol w:w="1237"/>
      </w:tblGrid>
      <w:tr>
        <w:tblPrEx>
          <w:tblLayout w:type="fixed"/>
          <w:tblCellMar>
            <w:top w:w="17" w:type="dxa"/>
            <w:left w:w="17" w:type="dxa"/>
            <w:bottom w:w="17" w:type="dxa"/>
            <w:right w:w="17" w:type="dxa"/>
          </w:tblCellMar>
        </w:tblPrEx>
        <w:trPr>
          <w:trHeight w:val="454" w:hRule="exact"/>
        </w:trPr>
        <w:tc>
          <w:tcPr>
            <w:tcW w:w="77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_GB2312" w:eastAsia="仿宋_GB2312"/>
                <w:sz w:val="21"/>
                <w:szCs w:val="21"/>
                <w:highlight w:val="none"/>
              </w:rPr>
            </w:pPr>
            <w:r>
              <w:rPr>
                <w:rFonts w:hint="eastAsia" w:ascii="仿宋_GB2312" w:eastAsia="仿宋_GB2312"/>
                <w:sz w:val="21"/>
                <w:szCs w:val="21"/>
                <w:highlight w:val="none"/>
              </w:rPr>
              <w:t>序号</w:t>
            </w:r>
          </w:p>
        </w:tc>
        <w:tc>
          <w:tcPr>
            <w:tcW w:w="215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_GB2312" w:eastAsia="仿宋_GB2312"/>
                <w:sz w:val="21"/>
                <w:szCs w:val="21"/>
                <w:highlight w:val="none"/>
              </w:rPr>
            </w:pPr>
            <w:r>
              <w:rPr>
                <w:rFonts w:hint="eastAsia" w:ascii="仿宋_GB2312" w:eastAsia="仿宋_GB2312"/>
                <w:sz w:val="21"/>
                <w:szCs w:val="21"/>
                <w:highlight w:val="none"/>
              </w:rPr>
              <w:t>物资名称</w:t>
            </w:r>
          </w:p>
        </w:tc>
        <w:tc>
          <w:tcPr>
            <w:tcW w:w="200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_GB2312" w:eastAsia="仿宋_GB2312"/>
                <w:sz w:val="21"/>
                <w:szCs w:val="21"/>
                <w:highlight w:val="none"/>
              </w:rPr>
            </w:pPr>
            <w:r>
              <w:rPr>
                <w:rFonts w:hint="eastAsia" w:ascii="仿宋_GB2312" w:eastAsia="仿宋_GB2312"/>
                <w:sz w:val="21"/>
                <w:szCs w:val="21"/>
                <w:highlight w:val="none"/>
              </w:rPr>
              <w:t>规格型号</w:t>
            </w:r>
          </w:p>
        </w:tc>
        <w:tc>
          <w:tcPr>
            <w:tcW w:w="138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_GB2312" w:eastAsia="仿宋_GB2312"/>
                <w:sz w:val="21"/>
                <w:szCs w:val="21"/>
                <w:highlight w:val="none"/>
              </w:rPr>
            </w:pPr>
            <w:r>
              <w:rPr>
                <w:rFonts w:hint="eastAsia" w:ascii="仿宋_GB2312" w:eastAsia="仿宋_GB2312"/>
                <w:sz w:val="21"/>
                <w:szCs w:val="21"/>
                <w:highlight w:val="none"/>
              </w:rPr>
              <w:t>单位</w:t>
            </w:r>
          </w:p>
        </w:tc>
        <w:tc>
          <w:tcPr>
            <w:tcW w:w="1542" w:type="dxa"/>
            <w:tcBorders>
              <w:top w:val="single" w:color="000000" w:sz="4" w:space="0"/>
              <w:left w:val="single" w:color="000000" w:sz="4" w:space="0"/>
              <w:bottom w:val="single" w:color="000000" w:sz="4" w:space="0"/>
              <w:right w:val="single" w:color="auto" w:sz="4" w:space="0"/>
            </w:tcBorders>
            <w:vAlign w:val="center"/>
          </w:tcPr>
          <w:p>
            <w:pPr>
              <w:spacing w:line="240" w:lineRule="auto"/>
              <w:jc w:val="center"/>
              <w:rPr>
                <w:rFonts w:ascii="仿宋_GB2312" w:eastAsia="仿宋_GB2312"/>
                <w:sz w:val="21"/>
                <w:szCs w:val="21"/>
                <w:highlight w:val="none"/>
              </w:rPr>
            </w:pPr>
            <w:r>
              <w:rPr>
                <w:rFonts w:hint="eastAsia" w:ascii="仿宋_GB2312" w:eastAsia="仿宋_GB2312"/>
                <w:sz w:val="21"/>
                <w:szCs w:val="21"/>
                <w:highlight w:val="none"/>
              </w:rPr>
              <w:t>数量</w:t>
            </w:r>
          </w:p>
        </w:tc>
        <w:tc>
          <w:tcPr>
            <w:tcW w:w="1237" w:type="dxa"/>
            <w:tcBorders>
              <w:top w:val="single" w:color="000000" w:sz="4" w:space="0"/>
              <w:left w:val="single" w:color="auto" w:sz="4" w:space="0"/>
              <w:bottom w:val="single" w:color="000000" w:sz="4" w:space="0"/>
              <w:right w:val="single" w:color="000000" w:sz="4" w:space="0"/>
            </w:tcBorders>
            <w:vAlign w:val="center"/>
          </w:tcPr>
          <w:p>
            <w:pPr>
              <w:spacing w:line="240" w:lineRule="auto"/>
              <w:jc w:val="center"/>
              <w:rPr>
                <w:rFonts w:ascii="仿宋_GB2312" w:eastAsia="仿宋_GB2312"/>
                <w:sz w:val="21"/>
                <w:szCs w:val="21"/>
                <w:highlight w:val="none"/>
              </w:rPr>
            </w:pPr>
            <w:r>
              <w:rPr>
                <w:rFonts w:hint="eastAsia" w:ascii="仿宋_GB2312" w:eastAsia="仿宋_GB2312"/>
                <w:sz w:val="21"/>
                <w:szCs w:val="21"/>
                <w:highlight w:val="none"/>
              </w:rPr>
              <w:t>备注</w:t>
            </w:r>
          </w:p>
        </w:tc>
      </w:tr>
      <w:tr>
        <w:tblPrEx>
          <w:tblLayout w:type="fixed"/>
          <w:tblCellMar>
            <w:top w:w="17" w:type="dxa"/>
            <w:left w:w="17" w:type="dxa"/>
            <w:bottom w:w="17" w:type="dxa"/>
            <w:right w:w="17" w:type="dxa"/>
          </w:tblCellMar>
        </w:tblPrEx>
        <w:trPr>
          <w:trHeight w:val="454" w:hRule="exact"/>
        </w:trPr>
        <w:tc>
          <w:tcPr>
            <w:tcW w:w="7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w:t>
            </w:r>
          </w:p>
        </w:tc>
        <w:tc>
          <w:tcPr>
            <w:tcW w:w="21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商品混凝土</w:t>
            </w:r>
          </w:p>
        </w:tc>
        <w:tc>
          <w:tcPr>
            <w:tcW w:w="2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C25</w:t>
            </w:r>
          </w:p>
        </w:tc>
        <w:tc>
          <w:tcPr>
            <w:tcW w:w="13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立方</w:t>
            </w:r>
          </w:p>
        </w:tc>
        <w:tc>
          <w:tcPr>
            <w:tcW w:w="1542"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spacing w:line="240" w:lineRule="auto"/>
              <w:jc w:val="center"/>
              <w:textAlignment w:val="center"/>
              <w:rPr>
                <w:rFonts w:hint="default"/>
                <w:highlight w:val="none"/>
                <w:lang w:val="en-US" w:eastAsia="zh-CN"/>
              </w:rPr>
            </w:pPr>
            <w:r>
              <w:rPr>
                <w:rFonts w:hint="eastAsia" w:ascii="仿宋" w:hAnsi="仿宋" w:eastAsia="仿宋" w:cs="仿宋"/>
                <w:sz w:val="21"/>
                <w:szCs w:val="21"/>
                <w:highlight w:val="none"/>
                <w:lang w:val="en-US" w:eastAsia="zh-CN"/>
              </w:rPr>
              <w:t>5600</w:t>
            </w:r>
          </w:p>
        </w:tc>
        <w:tc>
          <w:tcPr>
            <w:tcW w:w="1237" w:type="dxa"/>
            <w:vMerge w:val="restart"/>
            <w:tcBorders>
              <w:top w:val="single" w:color="000000" w:sz="4" w:space="0"/>
              <w:left w:val="single" w:color="auto"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仿宋" w:hAnsi="仿宋" w:eastAsia="仿宋" w:cs="仿宋"/>
                <w:sz w:val="21"/>
                <w:szCs w:val="21"/>
                <w:highlight w:val="none"/>
                <w:lang w:val="en-US" w:eastAsia="zh-CN"/>
              </w:rPr>
            </w:pPr>
          </w:p>
          <w:p>
            <w:pPr>
              <w:keepNext w:val="0"/>
              <w:keepLines w:val="0"/>
              <w:widowControl/>
              <w:suppressLineNumbers w:val="0"/>
              <w:spacing w:line="240" w:lineRule="auto"/>
              <w:jc w:val="center"/>
              <w:textAlignment w:val="center"/>
              <w:rPr>
                <w:rFonts w:hint="eastAsia" w:ascii="仿宋" w:hAnsi="仿宋" w:eastAsia="仿宋" w:cs="仿宋"/>
                <w:sz w:val="21"/>
                <w:szCs w:val="21"/>
                <w:highlight w:val="none"/>
                <w:lang w:val="en-US" w:eastAsia="zh-CN"/>
              </w:rPr>
            </w:pPr>
          </w:p>
          <w:p>
            <w:pPr>
              <w:keepNext w:val="0"/>
              <w:keepLines w:val="0"/>
              <w:widowControl/>
              <w:suppressLineNumbers w:val="0"/>
              <w:spacing w:line="240" w:lineRule="auto"/>
              <w:jc w:val="center"/>
              <w:textAlignment w:val="center"/>
              <w:rPr>
                <w:rFonts w:hint="eastAsia" w:ascii="仿宋" w:hAnsi="仿宋" w:eastAsia="仿宋" w:cs="仿宋"/>
                <w:sz w:val="21"/>
                <w:szCs w:val="21"/>
                <w:highlight w:val="none"/>
                <w:lang w:val="en-US" w:eastAsia="zh-CN"/>
              </w:rPr>
            </w:pPr>
          </w:p>
          <w:p>
            <w:pPr>
              <w:keepNext w:val="0"/>
              <w:keepLines w:val="0"/>
              <w:widowControl/>
              <w:suppressLineNumbers w:val="0"/>
              <w:spacing w:line="240" w:lineRule="auto"/>
              <w:jc w:val="center"/>
              <w:textAlignment w:val="center"/>
              <w:rPr>
                <w:rFonts w:hint="eastAsia" w:ascii="仿宋" w:hAnsi="仿宋" w:eastAsia="仿宋" w:cs="仿宋"/>
                <w:sz w:val="21"/>
                <w:szCs w:val="21"/>
                <w:highlight w:val="none"/>
                <w:lang w:val="en-US" w:eastAsia="zh-CN"/>
              </w:rPr>
            </w:pPr>
          </w:p>
          <w:p>
            <w:pPr>
              <w:pStyle w:val="2"/>
              <w:spacing w:line="240" w:lineRule="auto"/>
              <w:rPr>
                <w:rFonts w:hint="eastAsia"/>
                <w:highlight w:val="none"/>
                <w:lang w:val="en-US" w:eastAsia="zh-CN"/>
              </w:rPr>
            </w:pPr>
          </w:p>
          <w:p>
            <w:pPr>
              <w:keepNext w:val="0"/>
              <w:keepLines w:val="0"/>
              <w:widowControl/>
              <w:suppressLineNumbers w:val="0"/>
              <w:spacing w:line="240" w:lineRule="auto"/>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符合相关技术规范要求</w:t>
            </w:r>
          </w:p>
          <w:p>
            <w:pPr>
              <w:keepNext w:val="0"/>
              <w:keepLines w:val="0"/>
              <w:widowControl/>
              <w:suppressLineNumbers w:val="0"/>
              <w:spacing w:line="240" w:lineRule="auto"/>
              <w:jc w:val="center"/>
              <w:textAlignment w:val="center"/>
              <w:rPr>
                <w:rFonts w:hint="eastAsia" w:ascii="仿宋" w:hAnsi="仿宋" w:eastAsia="仿宋" w:cs="仿宋"/>
                <w:sz w:val="21"/>
                <w:szCs w:val="21"/>
                <w:highlight w:val="none"/>
                <w:lang w:val="en-US" w:eastAsia="zh-CN"/>
              </w:rPr>
            </w:pPr>
          </w:p>
          <w:p>
            <w:pPr>
              <w:keepNext w:val="0"/>
              <w:keepLines w:val="0"/>
              <w:widowControl/>
              <w:suppressLineNumbers w:val="0"/>
              <w:spacing w:line="240" w:lineRule="auto"/>
              <w:jc w:val="center"/>
              <w:textAlignment w:val="center"/>
              <w:rPr>
                <w:rFonts w:hint="eastAsia" w:ascii="仿宋" w:hAnsi="仿宋" w:eastAsia="仿宋" w:cs="仿宋"/>
                <w:sz w:val="21"/>
                <w:szCs w:val="21"/>
                <w:highlight w:val="none"/>
                <w:lang w:val="en-US" w:eastAsia="zh-CN"/>
              </w:rPr>
            </w:pPr>
          </w:p>
          <w:p>
            <w:pPr>
              <w:keepNext w:val="0"/>
              <w:keepLines w:val="0"/>
              <w:widowControl/>
              <w:suppressLineNumbers w:val="0"/>
              <w:spacing w:line="240" w:lineRule="auto"/>
              <w:jc w:val="center"/>
              <w:textAlignment w:val="center"/>
              <w:rPr>
                <w:rFonts w:hint="eastAsia" w:ascii="仿宋" w:hAnsi="仿宋" w:eastAsia="仿宋" w:cs="仿宋"/>
                <w:sz w:val="21"/>
                <w:szCs w:val="21"/>
                <w:highlight w:val="none"/>
                <w:lang w:val="en-US" w:eastAsia="zh-CN"/>
              </w:rPr>
            </w:pPr>
          </w:p>
          <w:p>
            <w:pPr>
              <w:keepNext w:val="0"/>
              <w:keepLines w:val="0"/>
              <w:widowControl/>
              <w:suppressLineNumbers w:val="0"/>
              <w:spacing w:line="240" w:lineRule="auto"/>
              <w:jc w:val="center"/>
              <w:textAlignment w:val="center"/>
              <w:rPr>
                <w:rFonts w:hint="eastAsia" w:ascii="仿宋" w:hAnsi="仿宋" w:eastAsia="仿宋" w:cs="仿宋"/>
                <w:sz w:val="21"/>
                <w:szCs w:val="21"/>
                <w:highlight w:val="none"/>
                <w:lang w:val="en-US" w:eastAsia="zh-CN"/>
              </w:rPr>
            </w:pPr>
          </w:p>
          <w:p>
            <w:pPr>
              <w:keepNext w:val="0"/>
              <w:keepLines w:val="0"/>
              <w:widowControl/>
              <w:suppressLineNumbers w:val="0"/>
              <w:spacing w:line="240" w:lineRule="auto"/>
              <w:jc w:val="center"/>
              <w:textAlignment w:val="center"/>
              <w:rPr>
                <w:rFonts w:hint="eastAsia" w:ascii="仿宋" w:hAnsi="仿宋" w:eastAsia="仿宋" w:cs="仿宋"/>
                <w:sz w:val="21"/>
                <w:szCs w:val="21"/>
                <w:highlight w:val="none"/>
                <w:lang w:val="en-US" w:eastAsia="zh-CN"/>
              </w:rPr>
            </w:pPr>
          </w:p>
          <w:p>
            <w:pPr>
              <w:keepNext w:val="0"/>
              <w:keepLines w:val="0"/>
              <w:widowControl/>
              <w:suppressLineNumbers w:val="0"/>
              <w:spacing w:line="240" w:lineRule="auto"/>
              <w:jc w:val="both"/>
              <w:textAlignment w:val="center"/>
              <w:rPr>
                <w:rFonts w:hint="eastAsia" w:ascii="仿宋" w:hAnsi="仿宋" w:eastAsia="仿宋" w:cs="仿宋"/>
                <w:sz w:val="21"/>
                <w:szCs w:val="21"/>
                <w:highlight w:val="none"/>
                <w:lang w:val="en-US" w:eastAsia="zh-CN"/>
              </w:rPr>
            </w:pPr>
          </w:p>
          <w:p>
            <w:pPr>
              <w:keepNext w:val="0"/>
              <w:keepLines w:val="0"/>
              <w:widowControl/>
              <w:suppressLineNumbers w:val="0"/>
              <w:spacing w:line="240" w:lineRule="auto"/>
              <w:jc w:val="center"/>
              <w:textAlignment w:val="center"/>
              <w:rPr>
                <w:rFonts w:hint="eastAsia" w:ascii="仿宋" w:hAnsi="仿宋" w:eastAsia="仿宋" w:cs="仿宋"/>
                <w:sz w:val="21"/>
                <w:szCs w:val="21"/>
                <w:highlight w:val="none"/>
                <w:lang w:val="en-US" w:eastAsia="zh-CN"/>
              </w:rPr>
            </w:pPr>
          </w:p>
          <w:p>
            <w:pPr>
              <w:keepNext w:val="0"/>
              <w:keepLines w:val="0"/>
              <w:widowControl/>
              <w:suppressLineNumbers w:val="0"/>
              <w:spacing w:line="240" w:lineRule="auto"/>
              <w:jc w:val="center"/>
              <w:textAlignment w:val="center"/>
              <w:rPr>
                <w:rFonts w:hint="eastAsia" w:ascii="仿宋" w:hAnsi="仿宋" w:eastAsia="仿宋" w:cs="仿宋"/>
                <w:sz w:val="21"/>
                <w:szCs w:val="21"/>
                <w:highlight w:val="none"/>
                <w:lang w:val="en-US" w:eastAsia="zh-CN"/>
              </w:rPr>
            </w:pPr>
          </w:p>
          <w:p>
            <w:pPr>
              <w:keepNext w:val="0"/>
              <w:keepLines w:val="0"/>
              <w:widowControl/>
              <w:suppressLineNumbers w:val="0"/>
              <w:spacing w:line="240" w:lineRule="auto"/>
              <w:jc w:val="center"/>
              <w:textAlignment w:val="center"/>
              <w:rPr>
                <w:rFonts w:hint="eastAsia" w:ascii="仿宋" w:hAnsi="仿宋" w:eastAsia="仿宋" w:cs="仿宋"/>
                <w:sz w:val="21"/>
                <w:szCs w:val="21"/>
                <w:highlight w:val="none"/>
                <w:lang w:val="en-US" w:eastAsia="zh-CN"/>
              </w:rPr>
            </w:pPr>
          </w:p>
        </w:tc>
      </w:tr>
      <w:tr>
        <w:tblPrEx>
          <w:tblLayout w:type="fixed"/>
          <w:tblCellMar>
            <w:top w:w="17" w:type="dxa"/>
            <w:left w:w="17" w:type="dxa"/>
            <w:bottom w:w="17" w:type="dxa"/>
            <w:right w:w="17" w:type="dxa"/>
          </w:tblCellMar>
        </w:tblPrEx>
        <w:trPr>
          <w:trHeight w:val="454" w:hRule="exact"/>
        </w:trPr>
        <w:tc>
          <w:tcPr>
            <w:tcW w:w="77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 w:eastAsia="仿宋_GB2312"/>
                <w:bCs/>
                <w:color w:val="000000" w:themeColor="text1"/>
                <w:sz w:val="21"/>
                <w:szCs w:val="21"/>
                <w:highlight w:val="none"/>
                <w:lang w:val="en-US" w:eastAsia="zh-CN"/>
              </w:rPr>
            </w:pPr>
            <w:r>
              <w:rPr>
                <w:rFonts w:hint="eastAsia" w:ascii="仿宋" w:hAnsi="仿宋" w:eastAsia="仿宋" w:cs="仿宋"/>
                <w:sz w:val="21"/>
                <w:szCs w:val="21"/>
                <w:highlight w:val="none"/>
                <w:lang w:val="en-US" w:eastAsia="zh-CN"/>
              </w:rPr>
              <w:t>2</w:t>
            </w:r>
          </w:p>
        </w:tc>
        <w:tc>
          <w:tcPr>
            <w:tcW w:w="21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kern w:val="2"/>
                <w:sz w:val="24"/>
                <w:szCs w:val="24"/>
                <w:highlight w:val="none"/>
                <w:u w:val="none"/>
                <w:lang w:val="en-US" w:eastAsia="zh-CN" w:bidi="ar-SA"/>
              </w:rPr>
            </w:pPr>
            <w:r>
              <w:rPr>
                <w:rFonts w:hint="eastAsia" w:ascii="仿宋" w:hAnsi="仿宋" w:eastAsia="仿宋" w:cs="仿宋"/>
                <w:sz w:val="21"/>
                <w:szCs w:val="21"/>
                <w:highlight w:val="none"/>
                <w:lang w:val="en-US" w:eastAsia="zh-CN"/>
              </w:rPr>
              <w:t>潜水泵</w:t>
            </w:r>
          </w:p>
        </w:tc>
        <w:tc>
          <w:tcPr>
            <w:tcW w:w="2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200QJ40-65-11KW</w:t>
            </w:r>
          </w:p>
        </w:tc>
        <w:tc>
          <w:tcPr>
            <w:tcW w:w="13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台</w:t>
            </w:r>
          </w:p>
        </w:tc>
        <w:tc>
          <w:tcPr>
            <w:tcW w:w="1542" w:type="dxa"/>
            <w:tcBorders>
              <w:top w:val="single" w:color="000000" w:sz="4" w:space="0"/>
              <w:left w:val="single" w:color="000000" w:sz="4" w:space="0"/>
              <w:bottom w:val="single" w:color="000000" w:sz="4" w:space="0"/>
              <w:right w:val="single" w:color="auto" w:sz="4" w:space="0"/>
            </w:tcBorders>
            <w:vAlign w:val="center"/>
          </w:tcPr>
          <w:p>
            <w:pPr>
              <w:spacing w:line="240" w:lineRule="auto"/>
              <w:jc w:val="center"/>
              <w:rPr>
                <w:rFonts w:hint="default" w:ascii="仿宋" w:hAnsi="仿宋" w:eastAsia="仿宋" w:cs="仿宋"/>
                <w:bCs/>
                <w:color w:val="000000" w:themeColor="text1"/>
                <w:sz w:val="21"/>
                <w:szCs w:val="21"/>
                <w:highlight w:val="none"/>
                <w:lang w:val="en-US" w:eastAsia="zh-CN"/>
              </w:rPr>
            </w:pPr>
            <w:r>
              <w:rPr>
                <w:rFonts w:hint="eastAsia" w:ascii="仿宋" w:hAnsi="仿宋" w:eastAsia="仿宋" w:cs="仿宋"/>
                <w:bCs/>
                <w:color w:val="000000" w:themeColor="text1"/>
                <w:sz w:val="21"/>
                <w:szCs w:val="21"/>
                <w:highlight w:val="none"/>
                <w:lang w:val="en-US" w:eastAsia="zh-CN"/>
              </w:rPr>
              <w:t>46</w:t>
            </w:r>
          </w:p>
        </w:tc>
        <w:tc>
          <w:tcPr>
            <w:tcW w:w="1237" w:type="dxa"/>
            <w:vMerge w:val="continue"/>
            <w:tcBorders>
              <w:left w:val="single" w:color="auto"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仿宋" w:hAnsi="仿宋" w:eastAsia="仿宋" w:cs="仿宋"/>
                <w:sz w:val="21"/>
                <w:szCs w:val="21"/>
                <w:highlight w:val="none"/>
                <w:lang w:val="en-US" w:eastAsia="zh-CN"/>
              </w:rPr>
            </w:pPr>
          </w:p>
        </w:tc>
      </w:tr>
      <w:tr>
        <w:tblPrEx>
          <w:tblLayout w:type="fixed"/>
          <w:tblCellMar>
            <w:top w:w="17" w:type="dxa"/>
            <w:left w:w="17" w:type="dxa"/>
            <w:bottom w:w="17" w:type="dxa"/>
            <w:right w:w="17" w:type="dxa"/>
          </w:tblCellMar>
        </w:tblPrEx>
        <w:trPr>
          <w:trHeight w:val="454" w:hRule="exact"/>
        </w:trPr>
        <w:tc>
          <w:tcPr>
            <w:tcW w:w="77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3</w:t>
            </w:r>
          </w:p>
        </w:tc>
        <w:tc>
          <w:tcPr>
            <w:tcW w:w="215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bCs/>
                <w:color w:val="000000" w:themeColor="text1"/>
                <w:sz w:val="21"/>
                <w:szCs w:val="21"/>
                <w:highlight w:val="none"/>
              </w:rPr>
            </w:pPr>
            <w:r>
              <w:rPr>
                <w:rFonts w:hint="eastAsia" w:ascii="仿宋" w:hAnsi="仿宋" w:eastAsia="仿宋" w:cs="仿宋"/>
                <w:sz w:val="21"/>
                <w:szCs w:val="21"/>
                <w:highlight w:val="none"/>
                <w:lang w:val="en-US" w:eastAsia="zh-CN"/>
              </w:rPr>
              <w:t>潜水泵</w:t>
            </w:r>
          </w:p>
        </w:tc>
        <w:tc>
          <w:tcPr>
            <w:tcW w:w="2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200QJ40-78-15KW</w:t>
            </w:r>
          </w:p>
        </w:tc>
        <w:tc>
          <w:tcPr>
            <w:tcW w:w="13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台</w:t>
            </w:r>
          </w:p>
        </w:tc>
        <w:tc>
          <w:tcPr>
            <w:tcW w:w="1542" w:type="dxa"/>
            <w:tcBorders>
              <w:top w:val="single" w:color="000000" w:sz="4" w:space="0"/>
              <w:left w:val="single" w:color="000000" w:sz="4" w:space="0"/>
              <w:bottom w:val="single" w:color="000000" w:sz="4" w:space="0"/>
              <w:right w:val="single" w:color="auto" w:sz="4" w:space="0"/>
            </w:tcBorders>
            <w:vAlign w:val="center"/>
          </w:tcPr>
          <w:p>
            <w:pPr>
              <w:spacing w:line="240" w:lineRule="auto"/>
              <w:jc w:val="center"/>
              <w:rPr>
                <w:rFonts w:hint="default" w:ascii="仿宋" w:hAnsi="仿宋" w:eastAsia="仿宋" w:cs="仿宋"/>
                <w:bCs/>
                <w:color w:val="000000" w:themeColor="text1"/>
                <w:sz w:val="21"/>
                <w:szCs w:val="21"/>
                <w:highlight w:val="none"/>
                <w:lang w:val="en-US" w:eastAsia="zh-CN"/>
              </w:rPr>
            </w:pPr>
            <w:r>
              <w:rPr>
                <w:rFonts w:hint="eastAsia" w:ascii="仿宋" w:hAnsi="仿宋" w:eastAsia="仿宋" w:cs="仿宋"/>
                <w:bCs/>
                <w:color w:val="000000" w:themeColor="text1"/>
                <w:sz w:val="21"/>
                <w:szCs w:val="21"/>
                <w:highlight w:val="none"/>
                <w:lang w:val="en-US" w:eastAsia="zh-CN"/>
              </w:rPr>
              <w:t>18</w:t>
            </w:r>
          </w:p>
        </w:tc>
        <w:tc>
          <w:tcPr>
            <w:tcW w:w="1237" w:type="dxa"/>
            <w:vMerge w:val="continue"/>
            <w:tcBorders>
              <w:left w:val="single" w:color="auto"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仿宋" w:hAnsi="仿宋" w:eastAsia="仿宋" w:cs="仿宋"/>
                <w:sz w:val="21"/>
                <w:szCs w:val="21"/>
                <w:highlight w:val="none"/>
                <w:lang w:val="en-US" w:eastAsia="zh-CN"/>
              </w:rPr>
            </w:pPr>
          </w:p>
        </w:tc>
      </w:tr>
      <w:tr>
        <w:tblPrEx>
          <w:tblLayout w:type="fixed"/>
          <w:tblCellMar>
            <w:top w:w="17" w:type="dxa"/>
            <w:left w:w="17" w:type="dxa"/>
            <w:bottom w:w="17" w:type="dxa"/>
            <w:right w:w="17" w:type="dxa"/>
          </w:tblCellMar>
        </w:tblPrEx>
        <w:trPr>
          <w:trHeight w:val="454" w:hRule="exact"/>
        </w:trPr>
        <w:tc>
          <w:tcPr>
            <w:tcW w:w="77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w:t>
            </w:r>
          </w:p>
        </w:tc>
        <w:tc>
          <w:tcPr>
            <w:tcW w:w="215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bCs/>
                <w:color w:val="000000" w:themeColor="text1"/>
                <w:sz w:val="21"/>
                <w:szCs w:val="21"/>
                <w:highlight w:val="none"/>
              </w:rPr>
            </w:pPr>
            <w:r>
              <w:rPr>
                <w:rFonts w:hint="eastAsia" w:ascii="仿宋" w:hAnsi="仿宋" w:eastAsia="仿宋" w:cs="仿宋"/>
                <w:sz w:val="21"/>
                <w:szCs w:val="21"/>
                <w:highlight w:val="none"/>
                <w:lang w:val="en-US" w:eastAsia="zh-CN"/>
              </w:rPr>
              <w:t>潜水泵</w:t>
            </w:r>
          </w:p>
        </w:tc>
        <w:tc>
          <w:tcPr>
            <w:tcW w:w="2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200QJ32-91-13KW</w:t>
            </w:r>
          </w:p>
        </w:tc>
        <w:tc>
          <w:tcPr>
            <w:tcW w:w="13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台</w:t>
            </w:r>
          </w:p>
        </w:tc>
        <w:tc>
          <w:tcPr>
            <w:tcW w:w="1542" w:type="dxa"/>
            <w:tcBorders>
              <w:top w:val="single" w:color="000000" w:sz="4" w:space="0"/>
              <w:left w:val="single" w:color="000000" w:sz="4" w:space="0"/>
              <w:bottom w:val="single" w:color="000000" w:sz="4" w:space="0"/>
              <w:right w:val="single" w:color="auto" w:sz="4" w:space="0"/>
            </w:tcBorders>
            <w:vAlign w:val="center"/>
          </w:tcPr>
          <w:p>
            <w:pPr>
              <w:spacing w:line="240" w:lineRule="auto"/>
              <w:jc w:val="center"/>
              <w:rPr>
                <w:rFonts w:hint="default" w:ascii="仿宋" w:hAnsi="仿宋" w:eastAsia="仿宋" w:cs="仿宋"/>
                <w:bCs/>
                <w:color w:val="000000" w:themeColor="text1"/>
                <w:sz w:val="21"/>
                <w:szCs w:val="21"/>
                <w:highlight w:val="none"/>
                <w:lang w:val="en-US" w:eastAsia="zh-CN"/>
              </w:rPr>
            </w:pPr>
            <w:r>
              <w:rPr>
                <w:rFonts w:hint="eastAsia" w:ascii="仿宋" w:hAnsi="仿宋" w:eastAsia="仿宋" w:cs="仿宋"/>
                <w:bCs/>
                <w:color w:val="000000" w:themeColor="text1"/>
                <w:sz w:val="21"/>
                <w:szCs w:val="21"/>
                <w:highlight w:val="none"/>
                <w:lang w:val="en-US" w:eastAsia="zh-CN"/>
              </w:rPr>
              <w:t>4</w:t>
            </w:r>
          </w:p>
        </w:tc>
        <w:tc>
          <w:tcPr>
            <w:tcW w:w="1237" w:type="dxa"/>
            <w:vMerge w:val="continue"/>
            <w:tcBorders>
              <w:left w:val="single" w:color="auto"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仿宋" w:hAnsi="仿宋" w:eastAsia="仿宋" w:cs="仿宋"/>
                <w:sz w:val="21"/>
                <w:szCs w:val="21"/>
                <w:highlight w:val="none"/>
                <w:lang w:val="en-US" w:eastAsia="zh-CN"/>
              </w:rPr>
            </w:pPr>
          </w:p>
        </w:tc>
      </w:tr>
      <w:tr>
        <w:tblPrEx>
          <w:tblLayout w:type="fixed"/>
          <w:tblCellMar>
            <w:top w:w="17" w:type="dxa"/>
            <w:left w:w="17" w:type="dxa"/>
            <w:bottom w:w="17" w:type="dxa"/>
            <w:right w:w="17" w:type="dxa"/>
          </w:tblCellMar>
        </w:tblPrEx>
        <w:trPr>
          <w:trHeight w:val="580" w:hRule="exact"/>
        </w:trPr>
        <w:tc>
          <w:tcPr>
            <w:tcW w:w="77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5</w:t>
            </w:r>
          </w:p>
        </w:tc>
        <w:tc>
          <w:tcPr>
            <w:tcW w:w="215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泵管</w:t>
            </w:r>
          </w:p>
        </w:tc>
        <w:tc>
          <w:tcPr>
            <w:tcW w:w="200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DN80,壁厚3mm ，直缝Q235，防腐漆</w:t>
            </w:r>
          </w:p>
        </w:tc>
        <w:tc>
          <w:tcPr>
            <w:tcW w:w="138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米</w:t>
            </w:r>
          </w:p>
        </w:tc>
        <w:tc>
          <w:tcPr>
            <w:tcW w:w="1542" w:type="dxa"/>
            <w:tcBorders>
              <w:top w:val="single" w:color="000000" w:sz="4" w:space="0"/>
              <w:left w:val="single" w:color="000000" w:sz="4" w:space="0"/>
              <w:bottom w:val="single" w:color="000000" w:sz="4" w:space="0"/>
              <w:right w:val="single" w:color="auto" w:sz="4" w:space="0"/>
            </w:tcBorders>
            <w:vAlign w:val="center"/>
          </w:tcPr>
          <w:p>
            <w:pPr>
              <w:spacing w:line="240" w:lineRule="auto"/>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4100</w:t>
            </w:r>
          </w:p>
        </w:tc>
        <w:tc>
          <w:tcPr>
            <w:tcW w:w="1237" w:type="dxa"/>
            <w:vMerge w:val="continue"/>
            <w:tcBorders>
              <w:left w:val="single" w:color="auto" w:sz="4" w:space="0"/>
              <w:right w:val="single" w:color="000000" w:sz="4" w:space="0"/>
            </w:tcBorders>
            <w:vAlign w:val="center"/>
          </w:tcPr>
          <w:p>
            <w:pPr>
              <w:spacing w:line="240" w:lineRule="auto"/>
              <w:jc w:val="center"/>
              <w:rPr>
                <w:rFonts w:hint="eastAsia" w:ascii="仿宋" w:hAnsi="仿宋" w:eastAsia="仿宋" w:cs="仿宋"/>
                <w:sz w:val="21"/>
                <w:szCs w:val="21"/>
                <w:highlight w:val="none"/>
                <w:lang w:val="en-US" w:eastAsia="zh-CN"/>
              </w:rPr>
            </w:pPr>
          </w:p>
        </w:tc>
      </w:tr>
      <w:tr>
        <w:tblPrEx>
          <w:tblLayout w:type="fixed"/>
          <w:tblCellMar>
            <w:top w:w="17" w:type="dxa"/>
            <w:left w:w="17" w:type="dxa"/>
            <w:bottom w:w="17" w:type="dxa"/>
            <w:right w:w="17" w:type="dxa"/>
          </w:tblCellMar>
        </w:tblPrEx>
        <w:trPr>
          <w:trHeight w:val="454" w:hRule="exact"/>
        </w:trPr>
        <w:tc>
          <w:tcPr>
            <w:tcW w:w="77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6</w:t>
            </w:r>
          </w:p>
        </w:tc>
        <w:tc>
          <w:tcPr>
            <w:tcW w:w="215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水泵电缆</w:t>
            </w:r>
          </w:p>
        </w:tc>
        <w:tc>
          <w:tcPr>
            <w:tcW w:w="200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JHS-3*6mm</w:t>
            </w:r>
          </w:p>
        </w:tc>
        <w:tc>
          <w:tcPr>
            <w:tcW w:w="138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米</w:t>
            </w:r>
          </w:p>
        </w:tc>
        <w:tc>
          <w:tcPr>
            <w:tcW w:w="1542" w:type="dxa"/>
            <w:tcBorders>
              <w:top w:val="single" w:color="000000" w:sz="4" w:space="0"/>
              <w:left w:val="single" w:color="000000" w:sz="4" w:space="0"/>
              <w:bottom w:val="single" w:color="000000" w:sz="4" w:space="0"/>
              <w:right w:val="single" w:color="auto" w:sz="4" w:space="0"/>
            </w:tcBorders>
            <w:vAlign w:val="center"/>
          </w:tcPr>
          <w:p>
            <w:pPr>
              <w:spacing w:line="240" w:lineRule="auto"/>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3100</w:t>
            </w:r>
          </w:p>
        </w:tc>
        <w:tc>
          <w:tcPr>
            <w:tcW w:w="1237" w:type="dxa"/>
            <w:vMerge w:val="continue"/>
            <w:tcBorders>
              <w:left w:val="single" w:color="auto" w:sz="4" w:space="0"/>
              <w:right w:val="single" w:color="000000" w:sz="4" w:space="0"/>
            </w:tcBorders>
            <w:vAlign w:val="center"/>
          </w:tcPr>
          <w:p>
            <w:pPr>
              <w:spacing w:line="240" w:lineRule="auto"/>
              <w:jc w:val="center"/>
              <w:rPr>
                <w:rFonts w:hint="eastAsia" w:ascii="仿宋" w:hAnsi="仿宋" w:eastAsia="仿宋" w:cs="仿宋"/>
                <w:sz w:val="21"/>
                <w:szCs w:val="21"/>
                <w:highlight w:val="none"/>
                <w:lang w:val="en-US" w:eastAsia="zh-CN"/>
              </w:rPr>
            </w:pPr>
          </w:p>
        </w:tc>
      </w:tr>
      <w:tr>
        <w:tblPrEx>
          <w:tblLayout w:type="fixed"/>
          <w:tblCellMar>
            <w:top w:w="17" w:type="dxa"/>
            <w:left w:w="17" w:type="dxa"/>
            <w:bottom w:w="17" w:type="dxa"/>
            <w:right w:w="17" w:type="dxa"/>
          </w:tblCellMar>
        </w:tblPrEx>
        <w:trPr>
          <w:trHeight w:val="454" w:hRule="exact"/>
        </w:trPr>
        <w:tc>
          <w:tcPr>
            <w:tcW w:w="77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7</w:t>
            </w:r>
          </w:p>
        </w:tc>
        <w:tc>
          <w:tcPr>
            <w:tcW w:w="215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水泵电缆</w:t>
            </w:r>
          </w:p>
        </w:tc>
        <w:tc>
          <w:tcPr>
            <w:tcW w:w="200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JHS-3*10mm</w:t>
            </w:r>
          </w:p>
        </w:tc>
        <w:tc>
          <w:tcPr>
            <w:tcW w:w="138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米</w:t>
            </w:r>
          </w:p>
        </w:tc>
        <w:tc>
          <w:tcPr>
            <w:tcW w:w="1542" w:type="dxa"/>
            <w:tcBorders>
              <w:top w:val="single" w:color="000000" w:sz="4" w:space="0"/>
              <w:left w:val="single" w:color="000000" w:sz="4" w:space="0"/>
              <w:bottom w:val="single" w:color="000000" w:sz="4" w:space="0"/>
              <w:right w:val="single" w:color="auto" w:sz="4" w:space="0"/>
            </w:tcBorders>
            <w:vAlign w:val="center"/>
          </w:tcPr>
          <w:p>
            <w:pPr>
              <w:spacing w:line="240" w:lineRule="auto"/>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1450</w:t>
            </w:r>
          </w:p>
        </w:tc>
        <w:tc>
          <w:tcPr>
            <w:tcW w:w="1237" w:type="dxa"/>
            <w:vMerge w:val="continue"/>
            <w:tcBorders>
              <w:left w:val="single" w:color="auto"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仿宋" w:hAnsi="仿宋" w:eastAsia="仿宋" w:cs="仿宋"/>
                <w:sz w:val="21"/>
                <w:szCs w:val="21"/>
                <w:highlight w:val="none"/>
                <w:lang w:val="en-US" w:eastAsia="zh-CN"/>
              </w:rPr>
            </w:pPr>
          </w:p>
        </w:tc>
      </w:tr>
      <w:tr>
        <w:tblPrEx>
          <w:tblLayout w:type="fixed"/>
          <w:tblCellMar>
            <w:top w:w="17" w:type="dxa"/>
            <w:left w:w="17" w:type="dxa"/>
            <w:bottom w:w="17" w:type="dxa"/>
            <w:right w:w="17" w:type="dxa"/>
          </w:tblCellMar>
        </w:tblPrEx>
        <w:trPr>
          <w:trHeight w:val="641" w:hRule="exact"/>
        </w:trPr>
        <w:tc>
          <w:tcPr>
            <w:tcW w:w="77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8</w:t>
            </w:r>
          </w:p>
        </w:tc>
        <w:tc>
          <w:tcPr>
            <w:tcW w:w="215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井首装置</w:t>
            </w:r>
          </w:p>
        </w:tc>
        <w:tc>
          <w:tcPr>
            <w:tcW w:w="200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井管、法兰、进排气阀、逆止阀</w:t>
            </w:r>
          </w:p>
        </w:tc>
        <w:tc>
          <w:tcPr>
            <w:tcW w:w="138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套</w:t>
            </w:r>
          </w:p>
        </w:tc>
        <w:tc>
          <w:tcPr>
            <w:tcW w:w="1542" w:type="dxa"/>
            <w:tcBorders>
              <w:top w:val="single" w:color="000000" w:sz="4" w:space="0"/>
              <w:left w:val="single" w:color="000000" w:sz="4" w:space="0"/>
              <w:bottom w:val="single" w:color="000000" w:sz="4" w:space="0"/>
              <w:right w:val="single" w:color="auto" w:sz="4" w:space="0"/>
            </w:tcBorders>
            <w:vAlign w:val="center"/>
          </w:tcPr>
          <w:p>
            <w:pPr>
              <w:spacing w:line="240" w:lineRule="auto"/>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84</w:t>
            </w:r>
          </w:p>
        </w:tc>
        <w:tc>
          <w:tcPr>
            <w:tcW w:w="1237" w:type="dxa"/>
            <w:vMerge w:val="continue"/>
            <w:tcBorders>
              <w:left w:val="single" w:color="auto"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仿宋" w:hAnsi="仿宋" w:eastAsia="仿宋" w:cs="仿宋"/>
                <w:sz w:val="21"/>
                <w:szCs w:val="21"/>
                <w:highlight w:val="none"/>
                <w:lang w:val="en-US" w:eastAsia="zh-CN"/>
              </w:rPr>
            </w:pPr>
          </w:p>
        </w:tc>
      </w:tr>
    </w:tbl>
    <w:p>
      <w:pPr>
        <w:spacing w:line="400" w:lineRule="exact"/>
        <w:ind w:firstLine="420" w:firstLineChars="200"/>
        <w:jc w:val="left"/>
        <w:outlineLvl w:val="2"/>
        <w:rPr>
          <w:rFonts w:hint="eastAsia" w:ascii="仿宋_GB2312" w:eastAsia="仿宋_GB2312" w:hAnsiTheme="minorEastAsia"/>
          <w:sz w:val="21"/>
          <w:szCs w:val="21"/>
          <w:highlight w:val="none"/>
          <w:lang w:eastAsia="zh-CN"/>
        </w:rPr>
      </w:pPr>
      <w:r>
        <w:rPr>
          <w:rFonts w:hint="eastAsia" w:ascii="仿宋_GB2312" w:eastAsia="仿宋_GB2312" w:hAnsiTheme="minorEastAsia"/>
          <w:sz w:val="21"/>
          <w:szCs w:val="21"/>
          <w:highlight w:val="none"/>
        </w:rPr>
        <w:t>4.2交货地点：中建路桥集团有限公司</w:t>
      </w:r>
      <w:r>
        <w:rPr>
          <w:rFonts w:hint="eastAsia" w:ascii="仿宋_GB2312" w:hAnsi="仿宋" w:eastAsia="仿宋_GB2312"/>
          <w:bCs/>
          <w:color w:val="000000" w:themeColor="text1"/>
          <w:sz w:val="21"/>
          <w:szCs w:val="21"/>
          <w:highlight w:val="none"/>
          <w:u w:val="single"/>
          <w:lang w:val="en-US" w:eastAsia="zh-CN"/>
        </w:rPr>
        <w:t>晋州市2022年营里镇片高标准农田建设项目</w:t>
      </w:r>
      <w:r>
        <w:rPr>
          <w:rFonts w:hint="eastAsia" w:ascii="仿宋_GB2312" w:eastAsia="仿宋_GB2312" w:hAnsiTheme="minorEastAsia"/>
          <w:sz w:val="21"/>
          <w:szCs w:val="21"/>
          <w:highlight w:val="none"/>
        </w:rPr>
        <w:t>项目</w:t>
      </w:r>
      <w:r>
        <w:rPr>
          <w:rFonts w:hint="eastAsia" w:ascii="仿宋_GB2312" w:eastAsia="仿宋_GB2312" w:hAnsiTheme="minorEastAsia"/>
          <w:sz w:val="21"/>
          <w:szCs w:val="21"/>
          <w:highlight w:val="none"/>
          <w:lang w:val="en-US" w:eastAsia="zh-CN"/>
        </w:rPr>
        <w:t>经理</w:t>
      </w:r>
      <w:r>
        <w:rPr>
          <w:rFonts w:hint="eastAsia" w:ascii="仿宋_GB2312" w:eastAsia="仿宋_GB2312" w:hAnsiTheme="minorEastAsia"/>
          <w:sz w:val="21"/>
          <w:szCs w:val="21"/>
          <w:highlight w:val="none"/>
        </w:rPr>
        <w:t>部</w:t>
      </w:r>
      <w:r>
        <w:rPr>
          <w:rFonts w:hint="eastAsia" w:ascii="仿宋_GB2312" w:eastAsia="仿宋_GB2312" w:hAnsiTheme="minorEastAsia"/>
          <w:sz w:val="21"/>
          <w:szCs w:val="21"/>
          <w:highlight w:val="none"/>
          <w:lang w:eastAsia="zh-CN"/>
        </w:rPr>
        <w:t>。</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4.3中标物资不允许转包。</w:t>
      </w:r>
    </w:p>
    <w:p>
      <w:pPr>
        <w:pStyle w:val="179"/>
        <w:keepNext w:val="0"/>
        <w:keepLines w:val="0"/>
        <w:ind w:firstLine="482" w:firstLineChars="200"/>
        <w:jc w:val="left"/>
        <w:rPr>
          <w:rFonts w:ascii="仿宋_GB2312" w:eastAsia="仿宋_GB2312" w:hAnsiTheme="minorEastAsia"/>
          <w:b/>
          <w:bCs/>
          <w:highlight w:val="none"/>
        </w:rPr>
      </w:pPr>
      <w:bookmarkStart w:id="16" w:name="_Toc8674"/>
      <w:r>
        <w:rPr>
          <w:rFonts w:hint="eastAsia" w:ascii="仿宋_GB2312" w:eastAsia="仿宋_GB2312" w:cs="宋体" w:hAnsiTheme="minorEastAsia"/>
          <w:b/>
          <w:bCs/>
          <w:highlight w:val="none"/>
        </w:rPr>
        <w:t>5.投标人</w:t>
      </w:r>
      <w:bookmarkEnd w:id="16"/>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投标人必须是经国家工商、税务机关登记注册，经营范围涵盖招标物资，能独立承担民事责任的法人组织。代理人必须得到投标单位的授权。</w:t>
      </w:r>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投标单位需首先获得招标人的准入许可方能参与本次物资招标。</w:t>
      </w:r>
    </w:p>
    <w:p>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5.1投标人必须具备：</w:t>
      </w:r>
    </w:p>
    <w:p>
      <w:pPr>
        <w:spacing w:line="400" w:lineRule="exact"/>
        <w:ind w:firstLine="420" w:firstLineChars="200"/>
        <w:jc w:val="left"/>
        <w:outlineLvl w:val="2"/>
        <w:rPr>
          <w:rFonts w:ascii="仿宋_GB2312" w:eastAsia="仿宋_GB2312" w:hAnsiTheme="minorEastAsia"/>
          <w:sz w:val="21"/>
          <w:szCs w:val="21"/>
          <w:highlight w:val="none"/>
        </w:rPr>
      </w:pPr>
      <w:bookmarkStart w:id="17" w:name="_Toc20481"/>
      <w:r>
        <w:rPr>
          <w:rFonts w:hint="eastAsia" w:ascii="仿宋_GB2312" w:eastAsia="仿宋_GB2312" w:hAnsiTheme="minorEastAsia"/>
          <w:sz w:val="21"/>
          <w:szCs w:val="21"/>
          <w:highlight w:val="none"/>
        </w:rPr>
        <w:t>5.1.1投标人应具备承担本次招标物资生产供应能力。</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5.1.2营业范围要求：见投标人须知前附表；</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5.1.3生产能力要求：见投标人须知前附表；</w:t>
      </w:r>
    </w:p>
    <w:p>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5.1.4质量保证能力要求：见投标人须知前附表；</w:t>
      </w:r>
    </w:p>
    <w:p>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hAnsi="仿宋" w:eastAsia="仿宋_GB2312"/>
          <w:bCs/>
          <w:color w:val="000000" w:themeColor="text1"/>
          <w:sz w:val="21"/>
          <w:szCs w:val="21"/>
          <w:highlight w:val="none"/>
          <w:lang w:val="en-US" w:eastAsia="zh-CN"/>
        </w:rPr>
        <w:t>5.1.5绿色、节能、环保</w:t>
      </w:r>
      <w:r>
        <w:rPr>
          <w:rFonts w:hint="eastAsia" w:ascii="仿宋_GB2312" w:eastAsia="仿宋_GB2312" w:hAnsiTheme="minorEastAsia"/>
          <w:sz w:val="21"/>
          <w:szCs w:val="21"/>
          <w:highlight w:val="none"/>
        </w:rPr>
        <w:t>能力</w:t>
      </w:r>
      <w:r>
        <w:rPr>
          <w:rFonts w:hint="eastAsia" w:ascii="仿宋_GB2312" w:hAnsi="仿宋" w:eastAsia="仿宋_GB2312"/>
          <w:bCs/>
          <w:color w:val="000000" w:themeColor="text1"/>
          <w:sz w:val="21"/>
          <w:szCs w:val="21"/>
          <w:highlight w:val="none"/>
          <w:lang w:val="en-US" w:eastAsia="zh-CN"/>
        </w:rPr>
        <w:t>要求：</w:t>
      </w:r>
      <w:r>
        <w:rPr>
          <w:rFonts w:hint="eastAsia" w:ascii="仿宋_GB2312" w:eastAsia="仿宋_GB2312" w:hAnsiTheme="minorEastAsia"/>
          <w:sz w:val="21"/>
          <w:szCs w:val="21"/>
          <w:highlight w:val="none"/>
        </w:rPr>
        <w:t>见投标人须知前附表；</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5.1.6供货业绩要求：见投标人须知前附表；</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w:t>
      </w:r>
      <w:r>
        <w:rPr>
          <w:rFonts w:hint="eastAsia" w:ascii="仿宋_GB2312" w:eastAsia="仿宋_GB2312" w:hAnsiTheme="minorEastAsia"/>
          <w:sz w:val="21"/>
          <w:szCs w:val="21"/>
          <w:highlight w:val="none"/>
          <w:lang w:val="en-US" w:eastAsia="zh-CN"/>
        </w:rPr>
        <w:t>7</w:t>
      </w:r>
      <w:r>
        <w:rPr>
          <w:rFonts w:hint="eastAsia" w:ascii="仿宋_GB2312" w:eastAsia="仿宋_GB2312" w:hAnsiTheme="minorEastAsia"/>
          <w:sz w:val="21"/>
          <w:szCs w:val="21"/>
          <w:highlight w:val="none"/>
        </w:rPr>
        <w:t>履约信用要求：见投标人须知前附表；</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w:t>
      </w:r>
      <w:r>
        <w:rPr>
          <w:rFonts w:hint="eastAsia" w:ascii="仿宋_GB2312" w:eastAsia="仿宋_GB2312" w:hAnsiTheme="minorEastAsia"/>
          <w:sz w:val="21"/>
          <w:szCs w:val="21"/>
          <w:highlight w:val="none"/>
          <w:lang w:val="en-US" w:eastAsia="zh-CN"/>
        </w:rPr>
        <w:t>8</w:t>
      </w:r>
      <w:r>
        <w:rPr>
          <w:rFonts w:ascii="仿宋_GB2312" w:eastAsia="仿宋_GB2312" w:hAnsiTheme="minorEastAsia"/>
          <w:sz w:val="21"/>
          <w:szCs w:val="21"/>
          <w:highlight w:val="none"/>
        </w:rPr>
        <w:t>投标人应具备的资格条件</w:t>
      </w:r>
      <w:r>
        <w:rPr>
          <w:rFonts w:hint="eastAsia" w:ascii="仿宋_GB2312" w:eastAsia="仿宋_GB2312" w:hAnsiTheme="minorEastAsia"/>
          <w:sz w:val="21"/>
          <w:szCs w:val="21"/>
          <w:highlight w:val="none"/>
        </w:rPr>
        <w:t>见招标公告</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w:t>
      </w:r>
      <w:r>
        <w:rPr>
          <w:rFonts w:hint="eastAsia" w:ascii="仿宋_GB2312" w:eastAsia="仿宋_GB2312" w:hAnsiTheme="minorEastAsia"/>
          <w:sz w:val="21"/>
          <w:szCs w:val="21"/>
          <w:highlight w:val="none"/>
          <w:lang w:val="en-US" w:eastAsia="zh-CN"/>
        </w:rPr>
        <w:t>9</w:t>
      </w:r>
      <w:r>
        <w:rPr>
          <w:rFonts w:hint="eastAsia" w:ascii="仿宋_GB2312" w:eastAsia="仿宋_GB2312" w:hAnsiTheme="minorEastAsia"/>
          <w:sz w:val="21"/>
          <w:szCs w:val="21"/>
          <w:highlight w:val="none"/>
        </w:rPr>
        <w:t>其他要求：见投标人须知前附表。</w:t>
      </w:r>
    </w:p>
    <w:p>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5.2投标人不得存在下列情形之一：</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5.2.1不具有独立法人资格的附属机构（单位）；</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5.2.2被责令停业的；</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5.2.3被暂停或取消投标资格的；</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5.2.4财产被接管、冻结，或企业处于停产、停业、歇业或破产状态的；</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5.2.5围标串标：两家及以上投标人法定代表人为同一人、或母公司、全资子公司及控股公司关系。</w:t>
      </w:r>
    </w:p>
    <w:p>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.2.6招标人不合格分供商名录单位。</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5.2.7有不良社会记录的。</w:t>
      </w:r>
    </w:p>
    <w:p>
      <w:pPr>
        <w:pStyle w:val="179"/>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6.合格的物资及服务</w:t>
      </w:r>
      <w:bookmarkEnd w:id="17"/>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6.1所有投标物资及其有关服务，均应来自投标人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并且提供的物资应符合或优于招标文件要求和现行的有关技术标准</w:t>
      </w:r>
      <w:r>
        <w:rPr>
          <w:rFonts w:hint="eastAsia" w:ascii="仿宋_GB2312" w:eastAsia="仿宋_GB2312" w:hAnsiTheme="minorEastAsia"/>
          <w:sz w:val="21"/>
          <w:szCs w:val="21"/>
          <w:highlight w:val="none"/>
          <w:lang w:eastAsia="zh-CN"/>
        </w:rPr>
        <w:t>，</w:t>
      </w:r>
      <w:r>
        <w:rPr>
          <w:rFonts w:hint="eastAsia" w:ascii="仿宋_GB2312" w:hAnsi="仿宋" w:eastAsia="仿宋_GB2312"/>
          <w:bCs/>
          <w:color w:val="000000" w:themeColor="text1"/>
          <w:sz w:val="21"/>
          <w:szCs w:val="21"/>
          <w:highlight w:val="none"/>
        </w:rPr>
        <w:t>优先选择绿色节能环保</w:t>
      </w:r>
      <w:r>
        <w:rPr>
          <w:rFonts w:hint="eastAsia" w:ascii="仿宋_GB2312" w:hAnsi="仿宋" w:eastAsia="仿宋_GB2312"/>
          <w:bCs/>
          <w:color w:val="000000" w:themeColor="text1"/>
          <w:sz w:val="21"/>
          <w:szCs w:val="21"/>
          <w:highlight w:val="none"/>
          <w:lang w:val="en-US" w:eastAsia="zh-CN"/>
        </w:rPr>
        <w:t>材料</w:t>
      </w:r>
      <w:r>
        <w:rPr>
          <w:rFonts w:hint="eastAsia" w:ascii="仿宋_GB2312" w:eastAsia="仿宋_GB2312" w:hAnsiTheme="minorEastAsia"/>
          <w:sz w:val="21"/>
          <w:szCs w:val="21"/>
          <w:highlight w:val="none"/>
        </w:rPr>
        <w:t>。</w:t>
      </w:r>
    </w:p>
    <w:p>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6.2投标人应提供投标物资的生产、运输、保险和售后服务以及承担其它相关的义务。</w:t>
      </w:r>
    </w:p>
    <w:p>
      <w:pPr>
        <w:pStyle w:val="179"/>
        <w:keepNext w:val="0"/>
        <w:keepLines w:val="0"/>
        <w:ind w:firstLine="482" w:firstLineChars="200"/>
        <w:jc w:val="left"/>
        <w:rPr>
          <w:rFonts w:ascii="仿宋_GB2312" w:eastAsia="仿宋_GB2312" w:hAnsiTheme="minorEastAsia"/>
          <w:b/>
          <w:bCs/>
          <w:highlight w:val="none"/>
        </w:rPr>
      </w:pPr>
      <w:bookmarkStart w:id="18" w:name="_Toc6990"/>
      <w:r>
        <w:rPr>
          <w:rFonts w:hint="eastAsia" w:ascii="仿宋_GB2312" w:eastAsia="仿宋_GB2312" w:cs="宋体" w:hAnsiTheme="minorEastAsia"/>
          <w:b/>
          <w:bCs/>
          <w:highlight w:val="none"/>
        </w:rPr>
        <w:t>7.投标费用</w:t>
      </w:r>
      <w:bookmarkEnd w:id="18"/>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7.1投标人应承担自身发生的所有与投标有关的一切费用</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招标人在任何情况下不负担任何费用。</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7.2投标保证金必须从投标人的基本账户以电汇的方式汇出，投标人须保证投标报价结束前将投标保证金支付到达招标文件指定的银行账户，并注明投标项目名称、物资名称、包件号。</w:t>
      </w:r>
    </w:p>
    <w:p>
      <w:pPr>
        <w:spacing w:line="360" w:lineRule="auto"/>
        <w:ind w:firstLine="422" w:firstLineChars="200"/>
        <w:jc w:val="left"/>
        <w:outlineLvl w:val="2"/>
        <w:rPr>
          <w:rFonts w:ascii="仿宋_GB2312" w:eastAsia="仿宋_GB2312" w:hAnsiTheme="minorEastAsia"/>
          <w:b/>
          <w:sz w:val="21"/>
          <w:szCs w:val="21"/>
          <w:highlight w:val="none"/>
          <w:u w:val="single"/>
        </w:rPr>
      </w:pPr>
      <w:r>
        <w:rPr>
          <w:rFonts w:hint="eastAsia" w:ascii="仿宋_GB2312" w:eastAsia="仿宋_GB2312" w:hAnsiTheme="minorEastAsia"/>
          <w:b/>
          <w:sz w:val="21"/>
          <w:szCs w:val="21"/>
          <w:highlight w:val="none"/>
        </w:rPr>
        <w:t>账号信息：</w:t>
      </w:r>
    </w:p>
    <w:p>
      <w:pPr>
        <w:spacing w:line="360" w:lineRule="auto"/>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 xml:space="preserve">户    名： </w:t>
      </w:r>
      <w:r>
        <w:rPr>
          <w:rFonts w:hint="eastAsia" w:ascii="宋体" w:hAnsi="宋体" w:eastAsia="宋体" w:cs="宋体"/>
          <w:b/>
          <w:bCs/>
          <w:sz w:val="21"/>
          <w:szCs w:val="21"/>
          <w:highlight w:val="none"/>
          <w:u w:val="single"/>
        </w:rPr>
        <w:t>中建路桥集团高速公路养护有限公司</w:t>
      </w:r>
    </w:p>
    <w:p>
      <w:pPr>
        <w:spacing w:line="360" w:lineRule="auto"/>
        <w:ind w:firstLine="422" w:firstLineChars="200"/>
        <w:jc w:val="left"/>
        <w:outlineLvl w:val="2"/>
        <w:rPr>
          <w:rFonts w:ascii="仿宋_GB2312" w:eastAsia="仿宋_GB2312" w:hAnsiTheme="minorEastAsia"/>
          <w:b/>
          <w:sz w:val="21"/>
          <w:szCs w:val="21"/>
          <w:highlight w:val="none"/>
          <w:u w:val="single"/>
        </w:rPr>
      </w:pPr>
      <w:r>
        <w:rPr>
          <w:rFonts w:hint="eastAsia" w:ascii="仿宋_GB2312" w:eastAsia="仿宋_GB2312" w:hAnsiTheme="minorEastAsia"/>
          <w:b/>
          <w:sz w:val="21"/>
          <w:szCs w:val="21"/>
          <w:highlight w:val="none"/>
        </w:rPr>
        <w:t xml:space="preserve">账    号： </w:t>
      </w:r>
      <w:r>
        <w:rPr>
          <w:rFonts w:hint="eastAsia" w:ascii="宋体" w:hAnsi="宋体" w:eastAsia="宋体" w:cs="宋体"/>
          <w:b/>
          <w:bCs/>
          <w:sz w:val="21"/>
          <w:szCs w:val="21"/>
          <w:highlight w:val="none"/>
          <w:u w:val="single"/>
        </w:rPr>
        <w:t>13050161536100000357</w:t>
      </w:r>
    </w:p>
    <w:p>
      <w:pPr>
        <w:spacing w:line="360" w:lineRule="auto"/>
        <w:ind w:firstLine="422" w:firstLineChars="200"/>
        <w:jc w:val="left"/>
        <w:outlineLvl w:val="2"/>
        <w:rPr>
          <w:rFonts w:hint="eastAsia" w:ascii="宋体" w:hAnsi="宋体" w:eastAsia="宋体" w:cs="宋体"/>
          <w:b/>
          <w:bCs/>
          <w:sz w:val="21"/>
          <w:szCs w:val="21"/>
          <w:highlight w:val="none"/>
          <w:u w:val="single"/>
        </w:rPr>
      </w:pPr>
      <w:r>
        <w:rPr>
          <w:rFonts w:hint="eastAsia" w:ascii="仿宋_GB2312" w:eastAsia="仿宋_GB2312" w:hAnsiTheme="minorEastAsia"/>
          <w:b/>
          <w:sz w:val="21"/>
          <w:szCs w:val="21"/>
          <w:highlight w:val="none"/>
        </w:rPr>
        <w:t>开 户 行：</w:t>
      </w:r>
      <w:bookmarkStart w:id="19" w:name="_Toc287545441"/>
      <w:bookmarkStart w:id="20" w:name="_Toc238552208"/>
      <w:bookmarkStart w:id="21" w:name="_Toc238797563"/>
      <w:r>
        <w:rPr>
          <w:rFonts w:hint="eastAsia" w:ascii="宋体" w:hAnsi="宋体" w:eastAsia="宋体" w:cs="宋体"/>
          <w:b/>
          <w:bCs/>
          <w:sz w:val="21"/>
          <w:szCs w:val="21"/>
          <w:highlight w:val="none"/>
          <w:u w:val="single"/>
        </w:rPr>
        <w:t>中国建设银行石家庄建设南大街支行</w:t>
      </w:r>
    </w:p>
    <w:p>
      <w:pPr>
        <w:pStyle w:val="2"/>
        <w:spacing w:after="0" w:line="360" w:lineRule="auto"/>
        <w:ind w:firstLine="422" w:firstLineChars="200"/>
        <w:rPr>
          <w:rFonts w:hint="eastAsia" w:ascii="仿宋" w:hAnsi="仿宋" w:eastAsia="仿宋" w:cs="仿宋"/>
          <w:sz w:val="21"/>
          <w:szCs w:val="21"/>
          <w:highlight w:val="none"/>
        </w:rPr>
      </w:pPr>
      <w:r>
        <w:rPr>
          <w:rFonts w:hint="eastAsia" w:ascii="仿宋" w:hAnsi="仿宋" w:eastAsia="仿宋" w:cs="仿宋"/>
          <w:b/>
          <w:bCs/>
          <w:sz w:val="21"/>
          <w:szCs w:val="21"/>
          <w:highlight w:val="none"/>
        </w:rPr>
        <w:t>备</w:t>
      </w:r>
      <w:r>
        <w:rPr>
          <w:rFonts w:hint="eastAsia" w:ascii="仿宋" w:hAnsi="仿宋" w:eastAsia="仿宋" w:cs="仿宋"/>
          <w:b/>
          <w:bCs/>
          <w:sz w:val="21"/>
          <w:szCs w:val="21"/>
          <w:highlight w:val="none"/>
          <w:lang w:val="en-US" w:eastAsia="zh-CN"/>
        </w:rPr>
        <w:t xml:space="preserve">    </w:t>
      </w:r>
      <w:r>
        <w:rPr>
          <w:rFonts w:hint="eastAsia" w:ascii="仿宋" w:hAnsi="仿宋" w:eastAsia="仿宋" w:cs="仿宋"/>
          <w:b/>
          <w:bCs/>
          <w:sz w:val="21"/>
          <w:szCs w:val="21"/>
          <w:highlight w:val="none"/>
        </w:rPr>
        <w:t>注：</w:t>
      </w:r>
      <w:r>
        <w:rPr>
          <w:rFonts w:hint="eastAsia" w:ascii="仿宋" w:hAnsi="仿宋" w:eastAsia="仿宋" w:cs="仿宋"/>
          <w:b/>
          <w:bCs/>
          <w:sz w:val="21"/>
          <w:szCs w:val="21"/>
          <w:highlight w:val="none"/>
          <w:u w:val="single"/>
          <w:lang w:val="en-US" w:eastAsia="zh-CN"/>
        </w:rPr>
        <w:t>（     ）</w:t>
      </w:r>
      <w:r>
        <w:rPr>
          <w:rFonts w:hint="eastAsia" w:ascii="仿宋" w:hAnsi="仿宋" w:eastAsia="仿宋" w:cs="仿宋"/>
          <w:b/>
          <w:bCs/>
          <w:sz w:val="21"/>
          <w:szCs w:val="21"/>
          <w:highlight w:val="none"/>
          <w:u w:val="single"/>
        </w:rPr>
        <w:t>采购投标保证金</w:t>
      </w:r>
    </w:p>
    <w:p>
      <w:pPr>
        <w:spacing w:line="400" w:lineRule="exact"/>
        <w:ind w:firstLine="482" w:firstLineChars="200"/>
        <w:jc w:val="left"/>
        <w:outlineLvl w:val="2"/>
        <w:rPr>
          <w:rFonts w:ascii="仿宋_GB2312" w:eastAsia="仿宋_GB2312" w:hAnsiTheme="minorEastAsia"/>
          <w:b/>
          <w:sz w:val="21"/>
          <w:szCs w:val="21"/>
          <w:highlight w:val="none"/>
        </w:rPr>
      </w:pPr>
      <w:r>
        <w:rPr>
          <w:rFonts w:hint="eastAsia" w:ascii="仿宋_GB2312" w:hAnsi="华文仿宋" w:eastAsia="仿宋_GB2312" w:cs="宋体"/>
          <w:b/>
          <w:bCs/>
          <w:highlight w:val="none"/>
        </w:rPr>
        <w:t>8. 偏离</w:t>
      </w:r>
      <w:bookmarkEnd w:id="19"/>
      <w:bookmarkEnd w:id="20"/>
      <w:bookmarkEnd w:id="21"/>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允许投标文件偏离招标文件某些要求的，偏离应当符合招标文件规定的偏离范围和幅度。商务及技术条款响应偏差表见第四部分</w:t>
      </w:r>
      <w:bookmarkStart w:id="22" w:name="_Toc214333206"/>
      <w:bookmarkStart w:id="23" w:name="_Toc214336661"/>
      <w:bookmarkStart w:id="24" w:name="_Toc28053"/>
      <w:bookmarkStart w:id="25" w:name="_Toc214339495"/>
      <w:r>
        <w:rPr>
          <w:rFonts w:hint="eastAsia" w:ascii="宋体" w:hAnsi="宋体" w:eastAsia="宋体" w:cs="宋体"/>
          <w:sz w:val="21"/>
          <w:szCs w:val="21"/>
          <w:highlight w:val="none"/>
        </w:rPr>
        <w:t>。</w:t>
      </w:r>
    </w:p>
    <w:p>
      <w:pPr>
        <w:pStyle w:val="3"/>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二、招标文件</w:t>
      </w:r>
      <w:bookmarkEnd w:id="22"/>
      <w:bookmarkEnd w:id="23"/>
      <w:bookmarkEnd w:id="24"/>
      <w:bookmarkEnd w:id="25"/>
      <w:r>
        <w:rPr>
          <w:rFonts w:hint="eastAsia" w:ascii="仿宋_GB2312" w:eastAsia="仿宋_GB2312" w:cs="黑体" w:hAnsiTheme="minorEastAsia"/>
          <w:bCs w:val="0"/>
          <w:kern w:val="2"/>
          <w:sz w:val="28"/>
          <w:szCs w:val="28"/>
          <w:highlight w:val="none"/>
        </w:rPr>
        <w:t>的澄清和修改</w:t>
      </w:r>
    </w:p>
    <w:p>
      <w:pPr>
        <w:pStyle w:val="179"/>
        <w:keepNext w:val="0"/>
        <w:keepLines w:val="0"/>
        <w:ind w:firstLine="482" w:firstLineChars="200"/>
        <w:jc w:val="left"/>
        <w:rPr>
          <w:rFonts w:ascii="仿宋_GB2312" w:eastAsia="仿宋_GB2312" w:hAnsiTheme="minorEastAsia"/>
          <w:b/>
          <w:bCs/>
          <w:highlight w:val="none"/>
        </w:rPr>
      </w:pPr>
      <w:bookmarkStart w:id="26" w:name="_Toc9826"/>
      <w:r>
        <w:rPr>
          <w:rFonts w:ascii="仿宋_GB2312" w:eastAsia="仿宋_GB2312" w:cs="宋体" w:hAnsiTheme="minorEastAsia"/>
          <w:b/>
          <w:bCs/>
          <w:highlight w:val="none"/>
        </w:rPr>
        <w:t>9</w:t>
      </w:r>
      <w:r>
        <w:rPr>
          <w:rFonts w:hint="eastAsia" w:ascii="仿宋_GB2312" w:eastAsia="仿宋_GB2312" w:cs="宋体" w:hAnsiTheme="minorEastAsia"/>
          <w:b/>
          <w:bCs/>
          <w:highlight w:val="none"/>
        </w:rPr>
        <w:t>.招标文件的澄清、答疑和补遗</w:t>
      </w:r>
      <w:bookmarkEnd w:id="26"/>
    </w:p>
    <w:p>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.1投标人应认真阅读招标文件，包括所有说明、术语、技术标准等。如发现招标文件缺页或错误等问题，应及时向招标人答疑，以便补齐，否则，责任自负。</w:t>
      </w:r>
    </w:p>
    <w:p>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.2 投标人对招标文件提出的答疑或澄清应于开标截止时间之前，按要求上传相关资料。</w:t>
      </w:r>
    </w:p>
    <w:p>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.3招标人对招标文件的补遗或答疑应于开标截止时间之前或议标过程。对于投标人未及时了解补遗或答疑信息，造成投标人投标或议标错误，招标人不负任何责任。</w:t>
      </w:r>
    </w:p>
    <w:p>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9.4</w:t>
      </w:r>
      <w:r>
        <w:rPr>
          <w:rFonts w:hint="eastAsia" w:ascii="仿宋_GB2312" w:eastAsia="仿宋_GB2312" w:hAnsiTheme="minorEastAsia"/>
          <w:sz w:val="21"/>
          <w:szCs w:val="21"/>
          <w:highlight w:val="none"/>
        </w:rPr>
        <w:t xml:space="preserve"> 对招标文件两次以上的公告、澄清、答疑或补遗如有不一致之处，以日期在后的澄清或补遗为准。</w:t>
      </w:r>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招标过程中，对招标文件所作的澄清、答疑、补遗等，均构成招标文件的组成部分。</w:t>
      </w:r>
    </w:p>
    <w:p>
      <w:pPr>
        <w:pStyle w:val="179"/>
        <w:keepNext w:val="0"/>
        <w:keepLines w:val="0"/>
        <w:ind w:firstLine="482" w:firstLineChars="200"/>
        <w:jc w:val="left"/>
        <w:rPr>
          <w:rFonts w:ascii="仿宋_GB2312" w:eastAsia="仿宋_GB2312" w:hAnsiTheme="minorEastAsia"/>
          <w:b/>
          <w:bCs/>
          <w:highlight w:val="none"/>
        </w:rPr>
      </w:pPr>
      <w:bookmarkStart w:id="27" w:name="_Toc20034"/>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.招标文件的修改</w:t>
      </w:r>
      <w:bookmarkEnd w:id="27"/>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招标人可以修改招标文件，并通知所有的投标人。由于项目施工图纸或者技术要求变更，亦可在议标过程中口头通知。</w:t>
      </w:r>
      <w:r>
        <w:rPr>
          <w:rFonts w:ascii="仿宋_GB2312" w:eastAsia="仿宋_GB2312" w:cs="Times New Roman" w:hAnsiTheme="minorEastAsia"/>
          <w:sz w:val="21"/>
          <w:szCs w:val="21"/>
          <w:highlight w:val="none"/>
        </w:rPr>
        <w:t xml:space="preserve"> </w:t>
      </w:r>
      <w:bookmarkStart w:id="28" w:name="_Toc214335335"/>
      <w:bookmarkStart w:id="29" w:name="_Toc214339496"/>
      <w:bookmarkStart w:id="30" w:name="_Toc214331811"/>
      <w:bookmarkStart w:id="31" w:name="_Toc214336662"/>
      <w:bookmarkStart w:id="32" w:name="_Toc10683"/>
      <w:bookmarkStart w:id="33" w:name="_Toc214333207"/>
    </w:p>
    <w:p>
      <w:pPr>
        <w:spacing w:line="400" w:lineRule="exact"/>
        <w:ind w:firstLine="420" w:firstLineChars="200"/>
        <w:jc w:val="left"/>
        <w:outlineLvl w:val="2"/>
        <w:rPr>
          <w:rFonts w:ascii="仿宋_GB2312" w:eastAsia="仿宋_GB2312" w:cs="Times New Roman" w:hAnsiTheme="minorEastAsia"/>
          <w:sz w:val="21"/>
          <w:szCs w:val="21"/>
          <w:highlight w:val="none"/>
        </w:rPr>
      </w:pPr>
    </w:p>
    <w:p>
      <w:pPr>
        <w:pStyle w:val="3"/>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三、投标文件的编制</w:t>
      </w:r>
      <w:bookmarkEnd w:id="28"/>
      <w:bookmarkEnd w:id="29"/>
      <w:bookmarkEnd w:id="30"/>
      <w:bookmarkEnd w:id="31"/>
      <w:bookmarkEnd w:id="32"/>
      <w:bookmarkEnd w:id="33"/>
      <w:r>
        <w:rPr>
          <w:rFonts w:hint="eastAsia" w:ascii="仿宋_GB2312" w:eastAsia="仿宋_GB2312" w:cs="黑体" w:hAnsiTheme="minorEastAsia"/>
          <w:bCs w:val="0"/>
          <w:kern w:val="2"/>
          <w:sz w:val="28"/>
          <w:szCs w:val="28"/>
          <w:highlight w:val="none"/>
        </w:rPr>
        <w:t>及相关事项说明</w:t>
      </w:r>
    </w:p>
    <w:p>
      <w:pPr>
        <w:pStyle w:val="179"/>
        <w:keepNext w:val="0"/>
        <w:keepLines w:val="0"/>
        <w:ind w:firstLine="482" w:firstLineChars="200"/>
        <w:jc w:val="left"/>
        <w:rPr>
          <w:rFonts w:ascii="仿宋_GB2312" w:eastAsia="仿宋_GB2312" w:hAnsiTheme="minorEastAsia"/>
          <w:b/>
          <w:bCs/>
          <w:highlight w:val="none"/>
        </w:rPr>
      </w:pPr>
      <w:bookmarkStart w:id="34" w:name="_Toc24946"/>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.投标文件的装订、版式及文字</w:t>
      </w:r>
      <w:bookmarkEnd w:id="34"/>
    </w:p>
    <w:p>
      <w:pPr>
        <w:spacing w:line="400" w:lineRule="exact"/>
        <w:ind w:firstLine="420" w:firstLineChars="200"/>
        <w:jc w:val="left"/>
        <w:outlineLvl w:val="2"/>
        <w:rPr>
          <w:rFonts w:ascii="仿宋_GB2312" w:eastAsia="仿宋_GB2312" w:cs="Times New Roman" w:hAnsiTheme="minorEastAsia"/>
          <w:sz w:val="21"/>
          <w:szCs w:val="21"/>
          <w:highlight w:val="none"/>
        </w:rPr>
      </w:pPr>
      <w:bookmarkStart w:id="35" w:name="_Toc20888"/>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1</w:t>
      </w:r>
      <w:r>
        <w:rPr>
          <w:rFonts w:hint="eastAsia" w:ascii="仿宋_GB2312" w:eastAsia="仿宋_GB2312" w:hAnsiTheme="minorEastAsia"/>
          <w:sz w:val="21"/>
          <w:szCs w:val="21"/>
          <w:highlight w:val="none"/>
        </w:rPr>
        <w:t>电子扫描版投标文件的版式用A4纸（附图、附表除外），文字用中文简体。所有文字、图表必须清晰可辨。</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2</w:t>
      </w:r>
      <w:r>
        <w:rPr>
          <w:rFonts w:hint="eastAsia" w:ascii="仿宋_GB2312" w:eastAsia="仿宋_GB2312" w:hAnsiTheme="minorEastAsia"/>
          <w:sz w:val="21"/>
          <w:szCs w:val="21"/>
          <w:highlight w:val="none"/>
        </w:rPr>
        <w:t>投标文件纸质版和电子扫描版必须按连续页码顺序排版及扫描。</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3</w:t>
      </w:r>
      <w:r>
        <w:rPr>
          <w:rFonts w:hint="eastAsia" w:ascii="仿宋_GB2312" w:eastAsia="仿宋_GB2312" w:hAnsiTheme="minorEastAsia"/>
          <w:sz w:val="21"/>
          <w:szCs w:val="21"/>
          <w:highlight w:val="none"/>
        </w:rPr>
        <w:t>每个包件均应单独编制投标文件。</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4</w:t>
      </w:r>
      <w:r>
        <w:rPr>
          <w:rFonts w:hint="eastAsia" w:ascii="仿宋_GB2312" w:eastAsia="仿宋_GB2312" w:hAnsiTheme="minorEastAsia"/>
          <w:sz w:val="21"/>
          <w:szCs w:val="21"/>
          <w:highlight w:val="none"/>
        </w:rPr>
        <w:t>“中建路桥集团官网”招标情况下，招标文件送达指定地点。</w:t>
      </w:r>
    </w:p>
    <w:p>
      <w:pPr>
        <w:pStyle w:val="179"/>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.投标文件的组成及编制顺序</w:t>
      </w:r>
      <w:bookmarkEnd w:id="35"/>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投标人须按照第</w:t>
      </w:r>
      <w:r>
        <w:rPr>
          <w:rFonts w:hint="eastAsia" w:ascii="仿宋_GB2312" w:eastAsia="仿宋_GB2312" w:hAnsiTheme="minorEastAsia"/>
          <w:color w:val="000000" w:themeColor="text1"/>
          <w:sz w:val="21"/>
          <w:szCs w:val="21"/>
          <w:highlight w:val="none"/>
        </w:rPr>
        <w:t>1</w:t>
      </w:r>
      <w:r>
        <w:rPr>
          <w:rFonts w:ascii="仿宋_GB2312" w:eastAsia="仿宋_GB2312" w:hAnsiTheme="minorEastAsia"/>
          <w:color w:val="000000" w:themeColor="text1"/>
          <w:sz w:val="21"/>
          <w:szCs w:val="21"/>
          <w:highlight w:val="none"/>
        </w:rPr>
        <w:t>2</w:t>
      </w:r>
      <w:r>
        <w:rPr>
          <w:rFonts w:hint="eastAsia" w:ascii="仿宋_GB2312" w:eastAsia="仿宋_GB2312" w:hAnsiTheme="minorEastAsia"/>
          <w:color w:val="000000" w:themeColor="text1"/>
          <w:sz w:val="21"/>
          <w:szCs w:val="21"/>
          <w:highlight w:val="none"/>
        </w:rPr>
        <w:t>.1、1</w:t>
      </w:r>
      <w:r>
        <w:rPr>
          <w:rFonts w:ascii="仿宋_GB2312" w:eastAsia="仿宋_GB2312" w:hAnsiTheme="minorEastAsia"/>
          <w:color w:val="000000" w:themeColor="text1"/>
          <w:sz w:val="21"/>
          <w:szCs w:val="21"/>
          <w:highlight w:val="none"/>
        </w:rPr>
        <w:t>2</w:t>
      </w:r>
      <w:r>
        <w:rPr>
          <w:rFonts w:hint="eastAsia" w:ascii="仿宋_GB2312" w:eastAsia="仿宋_GB2312" w:hAnsiTheme="minorEastAsia"/>
          <w:color w:val="000000" w:themeColor="text1"/>
          <w:sz w:val="21"/>
          <w:szCs w:val="21"/>
          <w:highlight w:val="none"/>
        </w:rPr>
        <w:t>.2、1</w:t>
      </w:r>
      <w:r>
        <w:rPr>
          <w:rFonts w:ascii="仿宋_GB2312" w:eastAsia="仿宋_GB2312" w:hAnsiTheme="minorEastAsia"/>
          <w:color w:val="000000" w:themeColor="text1"/>
          <w:sz w:val="21"/>
          <w:szCs w:val="21"/>
          <w:highlight w:val="none"/>
        </w:rPr>
        <w:t>2</w:t>
      </w:r>
      <w:r>
        <w:rPr>
          <w:rFonts w:hint="eastAsia" w:ascii="仿宋_GB2312" w:eastAsia="仿宋_GB2312" w:hAnsiTheme="minorEastAsia"/>
          <w:color w:val="000000" w:themeColor="text1"/>
          <w:sz w:val="21"/>
          <w:szCs w:val="21"/>
          <w:highlight w:val="none"/>
        </w:rPr>
        <w:t>.3</w:t>
      </w:r>
      <w:r>
        <w:rPr>
          <w:rFonts w:hint="eastAsia" w:ascii="仿宋_GB2312" w:eastAsia="仿宋_GB2312" w:hAnsiTheme="minorEastAsia"/>
          <w:sz w:val="21"/>
          <w:szCs w:val="21"/>
          <w:highlight w:val="none"/>
        </w:rPr>
        <w:t>款的顺序和要求编制投标文件。</w:t>
      </w:r>
    </w:p>
    <w:p>
      <w:pPr>
        <w:spacing w:line="400" w:lineRule="exact"/>
        <w:ind w:firstLine="422" w:firstLineChars="200"/>
        <w:jc w:val="left"/>
        <w:outlineLvl w:val="2"/>
        <w:rPr>
          <w:rFonts w:hint="eastAsia"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.1  商务文件</w:t>
      </w:r>
    </w:p>
    <w:p>
      <w:pPr>
        <w:spacing w:line="400" w:lineRule="exact"/>
        <w:ind w:firstLine="420" w:firstLineChars="200"/>
        <w:jc w:val="left"/>
        <w:outlineLvl w:val="2"/>
        <w:rPr>
          <w:rFonts w:hint="eastAsia" w:ascii="仿宋_GB2312" w:hAnsi="华文仿宋" w:eastAsia="仿宋_GB2312" w:cs="Times New Roman"/>
          <w:color w:val="000000" w:themeColor="text1"/>
          <w:sz w:val="21"/>
          <w:szCs w:val="21"/>
          <w:highlight w:val="none"/>
        </w:rPr>
      </w:pPr>
      <w:r>
        <w:rPr>
          <w:rFonts w:hint="eastAsia" w:ascii="仿宋_GB2312" w:hAnsi="华文仿宋" w:eastAsia="仿宋_GB2312"/>
          <w:color w:val="000000" w:themeColor="text1"/>
          <w:sz w:val="21"/>
          <w:szCs w:val="21"/>
          <w:highlight w:val="none"/>
        </w:rPr>
        <w:t>具体内容如下：</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投标书；</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12.1.2报价表；</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法定代表人授权书；</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12.1.4身份证明</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12.1.5投标保证金（复印件）；</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6中华人民共和国企业法人营业执照、税务登记证、组织机构代码证；</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7中华人民共和国中外合资经营企业批准证书（仅对中外合资经营企业）；</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8产品生产许可证或销售许可证；</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9产品鉴定证书和检测报告；</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10企业ISO9000和ISO14000证书；</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11增值税一般纳税人资格登记表；</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12近三年内是否有被责令停业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财产被接管、冻结，破产状态等情况（附录</w:t>
      </w:r>
      <w:r>
        <w:rPr>
          <w:rFonts w:ascii="仿宋_GB2312" w:eastAsia="仿宋_GB2312" w:hAnsiTheme="minorEastAsia"/>
          <w:sz w:val="21"/>
          <w:szCs w:val="21"/>
          <w:highlight w:val="none"/>
        </w:rPr>
        <w:t>12</w:t>
      </w:r>
      <w:r>
        <w:rPr>
          <w:rFonts w:hint="eastAsia" w:ascii="仿宋_GB2312" w:eastAsia="仿宋_GB2312" w:hAnsiTheme="minorEastAsia"/>
          <w:sz w:val="21"/>
          <w:szCs w:val="21"/>
          <w:highlight w:val="none"/>
        </w:rPr>
        <w:t>）；</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13业绩证明资料（近三年的类似工程施工合同复印件，提供原件备查）；</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12.1.14劳动保护用品生产厂商投标人必须具备全国工业产品生产许可证、产品安全鉴定证等资料；经销单位投标人必须具备定点经营证书及生产厂商上述资料；</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12.1.15易燃易爆化学危险品生产厂商投标人必须具备易燃易爆化学物品消防安全许可证；经销单位投标人必须具备化学危险物品经营许可证及生产厂商上述资料；</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16投标人认为必要的其它文件和资料。</w:t>
      </w:r>
    </w:p>
    <w:p>
      <w:pPr>
        <w:spacing w:line="400" w:lineRule="exact"/>
        <w:ind w:firstLine="422" w:firstLineChars="200"/>
        <w:jc w:val="left"/>
        <w:outlineLvl w:val="2"/>
        <w:rPr>
          <w:rFonts w:hint="eastAsia"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 xml:space="preserve">  技术文件</w:t>
      </w:r>
    </w:p>
    <w:p>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12.2.1</w:t>
      </w:r>
      <w:r>
        <w:rPr>
          <w:rFonts w:hint="eastAsia" w:ascii="仿宋_GB2312" w:hAnsi="华文仿宋" w:eastAsia="仿宋_GB2312"/>
          <w:sz w:val="21"/>
          <w:szCs w:val="21"/>
          <w:highlight w:val="none"/>
        </w:rPr>
        <w:t>主要原材料的来源、性能指标及采用标准；</w:t>
      </w:r>
    </w:p>
    <w:p>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12.2.2</w:t>
      </w:r>
      <w:r>
        <w:rPr>
          <w:rFonts w:hint="eastAsia" w:ascii="仿宋_GB2312" w:hAnsi="华文仿宋" w:eastAsia="仿宋_GB2312"/>
          <w:sz w:val="21"/>
          <w:szCs w:val="21"/>
          <w:highlight w:val="none"/>
        </w:rPr>
        <w:t>近3年内省、部级以上检验、检测机构出具的投标物资质量检验报告（复印件）；</w:t>
      </w:r>
    </w:p>
    <w:p>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12.2.3</w:t>
      </w:r>
      <w:r>
        <w:rPr>
          <w:rFonts w:hint="eastAsia" w:ascii="仿宋_GB2312" w:hAnsi="华文仿宋" w:eastAsia="仿宋_GB2312"/>
          <w:sz w:val="21"/>
          <w:szCs w:val="21"/>
          <w:highlight w:val="none"/>
        </w:rPr>
        <w:t>投标物资的生产质量保证措施；</w:t>
      </w:r>
    </w:p>
    <w:p>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12.2.5</w:t>
      </w:r>
      <w:r>
        <w:rPr>
          <w:rFonts w:hint="eastAsia" w:ascii="仿宋_GB2312" w:hAnsi="华文仿宋" w:eastAsia="仿宋_GB2312"/>
          <w:sz w:val="21"/>
          <w:szCs w:val="21"/>
          <w:highlight w:val="none"/>
        </w:rPr>
        <w:t>投标人须提供售后服务承诺；</w:t>
      </w:r>
    </w:p>
    <w:p>
      <w:pPr>
        <w:spacing w:line="400" w:lineRule="exact"/>
        <w:ind w:firstLine="420" w:firstLineChars="200"/>
        <w:jc w:val="left"/>
        <w:outlineLvl w:val="2"/>
        <w:rPr>
          <w:rFonts w:hint="eastAsia" w:ascii="仿宋_GB2312" w:hAnsi="华文仿宋" w:eastAsia="仿宋_GB2312"/>
          <w:sz w:val="21"/>
          <w:szCs w:val="21"/>
          <w:highlight w:val="none"/>
        </w:rPr>
      </w:pPr>
      <w:r>
        <w:rPr>
          <w:rFonts w:ascii="仿宋_GB2312" w:hAnsi="华文仿宋" w:eastAsia="仿宋_GB2312"/>
          <w:sz w:val="21"/>
          <w:szCs w:val="21"/>
          <w:highlight w:val="none"/>
        </w:rPr>
        <w:t>12.2.6</w:t>
      </w:r>
      <w:r>
        <w:rPr>
          <w:rFonts w:hint="eastAsia" w:ascii="仿宋_GB2312" w:hAnsi="华文仿宋" w:eastAsia="仿宋_GB2312"/>
          <w:sz w:val="21"/>
          <w:szCs w:val="21"/>
          <w:highlight w:val="none"/>
        </w:rPr>
        <w:t>投标人认为需要补充的其它文件或资料。</w:t>
      </w:r>
    </w:p>
    <w:p>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ascii="仿宋_GB2312" w:eastAsia="仿宋_GB2312" w:hAnsiTheme="minorEastAsia"/>
          <w:b/>
          <w:sz w:val="21"/>
          <w:szCs w:val="21"/>
          <w:highlight w:val="none"/>
        </w:rPr>
        <w:t>12.3</w:t>
      </w:r>
      <w:r>
        <w:rPr>
          <w:rFonts w:hint="eastAsia" w:ascii="仿宋_GB2312" w:eastAsia="仿宋_GB2312" w:hAnsiTheme="minorEastAsia"/>
          <w:b/>
          <w:sz w:val="21"/>
          <w:szCs w:val="21"/>
          <w:highlight w:val="none"/>
        </w:rPr>
        <w:t>投标文件编制要求：</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.1投标书的内容应按照招标人提供的表样文件的要求，详细填写、请勿遗漏；</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.2投标文件要求的资格证书等以原件的扫描件形式在投标文件中体现；</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.3投标文件用中文编制。</w:t>
      </w:r>
    </w:p>
    <w:p>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2</w:t>
      </w:r>
      <w:r>
        <w:rPr>
          <w:rFonts w:hint="eastAsia" w:ascii="仿宋_GB2312" w:eastAsia="仿宋_GB2312" w:hAnsiTheme="minorEastAsia"/>
          <w:b/>
          <w:sz w:val="21"/>
          <w:szCs w:val="21"/>
          <w:highlight w:val="none"/>
        </w:rPr>
        <w:t>.4标书有下列情况之一无效：</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.1投标书未按规定盖公章和法定代表人或授权代理人签字；</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.2投标书内容不全、字迹模糊难以辨认或未按规定填写</w:t>
      </w:r>
      <w:r>
        <w:rPr>
          <w:rFonts w:hint="eastAsia" w:ascii="宋体" w:hAnsi="宋体" w:eastAsia="宋体" w:cs="宋体"/>
          <w:sz w:val="21"/>
          <w:szCs w:val="21"/>
          <w:highlight w:val="none"/>
        </w:rPr>
        <w:t>。</w:t>
      </w:r>
    </w:p>
    <w:p>
      <w:pPr>
        <w:pStyle w:val="179"/>
        <w:keepNext w:val="0"/>
        <w:keepLines w:val="0"/>
        <w:ind w:firstLine="482" w:firstLineChars="200"/>
        <w:jc w:val="left"/>
        <w:rPr>
          <w:rFonts w:ascii="仿宋_GB2312" w:eastAsia="仿宋_GB2312" w:hAnsiTheme="minorEastAsia"/>
          <w:b/>
          <w:bCs/>
          <w:highlight w:val="none"/>
        </w:rPr>
      </w:pPr>
      <w:r>
        <w:rPr>
          <w:rFonts w:ascii="仿宋_GB2312" w:eastAsia="仿宋_GB2312" w:cs="宋体" w:hAnsiTheme="minorEastAsia"/>
          <w:b/>
          <w:bCs/>
          <w:highlight w:val="none"/>
        </w:rPr>
        <w:t>13</w:t>
      </w:r>
      <w:r>
        <w:rPr>
          <w:rFonts w:hint="eastAsia" w:ascii="仿宋_GB2312" w:eastAsia="仿宋_GB2312" w:cs="宋体" w:hAnsiTheme="minorEastAsia"/>
          <w:b/>
          <w:bCs/>
          <w:highlight w:val="none"/>
        </w:rPr>
        <w:t>.投标保证金和履约保证金</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.1投标人按规定递交投标保证金，（投标保证金金额为</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u w:val="single"/>
          <w:lang w:val="en-US" w:eastAsia="zh-CN"/>
        </w:rPr>
        <w:t>2</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rPr>
        <w:t>万元整；</w:t>
      </w:r>
      <w:r>
        <w:rPr>
          <w:rFonts w:hint="eastAsia" w:ascii="宋体" w:hAnsi="宋体" w:eastAsia="宋体" w:cs="宋体"/>
          <w:b/>
          <w:sz w:val="21"/>
          <w:szCs w:val="21"/>
          <w:highlight w:val="none"/>
        </w:rPr>
        <w:t>大写</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u w:val="single"/>
          <w:lang w:val="en-US" w:eastAsia="zh-CN"/>
        </w:rPr>
        <w:t>贰万</w:t>
      </w:r>
      <w:r>
        <w:rPr>
          <w:rFonts w:hint="eastAsia" w:ascii="仿宋_GB2312" w:eastAsia="仿宋_GB2312" w:hAnsiTheme="minorEastAsia"/>
          <w:b/>
          <w:sz w:val="21"/>
          <w:szCs w:val="21"/>
          <w:highlight w:val="none"/>
          <w:u w:val="single"/>
        </w:rPr>
        <w:t>元</w:t>
      </w:r>
      <w:r>
        <w:rPr>
          <w:rFonts w:hint="eastAsia" w:ascii="仿宋_GB2312" w:eastAsia="仿宋_GB2312" w:hAnsiTheme="minorEastAsia"/>
          <w:b/>
          <w:sz w:val="21"/>
          <w:szCs w:val="21"/>
          <w:highlight w:val="none"/>
          <w:u w:val="single"/>
          <w:lang w:val="en-US" w:eastAsia="zh-CN"/>
        </w:rPr>
        <w:t xml:space="preserve">整 </w:t>
      </w:r>
      <w:r>
        <w:rPr>
          <w:rFonts w:hint="eastAsia" w:ascii="仿宋_GB2312" w:eastAsia="仿宋_GB2312" w:hAnsiTheme="minorEastAsia"/>
          <w:sz w:val="21"/>
          <w:szCs w:val="21"/>
          <w:highlight w:val="none"/>
        </w:rPr>
        <w:t>）</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并作为投标文件的组成部分。</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 投标人不按本章第1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.1项要求提交投标保证金的</w:t>
      </w:r>
      <w:r>
        <w:rPr>
          <w:rFonts w:hint="eastAsia" w:ascii="仿宋_GB2312" w:eastAsia="仿宋_GB2312" w:cs="宋体" w:hAnsiTheme="minorEastAsia"/>
          <w:b/>
          <w:bCs/>
          <w:highlight w:val="none"/>
        </w:rPr>
        <w:t>，</w:t>
      </w:r>
      <w:r>
        <w:rPr>
          <w:rFonts w:hint="eastAsia" w:ascii="仿宋_GB2312" w:eastAsia="仿宋_GB2312" w:hAnsiTheme="minorEastAsia"/>
          <w:sz w:val="21"/>
          <w:szCs w:val="21"/>
          <w:highlight w:val="none"/>
        </w:rPr>
        <w:t>其投标文件作废标处理。</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 招标人与中标人签订合同后10个工作日内，向未中标的投标人退还投标保证金。</w:t>
      </w:r>
    </w:p>
    <w:p>
      <w:pPr>
        <w:spacing w:line="400" w:lineRule="exact"/>
        <w:ind w:firstLine="420" w:firstLineChars="200"/>
        <w:jc w:val="left"/>
        <w:outlineLvl w:val="2"/>
        <w:rPr>
          <w:rFonts w:ascii="仿宋_GB2312" w:eastAsia="仿宋_GB2312" w:cs="宋体" w:hAnsiTheme="minorEastAsia"/>
          <w:color w:val="000000" w:themeColor="text1"/>
          <w:sz w:val="21"/>
          <w:szCs w:val="21"/>
          <w:highlight w:val="none"/>
        </w:rPr>
      </w:pPr>
      <w:r>
        <w:rPr>
          <w:rFonts w:hint="eastAsia" w:ascii="仿宋_GB2312" w:eastAsia="仿宋_GB2312" w:hAnsiTheme="minorEastAsia"/>
          <w:sz w:val="21"/>
          <w:szCs w:val="21"/>
          <w:highlight w:val="none"/>
        </w:rPr>
        <w:t>13.4</w:t>
      </w:r>
      <w:r>
        <w:rPr>
          <w:rFonts w:hint="eastAsia" w:ascii="仿宋_GB2312" w:eastAsia="仿宋_GB2312" w:cs="宋体" w:hAnsiTheme="minorEastAsia"/>
          <w:color w:val="000000" w:themeColor="text1"/>
          <w:sz w:val="21"/>
          <w:szCs w:val="21"/>
          <w:highlight w:val="none"/>
        </w:rPr>
        <w:t>上一年度中建路桥集团有限公司优质供应商可免交投标保证金。</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w:t>
      </w:r>
      <w:r>
        <w:rPr>
          <w:rFonts w:hint="eastAsia" w:ascii="仿宋_GB2312" w:eastAsia="仿宋_GB2312" w:hAnsiTheme="minorEastAsia"/>
          <w:sz w:val="21"/>
          <w:szCs w:val="21"/>
          <w:highlight w:val="none"/>
        </w:rPr>
        <w:t>中标人投标保证金在中标人与招标人签订物资采购合同后直接转为履约保证金，不足部分在收到中标通知1</w:t>
      </w:r>
      <w:r>
        <w:rPr>
          <w:rFonts w:ascii="仿宋_GB2312" w:eastAsia="仿宋_GB2312" w:hAnsiTheme="minorEastAsia"/>
          <w:sz w:val="21"/>
          <w:szCs w:val="21"/>
          <w:highlight w:val="none"/>
        </w:rPr>
        <w:t>0</w:t>
      </w:r>
      <w:r>
        <w:rPr>
          <w:rFonts w:hint="eastAsia" w:ascii="仿宋_GB2312" w:eastAsia="仿宋_GB2312" w:hAnsiTheme="minorEastAsia"/>
          <w:sz w:val="21"/>
          <w:szCs w:val="21"/>
          <w:highlight w:val="none"/>
        </w:rPr>
        <w:t>日内补足。</w:t>
      </w:r>
    </w:p>
    <w:p>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3</w:t>
      </w:r>
      <w:r>
        <w:rPr>
          <w:rFonts w:hint="eastAsia" w:ascii="仿宋_GB2312" w:eastAsia="仿宋_GB2312" w:hAnsiTheme="minorEastAsia"/>
          <w:b/>
          <w:sz w:val="21"/>
          <w:szCs w:val="21"/>
          <w:highlight w:val="none"/>
        </w:rPr>
        <w:t xml:space="preserve">.5 有下列情形之一的，投标保证金将不予退还，情节严重的列入中建路桥集团《不合格分供商名录》： </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3.5.1</w:t>
      </w:r>
      <w:r>
        <w:rPr>
          <w:rFonts w:hint="eastAsia" w:ascii="仿宋_GB2312" w:eastAsia="仿宋_GB2312" w:hAnsiTheme="minorEastAsia"/>
          <w:sz w:val="21"/>
          <w:szCs w:val="21"/>
          <w:highlight w:val="none"/>
        </w:rPr>
        <w:t>投标人在规定的投标有效期内未经招标人同意撤销或修改其投标文件；</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3.5.2</w:t>
      </w:r>
      <w:r>
        <w:rPr>
          <w:rFonts w:hint="eastAsia" w:ascii="仿宋_GB2312" w:eastAsia="仿宋_GB2312" w:hAnsiTheme="minorEastAsia"/>
          <w:sz w:val="21"/>
          <w:szCs w:val="21"/>
          <w:highlight w:val="none"/>
        </w:rPr>
        <w:t>严重扰乱议标流程，招标过程中恶意退出的；</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3.5.3</w:t>
      </w:r>
      <w:r>
        <w:rPr>
          <w:rFonts w:hint="eastAsia" w:ascii="仿宋_GB2312" w:eastAsia="仿宋_GB2312" w:hAnsiTheme="minorEastAsia"/>
          <w:sz w:val="21"/>
          <w:szCs w:val="21"/>
          <w:highlight w:val="none"/>
        </w:rPr>
        <w:t>中标人在收到中标通知后，无正当理由拒签合同协议书或未按招标文件规定提交履约保证金</w:t>
      </w:r>
      <w:r>
        <w:rPr>
          <w:rFonts w:hint="eastAsia" w:ascii="宋体" w:hAnsi="宋体" w:eastAsia="宋体" w:cs="宋体"/>
          <w:sz w:val="21"/>
          <w:szCs w:val="21"/>
          <w:highlight w:val="none"/>
        </w:rPr>
        <w:t>。</w:t>
      </w:r>
    </w:p>
    <w:p>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13.6履约保证金见前附表。</w:t>
      </w:r>
      <w:r>
        <w:rPr>
          <w:rFonts w:hint="eastAsia" w:ascii="仿宋_GB2312" w:eastAsia="仿宋_GB2312" w:cs="宋体" w:hAnsiTheme="minorEastAsia"/>
          <w:color w:val="000000" w:themeColor="text1"/>
          <w:sz w:val="21"/>
          <w:szCs w:val="21"/>
          <w:highlight w:val="none"/>
        </w:rPr>
        <w:t>上一年度中建路桥集团有限公司优质供应商免交履约保证金。</w:t>
      </w:r>
    </w:p>
    <w:p>
      <w:pPr>
        <w:pStyle w:val="179"/>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14.投标报价及结算方式</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价。投标人把物资由生产所在地，完好无损地运至招标人指定交货地点所发生的一切费用，包括但不限于乙方将物资运至甲方指定地点的货价、出库费、运费、装车费、包装费、交货前的采保费、检测费（除甲方收货时验收检测外）、资料费、财务费、损耗、管理费、利润、税金、风险费等一切费用，乙方不得以任何理由向甲方另行索要其它费用。</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风险因素</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现场一切条件、供货周期、运输过程中的各种障碍、各种意想不到的费用等均由投标方自行考虑，费用自行承担。</w:t>
      </w:r>
    </w:p>
    <w:p>
      <w:pPr>
        <w:spacing w:line="400" w:lineRule="exact"/>
        <w:ind w:firstLine="422" w:firstLineChars="200"/>
        <w:jc w:val="left"/>
        <w:outlineLvl w:val="2"/>
        <w:rPr>
          <w:rFonts w:hint="eastAsia"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4</w:t>
      </w:r>
      <w:r>
        <w:rPr>
          <w:rFonts w:hint="eastAsia" w:ascii="仿宋_GB2312" w:eastAsia="仿宋_GB2312" w:hAnsiTheme="minorEastAsia"/>
          <w:b/>
          <w:sz w:val="21"/>
          <w:szCs w:val="21"/>
          <w:highlight w:val="none"/>
        </w:rPr>
        <w:t>.2本次招标报价采用</w:t>
      </w:r>
      <w:r>
        <w:rPr>
          <w:rFonts w:hint="eastAsia" w:ascii="仿宋_GB2312" w:eastAsia="仿宋_GB2312" w:hAnsiTheme="minorEastAsia"/>
          <w:b/>
          <w:sz w:val="21"/>
          <w:szCs w:val="21"/>
          <w:highlight w:val="none"/>
          <w:u w:val="single"/>
        </w:rPr>
        <w:t xml:space="preserve"> 固定</w:t>
      </w:r>
      <w:r>
        <w:rPr>
          <w:rFonts w:hint="eastAsia" w:ascii="仿宋_GB2312" w:eastAsia="仿宋_GB2312" w:hAnsiTheme="minorEastAsia"/>
          <w:b/>
          <w:sz w:val="21"/>
          <w:szCs w:val="21"/>
          <w:highlight w:val="none"/>
          <w:u w:val="single"/>
          <w:lang w:val="en-US" w:eastAsia="zh-CN"/>
        </w:rPr>
        <w:t xml:space="preserve">单价 </w:t>
      </w:r>
      <w:r>
        <w:rPr>
          <w:rFonts w:hint="eastAsia" w:ascii="仿宋_GB2312" w:eastAsia="仿宋_GB2312" w:hAnsiTheme="minorEastAsia"/>
          <w:b/>
          <w:sz w:val="21"/>
          <w:szCs w:val="21"/>
          <w:highlight w:val="none"/>
        </w:rPr>
        <w:t>报价方式</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物资报价在定标之日起不因任何因素如环保、人工、机械、运输、当地政府收费或市场价格调整而调整，所有因素均属于投标人自身经营风险，视为投标人已经事先充分评估并已经列入价格之中。双方各自承担各自市场风险。</w:t>
      </w:r>
    </w:p>
    <w:p>
      <w:pPr>
        <w:tabs>
          <w:tab w:val="left" w:pos="765"/>
        </w:tabs>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hAnsi="宋体" w:eastAsia="仿宋_GB2312" w:cs="宋体"/>
          <w:sz w:val="21"/>
          <w:szCs w:val="21"/>
          <w:highlight w:val="none"/>
        </w:rPr>
        <w:t>14.3结算方式</w:t>
      </w:r>
      <w:r>
        <w:rPr>
          <w:rFonts w:hint="eastAsia" w:ascii="仿宋_GB2312" w:eastAsia="仿宋_GB2312" w:hAnsiTheme="minorEastAsia"/>
          <w:sz w:val="21"/>
          <w:szCs w:val="21"/>
          <w:highlight w:val="none"/>
        </w:rPr>
        <w:t>见投标人须知前附表。</w:t>
      </w:r>
    </w:p>
    <w:p>
      <w:pPr>
        <w:pStyle w:val="179"/>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hAnsiTheme="minorEastAsia"/>
          <w:sz w:val="21"/>
          <w:szCs w:val="21"/>
          <w:highlight w:val="none"/>
        </w:rPr>
        <w:t>14.4</w:t>
      </w:r>
      <w:r>
        <w:rPr>
          <w:rFonts w:hint="eastAsia" w:ascii="仿宋_GB2312" w:eastAsia="仿宋_GB2312" w:cs="宋体" w:hAnsiTheme="minorEastAsia"/>
          <w:sz w:val="21"/>
          <w:szCs w:val="21"/>
          <w:highlight w:val="none"/>
        </w:rPr>
        <w:t>付款比例、付款方式见</w:t>
      </w:r>
      <w:r>
        <w:rPr>
          <w:rFonts w:hint="eastAsia" w:ascii="仿宋_GB2312" w:eastAsia="仿宋_GB2312" w:hAnsiTheme="minorEastAsia"/>
          <w:sz w:val="21"/>
          <w:szCs w:val="21"/>
          <w:highlight w:val="none"/>
        </w:rPr>
        <w:t>投标人须知前附表。</w:t>
      </w:r>
    </w:p>
    <w:p>
      <w:pPr>
        <w:pStyle w:val="179"/>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5</w:t>
      </w:r>
      <w:r>
        <w:rPr>
          <w:rFonts w:hint="eastAsia" w:ascii="仿宋_GB2312" w:eastAsia="仿宋_GB2312" w:cs="宋体" w:hAnsiTheme="minorEastAsia"/>
          <w:b/>
          <w:bCs/>
          <w:highlight w:val="none"/>
        </w:rPr>
        <w:t>.投标有效期</w:t>
      </w:r>
    </w:p>
    <w:p>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15.1规定的投标截止之日后</w:t>
      </w:r>
      <w:r>
        <w:rPr>
          <w:rFonts w:ascii="仿宋_GB2312" w:eastAsia="仿宋_GB2312" w:hAnsiTheme="minorEastAsia"/>
          <w:color w:val="000000" w:themeColor="text1"/>
          <w:sz w:val="21"/>
          <w:szCs w:val="21"/>
          <w:highlight w:val="none"/>
        </w:rPr>
        <w:t>9</w:t>
      </w:r>
      <w:r>
        <w:rPr>
          <w:rFonts w:hint="eastAsia" w:ascii="仿宋_GB2312" w:eastAsia="仿宋_GB2312" w:hAnsiTheme="minorEastAsia"/>
          <w:color w:val="000000" w:themeColor="text1"/>
          <w:sz w:val="21"/>
          <w:szCs w:val="21"/>
          <w:highlight w:val="none"/>
        </w:rPr>
        <w:t>0</w:t>
      </w:r>
      <w:r>
        <w:rPr>
          <w:rFonts w:hint="eastAsia" w:ascii="仿宋_GB2312" w:eastAsia="仿宋_GB2312" w:hAnsiTheme="minorEastAsia"/>
          <w:sz w:val="21"/>
          <w:szCs w:val="21"/>
          <w:highlight w:val="none"/>
        </w:rPr>
        <w:t>天内投标文件有效。有效期内投标人不得自行改变其投标文件内容。</w:t>
      </w:r>
    </w:p>
    <w:p>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.2投标有效期满</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如招标人因故未能确定中标人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招标人重新招标。</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 xml:space="preserve">.3投标有效期缩短的，视投标人未响应招标文件而被拒绝。 </w:t>
      </w:r>
    </w:p>
    <w:p>
      <w:pPr>
        <w:pStyle w:val="179"/>
        <w:keepNext w:val="0"/>
        <w:keepLines w:val="0"/>
        <w:ind w:firstLine="482" w:firstLineChars="200"/>
        <w:jc w:val="left"/>
        <w:rPr>
          <w:rFonts w:ascii="仿宋_GB2312" w:eastAsia="仿宋_GB2312" w:cs="宋体" w:hAnsiTheme="minorEastAsia"/>
          <w:b/>
          <w:bCs/>
          <w:highlight w:val="none"/>
        </w:rPr>
      </w:pPr>
      <w:bookmarkStart w:id="36" w:name="_Toc16914"/>
      <w:r>
        <w:rPr>
          <w:rFonts w:hint="eastAsia" w:ascii="仿宋_GB2312" w:eastAsia="仿宋_GB2312" w:cs="宋体" w:hAnsiTheme="minorEastAsia"/>
          <w:b/>
          <w:bCs/>
          <w:highlight w:val="none"/>
        </w:rPr>
        <w:t>16.投标文件的签署</w:t>
      </w:r>
      <w:bookmarkEnd w:id="36"/>
    </w:p>
    <w:p>
      <w:pPr>
        <w:adjustRightInd w:val="0"/>
        <w:snapToGrid w:val="0"/>
        <w:spacing w:line="400" w:lineRule="exact"/>
        <w:ind w:firstLine="420" w:firstLineChars="200"/>
        <w:jc w:val="left"/>
        <w:outlineLvl w:val="2"/>
        <w:rPr>
          <w:rFonts w:ascii="仿宋_GB2312" w:eastAsia="仿宋_GB2312" w:hAnsiTheme="minorEastAsia"/>
          <w:color w:val="EEECE1" w:themeColor="background2"/>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.1 投标人在提供投标文件时，所有的表格、承诺及签署的文件均需壹份正本、壹份副本及一份电子版投标文件，以PDF格式提供。纸质版及U盘电子版招标文件适用线下招标。</w:t>
      </w:r>
    </w:p>
    <w:p>
      <w:pPr>
        <w:adjustRightInd w:val="0"/>
        <w:snapToGrid w:val="0"/>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.2 投标文件应由投标人的法定代表人或授权代理人签字，并按招标文件要求加盖公章。并扫描上传。</w:t>
      </w:r>
    </w:p>
    <w:p>
      <w:pPr>
        <w:adjustRightInd w:val="0"/>
        <w:snapToGrid w:val="0"/>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.3投标文件原则上不应有涂抹等修改。如确需修改，修改处应由法定代表人或授权代理人签字确认。</w:t>
      </w:r>
    </w:p>
    <w:p>
      <w:pPr>
        <w:pStyle w:val="179"/>
        <w:keepNext w:val="0"/>
        <w:keepLines w:val="0"/>
        <w:ind w:firstLine="420" w:firstLineChars="200"/>
        <w:jc w:val="left"/>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.4法定代表人为两个及两个以上公司法人，母公司、全资子公司及其控股公司，不得同时投标，否则全部视为废标。</w:t>
      </w:r>
      <w:bookmarkStart w:id="37" w:name="_Toc16382"/>
    </w:p>
    <w:p>
      <w:pPr>
        <w:pStyle w:val="179"/>
        <w:keepNext w:val="0"/>
        <w:keepLines w:val="0"/>
        <w:ind w:firstLine="420" w:firstLineChars="200"/>
        <w:jc w:val="left"/>
        <w:rPr>
          <w:rFonts w:ascii="仿宋_GB2312" w:eastAsia="仿宋_GB2312" w:hAnsiTheme="minorEastAsia"/>
          <w:kern w:val="2"/>
          <w:highlight w:val="none"/>
        </w:rPr>
      </w:pPr>
      <w:r>
        <w:rPr>
          <w:rFonts w:hint="eastAsia" w:ascii="仿宋_GB2312" w:eastAsia="仿宋_GB2312" w:hAnsiTheme="minorEastAsia"/>
          <w:sz w:val="21"/>
          <w:szCs w:val="21"/>
          <w:highlight w:val="none"/>
        </w:rPr>
        <w:t>16.5投标文件的封套</w:t>
      </w:r>
      <w:bookmarkEnd w:id="37"/>
      <w:r>
        <w:rPr>
          <w:rFonts w:hint="eastAsia" w:ascii="仿宋_GB2312" w:eastAsia="仿宋_GB2312" w:hAnsiTheme="minorEastAsia"/>
          <w:sz w:val="21"/>
          <w:szCs w:val="21"/>
          <w:highlight w:val="none"/>
        </w:rPr>
        <w:t>见投标人须知前附表</w:t>
      </w:r>
      <w:r>
        <w:rPr>
          <w:rFonts w:hint="eastAsia" w:ascii="仿宋_GB2312" w:eastAsia="仿宋_GB2312" w:hAnsiTheme="minorEastAsia"/>
          <w:highlight w:val="none"/>
        </w:rPr>
        <w:t>。</w:t>
      </w:r>
      <w:bookmarkStart w:id="38" w:name="_Toc214335336"/>
      <w:bookmarkStart w:id="39" w:name="_Toc31618"/>
      <w:bookmarkStart w:id="40" w:name="_Toc214336663"/>
      <w:bookmarkStart w:id="41" w:name="_Toc214339497"/>
      <w:bookmarkStart w:id="42" w:name="_Toc214331812"/>
      <w:bookmarkStart w:id="43" w:name="_Toc214333208"/>
      <w:bookmarkStart w:id="44" w:name="_Hlk38441028"/>
    </w:p>
    <w:p>
      <w:pPr>
        <w:pStyle w:val="3"/>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四、投标文件的递标</w:t>
      </w:r>
      <w:bookmarkEnd w:id="38"/>
      <w:bookmarkEnd w:id="39"/>
      <w:bookmarkEnd w:id="40"/>
      <w:bookmarkEnd w:id="41"/>
      <w:bookmarkEnd w:id="42"/>
      <w:bookmarkEnd w:id="43"/>
      <w:bookmarkEnd w:id="44"/>
    </w:p>
    <w:p>
      <w:pPr>
        <w:pStyle w:val="179"/>
        <w:keepNext w:val="0"/>
        <w:keepLines w:val="0"/>
        <w:ind w:firstLine="482" w:firstLineChars="200"/>
        <w:jc w:val="left"/>
        <w:rPr>
          <w:rFonts w:ascii="仿宋_GB2312" w:eastAsia="仿宋_GB2312" w:hAnsiTheme="minorEastAsia"/>
          <w:b/>
          <w:bCs/>
          <w:highlight w:val="none"/>
        </w:rPr>
      </w:pPr>
      <w:bookmarkStart w:id="45" w:name="_Toc2256"/>
      <w:r>
        <w:rPr>
          <w:rFonts w:ascii="仿宋_GB2312" w:eastAsia="仿宋_GB2312" w:cs="宋体" w:hAnsiTheme="minorEastAsia"/>
          <w:b/>
          <w:bCs/>
          <w:highlight w:val="none"/>
        </w:rPr>
        <w:t>17</w:t>
      </w:r>
      <w:r>
        <w:rPr>
          <w:rFonts w:hint="eastAsia" w:ascii="仿宋_GB2312" w:eastAsia="仿宋_GB2312" w:cs="宋体" w:hAnsiTheme="minorEastAsia"/>
          <w:b/>
          <w:bCs/>
          <w:highlight w:val="none"/>
        </w:rPr>
        <w:t>.投标文件的递交</w:t>
      </w:r>
      <w:bookmarkEnd w:id="45"/>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.1递标的时间和地点：</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时间：于</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2023</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年</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3</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月</w:t>
      </w:r>
      <w:r>
        <w:rPr>
          <w:rFonts w:hint="eastAsia" w:ascii="仿宋_GB2312" w:eastAsia="仿宋_GB2312" w:hAnsiTheme="minorEastAsia"/>
          <w:bCs/>
          <w:sz w:val="21"/>
          <w:szCs w:val="21"/>
          <w:highlight w:val="none"/>
          <w:u w:val="single"/>
          <w:lang w:val="en-US" w:eastAsia="zh-CN"/>
        </w:rPr>
        <w:t>2</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日</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14</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时之前</w:t>
      </w:r>
      <w:r>
        <w:rPr>
          <w:rFonts w:hint="eastAsia" w:ascii="仿宋_GB2312" w:eastAsia="仿宋_GB2312" w:hAnsiTheme="minorEastAsia"/>
          <w:sz w:val="21"/>
          <w:szCs w:val="21"/>
          <w:highlight w:val="none"/>
        </w:rPr>
        <w:t>完成递交，在此时间之后交来的投标文件恕不接受。</w:t>
      </w:r>
    </w:p>
    <w:p>
      <w:pPr>
        <w:spacing w:line="400" w:lineRule="exact"/>
        <w:ind w:firstLine="420" w:firstLineChars="200"/>
        <w:jc w:val="left"/>
        <w:outlineLvl w:val="2"/>
        <w:rPr>
          <w:rFonts w:hint="eastAsia" w:ascii="仿宋_GB2312" w:eastAsia="仿宋_GB2312" w:cs="Times New Roman" w:hAnsiTheme="minorEastAsia"/>
          <w:sz w:val="21"/>
          <w:szCs w:val="21"/>
          <w:highlight w:val="none"/>
          <w:u w:val="single"/>
          <w:lang w:val="en-US" w:eastAsia="zh-CN"/>
        </w:rPr>
      </w:pPr>
      <w:r>
        <w:rPr>
          <w:rFonts w:hint="eastAsia" w:ascii="仿宋_GB2312" w:eastAsia="仿宋_GB2312" w:hAnsiTheme="minorEastAsia"/>
          <w:sz w:val="21"/>
          <w:szCs w:val="21"/>
          <w:highlight w:val="none"/>
        </w:rPr>
        <w:t>地点：</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石家庄市桥西区新石北路362号中建路桥集团第二办公区。</w:t>
      </w:r>
    </w:p>
    <w:p>
      <w:pPr>
        <w:spacing w:line="400" w:lineRule="exact"/>
        <w:ind w:firstLine="420" w:firstLineChars="200"/>
        <w:jc w:val="left"/>
        <w:outlineLvl w:val="2"/>
        <w:rPr>
          <w:rFonts w:hint="default" w:ascii="仿宋_GB2312" w:eastAsia="仿宋_GB2312" w:cs="Times New Roman" w:hAnsiTheme="minorEastAsia"/>
          <w:sz w:val="21"/>
          <w:szCs w:val="21"/>
          <w:highlight w:val="none"/>
          <w:lang w:val="en-US" w:eastAsia="zh-CN"/>
        </w:rPr>
      </w:pPr>
      <w:r>
        <w:rPr>
          <w:rFonts w:hint="eastAsia" w:ascii="仿宋_GB2312" w:eastAsia="仿宋_GB2312" w:cs="Times New Roman" w:hAnsiTheme="minorEastAsia"/>
          <w:sz w:val="21"/>
          <w:szCs w:val="21"/>
          <w:highlight w:val="none"/>
          <w:u w:val="none"/>
          <w:lang w:val="en-US" w:eastAsia="zh-CN"/>
        </w:rPr>
        <w:t>联系人</w:t>
      </w:r>
      <w:r>
        <w:rPr>
          <w:rFonts w:hint="eastAsia" w:ascii="仿宋_GB2312" w:eastAsia="仿宋_GB2312" w:cs="Times New Roman" w:hAnsiTheme="minorEastAsia"/>
          <w:sz w:val="21"/>
          <w:szCs w:val="21"/>
          <w:highlight w:val="none"/>
          <w:u w:val="single"/>
          <w:lang w:val="en-US" w:eastAsia="zh-CN"/>
        </w:rPr>
        <w:t>：养护公司合约与采购部马经理，18332011236</w:t>
      </w:r>
    </w:p>
    <w:p>
      <w:pPr>
        <w:adjustRightInd w:val="0"/>
        <w:snapToGrid w:val="0"/>
        <w:spacing w:line="400" w:lineRule="exact"/>
        <w:ind w:firstLine="420" w:firstLineChars="200"/>
        <w:jc w:val="left"/>
        <w:outlineLvl w:val="2"/>
        <w:rPr>
          <w:rFonts w:ascii="仿宋_GB2312" w:eastAsia="仿宋_GB2312" w:cs="Times New Roman"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.2未按规定时间递交投标文件的或密封不完好的，招标人拒绝接受。</w:t>
      </w:r>
    </w:p>
    <w:p>
      <w:pPr>
        <w:adjustRightInd w:val="0"/>
        <w:snapToGrid w:val="0"/>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无论投标人中标与否，投标人均无权索回投标文件及电子文档。</w:t>
      </w:r>
      <w:bookmarkStart w:id="46" w:name="_Toc214335337"/>
      <w:bookmarkStart w:id="47" w:name="_Toc214336664"/>
      <w:bookmarkStart w:id="48" w:name="_Toc214333209"/>
      <w:bookmarkStart w:id="49" w:name="_Toc214331813"/>
      <w:bookmarkStart w:id="50" w:name="_Toc214339498"/>
      <w:bookmarkStart w:id="51" w:name="_Toc4220"/>
    </w:p>
    <w:p>
      <w:pPr>
        <w:pStyle w:val="3"/>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五、开标与评标</w:t>
      </w:r>
      <w:bookmarkEnd w:id="46"/>
      <w:bookmarkEnd w:id="47"/>
      <w:bookmarkEnd w:id="48"/>
      <w:bookmarkEnd w:id="49"/>
      <w:bookmarkEnd w:id="50"/>
      <w:bookmarkEnd w:id="51"/>
    </w:p>
    <w:p>
      <w:pPr>
        <w:pStyle w:val="179"/>
        <w:keepNext w:val="0"/>
        <w:keepLines w:val="0"/>
        <w:ind w:firstLine="482" w:firstLineChars="200"/>
        <w:jc w:val="left"/>
        <w:rPr>
          <w:rFonts w:ascii="仿宋_GB2312" w:eastAsia="仿宋_GB2312" w:hAnsiTheme="minorEastAsia"/>
          <w:b/>
          <w:bCs/>
          <w:highlight w:val="none"/>
        </w:rPr>
      </w:pPr>
      <w:bookmarkStart w:id="52" w:name="_Toc9280"/>
      <w:r>
        <w:rPr>
          <w:rFonts w:ascii="仿宋_GB2312" w:eastAsia="仿宋_GB2312" w:cs="宋体" w:hAnsiTheme="minorEastAsia"/>
          <w:b/>
          <w:bCs/>
          <w:highlight w:val="none"/>
        </w:rPr>
        <w:t>18</w:t>
      </w:r>
      <w:r>
        <w:rPr>
          <w:rFonts w:hint="eastAsia" w:ascii="仿宋_GB2312" w:eastAsia="仿宋_GB2312" w:cs="宋体" w:hAnsiTheme="minorEastAsia"/>
          <w:b/>
          <w:bCs/>
          <w:highlight w:val="none"/>
        </w:rPr>
        <w:t>.开标</w:t>
      </w:r>
      <w:bookmarkEnd w:id="52"/>
    </w:p>
    <w:p>
      <w:pPr>
        <w:pStyle w:val="17"/>
        <w:adjustRightInd w:val="0"/>
        <w:snapToGrid w:val="0"/>
        <w:spacing w:line="400" w:lineRule="exact"/>
        <w:ind w:firstLine="420" w:firstLineChars="200"/>
        <w:jc w:val="left"/>
        <w:outlineLvl w:val="2"/>
        <w:rPr>
          <w:rFonts w:hint="eastAsia" w:ascii="仿宋_GB2312" w:eastAsia="仿宋_GB2312" w:cs="Times New Roman" w:hAnsiTheme="minorEastAsia"/>
          <w:kern w:val="2"/>
          <w:highlight w:val="none"/>
          <w:lang w:eastAsia="zh-CN"/>
        </w:rPr>
      </w:pPr>
      <w:r>
        <w:rPr>
          <w:rFonts w:hint="eastAsia" w:ascii="仿宋_GB2312" w:eastAsia="仿宋_GB2312" w:hAnsiTheme="minorEastAsia"/>
          <w:kern w:val="2"/>
          <w:highlight w:val="none"/>
        </w:rPr>
        <w:t>招标人将于</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2023</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年</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3</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月</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2</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日</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14</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时</w:t>
      </w:r>
      <w:r>
        <w:rPr>
          <w:rFonts w:hint="eastAsia" w:ascii="仿宋_GB2312" w:eastAsia="仿宋_GB2312" w:hAnsiTheme="minorEastAsia"/>
          <w:kern w:val="2"/>
          <w:highlight w:val="none"/>
        </w:rPr>
        <w:t>，在中建路桥集团</w:t>
      </w:r>
      <w:r>
        <w:rPr>
          <w:rFonts w:hint="eastAsia" w:ascii="仿宋_GB2312" w:eastAsia="仿宋_GB2312" w:hAnsiTheme="minorEastAsia"/>
          <w:kern w:val="2"/>
          <w:highlight w:val="none"/>
          <w:lang w:eastAsia="zh-CN"/>
        </w:rPr>
        <w:t>高速公路养护有限公司</w:t>
      </w:r>
      <w:r>
        <w:rPr>
          <w:rFonts w:hint="eastAsia" w:ascii="仿宋_GB2312" w:eastAsia="仿宋_GB2312" w:hAnsiTheme="minorEastAsia"/>
          <w:kern w:val="2"/>
          <w:highlight w:val="none"/>
        </w:rPr>
        <w:t>开标</w:t>
      </w:r>
      <w:r>
        <w:rPr>
          <w:rFonts w:hint="eastAsia" w:ascii="仿宋_GB2312" w:eastAsia="仿宋_GB2312" w:hAnsiTheme="minorEastAsia"/>
          <w:kern w:val="2"/>
          <w:highlight w:val="none"/>
          <w:lang w:eastAsia="zh-CN"/>
        </w:rPr>
        <w:t>。</w:t>
      </w:r>
    </w:p>
    <w:p>
      <w:pPr>
        <w:pStyle w:val="179"/>
        <w:keepNext w:val="0"/>
        <w:keepLines w:val="0"/>
        <w:ind w:firstLine="482" w:firstLineChars="200"/>
        <w:jc w:val="left"/>
        <w:rPr>
          <w:rFonts w:ascii="仿宋_GB2312" w:eastAsia="仿宋_GB2312" w:cs="宋体" w:hAnsiTheme="minorEastAsia"/>
          <w:b/>
          <w:bCs/>
          <w:highlight w:val="none"/>
        </w:rPr>
      </w:pPr>
      <w:bookmarkStart w:id="53" w:name="_Toc13578"/>
      <w:r>
        <w:rPr>
          <w:rFonts w:ascii="仿宋_GB2312" w:eastAsia="仿宋_GB2312" w:cs="宋体" w:hAnsiTheme="minorEastAsia"/>
          <w:b/>
          <w:bCs/>
          <w:highlight w:val="none"/>
        </w:rPr>
        <w:t>19</w:t>
      </w:r>
      <w:r>
        <w:rPr>
          <w:rFonts w:hint="eastAsia" w:ascii="仿宋_GB2312" w:eastAsia="仿宋_GB2312" w:cs="宋体" w:hAnsiTheme="minorEastAsia"/>
          <w:b/>
          <w:bCs/>
          <w:highlight w:val="none"/>
        </w:rPr>
        <w:t>.评标</w:t>
      </w:r>
      <w:bookmarkEnd w:id="53"/>
    </w:p>
    <w:p>
      <w:pPr>
        <w:pStyle w:val="17"/>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ascii="仿宋_GB2312" w:eastAsia="仿宋_GB2312" w:hAnsiTheme="minorEastAsia"/>
          <w:kern w:val="2"/>
          <w:highlight w:val="none"/>
        </w:rPr>
        <w:t>19</w:t>
      </w:r>
      <w:r>
        <w:rPr>
          <w:rFonts w:hint="eastAsia" w:ascii="仿宋_GB2312" w:eastAsia="仿宋_GB2312" w:hAnsiTheme="minorEastAsia"/>
          <w:kern w:val="2"/>
          <w:highlight w:val="none"/>
        </w:rPr>
        <w:t>.1 评标小组：由招标人依法、依规组建评标小组。</w:t>
      </w:r>
      <w:r>
        <w:rPr>
          <w:rFonts w:hint="eastAsia" w:ascii="仿宋_GB2312" w:eastAsia="仿宋_GB2312" w:cs="Times New Roman" w:hAnsiTheme="minorEastAsia"/>
          <w:kern w:val="2"/>
          <w:highlight w:val="none"/>
        </w:rPr>
        <w:tab/>
      </w:r>
    </w:p>
    <w:p>
      <w:pPr>
        <w:pStyle w:val="179"/>
        <w:keepNext w:val="0"/>
        <w:keepLines w:val="0"/>
        <w:ind w:firstLine="420" w:firstLineChars="200"/>
        <w:jc w:val="left"/>
        <w:rPr>
          <w:rFonts w:ascii="仿宋_GB2312" w:eastAsia="仿宋_GB2312" w:cs="宋体" w:hAnsiTheme="minorEastAsia"/>
          <w:sz w:val="21"/>
          <w:szCs w:val="21"/>
          <w:highlight w:val="none"/>
        </w:rPr>
      </w:pPr>
      <w:r>
        <w:rPr>
          <w:rFonts w:ascii="仿宋_GB2312" w:eastAsia="仿宋_GB2312" w:cs="宋体" w:hAnsiTheme="minorEastAsia"/>
          <w:sz w:val="21"/>
          <w:szCs w:val="21"/>
          <w:highlight w:val="none"/>
        </w:rPr>
        <w:t>19</w:t>
      </w:r>
      <w:r>
        <w:rPr>
          <w:rFonts w:hint="eastAsia" w:ascii="仿宋_GB2312" w:eastAsia="仿宋_GB2312" w:cs="宋体" w:hAnsiTheme="minorEastAsia"/>
          <w:sz w:val="21"/>
          <w:szCs w:val="21"/>
          <w:highlight w:val="none"/>
        </w:rPr>
        <w:t>.2 评标原则：遵循公平、公正、科学、择优和市场价格调查的原则。本次招标将选取报价较低且合理的分供商进入议标，报价较高或异常的分供商不进入议标，请投标人谨慎报价。</w:t>
      </w:r>
      <w:bookmarkStart w:id="54" w:name="_Toc31000"/>
    </w:p>
    <w:p>
      <w:pPr>
        <w:pStyle w:val="179"/>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投标文件的澄清</w:t>
      </w:r>
      <w:bookmarkEnd w:id="54"/>
    </w:p>
    <w:p>
      <w:pPr>
        <w:pStyle w:val="17"/>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评标小组可以要求投标人对投标文件中含义不明确的内容作必要的书面澄清和说明，但澄清或说明不得超出投标文件的范围或改变投标文件的实质内容。</w:t>
      </w:r>
    </w:p>
    <w:p>
      <w:pPr>
        <w:pStyle w:val="179"/>
        <w:keepNext w:val="0"/>
        <w:keepLines w:val="0"/>
        <w:ind w:firstLine="482" w:firstLineChars="200"/>
        <w:jc w:val="left"/>
        <w:rPr>
          <w:rFonts w:ascii="仿宋_GB2312" w:eastAsia="仿宋_GB2312" w:hAnsiTheme="minorEastAsia"/>
          <w:b/>
          <w:bCs/>
          <w:color w:val="0000FF"/>
          <w:highlight w:val="none"/>
        </w:rPr>
      </w:pPr>
      <w:bookmarkStart w:id="55" w:name="_Toc31133"/>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.废标处理的条件</w:t>
      </w:r>
      <w:bookmarkEnd w:id="55"/>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被确定为有重大偏差的投标将作废标处理。</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投标人串通投标、围标、以行贿手段谋取中标或者以其它弄虚作假方式投标的将作废标处理。</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.3投标人干扰招标人自行招标的投标将作废标处理。</w:t>
      </w:r>
    </w:p>
    <w:p>
      <w:pPr>
        <w:pStyle w:val="3"/>
        <w:keepNext w:val="0"/>
        <w:keepLines w:val="0"/>
        <w:spacing w:before="120" w:after="120" w:line="400" w:lineRule="exact"/>
        <w:ind w:firstLine="562" w:firstLineChars="200"/>
        <w:rPr>
          <w:rFonts w:ascii="仿宋_GB2312" w:eastAsia="仿宋_GB2312" w:cs="Times New Roman" w:hAnsiTheme="minorEastAsia"/>
          <w:bCs w:val="0"/>
          <w:kern w:val="2"/>
          <w:sz w:val="28"/>
          <w:szCs w:val="28"/>
          <w:highlight w:val="none"/>
        </w:rPr>
      </w:pPr>
      <w:bookmarkStart w:id="56" w:name="_Toc214335338"/>
      <w:bookmarkStart w:id="57" w:name="_Toc214339499"/>
      <w:bookmarkStart w:id="58" w:name="_Toc214333210"/>
      <w:bookmarkStart w:id="59" w:name="_Toc214331814"/>
      <w:bookmarkStart w:id="60" w:name="_Toc214336665"/>
      <w:bookmarkStart w:id="61" w:name="_Toc4715"/>
      <w:r>
        <w:rPr>
          <w:rFonts w:hint="eastAsia" w:ascii="仿宋_GB2312" w:eastAsia="仿宋_GB2312" w:cs="黑体" w:hAnsiTheme="minorEastAsia"/>
          <w:bCs w:val="0"/>
          <w:kern w:val="2"/>
          <w:sz w:val="28"/>
          <w:szCs w:val="28"/>
          <w:highlight w:val="none"/>
        </w:rPr>
        <w:t>六、定标</w:t>
      </w:r>
      <w:bookmarkEnd w:id="56"/>
      <w:bookmarkEnd w:id="57"/>
      <w:bookmarkEnd w:id="58"/>
      <w:bookmarkEnd w:id="59"/>
      <w:bookmarkEnd w:id="60"/>
      <w:bookmarkEnd w:id="61"/>
    </w:p>
    <w:p>
      <w:pPr>
        <w:pStyle w:val="179"/>
        <w:keepNext w:val="0"/>
        <w:keepLines w:val="0"/>
        <w:ind w:firstLine="482" w:firstLineChars="200"/>
        <w:jc w:val="left"/>
        <w:rPr>
          <w:rFonts w:ascii="仿宋_GB2312" w:eastAsia="仿宋_GB2312" w:hAnsiTheme="minorEastAsia"/>
          <w:b/>
          <w:bCs/>
          <w:highlight w:val="none"/>
        </w:rPr>
      </w:pPr>
      <w:bookmarkStart w:id="62" w:name="_Toc30302"/>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.定标</w:t>
      </w:r>
      <w:bookmarkEnd w:id="62"/>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招标人不承诺将合同授予报价最低的投标人。</w:t>
      </w:r>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招标人对评标、定标结果不作任何解释。</w:t>
      </w:r>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招标人保留在授标之前任何时候作废处理任何投标，以及宣布招标程序无效或作废标处理所有投标的权力，对受影响的投标人不承担任何责任。</w:t>
      </w:r>
    </w:p>
    <w:p>
      <w:pPr>
        <w:spacing w:line="400" w:lineRule="exact"/>
        <w:ind w:firstLine="420" w:firstLineChars="200"/>
        <w:jc w:val="left"/>
        <w:outlineLvl w:val="2"/>
        <w:rPr>
          <w:rFonts w:ascii="仿宋_GB2312" w:eastAsia="仿宋_GB2312" w:cs="Times New Roman" w:hAnsiTheme="minorEastAsia"/>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若排序第一的中标候选人不与招标人签订合同、或放弃中标、或因不可抗力提出不能履行合同、或未按招标文件规定提交履约保证金，招标人可以按中标候选人排序依序确定中标人</w:t>
      </w:r>
      <w:r>
        <w:rPr>
          <w:rFonts w:hint="eastAsia" w:ascii="仿宋_GB2312" w:eastAsia="仿宋_GB2312" w:hAnsiTheme="minorEastAsia"/>
          <w:highlight w:val="none"/>
        </w:rPr>
        <w:t>。</w:t>
      </w:r>
    </w:p>
    <w:p>
      <w:pPr>
        <w:pStyle w:val="179"/>
        <w:keepNext w:val="0"/>
        <w:keepLines w:val="0"/>
        <w:ind w:firstLine="482" w:firstLineChars="200"/>
        <w:jc w:val="left"/>
        <w:rPr>
          <w:rFonts w:ascii="仿宋_GB2312" w:eastAsia="仿宋_GB2312" w:hAnsiTheme="minorEastAsia"/>
          <w:sz w:val="21"/>
          <w:szCs w:val="21"/>
          <w:highlight w:val="none"/>
        </w:rPr>
      </w:pPr>
      <w:bookmarkStart w:id="63" w:name="_Toc15618"/>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3</w:t>
      </w:r>
      <w:r>
        <w:rPr>
          <w:rFonts w:hint="eastAsia" w:ascii="仿宋_GB2312" w:eastAsia="仿宋_GB2312" w:cs="宋体" w:hAnsiTheme="minorEastAsia"/>
          <w:b/>
          <w:bCs/>
          <w:highlight w:val="none"/>
        </w:rPr>
        <w:t>.中标通知</w:t>
      </w:r>
      <w:bookmarkEnd w:id="63"/>
    </w:p>
    <w:p>
      <w:pPr>
        <w:spacing w:line="400" w:lineRule="exact"/>
        <w:ind w:firstLine="420" w:firstLineChars="200"/>
        <w:jc w:val="left"/>
        <w:outlineLvl w:val="2"/>
        <w:rPr>
          <w:rFonts w:ascii="仿宋_GB2312" w:eastAsia="仿宋_GB2312" w:hAnsiTheme="majorEastAsia"/>
          <w:b/>
          <w:bCs/>
          <w:sz w:val="36"/>
          <w:szCs w:val="36"/>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1</w:t>
      </w:r>
      <w:r>
        <w:rPr>
          <w:rFonts w:hint="eastAsia" w:ascii="仿宋_GB2312" w:eastAsia="仿宋_GB2312" w:hAnsiTheme="minorEastAsia"/>
          <w:sz w:val="21"/>
          <w:szCs w:val="21"/>
          <w:highlight w:val="none"/>
        </w:rPr>
        <w:t>“集团官网”。纸版或其它方式通知。</w:t>
      </w:r>
    </w:p>
    <w:p>
      <w:pPr>
        <w:spacing w:line="400" w:lineRule="exact"/>
        <w:jc w:val="center"/>
        <w:outlineLvl w:val="2"/>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第二部分</w:t>
      </w:r>
      <w:r>
        <w:rPr>
          <w:rFonts w:ascii="仿宋_GB2312" w:eastAsia="仿宋_GB2312" w:hAnsiTheme="majorEastAsia"/>
          <w:b/>
          <w:bCs/>
          <w:sz w:val="28"/>
          <w:szCs w:val="28"/>
          <w:highlight w:val="none"/>
        </w:rPr>
        <w:t xml:space="preserve"> </w:t>
      </w:r>
      <w:r>
        <w:rPr>
          <w:rFonts w:hint="eastAsia" w:ascii="仿宋_GB2312" w:eastAsia="仿宋_GB2312" w:hAnsiTheme="majorEastAsia"/>
          <w:b/>
          <w:bCs/>
          <w:sz w:val="28"/>
          <w:szCs w:val="28"/>
          <w:highlight w:val="none"/>
        </w:rPr>
        <w:t>技术标准和图纸</w:t>
      </w:r>
    </w:p>
    <w:p>
      <w:pPr>
        <w:pStyle w:val="17"/>
        <w:snapToGrid w:val="0"/>
        <w:spacing w:line="400" w:lineRule="exact"/>
        <w:ind w:firstLine="482" w:firstLineChars="200"/>
        <w:jc w:val="left"/>
        <w:outlineLvl w:val="2"/>
        <w:rPr>
          <w:rFonts w:ascii="仿宋_GB2312" w:hAnsi="宋体" w:eastAsia="仿宋_GB2312"/>
          <w:b/>
          <w:kern w:val="2"/>
          <w:sz w:val="24"/>
          <w:szCs w:val="24"/>
          <w:highlight w:val="none"/>
        </w:rPr>
      </w:pPr>
      <w:r>
        <w:rPr>
          <w:rFonts w:hint="eastAsia" w:ascii="仿宋_GB2312" w:hAnsi="宋体" w:eastAsia="仿宋_GB2312"/>
          <w:b/>
          <w:kern w:val="2"/>
          <w:sz w:val="24"/>
          <w:szCs w:val="24"/>
          <w:highlight w:val="none"/>
        </w:rPr>
        <w:t>1.质量要求</w:t>
      </w:r>
    </w:p>
    <w:p>
      <w:pPr>
        <w:pStyle w:val="17"/>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1.1质量基本条件：产品的质量必须完全符合国家有关技术标准、规范的要求，并满足招标人为保证工程进度、质量、环保等方面对投标人提出的其它要求。乙方应保证产品经过正常使用条件下，在其设计期限内具有可靠的性能。</w:t>
      </w:r>
    </w:p>
    <w:p>
      <w:pPr>
        <w:pStyle w:val="17"/>
        <w:snapToGrid w:val="0"/>
        <w:spacing w:line="400" w:lineRule="exact"/>
        <w:ind w:firstLine="420" w:firstLineChars="200"/>
        <w:jc w:val="left"/>
        <w:outlineLvl w:val="2"/>
        <w:rPr>
          <w:rFonts w:hint="eastAsia" w:ascii="仿宋_GB2312" w:eastAsia="仿宋_GB2312" w:hAnsiTheme="minorEastAsia" w:cstheme="minorBidi"/>
          <w:kern w:val="2"/>
          <w:sz w:val="21"/>
          <w:szCs w:val="21"/>
          <w:highlight w:val="none"/>
          <w:lang w:val="en-US" w:eastAsia="zh-CN" w:bidi="ar-SA"/>
        </w:rPr>
      </w:pPr>
      <w:r>
        <w:rPr>
          <w:rFonts w:hint="eastAsia" w:ascii="仿宋_GB2312" w:eastAsia="仿宋_GB2312" w:hAnsiTheme="minorEastAsia" w:cstheme="minorBidi"/>
          <w:kern w:val="2"/>
          <w:sz w:val="21"/>
          <w:szCs w:val="21"/>
          <w:highlight w:val="none"/>
          <w:lang w:val="en-US" w:eastAsia="zh-CN" w:bidi="ar-SA"/>
        </w:rPr>
        <w:t>1.2乙方提供产品的材质证明书：执行标准、品种、代号、强度等级、生产者名称、生产许可证标志及编号、出厂编号、包装日期、净含量等，按规定期限要求对产品质量负责。</w:t>
      </w:r>
    </w:p>
    <w:p>
      <w:pPr>
        <w:pStyle w:val="17"/>
        <w:snapToGrid w:val="0"/>
        <w:spacing w:line="400" w:lineRule="exact"/>
        <w:ind w:firstLine="420" w:firstLineChars="200"/>
        <w:jc w:val="left"/>
        <w:outlineLvl w:val="2"/>
        <w:rPr>
          <w:rFonts w:hint="eastAsia" w:ascii="仿宋_GB2312" w:eastAsia="仿宋_GB2312" w:hAnsiTheme="minorEastAsia" w:cstheme="minorBidi"/>
          <w:kern w:val="2"/>
          <w:sz w:val="21"/>
          <w:szCs w:val="21"/>
          <w:highlight w:val="none"/>
          <w:lang w:val="en-US" w:eastAsia="zh-CN" w:bidi="ar-SA"/>
        </w:rPr>
      </w:pPr>
      <w:r>
        <w:rPr>
          <w:rFonts w:hint="eastAsia" w:ascii="仿宋_GB2312" w:eastAsia="仿宋_GB2312" w:hAnsiTheme="minorEastAsia" w:cstheme="minorBidi"/>
          <w:kern w:val="2"/>
          <w:sz w:val="21"/>
          <w:szCs w:val="21"/>
          <w:highlight w:val="none"/>
          <w:lang w:val="en-US" w:eastAsia="zh-CN" w:bidi="ar-SA"/>
        </w:rPr>
        <w:t>1.3乙方必须承担以劣充优，遗留及掩盖隐患所造成的经济损失和法律责任。</w:t>
      </w:r>
    </w:p>
    <w:p>
      <w:pPr>
        <w:pStyle w:val="17"/>
        <w:snapToGrid w:val="0"/>
        <w:spacing w:line="400" w:lineRule="exact"/>
        <w:ind w:firstLine="482" w:firstLineChars="200"/>
        <w:jc w:val="left"/>
        <w:outlineLvl w:val="2"/>
        <w:rPr>
          <w:rFonts w:ascii="仿宋_GB2312" w:hAnsi="宋体" w:eastAsia="仿宋_GB2312"/>
          <w:kern w:val="2"/>
          <w:sz w:val="24"/>
          <w:szCs w:val="24"/>
          <w:highlight w:val="none"/>
        </w:rPr>
      </w:pPr>
      <w:r>
        <w:rPr>
          <w:rFonts w:hint="eastAsia" w:ascii="仿宋_GB2312" w:hAnsi="宋体" w:eastAsia="仿宋_GB2312"/>
          <w:b/>
          <w:sz w:val="24"/>
          <w:szCs w:val="24"/>
          <w:highlight w:val="none"/>
        </w:rPr>
        <w:t>2.质量标准、技术规范、图纸、质量保证期和验收标准</w:t>
      </w:r>
    </w:p>
    <w:p>
      <w:pPr>
        <w:pStyle w:val="17"/>
        <w:snapToGrid w:val="0"/>
        <w:spacing w:line="400" w:lineRule="exact"/>
        <w:ind w:firstLine="420" w:firstLineChars="200"/>
        <w:jc w:val="left"/>
        <w:outlineLvl w:val="2"/>
        <w:rPr>
          <w:rFonts w:hint="eastAsia" w:ascii="仿宋_GB2312" w:eastAsia="仿宋_GB2312" w:hAnsiTheme="minorEastAsia" w:cstheme="minorBidi"/>
          <w:kern w:val="2"/>
          <w:sz w:val="21"/>
          <w:szCs w:val="21"/>
          <w:highlight w:val="none"/>
          <w:lang w:val="en-US" w:eastAsia="zh-CN" w:bidi="ar-SA"/>
        </w:rPr>
      </w:pPr>
      <w:r>
        <w:rPr>
          <w:rFonts w:hint="eastAsia" w:ascii="仿宋_GB2312" w:eastAsia="仿宋_GB2312" w:hAnsiTheme="minorEastAsia" w:cstheme="minorBidi"/>
          <w:kern w:val="2"/>
          <w:sz w:val="21"/>
          <w:szCs w:val="21"/>
          <w:highlight w:val="none"/>
          <w:lang w:val="en-US" w:eastAsia="zh-CN" w:bidi="ar-SA"/>
        </w:rPr>
        <w:t>2.1质量标准必须满足中华人民共和国国家、地方及行业最新颁布的相关标准及技术规范和项目设计图纸以及监理、业主下发的相关文件要求，如果规范、标准、要求适用于同一种情况，则以标准高者为准。</w:t>
      </w:r>
    </w:p>
    <w:p>
      <w:pPr>
        <w:pStyle w:val="17"/>
        <w:snapToGrid w:val="0"/>
        <w:spacing w:line="400" w:lineRule="exact"/>
        <w:ind w:firstLine="420" w:firstLineChars="200"/>
        <w:jc w:val="left"/>
        <w:outlineLvl w:val="2"/>
        <w:rPr>
          <w:rFonts w:hint="eastAsia" w:ascii="仿宋_GB2312" w:eastAsia="仿宋_GB2312" w:hAnsiTheme="minorEastAsia" w:cstheme="minorBidi"/>
          <w:kern w:val="2"/>
          <w:sz w:val="21"/>
          <w:szCs w:val="21"/>
          <w:highlight w:val="none"/>
          <w:lang w:val="en-US" w:eastAsia="zh-CN" w:bidi="ar-SA"/>
        </w:rPr>
      </w:pPr>
      <w:r>
        <w:rPr>
          <w:rFonts w:hint="eastAsia" w:ascii="仿宋_GB2312" w:eastAsia="仿宋_GB2312" w:hAnsiTheme="minorEastAsia" w:cstheme="minorBidi"/>
          <w:kern w:val="2"/>
          <w:sz w:val="21"/>
          <w:szCs w:val="21"/>
          <w:highlight w:val="none"/>
          <w:lang w:val="en-US" w:eastAsia="zh-CN" w:bidi="ar-SA"/>
        </w:rPr>
        <w:t>2.2质量保证：严格按国家标准，行业规范、业主及监理单位质量要求交货。若投标方提供的产品确实存在质量问题，不合格产品无条件更换、退货，投标方承担所有费用。投标方不得以货物已经验收、签收、使用及其他原因为由进行抗辩免责，对于招标方的损失应承担全部责任。</w:t>
      </w:r>
    </w:p>
    <w:p>
      <w:pPr>
        <w:pStyle w:val="17"/>
        <w:snapToGrid w:val="0"/>
        <w:spacing w:line="400" w:lineRule="exact"/>
        <w:ind w:firstLine="420" w:firstLineChars="200"/>
        <w:jc w:val="left"/>
        <w:outlineLvl w:val="2"/>
        <w:rPr>
          <w:rFonts w:hint="eastAsia" w:ascii="仿宋_GB2312" w:eastAsia="仿宋_GB2312" w:hAnsiTheme="minorEastAsia" w:cstheme="minorBidi"/>
          <w:kern w:val="2"/>
          <w:sz w:val="21"/>
          <w:szCs w:val="21"/>
          <w:highlight w:val="none"/>
          <w:lang w:val="en-US" w:eastAsia="zh-CN" w:bidi="ar-SA"/>
        </w:rPr>
      </w:pPr>
      <w:r>
        <w:rPr>
          <w:rFonts w:hint="eastAsia" w:ascii="仿宋_GB2312" w:eastAsia="仿宋_GB2312" w:hAnsiTheme="minorEastAsia" w:cstheme="minorBidi"/>
          <w:kern w:val="2"/>
          <w:sz w:val="21"/>
          <w:szCs w:val="21"/>
          <w:highlight w:val="none"/>
          <w:lang w:val="en-US" w:eastAsia="zh-CN" w:bidi="ar-SA"/>
        </w:rPr>
        <w:t>2.3投标单位应随每批次产品提供产品出厂合格证明、质量检验报告等各种证件以及技术性能合格后方可供货。</w:t>
      </w:r>
    </w:p>
    <w:p>
      <w:pPr>
        <w:pStyle w:val="17"/>
        <w:snapToGrid w:val="0"/>
        <w:spacing w:line="400" w:lineRule="exact"/>
        <w:ind w:firstLine="420" w:firstLineChars="200"/>
        <w:jc w:val="left"/>
        <w:outlineLvl w:val="2"/>
        <w:rPr>
          <w:rFonts w:hint="eastAsia" w:ascii="仿宋_GB2312" w:eastAsia="仿宋_GB2312" w:hAnsiTheme="minorEastAsia" w:cstheme="minorBidi"/>
          <w:kern w:val="2"/>
          <w:sz w:val="21"/>
          <w:szCs w:val="21"/>
          <w:highlight w:val="none"/>
          <w:lang w:val="en-US" w:eastAsia="zh-CN" w:bidi="ar-SA"/>
        </w:rPr>
      </w:pPr>
      <w:r>
        <w:rPr>
          <w:rFonts w:hint="eastAsia" w:ascii="仿宋_GB2312" w:eastAsia="仿宋_GB2312" w:hAnsiTheme="minorEastAsia" w:cstheme="minorBidi"/>
          <w:kern w:val="2"/>
          <w:sz w:val="21"/>
          <w:szCs w:val="21"/>
          <w:highlight w:val="none"/>
          <w:lang w:val="en-US" w:eastAsia="zh-CN" w:bidi="ar-SA"/>
        </w:rPr>
        <w:t>商品混凝土：必须满足以下标准及要求，且满足中华人民共和国国家、地方及行业最新颁布的相关标准及技术规范，如果规范、标准、要求适用于同一种情况，则以标准高者为准：</w:t>
      </w:r>
    </w:p>
    <w:p>
      <w:pPr>
        <w:pStyle w:val="17"/>
        <w:snapToGrid w:val="0"/>
        <w:spacing w:line="400" w:lineRule="exact"/>
        <w:ind w:firstLine="420" w:firstLineChars="200"/>
        <w:jc w:val="left"/>
        <w:outlineLvl w:val="2"/>
        <w:rPr>
          <w:rFonts w:hint="default" w:ascii="仿宋_GB2312" w:eastAsia="仿宋_GB2312" w:hAnsiTheme="minorEastAsia" w:cstheme="minorBidi"/>
          <w:kern w:val="2"/>
          <w:sz w:val="21"/>
          <w:szCs w:val="21"/>
          <w:highlight w:val="none"/>
          <w:lang w:val="en-US" w:eastAsia="zh-CN" w:bidi="ar-SA"/>
        </w:rPr>
      </w:pPr>
      <w:r>
        <w:rPr>
          <w:rFonts w:hint="eastAsia" w:ascii="仿宋_GB2312" w:eastAsia="仿宋_GB2312" w:hAnsiTheme="minorEastAsia" w:cstheme="minorBidi"/>
          <w:kern w:val="2"/>
          <w:sz w:val="21"/>
          <w:szCs w:val="21"/>
          <w:highlight w:val="none"/>
          <w:lang w:val="en-US" w:eastAsia="zh-CN" w:bidi="ar-SA"/>
        </w:rPr>
        <w:t>《公路水泥混凝土路面施工技术规范》(JTGF30—2003）；</w:t>
      </w:r>
    </w:p>
    <w:p>
      <w:pPr>
        <w:pStyle w:val="17"/>
        <w:snapToGrid w:val="0"/>
        <w:spacing w:line="400" w:lineRule="exact"/>
        <w:ind w:firstLine="420" w:firstLineChars="200"/>
        <w:jc w:val="left"/>
        <w:outlineLvl w:val="2"/>
        <w:rPr>
          <w:rFonts w:hint="eastAsia" w:ascii="仿宋_GB2312" w:eastAsia="仿宋_GB2312" w:hAnsiTheme="minorEastAsia" w:cstheme="minorBidi"/>
          <w:kern w:val="2"/>
          <w:sz w:val="21"/>
          <w:szCs w:val="21"/>
          <w:highlight w:val="none"/>
          <w:lang w:val="en-US" w:eastAsia="zh-CN" w:bidi="ar-SA"/>
        </w:rPr>
      </w:pPr>
      <w:r>
        <w:rPr>
          <w:rFonts w:hint="eastAsia" w:ascii="仿宋_GB2312" w:eastAsia="仿宋_GB2312" w:hAnsiTheme="minorEastAsia" w:cstheme="minorBidi"/>
          <w:kern w:val="2"/>
          <w:sz w:val="21"/>
          <w:szCs w:val="21"/>
          <w:highlight w:val="none"/>
          <w:lang w:val="en-US" w:eastAsia="zh-CN" w:bidi="ar-SA"/>
        </w:rPr>
        <w:t>《公路工程技术标准》（JTG B01-2014）；</w:t>
      </w:r>
    </w:p>
    <w:p>
      <w:pPr>
        <w:pStyle w:val="17"/>
        <w:snapToGrid w:val="0"/>
        <w:spacing w:line="400" w:lineRule="exact"/>
        <w:ind w:firstLine="420" w:firstLineChars="200"/>
        <w:jc w:val="left"/>
        <w:outlineLvl w:val="2"/>
        <w:rPr>
          <w:rFonts w:hint="eastAsia" w:ascii="仿宋_GB2312" w:eastAsia="仿宋_GB2312" w:hAnsiTheme="minorEastAsia" w:cstheme="minorBidi"/>
          <w:kern w:val="2"/>
          <w:sz w:val="21"/>
          <w:szCs w:val="21"/>
          <w:highlight w:val="none"/>
          <w:lang w:val="en-US" w:eastAsia="zh-CN" w:bidi="ar-SA"/>
        </w:rPr>
      </w:pPr>
      <w:r>
        <w:rPr>
          <w:rFonts w:hint="eastAsia" w:ascii="仿宋_GB2312" w:eastAsia="仿宋_GB2312" w:hAnsiTheme="minorEastAsia" w:cstheme="minorBidi"/>
          <w:kern w:val="2"/>
          <w:sz w:val="21"/>
          <w:szCs w:val="21"/>
          <w:highlight w:val="none"/>
          <w:lang w:val="en-US" w:eastAsia="zh-CN" w:bidi="ar-SA"/>
        </w:rPr>
        <w:t>《公路水泥混凝土路面设计规范》(JTG F40-2011)；</w:t>
      </w:r>
    </w:p>
    <w:p>
      <w:pPr>
        <w:pStyle w:val="17"/>
        <w:snapToGrid w:val="0"/>
        <w:spacing w:line="400" w:lineRule="exact"/>
        <w:ind w:firstLine="420" w:firstLineChars="200"/>
        <w:jc w:val="left"/>
        <w:outlineLvl w:val="2"/>
        <w:rPr>
          <w:rFonts w:hint="eastAsia" w:ascii="仿宋_GB2312" w:eastAsia="仿宋_GB2312" w:hAnsiTheme="minorEastAsia" w:cstheme="minorBidi"/>
          <w:kern w:val="2"/>
          <w:sz w:val="21"/>
          <w:szCs w:val="21"/>
          <w:highlight w:val="none"/>
          <w:lang w:val="en-US" w:eastAsia="zh-CN" w:bidi="ar-SA"/>
        </w:rPr>
      </w:pPr>
      <w:r>
        <w:rPr>
          <w:rFonts w:hint="eastAsia" w:ascii="仿宋_GB2312" w:eastAsia="仿宋_GB2312" w:hAnsiTheme="minorEastAsia" w:cstheme="minorBidi"/>
          <w:kern w:val="2"/>
          <w:sz w:val="21"/>
          <w:szCs w:val="21"/>
          <w:highlight w:val="none"/>
          <w:lang w:val="en-US" w:eastAsia="zh-CN" w:bidi="ar-SA"/>
        </w:rPr>
        <w:t>施工图纸、技术规范和业主、监理下发的关于材料的相关要求。</w:t>
      </w:r>
    </w:p>
    <w:p>
      <w:pPr>
        <w:pStyle w:val="17"/>
        <w:snapToGrid w:val="0"/>
        <w:spacing w:line="360" w:lineRule="auto"/>
        <w:ind w:firstLine="422" w:firstLineChars="200"/>
        <w:jc w:val="left"/>
        <w:outlineLvl w:val="2"/>
        <w:rPr>
          <w:rFonts w:hint="eastAsia" w:ascii="仿宋" w:hAnsi="仿宋" w:eastAsia="仿宋" w:cs="仿宋"/>
          <w:b/>
          <w:bCs/>
          <w:kern w:val="2"/>
          <w:highlight w:val="none"/>
          <w:lang w:val="en-US" w:eastAsia="zh-CN"/>
        </w:rPr>
      </w:pPr>
      <w:r>
        <w:rPr>
          <w:rFonts w:hint="eastAsia" w:ascii="仿宋" w:hAnsi="仿宋" w:eastAsia="仿宋" w:cs="仿宋"/>
          <w:b/>
          <w:bCs/>
          <w:kern w:val="2"/>
          <w:highlight w:val="none"/>
          <w:lang w:val="en-US" w:eastAsia="zh-CN"/>
        </w:rPr>
        <w:t>商品混凝土材料要求：</w:t>
      </w:r>
    </w:p>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商品混凝土材料参数表</w:t>
      </w:r>
    </w:p>
    <w:tbl>
      <w:tblPr>
        <w:tblStyle w:val="34"/>
        <w:tblW w:w="8447"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062"/>
        <w:gridCol w:w="1131"/>
        <w:gridCol w:w="1330"/>
        <w:gridCol w:w="1210"/>
        <w:gridCol w:w="1100"/>
        <w:gridCol w:w="161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89" w:hRule="atLeast"/>
          <w:tblHeader/>
          <w:jc w:val="center"/>
        </w:trPr>
        <w:tc>
          <w:tcPr>
            <w:tcW w:w="2062" w:type="dxa"/>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材料名称</w:t>
            </w:r>
          </w:p>
        </w:tc>
        <w:tc>
          <w:tcPr>
            <w:tcW w:w="1131" w:type="dxa"/>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规格要求</w:t>
            </w:r>
          </w:p>
        </w:tc>
        <w:tc>
          <w:tcPr>
            <w:tcW w:w="1330" w:type="dxa"/>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弯拉强度</w:t>
            </w:r>
          </w:p>
          <w:p>
            <w:pPr>
              <w:pStyle w:val="17"/>
              <w:snapToGrid w:val="0"/>
              <w:spacing w:line="360" w:lineRule="auto"/>
              <w:jc w:val="center"/>
              <w:outlineLvl w:val="2"/>
              <w:rPr>
                <w:rFonts w:hint="default" w:ascii="仿宋" w:hAnsi="仿宋" w:eastAsia="仿宋" w:cs="仿宋"/>
                <w:kern w:val="2"/>
                <w:highlight w:val="none"/>
                <w:lang w:val="en-US" w:eastAsia="zh-CN"/>
              </w:rPr>
            </w:pPr>
            <w:r>
              <w:rPr>
                <w:rFonts w:hint="eastAsia" w:ascii="仿宋" w:hAnsi="仿宋" w:eastAsia="仿宋" w:cs="仿宋"/>
                <w:kern w:val="2"/>
                <w:highlight w:val="none"/>
                <w:lang w:val="en-US" w:eastAsia="zh-CN"/>
              </w:rPr>
              <w:t>(MPa)</w:t>
            </w:r>
          </w:p>
        </w:tc>
        <w:tc>
          <w:tcPr>
            <w:tcW w:w="1210" w:type="dxa"/>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抗压强度</w:t>
            </w:r>
          </w:p>
          <w:p>
            <w:pPr>
              <w:pStyle w:val="17"/>
              <w:snapToGrid w:val="0"/>
              <w:spacing w:line="360" w:lineRule="auto"/>
              <w:jc w:val="center"/>
              <w:outlineLvl w:val="2"/>
              <w:rPr>
                <w:rFonts w:hint="default" w:ascii="仿宋" w:hAnsi="仿宋" w:eastAsia="仿宋" w:cs="仿宋"/>
                <w:kern w:val="2"/>
                <w:highlight w:val="none"/>
                <w:lang w:val="en-US" w:eastAsia="zh-CN"/>
              </w:rPr>
            </w:pPr>
            <w:r>
              <w:rPr>
                <w:rFonts w:hint="eastAsia" w:ascii="仿宋" w:hAnsi="仿宋" w:eastAsia="仿宋" w:cs="仿宋"/>
                <w:kern w:val="2"/>
                <w:highlight w:val="none"/>
                <w:lang w:val="en-US" w:eastAsia="zh-CN"/>
              </w:rPr>
              <w:t>(MPa)</w:t>
            </w:r>
          </w:p>
        </w:tc>
        <w:tc>
          <w:tcPr>
            <w:tcW w:w="1100" w:type="dxa"/>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抗拉强度</w:t>
            </w:r>
          </w:p>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(MPa)</w:t>
            </w:r>
          </w:p>
        </w:tc>
        <w:tc>
          <w:tcPr>
            <w:tcW w:w="1614" w:type="dxa"/>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弹性模量</w:t>
            </w:r>
          </w:p>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(MPa)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2062" w:type="dxa"/>
            <w:noWrap w:val="0"/>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商品混凝土</w:t>
            </w:r>
          </w:p>
        </w:tc>
        <w:tc>
          <w:tcPr>
            <w:tcW w:w="1131" w:type="dxa"/>
            <w:noWrap w:val="0"/>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C25</w:t>
            </w:r>
          </w:p>
        </w:tc>
        <w:tc>
          <w:tcPr>
            <w:tcW w:w="1330" w:type="dxa"/>
            <w:noWrap w:val="0"/>
            <w:vAlign w:val="center"/>
          </w:tcPr>
          <w:p>
            <w:pPr>
              <w:keepNext w:val="0"/>
              <w:keepLines w:val="0"/>
              <w:widowControl/>
              <w:suppressLineNumbers w:val="0"/>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3.5-4</w:t>
            </w:r>
          </w:p>
        </w:tc>
        <w:tc>
          <w:tcPr>
            <w:tcW w:w="1210" w:type="dxa"/>
            <w:noWrap w:val="0"/>
            <w:vAlign w:val="center"/>
          </w:tcPr>
          <w:p>
            <w:pPr>
              <w:keepNext w:val="0"/>
              <w:keepLines w:val="0"/>
              <w:widowControl/>
              <w:suppressLineNumbers w:val="0"/>
              <w:jc w:val="center"/>
              <w:textAlignment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25-30</w:t>
            </w:r>
          </w:p>
        </w:tc>
        <w:tc>
          <w:tcPr>
            <w:tcW w:w="1100" w:type="dxa"/>
            <w:noWrap w:val="0"/>
            <w:vAlign w:val="center"/>
          </w:tcPr>
          <w:p>
            <w:pPr>
              <w:keepNext w:val="0"/>
              <w:keepLines w:val="0"/>
              <w:widowControl/>
              <w:suppressLineNumbers w:val="0"/>
              <w:jc w:val="center"/>
              <w:textAlignment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2.2-2.54</w:t>
            </w:r>
          </w:p>
        </w:tc>
        <w:tc>
          <w:tcPr>
            <w:tcW w:w="1614" w:type="dxa"/>
            <w:noWrap w:val="0"/>
            <w:vAlign w:val="center"/>
          </w:tcPr>
          <w:p>
            <w:pPr>
              <w:keepNext w:val="0"/>
              <w:keepLines w:val="0"/>
              <w:widowControl/>
              <w:suppressLineNumbers w:val="0"/>
              <w:jc w:val="center"/>
              <w:textAlignment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2.5-2.7</w:t>
            </w:r>
          </w:p>
        </w:tc>
      </w:tr>
    </w:tbl>
    <w:p>
      <w:pPr>
        <w:pStyle w:val="17"/>
        <w:snapToGrid w:val="0"/>
        <w:spacing w:line="360" w:lineRule="auto"/>
        <w:ind w:firstLine="420" w:firstLineChars="200"/>
        <w:jc w:val="left"/>
        <w:outlineLvl w:val="2"/>
        <w:rPr>
          <w:rFonts w:hint="eastAsia" w:ascii="仿宋" w:hAnsi="仿宋" w:eastAsia="仿宋" w:cs="仿宋"/>
          <w:kern w:val="2"/>
          <w:highlight w:val="none"/>
          <w:lang w:val="en-US" w:eastAsia="zh-CN"/>
        </w:rPr>
      </w:pPr>
    </w:p>
    <w:p>
      <w:pPr>
        <w:pStyle w:val="17"/>
        <w:snapToGrid w:val="0"/>
        <w:spacing w:line="360" w:lineRule="auto"/>
        <w:ind w:firstLine="420" w:firstLineChars="200"/>
        <w:jc w:val="left"/>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1）水泥</w:t>
      </w:r>
    </w:p>
    <w:p>
      <w:pPr>
        <w:pStyle w:val="17"/>
        <w:snapToGrid w:val="0"/>
        <w:spacing w:line="360" w:lineRule="auto"/>
        <w:ind w:firstLine="420" w:firstLineChars="200"/>
        <w:jc w:val="left"/>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用于水泥混凝土板的水泥标号不应低于42.5，采用普通硅酸盐水泥。其性能应符合现行国家规定的标准.水泥应有合格证，若有疑问，出厂期超过三个月及发现受潮的水泥，必须先经实验，合格后方准使用。不同品种，不同厂家和不同出厂期的水泥应分别堆放，严禁混合搅拌或在同一仓内使用不同的水泥。</w:t>
      </w:r>
    </w:p>
    <w:p>
      <w:pPr>
        <w:pStyle w:val="17"/>
        <w:snapToGrid w:val="0"/>
        <w:spacing w:line="360" w:lineRule="auto"/>
        <w:ind w:firstLine="420" w:firstLineChars="200"/>
        <w:jc w:val="left"/>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水泥化学成分、物理性能等路用品质要符合《公路水泥混凝土路面施工技术规范》(JTGF30—2003）P6表3.1.2;水泥路面的抗压、抗折强度、安定性和凝结时间必须经检验合格方可使用。</w:t>
      </w:r>
    </w:p>
    <w:p>
      <w:pPr>
        <w:pStyle w:val="17"/>
        <w:snapToGrid w:val="0"/>
        <w:spacing w:line="400" w:lineRule="exact"/>
        <w:ind w:firstLine="420" w:firstLineChars="200"/>
        <w:jc w:val="left"/>
        <w:outlineLvl w:val="2"/>
        <w:rPr>
          <w:rFonts w:hint="eastAsia" w:ascii="仿宋_GB2312" w:eastAsia="仿宋_GB2312" w:hAnsiTheme="minorEastAsia" w:cstheme="minorBidi"/>
          <w:kern w:val="2"/>
          <w:sz w:val="21"/>
          <w:szCs w:val="21"/>
          <w:highlight w:val="none"/>
          <w:lang w:val="en-US" w:eastAsia="zh-CN" w:bidi="ar-SA"/>
        </w:rPr>
      </w:pPr>
      <w:r>
        <w:rPr>
          <w:rFonts w:hint="eastAsia" w:ascii="仿宋" w:hAnsi="仿宋" w:eastAsia="仿宋" w:cs="仿宋"/>
          <w:kern w:val="2"/>
          <w:highlight w:val="none"/>
          <w:lang w:val="en-US" w:eastAsia="zh-CN"/>
        </w:rPr>
        <w:t>水泥殓路面采用的碎石应质地坚硬、耐磨、洁净,并应符合规定的级配，最大粒径不得超过4厘</w:t>
      </w:r>
      <w:r>
        <w:rPr>
          <w:rFonts w:hint="eastAsia" w:ascii="仿宋_GB2312" w:eastAsia="仿宋_GB2312" w:hAnsiTheme="minorEastAsia" w:cstheme="minorBidi"/>
          <w:kern w:val="2"/>
          <w:sz w:val="21"/>
          <w:szCs w:val="21"/>
          <w:highlight w:val="none"/>
          <w:lang w:val="en-US" w:eastAsia="zh-CN" w:bidi="ar-SA"/>
        </w:rPr>
        <w:t>米;碎石强度≥3级。</w:t>
      </w:r>
    </w:p>
    <w:p>
      <w:pPr>
        <w:pStyle w:val="17"/>
        <w:snapToGrid w:val="0"/>
        <w:spacing w:line="400" w:lineRule="exact"/>
        <w:ind w:firstLine="420" w:firstLineChars="200"/>
        <w:jc w:val="left"/>
        <w:outlineLvl w:val="2"/>
        <w:rPr>
          <w:rFonts w:hint="eastAsia" w:ascii="仿宋_GB2312" w:eastAsia="仿宋_GB2312" w:hAnsiTheme="minorEastAsia" w:cstheme="minorBidi"/>
          <w:kern w:val="2"/>
          <w:sz w:val="21"/>
          <w:szCs w:val="21"/>
          <w:highlight w:val="none"/>
          <w:lang w:val="en-US" w:eastAsia="zh-CN" w:bidi="ar-SA"/>
        </w:rPr>
      </w:pPr>
      <w:r>
        <w:rPr>
          <w:rFonts w:hint="eastAsia" w:ascii="仿宋_GB2312" w:eastAsia="仿宋_GB2312" w:hAnsiTheme="minorEastAsia" w:cstheme="minorBidi"/>
          <w:kern w:val="2"/>
          <w:sz w:val="21"/>
          <w:szCs w:val="21"/>
          <w:highlight w:val="none"/>
          <w:lang w:val="en-US" w:eastAsia="zh-CN" w:bidi="ar-SA"/>
        </w:rPr>
        <w:t>水泥砼外加剂供应商应提供有相应资质外加剂检测单位的品质检测报告。</w:t>
      </w:r>
    </w:p>
    <w:p>
      <w:pPr>
        <w:pStyle w:val="17"/>
        <w:snapToGrid w:val="0"/>
        <w:spacing w:line="400" w:lineRule="exact"/>
        <w:ind w:firstLine="420" w:firstLineChars="200"/>
        <w:jc w:val="left"/>
        <w:outlineLvl w:val="2"/>
        <w:rPr>
          <w:rFonts w:hint="eastAsia" w:ascii="仿宋_GB2312" w:eastAsia="仿宋_GB2312" w:hAnsiTheme="minorEastAsia" w:cstheme="minorBidi"/>
          <w:kern w:val="2"/>
          <w:sz w:val="21"/>
          <w:szCs w:val="21"/>
          <w:highlight w:val="none"/>
          <w:lang w:val="en-US" w:eastAsia="zh-CN" w:bidi="ar-SA"/>
        </w:rPr>
      </w:pPr>
      <w:r>
        <w:rPr>
          <w:rFonts w:hint="eastAsia" w:ascii="仿宋_GB2312" w:eastAsia="仿宋_GB2312" w:hAnsiTheme="minorEastAsia" w:cstheme="minorBidi"/>
          <w:kern w:val="2"/>
          <w:sz w:val="21"/>
          <w:szCs w:val="21"/>
          <w:highlight w:val="none"/>
          <w:lang w:val="en-US" w:eastAsia="zh-CN" w:bidi="ar-SA"/>
        </w:rPr>
        <w:t>2）黄砂</w:t>
      </w:r>
    </w:p>
    <w:p>
      <w:pPr>
        <w:pStyle w:val="17"/>
        <w:snapToGrid w:val="0"/>
        <w:spacing w:line="400" w:lineRule="exact"/>
        <w:ind w:firstLine="420" w:firstLineChars="200"/>
        <w:jc w:val="left"/>
        <w:outlineLvl w:val="2"/>
        <w:rPr>
          <w:rFonts w:hint="eastAsia" w:ascii="仿宋_GB2312" w:eastAsia="仿宋_GB2312" w:hAnsiTheme="minorEastAsia" w:cstheme="minorBidi"/>
          <w:kern w:val="2"/>
          <w:sz w:val="21"/>
          <w:szCs w:val="21"/>
          <w:highlight w:val="none"/>
          <w:lang w:val="en-US" w:eastAsia="zh-CN" w:bidi="ar-SA"/>
        </w:rPr>
      </w:pPr>
      <w:r>
        <w:rPr>
          <w:rFonts w:hint="eastAsia" w:ascii="仿宋_GB2312" w:eastAsia="仿宋_GB2312" w:hAnsiTheme="minorEastAsia" w:cstheme="minorBidi"/>
          <w:kern w:val="2"/>
          <w:sz w:val="21"/>
          <w:szCs w:val="21"/>
          <w:highlight w:val="none"/>
          <w:lang w:val="en-US" w:eastAsia="zh-CN" w:bidi="ar-SA"/>
        </w:rPr>
        <w:t>水泥混凝土板用的砂，应选用质地坚硬，符合规定级配，细度模数在2.5以上,富有棱角的粗砂或中粗砂，当无法取得粗、中粗砂时，经配合比实验可行，可采用泥土杂物含量小于3%的细砂。砂的技术要求应满足《水泥混凝土路面施工及验收规范》(GBJ97—87)的要求。</w:t>
      </w:r>
    </w:p>
    <w:p>
      <w:pPr>
        <w:pStyle w:val="17"/>
        <w:snapToGrid w:val="0"/>
        <w:spacing w:line="400" w:lineRule="exact"/>
        <w:ind w:firstLine="420" w:firstLineChars="200"/>
        <w:jc w:val="left"/>
        <w:outlineLvl w:val="2"/>
        <w:rPr>
          <w:rFonts w:hint="eastAsia" w:ascii="仿宋_GB2312" w:eastAsia="仿宋_GB2312" w:hAnsiTheme="minorEastAsia" w:cstheme="minorBidi"/>
          <w:kern w:val="2"/>
          <w:sz w:val="21"/>
          <w:szCs w:val="21"/>
          <w:highlight w:val="none"/>
          <w:lang w:val="en-US" w:eastAsia="zh-CN" w:bidi="ar-SA"/>
        </w:rPr>
      </w:pPr>
      <w:r>
        <w:rPr>
          <w:rFonts w:hint="eastAsia" w:ascii="仿宋_GB2312" w:eastAsia="仿宋_GB2312" w:hAnsiTheme="minorEastAsia" w:cstheme="minorBidi"/>
          <w:kern w:val="2"/>
          <w:sz w:val="21"/>
          <w:szCs w:val="21"/>
          <w:highlight w:val="none"/>
          <w:lang w:val="en-US" w:eastAsia="zh-CN" w:bidi="ar-SA"/>
        </w:rPr>
        <w:t>3）碎石</w:t>
      </w:r>
    </w:p>
    <w:p>
      <w:pPr>
        <w:pStyle w:val="17"/>
        <w:snapToGrid w:val="0"/>
        <w:spacing w:line="400" w:lineRule="exact"/>
        <w:ind w:firstLine="420" w:firstLineChars="200"/>
        <w:jc w:val="left"/>
        <w:outlineLvl w:val="2"/>
        <w:rPr>
          <w:rFonts w:hint="eastAsia" w:ascii="仿宋_GB2312" w:eastAsia="仿宋_GB2312" w:hAnsiTheme="minorEastAsia" w:cstheme="minorBidi"/>
          <w:kern w:val="2"/>
          <w:sz w:val="21"/>
          <w:szCs w:val="21"/>
          <w:highlight w:val="none"/>
          <w:lang w:val="en-US" w:eastAsia="zh-CN" w:bidi="ar-SA"/>
        </w:rPr>
      </w:pPr>
      <w:r>
        <w:rPr>
          <w:rFonts w:hint="eastAsia" w:ascii="仿宋_GB2312" w:eastAsia="仿宋_GB2312" w:hAnsiTheme="minorEastAsia" w:cstheme="minorBidi"/>
          <w:kern w:val="2"/>
          <w:sz w:val="21"/>
          <w:szCs w:val="21"/>
          <w:highlight w:val="none"/>
          <w:lang w:val="en-US" w:eastAsia="zh-CN" w:bidi="ar-SA"/>
        </w:rPr>
        <w:t>水泥混凝土板用的碎石应质地坚硬，符合规定级配,最大粒径不超过40mm。碎石的技术要求应满足《公路水泥混凝土路面施工技术规范》(JTG F30—2003）的要求。</w:t>
      </w:r>
    </w:p>
    <w:p>
      <w:pPr>
        <w:pStyle w:val="17"/>
        <w:snapToGrid w:val="0"/>
        <w:spacing w:line="400" w:lineRule="exact"/>
        <w:ind w:firstLine="420" w:firstLineChars="200"/>
        <w:jc w:val="left"/>
        <w:outlineLvl w:val="2"/>
        <w:rPr>
          <w:rFonts w:hint="default" w:ascii="仿宋_GB2312" w:eastAsia="仿宋_GB2312" w:hAnsiTheme="minorEastAsia" w:cstheme="minorBidi"/>
          <w:kern w:val="2"/>
          <w:sz w:val="21"/>
          <w:szCs w:val="21"/>
          <w:highlight w:val="none"/>
          <w:lang w:val="en-US" w:eastAsia="zh-CN" w:bidi="ar-SA"/>
        </w:rPr>
      </w:pPr>
      <w:r>
        <w:rPr>
          <w:rFonts w:hint="eastAsia" w:ascii="仿宋_GB2312" w:eastAsia="仿宋_GB2312" w:hAnsiTheme="minorEastAsia" w:cstheme="minorBidi"/>
          <w:kern w:val="2"/>
          <w:sz w:val="21"/>
          <w:szCs w:val="21"/>
          <w:highlight w:val="none"/>
          <w:lang w:val="en-US" w:eastAsia="zh-CN" w:bidi="ar-SA"/>
        </w:rPr>
        <w:t>4）水</w:t>
      </w:r>
    </w:p>
    <w:p>
      <w:pPr>
        <w:pStyle w:val="17"/>
        <w:snapToGrid w:val="0"/>
        <w:spacing w:line="400" w:lineRule="exact"/>
        <w:ind w:firstLine="420" w:firstLineChars="200"/>
        <w:jc w:val="left"/>
        <w:outlineLvl w:val="2"/>
        <w:rPr>
          <w:rFonts w:hint="eastAsia" w:ascii="仿宋_GB2312" w:eastAsia="仿宋_GB2312" w:hAnsiTheme="minorEastAsia" w:cstheme="minorBidi"/>
          <w:kern w:val="2"/>
          <w:sz w:val="21"/>
          <w:szCs w:val="21"/>
          <w:highlight w:val="none"/>
          <w:lang w:val="en-US" w:eastAsia="zh-CN" w:bidi="ar-SA"/>
        </w:rPr>
      </w:pPr>
      <w:r>
        <w:rPr>
          <w:rFonts w:hint="eastAsia" w:ascii="仿宋_GB2312" w:eastAsia="仿宋_GB2312" w:hAnsiTheme="minorEastAsia" w:cstheme="minorBidi"/>
          <w:kern w:val="2"/>
          <w:sz w:val="21"/>
          <w:szCs w:val="21"/>
          <w:highlight w:val="none"/>
          <w:lang w:val="en-US" w:eastAsia="zh-CN" w:bidi="ar-SA"/>
        </w:rPr>
        <w:t>混凝土搅拌用水应清洁，不得含有油、酸、碱类及其它污浊物质，一般的饮用水均可使用。若使用非饮用水时，应经过化验，符合《公路水泥混凝土路面施工技术规范》（JTGF30——2003）的要求方可使用。PH值不得小于4。</w:t>
      </w:r>
    </w:p>
    <w:p>
      <w:pPr>
        <w:pStyle w:val="17"/>
        <w:snapToGrid w:val="0"/>
        <w:spacing w:line="400" w:lineRule="exact"/>
        <w:ind w:firstLine="422" w:firstLineChars="200"/>
        <w:jc w:val="left"/>
        <w:outlineLvl w:val="2"/>
        <w:rPr>
          <w:rFonts w:hint="eastAsia" w:ascii="仿宋_GB2312" w:eastAsia="仿宋_GB2312" w:hAnsiTheme="minorEastAsia" w:cstheme="minorBidi"/>
          <w:kern w:val="2"/>
          <w:sz w:val="21"/>
          <w:szCs w:val="21"/>
          <w:highlight w:val="none"/>
          <w:lang w:val="en-US" w:eastAsia="zh-CN" w:bidi="ar-SA"/>
        </w:rPr>
      </w:pPr>
      <w:r>
        <w:rPr>
          <w:rFonts w:hint="eastAsia" w:ascii="仿宋" w:hAnsi="仿宋" w:eastAsia="仿宋" w:cs="仿宋"/>
          <w:b/>
          <w:bCs/>
          <w:kern w:val="2"/>
          <w:highlight w:val="none"/>
          <w:lang w:val="en-US" w:eastAsia="zh-CN"/>
        </w:rPr>
        <w:t>潜水泵质量要求：</w:t>
      </w:r>
      <w:r>
        <w:rPr>
          <w:rFonts w:hint="eastAsia" w:ascii="仿宋_GB2312" w:eastAsia="仿宋_GB2312" w:hAnsiTheme="minorEastAsia" w:cstheme="minorBidi"/>
          <w:kern w:val="2"/>
          <w:sz w:val="21"/>
          <w:szCs w:val="21"/>
          <w:highlight w:val="none"/>
          <w:lang w:val="en-US" w:eastAsia="zh-CN" w:bidi="ar-SA"/>
        </w:rPr>
        <w:t>《井用潜水泵》（GB/T 2816-2014）</w:t>
      </w:r>
    </w:p>
    <w:p>
      <w:pPr>
        <w:pStyle w:val="17"/>
        <w:snapToGrid w:val="0"/>
        <w:spacing w:line="400" w:lineRule="exact"/>
        <w:ind w:firstLine="420" w:firstLineChars="200"/>
        <w:jc w:val="left"/>
        <w:outlineLvl w:val="2"/>
        <w:rPr>
          <w:rFonts w:hint="eastAsia" w:ascii="仿宋_GB2312" w:eastAsia="仿宋_GB2312" w:hAnsiTheme="minorEastAsia" w:cstheme="minorBidi"/>
          <w:kern w:val="2"/>
          <w:sz w:val="21"/>
          <w:szCs w:val="21"/>
          <w:highlight w:val="none"/>
          <w:lang w:val="en-US" w:eastAsia="zh-CN" w:bidi="ar-SA"/>
        </w:rPr>
      </w:pPr>
    </w:p>
    <w:p>
      <w:pPr>
        <w:spacing w:line="400" w:lineRule="exact"/>
        <w:jc w:val="center"/>
        <w:outlineLvl w:val="0"/>
        <w:rPr>
          <w:rFonts w:hint="eastAsia" w:ascii="仿宋_GB2312" w:eastAsia="仿宋_GB2312" w:hAnsiTheme="majorEastAsia"/>
          <w:b/>
          <w:bCs/>
          <w:sz w:val="28"/>
          <w:szCs w:val="28"/>
          <w:highlight w:val="none"/>
        </w:rPr>
      </w:pPr>
    </w:p>
    <w:p>
      <w:pPr>
        <w:spacing w:line="400" w:lineRule="exact"/>
        <w:jc w:val="center"/>
        <w:outlineLvl w:val="0"/>
        <w:rPr>
          <w:rFonts w:hint="eastAsia" w:ascii="仿宋_GB2312" w:eastAsia="仿宋_GB2312" w:hAnsiTheme="majorEastAsia"/>
          <w:b/>
          <w:bCs/>
          <w:sz w:val="28"/>
          <w:szCs w:val="28"/>
          <w:highlight w:val="none"/>
        </w:rPr>
      </w:pPr>
    </w:p>
    <w:p>
      <w:pPr>
        <w:spacing w:line="400" w:lineRule="exact"/>
        <w:jc w:val="center"/>
        <w:outlineLvl w:val="0"/>
        <w:rPr>
          <w:rFonts w:hint="eastAsia" w:ascii="仿宋_GB2312" w:eastAsia="仿宋_GB2312" w:hAnsiTheme="majorEastAsia"/>
          <w:b/>
          <w:bCs/>
          <w:sz w:val="28"/>
          <w:szCs w:val="28"/>
          <w:highlight w:val="none"/>
        </w:rPr>
      </w:pPr>
    </w:p>
    <w:p>
      <w:pPr>
        <w:spacing w:line="400" w:lineRule="exact"/>
        <w:jc w:val="center"/>
        <w:outlineLvl w:val="0"/>
        <w:rPr>
          <w:rFonts w:hint="eastAsia" w:ascii="仿宋_GB2312" w:eastAsia="仿宋_GB2312" w:hAnsiTheme="majorEastAsia"/>
          <w:b/>
          <w:bCs/>
          <w:sz w:val="28"/>
          <w:szCs w:val="28"/>
          <w:highlight w:val="none"/>
        </w:rPr>
      </w:pPr>
    </w:p>
    <w:p>
      <w:pPr>
        <w:spacing w:line="400" w:lineRule="exact"/>
        <w:jc w:val="center"/>
        <w:outlineLvl w:val="0"/>
        <w:rPr>
          <w:rFonts w:hint="eastAsia" w:ascii="仿宋_GB2312" w:eastAsia="仿宋_GB2312" w:hAnsiTheme="majorEastAsia"/>
          <w:b/>
          <w:bCs/>
          <w:sz w:val="28"/>
          <w:szCs w:val="28"/>
          <w:highlight w:val="none"/>
        </w:rPr>
      </w:pPr>
    </w:p>
    <w:p>
      <w:pPr>
        <w:spacing w:line="400" w:lineRule="exact"/>
        <w:jc w:val="center"/>
        <w:outlineLvl w:val="0"/>
        <w:rPr>
          <w:rFonts w:hint="eastAsia" w:ascii="仿宋_GB2312" w:eastAsia="仿宋_GB2312" w:hAnsiTheme="majorEastAsia"/>
          <w:b/>
          <w:bCs/>
          <w:sz w:val="28"/>
          <w:szCs w:val="28"/>
          <w:highlight w:val="none"/>
        </w:rPr>
      </w:pPr>
    </w:p>
    <w:p>
      <w:pPr>
        <w:spacing w:line="400" w:lineRule="exact"/>
        <w:jc w:val="center"/>
        <w:outlineLvl w:val="0"/>
        <w:rPr>
          <w:rFonts w:hint="eastAsia" w:ascii="仿宋_GB2312" w:eastAsia="仿宋_GB2312" w:hAnsiTheme="majorEastAsia"/>
          <w:b/>
          <w:bCs/>
          <w:sz w:val="28"/>
          <w:szCs w:val="28"/>
          <w:highlight w:val="none"/>
        </w:rPr>
      </w:pPr>
    </w:p>
    <w:p>
      <w:pPr>
        <w:spacing w:line="400" w:lineRule="exact"/>
        <w:jc w:val="center"/>
        <w:outlineLvl w:val="0"/>
        <w:rPr>
          <w:rFonts w:hint="eastAsia" w:ascii="仿宋_GB2312" w:eastAsia="仿宋_GB2312" w:hAnsiTheme="majorEastAsia"/>
          <w:b/>
          <w:bCs/>
          <w:sz w:val="28"/>
          <w:szCs w:val="28"/>
          <w:highlight w:val="none"/>
        </w:rPr>
      </w:pPr>
    </w:p>
    <w:p>
      <w:pPr>
        <w:spacing w:line="400" w:lineRule="exact"/>
        <w:jc w:val="center"/>
        <w:outlineLvl w:val="0"/>
        <w:rPr>
          <w:rFonts w:hint="eastAsia" w:ascii="仿宋_GB2312" w:eastAsia="仿宋_GB2312" w:hAnsiTheme="majorEastAsia"/>
          <w:b/>
          <w:bCs/>
          <w:sz w:val="28"/>
          <w:szCs w:val="28"/>
          <w:highlight w:val="none"/>
        </w:rPr>
      </w:pPr>
    </w:p>
    <w:p>
      <w:pPr>
        <w:spacing w:line="400" w:lineRule="exact"/>
        <w:jc w:val="center"/>
        <w:outlineLvl w:val="0"/>
        <w:rPr>
          <w:rFonts w:hint="eastAsia" w:ascii="仿宋_GB2312" w:eastAsia="仿宋_GB2312" w:hAnsiTheme="majorEastAsia"/>
          <w:b/>
          <w:bCs/>
          <w:sz w:val="28"/>
          <w:szCs w:val="28"/>
          <w:highlight w:val="none"/>
        </w:rPr>
      </w:pPr>
    </w:p>
    <w:p>
      <w:pPr>
        <w:spacing w:line="400" w:lineRule="exact"/>
        <w:jc w:val="center"/>
        <w:outlineLvl w:val="0"/>
        <w:rPr>
          <w:rFonts w:hint="eastAsia" w:ascii="仿宋_GB2312" w:eastAsia="仿宋_GB2312" w:hAnsiTheme="majorEastAsia"/>
          <w:b/>
          <w:bCs/>
          <w:sz w:val="28"/>
          <w:szCs w:val="28"/>
          <w:highlight w:val="none"/>
        </w:rPr>
      </w:pPr>
    </w:p>
    <w:p>
      <w:pPr>
        <w:spacing w:line="400" w:lineRule="exact"/>
        <w:jc w:val="center"/>
        <w:outlineLvl w:val="0"/>
        <w:rPr>
          <w:rFonts w:hint="eastAsia" w:ascii="仿宋_GB2312" w:eastAsia="仿宋_GB2312" w:hAnsiTheme="majorEastAsia"/>
          <w:b/>
          <w:bCs/>
          <w:sz w:val="28"/>
          <w:szCs w:val="28"/>
          <w:highlight w:val="none"/>
        </w:rPr>
      </w:pPr>
    </w:p>
    <w:p>
      <w:pPr>
        <w:spacing w:line="400" w:lineRule="exact"/>
        <w:jc w:val="center"/>
        <w:outlineLvl w:val="0"/>
        <w:rPr>
          <w:rFonts w:hint="eastAsia" w:ascii="仿宋_GB2312" w:eastAsia="仿宋_GB2312" w:hAnsiTheme="majorEastAsia"/>
          <w:b/>
          <w:bCs/>
          <w:sz w:val="28"/>
          <w:szCs w:val="28"/>
          <w:highlight w:val="none"/>
        </w:rPr>
      </w:pPr>
    </w:p>
    <w:p>
      <w:pPr>
        <w:pStyle w:val="2"/>
        <w:rPr>
          <w:rFonts w:hint="eastAsia" w:ascii="仿宋_GB2312" w:eastAsia="仿宋_GB2312" w:hAnsiTheme="majorEastAsia"/>
          <w:b/>
          <w:bCs/>
          <w:sz w:val="28"/>
          <w:szCs w:val="28"/>
          <w:highlight w:val="none"/>
        </w:rPr>
      </w:pPr>
    </w:p>
    <w:p>
      <w:pPr>
        <w:pStyle w:val="2"/>
        <w:rPr>
          <w:rFonts w:hint="eastAsia" w:ascii="仿宋_GB2312" w:eastAsia="仿宋_GB2312" w:hAnsiTheme="majorEastAsia"/>
          <w:b/>
          <w:bCs/>
          <w:sz w:val="28"/>
          <w:szCs w:val="28"/>
          <w:highlight w:val="none"/>
        </w:rPr>
      </w:pPr>
    </w:p>
    <w:p>
      <w:pPr>
        <w:pStyle w:val="2"/>
        <w:rPr>
          <w:rFonts w:hint="eastAsia" w:ascii="仿宋_GB2312" w:eastAsia="仿宋_GB2312" w:hAnsiTheme="majorEastAsia"/>
          <w:b/>
          <w:bCs/>
          <w:sz w:val="28"/>
          <w:szCs w:val="28"/>
          <w:highlight w:val="none"/>
        </w:rPr>
      </w:pPr>
    </w:p>
    <w:p>
      <w:pPr>
        <w:spacing w:line="400" w:lineRule="exact"/>
        <w:jc w:val="both"/>
        <w:outlineLvl w:val="0"/>
        <w:rPr>
          <w:rFonts w:hint="eastAsia" w:ascii="仿宋_GB2312" w:eastAsia="仿宋_GB2312" w:hAnsiTheme="majorEastAsia"/>
          <w:b/>
          <w:bCs/>
          <w:sz w:val="28"/>
          <w:szCs w:val="28"/>
          <w:highlight w:val="none"/>
        </w:rPr>
      </w:pPr>
    </w:p>
    <w:p>
      <w:pPr>
        <w:spacing w:line="400" w:lineRule="exact"/>
        <w:jc w:val="center"/>
        <w:outlineLvl w:val="0"/>
        <w:rPr>
          <w:rFonts w:hint="eastAsia" w:ascii="仿宋_GB2312" w:eastAsia="仿宋_GB2312" w:hAnsiTheme="majorEastAsia"/>
          <w:b/>
          <w:bCs/>
          <w:sz w:val="28"/>
          <w:szCs w:val="28"/>
          <w:highlight w:val="none"/>
        </w:rPr>
      </w:pPr>
    </w:p>
    <w:p>
      <w:pPr>
        <w:spacing w:line="400" w:lineRule="exact"/>
        <w:jc w:val="center"/>
        <w:outlineLvl w:val="0"/>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第三部分 投标文件格式</w:t>
      </w:r>
    </w:p>
    <w:p>
      <w:pPr>
        <w:widowControl/>
        <w:jc w:val="center"/>
        <w:rPr>
          <w:rFonts w:ascii="宋体" w:hAnsi="宋体" w:cs="宋体"/>
          <w:color w:val="000000"/>
          <w:sz w:val="36"/>
          <w:szCs w:val="36"/>
          <w:highlight w:val="none"/>
        </w:rPr>
      </w:pPr>
    </w:p>
    <w:p>
      <w:pPr>
        <w:widowControl/>
        <w:jc w:val="center"/>
        <w:rPr>
          <w:rFonts w:ascii="宋体" w:hAnsi="宋体" w:cs="宋体"/>
          <w:color w:val="000000"/>
          <w:sz w:val="36"/>
          <w:szCs w:val="36"/>
          <w:highlight w:val="none"/>
        </w:rPr>
      </w:pPr>
    </w:p>
    <w:p>
      <w:pPr>
        <w:widowControl/>
        <w:jc w:val="center"/>
        <w:rPr>
          <w:rFonts w:ascii="宋体" w:hAnsi="宋体" w:cs="宋体"/>
          <w:color w:val="000000"/>
          <w:sz w:val="36"/>
          <w:szCs w:val="36"/>
          <w:highlight w:val="none"/>
        </w:rPr>
      </w:pPr>
    </w:p>
    <w:p>
      <w:pPr>
        <w:widowControl/>
        <w:jc w:val="center"/>
        <w:rPr>
          <w:rFonts w:ascii="宋体" w:hAnsi="宋体" w:cs="宋体"/>
          <w:color w:val="000000"/>
          <w:sz w:val="36"/>
          <w:szCs w:val="36"/>
          <w:highlight w:val="none"/>
        </w:rPr>
      </w:pPr>
    </w:p>
    <w:p>
      <w:pPr>
        <w:widowControl/>
        <w:rPr>
          <w:rFonts w:ascii="宋体" w:hAnsi="宋体" w:cs="宋体"/>
          <w:color w:val="000000"/>
          <w:sz w:val="36"/>
          <w:szCs w:val="36"/>
          <w:highlight w:val="none"/>
        </w:rPr>
      </w:pPr>
    </w:p>
    <w:p>
      <w:pPr>
        <w:widowControl/>
        <w:jc w:val="center"/>
        <w:rPr>
          <w:rFonts w:ascii="宋体" w:hAnsi="宋体" w:cs="宋体"/>
          <w:b/>
          <w:color w:val="000000"/>
          <w:sz w:val="72"/>
          <w:szCs w:val="72"/>
          <w:highlight w:val="none"/>
        </w:rPr>
      </w:pPr>
      <w:r>
        <w:rPr>
          <w:rFonts w:hint="eastAsia" w:ascii="宋体" w:hAnsi="宋体" w:cs="宋体"/>
          <w:b/>
          <w:color w:val="000000"/>
          <w:sz w:val="72"/>
          <w:szCs w:val="72"/>
          <w:highlight w:val="none"/>
        </w:rPr>
        <w:t>投 标 文 件</w:t>
      </w:r>
    </w:p>
    <w:p>
      <w:pPr>
        <w:widowControl/>
        <w:jc w:val="center"/>
        <w:rPr>
          <w:rFonts w:ascii="宋体" w:hAnsi="宋体" w:cs="宋体"/>
          <w:color w:val="000000"/>
          <w:sz w:val="36"/>
          <w:szCs w:val="36"/>
          <w:highlight w:val="none"/>
        </w:rPr>
      </w:pPr>
    </w:p>
    <w:p>
      <w:pPr>
        <w:widowControl/>
        <w:ind w:left="3773" w:leftChars="887" w:hanging="1644" w:hangingChars="546"/>
        <w:rPr>
          <w:rFonts w:ascii="宋体" w:hAnsi="宋体" w:cs="宋体"/>
          <w:b/>
          <w:color w:val="000000"/>
          <w:sz w:val="30"/>
          <w:szCs w:val="30"/>
          <w:highlight w:val="none"/>
        </w:rPr>
      </w:pPr>
    </w:p>
    <w:p>
      <w:pPr>
        <w:widowControl/>
        <w:ind w:left="3840" w:leftChars="1114" w:hanging="1166" w:hangingChars="387"/>
        <w:rPr>
          <w:rFonts w:ascii="宋体" w:hAnsi="宋体" w:cs="宋体"/>
          <w:b/>
          <w:color w:val="000000"/>
          <w:sz w:val="30"/>
          <w:szCs w:val="30"/>
          <w:highlight w:val="none"/>
        </w:rPr>
      </w:pPr>
    </w:p>
    <w:p>
      <w:pPr>
        <w:spacing w:line="500" w:lineRule="exact"/>
        <w:jc w:val="center"/>
        <w:rPr>
          <w:rFonts w:hint="eastAsia" w:ascii="宋体" w:hAnsi="宋体" w:cs="宋体"/>
          <w:b/>
          <w:color w:val="000000"/>
          <w:sz w:val="28"/>
          <w:szCs w:val="28"/>
          <w:highlight w:val="none"/>
        </w:rPr>
      </w:pPr>
      <w:r>
        <w:rPr>
          <w:rFonts w:hint="eastAsia" w:ascii="宋体" w:hAnsi="宋体" w:cs="宋体"/>
          <w:b/>
          <w:color w:val="000000"/>
          <w:sz w:val="28"/>
          <w:szCs w:val="28"/>
          <w:highlight w:val="none"/>
        </w:rPr>
        <w:t>项目名称</w:t>
      </w:r>
      <w:r>
        <w:rPr>
          <w:rFonts w:hint="eastAsia" w:ascii="宋体" w:hAnsi="宋体" w:cs="宋体"/>
          <w:b/>
          <w:color w:val="000000"/>
          <w:sz w:val="30"/>
          <w:szCs w:val="30"/>
          <w:highlight w:val="none"/>
        </w:rPr>
        <w:t>：</w:t>
      </w:r>
      <w:r>
        <w:rPr>
          <w:rFonts w:hint="eastAsia" w:ascii="宋体" w:hAnsi="宋体" w:cs="宋体"/>
          <w:b/>
          <w:color w:val="000000"/>
          <w:sz w:val="28"/>
          <w:szCs w:val="28"/>
          <w:highlight w:val="none"/>
        </w:rPr>
        <w:t>中建路桥集团</w:t>
      </w:r>
      <w:r>
        <w:rPr>
          <w:rFonts w:hint="eastAsia" w:ascii="宋体" w:hAnsi="宋体" w:cs="宋体"/>
          <w:b/>
          <w:color w:val="000000"/>
          <w:sz w:val="28"/>
          <w:szCs w:val="28"/>
          <w:highlight w:val="none"/>
          <w:lang w:val="en-US" w:eastAsia="zh-CN"/>
        </w:rPr>
        <w:t>高速公路养护</w:t>
      </w:r>
      <w:r>
        <w:rPr>
          <w:rFonts w:hint="eastAsia" w:ascii="宋体" w:hAnsi="宋体" w:cs="宋体"/>
          <w:b/>
          <w:color w:val="000000"/>
          <w:sz w:val="28"/>
          <w:szCs w:val="28"/>
          <w:highlight w:val="none"/>
        </w:rPr>
        <w:t>有限</w:t>
      </w:r>
      <w:r>
        <w:rPr>
          <w:rFonts w:hint="eastAsia" w:ascii="宋体" w:hAnsi="宋体" w:cs="宋体"/>
          <w:b/>
          <w:color w:val="000000"/>
          <w:sz w:val="28"/>
          <w:szCs w:val="28"/>
          <w:highlight w:val="none"/>
          <w:lang w:val="en-US" w:eastAsia="zh-CN"/>
        </w:rPr>
        <w:t>公司晋州市2022年营里镇片高标准农田建设项目一标段</w:t>
      </w:r>
      <w:r>
        <w:rPr>
          <w:rFonts w:hint="eastAsia" w:ascii="宋体" w:hAnsi="宋体" w:cs="宋体"/>
          <w:b/>
          <w:color w:val="000000"/>
          <w:sz w:val="28"/>
          <w:szCs w:val="28"/>
          <w:highlight w:val="none"/>
        </w:rPr>
        <w:t>项</w:t>
      </w:r>
      <w:r>
        <w:rPr>
          <w:rFonts w:hint="eastAsia" w:ascii="宋体" w:hAnsi="宋体" w:cs="宋体"/>
          <w:b/>
          <w:color w:val="000000"/>
          <w:sz w:val="28"/>
          <w:szCs w:val="28"/>
          <w:highlight w:val="none"/>
          <w:lang w:val="en-US" w:eastAsia="zh-CN"/>
        </w:rPr>
        <w:t>目</w:t>
      </w:r>
      <w:r>
        <w:rPr>
          <w:rFonts w:hint="eastAsia" w:ascii="宋体" w:hAnsi="宋体" w:cs="宋体"/>
          <w:b/>
          <w:color w:val="000000"/>
          <w:sz w:val="28"/>
          <w:szCs w:val="28"/>
          <w:highlight w:val="none"/>
        </w:rPr>
        <w:t>经理部</w:t>
      </w:r>
    </w:p>
    <w:p>
      <w:pPr>
        <w:spacing w:line="500" w:lineRule="exact"/>
        <w:jc w:val="center"/>
        <w:rPr>
          <w:rFonts w:ascii="宋体" w:hAnsi="宋体" w:cs="宋体"/>
          <w:b/>
          <w:color w:val="000000"/>
          <w:sz w:val="28"/>
          <w:szCs w:val="28"/>
          <w:highlight w:val="none"/>
        </w:rPr>
      </w:pPr>
      <w:r>
        <w:rPr>
          <w:rFonts w:hint="eastAsia" w:ascii="宋体" w:hAnsi="宋体" w:cs="宋体"/>
          <w:b/>
          <w:color w:val="000000"/>
          <w:sz w:val="28"/>
          <w:szCs w:val="28"/>
          <w:highlight w:val="none"/>
          <w:u w:val="single"/>
        </w:rPr>
        <w:t xml:space="preserve"> </w:t>
      </w:r>
      <w:r>
        <w:rPr>
          <w:rFonts w:hint="eastAsia" w:ascii="宋体" w:hAnsi="宋体" w:cs="宋体"/>
          <w:b/>
          <w:color w:val="000000"/>
          <w:sz w:val="28"/>
          <w:szCs w:val="28"/>
          <w:highlight w:val="none"/>
          <w:u w:val="single"/>
          <w:lang w:val="en-US" w:eastAsia="zh-CN"/>
        </w:rPr>
        <w:t>商品混凝土</w:t>
      </w:r>
      <w:r>
        <w:rPr>
          <w:rFonts w:hint="eastAsia" w:ascii="仿宋_GB2312" w:eastAsia="仿宋_GB2312" w:cs="宋体" w:hAnsiTheme="minorEastAsia"/>
          <w:b/>
          <w:bCs/>
          <w:sz w:val="21"/>
          <w:szCs w:val="21"/>
          <w:highlight w:val="none"/>
          <w:u w:val="single"/>
          <w:lang w:val="en-US" w:eastAsia="zh-CN"/>
        </w:rPr>
        <w:t>、</w:t>
      </w:r>
      <w:r>
        <w:rPr>
          <w:rFonts w:hint="eastAsia" w:ascii="宋体" w:hAnsi="宋体" w:cs="宋体"/>
          <w:b/>
          <w:color w:val="000000"/>
          <w:sz w:val="28"/>
          <w:szCs w:val="28"/>
          <w:highlight w:val="none"/>
          <w:u w:val="single"/>
          <w:lang w:val="en-US" w:eastAsia="zh-CN"/>
        </w:rPr>
        <w:t xml:space="preserve">井首装置、水泵及配件 </w:t>
      </w:r>
      <w:r>
        <w:rPr>
          <w:rFonts w:hint="eastAsia" w:ascii="宋体" w:hAnsi="宋体" w:cs="宋体"/>
          <w:b/>
          <w:color w:val="000000"/>
          <w:sz w:val="28"/>
          <w:szCs w:val="28"/>
          <w:highlight w:val="none"/>
          <w:u w:val="single"/>
        </w:rPr>
        <w:t xml:space="preserve"> </w:t>
      </w:r>
      <w:r>
        <w:rPr>
          <w:rFonts w:hint="eastAsia" w:ascii="宋体" w:hAnsi="宋体" w:cs="宋体"/>
          <w:b/>
          <w:color w:val="000000"/>
          <w:sz w:val="28"/>
          <w:szCs w:val="28"/>
          <w:highlight w:val="none"/>
        </w:rPr>
        <w:t>采购项目</w:t>
      </w:r>
    </w:p>
    <w:p>
      <w:pPr>
        <w:widowControl/>
        <w:tabs>
          <w:tab w:val="left" w:pos="1134"/>
        </w:tabs>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w:t>
      </w:r>
    </w:p>
    <w:p>
      <w:pPr>
        <w:widowControl/>
        <w:tabs>
          <w:tab w:val="left" w:pos="1134"/>
        </w:tabs>
        <w:ind w:firstLine="1405" w:firstLineChars="500"/>
        <w:jc w:val="left"/>
        <w:rPr>
          <w:rFonts w:ascii="宋体" w:hAnsi="宋体" w:cs="宋体"/>
          <w:b/>
          <w:color w:val="000000"/>
          <w:sz w:val="28"/>
          <w:szCs w:val="28"/>
          <w:highlight w:val="none"/>
          <w:u w:val="single"/>
        </w:rPr>
      </w:pPr>
      <w:r>
        <w:rPr>
          <w:rFonts w:hint="eastAsia" w:ascii="宋体" w:hAnsi="宋体" w:cs="宋体"/>
          <w:b/>
          <w:color w:val="000000"/>
          <w:sz w:val="28"/>
          <w:szCs w:val="28"/>
          <w:highlight w:val="none"/>
        </w:rPr>
        <w:t>招标编号：</w:t>
      </w:r>
      <w:r>
        <w:rPr>
          <w:rFonts w:hint="eastAsia" w:ascii="宋体" w:hAnsi="宋体" w:cs="宋体"/>
          <w:b/>
          <w:color w:val="000000"/>
          <w:sz w:val="28"/>
          <w:szCs w:val="28"/>
          <w:highlight w:val="none"/>
          <w:u w:val="single"/>
        </w:rPr>
        <w:t xml:space="preserve">   </w:t>
      </w:r>
      <w:r>
        <w:rPr>
          <w:rFonts w:hint="eastAsia" w:ascii="宋体" w:hAnsi="宋体" w:cs="宋体"/>
          <w:b/>
          <w:color w:val="000000"/>
          <w:sz w:val="28"/>
          <w:szCs w:val="28"/>
          <w:highlight w:val="none"/>
          <w:u w:val="single"/>
          <w:lang w:val="en-US" w:eastAsia="zh-CN"/>
        </w:rPr>
        <w:t>YHGS-FGZB-晋州项目-2023001</w:t>
      </w:r>
      <w:r>
        <w:rPr>
          <w:rFonts w:hint="eastAsia" w:ascii="宋体" w:hAnsi="宋体" w:cs="宋体"/>
          <w:b/>
          <w:color w:val="000000"/>
          <w:sz w:val="28"/>
          <w:szCs w:val="28"/>
          <w:highlight w:val="none"/>
          <w:u w:val="single"/>
        </w:rPr>
        <w:t xml:space="preserve">     </w:t>
      </w:r>
    </w:p>
    <w:p>
      <w:pPr>
        <w:widowControl/>
        <w:ind w:left="3840" w:leftChars="1114" w:hanging="1166" w:hangingChars="387"/>
        <w:rPr>
          <w:rFonts w:ascii="宋体" w:hAnsi="宋体" w:cs="宋体"/>
          <w:b/>
          <w:color w:val="000000"/>
          <w:sz w:val="30"/>
          <w:szCs w:val="30"/>
          <w:highlight w:val="none"/>
        </w:rPr>
      </w:pPr>
    </w:p>
    <w:p>
      <w:pPr>
        <w:widowControl/>
        <w:ind w:left="4067" w:leftChars="1114" w:hanging="1393" w:hangingChars="387"/>
        <w:rPr>
          <w:rFonts w:ascii="宋体" w:hAnsi="宋体" w:cs="宋体"/>
          <w:color w:val="000000"/>
          <w:sz w:val="36"/>
          <w:szCs w:val="36"/>
          <w:highlight w:val="none"/>
        </w:rPr>
      </w:pPr>
    </w:p>
    <w:p>
      <w:pPr>
        <w:pStyle w:val="33"/>
        <w:ind w:left="480"/>
        <w:rPr>
          <w:highlight w:val="none"/>
        </w:rPr>
      </w:pPr>
    </w:p>
    <w:p>
      <w:pPr>
        <w:widowControl/>
        <w:ind w:left="4067" w:leftChars="1114" w:hanging="1393" w:hangingChars="387"/>
        <w:jc w:val="center"/>
        <w:rPr>
          <w:rFonts w:ascii="宋体" w:hAnsi="宋体" w:cs="宋体"/>
          <w:color w:val="000000"/>
          <w:sz w:val="36"/>
          <w:szCs w:val="36"/>
          <w:highlight w:val="none"/>
        </w:rPr>
      </w:pPr>
    </w:p>
    <w:p>
      <w:pPr>
        <w:widowControl/>
        <w:ind w:left="4067" w:leftChars="1114" w:hanging="1393" w:hangingChars="387"/>
        <w:jc w:val="center"/>
        <w:rPr>
          <w:rFonts w:ascii="宋体" w:hAnsi="宋体" w:cs="宋体"/>
          <w:color w:val="000000"/>
          <w:sz w:val="36"/>
          <w:szCs w:val="36"/>
          <w:highlight w:val="none"/>
        </w:rPr>
      </w:pPr>
    </w:p>
    <w:p>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投标物资名称：</w:t>
      </w:r>
      <w:r>
        <w:rPr>
          <w:rFonts w:hint="eastAsia" w:ascii="宋体" w:hAnsi="宋体" w:cs="宋体"/>
          <w:b/>
          <w:color w:val="000000"/>
          <w:highlight w:val="none"/>
          <w:u w:val="single"/>
        </w:rPr>
        <w:t xml:space="preserve"> </w:t>
      </w:r>
      <w:r>
        <w:rPr>
          <w:rFonts w:hint="eastAsia" w:ascii="宋体" w:hAnsi="宋体" w:cs="宋体"/>
          <w:b/>
          <w:color w:val="000000"/>
          <w:highlight w:val="none"/>
          <w:u w:val="single"/>
          <w:lang w:val="en-US" w:eastAsia="zh-CN"/>
        </w:rPr>
        <w:t xml:space="preserve"> </w:t>
      </w:r>
      <w:r>
        <w:rPr>
          <w:rFonts w:hint="eastAsia" w:ascii="宋体" w:hAnsi="宋体" w:cs="宋体"/>
          <w:b/>
          <w:color w:val="000000"/>
          <w:highlight w:val="none"/>
          <w:u w:val="single"/>
        </w:rPr>
        <w:t xml:space="preserve"> </w:t>
      </w:r>
      <w:r>
        <w:rPr>
          <w:rFonts w:hint="eastAsia" w:ascii="宋体" w:hAnsi="宋体" w:cs="宋体"/>
          <w:b/>
          <w:color w:val="000000"/>
          <w:highlight w:val="none"/>
          <w:u w:val="single"/>
          <w:lang w:val="en-US" w:eastAsia="zh-CN"/>
        </w:rPr>
        <w:t xml:space="preserve">                         </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p>
    <w:p>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投标单位：（公章）</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lang w:val="en-US" w:eastAsia="zh-CN"/>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投标联系人：</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联系电话：</w:t>
      </w:r>
      <w:r>
        <w:rPr>
          <w:rFonts w:hint="eastAsia" w:ascii="宋体" w:hAnsi="宋体" w:cs="宋体"/>
          <w:b/>
          <w:color w:val="000000"/>
          <w:highlight w:val="none"/>
          <w:u w:val="single"/>
        </w:rPr>
        <w:t xml:space="preserve">                                    </w:t>
      </w:r>
    </w:p>
    <w:p>
      <w:pPr>
        <w:widowControl/>
        <w:spacing w:line="480" w:lineRule="auto"/>
        <w:ind w:left="3426" w:leftChars="565" w:hanging="2070" w:hangingChars="859"/>
        <w:jc w:val="left"/>
        <w:rPr>
          <w:rFonts w:ascii="宋体" w:hAnsi="宋体" w:cs="宋体"/>
          <w:b/>
          <w:color w:val="000000"/>
          <w:sz w:val="36"/>
          <w:szCs w:val="36"/>
          <w:highlight w:val="none"/>
          <w:u w:val="single"/>
        </w:rPr>
      </w:pPr>
      <w:r>
        <w:rPr>
          <w:rFonts w:hint="eastAsia" w:ascii="宋体" w:hAnsi="宋体" w:cs="宋体"/>
          <w:b/>
          <w:color w:val="000000"/>
          <w:highlight w:val="none"/>
        </w:rPr>
        <w:t>投标日期：</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pPr>
        <w:spacing w:line="400" w:lineRule="exact"/>
        <w:jc w:val="center"/>
        <w:outlineLvl w:val="0"/>
        <w:rPr>
          <w:rFonts w:ascii="仿宋_GB2312" w:eastAsia="仿宋_GB2312" w:hAnsiTheme="majorEastAsia"/>
          <w:b/>
          <w:bCs/>
          <w:sz w:val="36"/>
          <w:szCs w:val="36"/>
          <w:highlight w:val="none"/>
        </w:rPr>
      </w:pPr>
    </w:p>
    <w:p>
      <w:pPr>
        <w:spacing w:line="400" w:lineRule="exact"/>
        <w:jc w:val="center"/>
        <w:outlineLvl w:val="0"/>
        <w:rPr>
          <w:rFonts w:ascii="仿宋_GB2312" w:eastAsia="仿宋_GB2312" w:hAnsiTheme="majorEastAsia"/>
          <w:b/>
          <w:bCs/>
          <w:sz w:val="36"/>
          <w:szCs w:val="36"/>
          <w:highlight w:val="none"/>
        </w:rPr>
      </w:pPr>
    </w:p>
    <w:p>
      <w:pPr>
        <w:spacing w:line="400" w:lineRule="exact"/>
        <w:jc w:val="center"/>
        <w:outlineLvl w:val="0"/>
        <w:rPr>
          <w:rFonts w:ascii="仿宋_GB2312" w:eastAsia="仿宋_GB2312" w:hAnsiTheme="majorEastAsia"/>
          <w:b/>
          <w:bCs/>
          <w:sz w:val="36"/>
          <w:szCs w:val="36"/>
          <w:highlight w:val="none"/>
        </w:rPr>
      </w:pPr>
    </w:p>
    <w:p>
      <w:pPr>
        <w:widowControl/>
        <w:jc w:val="left"/>
        <w:rPr>
          <w:rFonts w:ascii="仿宋_GB2312" w:eastAsia="仿宋_GB2312" w:cs="宋体" w:hAnsiTheme="minorEastAsia"/>
          <w:b/>
          <w:w w:val="90"/>
          <w:highlight w:val="none"/>
        </w:rPr>
      </w:pPr>
      <w:r>
        <w:rPr>
          <w:rFonts w:ascii="仿宋_GB2312" w:eastAsia="仿宋_GB2312" w:cs="宋体" w:hAnsiTheme="minorEastAsia"/>
          <w:b/>
          <w:w w:val="90"/>
          <w:highlight w:val="none"/>
        </w:rPr>
        <w:br w:type="page"/>
      </w:r>
    </w:p>
    <w:p>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1</w:t>
      </w:r>
      <w:r>
        <w:rPr>
          <w:rFonts w:ascii="仿宋_GB2312" w:eastAsia="仿宋_GB2312" w:cs="宋体" w:hAnsiTheme="minorEastAsia"/>
          <w:b/>
          <w:w w:val="90"/>
          <w:highlight w:val="none"/>
        </w:rPr>
        <w:t>.</w:t>
      </w:r>
    </w:p>
    <w:p>
      <w:pPr>
        <w:spacing w:line="400" w:lineRule="exact"/>
        <w:jc w:val="center"/>
        <w:rPr>
          <w:rFonts w:ascii="仿宋_GB2312" w:eastAsia="仿宋_GB2312" w:cs="宋体" w:hAnsiTheme="minorEastAsia"/>
          <w:sz w:val="28"/>
          <w:szCs w:val="28"/>
          <w:highlight w:val="none"/>
        </w:rPr>
      </w:pPr>
      <w:r>
        <w:rPr>
          <w:rFonts w:hint="eastAsia" w:ascii="仿宋_GB2312" w:eastAsia="仿宋_GB2312" w:cs="宋体" w:hAnsiTheme="minorEastAsia"/>
          <w:b/>
          <w:sz w:val="28"/>
          <w:szCs w:val="28"/>
          <w:highlight w:val="none"/>
        </w:rPr>
        <w:t>投标书</w:t>
      </w:r>
    </w:p>
    <w:p>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bCs/>
          <w:sz w:val="21"/>
          <w:szCs w:val="21"/>
          <w:highlight w:val="none"/>
        </w:rPr>
        <w:t>致：</w:t>
      </w:r>
      <w:r>
        <w:rPr>
          <w:rFonts w:hint="eastAsia" w:ascii="仿宋_GB2312" w:eastAsia="仿宋_GB2312" w:cs="宋体" w:hAnsiTheme="minorEastAsia"/>
          <w:sz w:val="21"/>
          <w:szCs w:val="21"/>
          <w:highlight w:val="none"/>
          <w:u w:val="single"/>
        </w:rPr>
        <w:t>中建路桥集团</w:t>
      </w:r>
      <w:r>
        <w:rPr>
          <w:rFonts w:hint="eastAsia" w:ascii="仿宋_GB2312" w:eastAsia="仿宋_GB2312" w:cs="宋体" w:hAnsiTheme="minorEastAsia"/>
          <w:sz w:val="21"/>
          <w:szCs w:val="21"/>
          <w:highlight w:val="none"/>
          <w:u w:val="single"/>
          <w:lang w:val="en-US" w:eastAsia="zh-CN"/>
        </w:rPr>
        <w:t>高速公路养护</w:t>
      </w:r>
      <w:r>
        <w:rPr>
          <w:rFonts w:hint="eastAsia" w:ascii="仿宋_GB2312" w:eastAsia="仿宋_GB2312" w:cs="宋体" w:hAnsiTheme="minorEastAsia"/>
          <w:sz w:val="21"/>
          <w:szCs w:val="21"/>
          <w:highlight w:val="none"/>
          <w:u w:val="single"/>
        </w:rPr>
        <w:t>有限公司</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根据已收到的该工程招标文件及所有相关资料，经研究我公司愿承担贵公司所需</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的供应。具体投标内容如下：</w:t>
      </w:r>
    </w:p>
    <w:p>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1.对本招标文件的确认和意见</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1.1 是否确认本招标文件投标须知：      （   ）是   （   ）否</w:t>
      </w:r>
    </w:p>
    <w:p>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2.工期</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完全满足贵公司根据工程进度提出的供应计划要求，按照要求的规格型号、供应进度保质保量供应所需材料，并承诺对供货迟延造成的工程损失承担全部责任。</w:t>
      </w:r>
    </w:p>
    <w:p>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3.报价：附后</w:t>
      </w:r>
    </w:p>
    <w:p>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4.质量</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质量达到贵公司招标文件要求的标准，满足投标须知中所列的相应条件，并承诺对产品质量出现问题造成的工程损失承担全部责任。</w:t>
      </w:r>
    </w:p>
    <w:p>
      <w:pPr>
        <w:spacing w:line="400" w:lineRule="exact"/>
        <w:ind w:firstLine="420" w:firstLineChars="2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进一步的质量承诺：</w:t>
      </w:r>
      <w:r>
        <w:rPr>
          <w:rFonts w:hint="eastAsia" w:ascii="仿宋_GB2312" w:eastAsia="仿宋_GB2312" w:cs="宋体" w:hAnsiTheme="minorEastAsia"/>
          <w:sz w:val="21"/>
          <w:szCs w:val="21"/>
          <w:highlight w:val="none"/>
          <w:u w:val="single"/>
        </w:rPr>
        <w:t xml:space="preserve">                                              </w:t>
      </w:r>
    </w:p>
    <w:p>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5.交货</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满足投标须知中所列的相应条件。</w:t>
      </w:r>
    </w:p>
    <w:p>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6.服务</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本着用户第一、服务至上的原则，投标人保证提供全面的服务。</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6.1遵守贵公司及项目关于环保、安全等方面的ISO9001、ISO14001、OHSMS18000认证有关标准之要求。</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6.2物资按要求保质保量及时送达现场，并卸至贵司指定的位置。</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6.3物资卸货严格符合项目要求，存放到相应位置。</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6.4出现问题及时解决。</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6.4.1我司及时委派质检专业人员协同项目查明原因。</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6.4.2质量原因将按照以下程序解决：</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6.4.2.1及时将不合格物资退出场外；</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6.4.2.2若贵司同意，我司将在不合格物资退厂的同时提供新的物资；</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6.4.2.3若由于不合格物资原因造成的检测费用、工程工期延迟、工程损失及其它总包方损失等问题，投标人将承担相应的经济赔偿。</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6.5竭力满足贵司及项目提出的有关工期及材料的其他要求。</w:t>
      </w:r>
    </w:p>
    <w:p>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7.保障</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7.1投标人将保证严格按照贵司根据工程材料需用计划提出的要求，按时完成物资的供应工作。</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7.2若投标人在执行合同期间没有供货合同中所要求的</w:t>
      </w:r>
      <w:r>
        <w:rPr>
          <w:rFonts w:hint="eastAsia" w:ascii="仿宋_GB2312" w:eastAsia="仿宋_GB2312" w:cs="宋体" w:hAnsiTheme="minorEastAsia"/>
          <w:sz w:val="21"/>
          <w:szCs w:val="21"/>
          <w:highlight w:val="none"/>
          <w:lang w:val="en-US" w:eastAsia="zh-CN"/>
        </w:rPr>
        <w:t>水泥稳定碎石、沥青混凝土</w:t>
      </w:r>
      <w:r>
        <w:rPr>
          <w:rFonts w:hint="eastAsia" w:ascii="仿宋_GB2312" w:eastAsia="仿宋_GB2312" w:cs="宋体" w:hAnsiTheme="minorEastAsia"/>
          <w:sz w:val="21"/>
          <w:szCs w:val="21"/>
          <w:highlight w:val="none"/>
        </w:rPr>
        <w:t>，投标人将在市场上进行采购以保障贵司工程工期，由此可能造成的经济损失由投标人自行承担。</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7.3未按时供货，可由贵司自行采购，投标人将承担因此增加的一切费用，并承担由此造成的损失。</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7.4投标人认可贵司的材料需用可能与中标时所签合同确定的数量不同，投标人认可此种数量调整，并确保不会因此种调整而影响供货时间和质量及服务水平，也不会因此提出索赔。</w:t>
      </w:r>
    </w:p>
    <w:p>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8.结算方式</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仿宋" w:hAnsi="仿宋" w:eastAsia="仿宋" w:cs="仿宋"/>
          <w:sz w:val="21"/>
          <w:szCs w:val="21"/>
          <w:highlight w:val="none"/>
        </w:rPr>
        <w:t>投标人愿意接受贵司采用银行电汇支付形式作为结算方式。</w:t>
      </w:r>
    </w:p>
    <w:p>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sz w:val="21"/>
          <w:szCs w:val="21"/>
          <w:highlight w:val="none"/>
        </w:rPr>
        <w:t>9投标书附件</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9.1详细的报价清单</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9.2其他需要说明的事项</w:t>
      </w:r>
    </w:p>
    <w:p>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10.附注</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10.1本投标书一旦被招标人接纳即成为正式有效的合同文件，且本投标书连同投标人的书面接纳文件将成为约束双方的、具有法律效力的文件。</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10.2我公司同意在递交了投标文件后，将与贵公司进一步对所投的全部内容与贵公司协商与调整（如贵公司要求），并愿意按协商与调整后的结果修改原报价内容。</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ab/>
      </w:r>
    </w:p>
    <w:p>
      <w:pPr>
        <w:spacing w:line="360" w:lineRule="auto"/>
        <w:ind w:firstLine="5111" w:firstLineChars="2434"/>
        <w:rPr>
          <w:rFonts w:ascii="仿宋_GB2312" w:eastAsia="仿宋_GB2312" w:cs="宋体" w:hAnsiTheme="minorEastAsia"/>
          <w:sz w:val="21"/>
          <w:szCs w:val="21"/>
          <w:highlight w:val="none"/>
        </w:rPr>
      </w:pPr>
    </w:p>
    <w:p>
      <w:pPr>
        <w:spacing w:line="400" w:lineRule="exact"/>
        <w:ind w:firstLine="5111" w:firstLineChars="2434"/>
        <w:rPr>
          <w:rFonts w:ascii="仿宋_GB2312" w:eastAsia="仿宋_GB2312" w:cs="宋体" w:hAnsiTheme="minorEastAsia"/>
          <w:sz w:val="21"/>
          <w:szCs w:val="21"/>
          <w:highlight w:val="none"/>
        </w:rPr>
      </w:pPr>
    </w:p>
    <w:p>
      <w:pPr>
        <w:spacing w:line="400" w:lineRule="exact"/>
        <w:ind w:firstLine="5111" w:firstLineChars="2434"/>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投标人（盖章）：</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w:t>
      </w:r>
    </w:p>
    <w:p>
      <w:pPr>
        <w:spacing w:line="400" w:lineRule="exact"/>
        <w:ind w:firstLine="5145" w:firstLineChars="245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  人  代 表：</w:t>
      </w:r>
      <w:r>
        <w:rPr>
          <w:rFonts w:hint="eastAsia" w:ascii="仿宋_GB2312" w:eastAsia="仿宋_GB2312" w:cs="宋体" w:hAnsiTheme="minorEastAsia"/>
          <w:sz w:val="21"/>
          <w:szCs w:val="21"/>
          <w:highlight w:val="none"/>
          <w:u w:val="single"/>
        </w:rPr>
        <w:t xml:space="preserve">             </w:t>
      </w:r>
    </w:p>
    <w:p>
      <w:pPr>
        <w:spacing w:line="400" w:lineRule="exact"/>
        <w:ind w:firstLine="5040" w:firstLineChars="2400"/>
        <w:rPr>
          <w:rFonts w:ascii="仿宋_GB2312" w:eastAsia="仿宋_GB2312" w:cs="宋体" w:hAnsiTheme="minorEastAsia"/>
          <w:w w:val="90"/>
          <w:sz w:val="21"/>
          <w:szCs w:val="21"/>
          <w:highlight w:val="none"/>
        </w:rPr>
      </w:pPr>
      <w:r>
        <w:rPr>
          <w:rFonts w:hint="eastAsia" w:ascii="仿宋_GB2312" w:eastAsia="仿宋_GB2312" w:cs="宋体" w:hAnsiTheme="minorEastAsia"/>
          <w:sz w:val="21"/>
          <w:szCs w:val="21"/>
          <w:highlight w:val="none"/>
        </w:rPr>
        <w:t xml:space="preserve">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日</w:t>
      </w:r>
    </w:p>
    <w:p>
      <w:pPr>
        <w:jc w:val="left"/>
        <w:rPr>
          <w:rFonts w:ascii="仿宋_GB2312" w:eastAsia="仿宋_GB2312" w:cs="宋体" w:hAnsiTheme="minorEastAsia"/>
          <w:szCs w:val="21"/>
          <w:highlight w:val="none"/>
        </w:rPr>
      </w:pPr>
    </w:p>
    <w:p>
      <w:pPr>
        <w:jc w:val="left"/>
        <w:rPr>
          <w:rFonts w:ascii="仿宋_GB2312" w:eastAsia="仿宋_GB2312" w:cs="宋体" w:hAnsiTheme="minorEastAsia"/>
          <w:b/>
          <w:w w:val="90"/>
          <w:sz w:val="32"/>
          <w:szCs w:val="32"/>
          <w:highlight w:val="none"/>
        </w:rPr>
      </w:pPr>
    </w:p>
    <w:p>
      <w:pPr>
        <w:jc w:val="left"/>
        <w:rPr>
          <w:rFonts w:ascii="仿宋_GB2312" w:eastAsia="仿宋_GB2312" w:cs="宋体" w:hAnsiTheme="minorEastAsia"/>
          <w:b/>
          <w:w w:val="90"/>
          <w:sz w:val="32"/>
          <w:szCs w:val="32"/>
          <w:highlight w:val="none"/>
        </w:rPr>
      </w:pPr>
    </w:p>
    <w:p>
      <w:pPr>
        <w:jc w:val="left"/>
        <w:rPr>
          <w:rFonts w:ascii="仿宋_GB2312" w:eastAsia="仿宋_GB2312" w:cs="宋体" w:hAnsiTheme="minorEastAsia"/>
          <w:b/>
          <w:w w:val="90"/>
          <w:sz w:val="32"/>
          <w:szCs w:val="32"/>
          <w:highlight w:val="none"/>
        </w:rPr>
      </w:pPr>
    </w:p>
    <w:p>
      <w:pPr>
        <w:jc w:val="left"/>
        <w:rPr>
          <w:rFonts w:ascii="仿宋_GB2312" w:eastAsia="仿宋_GB2312" w:cs="宋体" w:hAnsiTheme="minorEastAsia"/>
          <w:b/>
          <w:w w:val="90"/>
          <w:sz w:val="32"/>
          <w:szCs w:val="32"/>
          <w:highlight w:val="none"/>
        </w:rPr>
      </w:pPr>
    </w:p>
    <w:p>
      <w:pPr>
        <w:jc w:val="left"/>
        <w:rPr>
          <w:rFonts w:ascii="仿宋_GB2312" w:eastAsia="仿宋_GB2312" w:cs="宋体" w:hAnsiTheme="minorEastAsia"/>
          <w:b/>
          <w:w w:val="90"/>
          <w:sz w:val="32"/>
          <w:szCs w:val="32"/>
          <w:highlight w:val="none"/>
        </w:rPr>
      </w:pPr>
    </w:p>
    <w:p>
      <w:pPr>
        <w:jc w:val="left"/>
        <w:rPr>
          <w:rFonts w:ascii="仿宋_GB2312" w:eastAsia="仿宋_GB2312" w:cs="宋体" w:hAnsiTheme="minorEastAsia"/>
          <w:b/>
          <w:w w:val="90"/>
          <w:sz w:val="32"/>
          <w:szCs w:val="32"/>
          <w:highlight w:val="none"/>
        </w:rPr>
      </w:pPr>
    </w:p>
    <w:p>
      <w:pPr>
        <w:jc w:val="left"/>
        <w:rPr>
          <w:rFonts w:ascii="仿宋_GB2312" w:eastAsia="仿宋_GB2312" w:cs="宋体" w:hAnsiTheme="minorEastAsia"/>
          <w:b/>
          <w:w w:val="90"/>
          <w:sz w:val="32"/>
          <w:szCs w:val="32"/>
          <w:highlight w:val="none"/>
        </w:rPr>
      </w:pPr>
    </w:p>
    <w:p>
      <w:pPr>
        <w:jc w:val="left"/>
        <w:rPr>
          <w:rFonts w:ascii="仿宋_GB2312" w:eastAsia="仿宋_GB2312" w:cs="宋体" w:hAnsiTheme="minorEastAsia"/>
          <w:b/>
          <w:w w:val="90"/>
          <w:sz w:val="32"/>
          <w:szCs w:val="32"/>
          <w:highlight w:val="none"/>
        </w:rPr>
      </w:pPr>
    </w:p>
    <w:p>
      <w:pPr>
        <w:jc w:val="left"/>
        <w:rPr>
          <w:rFonts w:ascii="仿宋_GB2312" w:eastAsia="仿宋_GB2312" w:cs="宋体" w:hAnsiTheme="minorEastAsia"/>
          <w:b/>
          <w:w w:val="90"/>
          <w:sz w:val="32"/>
          <w:szCs w:val="32"/>
          <w:highlight w:val="none"/>
        </w:rPr>
      </w:pPr>
    </w:p>
    <w:p>
      <w:pPr>
        <w:spacing w:line="360" w:lineRule="auto"/>
        <w:jc w:val="left"/>
        <w:rPr>
          <w:rFonts w:ascii="仿宋_GB2312" w:eastAsia="仿宋_GB2312" w:cs="宋体" w:hAnsiTheme="minorEastAsia"/>
          <w:b/>
          <w:color w:val="000000" w:themeColor="text1"/>
          <w:w w:val="90"/>
          <w:highlight w:val="none"/>
        </w:rPr>
      </w:pPr>
    </w:p>
    <w:p>
      <w:pPr>
        <w:widowControl/>
        <w:jc w:val="left"/>
        <w:rPr>
          <w:rFonts w:ascii="仿宋_GB2312" w:eastAsia="仿宋_GB2312" w:cs="宋体" w:hAnsiTheme="minorEastAsia"/>
          <w:b/>
          <w:color w:val="000000" w:themeColor="text1"/>
          <w:w w:val="90"/>
          <w:highlight w:val="none"/>
        </w:rPr>
      </w:pPr>
      <w:r>
        <w:rPr>
          <w:rFonts w:ascii="仿宋_GB2312" w:eastAsia="仿宋_GB2312" w:cs="宋体" w:hAnsiTheme="minorEastAsia"/>
          <w:b/>
          <w:color w:val="000000" w:themeColor="text1"/>
          <w:w w:val="90"/>
          <w:highlight w:val="none"/>
        </w:rPr>
        <w:br w:type="page"/>
      </w:r>
      <w:r>
        <w:rPr>
          <w:rFonts w:hint="eastAsia" w:ascii="仿宋_GB2312" w:eastAsia="仿宋_GB2312" w:cs="宋体" w:hAnsiTheme="minorEastAsia"/>
          <w:b/>
          <w:color w:val="000000" w:themeColor="text1"/>
          <w:w w:val="90"/>
          <w:highlight w:val="none"/>
        </w:rPr>
        <w:t>2</w:t>
      </w:r>
      <w:r>
        <w:rPr>
          <w:rFonts w:ascii="仿宋_GB2312" w:eastAsia="仿宋_GB2312" w:cs="宋体" w:hAnsiTheme="minorEastAsia"/>
          <w:b/>
          <w:color w:val="000000" w:themeColor="text1"/>
          <w:w w:val="90"/>
          <w:highlight w:val="none"/>
        </w:rPr>
        <w:t>.</w:t>
      </w:r>
    </w:p>
    <w:p>
      <w:pPr>
        <w:spacing w:line="360" w:lineRule="auto"/>
        <w:jc w:val="center"/>
        <w:rPr>
          <w:rFonts w:ascii="仿宋_GB2312" w:eastAsia="仿宋_GB2312" w:cs="宋体" w:hAnsiTheme="minorEastAsia"/>
          <w:w w:val="90"/>
          <w:sz w:val="21"/>
          <w:szCs w:val="21"/>
          <w:highlight w:val="none"/>
        </w:rPr>
      </w:pPr>
      <w:r>
        <w:rPr>
          <w:rFonts w:hint="eastAsia" w:ascii="仿宋_GB2312" w:eastAsia="仿宋_GB2312" w:cs="宋体" w:hAnsiTheme="minorEastAsia"/>
          <w:b/>
          <w:color w:val="000000" w:themeColor="text1"/>
          <w:w w:val="90"/>
          <w:sz w:val="28"/>
          <w:szCs w:val="28"/>
          <w:highlight w:val="none"/>
        </w:rPr>
        <w:t>报价清单</w:t>
      </w:r>
      <w:bookmarkStart w:id="64" w:name="_Toc53948739"/>
      <w:bookmarkStart w:id="65" w:name="_Toc54281622"/>
      <w:bookmarkStart w:id="66" w:name="_Toc54280770"/>
      <w:bookmarkStart w:id="67" w:name="_Toc53949581"/>
      <w:bookmarkStart w:id="68" w:name="_Toc54280344"/>
      <w:bookmarkStart w:id="69" w:name="_Toc53949160"/>
      <w:bookmarkStart w:id="70" w:name="_Toc54278961"/>
      <w:bookmarkStart w:id="71" w:name="_Toc54281196"/>
      <w:bookmarkStart w:id="72" w:name="_Toc54291526"/>
    </w:p>
    <w:p>
      <w:pPr>
        <w:spacing w:line="400" w:lineRule="exact"/>
        <w:jc w:val="center"/>
        <w:rPr>
          <w:rFonts w:ascii="仿宋_GB2312" w:eastAsia="仿宋_GB2312" w:cs="宋体" w:hAnsiTheme="minorEastAsia"/>
          <w:w w:val="90"/>
          <w:sz w:val="21"/>
          <w:szCs w:val="21"/>
          <w:highlight w:val="none"/>
        </w:rPr>
      </w:pPr>
      <w:r>
        <w:rPr>
          <w:rFonts w:hint="eastAsia" w:ascii="仿宋_GB2312" w:eastAsia="仿宋_GB2312" w:cs="宋体" w:hAnsiTheme="minorEastAsia"/>
          <w:b/>
          <w:color w:val="000000" w:themeColor="text1"/>
          <w:sz w:val="21"/>
          <w:szCs w:val="21"/>
          <w:highlight w:val="none"/>
        </w:rPr>
        <w:t>固定价格报价单</w:t>
      </w:r>
    </w:p>
    <w:tbl>
      <w:tblPr>
        <w:tblStyle w:val="34"/>
        <w:tblW w:w="98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836"/>
        <w:gridCol w:w="701"/>
        <w:gridCol w:w="1015"/>
        <w:gridCol w:w="850"/>
        <w:gridCol w:w="1559"/>
        <w:gridCol w:w="709"/>
        <w:gridCol w:w="992"/>
        <w:gridCol w:w="1190"/>
        <w:gridCol w:w="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1084" w:type="dxa"/>
            <w:vMerge w:val="restart"/>
            <w:tcBorders>
              <w:top w:val="single" w:color="auto" w:sz="4" w:space="0"/>
              <w:left w:val="single" w:color="auto" w:sz="4" w:space="0"/>
              <w:bottom w:val="single" w:color="auto" w:sz="4" w:space="0"/>
              <w:right w:val="single" w:color="auto" w:sz="4" w:space="0"/>
            </w:tcBorders>
            <w:vAlign w:val="center"/>
          </w:tcPr>
          <w:p>
            <w:pPr>
              <w:tabs>
                <w:tab w:val="left" w:pos="2857"/>
              </w:tabs>
              <w:spacing w:line="400" w:lineRule="exact"/>
              <w:jc w:val="center"/>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物资名称</w:t>
            </w:r>
          </w:p>
        </w:tc>
        <w:tc>
          <w:tcPr>
            <w:tcW w:w="836" w:type="dxa"/>
            <w:vMerge w:val="restart"/>
            <w:tcBorders>
              <w:top w:val="single" w:color="auto" w:sz="4" w:space="0"/>
              <w:left w:val="single" w:color="auto" w:sz="4" w:space="0"/>
              <w:bottom w:val="single" w:color="auto" w:sz="4" w:space="0"/>
              <w:right w:val="single" w:color="auto" w:sz="4" w:space="0"/>
            </w:tcBorders>
            <w:vAlign w:val="center"/>
          </w:tcPr>
          <w:p>
            <w:pPr>
              <w:tabs>
                <w:tab w:val="left" w:pos="2857"/>
              </w:tabs>
              <w:spacing w:line="400" w:lineRule="exact"/>
              <w:jc w:val="center"/>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型号</w:t>
            </w:r>
          </w:p>
        </w:tc>
        <w:tc>
          <w:tcPr>
            <w:tcW w:w="701" w:type="dxa"/>
            <w:vMerge w:val="restart"/>
            <w:tcBorders>
              <w:top w:val="single" w:color="auto" w:sz="4" w:space="0"/>
              <w:left w:val="single" w:color="auto" w:sz="4" w:space="0"/>
              <w:bottom w:val="single" w:color="auto" w:sz="4" w:space="0"/>
              <w:right w:val="single" w:color="auto" w:sz="4" w:space="0"/>
            </w:tcBorders>
            <w:vAlign w:val="center"/>
          </w:tcPr>
          <w:p>
            <w:pPr>
              <w:tabs>
                <w:tab w:val="left" w:pos="2857"/>
              </w:tabs>
              <w:spacing w:line="400" w:lineRule="exact"/>
              <w:jc w:val="center"/>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规格</w:t>
            </w:r>
          </w:p>
        </w:tc>
        <w:tc>
          <w:tcPr>
            <w:tcW w:w="1015" w:type="dxa"/>
            <w:vMerge w:val="restart"/>
            <w:tcBorders>
              <w:top w:val="single" w:color="auto" w:sz="4" w:space="0"/>
              <w:left w:val="single" w:color="auto" w:sz="4" w:space="0"/>
              <w:bottom w:val="single" w:color="auto" w:sz="4" w:space="0"/>
              <w:right w:val="single" w:color="auto" w:sz="4" w:space="0"/>
            </w:tcBorders>
            <w:vAlign w:val="center"/>
          </w:tcPr>
          <w:p>
            <w:pPr>
              <w:tabs>
                <w:tab w:val="left" w:pos="2857"/>
              </w:tabs>
              <w:spacing w:line="400" w:lineRule="exact"/>
              <w:jc w:val="center"/>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单位</w:t>
            </w:r>
          </w:p>
        </w:tc>
        <w:tc>
          <w:tcPr>
            <w:tcW w:w="850" w:type="dxa"/>
            <w:vMerge w:val="restart"/>
            <w:tcBorders>
              <w:top w:val="single" w:color="auto" w:sz="4" w:space="0"/>
              <w:left w:val="single" w:color="auto" w:sz="4" w:space="0"/>
              <w:right w:val="single" w:color="auto" w:sz="4" w:space="0"/>
            </w:tcBorders>
            <w:vAlign w:val="center"/>
          </w:tcPr>
          <w:p>
            <w:pPr>
              <w:tabs>
                <w:tab w:val="left" w:pos="2857"/>
              </w:tabs>
              <w:spacing w:line="400" w:lineRule="exact"/>
              <w:jc w:val="center"/>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数量</w:t>
            </w:r>
          </w:p>
        </w:tc>
        <w:tc>
          <w:tcPr>
            <w:tcW w:w="4450" w:type="dxa"/>
            <w:gridSpan w:val="4"/>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综合单价</w:t>
            </w:r>
            <w:r>
              <w:rPr>
                <w:rFonts w:hint="eastAsia" w:cs="宋体" w:asciiTheme="minorEastAsia" w:hAnsiTheme="minorEastAsia"/>
                <w:color w:val="000000"/>
                <w:sz w:val="21"/>
                <w:szCs w:val="21"/>
                <w:highlight w:val="none"/>
              </w:rPr>
              <w:t>（ / ）</w:t>
            </w:r>
          </w:p>
        </w:tc>
        <w:tc>
          <w:tcPr>
            <w:tcW w:w="883" w:type="dxa"/>
            <w:vMerge w:val="restart"/>
            <w:tcBorders>
              <w:top w:val="single" w:color="auto" w:sz="4" w:space="0"/>
              <w:left w:val="single" w:color="auto" w:sz="4" w:space="0"/>
              <w:bottom w:val="single" w:color="auto" w:sz="4" w:space="0"/>
              <w:right w:val="single" w:color="auto" w:sz="4" w:space="0"/>
            </w:tcBorders>
            <w:vAlign w:val="center"/>
          </w:tcPr>
          <w:p>
            <w:pPr>
              <w:tabs>
                <w:tab w:val="left" w:pos="2857"/>
              </w:tabs>
              <w:spacing w:line="400" w:lineRule="exact"/>
              <w:jc w:val="center"/>
              <w:rPr>
                <w:rFonts w:ascii="宋体" w:hAnsi="宋体" w:eastAsia="宋体" w:cs="宋体"/>
                <w:color w:val="000000"/>
                <w:sz w:val="21"/>
                <w:szCs w:val="21"/>
                <w:highlight w:val="none"/>
              </w:rPr>
            </w:pPr>
            <w:r>
              <w:rPr>
                <w:rFonts w:hint="eastAsia" w:ascii="仿宋_GB2312" w:eastAsia="仿宋_GB2312" w:cs="宋体" w:hAnsiTheme="minorEastAsia"/>
                <w:color w:val="000000"/>
                <w:sz w:val="21"/>
                <w:szCs w:val="21"/>
                <w:highlight w:val="none"/>
              </w:rPr>
              <w:t>合计</w:t>
            </w:r>
          </w:p>
          <w:p>
            <w:pPr>
              <w:tabs>
                <w:tab w:val="left" w:pos="2857"/>
              </w:tabs>
              <w:spacing w:line="400" w:lineRule="exact"/>
              <w:jc w:val="center"/>
              <w:rPr>
                <w:rFonts w:ascii="仿宋_GB2312" w:eastAsia="仿宋_GB2312" w:cs="宋体" w:hAnsiTheme="minorEastAsia"/>
                <w:color w:val="000000"/>
                <w:sz w:val="21"/>
                <w:szCs w:val="21"/>
                <w:highlight w:val="none"/>
              </w:rPr>
            </w:pPr>
            <w:r>
              <w:rPr>
                <w:rFonts w:hint="eastAsia" w:ascii="宋体" w:hAnsi="宋体" w:eastAsia="宋体" w:cs="宋体"/>
                <w:color w:val="000000"/>
                <w:sz w:val="21"/>
                <w:szCs w:val="21"/>
                <w:highlight w:val="none"/>
              </w:rPr>
              <w:t>金额</w:t>
            </w:r>
            <w:r>
              <w:rPr>
                <w:rFonts w:hint="eastAsia" w:ascii="仿宋_GB2312" w:eastAsia="仿宋_GB2312" w:cs="宋体" w:hAnsiTheme="minorEastAsia"/>
                <w:color w:val="000000"/>
                <w:sz w:val="21"/>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10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hAnsiTheme="minorEastAsia"/>
                <w:color w:val="000000"/>
                <w:sz w:val="21"/>
                <w:szCs w:val="21"/>
                <w:highlight w:val="none"/>
              </w:rPr>
            </w:pPr>
          </w:p>
        </w:tc>
        <w:tc>
          <w:tcPr>
            <w:tcW w:w="8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hAnsiTheme="minorEastAsia"/>
                <w:color w:val="000000"/>
                <w:sz w:val="21"/>
                <w:szCs w:val="21"/>
                <w:highlight w:val="none"/>
              </w:rPr>
            </w:pPr>
          </w:p>
        </w:tc>
        <w:tc>
          <w:tcPr>
            <w:tcW w:w="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hAnsiTheme="minorEastAsia"/>
                <w:color w:val="000000"/>
                <w:sz w:val="21"/>
                <w:szCs w:val="21"/>
                <w:highlight w:val="none"/>
              </w:rPr>
            </w:pPr>
          </w:p>
        </w:tc>
        <w:tc>
          <w:tcPr>
            <w:tcW w:w="10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hAnsiTheme="minorEastAsia"/>
                <w:color w:val="000000"/>
                <w:sz w:val="21"/>
                <w:szCs w:val="21"/>
                <w:highlight w:val="none"/>
              </w:rPr>
            </w:pPr>
          </w:p>
        </w:tc>
        <w:tc>
          <w:tcPr>
            <w:tcW w:w="850" w:type="dxa"/>
            <w:vMerge w:val="continue"/>
            <w:tcBorders>
              <w:left w:val="single" w:color="auto" w:sz="4" w:space="0"/>
              <w:bottom w:val="single" w:color="auto" w:sz="4" w:space="0"/>
              <w:right w:val="single" w:color="auto" w:sz="4" w:space="0"/>
            </w:tcBorders>
            <w:vAlign w:val="center"/>
          </w:tcPr>
          <w:p>
            <w:pPr>
              <w:widowControl/>
              <w:jc w:val="left"/>
              <w:rPr>
                <w:rFonts w:ascii="仿宋_GB2312" w:eastAsia="仿宋_GB2312" w:cs="宋体" w:hAnsiTheme="minorEastAsia"/>
                <w:color w:val="000000"/>
                <w:sz w:val="21"/>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单价</w:t>
            </w:r>
            <w:r>
              <w:rPr>
                <w:rFonts w:hint="eastAsia" w:ascii="仿宋_GB2312" w:eastAsia="仿宋_GB2312" w:cs="宋体" w:hAnsiTheme="minorEastAsia"/>
                <w:color w:val="000000"/>
                <w:kern w:val="0"/>
                <w:sz w:val="21"/>
                <w:szCs w:val="21"/>
                <w:highlight w:val="none"/>
              </w:rPr>
              <w:t>（不含税）</w:t>
            </w: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2857"/>
              </w:tabs>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税率</w:t>
            </w: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税额</w:t>
            </w:r>
          </w:p>
        </w:tc>
        <w:tc>
          <w:tcPr>
            <w:tcW w:w="119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价税合计</w:t>
            </w:r>
          </w:p>
        </w:tc>
        <w:tc>
          <w:tcPr>
            <w:tcW w:w="8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hAnsiTheme="minorEastAsia"/>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exact"/>
          <w:jc w:val="center"/>
        </w:trPr>
        <w:tc>
          <w:tcPr>
            <w:tcW w:w="1084"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ascii="仿宋_GB2312" w:eastAsia="仿宋_GB2312" w:cs="宋体" w:hAnsiTheme="minorEastAsia"/>
                <w:color w:val="000000"/>
                <w:sz w:val="21"/>
                <w:szCs w:val="21"/>
                <w:highlight w:val="none"/>
              </w:rPr>
            </w:pPr>
          </w:p>
        </w:tc>
        <w:tc>
          <w:tcPr>
            <w:tcW w:w="836"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ascii="仿宋_GB2312" w:eastAsia="仿宋_GB2312" w:cs="宋体" w:hAnsiTheme="minorEastAsia"/>
                <w:color w:val="000000"/>
                <w:sz w:val="21"/>
                <w:szCs w:val="21"/>
                <w:highlight w:val="none"/>
              </w:rPr>
            </w:pPr>
          </w:p>
        </w:tc>
        <w:tc>
          <w:tcPr>
            <w:tcW w:w="701"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textAlignment w:val="center"/>
              <w:rPr>
                <w:rFonts w:ascii="仿宋_GB2312" w:eastAsia="仿宋_GB2312" w:cs="宋体" w:hAnsiTheme="minorEastAsia"/>
                <w:color w:val="000000"/>
                <w:sz w:val="21"/>
                <w:szCs w:val="21"/>
                <w:highlight w:val="none"/>
              </w:rPr>
            </w:pPr>
          </w:p>
        </w:tc>
        <w:tc>
          <w:tcPr>
            <w:tcW w:w="1015"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ascii="仿宋_GB2312" w:eastAsia="仿宋_GB2312" w:cs="宋体" w:hAnsiTheme="minorEastAsia"/>
                <w:color w:val="000000"/>
                <w:sz w:val="21"/>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highlight w:val="none"/>
              </w:rPr>
            </w:pPr>
          </w:p>
        </w:tc>
        <w:tc>
          <w:tcPr>
            <w:tcW w:w="119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highlight w:val="none"/>
              </w:rPr>
            </w:pPr>
          </w:p>
        </w:tc>
        <w:tc>
          <w:tcPr>
            <w:tcW w:w="883" w:type="dxa"/>
            <w:tcBorders>
              <w:top w:val="single" w:color="auto" w:sz="4" w:space="0"/>
              <w:left w:val="single" w:color="auto" w:sz="4" w:space="0"/>
              <w:bottom w:val="single" w:color="auto" w:sz="4" w:space="0"/>
              <w:right w:val="single" w:color="auto" w:sz="4" w:space="0"/>
            </w:tcBorders>
          </w:tcPr>
          <w:p>
            <w:pPr>
              <w:tabs>
                <w:tab w:val="left" w:pos="2857"/>
              </w:tabs>
              <w:jc w:val="center"/>
              <w:rPr>
                <w:rFonts w:ascii="仿宋_GB2312" w:eastAsia="仿宋_GB2312" w:cs="宋体" w:hAnsiTheme="minorEastAsia"/>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exact"/>
          <w:jc w:val="center"/>
        </w:trPr>
        <w:tc>
          <w:tcPr>
            <w:tcW w:w="1084"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ascii="仿宋_GB2312" w:eastAsia="仿宋_GB2312" w:cs="宋体" w:hAnsiTheme="minorEastAsia"/>
                <w:sz w:val="21"/>
                <w:szCs w:val="21"/>
                <w:highlight w:val="none"/>
              </w:rPr>
            </w:pPr>
          </w:p>
        </w:tc>
        <w:tc>
          <w:tcPr>
            <w:tcW w:w="836"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ascii="仿宋_GB2312" w:eastAsia="仿宋_GB2312" w:cs="宋体" w:hAnsiTheme="minorEastAsia"/>
                <w:sz w:val="21"/>
                <w:szCs w:val="21"/>
                <w:highlight w:val="none"/>
              </w:rPr>
            </w:pPr>
          </w:p>
        </w:tc>
        <w:tc>
          <w:tcPr>
            <w:tcW w:w="701"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textAlignment w:val="center"/>
              <w:rPr>
                <w:rFonts w:ascii="仿宋_GB2312" w:eastAsia="仿宋_GB2312" w:cs="宋体" w:hAnsiTheme="minorEastAsia"/>
                <w:sz w:val="21"/>
                <w:szCs w:val="21"/>
                <w:highlight w:val="none"/>
              </w:rPr>
            </w:pPr>
          </w:p>
        </w:tc>
        <w:tc>
          <w:tcPr>
            <w:tcW w:w="1015"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ascii="仿宋_GB2312" w:eastAsia="仿宋_GB2312" w:cs="宋体" w:hAnsiTheme="minorEastAsia"/>
                <w:color w:val="000000"/>
                <w:sz w:val="21"/>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宋体" w:hAnsiTheme="minorEastAsia"/>
                <w:color w:val="000000"/>
                <w:sz w:val="21"/>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highlight w:val="none"/>
              </w:rPr>
            </w:pPr>
          </w:p>
        </w:tc>
        <w:tc>
          <w:tcPr>
            <w:tcW w:w="119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highlight w:val="none"/>
              </w:rPr>
            </w:pPr>
          </w:p>
        </w:tc>
        <w:tc>
          <w:tcPr>
            <w:tcW w:w="883" w:type="dxa"/>
            <w:tcBorders>
              <w:top w:val="single" w:color="auto" w:sz="4" w:space="0"/>
              <w:left w:val="single" w:color="auto" w:sz="4" w:space="0"/>
              <w:bottom w:val="single" w:color="auto" w:sz="4" w:space="0"/>
              <w:right w:val="single" w:color="auto" w:sz="4" w:space="0"/>
            </w:tcBorders>
          </w:tcPr>
          <w:p>
            <w:pPr>
              <w:tabs>
                <w:tab w:val="left" w:pos="2857"/>
              </w:tabs>
              <w:jc w:val="center"/>
              <w:rPr>
                <w:rFonts w:ascii="仿宋_GB2312" w:eastAsia="仿宋_GB2312" w:cs="宋体" w:hAnsiTheme="minorEastAsia"/>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exact"/>
          <w:jc w:val="center"/>
        </w:trPr>
        <w:tc>
          <w:tcPr>
            <w:tcW w:w="1084"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ascii="仿宋_GB2312" w:eastAsia="仿宋_GB2312" w:cs="宋体" w:hAnsiTheme="minorEastAsia"/>
                <w:sz w:val="21"/>
                <w:szCs w:val="21"/>
                <w:highlight w:val="none"/>
              </w:rPr>
            </w:pPr>
          </w:p>
        </w:tc>
        <w:tc>
          <w:tcPr>
            <w:tcW w:w="836"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ascii="仿宋_GB2312" w:eastAsia="仿宋_GB2312" w:cs="宋体" w:hAnsiTheme="minorEastAsia"/>
                <w:sz w:val="21"/>
                <w:szCs w:val="21"/>
                <w:highlight w:val="none"/>
              </w:rPr>
            </w:pPr>
          </w:p>
        </w:tc>
        <w:tc>
          <w:tcPr>
            <w:tcW w:w="701"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textAlignment w:val="center"/>
              <w:rPr>
                <w:rFonts w:ascii="仿宋_GB2312" w:eastAsia="仿宋_GB2312" w:cs="宋体" w:hAnsiTheme="minorEastAsia"/>
                <w:sz w:val="21"/>
                <w:szCs w:val="21"/>
                <w:highlight w:val="none"/>
              </w:rPr>
            </w:pPr>
          </w:p>
        </w:tc>
        <w:tc>
          <w:tcPr>
            <w:tcW w:w="1015"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ascii="仿宋_GB2312" w:eastAsia="仿宋_GB2312" w:cs="宋体" w:hAnsiTheme="minorEastAsia"/>
                <w:color w:val="000000"/>
                <w:sz w:val="21"/>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宋体" w:hAnsiTheme="minorEastAsia"/>
                <w:color w:val="000000"/>
                <w:sz w:val="21"/>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highlight w:val="none"/>
              </w:rPr>
            </w:pPr>
          </w:p>
        </w:tc>
        <w:tc>
          <w:tcPr>
            <w:tcW w:w="119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highlight w:val="none"/>
              </w:rPr>
            </w:pPr>
          </w:p>
        </w:tc>
        <w:tc>
          <w:tcPr>
            <w:tcW w:w="883" w:type="dxa"/>
            <w:tcBorders>
              <w:top w:val="single" w:color="auto" w:sz="4" w:space="0"/>
              <w:left w:val="single" w:color="auto" w:sz="4" w:space="0"/>
              <w:bottom w:val="single" w:color="auto" w:sz="4" w:space="0"/>
              <w:right w:val="single" w:color="auto" w:sz="4" w:space="0"/>
            </w:tcBorders>
          </w:tcPr>
          <w:p>
            <w:pPr>
              <w:tabs>
                <w:tab w:val="left" w:pos="2857"/>
              </w:tabs>
              <w:jc w:val="center"/>
              <w:rPr>
                <w:rFonts w:ascii="仿宋_GB2312" w:eastAsia="仿宋_GB2312" w:cs="宋体" w:hAnsiTheme="minorEastAsia"/>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621" w:type="dxa"/>
            <w:gridSpan w:val="3"/>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不含税金额合计</w:t>
            </w:r>
          </w:p>
        </w:tc>
        <w:tc>
          <w:tcPr>
            <w:tcW w:w="7198" w:type="dxa"/>
            <w:gridSpan w:val="7"/>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大写：</w:t>
            </w:r>
            <w:r>
              <w:rPr>
                <w:rFonts w:hint="eastAsia" w:ascii="仿宋_GB2312" w:eastAsia="仿宋_GB2312" w:cs="宋体" w:hAnsiTheme="minorEastAsia"/>
                <w:color w:val="000000"/>
                <w:sz w:val="21"/>
                <w:szCs w:val="21"/>
                <w:highlight w:val="none"/>
                <w:u w:val="single"/>
              </w:rPr>
              <w:t xml:space="preserve">            </w:t>
            </w:r>
            <w:r>
              <w:rPr>
                <w:rFonts w:hint="eastAsia" w:ascii="仿宋_GB2312" w:eastAsia="仿宋_GB2312" w:cs="宋体" w:hAnsiTheme="minorEastAsia"/>
                <w:color w:val="000000"/>
                <w:sz w:val="21"/>
                <w:szCs w:val="21"/>
                <w:highlight w:val="none"/>
              </w:rPr>
              <w:t>元整，￥：</w:t>
            </w:r>
            <w:r>
              <w:rPr>
                <w:rFonts w:hint="eastAsia" w:ascii="仿宋_GB2312" w:eastAsia="仿宋_GB2312" w:cs="宋体" w:hAnsiTheme="minorEastAsia"/>
                <w:color w:val="000000"/>
                <w:sz w:val="21"/>
                <w:szCs w:val="21"/>
                <w:highlight w:val="none"/>
                <w:u w:val="single"/>
              </w:rPr>
              <w:t xml:space="preserve">            </w:t>
            </w:r>
            <w:r>
              <w:rPr>
                <w:rFonts w:hint="eastAsia" w:ascii="仿宋_GB2312" w:eastAsia="仿宋_GB2312" w:cs="宋体" w:hAnsiTheme="minorEastAsia"/>
                <w:color w:val="000000"/>
                <w:sz w:val="21"/>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621" w:type="dxa"/>
            <w:gridSpan w:val="3"/>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税额合计</w:t>
            </w:r>
          </w:p>
        </w:tc>
        <w:tc>
          <w:tcPr>
            <w:tcW w:w="7198" w:type="dxa"/>
            <w:gridSpan w:val="7"/>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大写：</w:t>
            </w:r>
            <w:r>
              <w:rPr>
                <w:rFonts w:hint="eastAsia" w:ascii="仿宋_GB2312" w:eastAsia="仿宋_GB2312" w:cs="宋体" w:hAnsiTheme="minorEastAsia"/>
                <w:color w:val="000000"/>
                <w:sz w:val="21"/>
                <w:szCs w:val="21"/>
                <w:highlight w:val="none"/>
                <w:u w:val="single"/>
              </w:rPr>
              <w:t xml:space="preserve">            </w:t>
            </w:r>
            <w:r>
              <w:rPr>
                <w:rFonts w:hint="eastAsia" w:ascii="仿宋_GB2312" w:eastAsia="仿宋_GB2312" w:cs="宋体" w:hAnsiTheme="minorEastAsia"/>
                <w:color w:val="000000"/>
                <w:sz w:val="21"/>
                <w:szCs w:val="21"/>
                <w:highlight w:val="none"/>
              </w:rPr>
              <w:t>元整，￥：</w:t>
            </w:r>
            <w:r>
              <w:rPr>
                <w:rFonts w:hint="eastAsia" w:ascii="仿宋_GB2312" w:eastAsia="仿宋_GB2312" w:cs="宋体" w:hAnsiTheme="minorEastAsia"/>
                <w:color w:val="000000"/>
                <w:sz w:val="21"/>
                <w:szCs w:val="21"/>
                <w:highlight w:val="none"/>
                <w:u w:val="single"/>
              </w:rPr>
              <w:t xml:space="preserve">            </w:t>
            </w:r>
            <w:r>
              <w:rPr>
                <w:rFonts w:hint="eastAsia" w:ascii="仿宋_GB2312" w:eastAsia="仿宋_GB2312" w:cs="宋体" w:hAnsiTheme="minorEastAsia"/>
                <w:color w:val="000000"/>
                <w:sz w:val="21"/>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2621" w:type="dxa"/>
            <w:gridSpan w:val="3"/>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含税金额合计</w:t>
            </w:r>
          </w:p>
        </w:tc>
        <w:tc>
          <w:tcPr>
            <w:tcW w:w="7198" w:type="dxa"/>
            <w:gridSpan w:val="7"/>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大写：</w:t>
            </w:r>
            <w:r>
              <w:rPr>
                <w:rFonts w:hint="eastAsia" w:ascii="仿宋_GB2312" w:eastAsia="仿宋_GB2312" w:cs="宋体" w:hAnsiTheme="minorEastAsia"/>
                <w:color w:val="000000"/>
                <w:sz w:val="21"/>
                <w:szCs w:val="21"/>
                <w:highlight w:val="none"/>
                <w:u w:val="single"/>
              </w:rPr>
              <w:t xml:space="preserve">            </w:t>
            </w:r>
            <w:r>
              <w:rPr>
                <w:rFonts w:hint="eastAsia" w:ascii="仿宋_GB2312" w:eastAsia="仿宋_GB2312" w:cs="宋体" w:hAnsiTheme="minorEastAsia"/>
                <w:color w:val="000000"/>
                <w:sz w:val="21"/>
                <w:szCs w:val="21"/>
                <w:highlight w:val="none"/>
              </w:rPr>
              <w:t xml:space="preserve">元整，￥： </w:t>
            </w:r>
            <w:r>
              <w:rPr>
                <w:rFonts w:hint="eastAsia" w:ascii="仿宋_GB2312" w:eastAsia="仿宋_GB2312" w:cs="宋体" w:hAnsiTheme="minorEastAsia"/>
                <w:color w:val="000000"/>
                <w:sz w:val="21"/>
                <w:szCs w:val="21"/>
                <w:highlight w:val="none"/>
                <w:u w:val="single"/>
              </w:rPr>
              <w:t xml:space="preserve">           </w:t>
            </w:r>
            <w:r>
              <w:rPr>
                <w:rFonts w:hint="eastAsia" w:ascii="仿宋_GB2312" w:eastAsia="仿宋_GB2312" w:cs="宋体" w:hAnsiTheme="minorEastAsia"/>
                <w:color w:val="000000"/>
                <w:sz w:val="21"/>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9819" w:type="dxa"/>
            <w:gridSpan w:val="10"/>
            <w:tcBorders>
              <w:top w:val="single" w:color="auto" w:sz="4" w:space="0"/>
              <w:left w:val="single" w:color="auto" w:sz="4" w:space="0"/>
              <w:bottom w:val="single" w:color="auto" w:sz="4" w:space="0"/>
              <w:right w:val="single" w:color="auto" w:sz="4" w:space="0"/>
            </w:tcBorders>
          </w:tcPr>
          <w:p>
            <w:pPr>
              <w:spacing w:line="400" w:lineRule="exact"/>
              <w:jc w:val="left"/>
              <w:rPr>
                <w:rFonts w:ascii="仿宋_GB2312" w:hAnsi="宋体" w:eastAsia="仿宋_GB2312" w:cs="宋体"/>
                <w:sz w:val="21"/>
                <w:szCs w:val="21"/>
                <w:highlight w:val="none"/>
              </w:rPr>
            </w:pPr>
            <w:r>
              <w:rPr>
                <w:rFonts w:hint="eastAsia" w:ascii="仿宋_GB2312" w:eastAsia="仿宋_GB2312" w:cs="宋体" w:hAnsiTheme="minorEastAsia"/>
                <w:color w:val="000000"/>
                <w:sz w:val="21"/>
                <w:szCs w:val="21"/>
                <w:highlight w:val="none"/>
              </w:rPr>
              <w:t>物资数量为暂定数量。报价单所示综合费用单价为固定单价</w:t>
            </w:r>
            <w:r>
              <w:rPr>
                <w:rFonts w:hint="eastAsia" w:ascii="仿宋_GB2312" w:eastAsia="仿宋_GB2312" w:cs="宋体" w:hAnsiTheme="minorEastAsia"/>
                <w:sz w:val="21"/>
                <w:szCs w:val="21"/>
                <w:highlight w:val="none"/>
              </w:rPr>
              <w:t>，即不受市场变化影响，且无论进场数量多少价格亦不发生变化。</w:t>
            </w:r>
            <w:r>
              <w:rPr>
                <w:rFonts w:hint="eastAsia" w:ascii="仿宋_GB2312" w:eastAsia="仿宋_GB2312" w:cs="宋体" w:hAnsiTheme="minorEastAsia"/>
                <w:sz w:val="21"/>
                <w:szCs w:val="21"/>
                <w:highlight w:val="none"/>
                <w:lang w:val="en-US" w:eastAsia="zh-CN"/>
              </w:rPr>
              <w:t>投</w:t>
            </w:r>
            <w:r>
              <w:rPr>
                <w:rFonts w:hint="eastAsia" w:ascii="仿宋_GB2312" w:eastAsia="仿宋_GB2312" w:cs="宋体" w:hAnsiTheme="minorEastAsia"/>
                <w:sz w:val="21"/>
                <w:szCs w:val="21"/>
                <w:highlight w:val="none"/>
              </w:rPr>
              <w:t>标方负责卸车。</w:t>
            </w:r>
          </w:p>
        </w:tc>
      </w:tr>
    </w:tbl>
    <w:p>
      <w:pPr>
        <w:spacing w:line="360" w:lineRule="auto"/>
        <w:ind w:left="5250" w:hanging="5250" w:hangingChars="2500"/>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 xml:space="preserve">                    </w:t>
      </w:r>
      <w:r>
        <w:rPr>
          <w:rFonts w:ascii="仿宋_GB2312" w:eastAsia="仿宋_GB2312" w:cs="宋体" w:hAnsiTheme="minorEastAsia"/>
          <w:kern w:val="0"/>
          <w:sz w:val="21"/>
          <w:szCs w:val="21"/>
          <w:highlight w:val="none"/>
        </w:rPr>
        <w:t xml:space="preserve">                                       </w:t>
      </w:r>
      <w:r>
        <w:rPr>
          <w:rFonts w:hint="eastAsia" w:ascii="仿宋_GB2312" w:eastAsia="仿宋_GB2312" w:cs="宋体" w:hAnsiTheme="minorEastAsia"/>
          <w:kern w:val="0"/>
          <w:sz w:val="21"/>
          <w:szCs w:val="21"/>
          <w:highlight w:val="none"/>
        </w:rPr>
        <w:t xml:space="preserve">                                                     </w:t>
      </w:r>
      <w:bookmarkEnd w:id="64"/>
      <w:bookmarkEnd w:id="65"/>
      <w:bookmarkEnd w:id="66"/>
      <w:bookmarkEnd w:id="67"/>
      <w:bookmarkEnd w:id="68"/>
      <w:bookmarkEnd w:id="69"/>
      <w:bookmarkEnd w:id="70"/>
      <w:bookmarkEnd w:id="71"/>
      <w:bookmarkEnd w:id="72"/>
      <w:bookmarkStart w:id="73" w:name="_Toc18209295"/>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w w:val="90"/>
          <w:sz w:val="21"/>
          <w:szCs w:val="21"/>
          <w:highlight w:val="none"/>
        </w:rPr>
        <w:t>：</w:t>
      </w:r>
      <w:r>
        <w:rPr>
          <w:rFonts w:hint="eastAsia" w:ascii="仿宋_GB2312" w:eastAsia="仿宋_GB2312" w:cs="宋体" w:hAnsiTheme="minorEastAsia"/>
          <w:w w:val="90"/>
          <w:sz w:val="21"/>
          <w:szCs w:val="21"/>
          <w:highlight w:val="none"/>
          <w:u w:val="single"/>
        </w:rPr>
        <w:t xml:space="preserve">                   </w:t>
      </w:r>
      <w:r>
        <w:rPr>
          <w:rFonts w:hint="eastAsia" w:ascii="仿宋_GB2312" w:eastAsia="仿宋_GB2312" w:cs="宋体" w:hAnsiTheme="minorEastAsia"/>
          <w:kern w:val="0"/>
          <w:sz w:val="21"/>
          <w:szCs w:val="21"/>
          <w:highlight w:val="none"/>
        </w:rPr>
        <w:t>（盖章）</w:t>
      </w:r>
    </w:p>
    <w:p>
      <w:pPr>
        <w:spacing w:line="400" w:lineRule="exact"/>
        <w:jc w:val="left"/>
        <w:rPr>
          <w:rFonts w:ascii="仿宋_GB2312" w:eastAsia="仿宋_GB2312" w:cs="宋体" w:hAnsiTheme="minorEastAsia"/>
          <w:w w:val="90"/>
          <w:sz w:val="21"/>
          <w:szCs w:val="21"/>
          <w:highlight w:val="none"/>
        </w:rPr>
      </w:pPr>
      <w:r>
        <w:rPr>
          <w:rFonts w:hint="eastAsia" w:ascii="仿宋_GB2312" w:eastAsia="仿宋_GB2312" w:cs="宋体" w:hAnsiTheme="minorEastAsia"/>
          <w:w w:val="90"/>
          <w:sz w:val="21"/>
          <w:szCs w:val="21"/>
          <w:highlight w:val="none"/>
        </w:rPr>
        <w:t xml:space="preserve">                                                              </w:t>
      </w:r>
      <w:r>
        <w:rPr>
          <w:rFonts w:hint="eastAsia" w:ascii="仿宋_GB2312" w:eastAsia="仿宋_GB2312" w:cs="宋体" w:hAnsiTheme="minorEastAsia"/>
          <w:kern w:val="0"/>
          <w:sz w:val="21"/>
          <w:szCs w:val="21"/>
          <w:highlight w:val="none"/>
        </w:rPr>
        <w:t>法人代表人或代理人：</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   </w:t>
      </w:r>
    </w:p>
    <w:p>
      <w:pPr>
        <w:spacing w:line="400" w:lineRule="exact"/>
        <w:ind w:firstLine="5880" w:firstLineChars="2800"/>
        <w:jc w:val="left"/>
        <w:rPr>
          <w:rFonts w:ascii="仿宋_GB2312" w:eastAsia="仿宋_GB2312" w:cs="宋体" w:hAnsiTheme="minorEastAsia"/>
          <w:b/>
          <w:w w:val="90"/>
          <w:highlight w:val="none"/>
        </w:rPr>
      </w:pPr>
      <w:r>
        <w:rPr>
          <w:rFonts w:hint="eastAsia" w:ascii="仿宋_GB2312" w:eastAsia="仿宋_GB2312" w:cs="宋体" w:hAnsiTheme="minorEastAsia"/>
          <w:kern w:val="0"/>
          <w:sz w:val="21"/>
          <w:szCs w:val="21"/>
          <w:highlight w:val="none"/>
        </w:rPr>
        <w:t>日期：</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年</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月</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日  </w:t>
      </w:r>
      <w:r>
        <w:rPr>
          <w:rFonts w:ascii="仿宋_GB2312" w:eastAsia="仿宋_GB2312" w:cs="宋体" w:hAnsiTheme="minorEastAsia"/>
          <w:b/>
          <w:w w:val="90"/>
          <w:highlight w:val="none"/>
        </w:rPr>
        <w:br w:type="page"/>
      </w:r>
    </w:p>
    <w:p>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3</w:t>
      </w:r>
      <w:r>
        <w:rPr>
          <w:rFonts w:ascii="仿宋_GB2312" w:eastAsia="仿宋_GB2312" w:cs="宋体" w:hAnsiTheme="minorEastAsia"/>
          <w:b/>
          <w:w w:val="90"/>
          <w:highlight w:val="none"/>
        </w:rPr>
        <w:t>.</w:t>
      </w:r>
    </w:p>
    <w:p>
      <w:pPr>
        <w:spacing w:line="400" w:lineRule="exact"/>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授权委托书</w:t>
      </w:r>
      <w:bookmarkEnd w:id="73"/>
    </w:p>
    <w:p>
      <w:pPr>
        <w:spacing w:line="360" w:lineRule="auto"/>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致：</w:t>
      </w:r>
      <w:r>
        <w:rPr>
          <w:rFonts w:hint="eastAsia" w:ascii="仿宋_GB2312" w:eastAsia="仿宋_GB2312" w:cs="宋体" w:hAnsiTheme="minorEastAsia"/>
          <w:sz w:val="21"/>
          <w:szCs w:val="21"/>
          <w:highlight w:val="none"/>
          <w:u w:val="single"/>
        </w:rPr>
        <w:t>中建路桥集团</w:t>
      </w:r>
      <w:r>
        <w:rPr>
          <w:rFonts w:hint="eastAsia" w:ascii="仿宋_GB2312" w:eastAsia="仿宋_GB2312" w:cs="宋体" w:hAnsiTheme="minorEastAsia"/>
          <w:sz w:val="21"/>
          <w:szCs w:val="21"/>
          <w:highlight w:val="none"/>
          <w:u w:val="single"/>
          <w:lang w:val="en-US" w:eastAsia="zh-CN"/>
        </w:rPr>
        <w:t>高速公路养护</w:t>
      </w:r>
      <w:r>
        <w:rPr>
          <w:rFonts w:hint="eastAsia" w:ascii="仿宋_GB2312" w:eastAsia="仿宋_GB2312" w:cs="宋体" w:hAnsiTheme="minorEastAsia"/>
          <w:sz w:val="21"/>
          <w:szCs w:val="21"/>
          <w:highlight w:val="none"/>
          <w:u w:val="single"/>
        </w:rPr>
        <w:t>有限公司</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本授权书宣告：</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u w:val="single"/>
        </w:rPr>
        <w:t xml:space="preserve"> (投标人全称) </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u w:val="single"/>
        </w:rPr>
        <w:t xml:space="preserve"> (职务) </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u w:val="single"/>
        </w:rPr>
        <w:t xml:space="preserve"> (姓名)</w:t>
      </w:r>
      <w:r>
        <w:rPr>
          <w:rFonts w:hint="eastAsia" w:ascii="仿宋_GB2312" w:eastAsia="仿宋_GB2312" w:cs="宋体" w:hAnsiTheme="minorEastAsia"/>
          <w:sz w:val="21"/>
          <w:szCs w:val="21"/>
          <w:highlight w:val="none"/>
        </w:rPr>
        <w:t xml:space="preserve">合法地代表本单位，授权 </w:t>
      </w:r>
      <w:r>
        <w:rPr>
          <w:rFonts w:hint="eastAsia" w:ascii="仿宋_GB2312" w:eastAsia="仿宋_GB2312" w:cs="宋体" w:hAnsiTheme="minorEastAsia"/>
          <w:sz w:val="21"/>
          <w:szCs w:val="21"/>
          <w:highlight w:val="none"/>
          <w:u w:val="single"/>
        </w:rPr>
        <w:t xml:space="preserve">(投标人全称)   的 </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u w:val="single"/>
        </w:rPr>
        <w:t xml:space="preserve"> (职务) </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u w:val="single"/>
        </w:rPr>
        <w:t>(姓名)</w:t>
      </w:r>
      <w:r>
        <w:rPr>
          <w:rFonts w:hint="eastAsia" w:ascii="仿宋_GB2312" w:eastAsia="仿宋_GB2312" w:cs="宋体" w:hAnsiTheme="minorEastAsia"/>
          <w:sz w:val="21"/>
          <w:szCs w:val="21"/>
          <w:highlight w:val="none"/>
        </w:rPr>
        <w:t>为我单位代理人，该代理人有权在</w:t>
      </w:r>
      <w:r>
        <w:rPr>
          <w:rFonts w:hint="eastAsia" w:ascii="仿宋" w:hAnsi="仿宋" w:eastAsia="仿宋" w:cs="仿宋"/>
          <w:bCs/>
          <w:color w:val="000000" w:themeColor="text1"/>
          <w:sz w:val="21"/>
          <w:szCs w:val="21"/>
          <w:highlight w:val="none"/>
          <w:u w:val="single"/>
          <w:lang w:eastAsia="zh-CN"/>
        </w:rPr>
        <w:t>建路桥集团</w:t>
      </w:r>
      <w:r>
        <w:rPr>
          <w:rFonts w:hint="eastAsia" w:ascii="仿宋" w:hAnsi="仿宋" w:eastAsia="仿宋" w:cs="仿宋"/>
          <w:bCs/>
          <w:color w:val="000000" w:themeColor="text1"/>
          <w:sz w:val="21"/>
          <w:szCs w:val="21"/>
          <w:highlight w:val="none"/>
          <w:u w:val="single"/>
          <w:lang w:val="en-US" w:eastAsia="zh-CN"/>
        </w:rPr>
        <w:t>高速公路养护</w:t>
      </w:r>
      <w:r>
        <w:rPr>
          <w:rFonts w:hint="eastAsia" w:ascii="仿宋" w:hAnsi="仿宋" w:eastAsia="仿宋" w:cs="仿宋"/>
          <w:bCs/>
          <w:color w:val="000000" w:themeColor="text1"/>
          <w:sz w:val="21"/>
          <w:szCs w:val="21"/>
          <w:highlight w:val="none"/>
          <w:u w:val="single"/>
          <w:lang w:eastAsia="zh-CN"/>
        </w:rPr>
        <w:t>有限公司</w:t>
      </w:r>
      <w:r>
        <w:rPr>
          <w:rFonts w:hint="eastAsia" w:ascii="仿宋_GB2312" w:hAnsi="仿宋" w:eastAsia="仿宋_GB2312"/>
          <w:bCs/>
          <w:color w:val="000000" w:themeColor="text1"/>
          <w:sz w:val="21"/>
          <w:szCs w:val="21"/>
          <w:highlight w:val="none"/>
          <w:u w:val="single"/>
          <w:lang w:val="en-US" w:eastAsia="zh-CN"/>
        </w:rPr>
        <w:t>晋州市2022年营里镇片高标准农田建设项目一标段</w:t>
      </w:r>
      <w:r>
        <w:rPr>
          <w:rFonts w:hint="eastAsia" w:ascii="仿宋_GB2312" w:eastAsia="仿宋_GB2312" w:cs="宋体" w:hAnsiTheme="minorEastAsia"/>
          <w:sz w:val="21"/>
          <w:szCs w:val="21"/>
          <w:highlight w:val="none"/>
          <w:u w:val="single"/>
        </w:rPr>
        <w:t>项目物资采购招标</w:t>
      </w:r>
      <w:r>
        <w:rPr>
          <w:rFonts w:hint="eastAsia" w:ascii="仿宋_GB2312" w:eastAsia="仿宋_GB2312" w:cs="宋体" w:hAnsiTheme="minorEastAsia"/>
          <w:sz w:val="21"/>
          <w:szCs w:val="21"/>
          <w:highlight w:val="none"/>
        </w:rPr>
        <w:t>（招标文件编号：</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eastAsia="zh-CN"/>
        </w:rPr>
        <w:t>YHGS-FGZB-晋州项目-2023001</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）工作中，以我单位的名义签署投标函和投标文件、与招标人协商、谈判、签订合同协议书以及执行一切与此有关的事项。</w:t>
      </w:r>
    </w:p>
    <w:p>
      <w:pPr>
        <w:spacing w:line="400" w:lineRule="exact"/>
        <w:ind w:firstLine="420" w:firstLineChars="200"/>
        <w:jc w:val="left"/>
        <w:outlineLvl w:val="2"/>
        <w:rPr>
          <w:rFonts w:ascii="仿宋_GB2312" w:eastAsia="仿宋_GB2312" w:cs="宋体" w:hAnsiTheme="minorEastAsia"/>
          <w:sz w:val="21"/>
          <w:szCs w:val="21"/>
          <w:highlight w:val="none"/>
        </w:rPr>
      </w:pPr>
    </w:p>
    <w:p>
      <w:pPr>
        <w:spacing w:line="400" w:lineRule="exact"/>
        <w:ind w:firstLine="420" w:firstLineChars="200"/>
        <w:jc w:val="left"/>
        <w:outlineLvl w:val="2"/>
        <w:rPr>
          <w:rFonts w:ascii="仿宋_GB2312" w:eastAsia="仿宋_GB2312" w:cs="宋体" w:hAnsiTheme="minorEastAsia"/>
          <w:sz w:val="21"/>
          <w:szCs w:val="21"/>
          <w:highlight w:val="none"/>
        </w:rPr>
      </w:pPr>
    </w:p>
    <w:p>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sz w:val="21"/>
          <w:szCs w:val="21"/>
          <w:highlight w:val="none"/>
          <w:u w:val="single"/>
        </w:rPr>
        <w:t xml:space="preserve">                     (盖章)</w:t>
      </w:r>
    </w:p>
    <w:p>
      <w:pPr>
        <w:spacing w:line="400" w:lineRule="exact"/>
        <w:ind w:firstLine="420" w:firstLineChars="200"/>
        <w:jc w:val="left"/>
        <w:outlineLvl w:val="2"/>
        <w:rPr>
          <w:rFonts w:ascii="仿宋_GB2312" w:eastAsia="仿宋_GB2312" w:cs="宋体" w:hAnsiTheme="minorEastAsia"/>
          <w:sz w:val="21"/>
          <w:szCs w:val="21"/>
          <w:highlight w:val="none"/>
        </w:rPr>
      </w:pPr>
    </w:p>
    <w:p>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授权人：</w:t>
      </w:r>
      <w:r>
        <w:rPr>
          <w:rFonts w:hint="eastAsia" w:ascii="仿宋_GB2312" w:eastAsia="仿宋_GB2312" w:cs="宋体" w:hAnsiTheme="minorEastAsia"/>
          <w:sz w:val="21"/>
          <w:szCs w:val="21"/>
          <w:highlight w:val="none"/>
          <w:u w:val="single"/>
        </w:rPr>
        <w:t xml:space="preserve">                     (签字)</w:t>
      </w:r>
    </w:p>
    <w:p>
      <w:pPr>
        <w:spacing w:line="400" w:lineRule="exact"/>
        <w:ind w:firstLine="420" w:firstLineChars="200"/>
        <w:jc w:val="left"/>
        <w:outlineLvl w:val="2"/>
        <w:rPr>
          <w:rFonts w:ascii="仿宋_GB2312" w:eastAsia="仿宋_GB2312" w:cs="宋体" w:hAnsiTheme="minorEastAsia"/>
          <w:sz w:val="21"/>
          <w:szCs w:val="21"/>
          <w:highlight w:val="none"/>
        </w:rPr>
      </w:pPr>
    </w:p>
    <w:p>
      <w:pPr>
        <w:spacing w:line="400" w:lineRule="exact"/>
        <w:ind w:firstLine="3780" w:firstLineChars="18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授权代理人：</w:t>
      </w:r>
      <w:r>
        <w:rPr>
          <w:rFonts w:hint="eastAsia" w:ascii="仿宋_GB2312" w:eastAsia="仿宋_GB2312" w:cs="宋体" w:hAnsiTheme="minorEastAsia"/>
          <w:sz w:val="21"/>
          <w:szCs w:val="21"/>
          <w:highlight w:val="none"/>
          <w:u w:val="single"/>
        </w:rPr>
        <w:t xml:space="preserve">                 (签字)</w:t>
      </w:r>
    </w:p>
    <w:p>
      <w:pPr>
        <w:spacing w:line="400" w:lineRule="exact"/>
        <w:ind w:firstLine="420" w:firstLineChars="200"/>
        <w:jc w:val="left"/>
        <w:outlineLvl w:val="2"/>
        <w:rPr>
          <w:rFonts w:ascii="仿宋_GB2312" w:eastAsia="仿宋_GB2312" w:cs="宋体" w:hAnsiTheme="minorEastAsia"/>
          <w:sz w:val="21"/>
          <w:szCs w:val="21"/>
          <w:highlight w:val="none"/>
        </w:rPr>
      </w:pPr>
    </w:p>
    <w:p>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日　期：</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p>
    <w:p>
      <w:pPr>
        <w:widowControl/>
        <w:jc w:val="left"/>
        <w:rPr>
          <w:rFonts w:ascii="仿宋_GB2312" w:eastAsia="仿宋_GB2312" w:cs="宋体" w:hAnsiTheme="minorEastAsia"/>
          <w:b/>
          <w:w w:val="90"/>
          <w:highlight w:val="none"/>
        </w:rPr>
      </w:pPr>
      <w:r>
        <w:rPr>
          <w:rFonts w:ascii="仿宋_GB2312" w:eastAsia="仿宋_GB2312" w:cs="宋体" w:hAnsiTheme="minorEastAsia"/>
          <w:b/>
          <w:w w:val="90"/>
          <w:highlight w:val="none"/>
        </w:rPr>
        <w:br w:type="page"/>
      </w:r>
      <w:r>
        <w:rPr>
          <w:rFonts w:hint="eastAsia" w:ascii="仿宋_GB2312" w:eastAsia="仿宋_GB2312" w:cs="宋体" w:hAnsiTheme="minorEastAsia"/>
          <w:b/>
          <w:w w:val="90"/>
          <w:highlight w:val="none"/>
        </w:rPr>
        <w:t>4</w:t>
      </w:r>
      <w:r>
        <w:rPr>
          <w:rFonts w:ascii="仿宋_GB2312" w:eastAsia="仿宋_GB2312" w:cs="宋体" w:hAnsiTheme="minorEastAsia"/>
          <w:b/>
          <w:w w:val="90"/>
          <w:highlight w:val="none"/>
        </w:rPr>
        <w:t>.</w:t>
      </w:r>
    </w:p>
    <w:p>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投标人身份证明文件</w:t>
      </w:r>
    </w:p>
    <w:tbl>
      <w:tblPr>
        <w:tblStyle w:val="34"/>
        <w:tblpPr w:leftFromText="180" w:rightFromText="180" w:vertAnchor="text" w:horzAnchor="page" w:tblpX="6133" w:tblpY="420"/>
        <w:tblOverlap w:val="never"/>
        <w:tblW w:w="36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1" w:hRule="atLeast"/>
        </w:trPr>
        <w:tc>
          <w:tcPr>
            <w:tcW w:w="3690" w:type="dxa"/>
            <w:tcBorders>
              <w:top w:val="single" w:color="auto" w:sz="4" w:space="0"/>
              <w:left w:val="single" w:color="auto" w:sz="4" w:space="0"/>
              <w:bottom w:val="single" w:color="auto" w:sz="4" w:space="0"/>
              <w:right w:val="single" w:color="auto" w:sz="4" w:space="0"/>
            </w:tcBorders>
          </w:tcPr>
          <w:p>
            <w:pPr>
              <w:pStyle w:val="306"/>
              <w:keepNext w:val="0"/>
              <w:keepLines w:val="0"/>
              <w:spacing w:before="240" w:beforeLines="100" w:line="360" w:lineRule="auto"/>
              <w:jc w:val="both"/>
              <w:rPr>
                <w:rFonts w:hAnsiTheme="minorEastAsia"/>
                <w:b w:val="0"/>
                <w:highlight w:val="none"/>
              </w:rPr>
            </w:pPr>
          </w:p>
          <w:p>
            <w:pPr>
              <w:pStyle w:val="306"/>
              <w:keepNext w:val="0"/>
              <w:keepLines w:val="0"/>
              <w:spacing w:before="240" w:beforeLines="100" w:line="360" w:lineRule="auto"/>
              <w:jc w:val="both"/>
              <w:rPr>
                <w:rFonts w:hAnsiTheme="minorEastAsia"/>
                <w:b w:val="0"/>
                <w:highlight w:val="none"/>
              </w:rPr>
            </w:pPr>
            <w:r>
              <w:rPr>
                <w:rFonts w:hint="eastAsia" w:hAnsiTheme="minorEastAsia"/>
                <w:b w:val="0"/>
                <w:highlight w:val="none"/>
              </w:rPr>
              <w:t xml:space="preserve">  授权代理人身份证（扫描件）</w:t>
            </w:r>
          </w:p>
        </w:tc>
      </w:tr>
    </w:tbl>
    <w:p>
      <w:pPr>
        <w:spacing w:line="360" w:lineRule="auto"/>
        <w:jc w:val="center"/>
        <w:rPr>
          <w:rFonts w:ascii="仿宋_GB2312" w:eastAsia="仿宋_GB2312" w:cs="宋体" w:hAnsiTheme="minorEastAsia"/>
          <w:highlight w:val="none"/>
        </w:rPr>
      </w:pPr>
    </w:p>
    <w:tbl>
      <w:tblPr>
        <w:tblStyle w:val="34"/>
        <w:tblW w:w="36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1" w:hRule="atLeast"/>
        </w:trPr>
        <w:tc>
          <w:tcPr>
            <w:tcW w:w="3635" w:type="dxa"/>
            <w:tcBorders>
              <w:top w:val="single" w:color="auto" w:sz="4" w:space="0"/>
              <w:left w:val="single" w:color="auto" w:sz="4" w:space="0"/>
              <w:bottom w:val="single" w:color="auto" w:sz="4" w:space="0"/>
              <w:right w:val="single" w:color="auto" w:sz="4" w:space="0"/>
            </w:tcBorders>
          </w:tcPr>
          <w:p>
            <w:pPr>
              <w:pStyle w:val="306"/>
              <w:keepNext w:val="0"/>
              <w:keepLines w:val="0"/>
              <w:spacing w:before="240" w:beforeLines="100" w:line="360" w:lineRule="auto"/>
              <w:jc w:val="both"/>
              <w:rPr>
                <w:rFonts w:hAnsiTheme="minorEastAsia"/>
                <w:b w:val="0"/>
                <w:highlight w:val="none"/>
              </w:rPr>
            </w:pPr>
            <w:r>
              <w:rPr>
                <w:rFonts w:hint="eastAsia" w:hAnsiTheme="minorEastAsia"/>
                <w:b w:val="0"/>
                <w:highlight w:val="none"/>
              </w:rPr>
              <w:t xml:space="preserve">       </w:t>
            </w:r>
          </w:p>
          <w:p>
            <w:pPr>
              <w:pStyle w:val="306"/>
              <w:keepNext w:val="0"/>
              <w:keepLines w:val="0"/>
              <w:spacing w:before="240" w:beforeLines="100" w:line="360" w:lineRule="auto"/>
              <w:jc w:val="both"/>
              <w:rPr>
                <w:rFonts w:hAnsiTheme="minorEastAsia"/>
                <w:b w:val="0"/>
                <w:highlight w:val="none"/>
              </w:rPr>
            </w:pPr>
            <w:r>
              <w:rPr>
                <w:rFonts w:hint="eastAsia" w:hAnsiTheme="minorEastAsia"/>
                <w:b w:val="0"/>
                <w:highlight w:val="none"/>
              </w:rPr>
              <w:t xml:space="preserve">    法人身份证（扫描件）</w:t>
            </w:r>
          </w:p>
        </w:tc>
      </w:tr>
    </w:tbl>
    <w:p>
      <w:pPr>
        <w:rPr>
          <w:rFonts w:ascii="仿宋_GB2312" w:eastAsia="仿宋_GB2312" w:cs="Times New Roman" w:hAnsiTheme="minorEastAsia"/>
          <w:vanish/>
          <w:sz w:val="21"/>
          <w:szCs w:val="22"/>
          <w:highlight w:val="none"/>
        </w:rPr>
      </w:pPr>
    </w:p>
    <w:p>
      <w:pPr>
        <w:spacing w:line="360" w:lineRule="auto"/>
        <w:jc w:val="center"/>
        <w:rPr>
          <w:rFonts w:ascii="仿宋_GB2312" w:eastAsia="仿宋_GB2312" w:cs="宋体" w:hAnsiTheme="minorEastAsia"/>
          <w:b/>
          <w:sz w:val="32"/>
          <w:szCs w:val="32"/>
          <w:highlight w:val="none"/>
        </w:rPr>
      </w:pPr>
    </w:p>
    <w:p>
      <w:pPr>
        <w:spacing w:line="360" w:lineRule="auto"/>
        <w:jc w:val="left"/>
        <w:rPr>
          <w:rFonts w:ascii="仿宋_GB2312" w:eastAsia="仿宋_GB2312" w:cs="宋体" w:hAnsiTheme="minorEastAsia"/>
          <w:b/>
          <w:sz w:val="32"/>
          <w:szCs w:val="32"/>
          <w:highlight w:val="none"/>
        </w:rPr>
      </w:pPr>
    </w:p>
    <w:p>
      <w:pPr>
        <w:rPr>
          <w:rFonts w:hint="eastAsia" w:ascii="仿宋_GB2312" w:eastAsia="仿宋_GB2312" w:cs="宋体" w:hAnsiTheme="minorEastAsia"/>
          <w:b/>
          <w:w w:val="90"/>
          <w:highlight w:val="none"/>
        </w:rPr>
      </w:pPr>
      <w:r>
        <w:rPr>
          <w:rFonts w:hint="eastAsia" w:ascii="仿宋_GB2312" w:eastAsia="仿宋_GB2312" w:cs="宋体" w:hAnsiTheme="minorEastAsia"/>
          <w:b/>
          <w:w w:val="90"/>
          <w:highlight w:val="none"/>
        </w:rPr>
        <w:br w:type="page"/>
      </w:r>
    </w:p>
    <w:p>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5</w:t>
      </w:r>
      <w:r>
        <w:rPr>
          <w:rFonts w:ascii="仿宋_GB2312" w:eastAsia="仿宋_GB2312" w:cs="宋体" w:hAnsiTheme="minorEastAsia"/>
          <w:b/>
          <w:w w:val="90"/>
          <w:highlight w:val="none"/>
        </w:rPr>
        <w:t>.</w:t>
      </w:r>
    </w:p>
    <w:p>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投标保证金（复印件加盖公章）</w:t>
      </w:r>
    </w:p>
    <w:p>
      <w:pPr>
        <w:spacing w:line="360" w:lineRule="auto"/>
        <w:jc w:val="left"/>
        <w:rPr>
          <w:rFonts w:ascii="仿宋_GB2312" w:eastAsia="仿宋_GB2312" w:cs="宋体" w:hAnsiTheme="minorEastAsia"/>
          <w:b/>
          <w:sz w:val="28"/>
          <w:szCs w:val="28"/>
          <w:highlight w:val="none"/>
        </w:rPr>
      </w:pPr>
    </w:p>
    <w:p>
      <w:pPr>
        <w:spacing w:line="360" w:lineRule="auto"/>
        <w:jc w:val="left"/>
        <w:rPr>
          <w:rFonts w:ascii="仿宋_GB2312" w:eastAsia="仿宋_GB2312" w:cs="宋体" w:hAnsiTheme="minorEastAsia"/>
          <w:b/>
          <w:sz w:val="28"/>
          <w:szCs w:val="28"/>
          <w:highlight w:val="none"/>
        </w:rPr>
      </w:pPr>
    </w:p>
    <w:p>
      <w:pPr>
        <w:spacing w:line="360" w:lineRule="auto"/>
        <w:jc w:val="left"/>
        <w:rPr>
          <w:rFonts w:ascii="仿宋_GB2312" w:eastAsia="仿宋_GB2312" w:cs="宋体" w:hAnsiTheme="minorEastAsia"/>
          <w:b/>
          <w:sz w:val="28"/>
          <w:szCs w:val="28"/>
          <w:highlight w:val="none"/>
        </w:rPr>
      </w:pPr>
    </w:p>
    <w:p>
      <w:pPr>
        <w:spacing w:line="360" w:lineRule="auto"/>
        <w:jc w:val="left"/>
        <w:rPr>
          <w:rFonts w:ascii="仿宋_GB2312" w:eastAsia="仿宋_GB2312" w:cs="宋体" w:hAnsiTheme="minorEastAsia"/>
          <w:b/>
          <w:sz w:val="28"/>
          <w:szCs w:val="28"/>
          <w:highlight w:val="none"/>
        </w:rPr>
      </w:pPr>
    </w:p>
    <w:p>
      <w:pPr>
        <w:rPr>
          <w:rFonts w:hint="eastAsia" w:ascii="仿宋_GB2312" w:eastAsia="仿宋_GB2312" w:cs="宋体" w:hAnsiTheme="minorEastAsia"/>
          <w:b/>
          <w:w w:val="90"/>
          <w:highlight w:val="none"/>
        </w:rPr>
      </w:pPr>
      <w:r>
        <w:rPr>
          <w:rFonts w:hint="eastAsia" w:ascii="仿宋_GB2312" w:eastAsia="仿宋_GB2312" w:cs="宋体" w:hAnsiTheme="minorEastAsia"/>
          <w:b/>
          <w:w w:val="90"/>
          <w:highlight w:val="none"/>
        </w:rPr>
        <w:br w:type="page"/>
      </w:r>
    </w:p>
    <w:p>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6</w:t>
      </w:r>
      <w:r>
        <w:rPr>
          <w:rFonts w:ascii="仿宋_GB2312" w:eastAsia="仿宋_GB2312" w:cs="宋体" w:hAnsiTheme="minorEastAsia"/>
          <w:b/>
          <w:w w:val="90"/>
          <w:highlight w:val="none"/>
        </w:rPr>
        <w:t>.</w:t>
      </w:r>
    </w:p>
    <w:p>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商务条款和技术条款响应偏差表</w:t>
      </w:r>
    </w:p>
    <w:p>
      <w:pPr>
        <w:widowControl/>
        <w:jc w:val="center"/>
        <w:rPr>
          <w:rFonts w:hint="eastAsia" w:ascii="仿宋_GB2312" w:hAnsi="华文仿宋" w:eastAsia="仿宋_GB2312" w:cs="Times New Roman"/>
          <w:highlight w:val="none"/>
        </w:rPr>
      </w:pPr>
      <w:r>
        <w:rPr>
          <w:rFonts w:hint="eastAsia" w:ascii="仿宋_GB2312" w:hAnsi="华文仿宋" w:eastAsia="仿宋_GB2312"/>
          <w:highlight w:val="none"/>
        </w:rPr>
        <w:t>商务条款响应偏差表</w:t>
      </w:r>
    </w:p>
    <w:tbl>
      <w:tblPr>
        <w:tblStyle w:val="34"/>
        <w:tblW w:w="8820" w:type="dxa"/>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3"/>
        <w:gridCol w:w="1418"/>
        <w:gridCol w:w="2410"/>
        <w:gridCol w:w="2409"/>
        <w:gridCol w:w="191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46" w:hRule="atLeast"/>
        </w:trPr>
        <w:tc>
          <w:tcPr>
            <w:tcW w:w="673" w:type="dxa"/>
            <w:tcBorders>
              <w:top w:val="double" w:color="000000" w:sz="6" w:space="0"/>
            </w:tcBorders>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8" w:type="dxa"/>
            <w:tcBorders>
              <w:top w:val="double" w:color="000000" w:sz="6" w:space="0"/>
            </w:tcBorders>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w:t>
            </w:r>
          </w:p>
          <w:p>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条目号</w:t>
            </w:r>
          </w:p>
        </w:tc>
        <w:tc>
          <w:tcPr>
            <w:tcW w:w="2410" w:type="dxa"/>
            <w:tcBorders>
              <w:top w:val="double" w:color="000000" w:sz="6" w:space="0"/>
            </w:tcBorders>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招标文件商务条款</w:t>
            </w:r>
          </w:p>
        </w:tc>
        <w:tc>
          <w:tcPr>
            <w:tcW w:w="2409" w:type="dxa"/>
            <w:tcBorders>
              <w:top w:val="double" w:color="000000" w:sz="6" w:space="0"/>
            </w:tcBorders>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投标文件商务条款</w:t>
            </w:r>
          </w:p>
        </w:tc>
        <w:tc>
          <w:tcPr>
            <w:tcW w:w="1910" w:type="dxa"/>
            <w:tcBorders>
              <w:top w:val="double" w:color="000000" w:sz="6" w:space="0"/>
            </w:tcBorders>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 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48" w:hRule="atLeast"/>
        </w:trPr>
        <w:tc>
          <w:tcPr>
            <w:tcW w:w="673" w:type="dxa"/>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8" w:type="dxa"/>
            <w:vAlign w:val="center"/>
          </w:tcPr>
          <w:p>
            <w:pPr>
              <w:jc w:val="center"/>
              <w:rPr>
                <w:rFonts w:hint="eastAsia" w:ascii="仿宋_GB2312" w:hAnsi="华文仿宋" w:eastAsia="仿宋_GB2312" w:cs="Times New Roman"/>
                <w:sz w:val="21"/>
                <w:szCs w:val="21"/>
                <w:highlight w:val="none"/>
              </w:rPr>
            </w:pPr>
          </w:p>
        </w:tc>
        <w:tc>
          <w:tcPr>
            <w:tcW w:w="2410" w:type="dxa"/>
            <w:vAlign w:val="center"/>
          </w:tcPr>
          <w:p>
            <w:pPr>
              <w:jc w:val="center"/>
              <w:rPr>
                <w:rFonts w:hint="eastAsia" w:ascii="仿宋_GB2312" w:hAnsi="华文仿宋" w:eastAsia="仿宋_GB2312" w:cs="Times New Roman"/>
                <w:sz w:val="21"/>
                <w:szCs w:val="21"/>
                <w:highlight w:val="none"/>
              </w:rPr>
            </w:pPr>
          </w:p>
        </w:tc>
        <w:tc>
          <w:tcPr>
            <w:tcW w:w="2409" w:type="dxa"/>
            <w:vAlign w:val="center"/>
          </w:tcPr>
          <w:p>
            <w:pPr>
              <w:jc w:val="center"/>
              <w:rPr>
                <w:rFonts w:hint="eastAsia" w:ascii="仿宋_GB2312" w:hAnsi="华文仿宋" w:eastAsia="仿宋_GB2312" w:cs="Times New Roman"/>
                <w:sz w:val="21"/>
                <w:szCs w:val="21"/>
                <w:highlight w:val="none"/>
              </w:rPr>
            </w:pPr>
          </w:p>
        </w:tc>
        <w:tc>
          <w:tcPr>
            <w:tcW w:w="1910" w:type="dxa"/>
            <w:vAlign w:val="center"/>
          </w:tcPr>
          <w:p>
            <w:pPr>
              <w:jc w:val="center"/>
              <w:rPr>
                <w:rFonts w:hint="eastAsia" w:ascii="仿宋_GB2312" w:hAnsi="华文仿宋" w:eastAsia="仿宋_GB2312" w:cs="Times New Roman"/>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55" w:hRule="atLeast"/>
        </w:trPr>
        <w:tc>
          <w:tcPr>
            <w:tcW w:w="673" w:type="dxa"/>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8" w:type="dxa"/>
            <w:vAlign w:val="center"/>
          </w:tcPr>
          <w:p>
            <w:pPr>
              <w:jc w:val="center"/>
              <w:rPr>
                <w:rFonts w:hint="eastAsia" w:ascii="仿宋_GB2312" w:hAnsi="华文仿宋" w:eastAsia="仿宋_GB2312" w:cs="Times New Roman"/>
                <w:sz w:val="21"/>
                <w:szCs w:val="21"/>
                <w:highlight w:val="none"/>
              </w:rPr>
            </w:pPr>
          </w:p>
        </w:tc>
        <w:tc>
          <w:tcPr>
            <w:tcW w:w="2410" w:type="dxa"/>
            <w:vAlign w:val="center"/>
          </w:tcPr>
          <w:p>
            <w:pPr>
              <w:jc w:val="center"/>
              <w:rPr>
                <w:rFonts w:hint="eastAsia" w:ascii="仿宋_GB2312" w:hAnsi="华文仿宋" w:eastAsia="仿宋_GB2312" w:cs="Times New Roman"/>
                <w:sz w:val="21"/>
                <w:szCs w:val="21"/>
                <w:highlight w:val="none"/>
              </w:rPr>
            </w:pPr>
          </w:p>
        </w:tc>
        <w:tc>
          <w:tcPr>
            <w:tcW w:w="2409" w:type="dxa"/>
            <w:vAlign w:val="center"/>
          </w:tcPr>
          <w:p>
            <w:pPr>
              <w:jc w:val="center"/>
              <w:rPr>
                <w:rFonts w:hint="eastAsia" w:ascii="仿宋_GB2312" w:hAnsi="华文仿宋" w:eastAsia="仿宋_GB2312" w:cs="Times New Roman"/>
                <w:sz w:val="21"/>
                <w:szCs w:val="21"/>
                <w:highlight w:val="none"/>
              </w:rPr>
            </w:pPr>
          </w:p>
        </w:tc>
        <w:tc>
          <w:tcPr>
            <w:tcW w:w="1910" w:type="dxa"/>
            <w:vAlign w:val="center"/>
          </w:tcPr>
          <w:p>
            <w:pPr>
              <w:jc w:val="center"/>
              <w:rPr>
                <w:rFonts w:hint="eastAsia" w:ascii="仿宋_GB2312" w:hAnsi="华文仿宋" w:eastAsia="仿宋_GB2312" w:cs="Times New Roman"/>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50" w:hRule="atLeast"/>
        </w:trPr>
        <w:tc>
          <w:tcPr>
            <w:tcW w:w="673" w:type="dxa"/>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8" w:type="dxa"/>
            <w:vAlign w:val="center"/>
          </w:tcPr>
          <w:p>
            <w:pPr>
              <w:jc w:val="center"/>
              <w:rPr>
                <w:rFonts w:hint="eastAsia" w:ascii="仿宋_GB2312" w:hAnsi="华文仿宋" w:eastAsia="仿宋_GB2312" w:cs="Times New Roman"/>
                <w:sz w:val="21"/>
                <w:szCs w:val="21"/>
                <w:highlight w:val="none"/>
              </w:rPr>
            </w:pPr>
          </w:p>
        </w:tc>
        <w:tc>
          <w:tcPr>
            <w:tcW w:w="2410" w:type="dxa"/>
            <w:vAlign w:val="center"/>
          </w:tcPr>
          <w:p>
            <w:pPr>
              <w:jc w:val="center"/>
              <w:rPr>
                <w:rFonts w:hint="eastAsia" w:ascii="仿宋_GB2312" w:hAnsi="华文仿宋" w:eastAsia="仿宋_GB2312" w:cs="Times New Roman"/>
                <w:sz w:val="21"/>
                <w:szCs w:val="21"/>
                <w:highlight w:val="none"/>
              </w:rPr>
            </w:pPr>
          </w:p>
        </w:tc>
        <w:tc>
          <w:tcPr>
            <w:tcW w:w="2409" w:type="dxa"/>
            <w:vAlign w:val="center"/>
          </w:tcPr>
          <w:p>
            <w:pPr>
              <w:jc w:val="center"/>
              <w:rPr>
                <w:rFonts w:hint="eastAsia" w:ascii="仿宋_GB2312" w:hAnsi="华文仿宋" w:eastAsia="仿宋_GB2312" w:cs="Times New Roman"/>
                <w:sz w:val="21"/>
                <w:szCs w:val="21"/>
                <w:highlight w:val="none"/>
              </w:rPr>
            </w:pPr>
          </w:p>
        </w:tc>
        <w:tc>
          <w:tcPr>
            <w:tcW w:w="1910" w:type="dxa"/>
            <w:vAlign w:val="center"/>
          </w:tcPr>
          <w:p>
            <w:pPr>
              <w:jc w:val="center"/>
              <w:rPr>
                <w:rFonts w:hint="eastAsia" w:ascii="仿宋_GB2312" w:hAnsi="华文仿宋" w:eastAsia="仿宋_GB2312" w:cs="Times New Roman"/>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57" w:hRule="atLeast"/>
        </w:trPr>
        <w:tc>
          <w:tcPr>
            <w:tcW w:w="673" w:type="dxa"/>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8" w:type="dxa"/>
            <w:vAlign w:val="center"/>
          </w:tcPr>
          <w:p>
            <w:pPr>
              <w:jc w:val="center"/>
              <w:rPr>
                <w:rFonts w:hint="eastAsia" w:ascii="仿宋_GB2312" w:hAnsi="华文仿宋" w:eastAsia="仿宋_GB2312" w:cs="Times New Roman"/>
                <w:sz w:val="21"/>
                <w:szCs w:val="21"/>
                <w:highlight w:val="none"/>
              </w:rPr>
            </w:pPr>
          </w:p>
        </w:tc>
        <w:tc>
          <w:tcPr>
            <w:tcW w:w="2410" w:type="dxa"/>
            <w:vAlign w:val="center"/>
          </w:tcPr>
          <w:p>
            <w:pPr>
              <w:jc w:val="center"/>
              <w:rPr>
                <w:rFonts w:hint="eastAsia" w:ascii="仿宋_GB2312" w:hAnsi="华文仿宋" w:eastAsia="仿宋_GB2312" w:cs="Times New Roman"/>
                <w:sz w:val="21"/>
                <w:szCs w:val="21"/>
                <w:highlight w:val="none"/>
              </w:rPr>
            </w:pPr>
          </w:p>
        </w:tc>
        <w:tc>
          <w:tcPr>
            <w:tcW w:w="2409" w:type="dxa"/>
            <w:vAlign w:val="center"/>
          </w:tcPr>
          <w:p>
            <w:pPr>
              <w:jc w:val="center"/>
              <w:rPr>
                <w:rFonts w:hint="eastAsia" w:ascii="仿宋_GB2312" w:hAnsi="华文仿宋" w:eastAsia="仿宋_GB2312" w:cs="Times New Roman"/>
                <w:sz w:val="21"/>
                <w:szCs w:val="21"/>
                <w:highlight w:val="none"/>
              </w:rPr>
            </w:pPr>
          </w:p>
        </w:tc>
        <w:tc>
          <w:tcPr>
            <w:tcW w:w="1910" w:type="dxa"/>
            <w:vAlign w:val="center"/>
          </w:tcPr>
          <w:p>
            <w:pPr>
              <w:jc w:val="center"/>
              <w:rPr>
                <w:rFonts w:hint="eastAsia" w:ascii="仿宋_GB2312" w:hAnsi="华文仿宋" w:eastAsia="仿宋_GB2312" w:cs="Times New Roman"/>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37" w:hRule="atLeast"/>
        </w:trPr>
        <w:tc>
          <w:tcPr>
            <w:tcW w:w="673" w:type="dxa"/>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8" w:type="dxa"/>
            <w:vAlign w:val="center"/>
          </w:tcPr>
          <w:p>
            <w:pPr>
              <w:jc w:val="center"/>
              <w:rPr>
                <w:rFonts w:hint="eastAsia" w:ascii="仿宋_GB2312" w:hAnsi="华文仿宋" w:eastAsia="仿宋_GB2312" w:cs="Times New Roman"/>
                <w:sz w:val="21"/>
                <w:szCs w:val="21"/>
                <w:highlight w:val="none"/>
              </w:rPr>
            </w:pPr>
          </w:p>
        </w:tc>
        <w:tc>
          <w:tcPr>
            <w:tcW w:w="2410" w:type="dxa"/>
            <w:vAlign w:val="center"/>
          </w:tcPr>
          <w:p>
            <w:pPr>
              <w:jc w:val="center"/>
              <w:rPr>
                <w:rFonts w:hint="eastAsia" w:ascii="仿宋_GB2312" w:hAnsi="华文仿宋" w:eastAsia="仿宋_GB2312" w:cs="Times New Roman"/>
                <w:sz w:val="21"/>
                <w:szCs w:val="21"/>
                <w:highlight w:val="none"/>
              </w:rPr>
            </w:pPr>
          </w:p>
        </w:tc>
        <w:tc>
          <w:tcPr>
            <w:tcW w:w="2409" w:type="dxa"/>
            <w:vAlign w:val="center"/>
          </w:tcPr>
          <w:p>
            <w:pPr>
              <w:jc w:val="center"/>
              <w:rPr>
                <w:rFonts w:hint="eastAsia" w:ascii="仿宋_GB2312" w:hAnsi="华文仿宋" w:eastAsia="仿宋_GB2312" w:cs="Times New Roman"/>
                <w:sz w:val="21"/>
                <w:szCs w:val="21"/>
                <w:highlight w:val="none"/>
              </w:rPr>
            </w:pPr>
          </w:p>
        </w:tc>
        <w:tc>
          <w:tcPr>
            <w:tcW w:w="1910" w:type="dxa"/>
            <w:vAlign w:val="center"/>
          </w:tcPr>
          <w:p>
            <w:pPr>
              <w:jc w:val="center"/>
              <w:rPr>
                <w:rFonts w:hint="eastAsia" w:ascii="仿宋_GB2312" w:hAnsi="华文仿宋" w:eastAsia="仿宋_GB2312" w:cs="Times New Roman"/>
                <w:sz w:val="21"/>
                <w:szCs w:val="21"/>
                <w:highlight w:val="none"/>
              </w:rPr>
            </w:pPr>
          </w:p>
        </w:tc>
      </w:tr>
    </w:tbl>
    <w:p>
      <w:pPr>
        <w:outlineLvl w:val="1"/>
        <w:rPr>
          <w:rFonts w:hint="eastAsia" w:ascii="仿宋_GB2312" w:hAnsi="华文仿宋" w:eastAsia="仿宋_GB2312" w:cs="Times New Roman"/>
          <w:highlight w:val="none"/>
        </w:rPr>
      </w:pPr>
    </w:p>
    <w:p>
      <w:pPr>
        <w:jc w:val="center"/>
        <w:rPr>
          <w:rFonts w:hint="eastAsia" w:ascii="仿宋_GB2312" w:hAnsi="华文仿宋" w:eastAsia="仿宋_GB2312"/>
          <w:sz w:val="21"/>
          <w:szCs w:val="21"/>
          <w:highlight w:val="none"/>
        </w:rPr>
      </w:pPr>
    </w:p>
    <w:p>
      <w:pPr>
        <w:jc w:val="center"/>
        <w:rPr>
          <w:rFonts w:hint="eastAsia" w:ascii="仿宋_GB2312" w:hAnsi="华文仿宋" w:eastAsia="仿宋_GB2312"/>
          <w:sz w:val="21"/>
          <w:szCs w:val="21"/>
          <w:highlight w:val="none"/>
        </w:rPr>
      </w:pPr>
    </w:p>
    <w:p>
      <w:pPr>
        <w:jc w:val="center"/>
        <w:rPr>
          <w:rFonts w:hint="eastAsia" w:ascii="仿宋_GB2312" w:hAnsi="华文仿宋" w:eastAsia="仿宋_GB2312"/>
          <w:sz w:val="21"/>
          <w:szCs w:val="21"/>
          <w:highlight w:val="none"/>
        </w:rPr>
      </w:pPr>
    </w:p>
    <w:p>
      <w:pPr>
        <w:jc w:val="center"/>
        <w:rPr>
          <w:rFonts w:hint="eastAsia" w:ascii="仿宋_GB2312" w:hAnsi="华文仿宋" w:eastAsia="仿宋_GB2312"/>
          <w:sz w:val="21"/>
          <w:szCs w:val="21"/>
          <w:highlight w:val="none"/>
        </w:rPr>
      </w:pPr>
    </w:p>
    <w:p>
      <w:pPr>
        <w:jc w:val="center"/>
        <w:rPr>
          <w:rFonts w:hint="eastAsia" w:ascii="仿宋_GB2312" w:hAnsi="华文仿宋" w:eastAsia="仿宋_GB2312"/>
          <w:sz w:val="21"/>
          <w:szCs w:val="21"/>
          <w:highlight w:val="none"/>
        </w:rPr>
      </w:pPr>
    </w:p>
    <w:p>
      <w:pPr>
        <w:jc w:val="center"/>
        <w:rPr>
          <w:rFonts w:hint="eastAsia" w:ascii="仿宋_GB2312" w:hAnsi="华文仿宋" w:eastAsia="仿宋_GB2312"/>
          <w:sz w:val="21"/>
          <w:szCs w:val="21"/>
          <w:highlight w:val="none"/>
        </w:rPr>
      </w:pPr>
    </w:p>
    <w:p>
      <w:pPr>
        <w:jc w:val="center"/>
        <w:rPr>
          <w:rFonts w:hint="eastAsia" w:ascii="仿宋_GB2312" w:hAnsi="华文仿宋" w:eastAsia="仿宋_GB2312" w:cs="Times New Roman"/>
          <w:highlight w:val="none"/>
        </w:rPr>
      </w:pPr>
      <w:r>
        <w:rPr>
          <w:rFonts w:hint="eastAsia" w:ascii="仿宋_GB2312" w:hAnsi="华文仿宋" w:eastAsia="仿宋_GB2312"/>
          <w:highlight w:val="none"/>
        </w:rPr>
        <w:t>技术条款响应偏差表</w:t>
      </w:r>
    </w:p>
    <w:tbl>
      <w:tblPr>
        <w:tblStyle w:val="34"/>
        <w:tblW w:w="8928" w:type="dxa"/>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3"/>
        <w:gridCol w:w="1419"/>
        <w:gridCol w:w="1996"/>
        <w:gridCol w:w="2100"/>
        <w:gridCol w:w="1540"/>
        <w:gridCol w:w="112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16" w:hRule="atLeast"/>
        </w:trPr>
        <w:tc>
          <w:tcPr>
            <w:tcW w:w="753" w:type="dxa"/>
            <w:tcBorders>
              <w:top w:val="double" w:color="000000" w:sz="6" w:space="0"/>
            </w:tcBorders>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9" w:type="dxa"/>
            <w:tcBorders>
              <w:top w:val="double" w:color="000000" w:sz="6" w:space="0"/>
            </w:tcBorders>
            <w:vAlign w:val="center"/>
          </w:tcPr>
          <w:p>
            <w:pPr>
              <w:ind w:firstLine="16" w:firstLineChars="8"/>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招标文件条目号</w:t>
            </w:r>
          </w:p>
        </w:tc>
        <w:tc>
          <w:tcPr>
            <w:tcW w:w="1996" w:type="dxa"/>
            <w:tcBorders>
              <w:top w:val="double" w:color="000000" w:sz="6" w:space="0"/>
            </w:tcBorders>
            <w:vAlign w:val="center"/>
          </w:tcPr>
          <w:p>
            <w:pPr>
              <w:ind w:firstLine="16" w:firstLineChars="8"/>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招标文件技术条款</w:t>
            </w:r>
          </w:p>
        </w:tc>
        <w:tc>
          <w:tcPr>
            <w:tcW w:w="2100" w:type="dxa"/>
            <w:tcBorders>
              <w:top w:val="double" w:color="000000" w:sz="6" w:space="0"/>
            </w:tcBorders>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投标文件技术条款</w:t>
            </w:r>
          </w:p>
        </w:tc>
        <w:tc>
          <w:tcPr>
            <w:tcW w:w="1540" w:type="dxa"/>
            <w:tcBorders>
              <w:top w:val="double" w:color="000000" w:sz="6" w:space="0"/>
            </w:tcBorders>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偏离</w:t>
            </w:r>
          </w:p>
        </w:tc>
        <w:tc>
          <w:tcPr>
            <w:tcW w:w="1120" w:type="dxa"/>
            <w:tcBorders>
              <w:top w:val="double" w:color="000000" w:sz="6" w:space="0"/>
            </w:tcBorders>
            <w:vAlign w:val="center"/>
          </w:tcPr>
          <w:p>
            <w:pPr>
              <w:ind w:firstLine="25" w:firstLineChars="12"/>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46" w:hRule="atLeast"/>
        </w:trPr>
        <w:tc>
          <w:tcPr>
            <w:tcW w:w="753" w:type="dxa"/>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9" w:type="dxa"/>
            <w:vAlign w:val="center"/>
          </w:tcPr>
          <w:p>
            <w:pPr>
              <w:jc w:val="center"/>
              <w:rPr>
                <w:rFonts w:hint="eastAsia" w:ascii="仿宋_GB2312" w:hAnsi="华文仿宋" w:eastAsia="仿宋_GB2312" w:cs="Times New Roman"/>
                <w:sz w:val="21"/>
                <w:szCs w:val="21"/>
                <w:highlight w:val="none"/>
              </w:rPr>
            </w:pPr>
          </w:p>
        </w:tc>
        <w:tc>
          <w:tcPr>
            <w:tcW w:w="1996" w:type="dxa"/>
            <w:vAlign w:val="center"/>
          </w:tcPr>
          <w:p>
            <w:pPr>
              <w:jc w:val="center"/>
              <w:rPr>
                <w:rFonts w:hint="eastAsia" w:ascii="仿宋_GB2312" w:hAnsi="华文仿宋" w:eastAsia="仿宋_GB2312" w:cs="Times New Roman"/>
                <w:sz w:val="21"/>
                <w:szCs w:val="21"/>
                <w:highlight w:val="none"/>
              </w:rPr>
            </w:pPr>
          </w:p>
        </w:tc>
        <w:tc>
          <w:tcPr>
            <w:tcW w:w="2100" w:type="dxa"/>
            <w:vAlign w:val="center"/>
          </w:tcPr>
          <w:p>
            <w:pPr>
              <w:jc w:val="center"/>
              <w:rPr>
                <w:rFonts w:hint="eastAsia" w:ascii="仿宋_GB2312" w:hAnsi="华文仿宋" w:eastAsia="仿宋_GB2312" w:cs="Times New Roman"/>
                <w:sz w:val="21"/>
                <w:szCs w:val="21"/>
                <w:highlight w:val="none"/>
              </w:rPr>
            </w:pPr>
          </w:p>
        </w:tc>
        <w:tc>
          <w:tcPr>
            <w:tcW w:w="1540" w:type="dxa"/>
            <w:vAlign w:val="center"/>
          </w:tcPr>
          <w:p>
            <w:pPr>
              <w:jc w:val="center"/>
              <w:rPr>
                <w:rFonts w:hint="eastAsia" w:ascii="仿宋_GB2312" w:hAnsi="华文仿宋" w:eastAsia="仿宋_GB2312" w:cs="Times New Roman"/>
                <w:sz w:val="21"/>
                <w:szCs w:val="21"/>
                <w:highlight w:val="none"/>
              </w:rPr>
            </w:pPr>
          </w:p>
        </w:tc>
        <w:tc>
          <w:tcPr>
            <w:tcW w:w="1120" w:type="dxa"/>
            <w:vAlign w:val="center"/>
          </w:tcPr>
          <w:p>
            <w:pPr>
              <w:jc w:val="center"/>
              <w:rPr>
                <w:rFonts w:hint="eastAsia" w:ascii="仿宋_GB2312" w:hAnsi="华文仿宋" w:eastAsia="仿宋_GB2312" w:cs="Times New Roman"/>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rPr>
        <w:tc>
          <w:tcPr>
            <w:tcW w:w="753" w:type="dxa"/>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9" w:type="dxa"/>
            <w:vAlign w:val="center"/>
          </w:tcPr>
          <w:p>
            <w:pPr>
              <w:jc w:val="center"/>
              <w:rPr>
                <w:rFonts w:hint="eastAsia" w:ascii="仿宋_GB2312" w:hAnsi="华文仿宋" w:eastAsia="仿宋_GB2312" w:cs="Times New Roman"/>
                <w:sz w:val="21"/>
                <w:szCs w:val="21"/>
                <w:highlight w:val="none"/>
              </w:rPr>
            </w:pPr>
          </w:p>
        </w:tc>
        <w:tc>
          <w:tcPr>
            <w:tcW w:w="1996" w:type="dxa"/>
            <w:vAlign w:val="center"/>
          </w:tcPr>
          <w:p>
            <w:pPr>
              <w:jc w:val="center"/>
              <w:rPr>
                <w:rFonts w:hint="eastAsia" w:ascii="仿宋_GB2312" w:hAnsi="华文仿宋" w:eastAsia="仿宋_GB2312" w:cs="Times New Roman"/>
                <w:sz w:val="21"/>
                <w:szCs w:val="21"/>
                <w:highlight w:val="none"/>
              </w:rPr>
            </w:pPr>
          </w:p>
        </w:tc>
        <w:tc>
          <w:tcPr>
            <w:tcW w:w="2100" w:type="dxa"/>
            <w:vAlign w:val="center"/>
          </w:tcPr>
          <w:p>
            <w:pPr>
              <w:jc w:val="center"/>
              <w:rPr>
                <w:rFonts w:hint="eastAsia" w:ascii="仿宋_GB2312" w:hAnsi="华文仿宋" w:eastAsia="仿宋_GB2312" w:cs="Times New Roman"/>
                <w:sz w:val="21"/>
                <w:szCs w:val="21"/>
                <w:highlight w:val="none"/>
              </w:rPr>
            </w:pPr>
          </w:p>
        </w:tc>
        <w:tc>
          <w:tcPr>
            <w:tcW w:w="1540" w:type="dxa"/>
            <w:vAlign w:val="center"/>
          </w:tcPr>
          <w:p>
            <w:pPr>
              <w:jc w:val="center"/>
              <w:rPr>
                <w:rFonts w:hint="eastAsia" w:ascii="仿宋_GB2312" w:hAnsi="华文仿宋" w:eastAsia="仿宋_GB2312" w:cs="Times New Roman"/>
                <w:sz w:val="21"/>
                <w:szCs w:val="21"/>
                <w:highlight w:val="none"/>
              </w:rPr>
            </w:pPr>
          </w:p>
        </w:tc>
        <w:tc>
          <w:tcPr>
            <w:tcW w:w="1120" w:type="dxa"/>
            <w:vAlign w:val="center"/>
          </w:tcPr>
          <w:p>
            <w:pPr>
              <w:jc w:val="center"/>
              <w:rPr>
                <w:rFonts w:hint="eastAsia" w:ascii="仿宋_GB2312" w:hAnsi="华文仿宋" w:eastAsia="仿宋_GB2312" w:cs="Times New Roman"/>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47" w:hRule="atLeast"/>
        </w:trPr>
        <w:tc>
          <w:tcPr>
            <w:tcW w:w="753" w:type="dxa"/>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9" w:type="dxa"/>
            <w:vAlign w:val="center"/>
          </w:tcPr>
          <w:p>
            <w:pPr>
              <w:jc w:val="center"/>
              <w:rPr>
                <w:rFonts w:hint="eastAsia" w:ascii="仿宋_GB2312" w:hAnsi="华文仿宋" w:eastAsia="仿宋_GB2312" w:cs="Times New Roman"/>
                <w:sz w:val="21"/>
                <w:szCs w:val="21"/>
                <w:highlight w:val="none"/>
              </w:rPr>
            </w:pPr>
          </w:p>
        </w:tc>
        <w:tc>
          <w:tcPr>
            <w:tcW w:w="1996" w:type="dxa"/>
            <w:vAlign w:val="center"/>
          </w:tcPr>
          <w:p>
            <w:pPr>
              <w:jc w:val="center"/>
              <w:rPr>
                <w:rFonts w:hint="eastAsia" w:ascii="仿宋_GB2312" w:hAnsi="华文仿宋" w:eastAsia="仿宋_GB2312" w:cs="Times New Roman"/>
                <w:sz w:val="21"/>
                <w:szCs w:val="21"/>
                <w:highlight w:val="none"/>
              </w:rPr>
            </w:pPr>
          </w:p>
        </w:tc>
        <w:tc>
          <w:tcPr>
            <w:tcW w:w="2100" w:type="dxa"/>
            <w:vAlign w:val="center"/>
          </w:tcPr>
          <w:p>
            <w:pPr>
              <w:jc w:val="center"/>
              <w:rPr>
                <w:rFonts w:hint="eastAsia" w:ascii="仿宋_GB2312" w:hAnsi="华文仿宋" w:eastAsia="仿宋_GB2312" w:cs="Times New Roman"/>
                <w:sz w:val="21"/>
                <w:szCs w:val="21"/>
                <w:highlight w:val="none"/>
              </w:rPr>
            </w:pPr>
          </w:p>
        </w:tc>
        <w:tc>
          <w:tcPr>
            <w:tcW w:w="1540" w:type="dxa"/>
            <w:vAlign w:val="center"/>
          </w:tcPr>
          <w:p>
            <w:pPr>
              <w:jc w:val="center"/>
              <w:rPr>
                <w:rFonts w:hint="eastAsia" w:ascii="仿宋_GB2312" w:hAnsi="华文仿宋" w:eastAsia="仿宋_GB2312" w:cs="Times New Roman"/>
                <w:sz w:val="21"/>
                <w:szCs w:val="21"/>
                <w:highlight w:val="none"/>
              </w:rPr>
            </w:pPr>
          </w:p>
        </w:tc>
        <w:tc>
          <w:tcPr>
            <w:tcW w:w="1120" w:type="dxa"/>
            <w:vAlign w:val="center"/>
          </w:tcPr>
          <w:p>
            <w:pPr>
              <w:jc w:val="center"/>
              <w:rPr>
                <w:rFonts w:hint="eastAsia" w:ascii="仿宋_GB2312" w:hAnsi="华文仿宋" w:eastAsia="仿宋_GB2312" w:cs="Times New Roman"/>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41" w:hRule="atLeast"/>
        </w:trPr>
        <w:tc>
          <w:tcPr>
            <w:tcW w:w="753" w:type="dxa"/>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9" w:type="dxa"/>
            <w:vAlign w:val="center"/>
          </w:tcPr>
          <w:p>
            <w:pPr>
              <w:jc w:val="center"/>
              <w:rPr>
                <w:rFonts w:hint="eastAsia" w:ascii="仿宋_GB2312" w:hAnsi="华文仿宋" w:eastAsia="仿宋_GB2312" w:cs="Times New Roman"/>
                <w:sz w:val="21"/>
                <w:szCs w:val="21"/>
                <w:highlight w:val="none"/>
              </w:rPr>
            </w:pPr>
          </w:p>
        </w:tc>
        <w:tc>
          <w:tcPr>
            <w:tcW w:w="1996" w:type="dxa"/>
            <w:vAlign w:val="center"/>
          </w:tcPr>
          <w:p>
            <w:pPr>
              <w:jc w:val="center"/>
              <w:rPr>
                <w:rFonts w:hint="eastAsia" w:ascii="仿宋_GB2312" w:hAnsi="华文仿宋" w:eastAsia="仿宋_GB2312" w:cs="Times New Roman"/>
                <w:sz w:val="21"/>
                <w:szCs w:val="21"/>
                <w:highlight w:val="none"/>
              </w:rPr>
            </w:pPr>
          </w:p>
        </w:tc>
        <w:tc>
          <w:tcPr>
            <w:tcW w:w="2100" w:type="dxa"/>
            <w:vAlign w:val="center"/>
          </w:tcPr>
          <w:p>
            <w:pPr>
              <w:jc w:val="center"/>
              <w:rPr>
                <w:rFonts w:hint="eastAsia" w:ascii="仿宋_GB2312" w:hAnsi="华文仿宋" w:eastAsia="仿宋_GB2312" w:cs="Times New Roman"/>
                <w:sz w:val="21"/>
                <w:szCs w:val="21"/>
                <w:highlight w:val="none"/>
              </w:rPr>
            </w:pPr>
          </w:p>
        </w:tc>
        <w:tc>
          <w:tcPr>
            <w:tcW w:w="1540" w:type="dxa"/>
            <w:vAlign w:val="center"/>
          </w:tcPr>
          <w:p>
            <w:pPr>
              <w:jc w:val="center"/>
              <w:rPr>
                <w:rFonts w:hint="eastAsia" w:ascii="仿宋_GB2312" w:hAnsi="华文仿宋" w:eastAsia="仿宋_GB2312" w:cs="Times New Roman"/>
                <w:sz w:val="21"/>
                <w:szCs w:val="21"/>
                <w:highlight w:val="none"/>
              </w:rPr>
            </w:pPr>
          </w:p>
        </w:tc>
        <w:tc>
          <w:tcPr>
            <w:tcW w:w="1120" w:type="dxa"/>
            <w:vAlign w:val="center"/>
          </w:tcPr>
          <w:p>
            <w:pPr>
              <w:jc w:val="center"/>
              <w:rPr>
                <w:rFonts w:hint="eastAsia" w:ascii="仿宋_GB2312" w:hAnsi="华文仿宋" w:eastAsia="仿宋_GB2312" w:cs="Times New Roman"/>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3" w:hRule="atLeast"/>
        </w:trPr>
        <w:tc>
          <w:tcPr>
            <w:tcW w:w="753" w:type="dxa"/>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9" w:type="dxa"/>
            <w:vAlign w:val="center"/>
          </w:tcPr>
          <w:p>
            <w:pPr>
              <w:jc w:val="center"/>
              <w:rPr>
                <w:rFonts w:hint="eastAsia" w:ascii="仿宋_GB2312" w:hAnsi="华文仿宋" w:eastAsia="仿宋_GB2312" w:cs="Times New Roman"/>
                <w:sz w:val="21"/>
                <w:szCs w:val="21"/>
                <w:highlight w:val="none"/>
              </w:rPr>
            </w:pPr>
          </w:p>
        </w:tc>
        <w:tc>
          <w:tcPr>
            <w:tcW w:w="1996" w:type="dxa"/>
            <w:vAlign w:val="center"/>
          </w:tcPr>
          <w:p>
            <w:pPr>
              <w:jc w:val="center"/>
              <w:rPr>
                <w:rFonts w:hint="eastAsia" w:ascii="仿宋_GB2312" w:hAnsi="华文仿宋" w:eastAsia="仿宋_GB2312" w:cs="Times New Roman"/>
                <w:sz w:val="21"/>
                <w:szCs w:val="21"/>
                <w:highlight w:val="none"/>
              </w:rPr>
            </w:pPr>
          </w:p>
        </w:tc>
        <w:tc>
          <w:tcPr>
            <w:tcW w:w="2100" w:type="dxa"/>
            <w:vAlign w:val="center"/>
          </w:tcPr>
          <w:p>
            <w:pPr>
              <w:jc w:val="center"/>
              <w:rPr>
                <w:rFonts w:hint="eastAsia" w:ascii="仿宋_GB2312" w:hAnsi="华文仿宋" w:eastAsia="仿宋_GB2312" w:cs="Times New Roman"/>
                <w:sz w:val="21"/>
                <w:szCs w:val="21"/>
                <w:highlight w:val="none"/>
              </w:rPr>
            </w:pPr>
          </w:p>
        </w:tc>
        <w:tc>
          <w:tcPr>
            <w:tcW w:w="1540" w:type="dxa"/>
            <w:vAlign w:val="center"/>
          </w:tcPr>
          <w:p>
            <w:pPr>
              <w:jc w:val="center"/>
              <w:rPr>
                <w:rFonts w:hint="eastAsia" w:ascii="仿宋_GB2312" w:hAnsi="华文仿宋" w:eastAsia="仿宋_GB2312" w:cs="Times New Roman"/>
                <w:sz w:val="21"/>
                <w:szCs w:val="21"/>
                <w:highlight w:val="none"/>
              </w:rPr>
            </w:pPr>
          </w:p>
        </w:tc>
        <w:tc>
          <w:tcPr>
            <w:tcW w:w="1120" w:type="dxa"/>
            <w:vAlign w:val="center"/>
          </w:tcPr>
          <w:p>
            <w:pPr>
              <w:jc w:val="center"/>
              <w:rPr>
                <w:rFonts w:hint="eastAsia" w:ascii="仿宋_GB2312" w:hAnsi="华文仿宋" w:eastAsia="仿宋_GB2312" w:cs="Times New Roman"/>
                <w:sz w:val="21"/>
                <w:szCs w:val="21"/>
                <w:highlight w:val="none"/>
              </w:rPr>
            </w:pPr>
          </w:p>
        </w:tc>
      </w:tr>
    </w:tbl>
    <w:p>
      <w:pPr>
        <w:spacing w:line="240" w:lineRule="exact"/>
        <w:rPr>
          <w:highlight w:val="none"/>
        </w:rPr>
        <w:sectPr>
          <w:pgSz w:w="11906" w:h="16838"/>
          <w:pgMar w:top="1858" w:right="1418" w:bottom="1540" w:left="1418" w:header="1179" w:footer="1094" w:gutter="0"/>
          <w:pgNumType w:fmt="numberInDash"/>
          <w:cols w:space="720" w:num="1"/>
          <w:docGrid w:linePitch="326" w:charSpace="0"/>
        </w:sectPr>
      </w:pPr>
    </w:p>
    <w:p>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7</w:t>
      </w:r>
      <w:r>
        <w:rPr>
          <w:rFonts w:ascii="仿宋_GB2312" w:eastAsia="仿宋_GB2312" w:cs="宋体" w:hAnsiTheme="minorEastAsia"/>
          <w:b/>
          <w:w w:val="90"/>
          <w:highlight w:val="none"/>
        </w:rPr>
        <w:t>.</w:t>
      </w:r>
    </w:p>
    <w:p>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其他资格证明文件</w:t>
      </w:r>
    </w:p>
    <w:p>
      <w:pPr>
        <w:spacing w:before="240" w:beforeLines="100" w:after="120" w:afterLines="50" w:line="400" w:lineRule="exact"/>
        <w:ind w:firstLine="422" w:firstLineChars="200"/>
        <w:jc w:val="left"/>
        <w:rPr>
          <w:rFonts w:hint="eastAsia" w:ascii="仿宋_GB2312" w:hAnsi="华文仿宋" w:eastAsia="仿宋_GB2312"/>
          <w:b/>
          <w:sz w:val="21"/>
          <w:szCs w:val="21"/>
          <w:highlight w:val="none"/>
        </w:rPr>
      </w:pPr>
      <w:r>
        <w:rPr>
          <w:rFonts w:hint="eastAsia" w:ascii="仿宋_GB2312" w:hAnsi="华文仿宋" w:eastAsia="仿宋_GB2312"/>
          <w:b/>
          <w:sz w:val="21"/>
          <w:szCs w:val="21"/>
          <w:highlight w:val="none"/>
        </w:rPr>
        <w:t>商务部分</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中华人民共和国企业法人营业执照、税务登记证、组织机构代码证；</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中华人民共和国中外合资经营企业批准证书（仅对中外合资经营企业）；</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 xml:space="preserve">产品生产许可证或销售许可证；   </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产品鉴定证书和检测报告；</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企业ISO9000和ISO14000证书；</w:t>
      </w:r>
    </w:p>
    <w:p>
      <w:pPr>
        <w:adjustRightInd w:val="0"/>
        <w:snapToGrid w:val="0"/>
        <w:spacing w:line="400" w:lineRule="exact"/>
        <w:ind w:firstLine="420" w:firstLineChars="200"/>
        <w:jc w:val="left"/>
        <w:textAlignment w:val="baseline"/>
        <w:rPr>
          <w:rFonts w:hint="eastAsia" w:ascii="仿宋_GB2312" w:eastAsia="仿宋_GB2312" w:hAnsiTheme="minorEastAsia"/>
          <w:sz w:val="21"/>
          <w:szCs w:val="21"/>
          <w:highlight w:val="none"/>
          <w:lang w:eastAsia="zh-CN"/>
        </w:rPr>
      </w:pP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增值税一般纳税人资格登记表；</w:t>
      </w:r>
      <w:r>
        <w:rPr>
          <w:rFonts w:hint="eastAsia" w:ascii="仿宋_GB2312" w:eastAsia="仿宋_GB2312" w:hAnsiTheme="minorEastAsia"/>
          <w:sz w:val="21"/>
          <w:szCs w:val="21"/>
          <w:highlight w:val="none"/>
          <w:lang w:eastAsia="zh-CN"/>
        </w:rPr>
        <w:t>（如有）</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7.</w:t>
      </w:r>
      <w:r>
        <w:rPr>
          <w:rFonts w:hint="eastAsia" w:ascii="仿宋_GB2312" w:eastAsia="仿宋_GB2312" w:hAnsiTheme="minorEastAsia"/>
          <w:sz w:val="21"/>
          <w:szCs w:val="21"/>
          <w:highlight w:val="none"/>
        </w:rPr>
        <w:t>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财产被接管、冻结，破产状态等情况（附录</w:t>
      </w:r>
      <w:r>
        <w:rPr>
          <w:rFonts w:ascii="仿宋_GB2312" w:eastAsia="仿宋_GB2312" w:hAnsiTheme="minorEastAsia"/>
          <w:sz w:val="21"/>
          <w:szCs w:val="21"/>
          <w:highlight w:val="none"/>
        </w:rPr>
        <w:t>12</w:t>
      </w:r>
      <w:r>
        <w:rPr>
          <w:rFonts w:hint="eastAsia" w:ascii="仿宋_GB2312" w:eastAsia="仿宋_GB2312" w:hAnsiTheme="minorEastAsia"/>
          <w:sz w:val="21"/>
          <w:szCs w:val="21"/>
          <w:highlight w:val="none"/>
        </w:rPr>
        <w:t>）；</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8.</w:t>
      </w:r>
      <w:r>
        <w:rPr>
          <w:rFonts w:hint="eastAsia" w:ascii="仿宋_GB2312" w:eastAsia="仿宋_GB2312" w:hAnsiTheme="minorEastAsia"/>
          <w:sz w:val="21"/>
          <w:szCs w:val="21"/>
          <w:highlight w:val="none"/>
        </w:rPr>
        <w:t>业绩证明资料（近三年的类似工程施工合同复印件，提供原件备查）；</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9.劳动保护用品资料；</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10.易燃易爆化学危险品资料；</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11</w:t>
      </w:r>
      <w:r>
        <w:rPr>
          <w:rFonts w:ascii="仿宋_GB2312" w:eastAsia="仿宋_GB2312" w:hAnsiTheme="minorEastAsia"/>
          <w:sz w:val="21"/>
          <w:szCs w:val="21"/>
          <w:highlight w:val="none"/>
        </w:rPr>
        <w:t>.</w:t>
      </w:r>
      <w:r>
        <w:rPr>
          <w:rFonts w:hint="eastAsia" w:ascii="仿宋_GB2312" w:eastAsia="仿宋_GB2312" w:hAnsiTheme="minorEastAsia"/>
          <w:sz w:val="21"/>
          <w:szCs w:val="21"/>
          <w:highlight w:val="none"/>
        </w:rPr>
        <w:t>投标人认为必要的其它文件和资料。</w:t>
      </w:r>
    </w:p>
    <w:p>
      <w:pPr>
        <w:spacing w:before="240" w:beforeLines="100" w:after="120" w:afterLines="50" w:line="400" w:lineRule="exact"/>
        <w:ind w:firstLine="422" w:firstLineChars="200"/>
        <w:jc w:val="left"/>
        <w:rPr>
          <w:rFonts w:hint="eastAsia" w:ascii="仿宋_GB2312" w:hAnsi="华文仿宋" w:eastAsia="仿宋_GB2312"/>
          <w:b/>
          <w:sz w:val="21"/>
          <w:szCs w:val="21"/>
          <w:highlight w:val="none"/>
        </w:rPr>
      </w:pPr>
      <w:r>
        <w:rPr>
          <w:rFonts w:hint="eastAsia" w:ascii="仿宋_GB2312" w:hAnsi="华文仿宋" w:eastAsia="仿宋_GB2312"/>
          <w:b/>
          <w:sz w:val="21"/>
          <w:szCs w:val="21"/>
          <w:highlight w:val="none"/>
        </w:rPr>
        <w:t>技术部分</w:t>
      </w:r>
    </w:p>
    <w:p>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w:t>
      </w:r>
      <w:r>
        <w:rPr>
          <w:rFonts w:hint="eastAsia" w:ascii="仿宋_GB2312" w:hAnsi="华文仿宋" w:eastAsia="仿宋_GB2312"/>
          <w:sz w:val="21"/>
          <w:szCs w:val="21"/>
          <w:highlight w:val="none"/>
        </w:rPr>
        <w:t>主要原材料的来源、性能指标及采用标准；</w:t>
      </w:r>
    </w:p>
    <w:p>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2.</w:t>
      </w:r>
      <w:r>
        <w:rPr>
          <w:rFonts w:hint="eastAsia" w:ascii="仿宋_GB2312" w:hAnsi="华文仿宋" w:eastAsia="仿宋_GB2312"/>
          <w:sz w:val="21"/>
          <w:szCs w:val="21"/>
          <w:highlight w:val="none"/>
        </w:rPr>
        <w:t>近3年内省、部级以上检验、检测机构出具的投标物资质量检验报告（复印件）；</w:t>
      </w:r>
    </w:p>
    <w:p>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3.</w:t>
      </w:r>
      <w:r>
        <w:rPr>
          <w:rFonts w:hint="eastAsia" w:ascii="仿宋_GB2312" w:hAnsi="华文仿宋" w:eastAsia="仿宋_GB2312"/>
          <w:sz w:val="21"/>
          <w:szCs w:val="21"/>
          <w:highlight w:val="none"/>
        </w:rPr>
        <w:t>投标物资的生产质量保证措施；</w:t>
      </w:r>
    </w:p>
    <w:p>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5.</w:t>
      </w:r>
      <w:r>
        <w:rPr>
          <w:rFonts w:hint="eastAsia" w:ascii="仿宋_GB2312" w:hAnsi="华文仿宋" w:eastAsia="仿宋_GB2312"/>
          <w:sz w:val="21"/>
          <w:szCs w:val="21"/>
          <w:highlight w:val="none"/>
        </w:rPr>
        <w:t>投标人须提供售后服务承诺；</w:t>
      </w:r>
    </w:p>
    <w:p>
      <w:pPr>
        <w:spacing w:line="400" w:lineRule="exact"/>
        <w:ind w:firstLine="420" w:firstLineChars="200"/>
        <w:jc w:val="left"/>
        <w:rPr>
          <w:rFonts w:hint="eastAsia" w:ascii="仿宋_GB2312" w:hAnsi="华文仿宋" w:eastAsia="仿宋_GB2312"/>
          <w:sz w:val="21"/>
          <w:szCs w:val="21"/>
          <w:highlight w:val="none"/>
        </w:rPr>
      </w:pPr>
      <w:r>
        <w:rPr>
          <w:rFonts w:ascii="仿宋_GB2312" w:hAnsi="华文仿宋" w:eastAsia="仿宋_GB2312"/>
          <w:sz w:val="21"/>
          <w:szCs w:val="21"/>
          <w:highlight w:val="none"/>
        </w:rPr>
        <w:t>6.</w:t>
      </w:r>
      <w:r>
        <w:rPr>
          <w:rFonts w:hint="eastAsia" w:ascii="仿宋_GB2312" w:hAnsi="华文仿宋" w:eastAsia="仿宋_GB2312"/>
          <w:sz w:val="21"/>
          <w:szCs w:val="21"/>
          <w:highlight w:val="none"/>
        </w:rPr>
        <w:t xml:space="preserve">投标人认为需要补充的其它文件或资料。 </w:t>
      </w:r>
    </w:p>
    <w:p>
      <w:pPr>
        <w:spacing w:line="400" w:lineRule="exact"/>
        <w:ind w:firstLine="200"/>
        <w:jc w:val="left"/>
        <w:rPr>
          <w:rFonts w:ascii="仿宋_GB2312" w:eastAsia="仿宋_GB2312" w:cs="宋体" w:hAnsiTheme="minorEastAsia"/>
          <w:highlight w:val="none"/>
        </w:rPr>
      </w:pPr>
    </w:p>
    <w:p>
      <w:pPr>
        <w:widowControl/>
        <w:jc w:val="center"/>
        <w:rPr>
          <w:rFonts w:ascii="仿宋_GB2312" w:eastAsia="仿宋_GB2312" w:hAnsiTheme="majorEastAsia"/>
          <w:b/>
          <w:bCs/>
          <w:sz w:val="28"/>
          <w:szCs w:val="28"/>
          <w:highlight w:val="none"/>
        </w:rPr>
      </w:pPr>
    </w:p>
    <w:p>
      <w:pPr>
        <w:widowControl/>
        <w:jc w:val="center"/>
        <w:rPr>
          <w:rFonts w:ascii="仿宋_GB2312" w:eastAsia="仿宋_GB2312" w:hAnsiTheme="majorEastAsia"/>
          <w:b/>
          <w:bCs/>
          <w:sz w:val="28"/>
          <w:szCs w:val="28"/>
          <w:highlight w:val="none"/>
        </w:rPr>
      </w:pPr>
    </w:p>
    <w:p>
      <w:pPr>
        <w:widowControl/>
        <w:jc w:val="center"/>
        <w:rPr>
          <w:rFonts w:ascii="仿宋_GB2312" w:eastAsia="仿宋_GB2312" w:hAnsiTheme="majorEastAsia"/>
          <w:b/>
          <w:bCs/>
          <w:sz w:val="28"/>
          <w:szCs w:val="28"/>
          <w:highlight w:val="none"/>
        </w:rPr>
      </w:pPr>
    </w:p>
    <w:p>
      <w:pPr>
        <w:pStyle w:val="2"/>
        <w:rPr>
          <w:rFonts w:ascii="仿宋_GB2312" w:eastAsia="仿宋_GB2312" w:hAnsiTheme="majorEastAsia"/>
          <w:b/>
          <w:bCs/>
          <w:sz w:val="28"/>
          <w:szCs w:val="28"/>
          <w:highlight w:val="none"/>
        </w:rPr>
      </w:pPr>
    </w:p>
    <w:p>
      <w:pPr>
        <w:pStyle w:val="2"/>
        <w:rPr>
          <w:rFonts w:ascii="仿宋_GB2312" w:eastAsia="仿宋_GB2312" w:hAnsiTheme="majorEastAsia"/>
          <w:b/>
          <w:bCs/>
          <w:sz w:val="28"/>
          <w:szCs w:val="28"/>
          <w:highlight w:val="none"/>
        </w:rPr>
      </w:pPr>
    </w:p>
    <w:p>
      <w:pPr>
        <w:pStyle w:val="2"/>
        <w:rPr>
          <w:rFonts w:ascii="仿宋_GB2312" w:eastAsia="仿宋_GB2312" w:hAnsiTheme="majorEastAsia"/>
          <w:b/>
          <w:bCs/>
          <w:sz w:val="28"/>
          <w:szCs w:val="28"/>
          <w:highlight w:val="none"/>
        </w:rPr>
      </w:pPr>
    </w:p>
    <w:p>
      <w:pPr>
        <w:pStyle w:val="2"/>
        <w:rPr>
          <w:rFonts w:ascii="仿宋_GB2312" w:eastAsia="仿宋_GB2312" w:hAnsiTheme="majorEastAsia"/>
          <w:b/>
          <w:bCs/>
          <w:sz w:val="28"/>
          <w:szCs w:val="28"/>
          <w:highlight w:val="none"/>
        </w:rPr>
      </w:pPr>
    </w:p>
    <w:p>
      <w:pPr>
        <w:pStyle w:val="2"/>
        <w:rPr>
          <w:rFonts w:ascii="仿宋_GB2312" w:eastAsia="仿宋_GB2312" w:hAnsiTheme="majorEastAsia"/>
          <w:b/>
          <w:bCs/>
          <w:sz w:val="28"/>
          <w:szCs w:val="28"/>
          <w:highlight w:val="none"/>
        </w:rPr>
      </w:pPr>
    </w:p>
    <w:p>
      <w:pPr>
        <w:widowControl/>
        <w:jc w:val="center"/>
        <w:rPr>
          <w:rFonts w:ascii="仿宋_GB2312" w:eastAsia="仿宋_GB2312" w:hAnsiTheme="majorEastAsia"/>
          <w:b/>
          <w:bCs/>
          <w:sz w:val="28"/>
          <w:szCs w:val="28"/>
          <w:highlight w:val="none"/>
        </w:rPr>
      </w:pPr>
    </w:p>
    <w:p>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第四部分  合同文件</w:t>
      </w:r>
    </w:p>
    <w:p>
      <w:pPr>
        <w:spacing w:line="220" w:lineRule="atLeast"/>
        <w:jc w:val="center"/>
        <w:rPr>
          <w:rFonts w:hint="eastAsia" w:ascii="宋体" w:hAnsi="宋体" w:eastAsia="宋体" w:cs="宋体"/>
          <w:b/>
          <w:sz w:val="52"/>
          <w:szCs w:val="52"/>
          <w:highlight w:val="none"/>
        </w:rPr>
      </w:pPr>
    </w:p>
    <w:p>
      <w:pPr>
        <w:spacing w:line="220" w:lineRule="atLeast"/>
        <w:jc w:val="center"/>
        <w:rPr>
          <w:rFonts w:hint="eastAsia" w:ascii="宋体" w:hAnsi="宋体" w:eastAsia="宋体" w:cs="宋体"/>
          <w:b/>
          <w:sz w:val="52"/>
          <w:szCs w:val="52"/>
          <w:highlight w:val="none"/>
        </w:rPr>
      </w:pPr>
    </w:p>
    <w:p>
      <w:pPr>
        <w:spacing w:line="220" w:lineRule="atLeast"/>
        <w:jc w:val="center"/>
        <w:rPr>
          <w:rFonts w:hint="eastAsia" w:ascii="宋体" w:hAnsi="宋体" w:eastAsia="宋体" w:cs="宋体"/>
          <w:b/>
          <w:sz w:val="52"/>
          <w:szCs w:val="52"/>
          <w:highlight w:val="none"/>
        </w:rPr>
      </w:pPr>
      <w:r>
        <w:rPr>
          <w:rFonts w:hint="eastAsia" w:ascii="宋体" w:hAnsi="宋体" w:eastAsia="宋体" w:cs="宋体"/>
          <w:b/>
          <w:sz w:val="52"/>
          <w:szCs w:val="52"/>
          <w:highlight w:val="none"/>
        </w:rPr>
        <w:t>物资购销合同</w:t>
      </w:r>
    </w:p>
    <w:p>
      <w:pPr>
        <w:spacing w:line="220" w:lineRule="atLeast"/>
        <w:jc w:val="center"/>
        <w:rPr>
          <w:rFonts w:hint="eastAsia" w:ascii="宋体" w:hAnsi="宋体" w:eastAsia="宋体" w:cs="宋体"/>
          <w:sz w:val="28"/>
          <w:szCs w:val="28"/>
          <w:highlight w:val="none"/>
        </w:rPr>
      </w:pPr>
    </w:p>
    <w:p>
      <w:pPr>
        <w:spacing w:line="220" w:lineRule="atLeas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w:t>
      </w:r>
    </w:p>
    <w:p>
      <w:pPr>
        <w:spacing w:line="360" w:lineRule="auto"/>
        <w:rPr>
          <w:rFonts w:hint="eastAsia" w:ascii="宋体" w:hAnsi="宋体" w:eastAsia="宋体" w:cs="宋体"/>
          <w:b/>
          <w:sz w:val="24"/>
          <w:highlight w:val="none"/>
          <w:u w:val="single"/>
        </w:rPr>
      </w:pPr>
    </w:p>
    <w:p>
      <w:pPr>
        <w:spacing w:line="360" w:lineRule="auto"/>
        <w:rPr>
          <w:rFonts w:hint="eastAsia" w:ascii="宋体" w:hAnsi="宋体" w:eastAsia="宋体" w:cs="宋体"/>
          <w:b/>
          <w:sz w:val="24"/>
          <w:highlight w:val="none"/>
          <w:u w:val="single"/>
        </w:rPr>
      </w:pPr>
    </w:p>
    <w:p>
      <w:pPr>
        <w:spacing w:line="360" w:lineRule="auto"/>
        <w:rPr>
          <w:rFonts w:hint="eastAsia" w:ascii="宋体" w:hAnsi="宋体" w:eastAsia="宋体" w:cs="宋体"/>
          <w:b/>
          <w:sz w:val="24"/>
          <w:highlight w:val="none"/>
          <w:u w:val="single"/>
        </w:rPr>
      </w:pPr>
    </w:p>
    <w:p>
      <w:pPr>
        <w:spacing w:line="360" w:lineRule="auto"/>
        <w:rPr>
          <w:rFonts w:hint="eastAsia" w:ascii="宋体" w:hAnsi="宋体" w:eastAsia="宋体" w:cs="宋体"/>
          <w:b/>
          <w:sz w:val="24"/>
          <w:highlight w:val="none"/>
          <w:u w:val="single"/>
        </w:rPr>
      </w:pPr>
    </w:p>
    <w:p>
      <w:pPr>
        <w:pStyle w:val="2"/>
        <w:rPr>
          <w:rFonts w:hint="eastAsia" w:ascii="宋体" w:hAnsi="宋体" w:eastAsia="宋体" w:cs="宋体"/>
          <w:b/>
          <w:sz w:val="24"/>
          <w:highlight w:val="none"/>
          <w:u w:val="single"/>
        </w:rPr>
      </w:pPr>
    </w:p>
    <w:p>
      <w:pPr>
        <w:pStyle w:val="2"/>
        <w:rPr>
          <w:rFonts w:hint="eastAsia" w:ascii="宋体" w:hAnsi="宋体" w:eastAsia="宋体" w:cs="宋体"/>
          <w:b/>
          <w:sz w:val="24"/>
          <w:highlight w:val="none"/>
          <w:u w:val="single"/>
        </w:rPr>
      </w:pPr>
    </w:p>
    <w:p>
      <w:pPr>
        <w:pStyle w:val="2"/>
        <w:rPr>
          <w:rFonts w:hint="eastAsia" w:ascii="宋体" w:hAnsi="宋体" w:eastAsia="宋体" w:cs="宋体"/>
          <w:b/>
          <w:sz w:val="24"/>
          <w:highlight w:val="none"/>
          <w:u w:val="single"/>
        </w:rPr>
      </w:pPr>
    </w:p>
    <w:p>
      <w:pPr>
        <w:pStyle w:val="2"/>
        <w:rPr>
          <w:rFonts w:hint="eastAsia" w:ascii="宋体" w:hAnsi="宋体" w:eastAsia="宋体" w:cs="宋体"/>
          <w:b/>
          <w:sz w:val="24"/>
          <w:highlight w:val="none"/>
          <w:u w:val="single"/>
        </w:rPr>
      </w:pPr>
    </w:p>
    <w:p>
      <w:pPr>
        <w:pStyle w:val="2"/>
        <w:rPr>
          <w:rFonts w:hint="eastAsia" w:ascii="宋体" w:hAnsi="宋体" w:eastAsia="宋体" w:cs="宋体"/>
          <w:b/>
          <w:sz w:val="24"/>
          <w:highlight w:val="none"/>
          <w:u w:val="single"/>
        </w:rPr>
      </w:pPr>
    </w:p>
    <w:p>
      <w:pPr>
        <w:pStyle w:val="2"/>
        <w:rPr>
          <w:rFonts w:hint="eastAsia" w:ascii="宋体" w:hAnsi="宋体" w:eastAsia="宋体" w:cs="宋体"/>
          <w:b/>
          <w:sz w:val="24"/>
          <w:highlight w:val="none"/>
          <w:u w:val="single"/>
        </w:rPr>
      </w:pPr>
    </w:p>
    <w:p>
      <w:pPr>
        <w:spacing w:line="360" w:lineRule="auto"/>
        <w:rPr>
          <w:rFonts w:hint="eastAsia" w:ascii="宋体" w:hAnsi="宋体" w:eastAsia="宋体" w:cs="宋体"/>
          <w:b/>
          <w:sz w:val="24"/>
          <w:highlight w:val="none"/>
          <w:u w:val="single"/>
        </w:rPr>
      </w:pPr>
    </w:p>
    <w:p>
      <w:pPr>
        <w:spacing w:line="360" w:lineRule="auto"/>
        <w:rPr>
          <w:rFonts w:hint="eastAsia" w:ascii="宋体" w:hAnsi="宋体" w:eastAsia="宋体" w:cs="宋体"/>
          <w:b/>
          <w:sz w:val="24"/>
          <w:highlight w:val="none"/>
          <w:u w:val="single"/>
        </w:rPr>
      </w:pPr>
      <w:r>
        <w:rPr>
          <w:rFonts w:hint="eastAsia" w:ascii="宋体" w:hAnsi="宋体" w:eastAsia="宋体" w:cs="宋体"/>
          <w:b/>
          <w:sz w:val="24"/>
          <w:highlight w:val="none"/>
          <w:u w:val="single"/>
        </w:rPr>
        <w:br w:type="textWrapping"/>
      </w:r>
    </w:p>
    <w:p>
      <w:pPr>
        <w:spacing w:line="360" w:lineRule="auto"/>
        <w:ind w:firstLine="2520" w:firstLineChars="900"/>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甲方：</w:t>
      </w:r>
      <w:r>
        <w:rPr>
          <w:rFonts w:hint="eastAsia" w:ascii="宋体" w:hAnsi="宋体" w:eastAsia="宋体" w:cs="宋体"/>
          <w:sz w:val="28"/>
          <w:szCs w:val="28"/>
          <w:highlight w:val="none"/>
          <w:u w:val="single"/>
        </w:rPr>
        <w:t>中建路桥集团</w:t>
      </w:r>
      <w:r>
        <w:rPr>
          <w:rFonts w:hint="eastAsia" w:ascii="宋体" w:hAnsi="宋体" w:eastAsia="宋体" w:cs="宋体"/>
          <w:sz w:val="28"/>
          <w:szCs w:val="28"/>
          <w:highlight w:val="none"/>
          <w:u w:val="single"/>
          <w:lang w:val="en-US" w:eastAsia="zh-CN"/>
        </w:rPr>
        <w:t>高速公路养护</w:t>
      </w:r>
      <w:r>
        <w:rPr>
          <w:rFonts w:hint="eastAsia" w:ascii="宋体" w:hAnsi="宋体" w:eastAsia="宋体" w:cs="宋体"/>
          <w:sz w:val="28"/>
          <w:szCs w:val="28"/>
          <w:highlight w:val="none"/>
          <w:u w:val="single"/>
        </w:rPr>
        <w:t>有限公司</w:t>
      </w:r>
    </w:p>
    <w:p>
      <w:pPr>
        <w:spacing w:line="360" w:lineRule="auto"/>
        <w:ind w:firstLine="2520" w:firstLineChars="900"/>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乙方：</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single"/>
        </w:rPr>
        <w:t xml:space="preserve">   </w:t>
      </w:r>
    </w:p>
    <w:p>
      <w:pPr>
        <w:spacing w:line="360" w:lineRule="auto"/>
        <w:ind w:firstLine="1687" w:firstLineChars="700"/>
        <w:rPr>
          <w:rFonts w:hint="eastAsia" w:ascii="宋体" w:hAnsi="宋体" w:eastAsia="宋体" w:cs="宋体"/>
          <w:b/>
          <w:sz w:val="24"/>
          <w:highlight w:val="none"/>
          <w:u w:val="single"/>
        </w:rPr>
      </w:pPr>
    </w:p>
    <w:p>
      <w:pPr>
        <w:spacing w:line="360" w:lineRule="auto"/>
        <w:ind w:firstLine="1687" w:firstLineChars="700"/>
        <w:rPr>
          <w:rFonts w:hint="eastAsia" w:ascii="宋体" w:hAnsi="宋体" w:eastAsia="宋体" w:cs="宋体"/>
          <w:b/>
          <w:sz w:val="24"/>
          <w:highlight w:val="none"/>
          <w:u w:val="single"/>
        </w:rPr>
      </w:pPr>
    </w:p>
    <w:p>
      <w:pPr>
        <w:spacing w:line="360" w:lineRule="auto"/>
        <w:rPr>
          <w:rFonts w:hint="eastAsia" w:ascii="宋体" w:hAnsi="宋体" w:eastAsia="宋体" w:cs="宋体"/>
          <w:b/>
          <w:sz w:val="24"/>
          <w:highlight w:val="none"/>
          <w:u w:val="single"/>
        </w:rPr>
      </w:pPr>
    </w:p>
    <w:p>
      <w:pPr>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合同订立日期：</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日</w:t>
      </w:r>
    </w:p>
    <w:p>
      <w:pPr>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合同订立地点：石家庄市</w:t>
      </w:r>
    </w:p>
    <w:p>
      <w:pPr>
        <w:spacing w:line="220" w:lineRule="atLeast"/>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br w:type="page"/>
      </w:r>
      <w:r>
        <w:rPr>
          <w:rFonts w:hint="eastAsia" w:ascii="宋体" w:hAnsi="宋体" w:eastAsia="宋体" w:cs="宋体"/>
          <w:b/>
          <w:sz w:val="36"/>
          <w:szCs w:val="36"/>
          <w:highlight w:val="none"/>
        </w:rPr>
        <w:t>物资购销合同</w:t>
      </w:r>
    </w:p>
    <w:p>
      <w:pPr>
        <w:spacing w:before="249" w:beforeLines="80" w:line="220" w:lineRule="atLeast"/>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t>第一部分  合同协议书</w:t>
      </w:r>
    </w:p>
    <w:p>
      <w:pPr>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甲方（需方）：</w:t>
      </w:r>
      <w:r>
        <w:rPr>
          <w:rFonts w:hint="eastAsia" w:ascii="宋体" w:hAnsi="宋体" w:eastAsia="宋体" w:cs="宋体"/>
          <w:sz w:val="21"/>
          <w:szCs w:val="21"/>
          <w:highlight w:val="none"/>
          <w:u w:val="single"/>
        </w:rPr>
        <w:t>中建路桥集团</w:t>
      </w:r>
      <w:r>
        <w:rPr>
          <w:rFonts w:hint="eastAsia" w:ascii="宋体" w:hAnsi="宋体" w:eastAsia="宋体" w:cs="宋体"/>
          <w:sz w:val="21"/>
          <w:szCs w:val="21"/>
          <w:highlight w:val="none"/>
          <w:u w:val="single"/>
          <w:lang w:val="en-US" w:eastAsia="zh-CN"/>
        </w:rPr>
        <w:t>高速公路养护</w:t>
      </w:r>
      <w:r>
        <w:rPr>
          <w:rFonts w:hint="eastAsia" w:ascii="宋体" w:hAnsi="宋体" w:eastAsia="宋体" w:cs="宋体"/>
          <w:sz w:val="21"/>
          <w:szCs w:val="21"/>
          <w:highlight w:val="none"/>
          <w:u w:val="single"/>
        </w:rPr>
        <w:t>有限公司</w:t>
      </w:r>
    </w:p>
    <w:p>
      <w:pPr>
        <w:tabs>
          <w:tab w:val="center" w:pos="5081"/>
        </w:tabs>
        <w:spacing w:line="400" w:lineRule="exact"/>
        <w:rPr>
          <w:rFonts w:hint="eastAsia" w:ascii="宋体" w:hAnsi="宋体" w:eastAsia="宋体" w:cs="宋体"/>
          <w:sz w:val="21"/>
          <w:szCs w:val="21"/>
          <w:highlight w:val="none"/>
          <w:u w:val="single"/>
          <w:lang w:val="en-US" w:eastAsia="zh-CN"/>
        </w:rPr>
      </w:pPr>
      <w:r>
        <w:rPr>
          <w:rFonts w:hint="eastAsia" w:ascii="宋体" w:hAnsi="宋体" w:eastAsia="宋体" w:cs="宋体"/>
          <w:sz w:val="21"/>
          <w:szCs w:val="21"/>
          <w:highlight w:val="none"/>
        </w:rPr>
        <w:t>乙方（供方）：</w:t>
      </w:r>
      <w:r>
        <w:rPr>
          <w:rFonts w:hint="eastAsia" w:ascii="宋体" w:hAnsi="宋体" w:eastAsia="宋体" w:cs="宋体"/>
          <w:sz w:val="21"/>
          <w:szCs w:val="21"/>
          <w:highlight w:val="none"/>
          <w:u w:val="single"/>
          <w:lang w:val="en-US" w:eastAsia="zh-CN"/>
        </w:rPr>
        <w:t xml:space="preserve">                    </w:t>
      </w:r>
    </w:p>
    <w:p>
      <w:pPr>
        <w:tabs>
          <w:tab w:val="center" w:pos="5081"/>
        </w:tabs>
        <w:spacing w:line="400" w:lineRule="exac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依据《中华人民共和国民法典》及相关法律、法规，遵循平等、自愿、公平和诚实信用的原则，为明确甲方与乙方的权利和义务，经双方协商就物资采购事宜达成一致意见，特签订本合同，双方共同遵照执行。</w:t>
      </w:r>
    </w:p>
    <w:p>
      <w:pPr>
        <w:spacing w:line="400" w:lineRule="exact"/>
        <w:ind w:firstLine="422" w:firstLineChars="200"/>
        <w:jc w:val="left"/>
        <w:rPr>
          <w:rFonts w:hint="eastAsia" w:ascii="宋体" w:hAnsi="宋体" w:eastAsia="宋体" w:cs="宋体"/>
          <w:b/>
          <w:sz w:val="21"/>
          <w:szCs w:val="21"/>
          <w:highlight w:val="none"/>
        </w:rPr>
      </w:pPr>
      <w:r>
        <w:rPr>
          <w:rFonts w:hint="eastAsia" w:ascii="宋体" w:hAnsi="宋体" w:eastAsia="宋体" w:cs="宋体"/>
          <w:b/>
          <w:sz w:val="21"/>
          <w:szCs w:val="21"/>
          <w:highlight w:val="none"/>
        </w:rPr>
        <w:t>一、项目名称和项目地点</w:t>
      </w:r>
    </w:p>
    <w:p>
      <w:pPr>
        <w:spacing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(一)项目名称：</w:t>
      </w:r>
      <w:r>
        <w:rPr>
          <w:rFonts w:hint="eastAsia" w:ascii="宋体" w:hAnsi="宋体" w:eastAsia="宋体" w:cs="宋体"/>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晋州市2022年营里镇片高标准农田建设项目一标段</w:t>
      </w:r>
      <w:r>
        <w:rPr>
          <w:rFonts w:hint="eastAsia" w:ascii="仿宋_GB2312" w:hAnsi="仿宋" w:eastAsia="仿宋_GB2312"/>
          <w:bCs/>
          <w:sz w:val="21"/>
          <w:szCs w:val="21"/>
          <w:highlight w:val="none"/>
        </w:rPr>
        <w:t>项目</w:t>
      </w:r>
    </w:p>
    <w:p>
      <w:pPr>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(二)项目地点：</w:t>
      </w:r>
      <w:r>
        <w:rPr>
          <w:rFonts w:hint="eastAsia" w:ascii="宋体" w:hAnsi="宋体" w:eastAsia="宋体" w:cs="宋体"/>
          <w:sz w:val="21"/>
          <w:szCs w:val="21"/>
          <w:highlight w:val="none"/>
          <w:u w:val="single"/>
          <w:lang w:val="en-US" w:eastAsia="zh-CN"/>
        </w:rPr>
        <w:t>石家庄市晋州县</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pPr>
        <w:spacing w:line="400" w:lineRule="exact"/>
        <w:ind w:firstLine="422" w:firstLineChars="200"/>
        <w:rPr>
          <w:rFonts w:hint="eastAsia" w:ascii="宋体" w:hAnsi="宋体" w:eastAsia="宋体" w:cs="宋体"/>
          <w:color w:val="000000"/>
          <w:sz w:val="21"/>
          <w:szCs w:val="21"/>
          <w:highlight w:val="none"/>
          <w:u w:val="single"/>
        </w:rPr>
      </w:pPr>
      <w:r>
        <w:rPr>
          <w:rFonts w:hint="eastAsia" w:ascii="宋体" w:hAnsi="宋体" w:eastAsia="宋体" w:cs="宋体"/>
          <w:b/>
          <w:color w:val="000000"/>
          <w:sz w:val="21"/>
          <w:szCs w:val="21"/>
          <w:highlight w:val="none"/>
        </w:rPr>
        <w:t>二、物资信息</w:t>
      </w:r>
    </w:p>
    <w:p>
      <w:pPr>
        <w:spacing w:line="400" w:lineRule="exact"/>
        <w:ind w:firstLine="315" w:firstLineChars="15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(一)综合单价</w:t>
      </w:r>
    </w:p>
    <w:tbl>
      <w:tblPr>
        <w:tblStyle w:val="34"/>
        <w:tblpPr w:leftFromText="180" w:rightFromText="180" w:vertAnchor="text" w:horzAnchor="page" w:tblpX="1659" w:tblpY="158"/>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1134"/>
        <w:gridCol w:w="992"/>
        <w:gridCol w:w="709"/>
        <w:gridCol w:w="709"/>
        <w:gridCol w:w="1134"/>
        <w:gridCol w:w="841"/>
        <w:gridCol w:w="840"/>
        <w:gridCol w:w="915"/>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trPr>
        <w:tc>
          <w:tcPr>
            <w:tcW w:w="392" w:type="dxa"/>
            <w:vMerge w:val="restart"/>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序号</w:t>
            </w:r>
          </w:p>
        </w:tc>
        <w:tc>
          <w:tcPr>
            <w:tcW w:w="1134" w:type="dxa"/>
            <w:vMerge w:val="restart"/>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物资名称</w:t>
            </w:r>
          </w:p>
        </w:tc>
        <w:tc>
          <w:tcPr>
            <w:tcW w:w="992" w:type="dxa"/>
            <w:vMerge w:val="restart"/>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规格</w:t>
            </w:r>
          </w:p>
        </w:tc>
        <w:tc>
          <w:tcPr>
            <w:tcW w:w="709" w:type="dxa"/>
            <w:vMerge w:val="restart"/>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单位</w:t>
            </w:r>
          </w:p>
        </w:tc>
        <w:tc>
          <w:tcPr>
            <w:tcW w:w="709" w:type="dxa"/>
            <w:vMerge w:val="restart"/>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暂定数量</w:t>
            </w:r>
          </w:p>
        </w:tc>
        <w:tc>
          <w:tcPr>
            <w:tcW w:w="3730" w:type="dxa"/>
            <w:gridSpan w:val="4"/>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综合单价（</w:t>
            </w:r>
            <w:r>
              <w:rPr>
                <w:rFonts w:hint="eastAsia" w:ascii="宋体" w:hAnsi="宋体" w:eastAsia="宋体" w:cs="宋体"/>
                <w:color w:val="000000"/>
                <w:sz w:val="21"/>
                <w:szCs w:val="21"/>
                <w:highlight w:val="none"/>
                <w:lang w:eastAsia="zh-CN"/>
              </w:rPr>
              <w:t>元</w:t>
            </w:r>
            <w:r>
              <w:rPr>
                <w:rFonts w:hint="eastAsia" w:ascii="宋体" w:hAnsi="宋体" w:eastAsia="宋体" w:cs="宋体"/>
                <w:color w:val="000000"/>
                <w:sz w:val="21"/>
                <w:szCs w:val="21"/>
                <w:highlight w:val="none"/>
              </w:rPr>
              <w:t>）</w:t>
            </w:r>
          </w:p>
        </w:tc>
        <w:tc>
          <w:tcPr>
            <w:tcW w:w="1656" w:type="dxa"/>
            <w:vMerge w:val="restart"/>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金额合计（元）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392" w:type="dxa"/>
            <w:vMerge w:val="continue"/>
            <w:vAlign w:val="center"/>
          </w:tcPr>
          <w:p>
            <w:pPr>
              <w:spacing w:line="360" w:lineRule="auto"/>
              <w:jc w:val="center"/>
              <w:rPr>
                <w:rFonts w:hint="eastAsia" w:ascii="宋体" w:hAnsi="宋体" w:eastAsia="宋体" w:cs="宋体"/>
                <w:color w:val="000000"/>
                <w:sz w:val="21"/>
                <w:szCs w:val="21"/>
                <w:highlight w:val="none"/>
              </w:rPr>
            </w:pPr>
          </w:p>
        </w:tc>
        <w:tc>
          <w:tcPr>
            <w:tcW w:w="1134" w:type="dxa"/>
            <w:vMerge w:val="continue"/>
            <w:vAlign w:val="center"/>
          </w:tcPr>
          <w:p>
            <w:pPr>
              <w:spacing w:line="360" w:lineRule="auto"/>
              <w:jc w:val="center"/>
              <w:rPr>
                <w:rFonts w:hint="eastAsia" w:ascii="宋体" w:hAnsi="宋体" w:eastAsia="宋体" w:cs="宋体"/>
                <w:color w:val="000000"/>
                <w:sz w:val="21"/>
                <w:szCs w:val="21"/>
                <w:highlight w:val="none"/>
              </w:rPr>
            </w:pPr>
          </w:p>
        </w:tc>
        <w:tc>
          <w:tcPr>
            <w:tcW w:w="992" w:type="dxa"/>
            <w:vMerge w:val="continue"/>
            <w:vAlign w:val="center"/>
          </w:tcPr>
          <w:p>
            <w:pPr>
              <w:spacing w:line="360" w:lineRule="auto"/>
              <w:jc w:val="center"/>
              <w:rPr>
                <w:rFonts w:hint="eastAsia" w:ascii="宋体" w:hAnsi="宋体" w:eastAsia="宋体" w:cs="宋体"/>
                <w:color w:val="000000"/>
                <w:sz w:val="21"/>
                <w:szCs w:val="21"/>
                <w:highlight w:val="none"/>
              </w:rPr>
            </w:pPr>
          </w:p>
        </w:tc>
        <w:tc>
          <w:tcPr>
            <w:tcW w:w="709" w:type="dxa"/>
            <w:vMerge w:val="continue"/>
            <w:vAlign w:val="center"/>
          </w:tcPr>
          <w:p>
            <w:pPr>
              <w:spacing w:line="360" w:lineRule="auto"/>
              <w:jc w:val="center"/>
              <w:rPr>
                <w:rFonts w:hint="eastAsia" w:ascii="宋体" w:hAnsi="宋体" w:eastAsia="宋体" w:cs="宋体"/>
                <w:color w:val="000000"/>
                <w:sz w:val="21"/>
                <w:szCs w:val="21"/>
                <w:highlight w:val="none"/>
              </w:rPr>
            </w:pPr>
          </w:p>
        </w:tc>
        <w:tc>
          <w:tcPr>
            <w:tcW w:w="709" w:type="dxa"/>
            <w:vMerge w:val="continue"/>
            <w:vAlign w:val="center"/>
          </w:tcPr>
          <w:p>
            <w:pPr>
              <w:spacing w:line="360" w:lineRule="auto"/>
              <w:jc w:val="center"/>
              <w:rPr>
                <w:rFonts w:hint="eastAsia" w:ascii="宋体" w:hAnsi="宋体" w:eastAsia="宋体" w:cs="宋体"/>
                <w:color w:val="000000"/>
                <w:sz w:val="21"/>
                <w:szCs w:val="21"/>
                <w:highlight w:val="none"/>
              </w:rPr>
            </w:pPr>
          </w:p>
        </w:tc>
        <w:tc>
          <w:tcPr>
            <w:tcW w:w="1134" w:type="dxa"/>
            <w:vAlign w:val="center"/>
          </w:tcPr>
          <w:p>
            <w:pPr>
              <w:widowControl/>
              <w:spacing w:line="360" w:lineRule="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单价</w:t>
            </w:r>
            <w:r>
              <w:rPr>
                <w:rFonts w:hint="eastAsia" w:ascii="宋体" w:hAnsi="宋体" w:eastAsia="宋体" w:cs="宋体"/>
                <w:color w:val="000000"/>
                <w:kern w:val="0"/>
                <w:sz w:val="21"/>
                <w:szCs w:val="21"/>
                <w:highlight w:val="none"/>
                <w:lang w:val="en-US" w:eastAsia="zh-CN"/>
              </w:rPr>
              <w:t xml:space="preserve"> </w:t>
            </w:r>
            <w:r>
              <w:rPr>
                <w:rFonts w:hint="eastAsia" w:ascii="宋体" w:hAnsi="宋体" w:eastAsia="宋体" w:cs="宋体"/>
                <w:color w:val="000000"/>
                <w:kern w:val="0"/>
                <w:sz w:val="21"/>
                <w:szCs w:val="21"/>
                <w:highlight w:val="none"/>
              </w:rPr>
              <w:t>（不含税）</w:t>
            </w:r>
          </w:p>
        </w:tc>
        <w:tc>
          <w:tcPr>
            <w:tcW w:w="841" w:type="dxa"/>
            <w:vAlign w:val="center"/>
          </w:tcPr>
          <w:p>
            <w:pPr>
              <w:widowControl/>
              <w:spacing w:line="360" w:lineRule="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发票票面税率</w:t>
            </w:r>
          </w:p>
        </w:tc>
        <w:tc>
          <w:tcPr>
            <w:tcW w:w="840" w:type="dxa"/>
            <w:vAlign w:val="center"/>
          </w:tcPr>
          <w:p>
            <w:pPr>
              <w:widowControl/>
              <w:spacing w:line="360" w:lineRule="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税额</w:t>
            </w:r>
          </w:p>
        </w:tc>
        <w:tc>
          <w:tcPr>
            <w:tcW w:w="915" w:type="dxa"/>
            <w:vAlign w:val="center"/>
          </w:tcPr>
          <w:p>
            <w:pPr>
              <w:widowControl/>
              <w:spacing w:line="360" w:lineRule="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价税合计</w:t>
            </w:r>
          </w:p>
        </w:tc>
        <w:tc>
          <w:tcPr>
            <w:tcW w:w="1656" w:type="dxa"/>
            <w:vMerge w:val="continue"/>
            <w:vAlign w:val="center"/>
          </w:tcPr>
          <w:p>
            <w:pPr>
              <w:spacing w:line="360" w:lineRule="auto"/>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392" w:type="dxa"/>
            <w:shd w:val="clear" w:color="auto" w:fill="auto"/>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p>
        </w:tc>
        <w:tc>
          <w:tcPr>
            <w:tcW w:w="1134" w:type="dxa"/>
            <w:shd w:val="clear" w:color="auto" w:fill="auto"/>
            <w:vAlign w:val="center"/>
          </w:tcPr>
          <w:p>
            <w:pPr>
              <w:adjustRightInd w:val="0"/>
              <w:snapToGrid w:val="0"/>
              <w:spacing w:line="360" w:lineRule="auto"/>
              <w:jc w:val="center"/>
              <w:rPr>
                <w:rFonts w:hint="eastAsia" w:ascii="宋体" w:hAnsi="宋体" w:eastAsia="宋体" w:cs="宋体"/>
                <w:color w:val="000000"/>
                <w:sz w:val="21"/>
                <w:szCs w:val="21"/>
                <w:highlight w:val="none"/>
                <w:lang w:eastAsia="zh-CN"/>
              </w:rPr>
            </w:pPr>
          </w:p>
        </w:tc>
        <w:tc>
          <w:tcPr>
            <w:tcW w:w="992" w:type="dxa"/>
            <w:shd w:val="clear" w:color="auto" w:fill="auto"/>
            <w:vAlign w:val="center"/>
          </w:tcPr>
          <w:p>
            <w:pPr>
              <w:adjustRightInd w:val="0"/>
              <w:snapToGrid w:val="0"/>
              <w:spacing w:line="360" w:lineRule="auto"/>
              <w:jc w:val="center"/>
              <w:rPr>
                <w:rFonts w:hint="default" w:ascii="宋体" w:hAnsi="宋体" w:eastAsia="宋体" w:cs="宋体"/>
                <w:color w:val="000000"/>
                <w:sz w:val="21"/>
                <w:szCs w:val="21"/>
                <w:highlight w:val="none"/>
                <w:lang w:val="en-US" w:eastAsia="zh-CN"/>
              </w:rPr>
            </w:pPr>
          </w:p>
        </w:tc>
        <w:tc>
          <w:tcPr>
            <w:tcW w:w="709" w:type="dxa"/>
            <w:shd w:val="clear" w:color="auto" w:fill="auto"/>
            <w:vAlign w:val="center"/>
          </w:tcPr>
          <w:p>
            <w:pPr>
              <w:adjustRightInd w:val="0"/>
              <w:snapToGrid w:val="0"/>
              <w:spacing w:line="360" w:lineRule="auto"/>
              <w:jc w:val="center"/>
              <w:rPr>
                <w:rFonts w:hint="eastAsia" w:ascii="宋体" w:hAnsi="宋体" w:eastAsia="宋体" w:cs="宋体"/>
                <w:color w:val="000000"/>
                <w:sz w:val="21"/>
                <w:szCs w:val="21"/>
                <w:highlight w:val="none"/>
                <w:lang w:val="en-US" w:eastAsia="zh-CN"/>
              </w:rPr>
            </w:pPr>
          </w:p>
        </w:tc>
        <w:tc>
          <w:tcPr>
            <w:tcW w:w="709" w:type="dxa"/>
            <w:shd w:val="clear" w:color="auto" w:fill="auto"/>
            <w:vAlign w:val="center"/>
          </w:tcPr>
          <w:p>
            <w:pPr>
              <w:adjustRightInd w:val="0"/>
              <w:snapToGrid w:val="0"/>
              <w:spacing w:line="360" w:lineRule="auto"/>
              <w:jc w:val="center"/>
              <w:rPr>
                <w:rFonts w:hint="default" w:ascii="宋体" w:hAnsi="宋体" w:eastAsia="宋体" w:cs="宋体"/>
                <w:color w:val="000000"/>
                <w:sz w:val="21"/>
                <w:szCs w:val="21"/>
                <w:highlight w:val="none"/>
                <w:lang w:val="en-US" w:eastAsia="zh-CN"/>
              </w:rPr>
            </w:pPr>
          </w:p>
        </w:tc>
        <w:tc>
          <w:tcPr>
            <w:tcW w:w="1134" w:type="dxa"/>
            <w:shd w:val="clear" w:color="auto" w:fill="auto"/>
            <w:vAlign w:val="center"/>
          </w:tcPr>
          <w:p>
            <w:pPr>
              <w:adjustRightInd w:val="0"/>
              <w:snapToGrid w:val="0"/>
              <w:spacing w:line="360" w:lineRule="auto"/>
              <w:jc w:val="center"/>
              <w:rPr>
                <w:rFonts w:hint="default" w:ascii="宋体" w:hAnsi="宋体" w:eastAsia="宋体" w:cs="宋体"/>
                <w:color w:val="000000"/>
                <w:sz w:val="21"/>
                <w:szCs w:val="21"/>
                <w:highlight w:val="none"/>
                <w:lang w:val="en-US" w:eastAsia="zh-CN"/>
              </w:rPr>
            </w:pPr>
          </w:p>
        </w:tc>
        <w:tc>
          <w:tcPr>
            <w:tcW w:w="841" w:type="dxa"/>
            <w:shd w:val="clear" w:color="auto" w:fill="auto"/>
            <w:vAlign w:val="center"/>
          </w:tcPr>
          <w:p>
            <w:pPr>
              <w:adjustRightInd w:val="0"/>
              <w:snapToGrid w:val="0"/>
              <w:spacing w:line="360" w:lineRule="auto"/>
              <w:jc w:val="center"/>
              <w:rPr>
                <w:rFonts w:hint="default" w:ascii="宋体" w:hAnsi="宋体" w:eastAsia="宋体" w:cs="宋体"/>
                <w:color w:val="000000"/>
                <w:sz w:val="21"/>
                <w:szCs w:val="21"/>
                <w:highlight w:val="none"/>
                <w:lang w:val="en-US" w:eastAsia="zh-CN"/>
              </w:rPr>
            </w:pPr>
          </w:p>
        </w:tc>
        <w:tc>
          <w:tcPr>
            <w:tcW w:w="840" w:type="dxa"/>
            <w:shd w:val="clear" w:color="auto" w:fill="auto"/>
            <w:vAlign w:val="center"/>
          </w:tcPr>
          <w:p>
            <w:pPr>
              <w:adjustRightInd w:val="0"/>
              <w:snapToGrid w:val="0"/>
              <w:spacing w:line="360" w:lineRule="auto"/>
              <w:jc w:val="center"/>
              <w:rPr>
                <w:rFonts w:hint="default" w:ascii="宋体" w:hAnsi="宋体" w:eastAsia="宋体" w:cs="宋体"/>
                <w:color w:val="000000"/>
                <w:sz w:val="21"/>
                <w:szCs w:val="21"/>
                <w:highlight w:val="none"/>
                <w:lang w:val="en-US" w:eastAsia="zh-CN"/>
              </w:rPr>
            </w:pPr>
          </w:p>
        </w:tc>
        <w:tc>
          <w:tcPr>
            <w:tcW w:w="915" w:type="dxa"/>
            <w:shd w:val="clear" w:color="auto" w:fill="auto"/>
            <w:vAlign w:val="center"/>
          </w:tcPr>
          <w:p>
            <w:pPr>
              <w:adjustRightInd w:val="0"/>
              <w:snapToGrid w:val="0"/>
              <w:spacing w:line="360" w:lineRule="auto"/>
              <w:jc w:val="center"/>
              <w:rPr>
                <w:rFonts w:hint="default" w:ascii="宋体" w:hAnsi="宋体" w:eastAsia="宋体" w:cs="宋体"/>
                <w:color w:val="000000"/>
                <w:sz w:val="21"/>
                <w:szCs w:val="21"/>
                <w:highlight w:val="none"/>
                <w:lang w:val="en-US" w:eastAsia="zh-CN"/>
              </w:rPr>
            </w:pPr>
          </w:p>
        </w:tc>
        <w:tc>
          <w:tcPr>
            <w:tcW w:w="1656" w:type="dxa"/>
            <w:shd w:val="clear" w:color="auto" w:fill="auto"/>
            <w:vAlign w:val="center"/>
          </w:tcPr>
          <w:p>
            <w:pPr>
              <w:widowControl/>
              <w:spacing w:line="360" w:lineRule="auto"/>
              <w:jc w:val="left"/>
              <w:textAlignment w:val="center"/>
              <w:rPr>
                <w:rFonts w:hint="default" w:ascii="宋体" w:hAnsi="宋体" w:eastAsia="宋体" w:cs="宋体"/>
                <w:color w:val="00000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5" w:hRule="atLeast"/>
        </w:trPr>
        <w:tc>
          <w:tcPr>
            <w:tcW w:w="392" w:type="dxa"/>
            <w:shd w:val="clear" w:color="auto" w:fill="auto"/>
            <w:vAlign w:val="center"/>
          </w:tcPr>
          <w:p>
            <w:pPr>
              <w:adjustRightInd w:val="0"/>
              <w:snapToGrid w:val="0"/>
              <w:spacing w:line="360" w:lineRule="auto"/>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2</w:t>
            </w:r>
          </w:p>
        </w:tc>
        <w:tc>
          <w:tcPr>
            <w:tcW w:w="1134" w:type="dxa"/>
            <w:shd w:val="clear" w:color="auto" w:fill="auto"/>
            <w:vAlign w:val="center"/>
          </w:tcPr>
          <w:p>
            <w:pPr>
              <w:adjustRightInd w:val="0"/>
              <w:snapToGrid w:val="0"/>
              <w:spacing w:line="360" w:lineRule="auto"/>
              <w:jc w:val="center"/>
              <w:rPr>
                <w:rFonts w:hint="eastAsia" w:ascii="宋体" w:hAnsi="宋体" w:eastAsia="宋体" w:cs="宋体"/>
                <w:color w:val="000000"/>
                <w:sz w:val="21"/>
                <w:szCs w:val="21"/>
                <w:highlight w:val="none"/>
                <w:lang w:eastAsia="zh-CN"/>
              </w:rPr>
            </w:pPr>
          </w:p>
        </w:tc>
        <w:tc>
          <w:tcPr>
            <w:tcW w:w="992" w:type="dxa"/>
            <w:shd w:val="clear" w:color="auto" w:fill="auto"/>
            <w:vAlign w:val="center"/>
          </w:tcPr>
          <w:p>
            <w:pPr>
              <w:adjustRightInd w:val="0"/>
              <w:snapToGrid w:val="0"/>
              <w:spacing w:line="360" w:lineRule="auto"/>
              <w:jc w:val="center"/>
              <w:rPr>
                <w:rFonts w:hint="default" w:ascii="宋体" w:hAnsi="宋体" w:eastAsia="宋体" w:cs="宋体"/>
                <w:color w:val="000000"/>
                <w:sz w:val="21"/>
                <w:szCs w:val="21"/>
                <w:highlight w:val="none"/>
                <w:lang w:val="en-US" w:eastAsia="zh-CN"/>
              </w:rPr>
            </w:pPr>
          </w:p>
        </w:tc>
        <w:tc>
          <w:tcPr>
            <w:tcW w:w="709" w:type="dxa"/>
            <w:shd w:val="clear" w:color="auto" w:fill="auto"/>
            <w:vAlign w:val="center"/>
          </w:tcPr>
          <w:p>
            <w:pPr>
              <w:adjustRightInd w:val="0"/>
              <w:snapToGrid w:val="0"/>
              <w:spacing w:line="360" w:lineRule="auto"/>
              <w:jc w:val="center"/>
              <w:rPr>
                <w:rFonts w:hint="eastAsia" w:ascii="宋体" w:hAnsi="宋体" w:eastAsia="宋体" w:cs="宋体"/>
                <w:color w:val="000000"/>
                <w:sz w:val="21"/>
                <w:szCs w:val="21"/>
                <w:highlight w:val="none"/>
                <w:lang w:val="en-US" w:eastAsia="zh-CN"/>
              </w:rPr>
            </w:pPr>
          </w:p>
        </w:tc>
        <w:tc>
          <w:tcPr>
            <w:tcW w:w="709" w:type="dxa"/>
            <w:shd w:val="clear" w:color="auto" w:fill="auto"/>
            <w:vAlign w:val="center"/>
          </w:tcPr>
          <w:p>
            <w:pPr>
              <w:adjustRightInd w:val="0"/>
              <w:snapToGrid w:val="0"/>
              <w:spacing w:line="360" w:lineRule="auto"/>
              <w:jc w:val="center"/>
              <w:rPr>
                <w:rFonts w:hint="default" w:ascii="宋体" w:hAnsi="宋体" w:eastAsia="宋体" w:cs="宋体"/>
                <w:color w:val="000000"/>
                <w:sz w:val="21"/>
                <w:szCs w:val="21"/>
                <w:highlight w:val="none"/>
                <w:lang w:val="en-US" w:eastAsia="zh-CN"/>
              </w:rPr>
            </w:pPr>
          </w:p>
        </w:tc>
        <w:tc>
          <w:tcPr>
            <w:tcW w:w="1134" w:type="dxa"/>
            <w:shd w:val="clear" w:color="auto" w:fill="auto"/>
            <w:vAlign w:val="center"/>
          </w:tcPr>
          <w:p>
            <w:pPr>
              <w:adjustRightInd w:val="0"/>
              <w:snapToGrid w:val="0"/>
              <w:spacing w:line="360" w:lineRule="auto"/>
              <w:jc w:val="center"/>
              <w:rPr>
                <w:rFonts w:hint="default" w:ascii="宋体" w:hAnsi="宋体" w:eastAsia="宋体" w:cs="宋体"/>
                <w:color w:val="000000"/>
                <w:sz w:val="21"/>
                <w:szCs w:val="21"/>
                <w:highlight w:val="none"/>
                <w:lang w:val="en-US" w:eastAsia="zh-CN"/>
              </w:rPr>
            </w:pPr>
          </w:p>
        </w:tc>
        <w:tc>
          <w:tcPr>
            <w:tcW w:w="841" w:type="dxa"/>
            <w:shd w:val="clear" w:color="auto" w:fill="auto"/>
            <w:vAlign w:val="center"/>
          </w:tcPr>
          <w:p>
            <w:pPr>
              <w:adjustRightInd w:val="0"/>
              <w:snapToGrid w:val="0"/>
              <w:spacing w:line="360" w:lineRule="auto"/>
              <w:jc w:val="center"/>
              <w:rPr>
                <w:rFonts w:hint="default" w:ascii="宋体" w:hAnsi="宋体" w:eastAsia="宋体" w:cs="宋体"/>
                <w:color w:val="000000"/>
                <w:sz w:val="21"/>
                <w:szCs w:val="21"/>
                <w:highlight w:val="none"/>
                <w:lang w:val="en-US" w:eastAsia="zh-CN"/>
              </w:rPr>
            </w:pPr>
          </w:p>
        </w:tc>
        <w:tc>
          <w:tcPr>
            <w:tcW w:w="840" w:type="dxa"/>
            <w:shd w:val="clear" w:color="auto" w:fill="auto"/>
            <w:vAlign w:val="center"/>
          </w:tcPr>
          <w:p>
            <w:pPr>
              <w:adjustRightInd w:val="0"/>
              <w:snapToGrid w:val="0"/>
              <w:spacing w:line="360" w:lineRule="auto"/>
              <w:jc w:val="center"/>
              <w:rPr>
                <w:rFonts w:hint="default" w:ascii="宋体" w:hAnsi="宋体" w:eastAsia="宋体" w:cs="宋体"/>
                <w:color w:val="000000"/>
                <w:sz w:val="21"/>
                <w:szCs w:val="21"/>
                <w:highlight w:val="none"/>
                <w:lang w:val="en-US" w:eastAsia="zh-CN"/>
              </w:rPr>
            </w:pPr>
          </w:p>
        </w:tc>
        <w:tc>
          <w:tcPr>
            <w:tcW w:w="915" w:type="dxa"/>
            <w:shd w:val="clear" w:color="auto" w:fill="auto"/>
            <w:vAlign w:val="center"/>
          </w:tcPr>
          <w:p>
            <w:pPr>
              <w:adjustRightInd w:val="0"/>
              <w:snapToGrid w:val="0"/>
              <w:spacing w:line="360" w:lineRule="auto"/>
              <w:jc w:val="center"/>
              <w:rPr>
                <w:rFonts w:hint="default" w:ascii="宋体" w:hAnsi="宋体" w:eastAsia="宋体" w:cs="宋体"/>
                <w:color w:val="000000"/>
                <w:sz w:val="21"/>
                <w:szCs w:val="21"/>
                <w:highlight w:val="none"/>
                <w:lang w:val="en-US" w:eastAsia="zh-CN"/>
              </w:rPr>
            </w:pPr>
          </w:p>
        </w:tc>
        <w:tc>
          <w:tcPr>
            <w:tcW w:w="1656" w:type="dxa"/>
            <w:shd w:val="clear" w:color="auto" w:fill="auto"/>
            <w:vAlign w:val="center"/>
          </w:tcPr>
          <w:p>
            <w:pPr>
              <w:widowControl/>
              <w:spacing w:line="360" w:lineRule="auto"/>
              <w:jc w:val="left"/>
              <w:textAlignment w:val="center"/>
              <w:rPr>
                <w:rFonts w:hint="default" w:ascii="宋体" w:hAnsi="宋体" w:eastAsia="宋体" w:cs="宋体"/>
                <w:color w:val="00000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5" w:hRule="atLeast"/>
        </w:trPr>
        <w:tc>
          <w:tcPr>
            <w:tcW w:w="2518" w:type="dxa"/>
            <w:gridSpan w:val="3"/>
            <w:vAlign w:val="center"/>
          </w:tcPr>
          <w:p>
            <w:pPr>
              <w:tabs>
                <w:tab w:val="left" w:pos="2857"/>
              </w:tabs>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不含税金额合计</w:t>
            </w:r>
          </w:p>
        </w:tc>
        <w:tc>
          <w:tcPr>
            <w:tcW w:w="6804" w:type="dxa"/>
            <w:gridSpan w:val="7"/>
            <w:vAlign w:val="center"/>
          </w:tcPr>
          <w:p>
            <w:pPr>
              <w:tabs>
                <w:tab w:val="left" w:pos="2857"/>
              </w:tabs>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大写：</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5" w:hRule="atLeast"/>
        </w:trPr>
        <w:tc>
          <w:tcPr>
            <w:tcW w:w="2518" w:type="dxa"/>
            <w:gridSpan w:val="3"/>
            <w:vAlign w:val="center"/>
          </w:tcPr>
          <w:p>
            <w:pPr>
              <w:tabs>
                <w:tab w:val="left" w:pos="2857"/>
              </w:tabs>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税额合计</w:t>
            </w:r>
          </w:p>
        </w:tc>
        <w:tc>
          <w:tcPr>
            <w:tcW w:w="6804" w:type="dxa"/>
            <w:gridSpan w:val="7"/>
            <w:vAlign w:val="center"/>
          </w:tcPr>
          <w:p>
            <w:pPr>
              <w:tabs>
                <w:tab w:val="left" w:pos="2857"/>
              </w:tabs>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大写：</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5" w:hRule="atLeast"/>
        </w:trPr>
        <w:tc>
          <w:tcPr>
            <w:tcW w:w="2518" w:type="dxa"/>
            <w:gridSpan w:val="3"/>
            <w:vAlign w:val="center"/>
          </w:tcPr>
          <w:p>
            <w:pPr>
              <w:tabs>
                <w:tab w:val="left" w:pos="2857"/>
              </w:tabs>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含税金额合计</w:t>
            </w:r>
          </w:p>
        </w:tc>
        <w:tc>
          <w:tcPr>
            <w:tcW w:w="6804" w:type="dxa"/>
            <w:gridSpan w:val="7"/>
            <w:vAlign w:val="center"/>
          </w:tcPr>
          <w:p>
            <w:pPr>
              <w:tabs>
                <w:tab w:val="left" w:pos="2857"/>
              </w:tabs>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大写：</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5" w:hRule="atLeast"/>
        </w:trPr>
        <w:tc>
          <w:tcPr>
            <w:tcW w:w="9322" w:type="dxa"/>
            <w:gridSpan w:val="10"/>
            <w:vAlign w:val="center"/>
          </w:tcPr>
          <w:p>
            <w:pPr>
              <w:ind w:left="525" w:hanging="525" w:hangingChars="25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1.合同所示的货物数量为暂定数量，最终结算数量以甲方通知进场且实际收到的合格产品数量为准。</w:t>
            </w:r>
          </w:p>
          <w:p>
            <w:pPr>
              <w:jc w:val="left"/>
              <w:rPr>
                <w:rFonts w:hint="eastAsia" w:ascii="宋体" w:hAnsi="宋体" w:eastAsia="宋体" w:cs="宋体"/>
                <w:color w:val="000000"/>
                <w:kern w:val="0"/>
                <w:sz w:val="21"/>
                <w:szCs w:val="21"/>
                <w:highlight w:val="none"/>
              </w:rPr>
            </w:pPr>
            <w:r>
              <w:rPr>
                <w:rFonts w:hint="eastAsia" w:ascii="宋体" w:hAnsi="宋体" w:eastAsia="宋体" w:cs="宋体"/>
                <w:sz w:val="21"/>
                <w:szCs w:val="21"/>
                <w:highlight w:val="none"/>
                <w:lang w:val="en-US" w:eastAsia="zh-CN"/>
              </w:rPr>
              <w:t>乙</w:t>
            </w:r>
            <w:r>
              <w:rPr>
                <w:rFonts w:hint="eastAsia" w:ascii="宋体" w:hAnsi="宋体" w:eastAsia="宋体" w:cs="宋体"/>
                <w:sz w:val="21"/>
                <w:szCs w:val="21"/>
                <w:highlight w:val="none"/>
              </w:rPr>
              <w:t>方负责卸车。</w:t>
            </w:r>
          </w:p>
        </w:tc>
      </w:tr>
    </w:tbl>
    <w:p>
      <w:pPr>
        <w:widowControl w:val="0"/>
        <w:tabs>
          <w:tab w:val="left" w:pos="425"/>
          <w:tab w:val="left" w:pos="720"/>
        </w:tabs>
        <w:overflowPunct w:val="0"/>
        <w:topLinePunct/>
        <w:adjustRightInd w:val="0"/>
        <w:snapToGrid w:val="0"/>
        <w:spacing w:before="249" w:beforeLines="80" w:line="400" w:lineRule="exact"/>
        <w:ind w:firstLine="420" w:firstLineChars="200"/>
        <w:jc w:val="left"/>
        <w:textAlignment w:val="baseline"/>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二)合同单价所示的“综合单价”为物资运至工地的单价,包括但不限于乙方将物资运至甲方指定地点的货价、出库费、运费、装卸车费、包装费、交货前的采保费、检测费（除甲方收货时验收检测外）、资料费、财务费、损耗、管理费、利润、税金、风险费等一切费用，乙方不得以任何理由向甲方另行索要其它费用。</w:t>
      </w:r>
    </w:p>
    <w:p>
      <w:pPr>
        <w:widowControl w:val="0"/>
        <w:tabs>
          <w:tab w:val="left" w:pos="425"/>
          <w:tab w:val="left" w:pos="720"/>
        </w:tabs>
        <w:overflowPunct w:val="0"/>
        <w:topLinePunct/>
        <w:adjustRightInd w:val="0"/>
        <w:snapToGrid w:val="0"/>
        <w:spacing w:beforeLines="0" w:line="400" w:lineRule="exact"/>
        <w:ind w:firstLine="420" w:firstLineChars="200"/>
        <w:jc w:val="left"/>
        <w:textAlignment w:val="baseline"/>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(三)本合同约定的“综合单价”为固定单价，即不受市场变化影响，且无论进场数量多少价格亦不发生变化。</w:t>
      </w:r>
    </w:p>
    <w:p>
      <w:pPr>
        <w:spacing w:line="400" w:lineRule="exact"/>
        <w:ind w:firstLine="495"/>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(四)乙方所供物资必须为</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公司生产产品。</w:t>
      </w:r>
    </w:p>
    <w:p>
      <w:pPr>
        <w:spacing w:line="400" w:lineRule="exact"/>
        <w:ind w:firstLine="422" w:firstLineChars="20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三、物资供应及计量方式</w:t>
      </w:r>
    </w:p>
    <w:p>
      <w:pPr>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（一）乙方应严格按照甲方发出的物资供应计划中要求的时间将合同约定的物资保质保量地运至交货地。乙方应在甲方发出进场通知后</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个日历天内将物资运达交货地点。</w:t>
      </w:r>
    </w:p>
    <w:p>
      <w:pPr>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（二）物资计量方式：过磅</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 xml:space="preserve"> 计件□ 检尺</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 xml:space="preserve"> 其他计量方式。</w:t>
      </w:r>
    </w:p>
    <w:p>
      <w:pPr>
        <w:spacing w:line="400" w:lineRule="exact"/>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四、支付、结算</w:t>
      </w:r>
    </w:p>
    <w:p>
      <w:pPr>
        <w:spacing w:line="400" w:lineRule="exact"/>
        <w:ind w:firstLine="420" w:firstLineChars="200"/>
        <w:rPr>
          <w:rFonts w:hint="eastAsia" w:ascii="宋体" w:hAnsi="宋体" w:eastAsia="宋体" w:cs="宋体"/>
          <w:b/>
          <w:sz w:val="21"/>
          <w:szCs w:val="21"/>
          <w:highlight w:val="none"/>
        </w:rPr>
      </w:pPr>
      <w:r>
        <w:rPr>
          <w:rFonts w:hint="eastAsia" w:ascii="宋体" w:hAnsi="宋体" w:eastAsia="宋体" w:cs="宋体"/>
          <w:sz w:val="21"/>
          <w:szCs w:val="21"/>
          <w:highlight w:val="none"/>
        </w:rPr>
        <w:t>(一)乙方银行信息：单位名称:</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；开户行：</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；账  号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 xml:space="preserve">       </w:t>
      </w:r>
    </w:p>
    <w:p>
      <w:pPr>
        <w:tabs>
          <w:tab w:val="left" w:pos="765"/>
        </w:tabs>
        <w:spacing w:line="400" w:lineRule="exact"/>
        <w:ind w:firstLine="420" w:firstLineChars="200"/>
        <w:jc w:val="left"/>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(二)乙方结算人: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；身份证:</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；联系电话:</w:t>
      </w:r>
      <w:r>
        <w:rPr>
          <w:rFonts w:hint="eastAsia" w:ascii="宋体" w:hAnsi="宋体" w:eastAsia="宋体" w:cs="宋体"/>
          <w:sz w:val="21"/>
          <w:szCs w:val="21"/>
          <w:highlight w:val="none"/>
          <w:u w:val="single"/>
        </w:rPr>
        <w:t xml:space="preserve">             </w:t>
      </w:r>
    </w:p>
    <w:p>
      <w:pPr>
        <w:tabs>
          <w:tab w:val="left" w:pos="765"/>
        </w:tabs>
        <w:spacing w:line="400" w:lineRule="exact"/>
        <w:ind w:firstLine="420" w:firstLineChars="200"/>
        <w:jc w:val="left"/>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(三)结算方式</w:t>
      </w:r>
      <w:r>
        <w:rPr>
          <w:rFonts w:hint="eastAsia" w:ascii="宋体" w:hAnsi="宋体" w:eastAsia="宋体" w:cs="宋体"/>
          <w:w w:val="90"/>
          <w:sz w:val="21"/>
          <w:szCs w:val="21"/>
          <w:highlight w:val="none"/>
        </w:rPr>
        <w:t>：</w:t>
      </w:r>
      <w:r>
        <w:rPr>
          <w:rFonts w:hint="eastAsia" w:ascii="宋体" w:hAnsi="宋体" w:eastAsia="宋体" w:cs="宋体"/>
          <w:sz w:val="21"/>
          <w:szCs w:val="21"/>
          <w:highlight w:val="none"/>
          <w:lang w:eastAsia="zh-CN"/>
        </w:rPr>
        <w:t>供货结束后一次</w:t>
      </w:r>
      <w:r>
        <w:rPr>
          <w:rFonts w:hint="eastAsia" w:ascii="宋体" w:hAnsi="宋体" w:eastAsia="宋体" w:cs="宋体"/>
          <w:sz w:val="21"/>
          <w:szCs w:val="21"/>
          <w:highlight w:val="none"/>
        </w:rPr>
        <w:t>结算。乙方向甲方提交等额的符合甲</w:t>
      </w:r>
      <w:r>
        <w:rPr>
          <w:rFonts w:hint="eastAsia" w:ascii="宋体" w:hAnsi="宋体" w:eastAsia="宋体" w:cs="宋体"/>
          <w:color w:val="000000"/>
          <w:sz w:val="21"/>
          <w:szCs w:val="21"/>
          <w:highlight w:val="none"/>
        </w:rPr>
        <w:t>方财务和</w:t>
      </w:r>
      <w:r>
        <w:rPr>
          <w:rFonts w:hint="eastAsia" w:ascii="宋体" w:hAnsi="宋体" w:eastAsia="宋体" w:cs="宋体"/>
          <w:sz w:val="21"/>
          <w:szCs w:val="21"/>
          <w:highlight w:val="none"/>
        </w:rPr>
        <w:t>国家税法要求的</w:t>
      </w:r>
      <w:r>
        <w:rPr>
          <w:rFonts w:hint="eastAsia" w:ascii="宋体" w:hAnsi="宋体" w:eastAsia="宋体" w:cs="宋体"/>
          <w:b/>
          <w:bCs/>
          <w:sz w:val="21"/>
          <w:szCs w:val="21"/>
          <w:highlight w:val="none"/>
        </w:rPr>
        <w:t>增值税专用发票</w:t>
      </w:r>
      <w:r>
        <w:rPr>
          <w:rFonts w:hint="eastAsia" w:ascii="宋体" w:hAnsi="宋体" w:eastAsia="宋体" w:cs="宋体"/>
          <w:b/>
          <w:sz w:val="21"/>
          <w:szCs w:val="21"/>
          <w:highlight w:val="none"/>
        </w:rPr>
        <w:t>，发票票面税率</w:t>
      </w:r>
      <w:r>
        <w:rPr>
          <w:rFonts w:hint="eastAsia" w:ascii="宋体" w:hAnsi="宋体" w:eastAsia="宋体" w:cs="宋体"/>
          <w:b/>
          <w:sz w:val="21"/>
          <w:szCs w:val="21"/>
          <w:highlight w:val="none"/>
          <w:u w:val="single"/>
          <w:lang w:val="en-US" w:eastAsia="zh-CN"/>
        </w:rPr>
        <w:t xml:space="preserve">    </w:t>
      </w:r>
      <w:r>
        <w:rPr>
          <w:rFonts w:hint="eastAsia" w:ascii="宋体" w:hAnsi="宋体" w:eastAsia="宋体" w:cs="宋体"/>
          <w:b/>
          <w:sz w:val="21"/>
          <w:szCs w:val="21"/>
          <w:highlight w:val="none"/>
        </w:rPr>
        <w:t>%</w:t>
      </w:r>
      <w:r>
        <w:rPr>
          <w:rFonts w:hint="eastAsia" w:ascii="宋体" w:hAnsi="宋体" w:eastAsia="宋体" w:cs="宋体"/>
          <w:sz w:val="21"/>
          <w:szCs w:val="21"/>
          <w:highlight w:val="none"/>
        </w:rPr>
        <w:t>，开票信息如下：</w:t>
      </w:r>
    </w:p>
    <w:p>
      <w:pPr>
        <w:tabs>
          <w:tab w:val="left" w:pos="765"/>
        </w:tabs>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发票抬头：中建路桥集团</w:t>
      </w:r>
      <w:r>
        <w:rPr>
          <w:rFonts w:hint="eastAsia" w:ascii="宋体" w:hAnsi="宋体" w:eastAsia="宋体" w:cs="宋体"/>
          <w:sz w:val="21"/>
          <w:szCs w:val="21"/>
          <w:highlight w:val="none"/>
          <w:lang w:val="en-US" w:eastAsia="zh-CN"/>
        </w:rPr>
        <w:t>高速公路养护</w:t>
      </w:r>
      <w:r>
        <w:rPr>
          <w:rFonts w:hint="eastAsia" w:ascii="宋体" w:hAnsi="宋体" w:eastAsia="宋体" w:cs="宋体"/>
          <w:sz w:val="21"/>
          <w:szCs w:val="21"/>
          <w:highlight w:val="none"/>
        </w:rPr>
        <w:t>有限公司；税号：9113 0000 7554 9558 2E；</w:t>
      </w:r>
    </w:p>
    <w:p>
      <w:pPr>
        <w:tabs>
          <w:tab w:val="left" w:pos="765"/>
        </w:tabs>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地址：河北省石家庄市裕华区石栾路2－1号；电话：0311-86116760；</w:t>
      </w:r>
    </w:p>
    <w:p>
      <w:pPr>
        <w:tabs>
          <w:tab w:val="left" w:pos="765"/>
        </w:tabs>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开户行：中国建设银行石家庄建设南大街支行；账号：1305 0161 5361 0000 0357；</w:t>
      </w:r>
    </w:p>
    <w:p>
      <w:pPr>
        <w:tabs>
          <w:tab w:val="left" w:pos="765"/>
        </w:tabs>
        <w:spacing w:line="400" w:lineRule="exact"/>
        <w:ind w:firstLine="420" w:firstLineChars="200"/>
        <w:jc w:val="left"/>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备注：</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具体以财务资金部要求为准</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pPr>
        <w:numPr>
          <w:ilvl w:val="0"/>
          <w:numId w:val="1"/>
        </w:numPr>
        <w:tabs>
          <w:tab w:val="left" w:pos="765"/>
          <w:tab w:val="clear" w:pos="312"/>
        </w:tabs>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本合同无预付款，货款来源于项目工程结算款。</w:t>
      </w:r>
      <w:r>
        <w:rPr>
          <w:rFonts w:hint="eastAsia" w:ascii="宋体" w:hAnsi="宋体" w:eastAsia="宋体" w:cs="宋体"/>
          <w:sz w:val="21"/>
          <w:szCs w:val="21"/>
          <w:highlight w:val="none"/>
          <w:lang w:eastAsia="zh-CN"/>
        </w:rPr>
        <w:t>乙方最后一批物资供应完毕且验收合格后</w:t>
      </w:r>
      <w:r>
        <w:rPr>
          <w:rFonts w:hint="eastAsia" w:ascii="宋体" w:hAnsi="宋体" w:eastAsia="宋体" w:cs="宋体"/>
          <w:sz w:val="21"/>
          <w:szCs w:val="21"/>
          <w:highlight w:val="none"/>
          <w:lang w:val="en-US" w:eastAsia="zh-CN"/>
        </w:rPr>
        <w:t>6个月内，甲方支付给乙方结算价款的100%，以上付款比例及付款节点按业主资金拨付情况和项目资金状况而定，支付比例不超过业主拨付比例。若业主付款推迟则该付款期限相应推迟，延期付款部分不计利息</w:t>
      </w:r>
      <w:r>
        <w:rPr>
          <w:rFonts w:hint="eastAsia" w:ascii="仿宋_GB2312" w:eastAsia="仿宋_GB2312" w:cs="宋体" w:hAnsiTheme="minorEastAsia"/>
          <w:b w:val="0"/>
          <w:bCs w:val="0"/>
          <w:kern w:val="2"/>
          <w:sz w:val="21"/>
          <w:szCs w:val="21"/>
          <w:highlight w:val="none"/>
          <w:lang w:val="en-US" w:eastAsia="zh-CN" w:bidi="ar-SA"/>
        </w:rPr>
        <w:t>。</w:t>
      </w:r>
      <w:r>
        <w:rPr>
          <w:rFonts w:ascii="宋体" w:hAnsi="宋体" w:eastAsia="宋体" w:cs="宋体"/>
          <w:b/>
          <w:bCs/>
          <w:sz w:val="24"/>
          <w:szCs w:val="24"/>
          <w:highlight w:val="none"/>
        </w:rPr>
        <w:t>乙方对于本条款完全理解，并同意接受上述支付时间及相应支付比例的约定。</w:t>
      </w:r>
    </w:p>
    <w:p>
      <w:pPr>
        <w:tabs>
          <w:tab w:val="left" w:pos="765"/>
        </w:tabs>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以上付款比例按业主资金拨付情况和项目资金状况而定，若业主付款推迟则该付款期限相应推迟，延期付款部分不计利息。</w:t>
      </w:r>
    </w:p>
    <w:p>
      <w:pPr>
        <w:tabs>
          <w:tab w:val="left" w:pos="765"/>
        </w:tabs>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(五)付款方式</w:t>
      </w:r>
      <w:r>
        <w:rPr>
          <w:rFonts w:hint="eastAsia" w:ascii="宋体" w:hAnsi="宋体" w:eastAsia="宋体" w:cs="宋体"/>
          <w:sz w:val="21"/>
          <w:highlight w:val="none"/>
        </w:rPr>
        <w:t>：</w:t>
      </w:r>
      <w:r>
        <w:rPr>
          <w:rFonts w:hint="eastAsia" w:ascii="宋体" w:hAnsi="宋体" w:eastAsia="宋体" w:cs="宋体"/>
          <w:sz w:val="21"/>
          <w:szCs w:val="21"/>
          <w:highlight w:val="none"/>
          <w:lang w:val="en-US" w:eastAsia="zh-CN"/>
        </w:rPr>
        <w:t>按合同约定银行账户转账，甲方货款支付形式：银行电汇支付，乙方须保证对甲方的资金往来账户与本合同所约定账户一致，开票</w:t>
      </w:r>
      <w:r>
        <w:rPr>
          <w:rFonts w:hint="eastAsia" w:ascii="宋体" w:hAnsi="宋体" w:eastAsia="宋体" w:cs="宋体"/>
          <w:sz w:val="21"/>
          <w:szCs w:val="21"/>
          <w:highlight w:val="none"/>
        </w:rPr>
        <w:t>单位名称与合同约定名称一致。</w:t>
      </w:r>
    </w:p>
    <w:p>
      <w:pPr>
        <w:tabs>
          <w:tab w:val="left" w:pos="765"/>
        </w:tabs>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（六）由于业主方原因造成甲方延迟支付货款，甲方不承担逾期利息。如甲方承担逾期利息时，约定利率为合同订立时1年期贷款市场报价利率。</w:t>
      </w:r>
    </w:p>
    <w:p>
      <w:pPr>
        <w:tabs>
          <w:tab w:val="right" w:pos="8306"/>
        </w:tabs>
        <w:spacing w:line="400" w:lineRule="exact"/>
        <w:ind w:firstLine="422" w:firstLineChars="200"/>
        <w:rPr>
          <w:rFonts w:hint="eastAsia" w:ascii="宋体" w:hAnsi="宋体" w:eastAsia="宋体" w:cs="宋体"/>
          <w:color w:val="C0C0C0"/>
          <w:sz w:val="21"/>
          <w:szCs w:val="21"/>
          <w:highlight w:val="none"/>
          <w:u w:val="single"/>
        </w:rPr>
      </w:pPr>
      <w:r>
        <w:rPr>
          <w:rFonts w:hint="eastAsia" w:ascii="宋体" w:hAnsi="宋体" w:eastAsia="宋体" w:cs="宋体"/>
          <w:b/>
          <w:sz w:val="21"/>
          <w:szCs w:val="21"/>
          <w:highlight w:val="none"/>
        </w:rPr>
        <w:t>五、履约保证金</w:t>
      </w:r>
    </w:p>
    <w:p>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(一)本合同履约保证金为</w:t>
      </w:r>
      <w:r>
        <w:rPr>
          <w:rFonts w:hint="eastAsia" w:ascii="宋体" w:hAnsi="宋体" w:eastAsia="宋体" w:cs="宋体"/>
          <w:sz w:val="21"/>
          <w:szCs w:val="21"/>
          <w:highlight w:val="none"/>
          <w:u w:val="single"/>
          <w:lang w:val="en-US" w:eastAsia="zh-CN"/>
        </w:rPr>
        <w:t>2</w:t>
      </w:r>
      <w:r>
        <w:rPr>
          <w:rFonts w:hint="eastAsia" w:ascii="宋体" w:hAnsi="宋体" w:eastAsia="宋体" w:cs="宋体"/>
          <w:sz w:val="21"/>
          <w:szCs w:val="21"/>
          <w:highlight w:val="none"/>
        </w:rPr>
        <w:t>万元。</w:t>
      </w:r>
    </w:p>
    <w:p>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(二)</w:t>
      </w:r>
      <w:r>
        <w:rPr>
          <w:rFonts w:hint="eastAsia" w:ascii="宋体" w:hAnsi="宋体" w:eastAsia="宋体" w:cs="宋体"/>
          <w:color w:val="FF0000"/>
          <w:sz w:val="22"/>
          <w:szCs w:val="21"/>
          <w:highlight w:val="none"/>
        </w:rPr>
        <w:t xml:space="preserve"> </w:t>
      </w:r>
      <w:r>
        <w:rPr>
          <w:rFonts w:hint="eastAsia" w:ascii="宋体" w:hAnsi="宋体" w:eastAsia="宋体" w:cs="宋体"/>
          <w:sz w:val="21"/>
          <w:szCs w:val="21"/>
          <w:highlight w:val="none"/>
        </w:rPr>
        <w:t>本合同在乙方提供履约担保后，由双方法定代表人或其委托代理人签署并加盖单位章后生效。履约保证金以现金或保函形式缴纳。</w:t>
      </w:r>
    </w:p>
    <w:p>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(三)在合同完成后</w:t>
      </w:r>
      <w:r>
        <w:rPr>
          <w:rFonts w:hint="eastAsia" w:ascii="宋体" w:hAnsi="宋体" w:eastAsia="宋体" w:cs="宋体"/>
          <w:sz w:val="21"/>
          <w:szCs w:val="21"/>
          <w:highlight w:val="none"/>
          <w:u w:val="single"/>
          <w:lang w:val="en-US" w:eastAsia="zh-CN"/>
        </w:rPr>
        <w:t>30</w:t>
      </w:r>
      <w:r>
        <w:rPr>
          <w:rFonts w:hint="eastAsia" w:ascii="宋体" w:hAnsi="宋体" w:eastAsia="宋体" w:cs="宋体"/>
          <w:sz w:val="21"/>
          <w:szCs w:val="21"/>
          <w:highlight w:val="none"/>
        </w:rPr>
        <w:t>工作日内甲方无息退还乙方履约保证金。</w:t>
      </w:r>
    </w:p>
    <w:p>
      <w:pPr>
        <w:spacing w:line="400" w:lineRule="exact"/>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六、违约金</w:t>
      </w:r>
    </w:p>
    <w:p>
      <w:pPr>
        <w:spacing w:line="400" w:lineRule="exact"/>
        <w:ind w:firstLine="420" w:firstLineChars="200"/>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(一)</w:t>
      </w:r>
      <w:r>
        <w:rPr>
          <w:rFonts w:hint="eastAsia" w:ascii="宋体" w:hAnsi="宋体" w:eastAsia="宋体" w:cs="宋体"/>
          <w:sz w:val="21"/>
          <w:szCs w:val="21"/>
          <w:highlight w:val="none"/>
          <w:lang w:eastAsia="zh-CN"/>
        </w:rPr>
        <w:t>乙方未能按照甲方物资供应计划供应的，每延误</w:t>
      </w:r>
      <w:r>
        <w:rPr>
          <w:rFonts w:hint="eastAsia" w:ascii="宋体" w:hAnsi="宋体" w:eastAsia="宋体" w:cs="宋体"/>
          <w:sz w:val="21"/>
          <w:szCs w:val="21"/>
          <w:highlight w:val="none"/>
          <w:lang w:val="en-US" w:eastAsia="zh-CN"/>
        </w:rPr>
        <w:t>1日历天，乙方按人民币0.2万元/日历天向甲方支付违约金，此违约金在应付货款中直接扣除。</w:t>
      </w:r>
    </w:p>
    <w:p>
      <w:pPr>
        <w:spacing w:line="400" w:lineRule="exact"/>
        <w:ind w:firstLine="420" w:firstLineChars="200"/>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(二)</w:t>
      </w:r>
      <w:r>
        <w:rPr>
          <w:rFonts w:hint="eastAsia" w:ascii="宋体" w:hAnsi="宋体" w:eastAsia="宋体" w:cs="宋体"/>
          <w:sz w:val="21"/>
          <w:szCs w:val="21"/>
          <w:highlight w:val="none"/>
          <w:lang w:eastAsia="zh-CN"/>
        </w:rPr>
        <w:t>乙方所供应物资检测不合格，且</w:t>
      </w:r>
      <w:r>
        <w:rPr>
          <w:rFonts w:hint="eastAsia" w:ascii="宋体" w:hAnsi="宋体" w:eastAsia="宋体" w:cs="宋体"/>
          <w:sz w:val="21"/>
          <w:szCs w:val="21"/>
          <w:highlight w:val="none"/>
          <w:lang w:val="en-US" w:eastAsia="zh-CN"/>
        </w:rPr>
        <w:t>48小时内未予处理的，每延误1日历天，乙方按人民币0.1万元/日历天向甲方支付违约金，此违约金在应付货款中直接扣除。</w:t>
      </w:r>
    </w:p>
    <w:p>
      <w:pPr>
        <w:rPr>
          <w:rFonts w:hint="eastAsia" w:ascii="宋体" w:hAnsi="宋体" w:eastAsia="宋体" w:cs="宋体"/>
          <w:b/>
          <w:sz w:val="21"/>
          <w:szCs w:val="21"/>
          <w:highlight w:val="none"/>
        </w:rPr>
      </w:pPr>
      <w:r>
        <w:rPr>
          <w:rFonts w:hint="eastAsia" w:ascii="宋体" w:hAnsi="宋体" w:eastAsia="宋体" w:cs="宋体"/>
          <w:b/>
          <w:sz w:val="21"/>
          <w:szCs w:val="21"/>
          <w:highlight w:val="none"/>
        </w:rPr>
        <w:br w:type="page"/>
      </w:r>
    </w:p>
    <w:p>
      <w:pPr>
        <w:spacing w:line="400" w:lineRule="exact"/>
        <w:ind w:firstLine="422" w:firstLineChars="200"/>
        <w:rPr>
          <w:rFonts w:hint="eastAsia" w:ascii="宋体" w:hAnsi="宋体" w:eastAsia="宋体" w:cs="宋体"/>
          <w:sz w:val="21"/>
          <w:szCs w:val="21"/>
          <w:highlight w:val="none"/>
        </w:rPr>
      </w:pPr>
      <w:r>
        <w:rPr>
          <w:rFonts w:hint="eastAsia" w:ascii="宋体" w:hAnsi="宋体" w:eastAsia="宋体" w:cs="宋体"/>
          <w:b/>
          <w:sz w:val="21"/>
          <w:szCs w:val="21"/>
          <w:highlight w:val="none"/>
        </w:rPr>
        <w:t>七、合同份数：</w:t>
      </w:r>
      <w:r>
        <w:rPr>
          <w:rFonts w:hint="eastAsia" w:ascii="宋体" w:hAnsi="宋体" w:eastAsia="宋体" w:cs="宋体"/>
          <w:sz w:val="21"/>
          <w:szCs w:val="21"/>
          <w:highlight w:val="none"/>
        </w:rPr>
        <w:t>本合同一式</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5</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份，甲方执</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4</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份，乙方执</w:t>
      </w:r>
      <w:r>
        <w:rPr>
          <w:rFonts w:hint="eastAsia" w:ascii="宋体" w:hAnsi="宋体" w:eastAsia="宋体" w:cs="宋体"/>
          <w:sz w:val="21"/>
          <w:szCs w:val="21"/>
          <w:highlight w:val="none"/>
          <w:u w:val="single"/>
        </w:rPr>
        <w:t xml:space="preserve"> 1 </w:t>
      </w:r>
      <w:r>
        <w:rPr>
          <w:rFonts w:hint="eastAsia" w:ascii="宋体" w:hAnsi="宋体" w:eastAsia="宋体" w:cs="宋体"/>
          <w:sz w:val="21"/>
          <w:szCs w:val="21"/>
          <w:highlight w:val="none"/>
        </w:rPr>
        <w:t>份。</w:t>
      </w:r>
    </w:p>
    <w:p>
      <w:pPr>
        <w:pStyle w:val="2"/>
        <w:rPr>
          <w:rFonts w:hint="eastAsia" w:ascii="宋体" w:hAnsi="宋体" w:eastAsia="宋体" w:cs="宋体"/>
          <w:highlight w:val="none"/>
        </w:rPr>
      </w:pPr>
    </w:p>
    <w:p>
      <w:pPr>
        <w:snapToGrid w:val="0"/>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甲方：（盖章）                               乙方：（盖章） </w:t>
      </w:r>
    </w:p>
    <w:p>
      <w:pPr>
        <w:snapToGrid w:val="0"/>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法定代表人                                   法定代表人 </w:t>
      </w:r>
    </w:p>
    <w:p>
      <w:pPr>
        <w:snapToGrid w:val="0"/>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或被授权人签字：                             或被授权人签字：</w:t>
      </w:r>
    </w:p>
    <w:p>
      <w:pPr>
        <w:snapToGrid w:val="0"/>
        <w:spacing w:line="400" w:lineRule="exact"/>
        <w:ind w:firstLine="420" w:firstLineChars="200"/>
        <w:rPr>
          <w:rFonts w:hint="eastAsia" w:ascii="宋体" w:hAnsi="宋体" w:eastAsia="宋体" w:cs="宋体"/>
          <w:sz w:val="24"/>
          <w:highlight w:val="none"/>
        </w:rPr>
      </w:pPr>
      <w:r>
        <w:rPr>
          <w:rFonts w:hint="eastAsia" w:ascii="宋体" w:hAnsi="宋体" w:eastAsia="宋体" w:cs="宋体"/>
          <w:sz w:val="21"/>
          <w:szCs w:val="21"/>
          <w:highlight w:val="none"/>
        </w:rPr>
        <w:t>联系电话：                                   联系电话：</w:t>
      </w:r>
    </w:p>
    <w:p>
      <w:pPr>
        <w:spacing w:line="400" w:lineRule="exact"/>
        <w:ind w:firstLine="420" w:firstLineChars="200"/>
        <w:rPr>
          <w:rFonts w:hint="eastAsia" w:ascii="宋体" w:hAnsi="宋体" w:eastAsia="宋体" w:cs="宋体"/>
          <w:color w:val="C0C0C0"/>
          <w:sz w:val="21"/>
          <w:szCs w:val="21"/>
          <w:highlight w:val="none"/>
          <w:u w:val="single"/>
        </w:rPr>
      </w:pPr>
    </w:p>
    <w:p>
      <w:pPr>
        <w:spacing w:before="249" w:beforeLines="80" w:line="360" w:lineRule="exact"/>
        <w:jc w:val="center"/>
        <w:rPr>
          <w:rFonts w:hint="eastAsia" w:ascii="宋体" w:hAnsi="宋体" w:eastAsia="宋体" w:cs="宋体"/>
          <w:b/>
          <w:sz w:val="30"/>
          <w:szCs w:val="30"/>
          <w:highlight w:val="none"/>
        </w:rPr>
      </w:pPr>
    </w:p>
    <w:p>
      <w:pPr>
        <w:spacing w:before="249" w:beforeLines="80" w:line="360" w:lineRule="exact"/>
        <w:jc w:val="center"/>
        <w:rPr>
          <w:rFonts w:hint="eastAsia" w:ascii="宋体" w:hAnsi="宋体" w:eastAsia="宋体" w:cs="宋体"/>
          <w:b/>
          <w:sz w:val="30"/>
          <w:szCs w:val="30"/>
          <w:highlight w:val="none"/>
        </w:rPr>
      </w:pPr>
    </w:p>
    <w:p>
      <w:pPr>
        <w:spacing w:before="249" w:beforeLines="80" w:line="360" w:lineRule="exact"/>
        <w:jc w:val="center"/>
        <w:rPr>
          <w:rFonts w:hint="eastAsia" w:ascii="宋体" w:hAnsi="宋体" w:eastAsia="宋体" w:cs="宋体"/>
          <w:b/>
          <w:sz w:val="30"/>
          <w:szCs w:val="30"/>
          <w:highlight w:val="none"/>
        </w:rPr>
      </w:pPr>
    </w:p>
    <w:p>
      <w:pPr>
        <w:spacing w:before="249" w:beforeLines="80" w:line="360" w:lineRule="exact"/>
        <w:jc w:val="center"/>
        <w:rPr>
          <w:rFonts w:hint="eastAsia" w:ascii="宋体" w:hAnsi="宋体" w:eastAsia="宋体" w:cs="宋体"/>
          <w:b/>
          <w:sz w:val="30"/>
          <w:szCs w:val="30"/>
          <w:highlight w:val="none"/>
        </w:rPr>
      </w:pPr>
    </w:p>
    <w:p>
      <w:pPr>
        <w:spacing w:before="249" w:beforeLines="80" w:line="360" w:lineRule="exact"/>
        <w:jc w:val="center"/>
        <w:rPr>
          <w:rFonts w:hint="eastAsia" w:ascii="宋体" w:hAnsi="宋体" w:eastAsia="宋体" w:cs="宋体"/>
          <w:b/>
          <w:sz w:val="30"/>
          <w:szCs w:val="30"/>
          <w:highlight w:val="none"/>
        </w:rPr>
      </w:pPr>
    </w:p>
    <w:p>
      <w:pPr>
        <w:spacing w:before="249" w:beforeLines="80" w:line="360" w:lineRule="exact"/>
        <w:jc w:val="center"/>
        <w:rPr>
          <w:rFonts w:hint="eastAsia" w:ascii="宋体" w:hAnsi="宋体" w:eastAsia="宋体" w:cs="宋体"/>
          <w:b/>
          <w:sz w:val="30"/>
          <w:szCs w:val="30"/>
          <w:highlight w:val="none"/>
        </w:rPr>
      </w:pPr>
    </w:p>
    <w:p>
      <w:pPr>
        <w:spacing w:before="249" w:beforeLines="80" w:line="360" w:lineRule="exact"/>
        <w:jc w:val="center"/>
        <w:rPr>
          <w:rFonts w:hint="eastAsia" w:ascii="宋体" w:hAnsi="宋体" w:eastAsia="宋体" w:cs="宋体"/>
          <w:b/>
          <w:sz w:val="30"/>
          <w:szCs w:val="30"/>
          <w:highlight w:val="none"/>
        </w:rPr>
      </w:pPr>
    </w:p>
    <w:p>
      <w:pPr>
        <w:spacing w:before="249" w:beforeLines="80" w:line="360" w:lineRule="exact"/>
        <w:jc w:val="center"/>
        <w:rPr>
          <w:rFonts w:hint="eastAsia" w:ascii="宋体" w:hAnsi="宋体" w:eastAsia="宋体" w:cs="宋体"/>
          <w:b/>
          <w:sz w:val="30"/>
          <w:szCs w:val="30"/>
          <w:highlight w:val="none"/>
        </w:rPr>
      </w:pPr>
    </w:p>
    <w:p>
      <w:pPr>
        <w:spacing w:before="249" w:beforeLines="80" w:line="360" w:lineRule="exact"/>
        <w:jc w:val="center"/>
        <w:rPr>
          <w:rFonts w:hint="eastAsia" w:ascii="宋体" w:hAnsi="宋体" w:eastAsia="宋体" w:cs="宋体"/>
          <w:b/>
          <w:sz w:val="30"/>
          <w:szCs w:val="30"/>
          <w:highlight w:val="none"/>
        </w:rPr>
      </w:pPr>
    </w:p>
    <w:p>
      <w:pPr>
        <w:spacing w:before="249" w:beforeLines="80" w:line="360" w:lineRule="exact"/>
        <w:jc w:val="center"/>
        <w:rPr>
          <w:rFonts w:hint="eastAsia" w:ascii="宋体" w:hAnsi="宋体" w:eastAsia="宋体" w:cs="宋体"/>
          <w:b/>
          <w:sz w:val="30"/>
          <w:szCs w:val="30"/>
          <w:highlight w:val="none"/>
        </w:rPr>
      </w:pPr>
    </w:p>
    <w:p>
      <w:pPr>
        <w:spacing w:before="249" w:beforeLines="80" w:line="360" w:lineRule="exact"/>
        <w:jc w:val="center"/>
        <w:rPr>
          <w:rFonts w:hint="eastAsia" w:ascii="宋体" w:hAnsi="宋体" w:eastAsia="宋体" w:cs="宋体"/>
          <w:b/>
          <w:sz w:val="30"/>
          <w:szCs w:val="30"/>
          <w:highlight w:val="none"/>
        </w:rPr>
      </w:pPr>
    </w:p>
    <w:p>
      <w:pPr>
        <w:spacing w:before="249" w:beforeLines="80" w:line="360" w:lineRule="exact"/>
        <w:jc w:val="center"/>
        <w:rPr>
          <w:rFonts w:hint="eastAsia" w:ascii="宋体" w:hAnsi="宋体" w:eastAsia="宋体" w:cs="宋体"/>
          <w:b/>
          <w:sz w:val="30"/>
          <w:szCs w:val="30"/>
          <w:highlight w:val="none"/>
        </w:rPr>
      </w:pPr>
    </w:p>
    <w:p>
      <w:pPr>
        <w:spacing w:before="249" w:beforeLines="80" w:line="360" w:lineRule="exact"/>
        <w:jc w:val="center"/>
        <w:rPr>
          <w:rFonts w:hint="eastAsia" w:ascii="宋体" w:hAnsi="宋体" w:eastAsia="宋体" w:cs="宋体"/>
          <w:b/>
          <w:sz w:val="30"/>
          <w:szCs w:val="30"/>
          <w:highlight w:val="none"/>
        </w:rPr>
      </w:pPr>
    </w:p>
    <w:p>
      <w:pPr>
        <w:spacing w:before="249" w:beforeLines="80" w:line="360" w:lineRule="exact"/>
        <w:jc w:val="center"/>
        <w:rPr>
          <w:rFonts w:hint="eastAsia" w:ascii="宋体" w:hAnsi="宋体" w:eastAsia="宋体" w:cs="宋体"/>
          <w:b/>
          <w:sz w:val="30"/>
          <w:szCs w:val="30"/>
          <w:highlight w:val="none"/>
        </w:rPr>
      </w:pPr>
    </w:p>
    <w:p>
      <w:pPr>
        <w:spacing w:before="249" w:beforeLines="80" w:line="360" w:lineRule="exact"/>
        <w:jc w:val="center"/>
        <w:rPr>
          <w:rFonts w:hint="eastAsia" w:ascii="宋体" w:hAnsi="宋体" w:eastAsia="宋体" w:cs="宋体"/>
          <w:b/>
          <w:sz w:val="30"/>
          <w:szCs w:val="30"/>
          <w:highlight w:val="none"/>
        </w:rPr>
      </w:pPr>
    </w:p>
    <w:p>
      <w:pPr>
        <w:spacing w:before="249" w:beforeLines="80" w:line="360" w:lineRule="exact"/>
        <w:jc w:val="center"/>
        <w:rPr>
          <w:rFonts w:hint="eastAsia" w:ascii="宋体" w:hAnsi="宋体" w:eastAsia="宋体" w:cs="宋体"/>
          <w:b/>
          <w:sz w:val="30"/>
          <w:szCs w:val="30"/>
          <w:highlight w:val="none"/>
        </w:rPr>
      </w:pPr>
    </w:p>
    <w:p>
      <w:pPr>
        <w:spacing w:before="249" w:beforeLines="80" w:line="360" w:lineRule="exact"/>
        <w:jc w:val="center"/>
        <w:rPr>
          <w:rFonts w:hint="eastAsia" w:ascii="宋体" w:hAnsi="宋体" w:eastAsia="宋体" w:cs="宋体"/>
          <w:b/>
          <w:sz w:val="30"/>
          <w:szCs w:val="30"/>
          <w:highlight w:val="none"/>
        </w:rPr>
      </w:pPr>
    </w:p>
    <w:p>
      <w:pPr>
        <w:spacing w:before="249" w:beforeLines="80" w:line="360" w:lineRule="exact"/>
        <w:jc w:val="center"/>
        <w:rPr>
          <w:rFonts w:hint="eastAsia" w:ascii="宋体" w:hAnsi="宋体" w:eastAsia="宋体" w:cs="宋体"/>
          <w:b/>
          <w:sz w:val="30"/>
          <w:szCs w:val="30"/>
          <w:highlight w:val="none"/>
        </w:rPr>
      </w:pPr>
    </w:p>
    <w:p>
      <w:pPr>
        <w:rPr>
          <w:rFonts w:hint="eastAsia" w:ascii="宋体" w:hAnsi="宋体" w:eastAsia="宋体" w:cs="宋体"/>
          <w:b/>
          <w:sz w:val="30"/>
          <w:szCs w:val="30"/>
          <w:highlight w:val="none"/>
        </w:rPr>
      </w:pPr>
      <w:r>
        <w:rPr>
          <w:rFonts w:hint="eastAsia" w:ascii="宋体" w:hAnsi="宋体" w:eastAsia="宋体" w:cs="宋体"/>
          <w:b/>
          <w:sz w:val="30"/>
          <w:szCs w:val="30"/>
          <w:highlight w:val="none"/>
        </w:rPr>
        <w:br w:type="page"/>
      </w:r>
    </w:p>
    <w:p>
      <w:pPr>
        <w:spacing w:before="249" w:beforeLines="80" w:line="360" w:lineRule="exact"/>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t>第二部分 通用合同条款</w:t>
      </w:r>
      <w:bookmarkStart w:id="74" w:name="A3"/>
      <w:bookmarkEnd w:id="74"/>
    </w:p>
    <w:p>
      <w:pPr>
        <w:tabs>
          <w:tab w:val="left" w:pos="425"/>
        </w:tabs>
        <w:spacing w:line="400" w:lineRule="exact"/>
        <w:ind w:firstLine="422" w:firstLineChars="200"/>
        <w:jc w:val="left"/>
        <w:rPr>
          <w:rFonts w:hint="eastAsia" w:ascii="宋体" w:hAnsi="宋体" w:eastAsia="宋体" w:cs="宋体"/>
          <w:b/>
          <w:sz w:val="21"/>
          <w:szCs w:val="21"/>
          <w:highlight w:val="none"/>
        </w:rPr>
      </w:pPr>
      <w:r>
        <w:rPr>
          <w:rFonts w:hint="eastAsia" w:ascii="宋体" w:hAnsi="宋体" w:eastAsia="宋体" w:cs="宋体"/>
          <w:b/>
          <w:sz w:val="21"/>
          <w:szCs w:val="21"/>
          <w:highlight w:val="none"/>
        </w:rPr>
        <w:t>1.适用法律法规</w:t>
      </w:r>
    </w:p>
    <w:p>
      <w:pPr>
        <w:tabs>
          <w:tab w:val="left" w:pos="992"/>
        </w:tabs>
        <w:spacing w:line="400" w:lineRule="exact"/>
        <w:ind w:firstLine="420" w:firstLineChars="200"/>
        <w:jc w:val="left"/>
        <w:rPr>
          <w:rFonts w:hint="eastAsia" w:ascii="宋体" w:hAnsi="宋体" w:eastAsia="宋体" w:cs="宋体"/>
          <w:b/>
          <w:sz w:val="21"/>
          <w:szCs w:val="21"/>
          <w:highlight w:val="none"/>
        </w:rPr>
      </w:pPr>
      <w:bookmarkStart w:id="75" w:name="A2"/>
      <w:bookmarkEnd w:id="75"/>
      <w:r>
        <w:rPr>
          <w:rFonts w:hint="eastAsia" w:ascii="宋体" w:hAnsi="宋体" w:eastAsia="宋体" w:cs="宋体"/>
          <w:sz w:val="21"/>
          <w:szCs w:val="21"/>
          <w:highlight w:val="none"/>
        </w:rPr>
        <w:t>1.1适用于本合同的法律包括中华人民共和国正式颁布实施的法律、行政法规、部门规章，以及项目所在地的地方法规、自治条例、单行条例和地方政府规章，包括但不限于</w:t>
      </w:r>
      <w:r>
        <w:rPr>
          <w:rFonts w:hint="eastAsia" w:ascii="宋体" w:hAnsi="宋体" w:eastAsia="宋体" w:cs="宋体"/>
          <w:kern w:val="10"/>
          <w:sz w:val="21"/>
          <w:szCs w:val="21"/>
          <w:highlight w:val="none"/>
        </w:rPr>
        <w:t>《中华人民共和国民法典》《中华人民共和国产品质量法》</w:t>
      </w:r>
      <w:r>
        <w:rPr>
          <w:rFonts w:hint="eastAsia" w:ascii="宋体" w:hAnsi="宋体" w:eastAsia="宋体" w:cs="宋体"/>
          <w:sz w:val="21"/>
          <w:highlight w:val="none"/>
        </w:rPr>
        <w:t>等。</w:t>
      </w:r>
    </w:p>
    <w:p>
      <w:pPr>
        <w:tabs>
          <w:tab w:val="left" w:pos="425"/>
          <w:tab w:val="left" w:pos="992"/>
        </w:tabs>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1.2如在合同有效期内，颁布新的法律法规或修订了原有法律法规，则后继的法律法规将自动适用于本合同。</w:t>
      </w:r>
    </w:p>
    <w:p>
      <w:pPr>
        <w:tabs>
          <w:tab w:val="left" w:pos="425"/>
        </w:tabs>
        <w:spacing w:line="400" w:lineRule="exact"/>
        <w:ind w:firstLine="422" w:firstLineChars="200"/>
        <w:jc w:val="left"/>
        <w:rPr>
          <w:rFonts w:hint="eastAsia" w:ascii="宋体" w:hAnsi="宋体" w:eastAsia="宋体" w:cs="宋体"/>
          <w:b/>
          <w:sz w:val="21"/>
          <w:szCs w:val="21"/>
          <w:highlight w:val="none"/>
        </w:rPr>
      </w:pPr>
      <w:r>
        <w:rPr>
          <w:rFonts w:hint="eastAsia" w:ascii="宋体" w:hAnsi="宋体" w:eastAsia="宋体" w:cs="宋体"/>
          <w:b/>
          <w:sz w:val="21"/>
          <w:szCs w:val="21"/>
          <w:highlight w:val="none"/>
        </w:rPr>
        <w:t>2.合同文件组成及解释顺序</w:t>
      </w:r>
    </w:p>
    <w:p>
      <w:pPr>
        <w:tabs>
          <w:tab w:val="left" w:pos="425"/>
          <w:tab w:val="left" w:pos="992"/>
        </w:tabs>
        <w:spacing w:line="400" w:lineRule="exact"/>
        <w:ind w:left="480" w:left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2.1除专用合同条款另有约定外，组成本合同的文件及优先解释顺序如下：</w:t>
      </w:r>
    </w:p>
    <w:p>
      <w:pPr>
        <w:spacing w:line="400" w:lineRule="exact"/>
        <w:ind w:left="480" w:left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2.1.1补充协议文件；</w:t>
      </w:r>
    </w:p>
    <w:p>
      <w:pPr>
        <w:spacing w:line="400" w:lineRule="exact"/>
        <w:ind w:left="480" w:left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2.1.2本合同；</w:t>
      </w:r>
    </w:p>
    <w:p>
      <w:pPr>
        <w:spacing w:line="400" w:lineRule="exact"/>
        <w:ind w:left="480" w:left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2.1.3标准、规范及有关技术标准和要求；</w:t>
      </w:r>
    </w:p>
    <w:p>
      <w:pPr>
        <w:spacing w:line="400" w:lineRule="exact"/>
        <w:ind w:left="480" w:left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2.1.4招标文件及补遗文件；</w:t>
      </w:r>
    </w:p>
    <w:p>
      <w:pPr>
        <w:spacing w:line="400" w:lineRule="exact"/>
        <w:ind w:left="480" w:left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2.1.5投标文件；</w:t>
      </w:r>
    </w:p>
    <w:p>
      <w:pPr>
        <w:spacing w:line="400" w:lineRule="exact"/>
        <w:ind w:left="480" w:left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2.1.6与本合同有关的其他文件。</w:t>
      </w:r>
    </w:p>
    <w:p>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2.2合同文件相互解释、互为补充说明，当合同文件与工程规范、技术要求不一致时，应按要求较高的标准执行；当上述文件出现多义性或不一致解释，应由甲方作出解释和校正。</w:t>
      </w:r>
    </w:p>
    <w:p>
      <w:pPr>
        <w:tabs>
          <w:tab w:val="left" w:pos="425"/>
        </w:tabs>
        <w:spacing w:line="400" w:lineRule="exact"/>
        <w:ind w:firstLine="422" w:firstLineChars="200"/>
        <w:jc w:val="left"/>
        <w:rPr>
          <w:rFonts w:hint="eastAsia" w:ascii="宋体" w:hAnsi="宋体" w:eastAsia="宋体" w:cs="宋体"/>
          <w:b/>
          <w:sz w:val="21"/>
          <w:szCs w:val="21"/>
          <w:highlight w:val="none"/>
        </w:rPr>
      </w:pPr>
      <w:r>
        <w:rPr>
          <w:rFonts w:hint="eastAsia" w:ascii="宋体" w:hAnsi="宋体" w:eastAsia="宋体" w:cs="宋体"/>
          <w:b/>
          <w:sz w:val="21"/>
          <w:szCs w:val="21"/>
          <w:highlight w:val="none"/>
        </w:rPr>
        <w:t>3.物资质量要求及技术标准</w:t>
      </w:r>
    </w:p>
    <w:p>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3.1产品必须满足中华人民共和国国家、地方及行业最新颁布的相关标准及技术规范，如果规范、标准、要求适用于同一种情况，则以标准高者为准。</w:t>
      </w:r>
    </w:p>
    <w:p>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3.2乙方对质量负责的条件和期限：如甲方在进行质量检验过程中，发现不符合标准要求的物资，乙方必须在</w:t>
      </w:r>
      <w:r>
        <w:rPr>
          <w:rFonts w:hint="eastAsia" w:ascii="宋体" w:hAnsi="宋体" w:eastAsia="宋体" w:cs="宋体"/>
          <w:color w:val="000000"/>
          <w:sz w:val="21"/>
          <w:szCs w:val="21"/>
          <w:highlight w:val="none"/>
        </w:rPr>
        <w:t>48小时内</w:t>
      </w:r>
      <w:r>
        <w:rPr>
          <w:rFonts w:hint="eastAsia" w:ascii="宋体" w:hAnsi="宋体" w:eastAsia="宋体" w:cs="宋体"/>
          <w:sz w:val="21"/>
          <w:szCs w:val="21"/>
          <w:highlight w:val="none"/>
        </w:rPr>
        <w:t>将不合格物资无条件清理出场并予以退换，由此造成的一切损失由乙方负担。</w:t>
      </w:r>
    </w:p>
    <w:p>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3.3</w:t>
      </w:r>
      <w:r>
        <w:rPr>
          <w:rFonts w:hint="eastAsia" w:ascii="宋体" w:hAnsi="宋体" w:eastAsia="宋体" w:cs="宋体"/>
          <w:color w:val="000000"/>
          <w:sz w:val="21"/>
          <w:szCs w:val="21"/>
          <w:highlight w:val="none"/>
        </w:rPr>
        <w:t>具体物资质量要求及技术标准见专用条款。</w:t>
      </w:r>
    </w:p>
    <w:p>
      <w:pPr>
        <w:spacing w:line="400" w:lineRule="exact"/>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4.物资计量验收方式</w:t>
      </w:r>
    </w:p>
    <w:p>
      <w:pPr>
        <w:spacing w:line="400" w:lineRule="exact"/>
        <w:ind w:firstLine="420" w:firstLineChars="200"/>
        <w:rPr>
          <w:rFonts w:hint="eastAsia" w:ascii="宋体" w:hAnsi="宋体" w:eastAsia="宋体" w:cs="宋体"/>
          <w:bCs/>
          <w:color w:val="000000"/>
          <w:sz w:val="21"/>
          <w:szCs w:val="21"/>
          <w:highlight w:val="none"/>
        </w:rPr>
      </w:pPr>
      <w:r>
        <w:rPr>
          <w:rFonts w:hint="eastAsia" w:ascii="宋体" w:hAnsi="宋体" w:eastAsia="宋体" w:cs="宋体"/>
          <w:color w:val="000000"/>
          <w:sz w:val="21"/>
          <w:szCs w:val="21"/>
          <w:highlight w:val="none"/>
        </w:rPr>
        <w:t>4.1物资验收地点在甲方指定位置。物资交货时，乙方必须提</w:t>
      </w:r>
      <w:r>
        <w:rPr>
          <w:rFonts w:hint="eastAsia" w:ascii="宋体" w:hAnsi="宋体" w:eastAsia="宋体" w:cs="宋体"/>
          <w:bCs/>
          <w:color w:val="000000"/>
          <w:sz w:val="21"/>
          <w:szCs w:val="21"/>
          <w:highlight w:val="none"/>
        </w:rPr>
        <w:t>供质量证明书、出厂检验报告.材质单等甲方为完成计量、竣工资料等所需要的所有资料，并及时交送到甲方指定负责人处，乙方提供资料均需在有效期内。</w:t>
      </w:r>
    </w:p>
    <w:p>
      <w:pPr>
        <w:spacing w:line="400" w:lineRule="exact"/>
        <w:ind w:firstLine="420" w:firstLineChars="200"/>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4.2甲方组织验收时乙方不到场，又不及时通知甲方，甲方将自行组织进场验收，并视为乙方认同验收结果。</w:t>
      </w:r>
    </w:p>
    <w:p>
      <w:pPr>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4.3若物资进场经双倍取样试件不合格，发生相关的试验费用由乙方承担。</w:t>
      </w:r>
    </w:p>
    <w:p>
      <w:pPr>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4.4乙方执行合同所承担的任何责任不因甲方进行了物资进场验收而解除或减弱。</w:t>
      </w:r>
    </w:p>
    <w:p>
      <w:pPr>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4.5物资到指定地点后，由甲方物资管理人员进行数量验收，并开具收料单，收料单不作为结算数量的依据，甲方物资管理人员和乙方人员双方在磅单、收料单上签字确认。待结算时，乙方携收料单与甲方结算，并开具物资验收单，物资验收单作为结算数量的依据。由甲方物资负责人及相应验收收料人员共同签署的收货凭据（包括但不限于过磅单据、收料单、供货小票、月度统计单或其他数量统计文件等）仅作为甲方收到乙方所供应物资的数量、型号、规格、到场时间等的证明，而不作为甲方付款及结算的依据，无论该收货凭据上是否载有单价、合价或合计等涉及价款的内容。甲方项目经理部除物资负责人外的其他任何人员签署的任何形式的收货凭据不作为标的物进场的依据。</w:t>
      </w:r>
    </w:p>
    <w:p>
      <w:pPr>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4.6具体的物资计量验收方式见专用条款。</w:t>
      </w:r>
    </w:p>
    <w:p>
      <w:pPr>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4.7乙方对验收数量有异议时，可要求甲乙双方共同到有相关资质的第三方处复验，相关费用由过错方承担。最终结算数量以甲方物资供应计划约定范围内且实际收到的合格产品数量为准。</w:t>
      </w:r>
    </w:p>
    <w:p>
      <w:pPr>
        <w:spacing w:line="400" w:lineRule="exact"/>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5.包装、运输、卸货</w:t>
      </w:r>
    </w:p>
    <w:p>
      <w:pPr>
        <w:spacing w:line="4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5.1物资的装车、运输、车辆返回全过程出现的安全事故或其它任何意外均由乙方承担责任。装车和运输途中的物资品质发生变化或丢失由乙方负责，由此造成的损失由乙方承担。</w:t>
      </w:r>
    </w:p>
    <w:p>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5.2乙方应对运输人员进行安全管理和安全教育，运输人员遵守交通法规。若运输过程中发生安全事故，责任全部由乙方承担，与甲方无任何关系。</w:t>
      </w:r>
    </w:p>
    <w:p>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5.3乙方必须保证运输人员不得阻止现场验收人员进行质量检验，不得阻止到达甲方指定地点的运输车辆过磅，卸料时必须服从甲方现场管理人员的安排和指挥。不合格的物资必须在规定时间内无条件运走调换，否则按废弃物处理，损失由乙方承担。</w:t>
      </w:r>
    </w:p>
    <w:p>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5.4乙方不得利用遥控等科技手段控制磅秤增加物资重量，不得进行任何形式的弄虚作假行为。一经发现，甲方将按发现作弊或弄虚作假数量占本批次运输物资百分比扣除发现作弊日前物资进场总数量对应的货款，并</w:t>
      </w:r>
      <w:r>
        <w:rPr>
          <w:rFonts w:hint="eastAsia" w:ascii="宋体" w:hAnsi="宋体" w:eastAsia="宋体" w:cs="宋体"/>
          <w:color w:val="000000"/>
          <w:sz w:val="21"/>
          <w:szCs w:val="21"/>
          <w:highlight w:val="none"/>
        </w:rPr>
        <w:t>交由</w:t>
      </w:r>
      <w:r>
        <w:rPr>
          <w:rFonts w:hint="eastAsia" w:ascii="宋体" w:hAnsi="宋体" w:eastAsia="宋体" w:cs="宋体"/>
          <w:sz w:val="21"/>
          <w:szCs w:val="21"/>
          <w:highlight w:val="none"/>
        </w:rPr>
        <w:t>公安机关处理。</w:t>
      </w:r>
    </w:p>
    <w:p>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5.5甲方物资管理人员要为物资进场提供必要的便利，及时验收质量与数量，不得无故拖延时间、扣减物资数量。</w:t>
      </w:r>
    </w:p>
    <w:p>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5.6乙方不得因双方分歧寻衅滋事，否则，甲方有权随时终止合同。</w:t>
      </w:r>
    </w:p>
    <w:p>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highlight w:val="none"/>
        </w:rPr>
        <w:t>5.7乙方必须配合甲方的</w:t>
      </w:r>
      <w:r>
        <w:rPr>
          <w:rFonts w:hint="eastAsia" w:ascii="宋体" w:hAnsi="宋体" w:eastAsia="宋体" w:cs="宋体"/>
          <w:color w:val="000000"/>
          <w:sz w:val="21"/>
          <w:szCs w:val="21"/>
          <w:highlight w:val="none"/>
        </w:rPr>
        <w:t>物资供应计划</w:t>
      </w:r>
      <w:r>
        <w:rPr>
          <w:rFonts w:hint="eastAsia" w:ascii="宋体" w:hAnsi="宋体" w:eastAsia="宋体" w:cs="宋体"/>
          <w:sz w:val="21"/>
          <w:highlight w:val="none"/>
        </w:rPr>
        <w:t>，虽然此计划会在工程进行中不断修订，乙方仍须在修订后的计划时间内，以甲方可接受的次序方式，根据甲方的要求供应一切合同约定物资。甲方更改工程需用物资计划的行为不作为乙方索赔、延迟供货、合同价格变更等的理由。</w:t>
      </w:r>
    </w:p>
    <w:p>
      <w:pPr>
        <w:tabs>
          <w:tab w:val="left" w:pos="765"/>
        </w:tabs>
        <w:spacing w:line="400" w:lineRule="exact"/>
        <w:ind w:firstLine="422" w:firstLineChars="200"/>
        <w:jc w:val="left"/>
        <w:rPr>
          <w:rFonts w:hint="eastAsia" w:ascii="宋体" w:hAnsi="宋体" w:eastAsia="宋体" w:cs="宋体"/>
          <w:b/>
          <w:sz w:val="21"/>
          <w:szCs w:val="21"/>
          <w:highlight w:val="none"/>
        </w:rPr>
      </w:pPr>
      <w:r>
        <w:rPr>
          <w:rFonts w:hint="eastAsia" w:ascii="宋体" w:hAnsi="宋体" w:eastAsia="宋体" w:cs="宋体"/>
          <w:b/>
          <w:sz w:val="21"/>
          <w:szCs w:val="21"/>
          <w:highlight w:val="none"/>
        </w:rPr>
        <w:t>6．环境﹑安全保护原则</w:t>
      </w:r>
    </w:p>
    <w:p>
      <w:pPr>
        <w:tabs>
          <w:tab w:val="left" w:pos="765"/>
        </w:tabs>
        <w:spacing w:line="400" w:lineRule="exact"/>
        <w:ind w:firstLine="420" w:firstLineChars="200"/>
        <w:jc w:val="left"/>
        <w:rPr>
          <w:rFonts w:hint="eastAsia" w:ascii="宋体" w:hAnsi="宋体" w:eastAsia="宋体" w:cs="宋体"/>
          <w:sz w:val="21"/>
          <w:highlight w:val="none"/>
        </w:rPr>
      </w:pPr>
      <w:r>
        <w:rPr>
          <w:rFonts w:hint="eastAsia" w:ascii="宋体" w:hAnsi="宋体" w:eastAsia="宋体" w:cs="宋体"/>
          <w:sz w:val="21"/>
          <w:szCs w:val="21"/>
          <w:highlight w:val="none"/>
        </w:rPr>
        <w:t>6.1</w:t>
      </w:r>
      <w:r>
        <w:rPr>
          <w:rFonts w:hint="eastAsia" w:ascii="宋体" w:hAnsi="宋体" w:eastAsia="宋体" w:cs="宋体"/>
          <w:sz w:val="21"/>
          <w:highlight w:val="none"/>
        </w:rPr>
        <w:t>乙方必须遵守环境﹑安全保护的法律法规。</w:t>
      </w:r>
    </w:p>
    <w:p>
      <w:pPr>
        <w:tabs>
          <w:tab w:val="left" w:pos="765"/>
        </w:tabs>
        <w:spacing w:line="400" w:lineRule="exact"/>
        <w:ind w:firstLine="420" w:firstLineChars="200"/>
        <w:jc w:val="left"/>
        <w:rPr>
          <w:rFonts w:hint="eastAsia" w:ascii="宋体" w:hAnsi="宋体" w:eastAsia="宋体" w:cs="宋体"/>
          <w:sz w:val="21"/>
          <w:highlight w:val="none"/>
        </w:rPr>
      </w:pPr>
      <w:r>
        <w:rPr>
          <w:rFonts w:hint="eastAsia" w:ascii="宋体" w:hAnsi="宋体" w:eastAsia="宋体" w:cs="宋体"/>
          <w:sz w:val="21"/>
          <w:highlight w:val="none"/>
        </w:rPr>
        <w:t>6.2乙方所供物资，在保证质量的同时，还应确保材质符合环境﹑安全保护要求。</w:t>
      </w:r>
    </w:p>
    <w:p>
      <w:pPr>
        <w:tabs>
          <w:tab w:val="left" w:pos="765"/>
        </w:tabs>
        <w:spacing w:line="400" w:lineRule="exact"/>
        <w:ind w:firstLine="420" w:firstLineChars="200"/>
        <w:jc w:val="left"/>
        <w:rPr>
          <w:rFonts w:hint="eastAsia" w:ascii="宋体" w:hAnsi="宋体" w:eastAsia="宋体" w:cs="宋体"/>
          <w:sz w:val="21"/>
          <w:highlight w:val="none"/>
        </w:rPr>
      </w:pPr>
      <w:r>
        <w:rPr>
          <w:rFonts w:hint="eastAsia" w:ascii="宋体" w:hAnsi="宋体" w:eastAsia="宋体" w:cs="宋体"/>
          <w:sz w:val="21"/>
          <w:highlight w:val="none"/>
        </w:rPr>
        <w:t>6.3乙方供货时，物资的包装必须满足环境﹑安全管理要求，并在外包装商做标志，以便于物资的验证和保管。</w:t>
      </w:r>
    </w:p>
    <w:p>
      <w:pPr>
        <w:tabs>
          <w:tab w:val="left" w:pos="765"/>
        </w:tabs>
        <w:spacing w:line="400" w:lineRule="exact"/>
        <w:ind w:firstLine="420" w:firstLineChars="200"/>
        <w:jc w:val="left"/>
        <w:rPr>
          <w:rFonts w:hint="eastAsia" w:ascii="宋体" w:hAnsi="宋体" w:eastAsia="宋体" w:cs="宋体"/>
          <w:sz w:val="21"/>
          <w:highlight w:val="none"/>
        </w:rPr>
      </w:pPr>
      <w:r>
        <w:rPr>
          <w:rFonts w:hint="eastAsia" w:ascii="宋体" w:hAnsi="宋体" w:eastAsia="宋体" w:cs="宋体"/>
          <w:sz w:val="21"/>
          <w:highlight w:val="none"/>
        </w:rPr>
        <w:t>6.4在物资运输过程中，粉尘﹑噪声及尾气排放必须满足国家及地方的有关规定</w:t>
      </w:r>
      <w:r>
        <w:rPr>
          <w:rFonts w:hint="eastAsia" w:ascii="宋体" w:hAnsi="宋体" w:eastAsia="宋体" w:cs="宋体"/>
          <w:sz w:val="21"/>
          <w:szCs w:val="21"/>
          <w:highlight w:val="none"/>
        </w:rPr>
        <w:t>采取必要措施防止运输中发生有害物质泄漏，对周边环境造成污染</w:t>
      </w:r>
      <w:r>
        <w:rPr>
          <w:rFonts w:hint="eastAsia" w:ascii="宋体" w:hAnsi="宋体" w:eastAsia="宋体" w:cs="宋体"/>
          <w:sz w:val="21"/>
          <w:highlight w:val="none"/>
        </w:rPr>
        <w:t>。如有违反行为发生，按国家有关规定进行处理，责任由乙方承担。</w:t>
      </w:r>
    </w:p>
    <w:p>
      <w:pPr>
        <w:spacing w:line="400" w:lineRule="exact"/>
        <w:ind w:firstLine="480"/>
        <w:rPr>
          <w:rFonts w:hint="eastAsia" w:ascii="宋体" w:hAnsi="宋体" w:eastAsia="宋体" w:cs="宋体"/>
          <w:sz w:val="21"/>
          <w:highlight w:val="none"/>
        </w:rPr>
      </w:pPr>
      <w:r>
        <w:rPr>
          <w:rFonts w:hint="eastAsia" w:ascii="宋体" w:hAnsi="宋体" w:eastAsia="宋体" w:cs="宋体"/>
          <w:sz w:val="21"/>
          <w:highlight w:val="none"/>
        </w:rPr>
        <w:t>6.5乙方进入施工现场的人员</w:t>
      </w:r>
      <w:r>
        <w:rPr>
          <w:rFonts w:hint="eastAsia" w:ascii="宋体" w:hAnsi="宋体" w:eastAsia="宋体" w:cs="宋体"/>
          <w:sz w:val="21"/>
          <w:szCs w:val="21"/>
          <w:highlight w:val="none"/>
        </w:rPr>
        <w:t>车辆必须听从甲方现场人员的统一指挥和安排、</w:t>
      </w:r>
      <w:r>
        <w:rPr>
          <w:rFonts w:hint="eastAsia" w:ascii="宋体" w:hAnsi="宋体" w:eastAsia="宋体" w:cs="宋体"/>
          <w:sz w:val="21"/>
          <w:highlight w:val="none"/>
        </w:rPr>
        <w:t>必须按甲方要求穿戴个人防护物品，做好个人防护。</w:t>
      </w:r>
    </w:p>
    <w:p>
      <w:pPr>
        <w:tabs>
          <w:tab w:val="left" w:pos="765"/>
        </w:tabs>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6.6当乙方违反上述条款3次以下1次以上时（含1次），甲方将向乙方提出警告；3次以上（含3次），甲方将有权终止正在执行的合同，一切后果由乙方承担。</w:t>
      </w:r>
    </w:p>
    <w:p>
      <w:pPr>
        <w:spacing w:line="400" w:lineRule="exact"/>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7.甲方的责任和义务</w:t>
      </w:r>
    </w:p>
    <w:p>
      <w:pPr>
        <w:tabs>
          <w:tab w:val="left" w:pos="765"/>
        </w:tabs>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7.1</w:t>
      </w:r>
      <w:r>
        <w:rPr>
          <w:rFonts w:hint="eastAsia" w:ascii="宋体" w:hAnsi="宋体" w:eastAsia="宋体" w:cs="宋体"/>
          <w:color w:val="000000"/>
          <w:sz w:val="21"/>
          <w:szCs w:val="21"/>
          <w:highlight w:val="none"/>
        </w:rPr>
        <w:t>提供物资供应计划</w:t>
      </w:r>
      <w:r>
        <w:rPr>
          <w:rFonts w:hint="eastAsia" w:ascii="宋体" w:hAnsi="宋体" w:eastAsia="宋体" w:cs="宋体"/>
          <w:sz w:val="21"/>
          <w:szCs w:val="21"/>
          <w:highlight w:val="none"/>
        </w:rPr>
        <w:t>。</w:t>
      </w:r>
    </w:p>
    <w:p>
      <w:pPr>
        <w:tabs>
          <w:tab w:val="left" w:pos="765"/>
        </w:tabs>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7.2对乙方运抵的物资及时验收并为乙方卸货提供必要的方便。</w:t>
      </w:r>
    </w:p>
    <w:p>
      <w:pPr>
        <w:tabs>
          <w:tab w:val="left" w:pos="765"/>
        </w:tabs>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7.3及时组织物资质量检测，检测合格，及时签收确认；检测不合格，甲方有权拒收,由此产生的费用全部由乙方承担。</w:t>
      </w:r>
    </w:p>
    <w:p>
      <w:pPr>
        <w:tabs>
          <w:tab w:val="left" w:pos="765"/>
        </w:tabs>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7.4按约定支付乙方货款。</w:t>
      </w:r>
    </w:p>
    <w:p>
      <w:pPr>
        <w:tabs>
          <w:tab w:val="left" w:pos="765"/>
        </w:tabs>
        <w:spacing w:line="400" w:lineRule="exact"/>
        <w:ind w:firstLine="422" w:firstLineChars="200"/>
        <w:jc w:val="left"/>
        <w:rPr>
          <w:rFonts w:hint="eastAsia" w:ascii="宋体" w:hAnsi="宋体" w:eastAsia="宋体" w:cs="宋体"/>
          <w:b/>
          <w:sz w:val="21"/>
          <w:szCs w:val="21"/>
          <w:highlight w:val="none"/>
        </w:rPr>
      </w:pPr>
      <w:r>
        <w:rPr>
          <w:rFonts w:hint="eastAsia" w:ascii="宋体" w:hAnsi="宋体" w:eastAsia="宋体" w:cs="宋体"/>
          <w:b/>
          <w:sz w:val="21"/>
          <w:szCs w:val="21"/>
          <w:highlight w:val="none"/>
        </w:rPr>
        <w:t>8.乙方的责任和义务</w:t>
      </w:r>
    </w:p>
    <w:p>
      <w:pPr>
        <w:tabs>
          <w:tab w:val="left" w:pos="765"/>
        </w:tabs>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8.1将物资送至规定地点，</w:t>
      </w:r>
      <w:r>
        <w:rPr>
          <w:rFonts w:hint="eastAsia" w:ascii="宋体" w:hAnsi="宋体" w:eastAsia="宋体" w:cs="宋体"/>
          <w:sz w:val="21"/>
          <w:szCs w:val="21"/>
          <w:highlight w:val="none"/>
        </w:rPr>
        <w:t>配合卸货并码放整齐，保证堆放安全，否则甲方有权不予验收，由此给甲方造成的损失由乙方承担。</w:t>
      </w:r>
    </w:p>
    <w:p>
      <w:pPr>
        <w:tabs>
          <w:tab w:val="left" w:pos="765"/>
        </w:tabs>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8.2发货前应及时通知甲方，以便甲方做好接货准备。乙方不得因甲方要求延期交货而向甲方提出索赔。</w:t>
      </w:r>
    </w:p>
    <w:p>
      <w:pPr>
        <w:tabs>
          <w:tab w:val="left" w:pos="765"/>
        </w:tabs>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8.3向甲方提供必要的报检证明和结算证明（账户、开户行相关证件复印件及验收单等）。</w:t>
      </w:r>
    </w:p>
    <w:p>
      <w:pPr>
        <w:tabs>
          <w:tab w:val="left" w:pos="765"/>
        </w:tabs>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8.4供应的物资必须符合中华人民共和国国家、地方及行业最新颁布的相关标准及技术规范和甲方施工要求。</w:t>
      </w:r>
    </w:p>
    <w:p>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8.5保证物资在运输过程中不受污染，做好物资运输过程中的防雨、防潮工作。</w:t>
      </w:r>
    </w:p>
    <w:p>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8.6承担在供货过程中发生的交通事故、人身伤害、通讯或电力线路损害、污染物泄漏等突发事件造成的损失、罚款及其他一切责任。</w:t>
      </w:r>
    </w:p>
    <w:p>
      <w:pPr>
        <w:tabs>
          <w:tab w:val="left" w:pos="765"/>
        </w:tabs>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8.7遵守甲方有关的规章制度，并负责己方人员及运输设备的安全。</w:t>
      </w:r>
    </w:p>
    <w:p>
      <w:pPr>
        <w:tabs>
          <w:tab w:val="left" w:pos="765"/>
        </w:tabs>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8.8物资供应必须及时并保证满足甲方施工生产需要，如因乙方问题造成甲方停工待料，除不可抗力外，全部损失由乙方承担。</w:t>
      </w:r>
    </w:p>
    <w:p>
      <w:pPr>
        <w:tabs>
          <w:tab w:val="left" w:pos="810"/>
        </w:tabs>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8.9必须按甲方提供的</w:t>
      </w:r>
      <w:r>
        <w:rPr>
          <w:rFonts w:hint="eastAsia" w:ascii="宋体" w:hAnsi="宋体" w:eastAsia="宋体" w:cs="宋体"/>
          <w:color w:val="000000"/>
          <w:sz w:val="21"/>
          <w:szCs w:val="21"/>
          <w:highlight w:val="none"/>
        </w:rPr>
        <w:t>物资供应计划</w:t>
      </w:r>
      <w:r>
        <w:rPr>
          <w:rFonts w:hint="eastAsia" w:ascii="宋体" w:hAnsi="宋体" w:eastAsia="宋体" w:cs="宋体"/>
          <w:sz w:val="21"/>
          <w:szCs w:val="21"/>
          <w:highlight w:val="none"/>
        </w:rPr>
        <w:t>的数量、时间供货，不得擅自改变计划内容。乙方对超出供货需求量供应的物资承担相应费用和责任，包括但不限于物资进场、退场的运输、装车、保管等。</w:t>
      </w:r>
    </w:p>
    <w:p>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8.10应精心组织物资加工，参照甲方</w:t>
      </w:r>
      <w:r>
        <w:rPr>
          <w:rFonts w:hint="eastAsia" w:ascii="宋体" w:hAnsi="宋体" w:eastAsia="宋体" w:cs="宋体"/>
          <w:color w:val="000000"/>
          <w:sz w:val="21"/>
          <w:szCs w:val="21"/>
          <w:highlight w:val="none"/>
        </w:rPr>
        <w:t>物资供应计划</w:t>
      </w:r>
      <w:r>
        <w:rPr>
          <w:rFonts w:hint="eastAsia" w:ascii="宋体" w:hAnsi="宋体" w:eastAsia="宋体" w:cs="宋体"/>
          <w:sz w:val="21"/>
          <w:szCs w:val="21"/>
          <w:highlight w:val="none"/>
        </w:rPr>
        <w:t>，做好物资的储备工作，合理安排运输力量。如乙方不能按期完成甲方计划，应提前</w:t>
      </w:r>
      <w:r>
        <w:rPr>
          <w:rFonts w:hint="eastAsia" w:ascii="宋体" w:hAnsi="宋体" w:eastAsia="宋体" w:cs="宋体"/>
          <w:color w:val="000000"/>
          <w:sz w:val="21"/>
          <w:szCs w:val="21"/>
          <w:highlight w:val="none"/>
        </w:rPr>
        <w:t>5</w:t>
      </w:r>
      <w:r>
        <w:rPr>
          <w:rFonts w:hint="eastAsia" w:ascii="宋体" w:hAnsi="宋体" w:eastAsia="宋体" w:cs="宋体"/>
          <w:sz w:val="21"/>
          <w:szCs w:val="21"/>
          <w:highlight w:val="none"/>
        </w:rPr>
        <w:t>日历天向甲方说明，甲方将另行组织货源。如由于乙方原因影响甲方工程进度，甲方将扣除乙方相应货款作为违约金。</w:t>
      </w:r>
    </w:p>
    <w:p>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8.11必须无条件满足合同内物资的供应，不得以生产商设备检修停产、未安排生产计划等为由在合同约定供货期内停止供货。</w:t>
      </w:r>
    </w:p>
    <w:p>
      <w:pPr>
        <w:snapToGrid w:val="0"/>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8.12乙方需正确填写发票，</w:t>
      </w:r>
      <w:r>
        <w:rPr>
          <w:rFonts w:hint="eastAsia" w:ascii="宋体" w:hAnsi="宋体" w:eastAsia="宋体" w:cs="宋体"/>
          <w:color w:val="000000"/>
          <w:sz w:val="21"/>
          <w:szCs w:val="21"/>
          <w:highlight w:val="none"/>
        </w:rPr>
        <w:t>因乙方发票填写错误，造成甲方损失的，由乙方进行全额赔偿，并支付“问题发票”等额的违约金给甲方。</w:t>
      </w:r>
      <w:r>
        <w:rPr>
          <w:rFonts w:hint="eastAsia" w:ascii="宋体" w:hAnsi="宋体" w:eastAsia="宋体" w:cs="宋体"/>
          <w:sz w:val="21"/>
          <w:szCs w:val="21"/>
          <w:highlight w:val="none"/>
        </w:rPr>
        <w:t>乙方在申请本合同下的货款和开据发票过程中发生的各种费用由</w:t>
      </w:r>
      <w:r>
        <w:rPr>
          <w:rFonts w:hint="eastAsia" w:ascii="宋体" w:hAnsi="宋体" w:eastAsia="宋体" w:cs="宋体"/>
          <w:color w:val="000000"/>
          <w:sz w:val="21"/>
          <w:szCs w:val="21"/>
          <w:highlight w:val="none"/>
        </w:rPr>
        <w:t>己</w:t>
      </w:r>
      <w:r>
        <w:rPr>
          <w:rFonts w:hint="eastAsia" w:ascii="宋体" w:hAnsi="宋体" w:eastAsia="宋体" w:cs="宋体"/>
          <w:sz w:val="21"/>
          <w:szCs w:val="21"/>
          <w:highlight w:val="none"/>
        </w:rPr>
        <w:t>方承担。</w:t>
      </w:r>
    </w:p>
    <w:p>
      <w:pPr>
        <w:snapToGrid w:val="0"/>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8.13  乙方保证甲方在使用本合同约定物资时不受到第三方关于侵犯专利权、商标权或工业设计权等知识产权的指控。任何第三方提出侵权指控，乙方须与第三方交涉并承担发生的一切责任和费用。本合同综合单价包含知识产权使用费。</w:t>
      </w:r>
    </w:p>
    <w:p>
      <w:pPr>
        <w:spacing w:line="400" w:lineRule="exact"/>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9.违约责任</w:t>
      </w:r>
    </w:p>
    <w:p>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9.1以下情况乙方向甲方支付违约金，具体违约金金额在第一部分合同协议书中进行约定。此违约金在应付货款中直接扣除，情况严重时甲方有权单方终止合同。</w:t>
      </w:r>
    </w:p>
    <w:p>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9.1.1乙方未按甲方物资供应计划要求供应本合同约定物资</w:t>
      </w:r>
    </w:p>
    <w:p>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9.1.2乙方所供应物资检测不合格，且</w:t>
      </w:r>
      <w:r>
        <w:rPr>
          <w:rFonts w:hint="eastAsia" w:ascii="宋体" w:hAnsi="宋体" w:eastAsia="宋体" w:cs="宋体"/>
          <w:color w:val="000000"/>
          <w:sz w:val="21"/>
          <w:szCs w:val="21"/>
          <w:highlight w:val="none"/>
        </w:rPr>
        <w:t>48小时</w:t>
      </w:r>
      <w:r>
        <w:rPr>
          <w:rFonts w:hint="eastAsia" w:ascii="宋体" w:hAnsi="宋体" w:eastAsia="宋体" w:cs="宋体"/>
          <w:bCs/>
          <w:color w:val="000000"/>
          <w:kern w:val="0"/>
          <w:sz w:val="21"/>
          <w:szCs w:val="21"/>
          <w:highlight w:val="none"/>
        </w:rPr>
        <w:t>内未予处理的。</w:t>
      </w:r>
    </w:p>
    <w:p>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9.2由于乙方原因造成甲方人员人身伤害，乙方应立即采取补救措施，并全额赔偿甲方相关人员损失。</w:t>
      </w:r>
    </w:p>
    <w:p>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9.3如果由于物资质量问题，引起工程事故，导致甲方人员或财产损失的，乙方应承担相应的法律责任和经济责任，因此所导致的一切损失由乙方承担，该责任不因合同的终止而减小或解除。</w:t>
      </w:r>
    </w:p>
    <w:p>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9.4甲乙双方明确约定，对于在本合同项下产生的或与本合同相关的事宜产生的乙方对甲方的债权，乙方承诺：不经过甲方的书面同意不将其转让给第三方，否则，乙方须在违约转让债权之日起五日内，按照违约转让债权总额的5%向甲方支付违约金，逾期支付违约金应承担违约付款责任，同时债权转让不发生法律效力。</w:t>
      </w:r>
    </w:p>
    <w:p>
      <w:pPr>
        <w:spacing w:line="400" w:lineRule="exact"/>
        <w:ind w:firstLine="420" w:firstLineChars="200"/>
        <w:jc w:val="left"/>
        <w:rPr>
          <w:rFonts w:hint="eastAsia" w:ascii="宋体" w:hAnsi="宋体" w:eastAsia="宋体" w:cs="宋体"/>
          <w:b/>
          <w:sz w:val="21"/>
          <w:szCs w:val="21"/>
          <w:highlight w:val="none"/>
        </w:rPr>
      </w:pPr>
      <w:r>
        <w:rPr>
          <w:rFonts w:hint="eastAsia" w:ascii="宋体" w:hAnsi="宋体" w:eastAsia="宋体" w:cs="宋体"/>
          <w:sz w:val="21"/>
          <w:szCs w:val="21"/>
          <w:highlight w:val="none"/>
        </w:rPr>
        <w:t>9.5乙方收到甲方的索赔通知后10日历天内不作出书面答复，视为乙方同意甲方提出的一切索赔要求。</w:t>
      </w:r>
    </w:p>
    <w:p>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9.6甲方发出解除或终止合同通知后10日历天内乙方不作出书面答复，视为乙方同意解除或终止合同。合同解除或终止后乙方仍承担由于乙方原因而产生的违约金和因此给甲方造成的全部直接、间接经济损失。乙方在收到解除或终止合同的通知后应无条件配合甲方处理善后事宜。甲方因行使本条规定的事项权利所发生的合理费用，包括但不限于诉讼费、鉴定费.律师费等全部由乙方承担。</w:t>
      </w:r>
    </w:p>
    <w:p>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9.7如发生以下任何一种情况履约保证金不予退还：</w:t>
      </w:r>
    </w:p>
    <w:p>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9.7.1无法正常供货的情况，包括任何原因的不供货或连续5日历天未能按甲方要求的数量供货。</w:t>
      </w:r>
    </w:p>
    <w:p>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9.7.2供应的物资不符合国家、甲方、业主和监理相关标准和要求，且在规定时间内不予调换、处理的情况。</w:t>
      </w:r>
    </w:p>
    <w:p>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9.7.3不服从甲方管理的。</w:t>
      </w:r>
    </w:p>
    <w:p>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9.7.4因乙方原因给甲方造成损失的。</w:t>
      </w:r>
    </w:p>
    <w:p>
      <w:pPr>
        <w:spacing w:line="400" w:lineRule="exact"/>
        <w:ind w:firstLine="422" w:firstLineChars="200"/>
        <w:jc w:val="left"/>
        <w:rPr>
          <w:rFonts w:hint="eastAsia" w:ascii="宋体" w:hAnsi="宋体" w:eastAsia="宋体" w:cs="宋体"/>
          <w:b/>
          <w:sz w:val="21"/>
          <w:szCs w:val="21"/>
          <w:highlight w:val="none"/>
        </w:rPr>
      </w:pPr>
      <w:r>
        <w:rPr>
          <w:rFonts w:hint="eastAsia" w:ascii="宋体" w:hAnsi="宋体" w:eastAsia="宋体" w:cs="宋体"/>
          <w:b/>
          <w:sz w:val="21"/>
          <w:szCs w:val="21"/>
          <w:highlight w:val="none"/>
        </w:rPr>
        <w:t>10.通知</w:t>
      </w:r>
    </w:p>
    <w:p>
      <w:pPr>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10.1根据本合同需要发出的双方的往来文件及与本合同有关的通知和要求等，可以选择通过传真、电子邮件、邮寄、当面送交等方式传递。以上方式无法送达的，方可采取公告送达的方式。</w:t>
      </w:r>
    </w:p>
    <w:p>
      <w:pPr>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10.2乙方若要变更通讯方式，应提前5日历天以书面形式通知对甲方，并告知变更生效日期，否则，甲方按照原通讯方式向乙方发出任何书面通知、文件5日历天后即视为有效送达，乙方应承担由此导致的一切法律后果。</w:t>
      </w:r>
    </w:p>
    <w:p>
      <w:pPr>
        <w:spacing w:line="400" w:lineRule="exact"/>
        <w:ind w:firstLine="422" w:firstLineChars="200"/>
        <w:jc w:val="left"/>
        <w:rPr>
          <w:rFonts w:hint="eastAsia" w:ascii="宋体" w:hAnsi="宋体" w:eastAsia="宋体" w:cs="宋体"/>
          <w:b/>
          <w:sz w:val="21"/>
          <w:szCs w:val="21"/>
          <w:highlight w:val="none"/>
        </w:rPr>
      </w:pPr>
      <w:r>
        <w:rPr>
          <w:rFonts w:hint="eastAsia" w:ascii="宋体" w:hAnsi="宋体" w:eastAsia="宋体" w:cs="宋体"/>
          <w:b/>
          <w:sz w:val="21"/>
          <w:szCs w:val="21"/>
          <w:highlight w:val="none"/>
        </w:rPr>
        <w:t>11.争议的处理</w:t>
      </w:r>
    </w:p>
    <w:p>
      <w:pPr>
        <w:spacing w:line="400" w:lineRule="exact"/>
        <w:ind w:firstLine="420" w:firstLineChars="200"/>
        <w:jc w:val="left"/>
        <w:rPr>
          <w:rFonts w:hint="eastAsia" w:ascii="宋体" w:hAnsi="宋体" w:eastAsia="宋体" w:cs="宋体"/>
          <w:color w:val="C0C0C0"/>
          <w:sz w:val="21"/>
          <w:szCs w:val="21"/>
          <w:highlight w:val="none"/>
          <w:u w:val="single"/>
        </w:rPr>
      </w:pPr>
      <w:r>
        <w:rPr>
          <w:rFonts w:hint="eastAsia" w:ascii="宋体" w:hAnsi="宋体" w:eastAsia="宋体" w:cs="宋体"/>
          <w:sz w:val="21"/>
          <w:szCs w:val="21"/>
          <w:highlight w:val="none"/>
        </w:rPr>
        <w:t>本合同发生的有关争议应通过友好协商解决，经协商未能达成协议时，双方约定向甲方住所地有管辖权的人民法院提起诉讼。</w:t>
      </w:r>
    </w:p>
    <w:p>
      <w:pPr>
        <w:tabs>
          <w:tab w:val="left" w:pos="810"/>
        </w:tabs>
        <w:spacing w:line="400" w:lineRule="exact"/>
        <w:ind w:firstLine="422" w:firstLineChars="200"/>
        <w:jc w:val="left"/>
        <w:rPr>
          <w:rFonts w:hint="eastAsia" w:ascii="宋体" w:hAnsi="宋体" w:eastAsia="宋体" w:cs="宋体"/>
          <w:b/>
          <w:sz w:val="21"/>
          <w:szCs w:val="21"/>
          <w:highlight w:val="none"/>
        </w:rPr>
      </w:pPr>
      <w:r>
        <w:rPr>
          <w:rFonts w:hint="eastAsia" w:ascii="宋体" w:hAnsi="宋体" w:eastAsia="宋体" w:cs="宋体"/>
          <w:b/>
          <w:sz w:val="21"/>
          <w:szCs w:val="21"/>
          <w:highlight w:val="none"/>
        </w:rPr>
        <w:t xml:space="preserve">12.不可抗力 </w:t>
      </w:r>
    </w:p>
    <w:p>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甲.乙双方的任何一方由于不可抗力的原因不能履行或不能完全履行合同时，应及时向对方通报不能履行或不能完全履行合同的理由，协商延期、变更或者解除合同；根据情况可部分或全部免予承担违约责任。</w:t>
      </w:r>
    </w:p>
    <w:p>
      <w:pPr>
        <w:spacing w:line="400" w:lineRule="exact"/>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13.其他约定事项</w:t>
      </w:r>
    </w:p>
    <w:p>
      <w:pPr>
        <w:widowControl/>
        <w:spacing w:line="36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13.1本合同未尽事宜，双方另行协商并签订补充协议。</w:t>
      </w:r>
      <w:r>
        <w:rPr>
          <w:rFonts w:hint="eastAsia" w:ascii="宋体" w:hAnsi="宋体" w:eastAsia="宋体" w:cs="宋体"/>
          <w:color w:val="000000"/>
          <w:sz w:val="21"/>
          <w:szCs w:val="21"/>
          <w:highlight w:val="none"/>
        </w:rPr>
        <w:t>当乙方所供物资超出原合同价款的10%时，甲乙双方必须签订补充协议。</w:t>
      </w:r>
      <w:r>
        <w:rPr>
          <w:rFonts w:hint="eastAsia" w:ascii="宋体" w:hAnsi="宋体" w:eastAsia="宋体" w:cs="宋体"/>
          <w:sz w:val="21"/>
          <w:szCs w:val="21"/>
          <w:highlight w:val="none"/>
        </w:rPr>
        <w:t>补充协议作为本合同附件，与本合同具有同等法律效力。</w:t>
      </w:r>
    </w:p>
    <w:p>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13.2因工程建设单位、监理单位及相关部门出台的相关规定文件、市场准入制度造成合同不能执行，甲方不承担任何责任。</w:t>
      </w:r>
    </w:p>
    <w:p>
      <w:pPr>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13.3</w:t>
      </w:r>
      <w:r>
        <w:rPr>
          <w:rFonts w:hint="eastAsia" w:ascii="宋体" w:hAnsi="宋体" w:eastAsia="宋体" w:cs="宋体"/>
          <w:color w:val="000000"/>
          <w:sz w:val="21"/>
          <w:szCs w:val="21"/>
          <w:highlight w:val="none"/>
        </w:rPr>
        <w:t>本合同自双方签字盖章之日起生效。</w:t>
      </w:r>
    </w:p>
    <w:p>
      <w:pPr>
        <w:spacing w:line="360" w:lineRule="exact"/>
        <w:ind w:firstLine="411" w:firstLineChars="195"/>
        <w:jc w:val="left"/>
        <w:rPr>
          <w:rFonts w:hint="eastAsia" w:ascii="宋体" w:hAnsi="宋体" w:eastAsia="宋体" w:cs="宋体"/>
          <w:b/>
          <w:sz w:val="21"/>
          <w:szCs w:val="21"/>
          <w:highlight w:val="none"/>
        </w:rPr>
      </w:pPr>
      <w:r>
        <w:rPr>
          <w:rFonts w:hint="eastAsia" w:ascii="宋体" w:hAnsi="宋体" w:eastAsia="宋体" w:cs="宋体"/>
          <w:b/>
          <w:sz w:val="21"/>
          <w:szCs w:val="21"/>
          <w:highlight w:val="none"/>
        </w:rPr>
        <w:t>14.附件</w:t>
      </w:r>
    </w:p>
    <w:p>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附件：分供廉政合同</w:t>
      </w:r>
    </w:p>
    <w:p>
      <w:pPr>
        <w:spacing w:line="400" w:lineRule="exact"/>
        <w:ind w:firstLine="420" w:firstLineChars="200"/>
        <w:rPr>
          <w:rFonts w:hint="eastAsia" w:ascii="宋体" w:hAnsi="宋体" w:eastAsia="宋体" w:cs="宋体"/>
          <w:color w:val="000000"/>
          <w:sz w:val="21"/>
          <w:szCs w:val="21"/>
          <w:highlight w:val="none"/>
        </w:rPr>
      </w:pPr>
    </w:p>
    <w:p>
      <w:pPr>
        <w:rPr>
          <w:rFonts w:hint="eastAsia" w:ascii="宋体" w:hAnsi="宋体" w:eastAsia="宋体" w:cs="宋体"/>
          <w:b/>
          <w:sz w:val="30"/>
          <w:szCs w:val="30"/>
          <w:highlight w:val="none"/>
        </w:rPr>
      </w:pPr>
      <w:r>
        <w:rPr>
          <w:rFonts w:hint="eastAsia" w:ascii="宋体" w:hAnsi="宋体" w:eastAsia="宋体" w:cs="宋体"/>
          <w:b/>
          <w:sz w:val="30"/>
          <w:szCs w:val="30"/>
          <w:highlight w:val="none"/>
        </w:rPr>
        <w:br w:type="page"/>
      </w:r>
    </w:p>
    <w:p>
      <w:pPr>
        <w:spacing w:line="360" w:lineRule="exact"/>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t>第三部分 专用合同条款</w:t>
      </w:r>
    </w:p>
    <w:p>
      <w:pPr>
        <w:tabs>
          <w:tab w:val="left" w:pos="425"/>
        </w:tabs>
        <w:spacing w:line="400" w:lineRule="exact"/>
        <w:ind w:left="420"/>
        <w:jc w:val="left"/>
        <w:rPr>
          <w:rFonts w:hint="eastAsia" w:ascii="宋体" w:hAnsi="宋体" w:eastAsia="宋体" w:cs="宋体"/>
          <w:b/>
          <w:sz w:val="21"/>
          <w:szCs w:val="21"/>
          <w:highlight w:val="none"/>
        </w:rPr>
      </w:pPr>
      <w:r>
        <w:rPr>
          <w:rFonts w:hint="eastAsia" w:ascii="宋体" w:hAnsi="宋体" w:eastAsia="宋体" w:cs="宋体"/>
          <w:b/>
          <w:sz w:val="21"/>
          <w:szCs w:val="21"/>
          <w:highlight w:val="none"/>
        </w:rPr>
        <w:t>1.适用法律法规</w:t>
      </w:r>
    </w:p>
    <w:p>
      <w:pPr>
        <w:spacing w:line="360" w:lineRule="exact"/>
        <w:ind w:firstLine="420" w:firstLineChars="20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见通用合同条款。</w:t>
      </w:r>
      <w:r>
        <w:rPr>
          <w:rFonts w:hint="eastAsia" w:ascii="宋体" w:hAnsi="宋体" w:eastAsia="宋体" w:cs="宋体"/>
          <w:color w:val="C0C0C0"/>
          <w:sz w:val="21"/>
          <w:szCs w:val="21"/>
          <w:highlight w:val="none"/>
          <w:u w:val="single"/>
        </w:rPr>
        <w:t>（可修改或新增条款）</w:t>
      </w:r>
    </w:p>
    <w:p>
      <w:pPr>
        <w:spacing w:line="3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需要明示其他的法律、行政法规：</w:t>
      </w:r>
      <w:r>
        <w:rPr>
          <w:rFonts w:hint="eastAsia" w:ascii="宋体" w:hAnsi="宋体" w:eastAsia="宋体" w:cs="宋体"/>
          <w:color w:val="C0C0C0"/>
          <w:sz w:val="21"/>
          <w:szCs w:val="21"/>
          <w:highlight w:val="none"/>
          <w:u w:val="single"/>
        </w:rPr>
        <w:t xml:space="preserve">                             </w:t>
      </w:r>
    </w:p>
    <w:p>
      <w:pPr>
        <w:tabs>
          <w:tab w:val="left" w:pos="425"/>
        </w:tabs>
        <w:spacing w:line="400" w:lineRule="exact"/>
        <w:ind w:left="480" w:leftChars="200"/>
        <w:jc w:val="left"/>
        <w:rPr>
          <w:rFonts w:hint="eastAsia" w:ascii="宋体" w:hAnsi="宋体" w:eastAsia="宋体" w:cs="宋体"/>
          <w:b/>
          <w:sz w:val="21"/>
          <w:szCs w:val="21"/>
          <w:highlight w:val="none"/>
        </w:rPr>
      </w:pPr>
      <w:r>
        <w:rPr>
          <w:rFonts w:hint="eastAsia" w:ascii="宋体" w:hAnsi="宋体" w:eastAsia="宋体" w:cs="宋体"/>
          <w:b/>
          <w:sz w:val="21"/>
          <w:szCs w:val="21"/>
          <w:highlight w:val="none"/>
        </w:rPr>
        <w:t>2.合同文件组成及解释顺序</w:t>
      </w:r>
    </w:p>
    <w:p>
      <w:pPr>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sz w:val="21"/>
          <w:szCs w:val="21"/>
          <w:highlight w:val="none"/>
          <w:u w:val="single"/>
        </w:rPr>
        <w:t>见通用合同条款。</w:t>
      </w:r>
      <w:r>
        <w:rPr>
          <w:rFonts w:hint="eastAsia" w:ascii="宋体" w:hAnsi="宋体" w:eastAsia="宋体" w:cs="宋体"/>
          <w:color w:val="C0C0C0"/>
          <w:sz w:val="21"/>
          <w:szCs w:val="21"/>
          <w:highlight w:val="none"/>
          <w:u w:val="single"/>
        </w:rPr>
        <w:t>（可修改或新增条款）</w:t>
      </w:r>
    </w:p>
    <w:p>
      <w:pPr>
        <w:spacing w:line="400" w:lineRule="exact"/>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3.质量要求及技术标准</w:t>
      </w:r>
    </w:p>
    <w:p>
      <w:pPr>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3.1</w:t>
      </w:r>
      <w:r>
        <w:rPr>
          <w:rFonts w:hint="eastAsia" w:ascii="宋体" w:hAnsi="宋体" w:eastAsia="宋体" w:cs="宋体"/>
          <w:sz w:val="21"/>
          <w:szCs w:val="21"/>
          <w:highlight w:val="none"/>
          <w:u w:val="single"/>
        </w:rPr>
        <w:t>见通用合同条款。</w:t>
      </w:r>
      <w:r>
        <w:rPr>
          <w:rFonts w:hint="eastAsia" w:ascii="宋体" w:hAnsi="宋体" w:eastAsia="宋体" w:cs="宋体"/>
          <w:color w:val="C0C0C0"/>
          <w:sz w:val="21"/>
          <w:szCs w:val="21"/>
          <w:highlight w:val="none"/>
          <w:u w:val="single"/>
        </w:rPr>
        <w:t>（可修改或新增条款）</w:t>
      </w:r>
    </w:p>
    <w:p>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3.2物资质量要求及技术标准。</w:t>
      </w:r>
    </w:p>
    <w:p>
      <w:pPr>
        <w:spacing w:line="400" w:lineRule="exact"/>
        <w:ind w:firstLine="420" w:firstLineChars="20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商品混凝土：必须满足以下标准及要求，且满足中华人民共和国国家、地方及行业最新颁布的相关标准及技术规范，如果规范、标准、要求适用于同一种情况，则以标准高者为准：</w:t>
      </w:r>
    </w:p>
    <w:p>
      <w:pPr>
        <w:spacing w:line="400" w:lineRule="exact"/>
        <w:ind w:firstLine="420" w:firstLineChars="200"/>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《公路水泥混凝土路面施工技术规范》(JTGF30—2003）；</w:t>
      </w:r>
    </w:p>
    <w:p>
      <w:pPr>
        <w:spacing w:line="400" w:lineRule="exact"/>
        <w:ind w:firstLine="420" w:firstLineChars="20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《公路工程技术标准》（JTG B01-2014）；</w:t>
      </w:r>
    </w:p>
    <w:p>
      <w:pPr>
        <w:spacing w:line="400" w:lineRule="exact"/>
        <w:ind w:firstLine="420" w:firstLineChars="20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《公路水泥混凝土路面设计规范》(JTG F40-2011)</w:t>
      </w:r>
    </w:p>
    <w:p>
      <w:pPr>
        <w:spacing w:line="400" w:lineRule="exact"/>
        <w:ind w:firstLine="420" w:firstLineChars="20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潜水泵质量要求：《井用潜水泵》（GB/T 2816-2014）</w:t>
      </w:r>
    </w:p>
    <w:p>
      <w:pPr>
        <w:spacing w:line="400" w:lineRule="exact"/>
        <w:ind w:firstLine="420" w:firstLineChars="200"/>
        <w:rPr>
          <w:rFonts w:hint="eastAsia" w:cs="宋体"/>
          <w:sz w:val="21"/>
          <w:szCs w:val="21"/>
          <w:highlight w:val="none"/>
          <w:lang w:val="en-US" w:eastAsia="zh-CN"/>
        </w:rPr>
      </w:pPr>
      <w:r>
        <w:rPr>
          <w:rFonts w:hint="eastAsia" w:cs="宋体"/>
          <w:sz w:val="21"/>
          <w:szCs w:val="21"/>
          <w:highlight w:val="none"/>
          <w:lang w:val="en-US" w:eastAsia="zh-CN"/>
        </w:rPr>
        <w:t>施工图纸、技术规范和业主、监理下发的关于物资的相关要求。</w:t>
      </w:r>
    </w:p>
    <w:p>
      <w:pPr>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3.3</w:t>
      </w:r>
      <w:r>
        <w:rPr>
          <w:rFonts w:hint="eastAsia" w:ascii="宋体" w:hAnsi="宋体" w:eastAsia="宋体" w:cs="宋体"/>
          <w:color w:val="000000"/>
          <w:sz w:val="21"/>
          <w:szCs w:val="21"/>
          <w:highlight w:val="none"/>
        </w:rPr>
        <w:t>其他说明</w:t>
      </w:r>
      <w:r>
        <w:rPr>
          <w:rFonts w:hint="eastAsia" w:ascii="宋体" w:hAnsi="宋体" w:eastAsia="宋体" w:cs="宋体"/>
          <w:color w:val="C0C0C0"/>
          <w:sz w:val="21"/>
          <w:szCs w:val="21"/>
          <w:highlight w:val="none"/>
          <w:u w:val="single"/>
        </w:rPr>
        <w:t>（如果有）</w:t>
      </w:r>
    </w:p>
    <w:p>
      <w:pPr>
        <w:spacing w:line="400" w:lineRule="exact"/>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4.物资计量验收方式</w:t>
      </w:r>
    </w:p>
    <w:p>
      <w:pPr>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4.1</w:t>
      </w:r>
      <w:r>
        <w:rPr>
          <w:rFonts w:hint="eastAsia" w:ascii="宋体" w:hAnsi="宋体" w:eastAsia="宋体" w:cs="宋体"/>
          <w:sz w:val="21"/>
          <w:szCs w:val="21"/>
          <w:highlight w:val="none"/>
          <w:u w:val="single"/>
        </w:rPr>
        <w:t>见通用合同条款。</w:t>
      </w:r>
      <w:r>
        <w:rPr>
          <w:rFonts w:hint="eastAsia" w:ascii="宋体" w:hAnsi="宋体" w:eastAsia="宋体" w:cs="宋体"/>
          <w:color w:val="C0C0C0"/>
          <w:sz w:val="21"/>
          <w:szCs w:val="21"/>
          <w:highlight w:val="none"/>
          <w:u w:val="single"/>
        </w:rPr>
        <w:t>（可修改或新增条款）</w:t>
      </w:r>
    </w:p>
    <w:p>
      <w:pPr>
        <w:spacing w:line="400" w:lineRule="exact"/>
        <w:ind w:firstLine="420" w:firstLineChars="200"/>
        <w:rPr>
          <w:rFonts w:hint="eastAsia" w:ascii="宋体" w:hAnsi="宋体" w:eastAsia="宋体" w:cs="宋体"/>
          <w:color w:val="C0C0C0"/>
          <w:sz w:val="21"/>
          <w:szCs w:val="21"/>
          <w:highlight w:val="none"/>
          <w:u w:val="single"/>
        </w:rPr>
      </w:pPr>
      <w:r>
        <w:rPr>
          <w:rFonts w:hint="eastAsia" w:ascii="宋体" w:hAnsi="宋体" w:eastAsia="宋体" w:cs="宋体"/>
          <w:color w:val="000000"/>
          <w:sz w:val="21"/>
          <w:szCs w:val="21"/>
          <w:highlight w:val="none"/>
        </w:rPr>
        <w:t>4.2物资验收方式。</w:t>
      </w:r>
    </w:p>
    <w:p>
      <w:pPr>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4.2.1材料运至甲方指定地点计量，计量单位为</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w:t>
      </w:r>
    </w:p>
    <w:p>
      <w:pPr>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4.2.2材料进场时，按合同约定技术标准及质量要求进行验收。乙方提供材料必须符合本合同技术标准及质量要求，如不符合，乙方应无条件立即更换符合本合同要求的材料给甲方，本合同材料交货日期不变；</w:t>
      </w:r>
    </w:p>
    <w:p>
      <w:pPr>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4.2.3进场检验；</w:t>
      </w:r>
    </w:p>
    <w:p>
      <w:pPr>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（1）甲方有权对到货的产品进行各种检验,乙方必须配合；如检验不合格的检验费用由乙方承担；</w:t>
      </w:r>
    </w:p>
    <w:p>
      <w:pPr>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（2）乙方应在产品进场至少24小时前通知甲方；</w:t>
      </w:r>
    </w:p>
    <w:p>
      <w:pPr>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（3）经甲方验收不合格的产品,乙方负责退货,并承担由此造成的甲方损失；</w:t>
      </w:r>
    </w:p>
    <w:p>
      <w:pPr>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乙方必须在交货前对产品的质量、规格做认真的检验,并随货配备各种检测报告、合格证等资料。产品到场后,如发现其规格、性能与合同及甲方发出的定货单上的要求不符、质量低劣或损坏等情况时,应按以下情况处理:</w:t>
      </w:r>
    </w:p>
    <w:p>
      <w:pPr>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（5）产品的种类、规格、质量与甲方要求不符,甲方拒绝接收。由乙方在24小时内自费运出储存地点，并重新供货,保证工程施工的需要；</w:t>
      </w:r>
    </w:p>
    <w:p>
      <w:pPr>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（6）供应时间晚于甲方规定日期, 乙方应承担因此造成甲方延误工期的损失；</w:t>
      </w:r>
    </w:p>
    <w:p>
      <w:pPr>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（7）对方产品经甲方验收后，又发现产品的规格型号、质量、等级与甲方要求不符时，乙方仍应承担外运、重新供货的费用，并赔偿因此造成甲方的损失。</w:t>
      </w:r>
    </w:p>
    <w:p>
      <w:pPr>
        <w:spacing w:line="400" w:lineRule="exact"/>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5.包装、运输、卸货</w:t>
      </w:r>
    </w:p>
    <w:p>
      <w:pPr>
        <w:spacing w:line="400" w:lineRule="exact"/>
        <w:ind w:firstLine="420" w:firstLineChars="200"/>
        <w:rPr>
          <w:rFonts w:hint="eastAsia" w:ascii="宋体" w:hAnsi="宋体" w:eastAsia="宋体" w:cs="宋体"/>
          <w:color w:val="C0C0C0"/>
          <w:sz w:val="21"/>
          <w:szCs w:val="21"/>
          <w:highlight w:val="none"/>
          <w:u w:val="single"/>
        </w:rPr>
      </w:pPr>
      <w:r>
        <w:rPr>
          <w:rFonts w:hint="eastAsia" w:ascii="宋体" w:hAnsi="宋体" w:eastAsia="宋体" w:cs="宋体"/>
          <w:sz w:val="21"/>
          <w:szCs w:val="21"/>
          <w:highlight w:val="none"/>
          <w:u w:val="single"/>
        </w:rPr>
        <w:t>见通用合同条款。</w:t>
      </w:r>
      <w:r>
        <w:rPr>
          <w:rFonts w:hint="eastAsia" w:ascii="宋体" w:hAnsi="宋体" w:eastAsia="宋体" w:cs="宋体"/>
          <w:color w:val="C0C0C0"/>
          <w:sz w:val="21"/>
          <w:szCs w:val="21"/>
          <w:highlight w:val="none"/>
          <w:u w:val="single"/>
        </w:rPr>
        <w:t>（可修改或新增条款）</w:t>
      </w:r>
    </w:p>
    <w:p>
      <w:pPr>
        <w:tabs>
          <w:tab w:val="left" w:pos="765"/>
        </w:tabs>
        <w:spacing w:line="400" w:lineRule="exact"/>
        <w:ind w:firstLine="422" w:firstLineChars="200"/>
        <w:jc w:val="left"/>
        <w:rPr>
          <w:rFonts w:hint="eastAsia" w:ascii="宋体" w:hAnsi="宋体" w:eastAsia="宋体" w:cs="宋体"/>
          <w:b/>
          <w:sz w:val="21"/>
          <w:szCs w:val="21"/>
          <w:highlight w:val="none"/>
        </w:rPr>
      </w:pPr>
      <w:r>
        <w:rPr>
          <w:rFonts w:hint="eastAsia" w:ascii="宋体" w:hAnsi="宋体" w:eastAsia="宋体" w:cs="宋体"/>
          <w:b/>
          <w:sz w:val="21"/>
          <w:szCs w:val="21"/>
          <w:highlight w:val="none"/>
        </w:rPr>
        <w:t>6．环境﹑安全保护原则</w:t>
      </w:r>
    </w:p>
    <w:p>
      <w:pPr>
        <w:spacing w:line="400" w:lineRule="exact"/>
        <w:ind w:firstLine="420" w:firstLineChars="200"/>
        <w:rPr>
          <w:rFonts w:hint="eastAsia" w:ascii="宋体" w:hAnsi="宋体" w:eastAsia="宋体" w:cs="宋体"/>
          <w:color w:val="C0C0C0"/>
          <w:sz w:val="21"/>
          <w:szCs w:val="21"/>
          <w:highlight w:val="none"/>
          <w:u w:val="single"/>
        </w:rPr>
      </w:pPr>
      <w:r>
        <w:rPr>
          <w:rFonts w:hint="eastAsia" w:ascii="宋体" w:hAnsi="宋体" w:eastAsia="宋体" w:cs="宋体"/>
          <w:sz w:val="21"/>
          <w:szCs w:val="21"/>
          <w:highlight w:val="none"/>
          <w:u w:val="single"/>
        </w:rPr>
        <w:t>见通用合同条款。</w:t>
      </w:r>
      <w:r>
        <w:rPr>
          <w:rFonts w:hint="eastAsia" w:ascii="宋体" w:hAnsi="宋体" w:eastAsia="宋体" w:cs="宋体"/>
          <w:color w:val="C0C0C0"/>
          <w:sz w:val="21"/>
          <w:szCs w:val="21"/>
          <w:highlight w:val="none"/>
          <w:u w:val="single"/>
        </w:rPr>
        <w:t>（可修改或新增条款）</w:t>
      </w:r>
    </w:p>
    <w:p>
      <w:pPr>
        <w:spacing w:line="400" w:lineRule="exact"/>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7.甲方的责任和义务</w:t>
      </w:r>
    </w:p>
    <w:p>
      <w:pPr>
        <w:spacing w:line="400" w:lineRule="exact"/>
        <w:ind w:firstLine="420" w:firstLineChars="200"/>
        <w:rPr>
          <w:rFonts w:hint="eastAsia" w:ascii="宋体" w:hAnsi="宋体" w:eastAsia="宋体" w:cs="宋体"/>
          <w:color w:val="C0C0C0"/>
          <w:sz w:val="21"/>
          <w:szCs w:val="21"/>
          <w:highlight w:val="none"/>
          <w:u w:val="single"/>
        </w:rPr>
      </w:pPr>
      <w:r>
        <w:rPr>
          <w:rFonts w:hint="eastAsia" w:ascii="宋体" w:hAnsi="宋体" w:eastAsia="宋体" w:cs="宋体"/>
          <w:sz w:val="21"/>
          <w:szCs w:val="21"/>
          <w:highlight w:val="none"/>
          <w:u w:val="single"/>
        </w:rPr>
        <w:t>见通用合同条款。</w:t>
      </w:r>
      <w:r>
        <w:rPr>
          <w:rFonts w:hint="eastAsia" w:ascii="宋体" w:hAnsi="宋体" w:eastAsia="宋体" w:cs="宋体"/>
          <w:color w:val="C0C0C0"/>
          <w:sz w:val="21"/>
          <w:szCs w:val="21"/>
          <w:highlight w:val="none"/>
          <w:u w:val="single"/>
        </w:rPr>
        <w:t>（可修改或新增条款）</w:t>
      </w:r>
    </w:p>
    <w:p>
      <w:pPr>
        <w:tabs>
          <w:tab w:val="left" w:pos="765"/>
        </w:tabs>
        <w:spacing w:line="400" w:lineRule="exact"/>
        <w:ind w:firstLine="422" w:firstLineChars="200"/>
        <w:jc w:val="left"/>
        <w:rPr>
          <w:rFonts w:hint="eastAsia" w:ascii="宋体" w:hAnsi="宋体" w:eastAsia="宋体" w:cs="宋体"/>
          <w:b/>
          <w:sz w:val="21"/>
          <w:szCs w:val="21"/>
          <w:highlight w:val="none"/>
        </w:rPr>
      </w:pPr>
      <w:r>
        <w:rPr>
          <w:rFonts w:hint="eastAsia" w:ascii="宋体" w:hAnsi="宋体" w:eastAsia="宋体" w:cs="宋体"/>
          <w:b/>
          <w:sz w:val="21"/>
          <w:szCs w:val="21"/>
          <w:highlight w:val="none"/>
        </w:rPr>
        <w:t>8.乙方的责任和义务</w:t>
      </w:r>
    </w:p>
    <w:p>
      <w:pPr>
        <w:spacing w:line="400" w:lineRule="exact"/>
        <w:ind w:firstLine="420" w:firstLineChars="200"/>
        <w:rPr>
          <w:rFonts w:hint="eastAsia" w:ascii="宋体" w:hAnsi="宋体" w:eastAsia="宋体" w:cs="宋体"/>
          <w:color w:val="C0C0C0"/>
          <w:sz w:val="21"/>
          <w:szCs w:val="21"/>
          <w:highlight w:val="none"/>
          <w:u w:val="single"/>
        </w:rPr>
      </w:pPr>
      <w:r>
        <w:rPr>
          <w:rFonts w:hint="eastAsia" w:ascii="宋体" w:hAnsi="宋体" w:eastAsia="宋体" w:cs="宋体"/>
          <w:sz w:val="21"/>
          <w:szCs w:val="21"/>
          <w:highlight w:val="none"/>
          <w:u w:val="single"/>
        </w:rPr>
        <w:t>见通用合同条款。</w:t>
      </w:r>
      <w:r>
        <w:rPr>
          <w:rFonts w:hint="eastAsia" w:ascii="宋体" w:hAnsi="宋体" w:eastAsia="宋体" w:cs="宋体"/>
          <w:color w:val="C0C0C0"/>
          <w:sz w:val="21"/>
          <w:szCs w:val="21"/>
          <w:highlight w:val="none"/>
          <w:u w:val="single"/>
        </w:rPr>
        <w:t>（可修改或新增条款）</w:t>
      </w:r>
    </w:p>
    <w:p>
      <w:pPr>
        <w:spacing w:line="400" w:lineRule="exact"/>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9.违约责任</w:t>
      </w:r>
    </w:p>
    <w:p>
      <w:pPr>
        <w:spacing w:line="400" w:lineRule="exact"/>
        <w:ind w:firstLine="420" w:firstLineChars="200"/>
        <w:rPr>
          <w:rFonts w:hint="eastAsia" w:ascii="宋体" w:hAnsi="宋体" w:eastAsia="宋体" w:cs="宋体"/>
          <w:color w:val="C0C0C0"/>
          <w:sz w:val="21"/>
          <w:szCs w:val="21"/>
          <w:highlight w:val="none"/>
          <w:u w:val="single"/>
        </w:rPr>
      </w:pPr>
      <w:r>
        <w:rPr>
          <w:rFonts w:hint="eastAsia" w:ascii="宋体" w:hAnsi="宋体" w:eastAsia="宋体" w:cs="宋体"/>
          <w:sz w:val="21"/>
          <w:szCs w:val="21"/>
          <w:highlight w:val="none"/>
          <w:u w:val="single"/>
        </w:rPr>
        <w:t>见通用合同条款。</w:t>
      </w:r>
      <w:r>
        <w:rPr>
          <w:rFonts w:hint="eastAsia" w:ascii="宋体" w:hAnsi="宋体" w:eastAsia="宋体" w:cs="宋体"/>
          <w:color w:val="C0C0C0"/>
          <w:sz w:val="21"/>
          <w:szCs w:val="21"/>
          <w:highlight w:val="none"/>
          <w:u w:val="single"/>
        </w:rPr>
        <w:t>（可修改或新增条款）</w:t>
      </w:r>
    </w:p>
    <w:p>
      <w:pPr>
        <w:spacing w:line="400" w:lineRule="exact"/>
        <w:ind w:firstLine="422" w:firstLineChars="200"/>
        <w:jc w:val="left"/>
        <w:rPr>
          <w:rFonts w:hint="eastAsia" w:ascii="宋体" w:hAnsi="宋体" w:eastAsia="宋体" w:cs="宋体"/>
          <w:b/>
          <w:sz w:val="21"/>
          <w:szCs w:val="21"/>
          <w:highlight w:val="none"/>
        </w:rPr>
      </w:pPr>
      <w:r>
        <w:rPr>
          <w:rFonts w:hint="eastAsia" w:ascii="宋体" w:hAnsi="宋体" w:eastAsia="宋体" w:cs="宋体"/>
          <w:b/>
          <w:sz w:val="21"/>
          <w:szCs w:val="21"/>
          <w:highlight w:val="none"/>
        </w:rPr>
        <w:t>10.通知</w:t>
      </w:r>
    </w:p>
    <w:p>
      <w:pPr>
        <w:spacing w:line="400" w:lineRule="exact"/>
        <w:ind w:firstLine="420" w:firstLineChars="200"/>
        <w:rPr>
          <w:rFonts w:hint="eastAsia" w:ascii="宋体" w:hAnsi="宋体" w:eastAsia="宋体" w:cs="宋体"/>
          <w:color w:val="C0C0C0"/>
          <w:sz w:val="21"/>
          <w:szCs w:val="21"/>
          <w:highlight w:val="none"/>
          <w:u w:val="single"/>
        </w:rPr>
      </w:pPr>
      <w:r>
        <w:rPr>
          <w:rFonts w:hint="eastAsia" w:ascii="宋体" w:hAnsi="宋体" w:eastAsia="宋体" w:cs="宋体"/>
          <w:sz w:val="21"/>
          <w:szCs w:val="21"/>
          <w:highlight w:val="none"/>
          <w:u w:val="single"/>
        </w:rPr>
        <w:t>见通用合同条款。</w:t>
      </w:r>
      <w:r>
        <w:rPr>
          <w:rFonts w:hint="eastAsia" w:ascii="宋体" w:hAnsi="宋体" w:eastAsia="宋体" w:cs="宋体"/>
          <w:color w:val="C0C0C0"/>
          <w:sz w:val="21"/>
          <w:szCs w:val="21"/>
          <w:highlight w:val="none"/>
          <w:u w:val="single"/>
        </w:rPr>
        <w:t>（可修改或新增条款）</w:t>
      </w:r>
    </w:p>
    <w:p>
      <w:pPr>
        <w:spacing w:line="400" w:lineRule="exact"/>
        <w:ind w:firstLine="422" w:firstLineChars="200"/>
        <w:jc w:val="left"/>
        <w:rPr>
          <w:rFonts w:hint="eastAsia" w:ascii="宋体" w:hAnsi="宋体" w:eastAsia="宋体" w:cs="宋体"/>
          <w:b/>
          <w:sz w:val="21"/>
          <w:szCs w:val="21"/>
          <w:highlight w:val="none"/>
        </w:rPr>
      </w:pPr>
      <w:r>
        <w:rPr>
          <w:rFonts w:hint="eastAsia" w:ascii="宋体" w:hAnsi="宋体" w:eastAsia="宋体" w:cs="宋体"/>
          <w:b/>
          <w:sz w:val="21"/>
          <w:szCs w:val="21"/>
          <w:highlight w:val="none"/>
        </w:rPr>
        <w:t>11.争议的处理</w:t>
      </w:r>
    </w:p>
    <w:p>
      <w:pPr>
        <w:spacing w:line="400" w:lineRule="exact"/>
        <w:ind w:firstLine="420" w:firstLineChars="200"/>
        <w:rPr>
          <w:rFonts w:hint="eastAsia" w:ascii="宋体" w:hAnsi="宋体" w:eastAsia="宋体" w:cs="宋体"/>
          <w:color w:val="C0C0C0"/>
          <w:sz w:val="21"/>
          <w:szCs w:val="21"/>
          <w:highlight w:val="none"/>
          <w:u w:val="single"/>
        </w:rPr>
      </w:pPr>
      <w:r>
        <w:rPr>
          <w:rFonts w:hint="eastAsia" w:ascii="宋体" w:hAnsi="宋体" w:eastAsia="宋体" w:cs="宋体"/>
          <w:sz w:val="21"/>
          <w:szCs w:val="21"/>
          <w:highlight w:val="none"/>
          <w:u w:val="single"/>
        </w:rPr>
        <w:t>见通用合同条款。</w:t>
      </w:r>
      <w:r>
        <w:rPr>
          <w:rFonts w:hint="eastAsia" w:ascii="宋体" w:hAnsi="宋体" w:eastAsia="宋体" w:cs="宋体"/>
          <w:color w:val="C0C0C0"/>
          <w:sz w:val="21"/>
          <w:szCs w:val="21"/>
          <w:highlight w:val="none"/>
          <w:u w:val="single"/>
        </w:rPr>
        <w:t>（可修改或新增条款）</w:t>
      </w:r>
    </w:p>
    <w:p>
      <w:pPr>
        <w:tabs>
          <w:tab w:val="left" w:pos="810"/>
        </w:tabs>
        <w:spacing w:line="400" w:lineRule="exact"/>
        <w:ind w:firstLine="422" w:firstLineChars="200"/>
        <w:jc w:val="left"/>
        <w:rPr>
          <w:rFonts w:hint="eastAsia" w:ascii="宋体" w:hAnsi="宋体" w:eastAsia="宋体" w:cs="宋体"/>
          <w:b/>
          <w:sz w:val="21"/>
          <w:szCs w:val="21"/>
          <w:highlight w:val="none"/>
        </w:rPr>
      </w:pPr>
      <w:r>
        <w:rPr>
          <w:rFonts w:hint="eastAsia" w:ascii="宋体" w:hAnsi="宋体" w:eastAsia="宋体" w:cs="宋体"/>
          <w:b/>
          <w:sz w:val="21"/>
          <w:szCs w:val="21"/>
          <w:highlight w:val="none"/>
        </w:rPr>
        <w:t xml:space="preserve">12.不可抗力 </w:t>
      </w:r>
    </w:p>
    <w:p>
      <w:pPr>
        <w:spacing w:line="400" w:lineRule="exact"/>
        <w:ind w:firstLine="420" w:firstLineChars="200"/>
        <w:rPr>
          <w:rFonts w:hint="eastAsia" w:ascii="宋体" w:hAnsi="宋体" w:eastAsia="宋体" w:cs="宋体"/>
          <w:color w:val="C0C0C0"/>
          <w:sz w:val="21"/>
          <w:szCs w:val="21"/>
          <w:highlight w:val="none"/>
          <w:u w:val="single"/>
        </w:rPr>
      </w:pPr>
      <w:r>
        <w:rPr>
          <w:rFonts w:hint="eastAsia" w:ascii="宋体" w:hAnsi="宋体" w:eastAsia="宋体" w:cs="宋体"/>
          <w:sz w:val="21"/>
          <w:szCs w:val="21"/>
          <w:highlight w:val="none"/>
          <w:u w:val="single"/>
        </w:rPr>
        <w:t>见通用合同条款。</w:t>
      </w:r>
      <w:r>
        <w:rPr>
          <w:rFonts w:hint="eastAsia" w:ascii="宋体" w:hAnsi="宋体" w:eastAsia="宋体" w:cs="宋体"/>
          <w:color w:val="C0C0C0"/>
          <w:sz w:val="21"/>
          <w:szCs w:val="21"/>
          <w:highlight w:val="none"/>
          <w:u w:val="single"/>
        </w:rPr>
        <w:t>（可修改或新增条款）</w:t>
      </w:r>
    </w:p>
    <w:p>
      <w:pPr>
        <w:spacing w:line="400" w:lineRule="exact"/>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13.其他约定事项</w:t>
      </w:r>
    </w:p>
    <w:p>
      <w:pPr>
        <w:spacing w:line="400" w:lineRule="exact"/>
        <w:ind w:firstLine="420" w:firstLineChars="200"/>
        <w:rPr>
          <w:rFonts w:hint="eastAsia" w:ascii="宋体" w:hAnsi="宋体" w:eastAsia="宋体" w:cs="宋体"/>
          <w:color w:val="C0C0C0"/>
          <w:sz w:val="21"/>
          <w:szCs w:val="21"/>
          <w:highlight w:val="none"/>
          <w:u w:val="single"/>
        </w:rPr>
      </w:pPr>
      <w:r>
        <w:rPr>
          <w:rFonts w:hint="eastAsia" w:ascii="宋体" w:hAnsi="宋体" w:eastAsia="宋体" w:cs="宋体"/>
          <w:sz w:val="21"/>
          <w:szCs w:val="21"/>
          <w:highlight w:val="none"/>
          <w:u w:val="single"/>
        </w:rPr>
        <w:t>见通用合同条款</w:t>
      </w:r>
      <w:r>
        <w:rPr>
          <w:rFonts w:hint="eastAsia" w:ascii="宋体" w:hAnsi="宋体" w:eastAsia="宋体" w:cs="宋体"/>
          <w:color w:val="C0C0C0"/>
          <w:sz w:val="21"/>
          <w:szCs w:val="21"/>
          <w:highlight w:val="none"/>
          <w:u w:val="single"/>
        </w:rPr>
        <w:t>（可修改或新增条款）</w:t>
      </w:r>
    </w:p>
    <w:p>
      <w:pPr>
        <w:spacing w:line="360" w:lineRule="exact"/>
        <w:ind w:firstLine="411" w:firstLineChars="195"/>
        <w:jc w:val="left"/>
        <w:rPr>
          <w:rFonts w:hint="eastAsia" w:ascii="宋体" w:hAnsi="宋体" w:eastAsia="宋体" w:cs="宋体"/>
          <w:highlight w:val="none"/>
        </w:rPr>
      </w:pPr>
      <w:r>
        <w:rPr>
          <w:rFonts w:hint="eastAsia" w:ascii="宋体" w:hAnsi="宋体" w:eastAsia="宋体" w:cs="宋体"/>
          <w:b/>
          <w:sz w:val="21"/>
          <w:szCs w:val="21"/>
          <w:highlight w:val="none"/>
        </w:rPr>
        <w:t>14.附件</w:t>
      </w:r>
      <w:r>
        <w:rPr>
          <w:rFonts w:hint="eastAsia" w:ascii="宋体" w:hAnsi="宋体" w:eastAsia="宋体" w:cs="宋体"/>
          <w:color w:val="C0C0C0"/>
          <w:sz w:val="21"/>
          <w:szCs w:val="21"/>
          <w:highlight w:val="none"/>
          <w:u w:val="single"/>
        </w:rPr>
        <w:t>（可修改或新增条款）</w:t>
      </w:r>
    </w:p>
    <w:p>
      <w:pPr>
        <w:widowControl/>
        <w:spacing w:line="480" w:lineRule="auto"/>
        <w:rPr>
          <w:rFonts w:ascii="宋体" w:hAnsi="宋体"/>
          <w:sz w:val="21"/>
          <w:szCs w:val="21"/>
          <w:highlight w:val="none"/>
        </w:rPr>
      </w:pPr>
    </w:p>
    <w:sectPr>
      <w:headerReference r:id="rId3" w:type="default"/>
      <w:footerReference r:id="rId4"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Century Schoolbook">
    <w:altName w:val="Century"/>
    <w:panose1 w:val="02040604050505020304"/>
    <w:charset w:val="00"/>
    <w:family w:val="roman"/>
    <w:pitch w:val="default"/>
    <w:sig w:usb0="00000000"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rFonts w:cs="Times New Roman"/>
      </w:rPr>
    </w:pPr>
    <w:r>
      <w:fldChar w:fldCharType="begin"/>
    </w:r>
    <w:r>
      <w:rPr>
        <w:rStyle w:val="37"/>
        <w:rFonts w:cs="宋体"/>
      </w:rPr>
      <w:instrText xml:space="preserve"> PAGE </w:instrText>
    </w:r>
    <w:r>
      <w:fldChar w:fldCharType="separate"/>
    </w:r>
    <w:r>
      <w:rPr>
        <w:rStyle w:val="37"/>
        <w:rFonts w:cs="宋体"/>
      </w:rPr>
      <w:t>- 24 -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535"/>
        <w:tab w:val="left" w:pos="8960"/>
        <w:tab w:val="right" w:pos="9070"/>
      </w:tabs>
      <w:spacing w:line="360" w:lineRule="auto"/>
      <w:ind w:right="146"/>
      <w:jc w:val="left"/>
      <w:rPr>
        <w:sz w:val="18"/>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1C511F"/>
    <w:multiLevelType w:val="singleLevel"/>
    <w:tmpl w:val="391C511F"/>
    <w:lvl w:ilvl="0" w:tentative="0">
      <w:start w:val="4"/>
      <w:numFmt w:val="chineseCounting"/>
      <w:lvlText w:val="(%1)"/>
      <w:lvlJc w:val="left"/>
      <w:pPr>
        <w:tabs>
          <w:tab w:val="left" w:pos="312"/>
        </w:tabs>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3NmE5ZjEzNDcxMjljOTkyMTVmOTA2MmMxY2JhYzYifQ=="/>
  </w:docVars>
  <w:rsids>
    <w:rsidRoot w:val="00172A27"/>
    <w:rsid w:val="0000134C"/>
    <w:rsid w:val="00002E12"/>
    <w:rsid w:val="0001795B"/>
    <w:rsid w:val="000215C5"/>
    <w:rsid w:val="000229FE"/>
    <w:rsid w:val="0002510D"/>
    <w:rsid w:val="0003716E"/>
    <w:rsid w:val="000378AE"/>
    <w:rsid w:val="00041304"/>
    <w:rsid w:val="00051BAF"/>
    <w:rsid w:val="0005377E"/>
    <w:rsid w:val="00063CFA"/>
    <w:rsid w:val="00067E94"/>
    <w:rsid w:val="000755E3"/>
    <w:rsid w:val="000813D3"/>
    <w:rsid w:val="00081B05"/>
    <w:rsid w:val="00083443"/>
    <w:rsid w:val="00083CFE"/>
    <w:rsid w:val="00086265"/>
    <w:rsid w:val="000871DD"/>
    <w:rsid w:val="00092EEC"/>
    <w:rsid w:val="00095550"/>
    <w:rsid w:val="00097979"/>
    <w:rsid w:val="000A4881"/>
    <w:rsid w:val="000A5407"/>
    <w:rsid w:val="000A5F3B"/>
    <w:rsid w:val="000A7A00"/>
    <w:rsid w:val="000B3B4B"/>
    <w:rsid w:val="000D17B5"/>
    <w:rsid w:val="000D192D"/>
    <w:rsid w:val="000D1CB5"/>
    <w:rsid w:val="000D70A6"/>
    <w:rsid w:val="000E3358"/>
    <w:rsid w:val="000E3E4B"/>
    <w:rsid w:val="000E5A62"/>
    <w:rsid w:val="000E6AB2"/>
    <w:rsid w:val="000F2F00"/>
    <w:rsid w:val="000F32F1"/>
    <w:rsid w:val="001024CB"/>
    <w:rsid w:val="00103508"/>
    <w:rsid w:val="00103A8E"/>
    <w:rsid w:val="00104858"/>
    <w:rsid w:val="00104DC7"/>
    <w:rsid w:val="00113B93"/>
    <w:rsid w:val="00132C92"/>
    <w:rsid w:val="00133F88"/>
    <w:rsid w:val="00135A58"/>
    <w:rsid w:val="001373B4"/>
    <w:rsid w:val="00142D87"/>
    <w:rsid w:val="00144BDF"/>
    <w:rsid w:val="00156465"/>
    <w:rsid w:val="00156EC6"/>
    <w:rsid w:val="00161C2C"/>
    <w:rsid w:val="001635B9"/>
    <w:rsid w:val="00166852"/>
    <w:rsid w:val="00172033"/>
    <w:rsid w:val="00172A60"/>
    <w:rsid w:val="001767F4"/>
    <w:rsid w:val="00177B61"/>
    <w:rsid w:val="00180730"/>
    <w:rsid w:val="00181446"/>
    <w:rsid w:val="00182CA7"/>
    <w:rsid w:val="00185437"/>
    <w:rsid w:val="00192636"/>
    <w:rsid w:val="00194CF6"/>
    <w:rsid w:val="00196C81"/>
    <w:rsid w:val="00197CCB"/>
    <w:rsid w:val="001A1542"/>
    <w:rsid w:val="001A531D"/>
    <w:rsid w:val="001B0569"/>
    <w:rsid w:val="001B31B6"/>
    <w:rsid w:val="001B6B8E"/>
    <w:rsid w:val="001B7767"/>
    <w:rsid w:val="001C346D"/>
    <w:rsid w:val="001C41CC"/>
    <w:rsid w:val="001C4B60"/>
    <w:rsid w:val="001D1199"/>
    <w:rsid w:val="001D41BE"/>
    <w:rsid w:val="001D5DF1"/>
    <w:rsid w:val="001E26F0"/>
    <w:rsid w:val="001F29B8"/>
    <w:rsid w:val="001F3E86"/>
    <w:rsid w:val="001F4E95"/>
    <w:rsid w:val="00201F63"/>
    <w:rsid w:val="00202FD5"/>
    <w:rsid w:val="002058D2"/>
    <w:rsid w:val="002068FC"/>
    <w:rsid w:val="002075DA"/>
    <w:rsid w:val="0022260F"/>
    <w:rsid w:val="00223849"/>
    <w:rsid w:val="00232082"/>
    <w:rsid w:val="00234609"/>
    <w:rsid w:val="00236784"/>
    <w:rsid w:val="00237151"/>
    <w:rsid w:val="002401E5"/>
    <w:rsid w:val="0024632B"/>
    <w:rsid w:val="00252FBB"/>
    <w:rsid w:val="00260000"/>
    <w:rsid w:val="002621AB"/>
    <w:rsid w:val="00267FDB"/>
    <w:rsid w:val="00270AC1"/>
    <w:rsid w:val="002723B2"/>
    <w:rsid w:val="0027422B"/>
    <w:rsid w:val="002755F4"/>
    <w:rsid w:val="002839BD"/>
    <w:rsid w:val="00283B65"/>
    <w:rsid w:val="00286944"/>
    <w:rsid w:val="00290E31"/>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F23E6"/>
    <w:rsid w:val="002F422C"/>
    <w:rsid w:val="002F4256"/>
    <w:rsid w:val="002F51AD"/>
    <w:rsid w:val="002F77D6"/>
    <w:rsid w:val="00301C72"/>
    <w:rsid w:val="00301E78"/>
    <w:rsid w:val="003028E6"/>
    <w:rsid w:val="00302928"/>
    <w:rsid w:val="00310A70"/>
    <w:rsid w:val="00310D97"/>
    <w:rsid w:val="00312EFB"/>
    <w:rsid w:val="00313019"/>
    <w:rsid w:val="0031505E"/>
    <w:rsid w:val="00322DF9"/>
    <w:rsid w:val="00335A90"/>
    <w:rsid w:val="00344092"/>
    <w:rsid w:val="003450D3"/>
    <w:rsid w:val="0034681A"/>
    <w:rsid w:val="00347017"/>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619E"/>
    <w:rsid w:val="00397F52"/>
    <w:rsid w:val="003A1BC0"/>
    <w:rsid w:val="003A2502"/>
    <w:rsid w:val="003A431F"/>
    <w:rsid w:val="003A561E"/>
    <w:rsid w:val="003A57BF"/>
    <w:rsid w:val="003A7AA9"/>
    <w:rsid w:val="003B58D1"/>
    <w:rsid w:val="003C4982"/>
    <w:rsid w:val="003C7281"/>
    <w:rsid w:val="003C7536"/>
    <w:rsid w:val="003D3125"/>
    <w:rsid w:val="003E1C56"/>
    <w:rsid w:val="003E2E41"/>
    <w:rsid w:val="003E401B"/>
    <w:rsid w:val="003E42CD"/>
    <w:rsid w:val="003E5FC8"/>
    <w:rsid w:val="003F0BD0"/>
    <w:rsid w:val="003F2F9B"/>
    <w:rsid w:val="003F3596"/>
    <w:rsid w:val="004061DA"/>
    <w:rsid w:val="004140D2"/>
    <w:rsid w:val="00414B7A"/>
    <w:rsid w:val="004169A0"/>
    <w:rsid w:val="004269DE"/>
    <w:rsid w:val="004301DC"/>
    <w:rsid w:val="004313D7"/>
    <w:rsid w:val="00443CCD"/>
    <w:rsid w:val="004443E4"/>
    <w:rsid w:val="0045554D"/>
    <w:rsid w:val="0045689E"/>
    <w:rsid w:val="00456C80"/>
    <w:rsid w:val="00460D4B"/>
    <w:rsid w:val="00475D0A"/>
    <w:rsid w:val="00475F5A"/>
    <w:rsid w:val="00480601"/>
    <w:rsid w:val="004A0199"/>
    <w:rsid w:val="004A1020"/>
    <w:rsid w:val="004A2E48"/>
    <w:rsid w:val="004A3BA3"/>
    <w:rsid w:val="004A7A9E"/>
    <w:rsid w:val="004B1A06"/>
    <w:rsid w:val="004B7419"/>
    <w:rsid w:val="004C4AFE"/>
    <w:rsid w:val="004D5A89"/>
    <w:rsid w:val="004E4113"/>
    <w:rsid w:val="004F20CD"/>
    <w:rsid w:val="004F6F2C"/>
    <w:rsid w:val="00501F13"/>
    <w:rsid w:val="00511169"/>
    <w:rsid w:val="00513910"/>
    <w:rsid w:val="00514A12"/>
    <w:rsid w:val="00526670"/>
    <w:rsid w:val="00531B8B"/>
    <w:rsid w:val="00537269"/>
    <w:rsid w:val="00560203"/>
    <w:rsid w:val="005630B7"/>
    <w:rsid w:val="00565EC9"/>
    <w:rsid w:val="00566178"/>
    <w:rsid w:val="005715FF"/>
    <w:rsid w:val="00572EAA"/>
    <w:rsid w:val="00573C5D"/>
    <w:rsid w:val="005848C5"/>
    <w:rsid w:val="00591B7B"/>
    <w:rsid w:val="0059550B"/>
    <w:rsid w:val="005A1FE6"/>
    <w:rsid w:val="005A2E71"/>
    <w:rsid w:val="005A48F6"/>
    <w:rsid w:val="005B0126"/>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63D3"/>
    <w:rsid w:val="005E7AAB"/>
    <w:rsid w:val="005F2F48"/>
    <w:rsid w:val="005F44D2"/>
    <w:rsid w:val="00606C58"/>
    <w:rsid w:val="0061173C"/>
    <w:rsid w:val="00613934"/>
    <w:rsid w:val="00615AF4"/>
    <w:rsid w:val="006237CD"/>
    <w:rsid w:val="00623FB6"/>
    <w:rsid w:val="00627E08"/>
    <w:rsid w:val="006303A7"/>
    <w:rsid w:val="006369FF"/>
    <w:rsid w:val="006423FF"/>
    <w:rsid w:val="00643FCC"/>
    <w:rsid w:val="006561B3"/>
    <w:rsid w:val="00663751"/>
    <w:rsid w:val="0066493D"/>
    <w:rsid w:val="00673F20"/>
    <w:rsid w:val="00675D15"/>
    <w:rsid w:val="006763A2"/>
    <w:rsid w:val="0068167B"/>
    <w:rsid w:val="00687880"/>
    <w:rsid w:val="00691E8A"/>
    <w:rsid w:val="00692947"/>
    <w:rsid w:val="006969EA"/>
    <w:rsid w:val="006A0E02"/>
    <w:rsid w:val="006A35DB"/>
    <w:rsid w:val="006A6A5D"/>
    <w:rsid w:val="006A7701"/>
    <w:rsid w:val="006B16EA"/>
    <w:rsid w:val="006B245E"/>
    <w:rsid w:val="006C0457"/>
    <w:rsid w:val="006C2530"/>
    <w:rsid w:val="006C7F25"/>
    <w:rsid w:val="006D5859"/>
    <w:rsid w:val="006D6F23"/>
    <w:rsid w:val="006E0705"/>
    <w:rsid w:val="006E207D"/>
    <w:rsid w:val="006E3554"/>
    <w:rsid w:val="006E41F0"/>
    <w:rsid w:val="006F3F20"/>
    <w:rsid w:val="006F6487"/>
    <w:rsid w:val="00701942"/>
    <w:rsid w:val="00704B5E"/>
    <w:rsid w:val="0071149B"/>
    <w:rsid w:val="00713DB1"/>
    <w:rsid w:val="00714FA7"/>
    <w:rsid w:val="00716BB3"/>
    <w:rsid w:val="00717AAB"/>
    <w:rsid w:val="00732D12"/>
    <w:rsid w:val="00750E87"/>
    <w:rsid w:val="00752C8E"/>
    <w:rsid w:val="00754000"/>
    <w:rsid w:val="007552E9"/>
    <w:rsid w:val="00757F90"/>
    <w:rsid w:val="0076397C"/>
    <w:rsid w:val="00764273"/>
    <w:rsid w:val="0077123D"/>
    <w:rsid w:val="0078463E"/>
    <w:rsid w:val="0078681D"/>
    <w:rsid w:val="00786A9D"/>
    <w:rsid w:val="00790121"/>
    <w:rsid w:val="00793B22"/>
    <w:rsid w:val="00793EEE"/>
    <w:rsid w:val="007A0AFC"/>
    <w:rsid w:val="007A0B84"/>
    <w:rsid w:val="007B19C4"/>
    <w:rsid w:val="007B3AB9"/>
    <w:rsid w:val="007B3CA5"/>
    <w:rsid w:val="007B4274"/>
    <w:rsid w:val="007B75D2"/>
    <w:rsid w:val="007C3B73"/>
    <w:rsid w:val="007D013D"/>
    <w:rsid w:val="007D132B"/>
    <w:rsid w:val="007D25F1"/>
    <w:rsid w:val="007D5478"/>
    <w:rsid w:val="007F19E4"/>
    <w:rsid w:val="007F1CBD"/>
    <w:rsid w:val="007F7512"/>
    <w:rsid w:val="00806E95"/>
    <w:rsid w:val="008071EE"/>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55C6F"/>
    <w:rsid w:val="00866FD8"/>
    <w:rsid w:val="00867D58"/>
    <w:rsid w:val="00875468"/>
    <w:rsid w:val="00875EB6"/>
    <w:rsid w:val="00890DAD"/>
    <w:rsid w:val="008A0613"/>
    <w:rsid w:val="008A1A2A"/>
    <w:rsid w:val="008B293B"/>
    <w:rsid w:val="008B5710"/>
    <w:rsid w:val="008C02B0"/>
    <w:rsid w:val="008C4799"/>
    <w:rsid w:val="008C5C53"/>
    <w:rsid w:val="008C74A3"/>
    <w:rsid w:val="008C79B7"/>
    <w:rsid w:val="008D26EA"/>
    <w:rsid w:val="008D2C4D"/>
    <w:rsid w:val="008D39E7"/>
    <w:rsid w:val="008D5BE6"/>
    <w:rsid w:val="008E244D"/>
    <w:rsid w:val="008E49E3"/>
    <w:rsid w:val="008E4A56"/>
    <w:rsid w:val="008F1F3E"/>
    <w:rsid w:val="008F4B24"/>
    <w:rsid w:val="008F6B85"/>
    <w:rsid w:val="008F7C03"/>
    <w:rsid w:val="00901885"/>
    <w:rsid w:val="009030FB"/>
    <w:rsid w:val="009103F6"/>
    <w:rsid w:val="00922A78"/>
    <w:rsid w:val="009231AD"/>
    <w:rsid w:val="0092410E"/>
    <w:rsid w:val="0093030C"/>
    <w:rsid w:val="00930AF6"/>
    <w:rsid w:val="00932ECD"/>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A2878"/>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30817"/>
    <w:rsid w:val="00A31FDA"/>
    <w:rsid w:val="00A34472"/>
    <w:rsid w:val="00A35972"/>
    <w:rsid w:val="00A35F1E"/>
    <w:rsid w:val="00A42A78"/>
    <w:rsid w:val="00A42BF9"/>
    <w:rsid w:val="00A45CDD"/>
    <w:rsid w:val="00A50C36"/>
    <w:rsid w:val="00A546A6"/>
    <w:rsid w:val="00A566D5"/>
    <w:rsid w:val="00A56E0C"/>
    <w:rsid w:val="00A61F5E"/>
    <w:rsid w:val="00A710C3"/>
    <w:rsid w:val="00A72999"/>
    <w:rsid w:val="00A72C24"/>
    <w:rsid w:val="00A75DCB"/>
    <w:rsid w:val="00A77A24"/>
    <w:rsid w:val="00A80B01"/>
    <w:rsid w:val="00A90855"/>
    <w:rsid w:val="00A96B9C"/>
    <w:rsid w:val="00A97E9F"/>
    <w:rsid w:val="00AC0DB0"/>
    <w:rsid w:val="00AC1A55"/>
    <w:rsid w:val="00AC1BAB"/>
    <w:rsid w:val="00AC5EA7"/>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53C"/>
    <w:rsid w:val="00B449E5"/>
    <w:rsid w:val="00B46BB8"/>
    <w:rsid w:val="00B60B90"/>
    <w:rsid w:val="00B611D2"/>
    <w:rsid w:val="00B72F3D"/>
    <w:rsid w:val="00B77CEC"/>
    <w:rsid w:val="00B8185C"/>
    <w:rsid w:val="00B81DB7"/>
    <w:rsid w:val="00B861D4"/>
    <w:rsid w:val="00B91736"/>
    <w:rsid w:val="00B93518"/>
    <w:rsid w:val="00B94806"/>
    <w:rsid w:val="00B95063"/>
    <w:rsid w:val="00B95C04"/>
    <w:rsid w:val="00BB188D"/>
    <w:rsid w:val="00BB604A"/>
    <w:rsid w:val="00BC078B"/>
    <w:rsid w:val="00BC65FB"/>
    <w:rsid w:val="00BC7D3D"/>
    <w:rsid w:val="00BD0937"/>
    <w:rsid w:val="00BD2734"/>
    <w:rsid w:val="00BD4596"/>
    <w:rsid w:val="00BE2982"/>
    <w:rsid w:val="00C02F77"/>
    <w:rsid w:val="00C04742"/>
    <w:rsid w:val="00C05D20"/>
    <w:rsid w:val="00C07123"/>
    <w:rsid w:val="00C14BE8"/>
    <w:rsid w:val="00C16339"/>
    <w:rsid w:val="00C179FA"/>
    <w:rsid w:val="00C35581"/>
    <w:rsid w:val="00C35953"/>
    <w:rsid w:val="00C4669A"/>
    <w:rsid w:val="00C46EB3"/>
    <w:rsid w:val="00C50B1D"/>
    <w:rsid w:val="00C5121E"/>
    <w:rsid w:val="00C53E73"/>
    <w:rsid w:val="00C54840"/>
    <w:rsid w:val="00C5679B"/>
    <w:rsid w:val="00C62093"/>
    <w:rsid w:val="00C65CFC"/>
    <w:rsid w:val="00C663D4"/>
    <w:rsid w:val="00C71688"/>
    <w:rsid w:val="00C768D9"/>
    <w:rsid w:val="00C81031"/>
    <w:rsid w:val="00C97CAD"/>
    <w:rsid w:val="00CA6D04"/>
    <w:rsid w:val="00CB2E7A"/>
    <w:rsid w:val="00CB2F03"/>
    <w:rsid w:val="00CB7E8C"/>
    <w:rsid w:val="00CC416D"/>
    <w:rsid w:val="00CD1DA4"/>
    <w:rsid w:val="00CD2279"/>
    <w:rsid w:val="00CD2769"/>
    <w:rsid w:val="00CD38EE"/>
    <w:rsid w:val="00CD56F8"/>
    <w:rsid w:val="00CD78DA"/>
    <w:rsid w:val="00CD78F2"/>
    <w:rsid w:val="00CE7FA3"/>
    <w:rsid w:val="00CF1259"/>
    <w:rsid w:val="00CF2334"/>
    <w:rsid w:val="00CF44A6"/>
    <w:rsid w:val="00CF574D"/>
    <w:rsid w:val="00CF6FC0"/>
    <w:rsid w:val="00CF7031"/>
    <w:rsid w:val="00D027D3"/>
    <w:rsid w:val="00D07110"/>
    <w:rsid w:val="00D15AF4"/>
    <w:rsid w:val="00D15D7D"/>
    <w:rsid w:val="00D16048"/>
    <w:rsid w:val="00D21907"/>
    <w:rsid w:val="00D2305A"/>
    <w:rsid w:val="00D23CBB"/>
    <w:rsid w:val="00D50799"/>
    <w:rsid w:val="00D53E35"/>
    <w:rsid w:val="00D54986"/>
    <w:rsid w:val="00D56A72"/>
    <w:rsid w:val="00D56B8B"/>
    <w:rsid w:val="00D744A4"/>
    <w:rsid w:val="00D7479D"/>
    <w:rsid w:val="00D75C8E"/>
    <w:rsid w:val="00D85DFC"/>
    <w:rsid w:val="00D87D9A"/>
    <w:rsid w:val="00D9255A"/>
    <w:rsid w:val="00D92F2C"/>
    <w:rsid w:val="00DA0236"/>
    <w:rsid w:val="00DA2DC5"/>
    <w:rsid w:val="00DB37B9"/>
    <w:rsid w:val="00DB70F6"/>
    <w:rsid w:val="00DC1464"/>
    <w:rsid w:val="00DC7107"/>
    <w:rsid w:val="00DD0BBE"/>
    <w:rsid w:val="00DD2898"/>
    <w:rsid w:val="00DD3A31"/>
    <w:rsid w:val="00DE146C"/>
    <w:rsid w:val="00DE1BF4"/>
    <w:rsid w:val="00DE36B0"/>
    <w:rsid w:val="00DE44B1"/>
    <w:rsid w:val="00DE704F"/>
    <w:rsid w:val="00DF4A79"/>
    <w:rsid w:val="00DF506A"/>
    <w:rsid w:val="00DF678F"/>
    <w:rsid w:val="00DF7486"/>
    <w:rsid w:val="00E05270"/>
    <w:rsid w:val="00E10F6B"/>
    <w:rsid w:val="00E16819"/>
    <w:rsid w:val="00E16EB8"/>
    <w:rsid w:val="00E210A0"/>
    <w:rsid w:val="00E21EFB"/>
    <w:rsid w:val="00E22BD4"/>
    <w:rsid w:val="00E22E52"/>
    <w:rsid w:val="00E25B7E"/>
    <w:rsid w:val="00E31E97"/>
    <w:rsid w:val="00E3743D"/>
    <w:rsid w:val="00E37B68"/>
    <w:rsid w:val="00E40902"/>
    <w:rsid w:val="00E479F7"/>
    <w:rsid w:val="00E47A6D"/>
    <w:rsid w:val="00E51091"/>
    <w:rsid w:val="00E523A2"/>
    <w:rsid w:val="00E528E6"/>
    <w:rsid w:val="00E566B2"/>
    <w:rsid w:val="00E57D31"/>
    <w:rsid w:val="00E6245C"/>
    <w:rsid w:val="00E632A3"/>
    <w:rsid w:val="00E64E9F"/>
    <w:rsid w:val="00E8161E"/>
    <w:rsid w:val="00E843B7"/>
    <w:rsid w:val="00E85B57"/>
    <w:rsid w:val="00E87079"/>
    <w:rsid w:val="00E87E11"/>
    <w:rsid w:val="00EA16D5"/>
    <w:rsid w:val="00EA35B7"/>
    <w:rsid w:val="00EA36AC"/>
    <w:rsid w:val="00EA5983"/>
    <w:rsid w:val="00EA5C9F"/>
    <w:rsid w:val="00EA70D1"/>
    <w:rsid w:val="00EA7F5E"/>
    <w:rsid w:val="00EB1A9C"/>
    <w:rsid w:val="00EC0FFD"/>
    <w:rsid w:val="00EC6613"/>
    <w:rsid w:val="00ED0727"/>
    <w:rsid w:val="00ED3F12"/>
    <w:rsid w:val="00EE5A0B"/>
    <w:rsid w:val="00EE5DA4"/>
    <w:rsid w:val="00EF0871"/>
    <w:rsid w:val="00EF1729"/>
    <w:rsid w:val="00EF3AC8"/>
    <w:rsid w:val="00EF650D"/>
    <w:rsid w:val="00F003CA"/>
    <w:rsid w:val="00F0286B"/>
    <w:rsid w:val="00F02894"/>
    <w:rsid w:val="00F11036"/>
    <w:rsid w:val="00F156C1"/>
    <w:rsid w:val="00F217A6"/>
    <w:rsid w:val="00F226F2"/>
    <w:rsid w:val="00F259A3"/>
    <w:rsid w:val="00F27F1D"/>
    <w:rsid w:val="00F27F3B"/>
    <w:rsid w:val="00F3076D"/>
    <w:rsid w:val="00F31486"/>
    <w:rsid w:val="00F35803"/>
    <w:rsid w:val="00F37BEF"/>
    <w:rsid w:val="00F40920"/>
    <w:rsid w:val="00F46D73"/>
    <w:rsid w:val="00F50C91"/>
    <w:rsid w:val="00F562FD"/>
    <w:rsid w:val="00F611C4"/>
    <w:rsid w:val="00F611F0"/>
    <w:rsid w:val="00F74F9B"/>
    <w:rsid w:val="00F82018"/>
    <w:rsid w:val="00F910D1"/>
    <w:rsid w:val="00F913C9"/>
    <w:rsid w:val="00F9284F"/>
    <w:rsid w:val="00F932EE"/>
    <w:rsid w:val="00F9369F"/>
    <w:rsid w:val="00F952A2"/>
    <w:rsid w:val="00FA146F"/>
    <w:rsid w:val="00FA22EB"/>
    <w:rsid w:val="00FA3C7D"/>
    <w:rsid w:val="00FA5B80"/>
    <w:rsid w:val="00FB292B"/>
    <w:rsid w:val="00FB3180"/>
    <w:rsid w:val="00FB61E9"/>
    <w:rsid w:val="00FC2432"/>
    <w:rsid w:val="00FC75B9"/>
    <w:rsid w:val="00FD260E"/>
    <w:rsid w:val="00FD5B3C"/>
    <w:rsid w:val="00FE7A55"/>
    <w:rsid w:val="00FF5DF2"/>
    <w:rsid w:val="01E025EA"/>
    <w:rsid w:val="030E48E0"/>
    <w:rsid w:val="03604FDE"/>
    <w:rsid w:val="044235D3"/>
    <w:rsid w:val="048A575A"/>
    <w:rsid w:val="05854823"/>
    <w:rsid w:val="059F3A06"/>
    <w:rsid w:val="06123B25"/>
    <w:rsid w:val="063F3311"/>
    <w:rsid w:val="065A26E4"/>
    <w:rsid w:val="06845347"/>
    <w:rsid w:val="07D65F6C"/>
    <w:rsid w:val="084700C2"/>
    <w:rsid w:val="0ACC485F"/>
    <w:rsid w:val="0B1017C3"/>
    <w:rsid w:val="0B8E5FB8"/>
    <w:rsid w:val="0C3A66AE"/>
    <w:rsid w:val="0D377A7B"/>
    <w:rsid w:val="0E7204B5"/>
    <w:rsid w:val="0EA84FF4"/>
    <w:rsid w:val="10DA691A"/>
    <w:rsid w:val="125E028E"/>
    <w:rsid w:val="12D335F1"/>
    <w:rsid w:val="12F625F6"/>
    <w:rsid w:val="130D37E5"/>
    <w:rsid w:val="13723F7D"/>
    <w:rsid w:val="13A144B3"/>
    <w:rsid w:val="148137BC"/>
    <w:rsid w:val="14B4624A"/>
    <w:rsid w:val="155913E5"/>
    <w:rsid w:val="15814549"/>
    <w:rsid w:val="15A07AD1"/>
    <w:rsid w:val="170C0F1D"/>
    <w:rsid w:val="172709F9"/>
    <w:rsid w:val="175635F8"/>
    <w:rsid w:val="181F4A63"/>
    <w:rsid w:val="18B10228"/>
    <w:rsid w:val="197A4670"/>
    <w:rsid w:val="199571A7"/>
    <w:rsid w:val="1B0E2C71"/>
    <w:rsid w:val="1C562AF5"/>
    <w:rsid w:val="1EA41923"/>
    <w:rsid w:val="1F2C2C0F"/>
    <w:rsid w:val="1F486752"/>
    <w:rsid w:val="1F6319D6"/>
    <w:rsid w:val="21DB58F1"/>
    <w:rsid w:val="22E95D32"/>
    <w:rsid w:val="233B1BD3"/>
    <w:rsid w:val="233D3930"/>
    <w:rsid w:val="235553BF"/>
    <w:rsid w:val="23940C5C"/>
    <w:rsid w:val="249F6C02"/>
    <w:rsid w:val="254B6F9C"/>
    <w:rsid w:val="266F4F92"/>
    <w:rsid w:val="279552CC"/>
    <w:rsid w:val="28FB17B2"/>
    <w:rsid w:val="29411588"/>
    <w:rsid w:val="2A634844"/>
    <w:rsid w:val="2A894D3E"/>
    <w:rsid w:val="2BAB0277"/>
    <w:rsid w:val="2BD94334"/>
    <w:rsid w:val="2CB46EBD"/>
    <w:rsid w:val="2D0314F6"/>
    <w:rsid w:val="2F8E3277"/>
    <w:rsid w:val="2FBE2159"/>
    <w:rsid w:val="30390F89"/>
    <w:rsid w:val="309243C0"/>
    <w:rsid w:val="319F786C"/>
    <w:rsid w:val="324B65CD"/>
    <w:rsid w:val="325925CC"/>
    <w:rsid w:val="34833825"/>
    <w:rsid w:val="35E3546D"/>
    <w:rsid w:val="35FC399A"/>
    <w:rsid w:val="37DD09A7"/>
    <w:rsid w:val="38175342"/>
    <w:rsid w:val="39746C56"/>
    <w:rsid w:val="3976087D"/>
    <w:rsid w:val="3996249A"/>
    <w:rsid w:val="39D51E21"/>
    <w:rsid w:val="3AA80595"/>
    <w:rsid w:val="3B5129DA"/>
    <w:rsid w:val="3B6049CB"/>
    <w:rsid w:val="3D3E0D3C"/>
    <w:rsid w:val="3D5B369C"/>
    <w:rsid w:val="3D646C30"/>
    <w:rsid w:val="3D995F73"/>
    <w:rsid w:val="3E1D3D47"/>
    <w:rsid w:val="3E3B4C1F"/>
    <w:rsid w:val="3E815385"/>
    <w:rsid w:val="3EAC495E"/>
    <w:rsid w:val="3F964E60"/>
    <w:rsid w:val="40407072"/>
    <w:rsid w:val="404544F3"/>
    <w:rsid w:val="408251EC"/>
    <w:rsid w:val="40D17635"/>
    <w:rsid w:val="41AB2F2C"/>
    <w:rsid w:val="424910C3"/>
    <w:rsid w:val="42766471"/>
    <w:rsid w:val="42AB3B7F"/>
    <w:rsid w:val="4318414A"/>
    <w:rsid w:val="4535226F"/>
    <w:rsid w:val="465C6D11"/>
    <w:rsid w:val="472649FE"/>
    <w:rsid w:val="473C62ED"/>
    <w:rsid w:val="47A1104B"/>
    <w:rsid w:val="480D386D"/>
    <w:rsid w:val="49170DBF"/>
    <w:rsid w:val="495F75A0"/>
    <w:rsid w:val="49E2513A"/>
    <w:rsid w:val="4AC663E7"/>
    <w:rsid w:val="4B1355B6"/>
    <w:rsid w:val="4C64223B"/>
    <w:rsid w:val="4C6A4CC5"/>
    <w:rsid w:val="4EEE6235"/>
    <w:rsid w:val="4F425205"/>
    <w:rsid w:val="4FD95020"/>
    <w:rsid w:val="500049A1"/>
    <w:rsid w:val="50250E09"/>
    <w:rsid w:val="50992C3D"/>
    <w:rsid w:val="509E6752"/>
    <w:rsid w:val="50BE4216"/>
    <w:rsid w:val="512744B1"/>
    <w:rsid w:val="51295B34"/>
    <w:rsid w:val="51955765"/>
    <w:rsid w:val="51F80C00"/>
    <w:rsid w:val="528A1057"/>
    <w:rsid w:val="528A33F8"/>
    <w:rsid w:val="52B47467"/>
    <w:rsid w:val="52F95DB2"/>
    <w:rsid w:val="543933C3"/>
    <w:rsid w:val="55314FB7"/>
    <w:rsid w:val="56A96C69"/>
    <w:rsid w:val="576C677A"/>
    <w:rsid w:val="57861C50"/>
    <w:rsid w:val="57E73733"/>
    <w:rsid w:val="58F509F1"/>
    <w:rsid w:val="5A2D5A5C"/>
    <w:rsid w:val="5A432FB2"/>
    <w:rsid w:val="5A6F3392"/>
    <w:rsid w:val="5AC468B0"/>
    <w:rsid w:val="5AD47696"/>
    <w:rsid w:val="5B4718F8"/>
    <w:rsid w:val="5D6D056A"/>
    <w:rsid w:val="5DB0123F"/>
    <w:rsid w:val="61714AEA"/>
    <w:rsid w:val="618172C6"/>
    <w:rsid w:val="61F63AF6"/>
    <w:rsid w:val="637F71B2"/>
    <w:rsid w:val="64CE648F"/>
    <w:rsid w:val="64DF6129"/>
    <w:rsid w:val="650E589F"/>
    <w:rsid w:val="65410C43"/>
    <w:rsid w:val="66176B98"/>
    <w:rsid w:val="66AF5135"/>
    <w:rsid w:val="66D10089"/>
    <w:rsid w:val="67456568"/>
    <w:rsid w:val="6791516E"/>
    <w:rsid w:val="697B3058"/>
    <w:rsid w:val="69981651"/>
    <w:rsid w:val="6A372C18"/>
    <w:rsid w:val="6B5605DC"/>
    <w:rsid w:val="6B824366"/>
    <w:rsid w:val="6D885538"/>
    <w:rsid w:val="6D8939C4"/>
    <w:rsid w:val="6DE10C13"/>
    <w:rsid w:val="6E1F3BFE"/>
    <w:rsid w:val="706202C3"/>
    <w:rsid w:val="7089477F"/>
    <w:rsid w:val="711B78B6"/>
    <w:rsid w:val="715912B3"/>
    <w:rsid w:val="71B21877"/>
    <w:rsid w:val="71B95165"/>
    <w:rsid w:val="7280201C"/>
    <w:rsid w:val="72D64CCA"/>
    <w:rsid w:val="72D727FF"/>
    <w:rsid w:val="738022BD"/>
    <w:rsid w:val="74B66E2F"/>
    <w:rsid w:val="74CB389B"/>
    <w:rsid w:val="75521FEA"/>
    <w:rsid w:val="77AA69AB"/>
    <w:rsid w:val="77B01989"/>
    <w:rsid w:val="7A100D8F"/>
    <w:rsid w:val="7A526F79"/>
    <w:rsid w:val="7B786BEC"/>
    <w:rsid w:val="7BD42D14"/>
    <w:rsid w:val="7C106ECB"/>
    <w:rsid w:val="7C490589"/>
    <w:rsid w:val="7C6B1204"/>
    <w:rsid w:val="7CD51F65"/>
    <w:rsid w:val="7D055579"/>
    <w:rsid w:val="7D11343C"/>
    <w:rsid w:val="7D2B563D"/>
    <w:rsid w:val="7DF115D5"/>
    <w:rsid w:val="7E0150C3"/>
    <w:rsid w:val="7E694F12"/>
    <w:rsid w:val="7E8C32CF"/>
    <w:rsid w:val="7E912744"/>
    <w:rsid w:val="7E9B6AC9"/>
    <w:rsid w:val="7F0B7A18"/>
    <w:rsid w:val="7F98740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3">
    <w:name w:val="heading 1"/>
    <w:basedOn w:val="1"/>
    <w:next w:val="1"/>
    <w:link w:val="40"/>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4">
    <w:name w:val="heading 2"/>
    <w:basedOn w:val="1"/>
    <w:next w:val="1"/>
    <w:link w:val="41"/>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5">
    <w:name w:val="heading 3"/>
    <w:basedOn w:val="1"/>
    <w:next w:val="1"/>
    <w:link w:val="42"/>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6">
    <w:name w:val="heading 4"/>
    <w:basedOn w:val="1"/>
    <w:next w:val="1"/>
    <w:link w:val="43"/>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7">
    <w:name w:val="heading 9"/>
    <w:basedOn w:val="1"/>
    <w:next w:val="1"/>
    <w:link w:val="44"/>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5">
    <w:name w:val="Default Paragraph Font"/>
    <w:semiHidden/>
    <w:unhideWhenUsed/>
    <w:qFormat/>
    <w:uiPriority w:val="1"/>
  </w:style>
  <w:style w:type="table" w:default="1" w:styleId="3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49"/>
    <w:qFormat/>
    <w:uiPriority w:val="0"/>
    <w:pPr>
      <w:spacing w:after="120"/>
    </w:pPr>
    <w:rPr>
      <w:rFonts w:ascii="宋体" w:hAnsi="宋体" w:eastAsia="宋体" w:cs="宋体"/>
      <w:kern w:val="44"/>
      <w:sz w:val="28"/>
      <w:szCs w:val="28"/>
    </w:rPr>
  </w:style>
  <w:style w:type="paragraph" w:styleId="8">
    <w:name w:val="toc 7"/>
    <w:basedOn w:val="1"/>
    <w:next w:val="1"/>
    <w:qFormat/>
    <w:uiPriority w:val="0"/>
    <w:pPr>
      <w:ind w:left="1680"/>
      <w:jc w:val="left"/>
    </w:pPr>
    <w:rPr>
      <w:rFonts w:ascii="宋体" w:hAnsi="宋体" w:eastAsia="宋体" w:cs="宋体"/>
      <w:kern w:val="44"/>
      <w:sz w:val="18"/>
      <w:szCs w:val="18"/>
    </w:rPr>
  </w:style>
  <w:style w:type="paragraph" w:styleId="9">
    <w:name w:val="Normal Indent"/>
    <w:basedOn w:val="1"/>
    <w:qFormat/>
    <w:uiPriority w:val="0"/>
    <w:pPr>
      <w:ind w:firstLine="420"/>
    </w:pPr>
    <w:rPr>
      <w:rFonts w:ascii="宋体" w:hAnsi="宋体" w:eastAsia="宋体" w:cs="宋体"/>
      <w:kern w:val="44"/>
      <w:sz w:val="21"/>
      <w:szCs w:val="21"/>
    </w:rPr>
  </w:style>
  <w:style w:type="paragraph" w:styleId="10">
    <w:name w:val="Document Map"/>
    <w:basedOn w:val="1"/>
    <w:link w:val="53"/>
    <w:semiHidden/>
    <w:qFormat/>
    <w:uiPriority w:val="0"/>
    <w:pPr>
      <w:shd w:val="clear" w:color="auto" w:fill="000080"/>
    </w:pPr>
    <w:rPr>
      <w:rFonts w:ascii="宋体" w:hAnsi="宋体" w:eastAsia="宋体" w:cs="宋体"/>
      <w:kern w:val="44"/>
      <w:sz w:val="28"/>
      <w:szCs w:val="28"/>
    </w:rPr>
  </w:style>
  <w:style w:type="paragraph" w:styleId="11">
    <w:name w:val="annotation text"/>
    <w:basedOn w:val="1"/>
    <w:link w:val="62"/>
    <w:semiHidden/>
    <w:unhideWhenUsed/>
    <w:qFormat/>
    <w:uiPriority w:val="0"/>
    <w:pPr>
      <w:jc w:val="left"/>
    </w:pPr>
  </w:style>
  <w:style w:type="paragraph" w:styleId="12">
    <w:name w:val="Salutation"/>
    <w:basedOn w:val="1"/>
    <w:next w:val="1"/>
    <w:link w:val="55"/>
    <w:qFormat/>
    <w:uiPriority w:val="0"/>
    <w:rPr>
      <w:rFonts w:ascii="宋体" w:hAnsi="宋体" w:eastAsia="宋体" w:cs="宋体"/>
      <w:kern w:val="44"/>
      <w:sz w:val="32"/>
      <w:szCs w:val="32"/>
    </w:rPr>
  </w:style>
  <w:style w:type="paragraph" w:styleId="13">
    <w:name w:val="Body Text 3"/>
    <w:basedOn w:val="1"/>
    <w:link w:val="303"/>
    <w:semiHidden/>
    <w:unhideWhenUsed/>
    <w:qFormat/>
    <w:uiPriority w:val="99"/>
    <w:pPr>
      <w:spacing w:after="120"/>
    </w:pPr>
    <w:rPr>
      <w:sz w:val="16"/>
      <w:szCs w:val="16"/>
    </w:rPr>
  </w:style>
  <w:style w:type="paragraph" w:styleId="14">
    <w:name w:val="Body Text Indent"/>
    <w:basedOn w:val="1"/>
    <w:link w:val="74"/>
    <w:qFormat/>
    <w:uiPriority w:val="0"/>
    <w:pPr>
      <w:spacing w:after="120"/>
      <w:ind w:left="420" w:leftChars="200"/>
    </w:pPr>
    <w:rPr>
      <w:rFonts w:ascii="宋体" w:hAnsi="宋体" w:eastAsia="宋体" w:cs="宋体"/>
      <w:kern w:val="44"/>
      <w:sz w:val="28"/>
      <w:szCs w:val="28"/>
    </w:rPr>
  </w:style>
  <w:style w:type="paragraph" w:styleId="15">
    <w:name w:val="toc 5"/>
    <w:basedOn w:val="1"/>
    <w:next w:val="1"/>
    <w:qFormat/>
    <w:uiPriority w:val="0"/>
    <w:pPr>
      <w:ind w:left="1120"/>
      <w:jc w:val="left"/>
    </w:pPr>
    <w:rPr>
      <w:rFonts w:ascii="宋体" w:hAnsi="宋体" w:eastAsia="宋体" w:cs="宋体"/>
      <w:kern w:val="44"/>
      <w:sz w:val="18"/>
      <w:szCs w:val="18"/>
    </w:rPr>
  </w:style>
  <w:style w:type="paragraph" w:styleId="16">
    <w:name w:val="toc 3"/>
    <w:basedOn w:val="1"/>
    <w:next w:val="1"/>
    <w:qFormat/>
    <w:uiPriority w:val="0"/>
    <w:pPr>
      <w:tabs>
        <w:tab w:val="right" w:leader="dot" w:pos="9350"/>
      </w:tabs>
      <w:ind w:left="1799" w:leftChars="513" w:hanging="722" w:hangingChars="258"/>
    </w:pPr>
    <w:rPr>
      <w:rFonts w:ascii="宋体" w:hAnsi="宋体" w:eastAsia="宋体" w:cs="宋体"/>
      <w:sz w:val="28"/>
      <w:szCs w:val="28"/>
    </w:rPr>
  </w:style>
  <w:style w:type="paragraph" w:styleId="17">
    <w:name w:val="Plain Text"/>
    <w:basedOn w:val="1"/>
    <w:link w:val="72"/>
    <w:qFormat/>
    <w:uiPriority w:val="0"/>
    <w:rPr>
      <w:rFonts w:ascii="宋体" w:hAnsi="Courier New" w:eastAsia="宋体" w:cs="宋体"/>
      <w:kern w:val="44"/>
      <w:sz w:val="21"/>
      <w:szCs w:val="21"/>
    </w:rPr>
  </w:style>
  <w:style w:type="paragraph" w:styleId="18">
    <w:name w:val="toc 8"/>
    <w:basedOn w:val="1"/>
    <w:next w:val="1"/>
    <w:qFormat/>
    <w:uiPriority w:val="0"/>
    <w:pPr>
      <w:ind w:left="1960"/>
      <w:jc w:val="left"/>
    </w:pPr>
    <w:rPr>
      <w:rFonts w:ascii="宋体" w:hAnsi="宋体" w:eastAsia="宋体" w:cs="宋体"/>
      <w:kern w:val="44"/>
      <w:sz w:val="18"/>
      <w:szCs w:val="18"/>
    </w:rPr>
  </w:style>
  <w:style w:type="paragraph" w:styleId="19">
    <w:name w:val="Date"/>
    <w:basedOn w:val="1"/>
    <w:next w:val="1"/>
    <w:link w:val="50"/>
    <w:qFormat/>
    <w:uiPriority w:val="0"/>
    <w:pPr>
      <w:ind w:left="100" w:leftChars="2500"/>
    </w:pPr>
    <w:rPr>
      <w:rFonts w:ascii="宋体" w:hAnsi="宋体" w:eastAsia="宋体" w:cs="宋体"/>
      <w:kern w:val="44"/>
      <w:sz w:val="28"/>
      <w:szCs w:val="28"/>
    </w:rPr>
  </w:style>
  <w:style w:type="paragraph" w:styleId="20">
    <w:name w:val="Body Text Indent 2"/>
    <w:basedOn w:val="1"/>
    <w:link w:val="58"/>
    <w:qFormat/>
    <w:uiPriority w:val="0"/>
    <w:pPr>
      <w:spacing w:after="120" w:line="480" w:lineRule="auto"/>
      <w:ind w:left="420" w:leftChars="200"/>
    </w:pPr>
    <w:rPr>
      <w:rFonts w:ascii="宋体" w:hAnsi="宋体" w:eastAsia="宋体" w:cs="宋体"/>
      <w:kern w:val="44"/>
      <w:sz w:val="28"/>
      <w:szCs w:val="28"/>
    </w:rPr>
  </w:style>
  <w:style w:type="paragraph" w:styleId="21">
    <w:name w:val="Balloon Text"/>
    <w:basedOn w:val="1"/>
    <w:link w:val="56"/>
    <w:semiHidden/>
    <w:qFormat/>
    <w:uiPriority w:val="0"/>
    <w:rPr>
      <w:rFonts w:ascii="宋体" w:hAnsi="宋体" w:eastAsia="宋体" w:cs="宋体"/>
      <w:kern w:val="44"/>
      <w:sz w:val="18"/>
      <w:szCs w:val="18"/>
    </w:rPr>
  </w:style>
  <w:style w:type="paragraph" w:styleId="22">
    <w:name w:val="footer"/>
    <w:basedOn w:val="1"/>
    <w:link w:val="46"/>
    <w:unhideWhenUsed/>
    <w:qFormat/>
    <w:uiPriority w:val="0"/>
    <w:pPr>
      <w:tabs>
        <w:tab w:val="center" w:pos="4153"/>
        <w:tab w:val="right" w:pos="8306"/>
      </w:tabs>
      <w:snapToGrid w:val="0"/>
      <w:jc w:val="left"/>
    </w:pPr>
    <w:rPr>
      <w:sz w:val="18"/>
      <w:szCs w:val="18"/>
    </w:rPr>
  </w:style>
  <w:style w:type="paragraph" w:styleId="23">
    <w:name w:val="header"/>
    <w:basedOn w:val="1"/>
    <w:link w:val="45"/>
    <w:unhideWhenUsed/>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0"/>
    <w:pPr>
      <w:spacing w:before="120" w:after="120"/>
      <w:jc w:val="left"/>
    </w:pPr>
    <w:rPr>
      <w:rFonts w:ascii="Times New Roman" w:hAnsi="Times New Roman" w:eastAsia="宋体" w:cs="Times New Roman"/>
      <w:b/>
      <w:bCs/>
      <w:caps/>
      <w:kern w:val="44"/>
      <w:sz w:val="28"/>
      <w:szCs w:val="28"/>
    </w:rPr>
  </w:style>
  <w:style w:type="paragraph" w:styleId="25">
    <w:name w:val="toc 4"/>
    <w:basedOn w:val="1"/>
    <w:next w:val="1"/>
    <w:qFormat/>
    <w:uiPriority w:val="0"/>
    <w:pPr>
      <w:ind w:left="840"/>
      <w:jc w:val="left"/>
    </w:pPr>
    <w:rPr>
      <w:rFonts w:ascii="宋体" w:hAnsi="宋体" w:eastAsia="宋体" w:cs="宋体"/>
      <w:kern w:val="44"/>
      <w:sz w:val="18"/>
      <w:szCs w:val="18"/>
    </w:rPr>
  </w:style>
  <w:style w:type="paragraph" w:styleId="26">
    <w:name w:val="toc 6"/>
    <w:basedOn w:val="1"/>
    <w:next w:val="1"/>
    <w:qFormat/>
    <w:uiPriority w:val="0"/>
    <w:pPr>
      <w:ind w:left="1400"/>
      <w:jc w:val="left"/>
    </w:pPr>
    <w:rPr>
      <w:rFonts w:ascii="宋体" w:hAnsi="宋体" w:eastAsia="宋体" w:cs="宋体"/>
      <w:kern w:val="44"/>
      <w:sz w:val="18"/>
      <w:szCs w:val="18"/>
    </w:rPr>
  </w:style>
  <w:style w:type="paragraph" w:styleId="27">
    <w:name w:val="Body Text Indent 3"/>
    <w:basedOn w:val="1"/>
    <w:link w:val="67"/>
    <w:qFormat/>
    <w:uiPriority w:val="0"/>
    <w:pPr>
      <w:spacing w:after="120"/>
      <w:ind w:left="420" w:leftChars="200"/>
    </w:pPr>
    <w:rPr>
      <w:rFonts w:ascii="宋体" w:hAnsi="宋体" w:eastAsia="宋体" w:cs="宋体"/>
      <w:kern w:val="44"/>
      <w:sz w:val="16"/>
      <w:szCs w:val="16"/>
    </w:rPr>
  </w:style>
  <w:style w:type="paragraph" w:styleId="28">
    <w:name w:val="toc 2"/>
    <w:basedOn w:val="1"/>
    <w:next w:val="1"/>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29">
    <w:name w:val="toc 9"/>
    <w:basedOn w:val="1"/>
    <w:next w:val="1"/>
    <w:qFormat/>
    <w:uiPriority w:val="0"/>
    <w:pPr>
      <w:ind w:left="2240"/>
      <w:jc w:val="left"/>
    </w:pPr>
    <w:rPr>
      <w:rFonts w:ascii="宋体" w:hAnsi="宋体" w:eastAsia="宋体" w:cs="宋体"/>
      <w:kern w:val="44"/>
      <w:sz w:val="18"/>
      <w:szCs w:val="18"/>
    </w:rPr>
  </w:style>
  <w:style w:type="paragraph" w:styleId="30">
    <w:name w:val="Normal (Web)"/>
    <w:basedOn w:val="1"/>
    <w:qFormat/>
    <w:uiPriority w:val="0"/>
    <w:pPr>
      <w:widowControl/>
      <w:spacing w:before="300" w:after="300"/>
      <w:jc w:val="left"/>
    </w:pPr>
    <w:rPr>
      <w:rFonts w:ascii="宋体" w:hAnsi="宋体" w:eastAsia="宋体" w:cs="宋体"/>
      <w:kern w:val="0"/>
    </w:rPr>
  </w:style>
  <w:style w:type="paragraph" w:styleId="31">
    <w:name w:val="Title"/>
    <w:basedOn w:val="1"/>
    <w:next w:val="1"/>
    <w:link w:val="305"/>
    <w:qFormat/>
    <w:uiPriority w:val="0"/>
    <w:pPr>
      <w:jc w:val="center"/>
      <w:outlineLvl w:val="0"/>
    </w:pPr>
    <w:rPr>
      <w:rFonts w:ascii="Times New Roman" w:hAnsi="Times New Roman" w:eastAsia="仿宋_GB2312" w:cs="Times New Roman"/>
      <w:bCs/>
      <w:sz w:val="28"/>
      <w:szCs w:val="32"/>
    </w:rPr>
  </w:style>
  <w:style w:type="paragraph" w:styleId="32">
    <w:name w:val="annotation subject"/>
    <w:basedOn w:val="11"/>
    <w:next w:val="11"/>
    <w:link w:val="60"/>
    <w:semiHidden/>
    <w:qFormat/>
    <w:uiPriority w:val="0"/>
    <w:rPr>
      <w:rFonts w:ascii="宋体" w:hAnsi="宋体" w:eastAsia="宋体" w:cs="宋体"/>
      <w:b/>
      <w:bCs/>
      <w:kern w:val="44"/>
      <w:sz w:val="28"/>
      <w:szCs w:val="28"/>
    </w:rPr>
  </w:style>
  <w:style w:type="paragraph" w:styleId="33">
    <w:name w:val="Body Text First Indent 2"/>
    <w:basedOn w:val="14"/>
    <w:link w:val="308"/>
    <w:unhideWhenUsed/>
    <w:qFormat/>
    <w:uiPriority w:val="0"/>
    <w:pPr>
      <w:ind w:firstLine="420" w:firstLineChars="200"/>
    </w:pPr>
    <w:rPr>
      <w:rFonts w:ascii="Times New Roman" w:hAnsi="Times New Roman" w:cs="Times New Roman"/>
      <w:kern w:val="2"/>
      <w:sz w:val="21"/>
      <w:szCs w:val="22"/>
    </w:rPr>
  </w:style>
  <w:style w:type="character" w:styleId="36">
    <w:name w:val="Strong"/>
    <w:basedOn w:val="35"/>
    <w:qFormat/>
    <w:uiPriority w:val="0"/>
    <w:rPr>
      <w:rFonts w:cs="Times New Roman"/>
      <w:b/>
      <w:bCs/>
    </w:rPr>
  </w:style>
  <w:style w:type="character" w:styleId="37">
    <w:name w:val="page number"/>
    <w:basedOn w:val="35"/>
    <w:qFormat/>
    <w:uiPriority w:val="0"/>
    <w:rPr>
      <w:rFonts w:cs="Times New Roman"/>
    </w:rPr>
  </w:style>
  <w:style w:type="character" w:styleId="38">
    <w:name w:val="FollowedHyperlink"/>
    <w:basedOn w:val="35"/>
    <w:qFormat/>
    <w:uiPriority w:val="0"/>
    <w:rPr>
      <w:rFonts w:cs="Times New Roman"/>
      <w:color w:val="800080"/>
      <w:u w:val="single"/>
    </w:rPr>
  </w:style>
  <w:style w:type="character" w:styleId="39">
    <w:name w:val="Hyperlink"/>
    <w:basedOn w:val="35"/>
    <w:unhideWhenUsed/>
    <w:qFormat/>
    <w:uiPriority w:val="0"/>
    <w:rPr>
      <w:color w:val="0000FF" w:themeColor="hyperlink"/>
      <w:u w:val="single"/>
    </w:rPr>
  </w:style>
  <w:style w:type="character" w:customStyle="1" w:styleId="40">
    <w:name w:val="标题 1 字符"/>
    <w:basedOn w:val="35"/>
    <w:link w:val="3"/>
    <w:qFormat/>
    <w:uiPriority w:val="0"/>
    <w:rPr>
      <w:rFonts w:ascii="宋体" w:hAnsi="宋体" w:eastAsia="宋体" w:cs="宋体"/>
      <w:b/>
      <w:bCs/>
      <w:kern w:val="44"/>
      <w:sz w:val="44"/>
      <w:szCs w:val="44"/>
    </w:rPr>
  </w:style>
  <w:style w:type="character" w:customStyle="1" w:styleId="41">
    <w:name w:val="标题 2 字符"/>
    <w:basedOn w:val="35"/>
    <w:link w:val="4"/>
    <w:qFormat/>
    <w:uiPriority w:val="0"/>
    <w:rPr>
      <w:rFonts w:ascii="Arial" w:hAnsi="Arial" w:eastAsia="黑体" w:cs="Arial"/>
      <w:b/>
      <w:bCs/>
      <w:kern w:val="44"/>
      <w:sz w:val="32"/>
      <w:szCs w:val="32"/>
    </w:rPr>
  </w:style>
  <w:style w:type="character" w:customStyle="1" w:styleId="42">
    <w:name w:val="标题 3 字符"/>
    <w:basedOn w:val="35"/>
    <w:link w:val="5"/>
    <w:qFormat/>
    <w:uiPriority w:val="0"/>
    <w:rPr>
      <w:rFonts w:ascii="宋体" w:hAnsi="宋体" w:eastAsia="宋体" w:cs="宋体"/>
      <w:b/>
      <w:bCs/>
      <w:kern w:val="44"/>
      <w:sz w:val="32"/>
      <w:szCs w:val="32"/>
    </w:rPr>
  </w:style>
  <w:style w:type="character" w:customStyle="1" w:styleId="43">
    <w:name w:val="标题 4 字符"/>
    <w:basedOn w:val="35"/>
    <w:link w:val="6"/>
    <w:qFormat/>
    <w:uiPriority w:val="0"/>
    <w:rPr>
      <w:rFonts w:ascii="Arial" w:hAnsi="Arial" w:eastAsia="黑体" w:cs="Arial"/>
      <w:b/>
      <w:bCs/>
      <w:kern w:val="44"/>
      <w:sz w:val="28"/>
      <w:szCs w:val="28"/>
    </w:rPr>
  </w:style>
  <w:style w:type="character" w:customStyle="1" w:styleId="44">
    <w:name w:val="标题 9 字符"/>
    <w:basedOn w:val="35"/>
    <w:link w:val="7"/>
    <w:qFormat/>
    <w:uiPriority w:val="0"/>
    <w:rPr>
      <w:rFonts w:ascii="Arial" w:hAnsi="Arial" w:eastAsia="黑体" w:cs="Arial"/>
      <w:kern w:val="44"/>
      <w:sz w:val="21"/>
      <w:szCs w:val="21"/>
    </w:rPr>
  </w:style>
  <w:style w:type="character" w:customStyle="1" w:styleId="45">
    <w:name w:val="页眉 字符"/>
    <w:basedOn w:val="35"/>
    <w:link w:val="23"/>
    <w:qFormat/>
    <w:uiPriority w:val="0"/>
    <w:rPr>
      <w:sz w:val="18"/>
      <w:szCs w:val="18"/>
    </w:rPr>
  </w:style>
  <w:style w:type="character" w:customStyle="1" w:styleId="46">
    <w:name w:val="页脚 字符"/>
    <w:basedOn w:val="35"/>
    <w:link w:val="22"/>
    <w:qFormat/>
    <w:uiPriority w:val="0"/>
    <w:rPr>
      <w:sz w:val="18"/>
      <w:szCs w:val="18"/>
    </w:rPr>
  </w:style>
  <w:style w:type="character" w:customStyle="1" w:styleId="47">
    <w:name w:val="Char Char11"/>
    <w:basedOn w:val="35"/>
    <w:qFormat/>
    <w:locked/>
    <w:uiPriority w:val="0"/>
    <w:rPr>
      <w:sz w:val="24"/>
      <w:szCs w:val="24"/>
      <w:lang w:bidi="ar-SA"/>
    </w:rPr>
  </w:style>
  <w:style w:type="paragraph" w:styleId="48">
    <w:name w:val="List Paragraph"/>
    <w:basedOn w:val="1"/>
    <w:qFormat/>
    <w:uiPriority w:val="34"/>
    <w:pPr>
      <w:ind w:firstLine="420" w:firstLineChars="200"/>
    </w:pPr>
  </w:style>
  <w:style w:type="character" w:customStyle="1" w:styleId="49">
    <w:name w:val="正文文本 字符"/>
    <w:basedOn w:val="35"/>
    <w:link w:val="2"/>
    <w:qFormat/>
    <w:locked/>
    <w:uiPriority w:val="0"/>
    <w:rPr>
      <w:rFonts w:ascii="宋体" w:hAnsi="宋体" w:eastAsia="宋体" w:cs="宋体"/>
      <w:kern w:val="44"/>
      <w:sz w:val="28"/>
      <w:szCs w:val="28"/>
    </w:rPr>
  </w:style>
  <w:style w:type="character" w:customStyle="1" w:styleId="50">
    <w:name w:val="日期 字符"/>
    <w:basedOn w:val="35"/>
    <w:link w:val="19"/>
    <w:qFormat/>
    <w:locked/>
    <w:uiPriority w:val="0"/>
    <w:rPr>
      <w:rFonts w:ascii="宋体" w:hAnsi="宋体" w:eastAsia="宋体" w:cs="宋体"/>
      <w:kern w:val="44"/>
      <w:sz w:val="28"/>
      <w:szCs w:val="28"/>
    </w:rPr>
  </w:style>
  <w:style w:type="character" w:customStyle="1" w:styleId="51">
    <w:name w:val="Char Char1"/>
    <w:basedOn w:val="35"/>
    <w:qFormat/>
    <w:locked/>
    <w:uiPriority w:val="0"/>
    <w:rPr>
      <w:rFonts w:ascii="宋体" w:hAnsi="宋体" w:eastAsia="宋体"/>
      <w:kern w:val="2"/>
      <w:sz w:val="18"/>
      <w:szCs w:val="18"/>
      <w:lang w:val="en-US" w:eastAsia="zh-CN" w:bidi="ar-SA"/>
    </w:rPr>
  </w:style>
  <w:style w:type="character" w:customStyle="1" w:styleId="52">
    <w:name w:val="apple-converted-space"/>
    <w:basedOn w:val="35"/>
    <w:qFormat/>
    <w:uiPriority w:val="0"/>
  </w:style>
  <w:style w:type="character" w:customStyle="1" w:styleId="53">
    <w:name w:val="文档结构图 字符"/>
    <w:basedOn w:val="35"/>
    <w:link w:val="10"/>
    <w:semiHidden/>
    <w:qFormat/>
    <w:locked/>
    <w:uiPriority w:val="0"/>
    <w:rPr>
      <w:rFonts w:ascii="宋体" w:hAnsi="宋体" w:eastAsia="宋体" w:cs="宋体"/>
      <w:kern w:val="44"/>
      <w:sz w:val="28"/>
      <w:szCs w:val="28"/>
      <w:shd w:val="clear" w:color="auto" w:fill="000080"/>
    </w:rPr>
  </w:style>
  <w:style w:type="character" w:customStyle="1" w:styleId="54">
    <w:name w:val="Char Char Char11"/>
    <w:basedOn w:val="35"/>
    <w:qFormat/>
    <w:locked/>
    <w:uiPriority w:val="0"/>
    <w:rPr>
      <w:rFonts w:ascii="宋体" w:hAnsi="Courier New" w:eastAsia="仿宋_GB2312" w:cs="宋体"/>
      <w:kern w:val="2"/>
      <w:sz w:val="21"/>
      <w:szCs w:val="21"/>
      <w:lang w:val="en-US" w:eastAsia="zh-CN"/>
    </w:rPr>
  </w:style>
  <w:style w:type="character" w:customStyle="1" w:styleId="55">
    <w:name w:val="称呼 字符"/>
    <w:basedOn w:val="35"/>
    <w:link w:val="12"/>
    <w:qFormat/>
    <w:locked/>
    <w:uiPriority w:val="0"/>
    <w:rPr>
      <w:rFonts w:ascii="宋体" w:hAnsi="宋体" w:eastAsia="宋体" w:cs="宋体"/>
      <w:kern w:val="44"/>
      <w:sz w:val="32"/>
      <w:szCs w:val="32"/>
    </w:rPr>
  </w:style>
  <w:style w:type="character" w:customStyle="1" w:styleId="56">
    <w:name w:val="批注框文本 字符"/>
    <w:basedOn w:val="35"/>
    <w:link w:val="21"/>
    <w:semiHidden/>
    <w:qFormat/>
    <w:locked/>
    <w:uiPriority w:val="0"/>
    <w:rPr>
      <w:rFonts w:ascii="宋体" w:hAnsi="宋体" w:eastAsia="宋体" w:cs="宋体"/>
      <w:kern w:val="44"/>
      <w:sz w:val="18"/>
      <w:szCs w:val="18"/>
    </w:rPr>
  </w:style>
  <w:style w:type="character" w:customStyle="1" w:styleId="57">
    <w:name w:val="H2 Char"/>
    <w:basedOn w:val="35"/>
    <w:qFormat/>
    <w:uiPriority w:val="0"/>
    <w:rPr>
      <w:rFonts w:ascii="Arial" w:hAnsi="Arial" w:eastAsia="黑体" w:cs="Arial"/>
      <w:b/>
      <w:bCs/>
      <w:kern w:val="2"/>
      <w:sz w:val="32"/>
      <w:szCs w:val="32"/>
      <w:lang w:val="en-US" w:eastAsia="zh-CN"/>
    </w:rPr>
  </w:style>
  <w:style w:type="character" w:customStyle="1" w:styleId="58">
    <w:name w:val="正文文本缩进 2 字符"/>
    <w:basedOn w:val="35"/>
    <w:link w:val="20"/>
    <w:qFormat/>
    <w:locked/>
    <w:uiPriority w:val="0"/>
    <w:rPr>
      <w:rFonts w:ascii="宋体" w:hAnsi="宋体" w:eastAsia="宋体" w:cs="宋体"/>
      <w:kern w:val="44"/>
      <w:sz w:val="28"/>
      <w:szCs w:val="28"/>
    </w:rPr>
  </w:style>
  <w:style w:type="character" w:customStyle="1" w:styleId="59">
    <w:name w:val="Char Char Char1"/>
    <w:basedOn w:val="35"/>
    <w:qFormat/>
    <w:uiPriority w:val="0"/>
    <w:rPr>
      <w:rFonts w:ascii="宋体" w:hAnsi="Courier New" w:eastAsia="宋体" w:cs="宋体"/>
      <w:kern w:val="2"/>
      <w:sz w:val="21"/>
      <w:szCs w:val="21"/>
      <w:lang w:val="en-US" w:eastAsia="zh-CN"/>
    </w:rPr>
  </w:style>
  <w:style w:type="character" w:customStyle="1" w:styleId="60">
    <w:name w:val="批注主题 字符"/>
    <w:basedOn w:val="61"/>
    <w:link w:val="32"/>
    <w:semiHidden/>
    <w:qFormat/>
    <w:locked/>
    <w:uiPriority w:val="0"/>
    <w:rPr>
      <w:rFonts w:ascii="宋体" w:hAnsi="宋体" w:eastAsia="宋体" w:cs="宋体"/>
      <w:b/>
      <w:bCs/>
      <w:kern w:val="44"/>
      <w:sz w:val="28"/>
      <w:szCs w:val="28"/>
      <w:lang w:val="en-US" w:eastAsia="zh-CN" w:bidi="ar-SA"/>
    </w:rPr>
  </w:style>
  <w:style w:type="character" w:customStyle="1" w:styleId="61">
    <w:name w:val="批注文字 Char"/>
    <w:basedOn w:val="35"/>
    <w:semiHidden/>
    <w:qFormat/>
    <w:locked/>
    <w:uiPriority w:val="0"/>
    <w:rPr>
      <w:rFonts w:ascii="宋体" w:hAnsi="宋体" w:eastAsia="宋体" w:cs="宋体"/>
      <w:kern w:val="44"/>
      <w:sz w:val="28"/>
      <w:szCs w:val="28"/>
      <w:lang w:val="en-US" w:eastAsia="zh-CN" w:bidi="ar-SA"/>
    </w:rPr>
  </w:style>
  <w:style w:type="character" w:customStyle="1" w:styleId="62">
    <w:name w:val="批注文字 字符"/>
    <w:basedOn w:val="35"/>
    <w:link w:val="11"/>
    <w:semiHidden/>
    <w:qFormat/>
    <w:uiPriority w:val="99"/>
  </w:style>
  <w:style w:type="character" w:customStyle="1" w:styleId="63">
    <w:name w:val="Char Char9"/>
    <w:basedOn w:val="35"/>
    <w:qFormat/>
    <w:locked/>
    <w:uiPriority w:val="0"/>
    <w:rPr>
      <w:rFonts w:ascii="宋体" w:hAnsi="Courier New" w:eastAsia="仿宋_GB2312" w:cs="宋体"/>
      <w:kern w:val="2"/>
      <w:sz w:val="21"/>
      <w:szCs w:val="21"/>
      <w:lang w:val="en-US" w:eastAsia="zh-CN"/>
    </w:rPr>
  </w:style>
  <w:style w:type="character" w:customStyle="1" w:styleId="64">
    <w:name w:val="Char Char3"/>
    <w:basedOn w:val="35"/>
    <w:qFormat/>
    <w:locked/>
    <w:uiPriority w:val="0"/>
    <w:rPr>
      <w:rFonts w:ascii="宋体" w:hAnsi="宋体" w:eastAsia="宋体"/>
      <w:kern w:val="2"/>
      <w:sz w:val="18"/>
      <w:szCs w:val="18"/>
      <w:lang w:val="en-US" w:eastAsia="zh-CN" w:bidi="ar-SA"/>
    </w:rPr>
  </w:style>
  <w:style w:type="character" w:customStyle="1" w:styleId="65">
    <w:name w:val="Char Char111"/>
    <w:basedOn w:val="35"/>
    <w:qFormat/>
    <w:uiPriority w:val="0"/>
    <w:rPr>
      <w:rFonts w:ascii="Arial" w:hAnsi="Arial" w:eastAsia="黑体" w:cs="Arial"/>
      <w:b/>
      <w:bCs/>
      <w:kern w:val="2"/>
      <w:sz w:val="32"/>
      <w:szCs w:val="32"/>
      <w:lang w:val="en-US" w:eastAsia="zh-CN"/>
    </w:rPr>
  </w:style>
  <w:style w:type="character" w:customStyle="1" w:styleId="66">
    <w:name w:val="Char Char6"/>
    <w:basedOn w:val="35"/>
    <w:qFormat/>
    <w:locked/>
    <w:uiPriority w:val="0"/>
    <w:rPr>
      <w:rFonts w:ascii="宋体" w:hAnsi="Courier New" w:eastAsia="仿宋_GB2312" w:cs="Courier New"/>
      <w:kern w:val="2"/>
      <w:sz w:val="21"/>
      <w:szCs w:val="21"/>
      <w:lang w:val="en-US" w:eastAsia="zh-CN" w:bidi="ar-SA"/>
    </w:rPr>
  </w:style>
  <w:style w:type="character" w:customStyle="1" w:styleId="67">
    <w:name w:val="正文文本缩进 3 字符"/>
    <w:basedOn w:val="35"/>
    <w:link w:val="27"/>
    <w:qFormat/>
    <w:locked/>
    <w:uiPriority w:val="0"/>
    <w:rPr>
      <w:rFonts w:ascii="宋体" w:hAnsi="宋体" w:eastAsia="宋体" w:cs="宋体"/>
      <w:kern w:val="44"/>
      <w:sz w:val="16"/>
      <w:szCs w:val="16"/>
    </w:rPr>
  </w:style>
  <w:style w:type="character" w:customStyle="1" w:styleId="68">
    <w:name w:val="纯文本 Char"/>
    <w:basedOn w:val="35"/>
    <w:qFormat/>
    <w:locked/>
    <w:uiPriority w:val="0"/>
    <w:rPr>
      <w:rFonts w:ascii="宋体" w:hAnsi="Courier New" w:eastAsia="宋体" w:cs="宋体"/>
      <w:kern w:val="44"/>
      <w:sz w:val="21"/>
      <w:szCs w:val="21"/>
    </w:rPr>
  </w:style>
  <w:style w:type="character" w:customStyle="1" w:styleId="69">
    <w:name w:val="正文 首行缩进 Char"/>
    <w:link w:val="70"/>
    <w:qFormat/>
    <w:uiPriority w:val="0"/>
    <w:rPr>
      <w:rFonts w:ascii="宋体" w:hAnsi="宋体"/>
      <w:color w:val="000000"/>
      <w:sz w:val="21"/>
      <w:szCs w:val="21"/>
    </w:rPr>
  </w:style>
  <w:style w:type="paragraph" w:customStyle="1" w:styleId="70">
    <w:name w:val="正文 首行缩进"/>
    <w:basedOn w:val="1"/>
    <w:link w:val="69"/>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1">
    <w:name w:val="Char Char12"/>
    <w:basedOn w:val="35"/>
    <w:qFormat/>
    <w:uiPriority w:val="0"/>
    <w:rPr>
      <w:rFonts w:ascii="Arial" w:hAnsi="Arial" w:eastAsia="黑体" w:cs="Arial"/>
      <w:b/>
      <w:bCs/>
      <w:kern w:val="2"/>
      <w:sz w:val="32"/>
      <w:szCs w:val="32"/>
      <w:lang w:val="en-US" w:eastAsia="zh-CN"/>
    </w:rPr>
  </w:style>
  <w:style w:type="character" w:customStyle="1" w:styleId="72">
    <w:name w:val="纯文本 字符"/>
    <w:basedOn w:val="35"/>
    <w:link w:val="17"/>
    <w:qFormat/>
    <w:locked/>
    <w:uiPriority w:val="0"/>
    <w:rPr>
      <w:rFonts w:ascii="宋体" w:hAnsi="Courier New" w:eastAsia="宋体" w:cs="宋体"/>
      <w:kern w:val="44"/>
      <w:sz w:val="21"/>
      <w:szCs w:val="21"/>
    </w:rPr>
  </w:style>
  <w:style w:type="character" w:customStyle="1" w:styleId="73">
    <w:name w:val="Char Char Char12"/>
    <w:basedOn w:val="35"/>
    <w:qFormat/>
    <w:uiPriority w:val="0"/>
    <w:rPr>
      <w:rFonts w:ascii="宋体" w:hAnsi="Courier New" w:eastAsia="宋体" w:cs="宋体"/>
      <w:kern w:val="2"/>
      <w:sz w:val="21"/>
      <w:szCs w:val="21"/>
      <w:lang w:val="en-US" w:eastAsia="zh-CN"/>
    </w:rPr>
  </w:style>
  <w:style w:type="character" w:customStyle="1" w:styleId="74">
    <w:name w:val="正文文本缩进 字符"/>
    <w:basedOn w:val="35"/>
    <w:link w:val="14"/>
    <w:qFormat/>
    <w:locked/>
    <w:uiPriority w:val="0"/>
    <w:rPr>
      <w:rFonts w:ascii="宋体" w:hAnsi="宋体" w:eastAsia="宋体" w:cs="宋体"/>
      <w:kern w:val="44"/>
      <w:sz w:val="28"/>
      <w:szCs w:val="28"/>
    </w:rPr>
  </w:style>
  <w:style w:type="paragraph" w:customStyle="1" w:styleId="75">
    <w:name w:val="xl7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76">
    <w:name w:val="批注框文本 Char1"/>
    <w:basedOn w:val="35"/>
    <w:semiHidden/>
    <w:qFormat/>
    <w:uiPriority w:val="99"/>
    <w:rPr>
      <w:sz w:val="18"/>
      <w:szCs w:val="18"/>
    </w:rPr>
  </w:style>
  <w:style w:type="paragraph" w:customStyle="1" w:styleId="77">
    <w:name w:val="xl183"/>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78">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79">
    <w:name w:val="正文文本缩进 3 Char1"/>
    <w:basedOn w:val="35"/>
    <w:semiHidden/>
    <w:qFormat/>
    <w:uiPriority w:val="99"/>
    <w:rPr>
      <w:sz w:val="16"/>
      <w:szCs w:val="16"/>
    </w:rPr>
  </w:style>
  <w:style w:type="paragraph" w:customStyle="1" w:styleId="80">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1">
    <w:name w:val="日期 Char1"/>
    <w:basedOn w:val="35"/>
    <w:semiHidden/>
    <w:qFormat/>
    <w:uiPriority w:val="99"/>
  </w:style>
  <w:style w:type="paragraph" w:customStyle="1" w:styleId="82">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3">
    <w:name w:val="正文文本缩进 Char1"/>
    <w:basedOn w:val="35"/>
    <w:semiHidden/>
    <w:qFormat/>
    <w:uiPriority w:val="99"/>
  </w:style>
  <w:style w:type="paragraph" w:customStyle="1" w:styleId="84">
    <w:name w:val="xl124"/>
    <w:basedOn w:val="1"/>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5">
    <w:name w:val="文档结构图 Char1"/>
    <w:basedOn w:val="35"/>
    <w:semiHidden/>
    <w:qFormat/>
    <w:uiPriority w:val="99"/>
    <w:rPr>
      <w:rFonts w:ascii="Microsoft YaHei UI" w:eastAsia="Microsoft YaHei UI"/>
      <w:sz w:val="18"/>
      <w:szCs w:val="18"/>
    </w:rPr>
  </w:style>
  <w:style w:type="paragraph" w:customStyle="1" w:styleId="8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7">
    <w:name w:val="font18"/>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88">
    <w:name w:val="批注主题 Char1"/>
    <w:basedOn w:val="62"/>
    <w:semiHidden/>
    <w:qFormat/>
    <w:uiPriority w:val="99"/>
    <w:rPr>
      <w:b/>
      <w:bCs/>
    </w:rPr>
  </w:style>
  <w:style w:type="paragraph" w:customStyle="1" w:styleId="89">
    <w:name w:val="xl27"/>
    <w:basedOn w:val="1"/>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0">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1">
    <w:name w:val="xl9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2">
    <w:name w:val="font7"/>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3">
    <w:name w:val="xl20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4">
    <w:name w:val="xl187"/>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95">
    <w:name w:val="xl20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6">
    <w:name w:val="xl107"/>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97">
    <w:name w:val="xl188"/>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98">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99">
    <w:name w:val="xl131"/>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1">
    <w:name w:val="列出段落1"/>
    <w:basedOn w:val="1"/>
    <w:qFormat/>
    <w:uiPriority w:val="0"/>
    <w:pPr>
      <w:ind w:firstLine="420"/>
    </w:pPr>
    <w:rPr>
      <w:rFonts w:ascii="Calibri" w:hAnsi="Calibri" w:eastAsia="宋体" w:cs="Calibri"/>
      <w:kern w:val="44"/>
      <w:sz w:val="21"/>
      <w:szCs w:val="21"/>
    </w:rPr>
  </w:style>
  <w:style w:type="paragraph" w:customStyle="1" w:styleId="102">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3">
    <w:name w:val="font9"/>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5">
    <w:name w:val="xl132"/>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6">
    <w:name w:val="font22"/>
    <w:basedOn w:val="1"/>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07">
    <w:name w:val="xl185"/>
    <w:basedOn w:val="1"/>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08">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0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0">
    <w:name w:val="正文文本缩进 2 Char1"/>
    <w:basedOn w:val="35"/>
    <w:semiHidden/>
    <w:qFormat/>
    <w:uiPriority w:val="99"/>
  </w:style>
  <w:style w:type="paragraph" w:customStyle="1" w:styleId="111">
    <w:name w:val="xl4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2">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4">
    <w:name w:val="称呼 Char1"/>
    <w:basedOn w:val="35"/>
    <w:semiHidden/>
    <w:qFormat/>
    <w:uiPriority w:val="99"/>
  </w:style>
  <w:style w:type="paragraph" w:customStyle="1" w:styleId="115">
    <w:name w:val="普通(Web)"/>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16">
    <w:name w:val="xl180"/>
    <w:basedOn w:val="1"/>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17">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18">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19">
    <w:name w:val="正文文本 Char1"/>
    <w:basedOn w:val="35"/>
    <w:semiHidden/>
    <w:qFormat/>
    <w:uiPriority w:val="99"/>
  </w:style>
  <w:style w:type="paragraph" w:customStyle="1" w:styleId="120">
    <w:name w:val="xl193"/>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21">
    <w:name w:val="xl130"/>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2">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3">
    <w:name w:val="表格文字"/>
    <w:basedOn w:val="14"/>
    <w:qFormat/>
    <w:uiPriority w:val="0"/>
    <w:pPr>
      <w:spacing w:before="60" w:after="60"/>
      <w:ind w:left="0" w:leftChars="0"/>
    </w:pPr>
    <w:rPr>
      <w:sz w:val="24"/>
      <w:szCs w:val="24"/>
    </w:rPr>
  </w:style>
  <w:style w:type="paragraph" w:customStyle="1" w:styleId="124">
    <w:name w:val="xl129"/>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5">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26">
    <w:name w:val="xl104"/>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7">
    <w:name w:val="列出段落3"/>
    <w:basedOn w:val="1"/>
    <w:qFormat/>
    <w:uiPriority w:val="0"/>
    <w:pPr>
      <w:ind w:firstLine="420" w:firstLineChars="200"/>
    </w:pPr>
    <w:rPr>
      <w:rFonts w:ascii="Calibri" w:hAnsi="Calibri" w:eastAsia="宋体" w:cs="Calibri"/>
      <w:sz w:val="21"/>
      <w:szCs w:val="21"/>
    </w:rPr>
  </w:style>
  <w:style w:type="paragraph" w:customStyle="1" w:styleId="128">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9">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0">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1">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2">
    <w:name w:val="纯文本 Char2"/>
    <w:basedOn w:val="35"/>
    <w:semiHidden/>
    <w:qFormat/>
    <w:uiPriority w:val="99"/>
    <w:rPr>
      <w:rFonts w:ascii="宋体" w:hAnsi="Courier New" w:eastAsia="宋体" w:cs="Courier New"/>
      <w:sz w:val="21"/>
      <w:szCs w:val="21"/>
    </w:rPr>
  </w:style>
  <w:style w:type="paragraph" w:customStyle="1" w:styleId="133">
    <w:name w:val="Char Char Char Char Char Char Char Char Char Char"/>
    <w:basedOn w:val="10"/>
    <w:qFormat/>
    <w:uiPriority w:val="0"/>
    <w:rPr>
      <w:rFonts w:ascii="Tahoma" w:hAnsi="Tahoma" w:cs="Tahoma"/>
      <w:sz w:val="24"/>
      <w:szCs w:val="24"/>
    </w:rPr>
  </w:style>
  <w:style w:type="paragraph" w:customStyle="1" w:styleId="134">
    <w:name w:val="font1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5">
    <w:name w:val="font12"/>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36">
    <w:name w:val="xl125"/>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37">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38">
    <w:name w:val="xl120"/>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39">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0">
    <w:name w:val="xl12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1">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2">
    <w:name w:val="xl10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3">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4">
    <w:name w:val="样式 标题 2 + Times New Roman 四号 非加粗 段前: 5 磅 段后: 0 磅 行距: 固定值 20..."/>
    <w:basedOn w:val="4"/>
    <w:next w:val="145"/>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5">
    <w:name w:val="font14"/>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6">
    <w:name w:val="列出段落2"/>
    <w:basedOn w:val="1"/>
    <w:qFormat/>
    <w:uiPriority w:val="0"/>
    <w:pPr>
      <w:ind w:firstLine="420" w:firstLineChars="200"/>
    </w:pPr>
    <w:rPr>
      <w:rFonts w:ascii="Calibri" w:hAnsi="Calibri" w:eastAsia="宋体" w:cs="Calibri"/>
      <w:sz w:val="21"/>
      <w:szCs w:val="21"/>
    </w:rPr>
  </w:style>
  <w:style w:type="paragraph" w:customStyle="1" w:styleId="147">
    <w:name w:val="Char3"/>
    <w:basedOn w:val="1"/>
    <w:qFormat/>
    <w:uiPriority w:val="0"/>
    <w:rPr>
      <w:rFonts w:ascii="宋体" w:hAnsi="宋体" w:eastAsia="宋体" w:cs="宋体"/>
      <w:kern w:val="44"/>
      <w:sz w:val="21"/>
      <w:szCs w:val="21"/>
    </w:rPr>
  </w:style>
  <w:style w:type="paragraph" w:customStyle="1" w:styleId="148">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49">
    <w:name w:val="Char Char Char Char Char Char Char Char Char Char1"/>
    <w:basedOn w:val="10"/>
    <w:qFormat/>
    <w:uiPriority w:val="0"/>
    <w:rPr>
      <w:rFonts w:ascii="Tahoma" w:hAnsi="Tahoma" w:cs="Tahoma"/>
      <w:sz w:val="24"/>
      <w:szCs w:val="24"/>
    </w:rPr>
  </w:style>
  <w:style w:type="paragraph" w:customStyle="1" w:styleId="150">
    <w:name w:val="xl15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1">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2">
    <w:name w:val="font2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3">
    <w:name w:val="font29"/>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4">
    <w:name w:val="xl179"/>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5">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6">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57">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58">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59">
    <w:name w:val="xl12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0">
    <w:name w:val="font1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1">
    <w:name w:val="xl194"/>
    <w:basedOn w:val="1"/>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2">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3">
    <w:name w:val="font10"/>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4">
    <w:name w:val="font25"/>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5">
    <w:name w:val="xl9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66">
    <w:name w:val="xl38"/>
    <w:basedOn w:val="1"/>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67">
    <w:name w:val="xl12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8">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9">
    <w:name w:val="xl39"/>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0">
    <w:name w:val="xl7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1">
    <w:name w:val="font27"/>
    <w:basedOn w:val="1"/>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2">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3">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4">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5">
    <w:name w:val="xl45"/>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76">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77">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78">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79">
    <w:name w:val="样式 标题 3 + (中文) 黑体 小四 非加粗 段前: 7.8 磅 段后: 0 磅 行距: 固定值 20 磅"/>
    <w:basedOn w:val="5"/>
    <w:next w:val="135"/>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0">
    <w:name w:val="xl43"/>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1">
    <w:name w:val="样式1"/>
    <w:link w:val="307"/>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2">
    <w:name w:val="xl9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3">
    <w:name w:val="font31"/>
    <w:basedOn w:val="1"/>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4">
    <w:name w:val="xl11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5">
    <w:name w:val="Char1"/>
    <w:basedOn w:val="1"/>
    <w:qFormat/>
    <w:uiPriority w:val="0"/>
    <w:rPr>
      <w:rFonts w:ascii="宋体" w:hAnsi="宋体" w:eastAsia="宋体" w:cs="宋体"/>
      <w:kern w:val="44"/>
      <w:sz w:val="21"/>
      <w:szCs w:val="21"/>
    </w:rPr>
  </w:style>
  <w:style w:type="paragraph" w:customStyle="1" w:styleId="186">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87">
    <w:name w:val="xl116"/>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88">
    <w:name w:val="xl117"/>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89">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0">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1">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2">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3">
    <w:name w:val="xl34"/>
    <w:basedOn w:val="1"/>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4">
    <w:name w:val="xl20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5">
    <w:name w:val="列出段落11"/>
    <w:basedOn w:val="1"/>
    <w:qFormat/>
    <w:uiPriority w:val="0"/>
    <w:pPr>
      <w:ind w:firstLine="420" w:firstLineChars="200"/>
    </w:pPr>
    <w:rPr>
      <w:rFonts w:ascii="Calibri" w:hAnsi="Calibri" w:eastAsia="宋体" w:cs="Calibri"/>
      <w:sz w:val="21"/>
      <w:szCs w:val="21"/>
    </w:rPr>
  </w:style>
  <w:style w:type="paragraph" w:customStyle="1" w:styleId="196">
    <w:name w:val="Char Char Char Char Char Char Char Char Char Char3"/>
    <w:basedOn w:val="10"/>
    <w:qFormat/>
    <w:uiPriority w:val="0"/>
    <w:rPr>
      <w:rFonts w:ascii="Tahoma" w:hAnsi="Tahoma" w:cs="Tahoma"/>
      <w:sz w:val="24"/>
      <w:szCs w:val="24"/>
    </w:rPr>
  </w:style>
  <w:style w:type="paragraph" w:customStyle="1" w:styleId="197">
    <w:name w:val="xl7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98">
    <w:name w:val="Char2"/>
    <w:basedOn w:val="1"/>
    <w:qFormat/>
    <w:uiPriority w:val="0"/>
    <w:rPr>
      <w:rFonts w:ascii="宋体" w:hAnsi="宋体" w:eastAsia="宋体" w:cs="宋体"/>
      <w:kern w:val="44"/>
      <w:sz w:val="21"/>
      <w:szCs w:val="21"/>
    </w:rPr>
  </w:style>
  <w:style w:type="paragraph" w:customStyle="1" w:styleId="199">
    <w:name w:val="xl36"/>
    <w:basedOn w:val="1"/>
    <w:qFormat/>
    <w:uiPriority w:val="0"/>
    <w:pPr>
      <w:widowControl/>
      <w:spacing w:before="100" w:beforeAutospacing="1" w:after="100" w:afterAutospacing="1"/>
      <w:jc w:val="center"/>
    </w:pPr>
    <w:rPr>
      <w:rFonts w:ascii="宋体" w:hAnsi="宋体" w:eastAsia="宋体" w:cs="宋体"/>
      <w:kern w:val="0"/>
    </w:rPr>
  </w:style>
  <w:style w:type="paragraph" w:customStyle="1" w:styleId="200">
    <w:name w:val="xl127"/>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1">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2">
    <w:name w:val="xl9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3">
    <w:name w:val="xl9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4">
    <w:name w:val="xl7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5">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6">
    <w:name w:val="xl227"/>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07">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08">
    <w:name w:val="xl10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9">
    <w:name w:val="xl128"/>
    <w:basedOn w:val="1"/>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0">
    <w:name w:val="xl13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1">
    <w:name w:val="font24"/>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2">
    <w:name w:val="xl225"/>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3">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4">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5">
    <w:name w:val="xl1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6">
    <w:name w:val="xl11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7">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18">
    <w:name w:val="xl119"/>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19">
    <w:name w:val="xl10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0">
    <w:name w:val="xl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1">
    <w:name w:val="font8"/>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2">
    <w:name w:val="Char"/>
    <w:basedOn w:val="1"/>
    <w:qFormat/>
    <w:uiPriority w:val="0"/>
    <w:rPr>
      <w:rFonts w:ascii="宋体" w:hAnsi="宋体" w:eastAsia="宋体" w:cs="宋体"/>
      <w:kern w:val="44"/>
      <w:sz w:val="21"/>
      <w:szCs w:val="21"/>
    </w:rPr>
  </w:style>
  <w:style w:type="paragraph" w:customStyle="1" w:styleId="223">
    <w:name w:val="xl181"/>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4">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5">
    <w:name w:val="font11"/>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6">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7">
    <w:name w:val="font30"/>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29">
    <w:name w:val="Char Char Char Char Char Char Char4"/>
    <w:basedOn w:val="1"/>
    <w:qFormat/>
    <w:uiPriority w:val="0"/>
    <w:pPr>
      <w:spacing w:beforeLines="50" w:afterLines="50"/>
    </w:pPr>
    <w:rPr>
      <w:rFonts w:ascii="Tahoma" w:hAnsi="Tahoma" w:eastAsia="宋体" w:cs="Tahoma"/>
      <w:kern w:val="44"/>
    </w:rPr>
  </w:style>
  <w:style w:type="paragraph" w:customStyle="1" w:styleId="230">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1">
    <w:name w:val="xl112"/>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2">
    <w:name w:val="无间隔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3">
    <w:name w:val="xl189"/>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4">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5">
    <w:name w:val="Char Char Char Char Char Char Char Char Char Char2"/>
    <w:basedOn w:val="10"/>
    <w:qFormat/>
    <w:uiPriority w:val="0"/>
    <w:rPr>
      <w:rFonts w:ascii="Tahoma" w:hAnsi="Tahoma" w:cs="Tahoma"/>
      <w:sz w:val="24"/>
      <w:szCs w:val="24"/>
    </w:rPr>
  </w:style>
  <w:style w:type="paragraph" w:customStyle="1" w:styleId="236">
    <w:name w:val="xl2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37">
    <w:name w:val="xl4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8">
    <w:name w:val="xl195"/>
    <w:basedOn w:val="1"/>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39">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0">
    <w:name w:val="font28"/>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1">
    <w:name w:val="xl8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2">
    <w:name w:val="xl10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3">
    <w:name w:val="xl2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4">
    <w:name w:val="xl186"/>
    <w:basedOn w:val="1"/>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5">
    <w:name w:val="xl2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46">
    <w:name w:val="Char Char Char Char"/>
    <w:basedOn w:val="10"/>
    <w:qFormat/>
    <w:uiPriority w:val="0"/>
    <w:rPr>
      <w:rFonts w:ascii="Tahoma" w:hAnsi="Tahoma" w:cs="Tahoma"/>
      <w:sz w:val="24"/>
      <w:szCs w:val="24"/>
    </w:rPr>
  </w:style>
  <w:style w:type="paragraph" w:customStyle="1" w:styleId="247">
    <w:name w:val="xl40"/>
    <w:basedOn w:val="1"/>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48">
    <w:name w:val="xl2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49">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0">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1">
    <w:name w:val="font2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2">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3">
    <w:name w:val="font15"/>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4">
    <w:name w:val="xl182"/>
    <w:basedOn w:val="1"/>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5">
    <w:name w:val="xl11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6">
    <w:name w:val="xl2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5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58">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9">
    <w:name w:val="xl11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0">
    <w:name w:val="xl21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1">
    <w:name w:val="xl184"/>
    <w:basedOn w:val="1"/>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2">
    <w:name w:val="xl118"/>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3">
    <w:name w:val="xl10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4">
    <w:name w:val="xl133"/>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5">
    <w:name w:val="xl2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6">
    <w:name w:val="xl106"/>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7">
    <w:name w:val="xl7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8">
    <w:name w:val="font20"/>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69">
    <w:name w:val="xl96"/>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0">
    <w:name w:val="样式2"/>
    <w:qFormat/>
    <w:uiPriority w:val="0"/>
    <w:rPr>
      <w:rFonts w:ascii="Times New Roman" w:hAnsi="Times New Roman" w:eastAsia="仿宋_GB2312" w:cs="Times New Roman"/>
      <w:kern w:val="2"/>
      <w:sz w:val="18"/>
      <w:szCs w:val="18"/>
      <w:lang w:val="en-US" w:eastAsia="zh-CN" w:bidi="ar-SA"/>
    </w:rPr>
  </w:style>
  <w:style w:type="paragraph" w:customStyle="1" w:styleId="271">
    <w:name w:val="xl226"/>
    <w:basedOn w:val="1"/>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2">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3">
    <w:name w:val="正文1"/>
    <w:basedOn w:val="1"/>
    <w:qFormat/>
    <w:uiPriority w:val="0"/>
    <w:pPr>
      <w:adjustRightInd w:val="0"/>
      <w:spacing w:line="360" w:lineRule="atLeast"/>
      <w:jc w:val="left"/>
      <w:textAlignment w:val="baseline"/>
    </w:pPr>
    <w:rPr>
      <w:rFonts w:ascii="宋体" w:hAnsi="宋体" w:eastAsia="楷体_GB2312" w:cs="宋体"/>
      <w:kern w:val="0"/>
    </w:rPr>
  </w:style>
  <w:style w:type="paragraph" w:customStyle="1" w:styleId="27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5">
    <w:name w:val="xl46"/>
    <w:basedOn w:val="1"/>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76">
    <w:name w:val="xl121"/>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7">
    <w:name w:val="xl20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78">
    <w:name w:val="xl35"/>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27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0">
    <w:name w:val="Char Char Char"/>
    <w:basedOn w:val="10"/>
    <w:qFormat/>
    <w:uiPriority w:val="0"/>
    <w:pPr>
      <w:adjustRightInd w:val="0"/>
      <w:spacing w:line="436" w:lineRule="exact"/>
      <w:ind w:left="357"/>
      <w:jc w:val="left"/>
      <w:outlineLvl w:val="3"/>
    </w:pPr>
    <w:rPr>
      <w:rFonts w:ascii="Tahoma" w:hAnsi="Tahoma" w:cs="Tahoma"/>
      <w:b/>
      <w:bCs/>
      <w:sz w:val="44"/>
      <w:szCs w:val="44"/>
    </w:rPr>
  </w:style>
  <w:style w:type="paragraph" w:customStyle="1" w:styleId="281">
    <w:name w:val="xl41"/>
    <w:basedOn w:val="1"/>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2">
    <w:name w:val="font19"/>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3">
    <w:name w:val="xl11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4">
    <w:name w:val="xl21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5">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86">
    <w:name w:val="xl8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87">
    <w:name w:val="font1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88">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89">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0">
    <w:name w:val="xl190"/>
    <w:basedOn w:val="1"/>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1">
    <w:name w:val="Char Char Char Char1"/>
    <w:basedOn w:val="10"/>
    <w:qFormat/>
    <w:uiPriority w:val="0"/>
    <w:rPr>
      <w:rFonts w:ascii="Tahoma" w:hAnsi="Tahoma" w:cs="Tahoma"/>
      <w:sz w:val="24"/>
      <w:szCs w:val="24"/>
    </w:rPr>
  </w:style>
  <w:style w:type="paragraph" w:customStyle="1" w:styleId="292">
    <w:name w:val="xl7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3">
    <w:name w:val="xl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4">
    <w:name w:val="xl224"/>
    <w:basedOn w:val="1"/>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5">
    <w:name w:val="xl6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96">
    <w:name w:val="xl19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97">
    <w:name w:val="font21"/>
    <w:basedOn w:val="1"/>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298">
    <w:name w:val="xl2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99">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0">
    <w:name w:val="xl13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1">
    <w:name w:val="Char Char Char Char Char Char Char Char Char Char4"/>
    <w:basedOn w:val="10"/>
    <w:qFormat/>
    <w:uiPriority w:val="0"/>
    <w:rPr>
      <w:rFonts w:ascii="Tahoma" w:hAnsi="Tahoma" w:cs="Tahoma"/>
      <w:sz w:val="24"/>
      <w:szCs w:val="24"/>
    </w:rPr>
  </w:style>
  <w:style w:type="paragraph" w:customStyle="1" w:styleId="302">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3">
    <w:name w:val="正文文本 3 字符"/>
    <w:basedOn w:val="35"/>
    <w:link w:val="13"/>
    <w:semiHidden/>
    <w:qFormat/>
    <w:uiPriority w:val="99"/>
    <w:rPr>
      <w:sz w:val="16"/>
      <w:szCs w:val="16"/>
    </w:rPr>
  </w:style>
  <w:style w:type="paragraph" w:customStyle="1" w:styleId="304">
    <w:name w:val="样式8"/>
    <w:basedOn w:val="270"/>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5">
    <w:name w:val="标题 字符"/>
    <w:basedOn w:val="35"/>
    <w:link w:val="31"/>
    <w:qFormat/>
    <w:uiPriority w:val="0"/>
    <w:rPr>
      <w:rFonts w:ascii="Times New Roman" w:hAnsi="Times New Roman" w:eastAsia="仿宋_GB2312" w:cs="Times New Roman"/>
      <w:bCs/>
      <w:sz w:val="28"/>
      <w:szCs w:val="32"/>
    </w:rPr>
  </w:style>
  <w:style w:type="paragraph" w:customStyle="1" w:styleId="306">
    <w:name w:val="样式 标题 3 + 仿宋_GB2312 小四 段前: 0 磅 段后: 0 磅"/>
    <w:basedOn w:val="5"/>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07">
    <w:name w:val="样式1 Char"/>
    <w:basedOn w:val="69"/>
    <w:link w:val="181"/>
    <w:qFormat/>
    <w:uiPriority w:val="0"/>
    <w:rPr>
      <w:rFonts w:ascii="Times New Roman" w:hAnsi="Times New Roman" w:eastAsia="仿宋_GB2312" w:cs="Times New Roman"/>
      <w:color w:val="000000"/>
      <w:sz w:val="18"/>
      <w:szCs w:val="18"/>
    </w:rPr>
  </w:style>
  <w:style w:type="character" w:customStyle="1" w:styleId="308">
    <w:name w:val="正文文本首行缩进 2 字符"/>
    <w:basedOn w:val="74"/>
    <w:link w:val="33"/>
    <w:qFormat/>
    <w:uiPriority w:val="0"/>
    <w:rPr>
      <w:rFonts w:ascii="Times New Roman" w:hAnsi="Times New Roman" w:eastAsia="宋体" w:cs="Times New Roman"/>
      <w:kern w:val="44"/>
      <w:sz w:val="21"/>
      <w:szCs w:val="22"/>
    </w:rPr>
  </w:style>
  <w:style w:type="paragraph" w:customStyle="1" w:styleId="309">
    <w:name w:val="表格文字 Char"/>
    <w:basedOn w:val="1"/>
    <w:qFormat/>
    <w:uiPriority w:val="0"/>
    <w:pPr>
      <w:keepNext/>
      <w:keepLines/>
      <w:widowControl/>
      <w:adjustRightInd w:val="0"/>
      <w:snapToGrid w:val="0"/>
      <w:spacing w:line="240" w:lineRule="exact"/>
      <w:jc w:val="center"/>
    </w:pPr>
    <w:rPr>
      <w:rFonts w:ascii="宋体" w:hAnsi="Arial"/>
      <w:snapToGrid w:val="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6A223A-A621-427B-8A0A-026AB51276BC}">
  <ds:schemaRefs/>
</ds:datastoreItem>
</file>

<file path=docProps/app.xml><?xml version="1.0" encoding="utf-8"?>
<Properties xmlns="http://schemas.openxmlformats.org/officeDocument/2006/extended-properties" xmlns:vt="http://schemas.openxmlformats.org/officeDocument/2006/docPropsVTypes">
  <Template>Normal.dotm</Template>
  <Company>个人</Company>
  <Pages>36</Pages>
  <Words>16208</Words>
  <Characters>17506</Characters>
  <Lines>92</Lines>
  <Paragraphs>26</Paragraphs>
  <TotalTime>4</TotalTime>
  <ScaleCrop>false</ScaleCrop>
  <LinksUpToDate>false</LinksUpToDate>
  <CharactersWithSpaces>18922</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2018-03-23T02:20:00Z</dcterms:created>
  <dc:creator>魏宏博</dc:creator>
  <cp:lastModifiedBy>Administrator</cp:lastModifiedBy>
  <cp:lastPrinted>2020-05-07T01:04:00Z</cp:lastPrinted>
  <dcterms:modified xsi:type="dcterms:W3CDTF">2023-02-24T09:11:49Z</dcterms:modified>
  <dc:title>物资招标标准文本</dc:title>
  <cp:revision>371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D4340E35EEBC42378C3E01B19B77AAB1</vt:lpwstr>
  </property>
</Properties>
</file>