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wordWrap w:val="0"/>
        <w:spacing w:line="360" w:lineRule="auto"/>
        <w:jc w:val="right"/>
        <w:rPr>
          <w:rFonts w:hint="default" w:cs="Times New Roman" w:asciiTheme="majorEastAsia" w:hAnsiTheme="majorEastAsia" w:eastAsiaTheme="majorEastAsia"/>
          <w:b/>
          <w:color w:val="auto"/>
          <w:kern w:val="2"/>
          <w:sz w:val="28"/>
          <w:szCs w:val="28"/>
          <w:u w:val="single"/>
          <w:lang w:val="en-US"/>
        </w:rPr>
      </w:pPr>
      <w:r>
        <w:rPr>
          <w:rFonts w:hint="eastAsia" w:cs="Times New Roman" w:asciiTheme="majorEastAsia" w:hAnsiTheme="majorEastAsia" w:eastAsiaTheme="majorEastAsia"/>
          <w:b/>
          <w:color w:val="auto"/>
          <w:kern w:val="2"/>
          <w:sz w:val="28"/>
          <w:szCs w:val="28"/>
        </w:rPr>
        <w:t>招标编号：</w:t>
      </w:r>
      <w:bookmarkStart w:id="0" w:name="OLE_LINK8"/>
      <w:r>
        <w:rPr>
          <w:rFonts w:hint="eastAsia" w:cs="Times New Roman" w:asciiTheme="majorEastAsia" w:hAnsiTheme="majorEastAsia" w:eastAsiaTheme="majorEastAsia"/>
          <w:b/>
          <w:color w:val="auto"/>
          <w:kern w:val="2"/>
          <w:sz w:val="28"/>
          <w:szCs w:val="28"/>
          <w:u w:val="single"/>
          <w:lang w:val="en-US" w:eastAsia="zh-CN"/>
        </w:rPr>
        <w:t xml:space="preserve"> YHGS</w:t>
      </w:r>
      <w:r>
        <w:rPr>
          <w:rFonts w:hint="eastAsia" w:cs="宋体"/>
          <w:b/>
          <w:color w:val="000000"/>
          <w:kern w:val="2"/>
          <w:sz w:val="28"/>
          <w:szCs w:val="28"/>
          <w:highlight w:val="none"/>
          <w:u w:val="single"/>
          <w:lang w:val="en-US" w:eastAsia="zh-CN"/>
        </w:rPr>
        <w:t>-FGZB-藁城滹沱河项目-2023001</w:t>
      </w:r>
      <w:r>
        <w:rPr>
          <w:rFonts w:hint="eastAsia" w:ascii="宋体" w:hAnsi="宋体" w:eastAsia="宋体" w:cs="宋体"/>
          <w:b/>
          <w:bCs/>
          <w:sz w:val="28"/>
          <w:szCs w:val="28"/>
          <w:highlight w:val="none"/>
          <w:u w:val="single"/>
        </w:rPr>
        <w:t>号</w:t>
      </w:r>
      <w:bookmarkEnd w:id="0"/>
    </w:p>
    <w:p>
      <w:pPr>
        <w:pStyle w:val="31"/>
        <w:tabs>
          <w:tab w:val="left" w:pos="8100"/>
        </w:tabs>
        <w:spacing w:line="360" w:lineRule="auto"/>
        <w:jc w:val="center"/>
        <w:rPr>
          <w:rFonts w:cs="Times New Roman" w:asciiTheme="majorEastAsia" w:hAnsiTheme="majorEastAsia" w:eastAsiaTheme="majorEastAsia"/>
          <w:b/>
          <w:color w:val="auto"/>
          <w:kern w:val="2"/>
          <w:sz w:val="48"/>
          <w:szCs w:val="48"/>
        </w:rPr>
      </w:pPr>
      <w:r>
        <w:rPr>
          <w:rFonts w:hint="eastAsia" w:cs="Times New Roman" w:asciiTheme="majorEastAsia" w:hAnsiTheme="majorEastAsia" w:eastAsiaTheme="majorEastAsia"/>
          <w:b/>
          <w:color w:val="auto"/>
          <w:kern w:val="2"/>
          <w:sz w:val="48"/>
          <w:szCs w:val="48"/>
        </w:rPr>
        <w:t>中建路桥集团高速公路养护有限公司</w:t>
      </w:r>
    </w:p>
    <w:p>
      <w:pPr>
        <w:pStyle w:val="31"/>
        <w:tabs>
          <w:tab w:val="left" w:pos="8100"/>
        </w:tabs>
        <w:spacing w:line="360" w:lineRule="auto"/>
        <w:ind w:left="1920" w:leftChars="800" w:firstLine="0" w:firstLineChars="0"/>
        <w:jc w:val="both"/>
        <w:rPr>
          <w:rFonts w:hint="eastAsia" w:cs="Times New Roman" w:asciiTheme="majorEastAsia" w:hAnsiTheme="majorEastAsia" w:eastAsiaTheme="majorEastAsia"/>
          <w:b/>
          <w:color w:val="auto"/>
          <w:kern w:val="2"/>
          <w:sz w:val="48"/>
          <w:szCs w:val="48"/>
        </w:rPr>
      </w:pPr>
      <w:r>
        <w:rPr>
          <w:rFonts w:hint="eastAsia" w:cs="Times New Roman" w:asciiTheme="majorEastAsia" w:hAnsiTheme="majorEastAsia" w:eastAsiaTheme="majorEastAsia"/>
          <w:b/>
          <w:color w:val="auto"/>
          <w:kern w:val="2"/>
          <w:sz w:val="48"/>
          <w:szCs w:val="48"/>
        </w:rPr>
        <w:t>石家庄市藁城分公司</w:t>
      </w:r>
    </w:p>
    <w:p>
      <w:pPr>
        <w:pStyle w:val="31"/>
        <w:tabs>
          <w:tab w:val="left" w:pos="8100"/>
        </w:tabs>
        <w:spacing w:line="360" w:lineRule="auto"/>
        <w:ind w:left="1564" w:leftChars="200" w:hanging="1084" w:hangingChars="300"/>
        <w:jc w:val="center"/>
        <w:rPr>
          <w:rFonts w:hint="eastAsia" w:cs="Times New Roman" w:asciiTheme="majorEastAsia" w:hAnsiTheme="majorEastAsia" w:eastAsiaTheme="majorEastAsia"/>
          <w:b/>
          <w:color w:val="auto"/>
          <w:kern w:val="2"/>
          <w:sz w:val="36"/>
          <w:szCs w:val="36"/>
          <w:lang w:val="en-US" w:eastAsia="zh-CN"/>
        </w:rPr>
      </w:pPr>
      <w:r>
        <w:rPr>
          <w:rFonts w:hint="eastAsia" w:cs="Times New Roman" w:asciiTheme="majorEastAsia" w:hAnsiTheme="majorEastAsia" w:eastAsiaTheme="majorEastAsia"/>
          <w:b/>
          <w:color w:val="auto"/>
          <w:kern w:val="2"/>
          <w:sz w:val="36"/>
          <w:szCs w:val="36"/>
          <w:lang w:val="en-US" w:eastAsia="zh-CN"/>
        </w:rPr>
        <w:t>2023年滹沱河防洪整治工程</w:t>
      </w:r>
    </w:p>
    <w:p>
      <w:pPr>
        <w:pStyle w:val="31"/>
        <w:tabs>
          <w:tab w:val="left" w:pos="8100"/>
        </w:tabs>
        <w:spacing w:line="360" w:lineRule="auto"/>
        <w:ind w:left="1564" w:leftChars="200" w:hanging="1084" w:hangingChars="300"/>
        <w:jc w:val="center"/>
        <w:rPr>
          <w:rFonts w:cs="Times New Roman" w:asciiTheme="majorEastAsia" w:hAnsiTheme="majorEastAsia" w:eastAsiaTheme="majorEastAsia"/>
          <w:b/>
          <w:color w:val="auto"/>
          <w:kern w:val="2"/>
          <w:sz w:val="36"/>
          <w:szCs w:val="36"/>
        </w:rPr>
      </w:pPr>
      <w:r>
        <w:rPr>
          <w:rFonts w:hint="eastAsia" w:cs="Times New Roman" w:asciiTheme="majorEastAsia" w:hAnsiTheme="majorEastAsia" w:eastAsiaTheme="majorEastAsia"/>
          <w:b/>
          <w:color w:val="auto"/>
          <w:kern w:val="2"/>
          <w:sz w:val="36"/>
          <w:szCs w:val="36"/>
          <w:u w:val="single"/>
          <w:lang w:val="en-US" w:eastAsia="zh-CN"/>
        </w:rPr>
        <w:t>水稳级配成品料运输</w:t>
      </w:r>
      <w:r>
        <w:rPr>
          <w:rFonts w:hint="eastAsia" w:cs="Times New Roman" w:asciiTheme="majorEastAsia" w:hAnsiTheme="majorEastAsia" w:eastAsiaTheme="majorEastAsia"/>
          <w:b/>
          <w:color w:val="auto"/>
          <w:kern w:val="2"/>
          <w:sz w:val="36"/>
          <w:szCs w:val="36"/>
        </w:rPr>
        <w:t>招标文件</w:t>
      </w:r>
    </w:p>
    <w:p>
      <w:pPr>
        <w:pStyle w:val="31"/>
        <w:tabs>
          <w:tab w:val="left" w:pos="8100"/>
        </w:tabs>
        <w:spacing w:line="360" w:lineRule="auto"/>
        <w:jc w:val="both"/>
        <w:rPr>
          <w:rFonts w:cs="Times New Roman" w:asciiTheme="majorEastAsia" w:hAnsiTheme="majorEastAsia" w:eastAsiaTheme="majorEastAsia"/>
          <w:b/>
          <w:color w:val="auto"/>
          <w:kern w:val="2"/>
          <w:sz w:val="36"/>
          <w:szCs w:val="36"/>
        </w:rPr>
      </w:pPr>
      <w:bookmarkStart w:id="1" w:name="_Toc17532"/>
    </w:p>
    <w:p>
      <w:pPr>
        <w:pStyle w:val="31"/>
        <w:tabs>
          <w:tab w:val="left" w:pos="8100"/>
        </w:tabs>
        <w:spacing w:line="360" w:lineRule="auto"/>
        <w:jc w:val="both"/>
        <w:rPr>
          <w:rFonts w:cs="Times New Roman" w:asciiTheme="majorEastAsia" w:hAnsiTheme="majorEastAsia" w:eastAsiaTheme="majorEastAsia"/>
          <w:b/>
          <w:color w:val="auto"/>
          <w:kern w:val="2"/>
          <w:sz w:val="36"/>
          <w:szCs w:val="36"/>
        </w:rPr>
      </w:pPr>
    </w:p>
    <w:p>
      <w:pPr>
        <w:pStyle w:val="31"/>
        <w:tabs>
          <w:tab w:val="left" w:pos="8100"/>
        </w:tabs>
        <w:spacing w:line="360" w:lineRule="auto"/>
        <w:jc w:val="both"/>
        <w:rPr>
          <w:rFonts w:cs="Times New Roman" w:asciiTheme="majorEastAsia" w:hAnsiTheme="majorEastAsia" w:eastAsiaTheme="majorEastAsia"/>
          <w:b/>
          <w:color w:val="auto"/>
          <w:kern w:val="2"/>
          <w:sz w:val="28"/>
          <w:szCs w:val="28"/>
        </w:rPr>
      </w:pPr>
      <w:r>
        <w:rPr>
          <w:rFonts w:hint="eastAsia" w:cs="Times New Roman" w:asciiTheme="majorEastAsia" w:hAnsiTheme="majorEastAsia" w:eastAsiaTheme="majorEastAsia"/>
          <w:b/>
          <w:color w:val="auto"/>
          <w:kern w:val="2"/>
          <w:sz w:val="28"/>
          <w:szCs w:val="28"/>
        </w:rPr>
        <w:t xml:space="preserve">    </w:t>
      </w:r>
      <w:r>
        <w:rPr>
          <w:rFonts w:cs="Times New Roman" w:asciiTheme="majorEastAsia" w:hAnsiTheme="majorEastAsia" w:eastAsiaTheme="majorEastAsia"/>
          <w:b/>
          <w:color w:val="auto"/>
          <w:kern w:val="2"/>
          <w:sz w:val="28"/>
          <w:szCs w:val="28"/>
        </w:rPr>
        <w:t xml:space="preserve">    </w:t>
      </w:r>
      <w:r>
        <w:rPr>
          <w:rFonts w:hint="eastAsia" w:cs="Times New Roman" w:asciiTheme="majorEastAsia" w:hAnsiTheme="majorEastAsia" w:eastAsiaTheme="majorEastAsia"/>
          <w:b/>
          <w:color w:val="auto"/>
          <w:kern w:val="2"/>
          <w:sz w:val="28"/>
          <w:szCs w:val="28"/>
        </w:rPr>
        <w:t xml:space="preserve">  招标人：</w:t>
      </w:r>
      <w:r>
        <w:rPr>
          <w:rFonts w:hint="eastAsia" w:cs="Times New Roman" w:asciiTheme="majorEastAsia" w:hAnsiTheme="majorEastAsia" w:eastAsiaTheme="majorEastAsia"/>
          <w:b/>
          <w:color w:val="auto"/>
          <w:kern w:val="2"/>
          <w:sz w:val="28"/>
          <w:szCs w:val="28"/>
          <w:u w:val="single"/>
        </w:rPr>
        <w:t>中建路桥集团高速公路养护有限公司</w:t>
      </w:r>
    </w:p>
    <w:p>
      <w:pPr>
        <w:pStyle w:val="31"/>
        <w:tabs>
          <w:tab w:val="left" w:pos="8100"/>
        </w:tabs>
        <w:spacing w:line="360" w:lineRule="auto"/>
        <w:jc w:val="center"/>
        <w:rPr>
          <w:rFonts w:cs="Times New Roman" w:asciiTheme="majorEastAsia" w:hAnsiTheme="majorEastAsia" w:eastAsiaTheme="majorEastAsia"/>
          <w:b/>
          <w:color w:val="auto"/>
          <w:kern w:val="2"/>
          <w:sz w:val="28"/>
          <w:szCs w:val="28"/>
          <w:highlight w:val="green"/>
        </w:rPr>
      </w:pPr>
      <w:r>
        <w:rPr>
          <w:rFonts w:hint="eastAsia" w:cs="Times New Roman" w:asciiTheme="majorEastAsia" w:hAnsiTheme="majorEastAsia" w:eastAsiaTheme="majorEastAsia"/>
          <w:b/>
          <w:color w:val="auto"/>
          <w:kern w:val="2"/>
          <w:sz w:val="28"/>
          <w:szCs w:val="28"/>
        </w:rPr>
        <w:t>招标日期：</w:t>
      </w:r>
      <w:r>
        <w:rPr>
          <w:rFonts w:hint="eastAsia" w:cs="Times New Roman" w:asciiTheme="majorEastAsia" w:hAnsiTheme="majorEastAsia" w:eastAsiaTheme="majorEastAsia"/>
          <w:b/>
          <w:color w:val="auto"/>
          <w:kern w:val="2"/>
          <w:sz w:val="28"/>
          <w:szCs w:val="28"/>
          <w:u w:val="single"/>
        </w:rPr>
        <w:t xml:space="preserve"> </w:t>
      </w:r>
      <w:r>
        <w:rPr>
          <w:rFonts w:cs="Times New Roman" w:asciiTheme="majorEastAsia" w:hAnsiTheme="majorEastAsia" w:eastAsiaTheme="majorEastAsia"/>
          <w:b/>
          <w:color w:val="auto"/>
          <w:kern w:val="2"/>
          <w:sz w:val="28"/>
          <w:szCs w:val="28"/>
          <w:u w:val="single"/>
        </w:rPr>
        <w:t>202</w:t>
      </w:r>
      <w:r>
        <w:rPr>
          <w:rFonts w:hint="eastAsia" w:cs="Times New Roman" w:asciiTheme="majorEastAsia" w:hAnsiTheme="majorEastAsia" w:eastAsiaTheme="majorEastAsia"/>
          <w:b/>
          <w:color w:val="auto"/>
          <w:kern w:val="2"/>
          <w:sz w:val="28"/>
          <w:szCs w:val="28"/>
          <w:u w:val="single"/>
          <w:lang w:val="en-US" w:eastAsia="zh-CN"/>
        </w:rPr>
        <w:t>3</w:t>
      </w:r>
      <w:r>
        <w:rPr>
          <w:rFonts w:hint="eastAsia" w:cs="Times New Roman" w:asciiTheme="majorEastAsia" w:hAnsiTheme="majorEastAsia" w:eastAsiaTheme="majorEastAsia"/>
          <w:b/>
          <w:color w:val="auto"/>
          <w:kern w:val="2"/>
          <w:sz w:val="28"/>
          <w:szCs w:val="28"/>
          <w:u w:val="single"/>
        </w:rPr>
        <w:t xml:space="preserve"> </w:t>
      </w:r>
      <w:r>
        <w:rPr>
          <w:rFonts w:hint="eastAsia" w:cs="Times New Roman" w:asciiTheme="majorEastAsia" w:hAnsiTheme="majorEastAsia" w:eastAsiaTheme="majorEastAsia"/>
          <w:b/>
          <w:color w:val="auto"/>
          <w:kern w:val="2"/>
          <w:sz w:val="28"/>
          <w:szCs w:val="28"/>
        </w:rPr>
        <w:t>年</w:t>
      </w:r>
      <w:r>
        <w:rPr>
          <w:rFonts w:cs="Times New Roman" w:asciiTheme="majorEastAsia" w:hAnsiTheme="majorEastAsia" w:eastAsiaTheme="majorEastAsia"/>
          <w:b/>
          <w:color w:val="auto"/>
          <w:kern w:val="2"/>
          <w:sz w:val="28"/>
          <w:szCs w:val="28"/>
          <w:u w:val="single"/>
        </w:rPr>
        <w:t xml:space="preserve"> </w:t>
      </w:r>
      <w:r>
        <w:rPr>
          <w:rFonts w:hint="eastAsia" w:cs="Times New Roman" w:asciiTheme="majorEastAsia" w:hAnsiTheme="majorEastAsia" w:eastAsiaTheme="majorEastAsia"/>
          <w:b/>
          <w:color w:val="auto"/>
          <w:kern w:val="2"/>
          <w:sz w:val="28"/>
          <w:szCs w:val="28"/>
          <w:u w:val="single"/>
          <w:lang w:val="en-US" w:eastAsia="zh-CN"/>
        </w:rPr>
        <w:t xml:space="preserve"> 3</w:t>
      </w:r>
      <w:r>
        <w:rPr>
          <w:rFonts w:cs="Times New Roman" w:asciiTheme="majorEastAsia" w:hAnsiTheme="majorEastAsia" w:eastAsiaTheme="majorEastAsia"/>
          <w:b/>
          <w:color w:val="auto"/>
          <w:kern w:val="2"/>
          <w:sz w:val="28"/>
          <w:szCs w:val="28"/>
          <w:u w:val="single"/>
        </w:rPr>
        <w:t xml:space="preserve"> </w:t>
      </w:r>
      <w:r>
        <w:rPr>
          <w:rFonts w:hint="eastAsia" w:cs="Times New Roman" w:asciiTheme="majorEastAsia" w:hAnsiTheme="majorEastAsia" w:eastAsiaTheme="majorEastAsia"/>
          <w:b/>
          <w:color w:val="auto"/>
          <w:kern w:val="2"/>
          <w:sz w:val="28"/>
          <w:szCs w:val="28"/>
        </w:rPr>
        <w:t>月</w:t>
      </w:r>
      <w:r>
        <w:rPr>
          <w:rFonts w:cs="Times New Roman" w:asciiTheme="majorEastAsia" w:hAnsiTheme="majorEastAsia" w:eastAsiaTheme="majorEastAsia"/>
          <w:b/>
          <w:color w:val="auto"/>
          <w:kern w:val="2"/>
          <w:sz w:val="28"/>
          <w:szCs w:val="28"/>
          <w:u w:val="single"/>
        </w:rPr>
        <w:t xml:space="preserve"> </w:t>
      </w:r>
      <w:r>
        <w:rPr>
          <w:rFonts w:hint="eastAsia" w:cs="Times New Roman" w:asciiTheme="majorEastAsia" w:hAnsiTheme="majorEastAsia" w:eastAsiaTheme="majorEastAsia"/>
          <w:b/>
          <w:color w:val="auto"/>
          <w:kern w:val="2"/>
          <w:sz w:val="28"/>
          <w:szCs w:val="28"/>
          <w:u w:val="single"/>
          <w:lang w:val="en-US" w:eastAsia="zh-CN"/>
        </w:rPr>
        <w:t>28</w:t>
      </w:r>
      <w:r>
        <w:rPr>
          <w:rFonts w:hint="eastAsia" w:cs="Times New Roman" w:asciiTheme="majorEastAsia" w:hAnsiTheme="majorEastAsia" w:eastAsiaTheme="majorEastAsia"/>
          <w:b/>
          <w:color w:val="auto"/>
          <w:kern w:val="2"/>
          <w:sz w:val="28"/>
          <w:szCs w:val="28"/>
          <w:u w:val="single"/>
        </w:rPr>
        <w:t xml:space="preserve"> </w:t>
      </w:r>
      <w:r>
        <w:rPr>
          <w:rFonts w:cs="Times New Roman" w:asciiTheme="majorEastAsia" w:hAnsiTheme="majorEastAsia" w:eastAsiaTheme="majorEastAsia"/>
          <w:b/>
          <w:color w:val="auto"/>
          <w:kern w:val="2"/>
          <w:sz w:val="28"/>
          <w:szCs w:val="28"/>
          <w:u w:val="single"/>
        </w:rPr>
        <w:t xml:space="preserve"> </w:t>
      </w:r>
      <w:r>
        <w:rPr>
          <w:rFonts w:hint="eastAsia" w:cs="Times New Roman" w:asciiTheme="majorEastAsia" w:hAnsiTheme="majorEastAsia" w:eastAsiaTheme="majorEastAsia"/>
          <w:b/>
          <w:color w:val="auto"/>
          <w:kern w:val="2"/>
          <w:sz w:val="28"/>
          <w:szCs w:val="28"/>
        </w:rPr>
        <w:t>日</w:t>
      </w: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outlineLvl w:val="0"/>
        <w:rPr>
          <w:rFonts w:cs="黑体" w:asciiTheme="majorEastAsia" w:hAnsiTheme="majorEastAsia" w:eastAsiaTheme="majorEastAsia"/>
          <w:color w:val="auto"/>
          <w:sz w:val="32"/>
          <w:szCs w:val="32"/>
        </w:rPr>
      </w:pPr>
    </w:p>
    <w:p>
      <w:pPr>
        <w:spacing w:line="400" w:lineRule="exact"/>
        <w:ind w:firstLine="420" w:firstLineChars="200"/>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本招标文件由招标公告及以下文件组成：</w:t>
      </w:r>
    </w:p>
    <w:p>
      <w:pPr>
        <w:spacing w:line="400" w:lineRule="exact"/>
        <w:ind w:firstLine="420" w:firstLineChars="200"/>
        <w:rPr>
          <w:rFonts w:ascii="仿宋_GB2312" w:eastAsia="仿宋_GB2312" w:hAnsiTheme="minorEastAsia"/>
          <w:color w:val="auto"/>
          <w:sz w:val="21"/>
          <w:szCs w:val="21"/>
        </w:rPr>
      </w:pPr>
      <w:r>
        <w:rPr>
          <w:rFonts w:hint="eastAsia" w:ascii="仿宋_GB2312" w:eastAsia="仿宋_GB2312" w:hAnsiTheme="minorEastAsia"/>
          <w:color w:val="auto"/>
          <w:sz w:val="21"/>
          <w:szCs w:val="21"/>
        </w:rPr>
        <w:t>第一部分 投标人须知</w:t>
      </w:r>
    </w:p>
    <w:p>
      <w:pPr>
        <w:spacing w:line="400" w:lineRule="exact"/>
        <w:ind w:firstLine="420" w:firstLineChars="200"/>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第二部分 技术标准和图纸</w:t>
      </w:r>
    </w:p>
    <w:p>
      <w:pPr>
        <w:spacing w:line="400" w:lineRule="exact"/>
        <w:ind w:firstLine="420" w:firstLineChars="200"/>
        <w:rPr>
          <w:rFonts w:ascii="仿宋_GB2312" w:eastAsia="仿宋_GB2312" w:hAnsiTheme="minorEastAsia"/>
          <w:color w:val="auto"/>
          <w:sz w:val="21"/>
          <w:szCs w:val="21"/>
        </w:rPr>
      </w:pPr>
      <w:r>
        <w:rPr>
          <w:rFonts w:hint="eastAsia" w:ascii="仿宋_GB2312" w:eastAsia="仿宋_GB2312" w:hAnsiTheme="minorEastAsia"/>
          <w:color w:val="auto"/>
          <w:sz w:val="21"/>
          <w:szCs w:val="21"/>
        </w:rPr>
        <w:t>第三部分 投标文件格式</w:t>
      </w:r>
    </w:p>
    <w:p>
      <w:pPr>
        <w:spacing w:line="400" w:lineRule="exact"/>
        <w:ind w:firstLine="420" w:firstLineChars="200"/>
        <w:rPr>
          <w:rFonts w:ascii="仿宋_GB2312" w:eastAsia="仿宋_GB2312" w:hAnsiTheme="minorEastAsia"/>
          <w:color w:val="auto"/>
          <w:sz w:val="21"/>
          <w:szCs w:val="21"/>
        </w:rPr>
      </w:pPr>
      <w:r>
        <w:rPr>
          <w:rFonts w:hint="eastAsia" w:ascii="仿宋_GB2312" w:eastAsia="仿宋_GB2312" w:hAnsiTheme="minorEastAsia"/>
          <w:color w:val="auto"/>
          <w:sz w:val="21"/>
          <w:szCs w:val="21"/>
        </w:rPr>
        <w:t>第四部分 合同文件（请投标人认真阅读合同文件）</w:t>
      </w:r>
    </w:p>
    <w:p>
      <w:pPr>
        <w:outlineLvl w:val="0"/>
        <w:rPr>
          <w:rFonts w:cs="黑体" w:asciiTheme="majorEastAsia" w:hAnsiTheme="majorEastAsia" w:eastAsiaTheme="majorEastAsia"/>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outlineLvl w:val="0"/>
        <w:rPr>
          <w:rFonts w:ascii="仿宋_GB2312" w:eastAsia="仿宋_GB2312" w:hAnsiTheme="majorEastAsia"/>
          <w:bCs/>
          <w:color w:val="auto"/>
          <w:sz w:val="32"/>
          <w:szCs w:val="32"/>
        </w:rPr>
      </w:pPr>
    </w:p>
    <w:p>
      <w:pPr>
        <w:widowControl/>
        <w:rPr>
          <w:rFonts w:ascii="仿宋_GB2312" w:eastAsia="仿宋_GB2312" w:hAnsiTheme="majorEastAsia"/>
          <w:b/>
          <w:bCs/>
          <w:color w:val="auto"/>
          <w:sz w:val="28"/>
          <w:szCs w:val="28"/>
        </w:rPr>
      </w:pPr>
    </w:p>
    <w:p>
      <w:pPr>
        <w:spacing w:line="400" w:lineRule="exact"/>
        <w:outlineLvl w:val="0"/>
        <w:rPr>
          <w:rFonts w:ascii="仿宋_GB2312" w:eastAsia="仿宋_GB2312" w:hAnsiTheme="majorEastAsia"/>
          <w:b/>
          <w:bCs/>
          <w:color w:val="auto"/>
          <w:sz w:val="28"/>
          <w:szCs w:val="28"/>
        </w:rPr>
      </w:pPr>
      <w:r>
        <w:rPr>
          <w:rFonts w:hint="eastAsia" w:ascii="仿宋_GB2312" w:eastAsia="仿宋_GB2312" w:hAnsiTheme="majorEastAsia"/>
          <w:b/>
          <w:bCs/>
          <w:color w:val="auto"/>
          <w:sz w:val="28"/>
          <w:szCs w:val="28"/>
        </w:rPr>
        <w:t>第一部分  投标人须知</w:t>
      </w:r>
    </w:p>
    <w:p>
      <w:pPr>
        <w:pStyle w:val="181"/>
        <w:keepNext w:val="0"/>
        <w:keepLines w:val="0"/>
        <w:spacing w:line="240" w:lineRule="exact"/>
        <w:rPr>
          <w:rFonts w:ascii="仿宋_GB2312" w:eastAsia="仿宋_GB2312" w:cs="宋体" w:hAnsiTheme="minorEastAsia"/>
          <w:bCs/>
          <w:color w:val="auto"/>
          <w:sz w:val="21"/>
          <w:szCs w:val="21"/>
        </w:rPr>
      </w:pPr>
      <w:r>
        <w:rPr>
          <w:rFonts w:hint="eastAsia" w:ascii="仿宋_GB2312" w:eastAsia="仿宋_GB2312" w:cs="宋体" w:hAnsiTheme="minorEastAsia"/>
          <w:bCs/>
          <w:color w:val="auto"/>
          <w:sz w:val="21"/>
          <w:szCs w:val="21"/>
        </w:rPr>
        <w:t>投标人须知前附表：</w:t>
      </w:r>
    </w:p>
    <w:tbl>
      <w:tblPr>
        <w:tblStyle w:val="35"/>
        <w:tblpPr w:leftFromText="180" w:rightFromText="180" w:vertAnchor="text" w:horzAnchor="margin" w:tblpY="241"/>
        <w:tblW w:w="5129" w:type="pct"/>
        <w:tblInd w:w="0" w:type="dxa"/>
        <w:tblLayout w:type="autofit"/>
        <w:tblCellMar>
          <w:top w:w="0" w:type="dxa"/>
          <w:left w:w="108" w:type="dxa"/>
          <w:bottom w:w="0" w:type="dxa"/>
          <w:right w:w="108" w:type="dxa"/>
        </w:tblCellMar>
      </w:tblPr>
      <w:tblGrid>
        <w:gridCol w:w="1006"/>
        <w:gridCol w:w="3704"/>
        <w:gridCol w:w="4032"/>
      </w:tblGrid>
      <w:tr>
        <w:tblPrEx>
          <w:tblCellMar>
            <w:top w:w="0" w:type="dxa"/>
            <w:left w:w="108" w:type="dxa"/>
            <w:bottom w:w="0" w:type="dxa"/>
            <w:right w:w="108" w:type="dxa"/>
          </w:tblCellMar>
        </w:tblPrEx>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bookmarkStart w:id="2" w:name="_Toc152045528"/>
            <w:bookmarkStart w:id="3" w:name="_Toc238797549"/>
            <w:bookmarkStart w:id="4" w:name="_Toc152042304"/>
            <w:bookmarkStart w:id="5" w:name="_Toc287545429"/>
            <w:bookmarkStart w:id="6" w:name="_Toc144974496"/>
            <w:bookmarkStart w:id="7" w:name="_Toc238552194"/>
            <w:r>
              <w:rPr>
                <w:rFonts w:hint="eastAsia" w:ascii="仿宋_GB2312" w:eastAsia="仿宋_GB2312" w:cs="宋体" w:hAnsiTheme="minorEastAsia"/>
                <w:color w:val="auto"/>
                <w:sz w:val="21"/>
                <w:szCs w:val="21"/>
              </w:rPr>
              <w:t>序号</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条  款  名  称</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编  列  内  容</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招标物资种类及数量</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highlight w:val="yellow"/>
              </w:rPr>
            </w:pPr>
            <w:r>
              <w:rPr>
                <w:rFonts w:hint="eastAsia" w:ascii="仿宋_GB2312" w:eastAsia="仿宋_GB2312" w:cs="宋体" w:hAnsiTheme="minorEastAsia"/>
                <w:color w:val="auto"/>
                <w:sz w:val="21"/>
                <w:szCs w:val="21"/>
              </w:rPr>
              <w:t>详见总则4.1</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2</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招标内容</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color w:val="auto"/>
                <w:sz w:val="21"/>
                <w:szCs w:val="21"/>
                <w:lang w:eastAsia="zh-CN"/>
              </w:rPr>
            </w:pPr>
            <w:r>
              <w:rPr>
                <w:rFonts w:hint="eastAsia" w:ascii="仿宋_GB2312" w:eastAsia="仿宋_GB2312" w:cs="宋体" w:hAnsiTheme="minorEastAsia"/>
                <w:color w:val="auto"/>
                <w:sz w:val="21"/>
                <w:szCs w:val="21"/>
                <w:lang w:val="en-US" w:eastAsia="zh-CN"/>
              </w:rPr>
              <w:t>水稳级配成品料运输</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3</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投标人应具备承担本招标物资生产供应能力</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生产能力要求：</w:t>
            </w:r>
            <w:r>
              <w:rPr>
                <w:rFonts w:hint="eastAsia" w:ascii="仿宋_GB2312" w:eastAsia="仿宋_GB2312" w:cs="宋体" w:hAnsiTheme="minorEastAsia"/>
                <w:color w:val="auto"/>
                <w:sz w:val="21"/>
                <w:szCs w:val="21"/>
                <w:u w:val="single"/>
              </w:rPr>
              <w:t xml:space="preserve"> 满足招标方需求  </w:t>
            </w:r>
          </w:p>
          <w:p>
            <w:pPr>
              <w:pStyle w:val="181"/>
              <w:keepNext w:val="0"/>
              <w:keepLines w:val="0"/>
              <w:rPr>
                <w:rFonts w:ascii="仿宋_GB2312" w:hAnsi="仿宋" w:eastAsia="仿宋_GB2312"/>
                <w:bCs/>
                <w:color w:val="auto"/>
                <w:sz w:val="21"/>
                <w:szCs w:val="21"/>
              </w:rPr>
            </w:pPr>
            <w:r>
              <w:rPr>
                <w:rFonts w:hint="eastAsia" w:ascii="仿宋_GB2312" w:eastAsia="仿宋_GB2312" w:cs="宋体" w:hAnsiTheme="minorEastAsia"/>
                <w:color w:val="auto"/>
                <w:sz w:val="21"/>
                <w:szCs w:val="21"/>
              </w:rPr>
              <w:t>质量保证能力要求：具有ISO9000质量管理体系认证证书；所供应</w:t>
            </w:r>
            <w:r>
              <w:rPr>
                <w:rFonts w:hint="eastAsia" w:ascii="仿宋_GB2312" w:eastAsia="仿宋_GB2312" w:cs="宋体" w:hAnsiTheme="minorEastAsia"/>
                <w:color w:val="auto"/>
                <w:sz w:val="21"/>
                <w:szCs w:val="21"/>
                <w:lang w:eastAsia="zh-CN"/>
              </w:rPr>
              <w:t>运输车辆</w:t>
            </w:r>
            <w:r>
              <w:rPr>
                <w:rFonts w:hint="eastAsia" w:ascii="仿宋_GB2312" w:eastAsia="仿宋_GB2312" w:cs="宋体" w:hAnsiTheme="minorEastAsia"/>
                <w:color w:val="auto"/>
                <w:sz w:val="21"/>
                <w:szCs w:val="21"/>
              </w:rPr>
              <w:t>各项性能指标均必须满足招标方施工技术要求，满足中华人民共和国国家、地方及行业最新颁布的相关标准及技术规范，如果规范、标准、要求适用于同一种情况，则以标准高着为准； 具有</w:t>
            </w:r>
            <w:r>
              <w:rPr>
                <w:rFonts w:hint="eastAsia" w:ascii="仿宋_GB2312" w:hAnsi="仿宋" w:eastAsia="仿宋_GB2312"/>
                <w:bCs/>
                <w:color w:val="auto"/>
                <w:sz w:val="21"/>
                <w:szCs w:val="21"/>
              </w:rPr>
              <w:t>绿色、节能、环保管理体系和管理，符合国家关于碳排放标准的要求。</w:t>
            </w:r>
          </w:p>
          <w:p>
            <w:pPr>
              <w:pStyle w:val="181"/>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 xml:space="preserve">财务能力要求：具有健全的财务会计制度，近两年财务状况良好； </w:t>
            </w:r>
          </w:p>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供货业绩要求：投标人须具有近三年类似工程供货业绩（附合同扫描件，提供原件备查）；</w:t>
            </w:r>
          </w:p>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履约信用要求：良好，无不良社会记录；</w:t>
            </w:r>
          </w:p>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其他要求：投标人须提供有效的符合招标文件要求的合格检测报告</w:t>
            </w:r>
            <w:r>
              <w:rPr>
                <w:rFonts w:hint="eastAsia" w:ascii="仿宋_GB2312" w:hAnsi="宋体" w:eastAsia="仿宋_GB2312" w:cs="宋体"/>
                <w:color w:val="auto"/>
                <w:sz w:val="21"/>
                <w:szCs w:val="21"/>
              </w:rPr>
              <w:t>。。</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4</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结算方式</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本工程按月结算。每月</w:t>
            </w:r>
            <w:r>
              <w:rPr>
                <w:rFonts w:hint="eastAsia" w:ascii="仿宋_GB2312" w:eastAsia="仿宋_GB2312" w:cs="宋体" w:hAnsiTheme="minorEastAsia"/>
                <w:color w:val="auto"/>
                <w:sz w:val="21"/>
                <w:szCs w:val="21"/>
                <w:u w:val="single"/>
              </w:rPr>
              <w:t>15</w:t>
            </w:r>
            <w:r>
              <w:rPr>
                <w:rFonts w:hint="eastAsia" w:ascii="仿宋_GB2312" w:eastAsia="仿宋_GB2312" w:cs="宋体" w:hAnsiTheme="minorEastAsia"/>
                <w:color w:val="auto"/>
                <w:sz w:val="21"/>
                <w:szCs w:val="21"/>
              </w:rPr>
              <w:t>日后将上月</w:t>
            </w:r>
            <w:r>
              <w:rPr>
                <w:rFonts w:hint="eastAsia" w:ascii="仿宋_GB2312" w:eastAsia="仿宋_GB2312" w:cs="宋体" w:hAnsiTheme="minorEastAsia"/>
                <w:color w:val="auto"/>
                <w:sz w:val="21"/>
                <w:szCs w:val="21"/>
                <w:u w:val="single"/>
              </w:rPr>
              <w:t xml:space="preserve"> 1</w:t>
            </w:r>
            <w:r>
              <w:rPr>
                <w:rFonts w:ascii="仿宋_GB2312" w:eastAsia="仿宋_GB2312" w:cs="宋体" w:hAnsiTheme="minorEastAsia"/>
                <w:color w:val="auto"/>
                <w:sz w:val="21"/>
                <w:szCs w:val="21"/>
                <w:u w:val="single"/>
              </w:rPr>
              <w:t>6</w:t>
            </w:r>
            <w:r>
              <w:rPr>
                <w:rFonts w:hint="eastAsia" w:ascii="仿宋_GB2312" w:eastAsia="仿宋_GB2312" w:cs="宋体" w:hAnsiTheme="minorEastAsia"/>
                <w:color w:val="auto"/>
                <w:sz w:val="21"/>
                <w:szCs w:val="21"/>
              </w:rPr>
              <w:t>日到本月</w:t>
            </w:r>
            <w:r>
              <w:rPr>
                <w:rFonts w:hint="eastAsia" w:ascii="仿宋_GB2312" w:eastAsia="仿宋_GB2312" w:cs="宋体" w:hAnsiTheme="minorEastAsia"/>
                <w:color w:val="auto"/>
                <w:sz w:val="21"/>
                <w:szCs w:val="21"/>
                <w:u w:val="single"/>
              </w:rPr>
              <w:t xml:space="preserve"> 15</w:t>
            </w:r>
            <w:r>
              <w:rPr>
                <w:rFonts w:hint="eastAsia" w:ascii="仿宋_GB2312" w:eastAsia="仿宋_GB2312" w:cs="宋体" w:hAnsiTheme="minorEastAsia"/>
                <w:color w:val="auto"/>
                <w:sz w:val="21"/>
                <w:szCs w:val="21"/>
              </w:rPr>
              <w:t>日所</w:t>
            </w:r>
            <w:r>
              <w:rPr>
                <w:rFonts w:hint="eastAsia" w:ascii="仿宋_GB2312" w:eastAsia="仿宋_GB2312" w:cs="宋体" w:hAnsiTheme="minorEastAsia"/>
                <w:color w:val="auto"/>
                <w:sz w:val="21"/>
                <w:szCs w:val="21"/>
                <w:lang w:eastAsia="zh-CN"/>
              </w:rPr>
              <w:t>提供的运输服务</w:t>
            </w:r>
            <w:r>
              <w:rPr>
                <w:rFonts w:hint="eastAsia" w:ascii="仿宋_GB2312" w:eastAsia="仿宋_GB2312" w:cs="宋体" w:hAnsiTheme="minorEastAsia"/>
                <w:color w:val="auto"/>
                <w:sz w:val="21"/>
                <w:szCs w:val="21"/>
              </w:rPr>
              <w:t>办理月结手续，乙方向甲方提交等额的符合甲方财务和国家税法要求的增值税专用发票。</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5</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付款比例</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eastAsia" w:ascii="仿宋_GB2312" w:eastAsia="仿宋_GB2312" w:cs="宋体" w:hAnsiTheme="minorEastAsia"/>
                <w:color w:val="auto"/>
                <w:sz w:val="21"/>
                <w:szCs w:val="21"/>
                <w:highlight w:val="none"/>
                <w:lang w:eastAsia="zh-CN"/>
              </w:rPr>
            </w:pPr>
            <w:r>
              <w:rPr>
                <w:rFonts w:hint="eastAsia" w:ascii="仿宋_GB2312" w:eastAsia="仿宋_GB2312" w:cs="宋体" w:hAnsiTheme="minorEastAsia"/>
                <w:color w:val="auto"/>
                <w:sz w:val="21"/>
                <w:szCs w:val="21"/>
              </w:rPr>
              <w:t>无预付款，</w:t>
            </w:r>
            <w:r>
              <w:rPr>
                <w:rFonts w:hint="eastAsia" w:ascii="仿宋_GB2312" w:eastAsia="仿宋_GB2312" w:cs="宋体" w:hAnsiTheme="minorEastAsia"/>
                <w:color w:val="auto"/>
                <w:sz w:val="21"/>
                <w:szCs w:val="21"/>
                <w:lang w:eastAsia="zh-CN"/>
              </w:rPr>
              <w:t>运输</w:t>
            </w:r>
            <w:r>
              <w:rPr>
                <w:rFonts w:hint="eastAsia" w:ascii="仿宋_GB2312" w:eastAsia="仿宋_GB2312" w:cs="宋体" w:hAnsiTheme="minorEastAsia"/>
                <w:color w:val="auto"/>
                <w:sz w:val="21"/>
                <w:szCs w:val="21"/>
              </w:rPr>
              <w:t>款来源于项目工程结算款。甲方收到业主支付的工程款后按资金审批计划对</w:t>
            </w:r>
            <w:r>
              <w:rPr>
                <w:rFonts w:hint="eastAsia" w:ascii="仿宋_GB2312" w:eastAsia="仿宋_GB2312" w:cs="宋体" w:hAnsiTheme="minorEastAsia"/>
                <w:color w:val="auto"/>
                <w:sz w:val="21"/>
                <w:szCs w:val="21"/>
                <w:lang w:eastAsia="zh-CN"/>
              </w:rPr>
              <w:t>结算款</w:t>
            </w:r>
            <w:r>
              <w:rPr>
                <w:rFonts w:hint="eastAsia" w:ascii="仿宋_GB2312" w:eastAsia="仿宋_GB2312" w:cs="宋体" w:hAnsiTheme="minorEastAsia"/>
                <w:color w:val="auto"/>
                <w:sz w:val="21"/>
                <w:szCs w:val="21"/>
              </w:rPr>
              <w:t>进行支付，支付比例不超业主支付比例</w:t>
            </w:r>
            <w:r>
              <w:rPr>
                <w:rFonts w:hint="eastAsia" w:ascii="仿宋_GB2312" w:eastAsia="仿宋_GB2312" w:cs="宋体" w:hAnsiTheme="minorEastAsia"/>
                <w:color w:val="auto"/>
                <w:sz w:val="21"/>
                <w:szCs w:val="21"/>
                <w:highlight w:val="none"/>
              </w:rPr>
              <w:t>。暂定为在甲乙双方完成</w:t>
            </w:r>
            <w:r>
              <w:rPr>
                <w:rFonts w:hint="eastAsia" w:ascii="仿宋_GB2312" w:eastAsia="仿宋_GB2312" w:cs="宋体" w:hAnsiTheme="minorEastAsia"/>
                <w:color w:val="auto"/>
                <w:sz w:val="21"/>
                <w:szCs w:val="21"/>
                <w:highlight w:val="none"/>
                <w:lang w:eastAsia="zh-CN"/>
              </w:rPr>
              <w:t>物资运输</w:t>
            </w:r>
            <w:r>
              <w:rPr>
                <w:rFonts w:hint="eastAsia" w:ascii="仿宋_GB2312" w:eastAsia="仿宋_GB2312" w:cs="宋体" w:hAnsiTheme="minorEastAsia"/>
                <w:color w:val="auto"/>
                <w:sz w:val="21"/>
                <w:szCs w:val="21"/>
                <w:highlight w:val="none"/>
              </w:rPr>
              <w:t>结算手续且甲方收到乙方相应全额发票后</w:t>
            </w:r>
            <w:r>
              <w:rPr>
                <w:rFonts w:hint="eastAsia" w:ascii="仿宋_GB2312" w:eastAsia="仿宋_GB2312" w:cs="宋体" w:hAnsiTheme="minorEastAsia"/>
                <w:color w:val="auto"/>
                <w:sz w:val="21"/>
                <w:szCs w:val="21"/>
                <w:highlight w:val="none"/>
                <w:lang w:val="en-US" w:eastAsia="zh-CN"/>
              </w:rPr>
              <w:t>3个月内支付至结算</w:t>
            </w:r>
            <w:r>
              <w:rPr>
                <w:rFonts w:hint="eastAsia" w:ascii="仿宋_GB2312" w:eastAsia="仿宋_GB2312" w:cs="宋体" w:hAnsiTheme="minorEastAsia"/>
                <w:color w:val="auto"/>
                <w:sz w:val="21"/>
                <w:szCs w:val="21"/>
                <w:highlight w:val="none"/>
              </w:rPr>
              <w:t>款的</w:t>
            </w:r>
            <w:r>
              <w:rPr>
                <w:rFonts w:hint="eastAsia" w:ascii="仿宋_GB2312" w:eastAsia="仿宋_GB2312" w:cs="宋体" w:hAnsiTheme="minorEastAsia"/>
                <w:color w:val="auto"/>
                <w:sz w:val="21"/>
                <w:szCs w:val="21"/>
                <w:highlight w:val="none"/>
                <w:lang w:val="en-US" w:eastAsia="zh-CN"/>
              </w:rPr>
              <w:t>8</w:t>
            </w:r>
            <w:r>
              <w:rPr>
                <w:rFonts w:hint="eastAsia" w:ascii="仿宋_GB2312" w:eastAsia="仿宋_GB2312" w:cs="宋体" w:hAnsiTheme="minorEastAsia"/>
                <w:color w:val="auto"/>
                <w:sz w:val="21"/>
                <w:szCs w:val="21"/>
                <w:highlight w:val="none"/>
              </w:rPr>
              <w:t>0%，</w:t>
            </w:r>
            <w:r>
              <w:rPr>
                <w:rFonts w:hint="eastAsia" w:ascii="仿宋_GB2312" w:eastAsia="仿宋_GB2312" w:cs="宋体" w:hAnsiTheme="minorEastAsia"/>
                <w:color w:val="auto"/>
                <w:sz w:val="21"/>
                <w:szCs w:val="21"/>
                <w:highlight w:val="none"/>
                <w:lang w:val="en-US" w:eastAsia="zh-CN"/>
              </w:rPr>
              <w:t>6个月内</w:t>
            </w:r>
            <w:r>
              <w:rPr>
                <w:rFonts w:hint="eastAsia" w:ascii="仿宋_GB2312" w:eastAsia="仿宋_GB2312" w:cs="宋体" w:hAnsiTheme="minorEastAsia"/>
                <w:color w:val="auto"/>
                <w:sz w:val="21"/>
                <w:szCs w:val="21"/>
                <w:highlight w:val="none"/>
              </w:rPr>
              <w:t>支付</w:t>
            </w:r>
            <w:r>
              <w:rPr>
                <w:rFonts w:hint="eastAsia" w:ascii="仿宋_GB2312" w:eastAsia="仿宋_GB2312" w:cs="宋体" w:hAnsiTheme="minorEastAsia"/>
                <w:color w:val="auto"/>
                <w:sz w:val="21"/>
                <w:szCs w:val="21"/>
                <w:highlight w:val="none"/>
                <w:lang w:eastAsia="zh-CN"/>
              </w:rPr>
              <w:t>到</w:t>
            </w:r>
            <w:r>
              <w:rPr>
                <w:rFonts w:hint="eastAsia" w:ascii="仿宋_GB2312" w:eastAsia="仿宋_GB2312" w:cs="宋体" w:hAnsiTheme="minorEastAsia"/>
                <w:color w:val="auto"/>
                <w:sz w:val="21"/>
                <w:szCs w:val="21"/>
                <w:highlight w:val="none"/>
              </w:rPr>
              <w:t>应付货款的</w:t>
            </w:r>
            <w:r>
              <w:rPr>
                <w:rFonts w:hint="eastAsia" w:ascii="仿宋_GB2312" w:eastAsia="仿宋_GB2312" w:cs="宋体" w:hAnsiTheme="minorEastAsia"/>
                <w:color w:val="auto"/>
                <w:sz w:val="21"/>
                <w:szCs w:val="21"/>
                <w:highlight w:val="none"/>
                <w:lang w:val="en-US" w:eastAsia="zh-CN"/>
              </w:rPr>
              <w:t>100</w:t>
            </w:r>
            <w:r>
              <w:rPr>
                <w:rFonts w:hint="eastAsia" w:ascii="仿宋_GB2312" w:eastAsia="仿宋_GB2312" w:cs="宋体" w:hAnsiTheme="minorEastAsia"/>
                <w:color w:val="auto"/>
                <w:sz w:val="21"/>
                <w:szCs w:val="21"/>
                <w:highlight w:val="none"/>
              </w:rPr>
              <w:t>%</w:t>
            </w:r>
            <w:r>
              <w:rPr>
                <w:rFonts w:hint="eastAsia" w:ascii="仿宋_GB2312" w:eastAsia="仿宋_GB2312" w:cs="宋体" w:hAnsiTheme="minorEastAsia"/>
                <w:color w:val="auto"/>
                <w:sz w:val="21"/>
                <w:szCs w:val="21"/>
                <w:highlight w:val="none"/>
                <w:lang w:eastAsia="zh-CN"/>
              </w:rPr>
              <w:t>，以此类推。</w:t>
            </w:r>
            <w:bookmarkStart w:id="8" w:name="_Hlk98751362"/>
          </w:p>
          <w:p>
            <w:pPr>
              <w:pStyle w:val="181"/>
              <w:keepNext w:val="0"/>
              <w:keepLines w:val="0"/>
              <w:rPr>
                <w:rFonts w:ascii="仿宋_GB2312" w:eastAsia="仿宋_GB2312" w:cs="宋体" w:hAnsiTheme="minorEastAsia"/>
                <w:color w:val="auto"/>
                <w:sz w:val="21"/>
                <w:szCs w:val="21"/>
                <w:highlight w:val="none"/>
              </w:rPr>
            </w:pPr>
            <w:r>
              <w:rPr>
                <w:rFonts w:hint="eastAsia" w:ascii="仿宋_GB2312" w:eastAsia="仿宋_GB2312" w:cs="宋体" w:hAnsiTheme="minorEastAsia"/>
                <w:color w:val="auto"/>
                <w:sz w:val="21"/>
                <w:szCs w:val="21"/>
                <w:highlight w:val="none"/>
              </w:rPr>
              <w:t>以上付款比例及付款节点按业主实际资金拨付情况和项目资金状况进行调整。若业主付款提前或推迟则该付款期限相应提前、推迟。</w:t>
            </w:r>
            <w:bookmarkEnd w:id="8"/>
            <w:r>
              <w:rPr>
                <w:rFonts w:hint="eastAsia" w:ascii="仿宋_GB2312" w:eastAsia="仿宋_GB2312" w:cs="宋体" w:hAnsiTheme="minorEastAsia"/>
                <w:color w:val="auto"/>
                <w:sz w:val="21"/>
                <w:szCs w:val="21"/>
                <w:highlight w:val="none"/>
              </w:rPr>
              <w:t>如甲方延迟支付货款，甲方</w:t>
            </w:r>
            <w:r>
              <w:rPr>
                <w:rFonts w:hint="eastAsia" w:ascii="仿宋_GB2312" w:eastAsia="仿宋_GB2312" w:cs="宋体" w:hAnsiTheme="minorEastAsia"/>
                <w:color w:val="auto"/>
                <w:sz w:val="21"/>
                <w:szCs w:val="21"/>
                <w:highlight w:val="none"/>
                <w:lang w:eastAsia="zh-CN"/>
              </w:rPr>
              <w:t>不</w:t>
            </w:r>
            <w:r>
              <w:rPr>
                <w:rFonts w:hint="eastAsia" w:ascii="仿宋_GB2312" w:eastAsia="仿宋_GB2312" w:cs="宋体" w:hAnsiTheme="minorEastAsia"/>
                <w:color w:val="auto"/>
                <w:sz w:val="21"/>
                <w:szCs w:val="21"/>
                <w:highlight w:val="none"/>
              </w:rPr>
              <w:t>对延期支付部分承担逾期利息。</w:t>
            </w:r>
            <w:r>
              <w:rPr>
                <w:rFonts w:hint="eastAsia" w:ascii="仿宋_GB2312" w:eastAsia="仿宋_GB2312" w:cs="宋体" w:hAnsiTheme="minorEastAsia"/>
                <w:b/>
                <w:bCs/>
                <w:color w:val="auto"/>
                <w:sz w:val="21"/>
                <w:szCs w:val="21"/>
                <w:highlight w:val="none"/>
                <w:lang w:eastAsia="zh-CN"/>
              </w:rPr>
              <w:t>投标方对于本条款完全理解，并同意接受上述支付时间及相应支付比例的约定</w:t>
            </w:r>
            <w:r>
              <w:rPr>
                <w:rFonts w:hint="eastAsia" w:ascii="仿宋_GB2312" w:eastAsia="仿宋_GB2312" w:cs="宋体" w:hAnsiTheme="minorEastAsia"/>
                <w:b/>
                <w:bCs/>
                <w:color w:val="auto"/>
                <w:sz w:val="21"/>
                <w:szCs w:val="21"/>
                <w:highlight w:val="none"/>
                <w:lang w:eastAsia="zh-CN"/>
              </w:rPr>
              <w:t>。</w:t>
            </w:r>
          </w:p>
          <w:p>
            <w:pPr>
              <w:tabs>
                <w:tab w:val="left" w:pos="765"/>
              </w:tabs>
              <w:spacing w:line="400" w:lineRule="exact"/>
              <w:ind w:firstLine="420" w:firstLineChars="200"/>
              <w:rPr>
                <w:rFonts w:ascii="仿宋_GB2312" w:eastAsia="仿宋_GB2312" w:cs="宋体" w:hAnsiTheme="minorEastAsia"/>
                <w:color w:val="auto"/>
                <w:sz w:val="21"/>
                <w:szCs w:val="21"/>
              </w:rPr>
            </w:pP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6</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付款方式</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按合同约定银行账户转账，招标方</w:t>
            </w:r>
            <w:r>
              <w:rPr>
                <w:rFonts w:hint="eastAsia" w:ascii="仿宋_GB2312" w:eastAsia="仿宋_GB2312" w:cs="宋体" w:hAnsiTheme="minorEastAsia"/>
                <w:color w:val="auto"/>
                <w:sz w:val="21"/>
                <w:szCs w:val="21"/>
                <w:lang w:val="zh-CN"/>
              </w:rPr>
              <w:t>货款</w:t>
            </w:r>
            <w:r>
              <w:rPr>
                <w:rFonts w:hint="eastAsia" w:ascii="仿宋_GB2312" w:eastAsia="仿宋_GB2312" w:cs="宋体" w:hAnsiTheme="minorEastAsia"/>
                <w:color w:val="auto"/>
                <w:sz w:val="21"/>
                <w:szCs w:val="21"/>
              </w:rPr>
              <w:t>支付形式</w:t>
            </w:r>
            <w:r>
              <w:rPr>
                <w:rFonts w:hint="eastAsia" w:ascii="仿宋_GB2312" w:eastAsia="仿宋_GB2312" w:cs="宋体" w:hAnsiTheme="minorEastAsia"/>
                <w:color w:val="auto"/>
                <w:sz w:val="21"/>
                <w:szCs w:val="21"/>
                <w:lang w:val="zh-CN"/>
              </w:rPr>
              <w:t>:银行电汇支付，</w:t>
            </w:r>
            <w:r>
              <w:rPr>
                <w:rFonts w:hint="eastAsia" w:ascii="仿宋_GB2312" w:eastAsia="仿宋_GB2312" w:cs="宋体" w:hAnsiTheme="minorEastAsia"/>
                <w:color w:val="auto"/>
                <w:sz w:val="21"/>
                <w:szCs w:val="21"/>
              </w:rPr>
              <w:t>投标方</w:t>
            </w:r>
            <w:r>
              <w:rPr>
                <w:rFonts w:hint="eastAsia" w:ascii="仿宋_GB2312" w:eastAsia="仿宋_GB2312" w:cs="宋体" w:hAnsiTheme="minorEastAsia"/>
                <w:color w:val="auto"/>
                <w:sz w:val="21"/>
                <w:szCs w:val="21"/>
                <w:lang w:val="zh-CN"/>
              </w:rPr>
              <w:t>须保证对</w:t>
            </w:r>
            <w:r>
              <w:rPr>
                <w:rFonts w:hint="eastAsia" w:ascii="仿宋_GB2312" w:eastAsia="仿宋_GB2312" w:cs="宋体" w:hAnsiTheme="minorEastAsia"/>
                <w:color w:val="auto"/>
                <w:sz w:val="21"/>
                <w:szCs w:val="21"/>
              </w:rPr>
              <w:t>招标方</w:t>
            </w:r>
            <w:r>
              <w:rPr>
                <w:rFonts w:hint="eastAsia" w:ascii="仿宋_GB2312" w:eastAsia="仿宋_GB2312" w:cs="宋体" w:hAnsiTheme="minorEastAsia"/>
                <w:color w:val="auto"/>
                <w:sz w:val="21"/>
                <w:szCs w:val="21"/>
                <w:lang w:val="zh-CN"/>
              </w:rPr>
              <w:t>的资金往来账户与本合同所约定账户一致，开票单位名称与合同约定名称一致。</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7</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时间</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以“中建路桥集团有限公司网站”发布信息为准</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8</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标的物生产厂家要求</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是否指定生产厂家/品牌：是□   否</w:t>
            </w:r>
            <w:r>
              <w:rPr>
                <w:rFonts w:ascii="Segoe UI Emoji" w:hAnsi="Segoe UI Emoji" w:eastAsia="仿宋_GB2312" w:cs="Segoe UI Emoji"/>
                <w:color w:val="auto"/>
                <w:sz w:val="21"/>
                <w:szCs w:val="21"/>
              </w:rPr>
              <w:t xml:space="preserve"> </w:t>
            </w:r>
            <w:r>
              <w:rPr>
                <w:rFonts w:hint="eastAsia" w:ascii="Segoe UI Emoji" w:hAnsi="Segoe UI Emoji" w:eastAsia="仿宋_GB2312" w:cs="Segoe UI Emoji"/>
                <w:color w:val="auto"/>
                <w:sz w:val="21"/>
                <w:szCs w:val="21"/>
              </w:rPr>
              <w:t>☑</w:t>
            </w:r>
          </w:p>
          <w:p>
            <w:pPr>
              <w:pStyle w:val="137"/>
              <w:spacing w:before="0" w:beforeAutospacing="0" w:after="0" w:afterAutospacing="0" w:line="320" w:lineRule="exact"/>
              <w:jc w:val="both"/>
              <w:rPr>
                <w:color w:val="auto"/>
                <w:u w:val="single"/>
              </w:rPr>
            </w:pPr>
            <w:r>
              <w:rPr>
                <w:rFonts w:hint="eastAsia" w:ascii="仿宋_GB2312" w:eastAsia="仿宋_GB2312" w:hAnsiTheme="minorEastAsia"/>
                <w:b w:val="0"/>
                <w:bCs w:val="0"/>
                <w:color w:val="auto"/>
                <w:kern w:val="2"/>
                <w:sz w:val="21"/>
                <w:szCs w:val="21"/>
              </w:rPr>
              <w:t>要求提供以下厂家/品牌产品：</w:t>
            </w:r>
            <w:r>
              <w:rPr>
                <w:rFonts w:hint="eastAsia" w:ascii="仿宋_GB2312" w:eastAsia="仿宋_GB2312" w:hAnsiTheme="minorEastAsia"/>
                <w:b w:val="0"/>
                <w:bCs w:val="0"/>
                <w:color w:val="auto"/>
                <w:kern w:val="2"/>
                <w:sz w:val="21"/>
                <w:szCs w:val="21"/>
                <w:u w:val="single"/>
              </w:rPr>
              <w:t xml:space="preserve">   </w:t>
            </w:r>
            <w:r>
              <w:rPr>
                <w:rFonts w:ascii="仿宋_GB2312" w:eastAsia="仿宋_GB2312" w:hAnsiTheme="minorEastAsia"/>
                <w:b w:val="0"/>
                <w:bCs w:val="0"/>
                <w:color w:val="auto"/>
                <w:kern w:val="2"/>
                <w:sz w:val="21"/>
                <w:szCs w:val="21"/>
                <w:u w:val="single"/>
              </w:rPr>
              <w:t>/</w:t>
            </w:r>
            <w:r>
              <w:rPr>
                <w:rFonts w:hint="eastAsia" w:ascii="仿宋_GB2312" w:eastAsia="仿宋_GB2312" w:hAnsiTheme="minorEastAsia"/>
                <w:b w:val="0"/>
                <w:bCs w:val="0"/>
                <w:color w:val="auto"/>
                <w:kern w:val="2"/>
                <w:sz w:val="21"/>
                <w:szCs w:val="21"/>
                <w:u w:val="single"/>
              </w:rPr>
              <w:t xml:space="preserve">      </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9</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技术标准和图纸</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hint="default" w:ascii="仿宋_GB2312" w:eastAsia="仿宋_GB2312" w:cs="宋体" w:hAnsiTheme="minorEastAsia"/>
                <w:color w:val="auto"/>
                <w:sz w:val="21"/>
                <w:szCs w:val="21"/>
                <w:lang w:val="en-US" w:eastAsia="zh-CN"/>
              </w:rPr>
            </w:pPr>
            <w:r>
              <w:rPr>
                <w:rFonts w:hint="eastAsia" w:ascii="仿宋_GB2312" w:eastAsia="仿宋_GB2312" w:cs="宋体" w:hAnsiTheme="minorEastAsia"/>
                <w:color w:val="auto"/>
                <w:sz w:val="21"/>
                <w:szCs w:val="21"/>
                <w:lang w:val="en-US" w:eastAsia="zh-CN"/>
              </w:rPr>
              <w:t>/</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10</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投标有效期</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投标有效期：</w:t>
            </w:r>
            <w:r>
              <w:rPr>
                <w:rFonts w:hint="eastAsia" w:ascii="仿宋_GB2312" w:eastAsia="仿宋_GB2312" w:cs="宋体" w:hAnsiTheme="minorEastAsia"/>
                <w:color w:val="auto"/>
                <w:sz w:val="21"/>
                <w:szCs w:val="21"/>
                <w:lang w:val="en-US" w:eastAsia="zh-CN"/>
              </w:rPr>
              <w:t>60</w:t>
            </w:r>
            <w:r>
              <w:rPr>
                <w:rFonts w:hint="eastAsia" w:ascii="仿宋_GB2312" w:eastAsia="仿宋_GB2312" w:cs="宋体" w:hAnsiTheme="minorEastAsia"/>
                <w:color w:val="auto"/>
                <w:sz w:val="21"/>
                <w:szCs w:val="21"/>
              </w:rPr>
              <w:t>天</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11</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投标保证金</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u w:val="single"/>
              </w:rPr>
            </w:pPr>
            <w:r>
              <w:rPr>
                <w:rFonts w:hint="eastAsia" w:ascii="仿宋_GB2312" w:eastAsia="仿宋_GB2312" w:hAnsiTheme="minorEastAsia"/>
                <w:color w:val="auto"/>
                <w:sz w:val="21"/>
                <w:szCs w:val="21"/>
              </w:rPr>
              <w:t>投标保证金必须从投标人的基本账户以电汇的方式汇出，</w:t>
            </w:r>
            <w:r>
              <w:rPr>
                <w:rFonts w:hint="eastAsia" w:ascii="仿宋_GB2312" w:eastAsia="仿宋_GB2312" w:cs="宋体" w:hAnsiTheme="minorEastAsia"/>
                <w:color w:val="auto"/>
                <w:sz w:val="21"/>
                <w:szCs w:val="21"/>
              </w:rPr>
              <w:t>投标保证金</w:t>
            </w:r>
            <w:r>
              <w:rPr>
                <w:rFonts w:hint="eastAsia" w:ascii="仿宋_GB2312" w:eastAsia="仿宋_GB2312" w:cs="宋体" w:hAnsiTheme="minorEastAsia"/>
                <w:color w:val="auto"/>
                <w:sz w:val="21"/>
                <w:szCs w:val="21"/>
                <w:u w:val="single"/>
              </w:rPr>
              <w:t xml:space="preserve"> </w:t>
            </w:r>
            <w:r>
              <w:rPr>
                <w:rFonts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u w:val="single"/>
                <w:lang w:val="en-US" w:eastAsia="zh-CN"/>
              </w:rPr>
              <w:t>2</w:t>
            </w:r>
            <w:r>
              <w:rPr>
                <w:rFonts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万元，汇款账户详情见总则7.2。其他相关事项见总则</w:t>
            </w:r>
            <w:r>
              <w:rPr>
                <w:rFonts w:ascii="仿宋_GB2312" w:eastAsia="仿宋_GB2312" w:cs="宋体" w:hAnsiTheme="minorEastAsia"/>
                <w:color w:val="auto"/>
                <w:sz w:val="21"/>
                <w:szCs w:val="21"/>
              </w:rPr>
              <w:t>13</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12</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签字或盖章要求</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法定代表人或委托代理人签字并盖单位章</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13</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投标文件副本份数</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以招标人要求为准</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4</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装订要求</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无</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5</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封套</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无</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6</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递交投标文件地点</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见总则1</w:t>
            </w:r>
            <w:r>
              <w:rPr>
                <w:rFonts w:ascii="仿宋_GB2312" w:eastAsia="仿宋_GB2312" w:cs="宋体" w:hAnsiTheme="minorEastAsia"/>
                <w:color w:val="auto"/>
                <w:sz w:val="21"/>
                <w:szCs w:val="21"/>
              </w:rPr>
              <w:t>8.1</w:t>
            </w:r>
            <w:r>
              <w:rPr>
                <w:rFonts w:hint="eastAsia" w:ascii="仿宋_GB2312" w:eastAsia="仿宋_GB2312" w:cs="宋体" w:hAnsiTheme="minorEastAsia"/>
                <w:color w:val="auto"/>
                <w:sz w:val="21"/>
                <w:szCs w:val="21"/>
              </w:rPr>
              <w:t>或相关补遗文件</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7</w:t>
            </w:r>
          </w:p>
        </w:tc>
        <w:tc>
          <w:tcPr>
            <w:tcW w:w="2118"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开标时间和地点</w:t>
            </w:r>
          </w:p>
        </w:tc>
        <w:tc>
          <w:tcPr>
            <w:tcW w:w="2305" w:type="pct"/>
            <w:tcBorders>
              <w:top w:val="single" w:color="auto" w:sz="4" w:space="0"/>
              <w:left w:val="single" w:color="auto" w:sz="4" w:space="0"/>
              <w:right w:val="single" w:color="auto" w:sz="4" w:space="0"/>
            </w:tcBorders>
            <w:vAlign w:val="center"/>
          </w:tcPr>
          <w:p>
            <w:pPr>
              <w:pStyle w:val="181"/>
              <w:keepNext w:val="0"/>
              <w:keepLines w:val="0"/>
              <w:rPr>
                <w:rFonts w:hint="default" w:ascii="仿宋_GB2312" w:eastAsia="仿宋_GB2312" w:cs="宋体" w:hAnsiTheme="minorEastAsia"/>
                <w:color w:val="auto"/>
                <w:sz w:val="21"/>
                <w:szCs w:val="21"/>
                <w:lang w:val="en-US" w:eastAsia="zh-CN"/>
              </w:rPr>
            </w:pPr>
            <w:r>
              <w:rPr>
                <w:rFonts w:hint="eastAsia" w:ascii="仿宋_GB2312" w:eastAsia="仿宋_GB2312" w:cs="宋体" w:hAnsiTheme="minorEastAsia"/>
                <w:color w:val="auto"/>
                <w:sz w:val="21"/>
                <w:szCs w:val="21"/>
                <w:lang w:val="en-US" w:eastAsia="zh-CN"/>
              </w:rPr>
              <w:t>4月6日、养护公司会议室开标</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8</w:t>
            </w:r>
          </w:p>
        </w:tc>
        <w:tc>
          <w:tcPr>
            <w:tcW w:w="2118"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开标程序</w:t>
            </w:r>
          </w:p>
        </w:tc>
        <w:tc>
          <w:tcPr>
            <w:tcW w:w="2305"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color w:val="auto"/>
                <w:sz w:val="21"/>
                <w:szCs w:val="21"/>
                <w:lang w:eastAsia="zh-CN"/>
              </w:rPr>
            </w:pPr>
            <w:r>
              <w:rPr>
                <w:rFonts w:hint="eastAsia" w:ascii="仿宋_GB2312" w:eastAsia="仿宋_GB2312" w:cs="宋体" w:hAnsiTheme="minorEastAsia"/>
                <w:color w:val="auto"/>
                <w:sz w:val="21"/>
                <w:szCs w:val="21"/>
                <w:lang w:eastAsia="zh-CN"/>
              </w:rPr>
              <w:t>开标小组评标</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r>
              <w:rPr>
                <w:rFonts w:ascii="仿宋_GB2312" w:eastAsia="仿宋_GB2312" w:cs="宋体" w:hAnsiTheme="minorEastAsia"/>
                <w:color w:val="auto"/>
                <w:sz w:val="21"/>
                <w:szCs w:val="21"/>
              </w:rPr>
              <w:t>9</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履约保证金</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中标后投标保证金自动转为履约保证金</w:t>
            </w:r>
          </w:p>
        </w:tc>
      </w:tr>
      <w:tr>
        <w:tblPrEx>
          <w:tblCellMar>
            <w:top w:w="0" w:type="dxa"/>
            <w:left w:w="108" w:type="dxa"/>
            <w:bottom w:w="0" w:type="dxa"/>
            <w:right w:w="108" w:type="dxa"/>
          </w:tblCellMar>
        </w:tblPrEx>
        <w:trPr>
          <w:trHeight w:val="454" w:hRule="atLeast"/>
        </w:trPr>
        <w:tc>
          <w:tcPr>
            <w:tcW w:w="57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2</w:t>
            </w:r>
            <w:r>
              <w:rPr>
                <w:rFonts w:ascii="仿宋_GB2312" w:eastAsia="仿宋_GB2312" w:cs="宋体" w:hAnsiTheme="minorEastAsia"/>
                <w:color w:val="auto"/>
                <w:sz w:val="21"/>
                <w:szCs w:val="21"/>
              </w:rPr>
              <w:t>0</w:t>
            </w:r>
          </w:p>
        </w:tc>
        <w:tc>
          <w:tcPr>
            <w:tcW w:w="2118"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物资计量方式：</w:t>
            </w:r>
          </w:p>
        </w:tc>
        <w:tc>
          <w:tcPr>
            <w:tcW w:w="2305"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color w:val="auto"/>
                <w:sz w:val="21"/>
                <w:szCs w:val="21"/>
                <w:u w:val="single"/>
              </w:rPr>
            </w:pPr>
            <w:r>
              <w:rPr>
                <w:rFonts w:hint="eastAsia" w:ascii="仿宋_GB2312" w:eastAsia="仿宋_GB2312" w:cs="宋体" w:hAnsiTheme="minorEastAsia"/>
                <w:color w:val="auto"/>
                <w:sz w:val="21"/>
                <w:szCs w:val="21"/>
              </w:rPr>
              <w:t>过磅</w:t>
            </w:r>
            <w:r>
              <w:rPr>
                <w:rFonts w:hint="eastAsia" w:ascii="仿宋_GB2312" w:hAnsi="仿宋_GB2312" w:eastAsia="仿宋_GB2312" w:cs="仿宋_GB2312"/>
                <w:color w:val="auto"/>
                <w:sz w:val="21"/>
                <w:szCs w:val="21"/>
              </w:rPr>
              <w:sym w:font="Wingdings 2" w:char="0052"/>
            </w:r>
            <w:r>
              <w:rPr>
                <w:rFonts w:hint="eastAsia" w:ascii="仿宋_GB2312" w:hAnsi="仿宋_GB2312" w:eastAsia="仿宋_GB2312" w:cs="仿宋_GB2312"/>
                <w:color w:val="auto"/>
                <w:sz w:val="21"/>
                <w:szCs w:val="21"/>
              </w:rPr>
              <w:t>计件□</w:t>
            </w:r>
            <w:r>
              <w:rPr>
                <w:rFonts w:hint="eastAsia" w:ascii="仿宋_GB2312" w:eastAsia="仿宋_GB2312" w:cs="宋体" w:hAnsiTheme="minorEastAsia"/>
                <w:color w:val="auto"/>
                <w:sz w:val="21"/>
                <w:szCs w:val="21"/>
              </w:rPr>
              <w:t xml:space="preserve"> 检尺□ 其他计量方式</w:t>
            </w:r>
            <w:r>
              <w:rPr>
                <w:rFonts w:hint="eastAsia" w:ascii="仿宋_GB2312" w:eastAsia="仿宋_GB2312" w:cs="宋体" w:hAnsiTheme="minorEastAsia"/>
                <w:color w:val="auto"/>
                <w:sz w:val="21"/>
                <w:szCs w:val="21"/>
                <w:u w:val="single"/>
              </w:rPr>
              <w:t xml:space="preserve"> </w:t>
            </w:r>
            <w:r>
              <w:rPr>
                <w:rFonts w:ascii="仿宋_GB2312" w:eastAsia="仿宋_GB2312" w:cs="宋体" w:hAnsiTheme="minorEastAsia"/>
                <w:color w:val="auto"/>
                <w:sz w:val="21"/>
                <w:szCs w:val="21"/>
                <w:u w:val="single"/>
              </w:rPr>
              <w:t xml:space="preserve">    </w:t>
            </w:r>
          </w:p>
        </w:tc>
      </w:tr>
      <w:bookmarkEnd w:id="1"/>
      <w:bookmarkEnd w:id="2"/>
      <w:bookmarkEnd w:id="3"/>
      <w:bookmarkEnd w:id="4"/>
      <w:bookmarkEnd w:id="5"/>
      <w:bookmarkEnd w:id="6"/>
      <w:bookmarkEnd w:id="7"/>
    </w:tbl>
    <w:p>
      <w:pPr>
        <w:widowControl/>
        <w:rPr>
          <w:rFonts w:ascii="仿宋_GB2312" w:eastAsia="仿宋_GB2312" w:cs="黑体" w:hAnsiTheme="minorEastAsia"/>
          <w:b/>
          <w:color w:val="auto"/>
          <w:sz w:val="28"/>
          <w:szCs w:val="28"/>
        </w:rPr>
      </w:pPr>
      <w:bookmarkStart w:id="9" w:name="_Toc214333205"/>
      <w:bookmarkStart w:id="10" w:name="_Toc31831"/>
      <w:bookmarkStart w:id="11" w:name="_Toc214336660"/>
      <w:bookmarkStart w:id="12" w:name="_Toc214339494"/>
    </w:p>
    <w:p>
      <w:pPr>
        <w:widowControl/>
        <w:rPr>
          <w:rFonts w:ascii="仿宋_GB2312" w:eastAsia="仿宋_GB2312" w:cs="Times New Roman" w:hAnsiTheme="minorEastAsia"/>
          <w:b/>
          <w:bCs/>
          <w:color w:val="auto"/>
          <w:sz w:val="28"/>
          <w:szCs w:val="28"/>
        </w:rPr>
      </w:pPr>
      <w:r>
        <w:rPr>
          <w:rFonts w:hint="eastAsia" w:ascii="仿宋_GB2312" w:eastAsia="仿宋_GB2312" w:cs="黑体" w:hAnsiTheme="minorEastAsia"/>
          <w:b/>
          <w:color w:val="auto"/>
          <w:sz w:val="28"/>
          <w:szCs w:val="28"/>
        </w:rPr>
        <w:t>一、总则</w:t>
      </w:r>
      <w:bookmarkEnd w:id="9"/>
      <w:bookmarkEnd w:id="10"/>
      <w:bookmarkEnd w:id="11"/>
      <w:bookmarkEnd w:id="12"/>
    </w:p>
    <w:p>
      <w:pPr>
        <w:pStyle w:val="181"/>
        <w:keepNext w:val="0"/>
        <w:keepLines w:val="0"/>
        <w:ind w:firstLine="482" w:firstLineChars="200"/>
        <w:rPr>
          <w:rFonts w:ascii="仿宋_GB2312" w:eastAsia="仿宋_GB2312" w:hAnsiTheme="minorEastAsia"/>
          <w:b/>
          <w:bCs/>
          <w:color w:val="auto"/>
        </w:rPr>
      </w:pPr>
      <w:bookmarkStart w:id="13" w:name="_Toc21102"/>
      <w:r>
        <w:rPr>
          <w:rFonts w:hint="eastAsia" w:ascii="仿宋_GB2312" w:eastAsia="仿宋_GB2312" w:cs="宋体" w:hAnsiTheme="minorEastAsia"/>
          <w:b/>
          <w:bCs/>
          <w:color w:val="auto"/>
        </w:rPr>
        <w:t>1.项目概况</w:t>
      </w:r>
      <w:bookmarkEnd w:id="13"/>
    </w:p>
    <w:p>
      <w:pPr>
        <w:pStyle w:val="181"/>
        <w:keepNext w:val="0"/>
        <w:keepLines w:val="0"/>
        <w:ind w:firstLine="420" w:firstLineChars="200"/>
        <w:rPr>
          <w:rFonts w:ascii="仿宋_GB2312" w:eastAsia="仿宋_GB2312" w:cs="宋体" w:hAnsiTheme="minorEastAsia"/>
          <w:color w:val="auto"/>
          <w:sz w:val="21"/>
          <w:szCs w:val="21"/>
        </w:rPr>
      </w:pPr>
      <w:bookmarkStart w:id="14" w:name="_Toc27169"/>
      <w:r>
        <w:rPr>
          <w:rFonts w:hint="eastAsia" w:ascii="仿宋_GB2312" w:eastAsia="仿宋_GB2312" w:cs="宋体" w:hAnsiTheme="minorEastAsia"/>
          <w:color w:val="auto"/>
          <w:sz w:val="21"/>
          <w:szCs w:val="21"/>
        </w:rPr>
        <w:t>1.1</w:t>
      </w:r>
      <w:r>
        <w:rPr>
          <w:rFonts w:hint="eastAsia" w:ascii="仿宋_GB2312" w:eastAsia="仿宋_GB2312" w:hAnsiTheme="minorEastAsia"/>
          <w:color w:val="auto"/>
          <w:kern w:val="0"/>
          <w:sz w:val="21"/>
          <w:szCs w:val="21"/>
        </w:rPr>
        <w:t>坚持以习近平新时代中国特色社会主义思想为指导，全面贯彻党的十九大精神。遵守自由、平等、公正、法治的社会主义核心价值观。</w:t>
      </w:r>
    </w:p>
    <w:p>
      <w:pPr>
        <w:pStyle w:val="181"/>
        <w:keepNext w:val="0"/>
        <w:keepLines w:val="0"/>
        <w:ind w:firstLine="420" w:firstLineChars="20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w:t>
      </w:r>
      <w:bookmarkEnd w:id="14"/>
      <w:r>
        <w:rPr>
          <w:rFonts w:hint="eastAsia" w:ascii="仿宋_GB2312" w:eastAsia="仿宋_GB2312" w:cs="宋体" w:hAnsiTheme="minorEastAsia"/>
          <w:color w:val="auto"/>
          <w:sz w:val="21"/>
          <w:szCs w:val="21"/>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rPr>
          <w:rFonts w:hint="default" w:ascii="仿宋_GB2312" w:eastAsia="仿宋_GB2312" w:cs="宋体" w:hAnsiTheme="minorEastAsia"/>
          <w:color w:val="auto"/>
          <w:sz w:val="21"/>
          <w:szCs w:val="21"/>
          <w:u w:val="single"/>
          <w:lang w:val="en-US" w:eastAsia="zh-CN"/>
        </w:rPr>
      </w:pPr>
      <w:r>
        <w:rPr>
          <w:rFonts w:hint="eastAsia" w:ascii="仿宋_GB2312" w:eastAsia="仿宋_GB2312" w:cs="宋体" w:hAnsiTheme="minorEastAsia"/>
          <w:color w:val="auto"/>
          <w:sz w:val="21"/>
          <w:szCs w:val="21"/>
        </w:rPr>
        <w:t>1.3招标编号：</w:t>
      </w:r>
      <w:r>
        <w:rPr>
          <w:rFonts w:hint="eastAsia" w:ascii="仿宋_GB2312" w:eastAsia="仿宋_GB2312" w:cs="宋体" w:hAnsiTheme="minorEastAsia"/>
          <w:color w:val="auto"/>
          <w:sz w:val="21"/>
          <w:szCs w:val="21"/>
          <w:u w:val="single"/>
          <w:lang w:val="en-US" w:eastAsia="zh-CN"/>
        </w:rPr>
        <w:t xml:space="preserve"> YHGS-FGZB-藁城滹沱河项目-2023001号 </w:t>
      </w:r>
    </w:p>
    <w:p>
      <w:pPr>
        <w:pStyle w:val="181"/>
        <w:keepNext w:val="0"/>
        <w:keepLines w:val="0"/>
        <w:ind w:firstLine="420" w:firstLineChars="20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1.4项目名称：</w:t>
      </w:r>
      <w:r>
        <w:rPr>
          <w:rFonts w:hint="eastAsia" w:ascii="仿宋_GB2312" w:eastAsia="仿宋_GB2312" w:cs="宋体" w:hAnsiTheme="minorEastAsia"/>
          <w:color w:val="auto"/>
          <w:sz w:val="21"/>
          <w:szCs w:val="21"/>
          <w:u w:val="single"/>
          <w:lang w:val="en-US" w:eastAsia="zh-CN"/>
        </w:rPr>
        <w:t>2023年滹沱河防洪整治工程</w:t>
      </w:r>
      <w:r>
        <w:rPr>
          <w:rFonts w:hint="eastAsia" w:ascii="仿宋_GB2312" w:eastAsia="仿宋_GB2312" w:cs="宋体" w:hAnsiTheme="minorEastAsia"/>
          <w:color w:val="auto"/>
          <w:sz w:val="21"/>
          <w:szCs w:val="21"/>
          <w:u w:val="single"/>
        </w:rPr>
        <w:t xml:space="preserve"> </w:t>
      </w:r>
    </w:p>
    <w:p>
      <w:pPr>
        <w:pStyle w:val="181"/>
        <w:keepNext w:val="0"/>
        <w:keepLines w:val="0"/>
        <w:ind w:firstLine="420" w:firstLineChars="20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1.5项目地点：</w:t>
      </w:r>
      <w:r>
        <w:rPr>
          <w:rFonts w:hint="eastAsia" w:ascii="仿宋_GB2312" w:hAnsi="仿宋" w:eastAsia="仿宋_GB2312"/>
          <w:bCs/>
          <w:color w:val="auto"/>
          <w:sz w:val="21"/>
          <w:szCs w:val="21"/>
          <w:u w:val="single"/>
        </w:rPr>
        <w:t>河北省石家庄市藁城区兴安镇张村中街</w:t>
      </w:r>
      <w:r>
        <w:rPr>
          <w:rFonts w:hint="eastAsia" w:ascii="仿宋_GB2312" w:eastAsia="仿宋_GB2312" w:cs="宋体" w:hAnsiTheme="minorEastAsia"/>
          <w:color w:val="auto"/>
          <w:sz w:val="21"/>
          <w:szCs w:val="21"/>
        </w:rPr>
        <w:t xml:space="preserve">   </w:t>
      </w:r>
    </w:p>
    <w:p>
      <w:pPr>
        <w:pStyle w:val="181"/>
        <w:keepNext w:val="0"/>
        <w:keepLines w:val="0"/>
        <w:ind w:firstLine="420" w:firstLineChars="200"/>
        <w:rPr>
          <w:rFonts w:ascii="仿宋_GB2312" w:eastAsia="仿宋_GB2312" w:cs="宋体" w:hAnsiTheme="minorEastAsia"/>
          <w:color w:val="auto"/>
          <w:sz w:val="21"/>
          <w:szCs w:val="21"/>
          <w:u w:val="single"/>
        </w:rPr>
      </w:pPr>
      <w:r>
        <w:rPr>
          <w:rFonts w:hint="eastAsia" w:ascii="仿宋_GB2312" w:eastAsia="仿宋_GB2312" w:cs="宋体" w:hAnsiTheme="minorEastAsia"/>
          <w:color w:val="auto"/>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color w:val="auto"/>
          <w:sz w:val="21"/>
          <w:szCs w:val="21"/>
          <w:u w:val="single"/>
        </w:rPr>
        <w:t xml:space="preserve">王振东 </w:t>
      </w:r>
      <w:r>
        <w:rPr>
          <w:rFonts w:hint="eastAsia" w:ascii="仿宋_GB2312" w:eastAsia="仿宋_GB2312" w:cs="宋体" w:hAnsiTheme="minorEastAsia"/>
          <w:color w:val="auto"/>
          <w:sz w:val="21"/>
          <w:szCs w:val="21"/>
        </w:rPr>
        <w:t>，电话：</w:t>
      </w:r>
      <w:r>
        <w:rPr>
          <w:rFonts w:hint="eastAsia" w:ascii="仿宋_GB2312" w:eastAsia="仿宋_GB2312" w:cs="宋体" w:hAnsiTheme="minorEastAsia"/>
          <w:color w:val="auto"/>
          <w:sz w:val="21"/>
          <w:szCs w:val="21"/>
          <w:u w:val="single"/>
        </w:rPr>
        <w:t xml:space="preserve">17736066696 </w:t>
      </w:r>
    </w:p>
    <w:p>
      <w:pPr>
        <w:pStyle w:val="181"/>
        <w:keepNext w:val="0"/>
        <w:keepLines w:val="0"/>
        <w:ind w:firstLine="420" w:firstLineChars="20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1.7工期</w:t>
      </w:r>
      <w:r>
        <w:rPr>
          <w:rFonts w:hint="eastAsia" w:ascii="宋体" w:hAnsi="宋体" w:eastAsia="宋体" w:cs="宋体"/>
          <w:color w:val="auto"/>
          <w:sz w:val="21"/>
          <w:szCs w:val="21"/>
        </w:rPr>
        <w:t>：</w:t>
      </w:r>
      <w:r>
        <w:rPr>
          <w:rFonts w:hint="eastAsia" w:ascii="仿宋_GB2312" w:eastAsia="仿宋_GB2312" w:cs="宋体" w:hAnsiTheme="minorEastAsia"/>
          <w:color w:val="auto"/>
          <w:sz w:val="21"/>
          <w:szCs w:val="21"/>
        </w:rPr>
        <w:t>计划供货期见招标公告。投标人应以满足招标人的实际生产需求为原则，及时进行运输车数量调整，车辆驾驶人员及配合人员充足。工期包括国家法定节假日、公休日和不可避免的交叉作业影响因素。</w:t>
      </w:r>
    </w:p>
    <w:p>
      <w:pPr>
        <w:pStyle w:val="181"/>
        <w:keepNext w:val="0"/>
        <w:keepLines w:val="0"/>
        <w:ind w:firstLine="482" w:firstLineChars="200"/>
        <w:rPr>
          <w:rFonts w:ascii="仿宋_GB2312" w:eastAsia="仿宋_GB2312" w:hAnsiTheme="minorEastAsia"/>
          <w:b/>
          <w:bCs/>
          <w:color w:val="auto"/>
        </w:rPr>
      </w:pPr>
      <w:bookmarkStart w:id="15" w:name="_Toc20775"/>
      <w:r>
        <w:rPr>
          <w:rFonts w:hint="eastAsia" w:ascii="仿宋_GB2312" w:eastAsia="仿宋_GB2312" w:cs="宋体" w:hAnsiTheme="minorEastAsia"/>
          <w:b/>
          <w:bCs/>
          <w:color w:val="auto"/>
        </w:rPr>
        <w:t>2.招标人</w:t>
      </w:r>
      <w:bookmarkEnd w:id="15"/>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中建路桥集团高速公路养护有限公司</w:t>
      </w:r>
    </w:p>
    <w:p>
      <w:pPr>
        <w:pStyle w:val="181"/>
        <w:keepNext w:val="0"/>
        <w:keepLines w:val="0"/>
        <w:ind w:firstLine="482" w:firstLineChars="200"/>
        <w:rPr>
          <w:rFonts w:ascii="仿宋_GB2312" w:eastAsia="仿宋_GB2312" w:hAnsiTheme="minorEastAsia"/>
          <w:b/>
          <w:bCs/>
          <w:color w:val="auto"/>
        </w:rPr>
      </w:pPr>
      <w:bookmarkStart w:id="16" w:name="_Toc6649"/>
      <w:r>
        <w:rPr>
          <w:rFonts w:hint="eastAsia" w:ascii="仿宋_GB2312" w:eastAsia="仿宋_GB2312" w:cs="宋体" w:hAnsiTheme="minorEastAsia"/>
          <w:b/>
          <w:bCs/>
          <w:color w:val="auto"/>
        </w:rPr>
        <w:t>3.采购资金来源</w:t>
      </w:r>
      <w:bookmarkEnd w:id="16"/>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项目结算工程款</w:t>
      </w:r>
    </w:p>
    <w:p>
      <w:pPr>
        <w:pStyle w:val="181"/>
        <w:keepNext w:val="0"/>
        <w:keepLines w:val="0"/>
        <w:ind w:firstLine="482" w:firstLineChars="200"/>
        <w:rPr>
          <w:rFonts w:ascii="仿宋_GB2312" w:eastAsia="仿宋_GB2312" w:hAnsiTheme="minorEastAsia" w:cstheme="minorBidi"/>
          <w:color w:val="auto"/>
          <w:sz w:val="21"/>
          <w:szCs w:val="21"/>
        </w:rPr>
      </w:pPr>
      <w:bookmarkStart w:id="17" w:name="_Toc30721"/>
      <w:r>
        <w:rPr>
          <w:rFonts w:hint="eastAsia" w:ascii="仿宋_GB2312" w:eastAsia="仿宋_GB2312" w:cs="宋体" w:hAnsiTheme="minorEastAsia"/>
          <w:b/>
          <w:bCs/>
          <w:color w:val="auto"/>
        </w:rPr>
        <w:t>4.招标物资、包件划分和要求</w:t>
      </w:r>
      <w:bookmarkEnd w:id="17"/>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4.1本次招标租赁机械设备为中建路桥集团高速公路养护有限公司石家庄市藁城分公司</w:t>
      </w:r>
      <w:r>
        <w:rPr>
          <w:rFonts w:hint="eastAsia" w:ascii="仿宋_GB2312" w:eastAsia="仿宋_GB2312" w:hAnsiTheme="minorEastAsia"/>
          <w:color w:val="auto"/>
          <w:sz w:val="21"/>
          <w:szCs w:val="21"/>
          <w:lang w:val="en-US" w:eastAsia="zh-CN"/>
        </w:rPr>
        <w:t>2023年滹沱河防洪整治工程</w:t>
      </w:r>
      <w:r>
        <w:rPr>
          <w:rFonts w:hint="eastAsia" w:ascii="仿宋_GB2312" w:eastAsia="仿宋_GB2312" w:hAnsiTheme="minorEastAsia"/>
          <w:color w:val="auto"/>
          <w:sz w:val="21"/>
          <w:szCs w:val="21"/>
        </w:rPr>
        <w:t>项目所需</w:t>
      </w:r>
      <w:r>
        <w:rPr>
          <w:rFonts w:hint="eastAsia" w:ascii="仿宋_GB2312" w:eastAsia="仿宋_GB2312" w:hAnsiTheme="minorEastAsia"/>
          <w:color w:val="auto"/>
          <w:sz w:val="21"/>
          <w:szCs w:val="21"/>
          <w:u w:val="single"/>
        </w:rPr>
        <w:t xml:space="preserve"> </w:t>
      </w:r>
      <w:r>
        <w:rPr>
          <w:rFonts w:hint="eastAsia" w:ascii="仿宋_GB2312" w:eastAsia="仿宋_GB2312" w:hAnsiTheme="minorEastAsia"/>
          <w:color w:val="auto"/>
          <w:sz w:val="21"/>
          <w:szCs w:val="21"/>
          <w:u w:val="single"/>
          <w:lang w:eastAsia="zh-CN"/>
        </w:rPr>
        <w:t>水稳级配成品料运输</w:t>
      </w:r>
      <w:r>
        <w:rPr>
          <w:rFonts w:hint="eastAsia" w:ascii="仿宋_GB2312" w:eastAsia="仿宋_GB2312" w:hAnsiTheme="minorEastAsia"/>
          <w:color w:val="auto"/>
          <w:sz w:val="21"/>
          <w:szCs w:val="21"/>
          <w:u w:val="single"/>
        </w:rPr>
        <w:t xml:space="preserve"> </w:t>
      </w:r>
      <w:r>
        <w:rPr>
          <w:rFonts w:hint="eastAsia" w:ascii="仿宋_GB2312" w:eastAsia="仿宋_GB2312" w:hAnsiTheme="minorEastAsia"/>
          <w:color w:val="auto"/>
          <w:sz w:val="21"/>
          <w:szCs w:val="21"/>
        </w:rPr>
        <w:t>。具体数量详见下表。</w:t>
      </w:r>
    </w:p>
    <w:p>
      <w:pPr>
        <w:pStyle w:val="3"/>
        <w:jc w:val="both"/>
        <w:rPr>
          <w:color w:val="auto"/>
        </w:rPr>
      </w:pPr>
    </w:p>
    <w:tbl>
      <w:tblPr>
        <w:tblStyle w:val="35"/>
        <w:tblpPr w:leftFromText="180" w:rightFromText="180" w:vertAnchor="text" w:horzAnchor="margin" w:tblpXSpec="center" w:tblpY="230"/>
        <w:tblW w:w="8359" w:type="dxa"/>
        <w:tblInd w:w="0" w:type="dxa"/>
        <w:tblLayout w:type="fixed"/>
        <w:tblCellMar>
          <w:top w:w="15" w:type="dxa"/>
          <w:left w:w="15" w:type="dxa"/>
          <w:bottom w:w="15" w:type="dxa"/>
          <w:right w:w="15" w:type="dxa"/>
        </w:tblCellMar>
      </w:tblPr>
      <w:tblGrid>
        <w:gridCol w:w="713"/>
        <w:gridCol w:w="1125"/>
        <w:gridCol w:w="1143"/>
        <w:gridCol w:w="1267"/>
        <w:gridCol w:w="1417"/>
        <w:gridCol w:w="1418"/>
        <w:gridCol w:w="1276"/>
      </w:tblGrid>
      <w:tr>
        <w:tblPrEx>
          <w:tblCellMar>
            <w:top w:w="15" w:type="dxa"/>
            <w:left w:w="15" w:type="dxa"/>
            <w:bottom w:w="15" w:type="dxa"/>
            <w:right w:w="15"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项目名称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起始地点</w:t>
            </w:r>
          </w:p>
        </w:tc>
        <w:tc>
          <w:tcPr>
            <w:tcW w:w="12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目的地</w:t>
            </w:r>
          </w:p>
        </w:tc>
        <w:tc>
          <w:tcPr>
            <w:tcW w:w="1417"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暂定数量</w:t>
            </w:r>
          </w:p>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（吨）</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平均运距</w:t>
            </w:r>
          </w:p>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（公里）</w:t>
            </w:r>
          </w:p>
        </w:tc>
        <w:tc>
          <w:tcPr>
            <w:tcW w:w="1276" w:type="dxa"/>
            <w:tcBorders>
              <w:top w:val="single" w:color="000000" w:sz="4" w:space="0"/>
              <w:left w:val="single" w:color="auto" w:sz="4" w:space="0"/>
              <w:bottom w:val="single" w:color="000000" w:sz="4" w:space="0"/>
              <w:right w:val="single" w:color="000000" w:sz="4" w:space="0"/>
            </w:tcBorders>
          </w:tcPr>
          <w:p>
            <w:pPr>
              <w:widowControl/>
              <w:spacing w:line="400" w:lineRule="exact"/>
              <w:jc w:val="center"/>
              <w:textAlignment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备注</w:t>
            </w:r>
          </w:p>
        </w:tc>
      </w:tr>
      <w:tr>
        <w:tblPrEx>
          <w:tblCellMar>
            <w:top w:w="15" w:type="dxa"/>
            <w:left w:w="15" w:type="dxa"/>
            <w:bottom w:w="15" w:type="dxa"/>
            <w:right w:w="15" w:type="dxa"/>
          </w:tblCellMar>
        </w:tblPrEx>
        <w:trPr>
          <w:trHeight w:val="2115" w:hRule="atLeast"/>
        </w:trPr>
        <w:tc>
          <w:tcPr>
            <w:tcW w:w="7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color w:val="auto"/>
                <w:sz w:val="21"/>
                <w:szCs w:val="21"/>
              </w:rPr>
            </w:pPr>
            <w:r>
              <w:rPr>
                <w:rFonts w:hint="eastAsia" w:ascii="仿宋_GB2312" w:eastAsia="仿宋_GB2312" w:hAnsiTheme="minorEastAsia"/>
                <w:color w:val="auto"/>
                <w:sz w:val="21"/>
                <w:szCs w:val="21"/>
                <w:lang w:eastAsia="zh-CN"/>
              </w:rPr>
              <w:t>水稳级配成品料运输</w:t>
            </w:r>
          </w:p>
        </w:tc>
        <w:tc>
          <w:tcPr>
            <w:tcW w:w="114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color w:val="auto"/>
                <w:sz w:val="21"/>
                <w:szCs w:val="21"/>
              </w:rPr>
            </w:pPr>
            <w:r>
              <w:rPr>
                <w:rFonts w:hint="eastAsia" w:ascii="仿宋_GB2312" w:eastAsia="仿宋_GB2312" w:hAnsiTheme="minorEastAsia"/>
                <w:color w:val="auto"/>
                <w:sz w:val="21"/>
                <w:szCs w:val="21"/>
              </w:rPr>
              <w:t>石家庄市藁城区兴安镇张村中街</w:t>
            </w:r>
            <w:r>
              <w:rPr>
                <w:rFonts w:hint="eastAsia" w:ascii="仿宋_GB2312" w:eastAsia="仿宋_GB2312" w:hAnsiTheme="minorEastAsia"/>
                <w:color w:val="auto"/>
                <w:sz w:val="21"/>
                <w:szCs w:val="21"/>
                <w:lang w:eastAsia="zh-CN"/>
              </w:rPr>
              <w:t>中建</w:t>
            </w:r>
            <w:r>
              <w:rPr>
                <w:rFonts w:hint="eastAsia" w:ascii="仿宋_GB2312" w:eastAsia="仿宋_GB2312" w:hAnsiTheme="minorEastAsia"/>
                <w:color w:val="auto"/>
                <w:sz w:val="21"/>
                <w:szCs w:val="21"/>
              </w:rPr>
              <w:t>拌合场</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color w:val="auto"/>
                <w:sz w:val="21"/>
                <w:szCs w:val="21"/>
              </w:rPr>
            </w:pPr>
            <w:r>
              <w:rPr>
                <w:rFonts w:hint="eastAsia" w:ascii="仿宋_GB2312" w:eastAsia="仿宋_GB2312" w:hAnsiTheme="minorEastAsia"/>
                <w:color w:val="auto"/>
                <w:sz w:val="21"/>
                <w:szCs w:val="21"/>
                <w:lang w:val="en-US" w:eastAsia="zh-CN"/>
              </w:rPr>
              <w:t>2023年滹沱河防洪整治工程</w:t>
            </w:r>
            <w:r>
              <w:rPr>
                <w:rFonts w:hint="eastAsia" w:ascii="仿宋_GB2312" w:eastAsia="仿宋_GB2312" w:cs="宋体" w:hAnsiTheme="minorEastAsia"/>
                <w:color w:val="auto"/>
                <w:sz w:val="21"/>
                <w:szCs w:val="21"/>
              </w:rPr>
              <w:t>项目部所指定地点</w:t>
            </w:r>
          </w:p>
        </w:tc>
        <w:tc>
          <w:tcPr>
            <w:tcW w:w="1417"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hint="default" w:ascii="仿宋_GB2312" w:eastAsia="仿宋_GB2312" w:hAnsiTheme="minorEastAsia"/>
                <w:color w:val="auto"/>
                <w:sz w:val="21"/>
                <w:szCs w:val="21"/>
                <w:lang w:val="en-US" w:eastAsia="zh-CN"/>
              </w:rPr>
            </w:pPr>
            <w:r>
              <w:rPr>
                <w:rFonts w:hint="eastAsia" w:ascii="仿宋_GB2312" w:eastAsia="仿宋_GB2312" w:hAnsiTheme="minorEastAsia"/>
                <w:color w:val="auto"/>
                <w:sz w:val="21"/>
                <w:szCs w:val="21"/>
                <w:lang w:val="en-US" w:eastAsia="zh-CN"/>
              </w:rPr>
              <w:t>131500</w:t>
            </w:r>
          </w:p>
        </w:tc>
        <w:tc>
          <w:tcPr>
            <w:tcW w:w="141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outlineLvl w:val="2"/>
              <w:rPr>
                <w:rFonts w:hint="default" w:ascii="仿宋_GB2312" w:eastAsia="仿宋_GB2312" w:hAnsiTheme="minorEastAsia"/>
                <w:color w:val="auto"/>
                <w:sz w:val="21"/>
                <w:szCs w:val="21"/>
                <w:lang w:val="en-US" w:eastAsia="zh-CN"/>
              </w:rPr>
            </w:pPr>
            <w:r>
              <w:rPr>
                <w:rFonts w:hint="eastAsia" w:ascii="仿宋_GB2312" w:eastAsia="仿宋_GB2312" w:hAnsiTheme="minorEastAsia"/>
                <w:color w:val="auto"/>
                <w:sz w:val="21"/>
                <w:szCs w:val="21"/>
                <w:lang w:val="en-US" w:eastAsia="zh-CN"/>
              </w:rPr>
              <w:t>13</w:t>
            </w:r>
          </w:p>
        </w:tc>
        <w:tc>
          <w:tcPr>
            <w:tcW w:w="1276" w:type="dxa"/>
            <w:tcBorders>
              <w:top w:val="single" w:color="000000" w:sz="4" w:space="0"/>
              <w:left w:val="single" w:color="auto" w:sz="4" w:space="0"/>
              <w:bottom w:val="single" w:color="000000" w:sz="4" w:space="0"/>
              <w:right w:val="single" w:color="000000" w:sz="4" w:space="0"/>
            </w:tcBorders>
          </w:tcPr>
          <w:p>
            <w:pPr>
              <w:spacing w:line="400" w:lineRule="exact"/>
              <w:ind w:firstLine="420" w:firstLineChars="200"/>
              <w:jc w:val="center"/>
              <w:outlineLvl w:val="2"/>
              <w:rPr>
                <w:rFonts w:ascii="仿宋_GB2312" w:eastAsia="仿宋_GB2312" w:hAnsiTheme="minorEastAsia"/>
                <w:color w:val="auto"/>
                <w:sz w:val="21"/>
                <w:szCs w:val="21"/>
              </w:rPr>
            </w:pPr>
          </w:p>
        </w:tc>
      </w:tr>
    </w:tbl>
    <w:p>
      <w:pPr>
        <w:pStyle w:val="3"/>
        <w:jc w:val="both"/>
        <w:rPr>
          <w:color w:val="auto"/>
        </w:rPr>
      </w:pP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4.2交货地点：</w:t>
      </w:r>
      <w:r>
        <w:rPr>
          <w:rFonts w:hint="eastAsia" w:ascii="仿宋_GB2312" w:eastAsia="仿宋_GB2312" w:hAnsiTheme="minorEastAsia"/>
          <w:color w:val="auto"/>
          <w:sz w:val="21"/>
          <w:szCs w:val="21"/>
          <w:lang w:val="en-US" w:eastAsia="zh-CN"/>
        </w:rPr>
        <w:t>2023年滹沱河防洪整治工程</w:t>
      </w:r>
      <w:r>
        <w:rPr>
          <w:rFonts w:hint="eastAsia" w:ascii="仿宋_GB2312" w:eastAsia="仿宋_GB2312" w:hAnsiTheme="minorEastAsia"/>
          <w:color w:val="auto"/>
          <w:sz w:val="21"/>
          <w:szCs w:val="21"/>
        </w:rPr>
        <w:t>项目</w:t>
      </w:r>
      <w:r>
        <w:rPr>
          <w:rFonts w:hint="eastAsia" w:ascii="仿宋_GB2312" w:eastAsia="仿宋_GB2312" w:cs="宋体" w:hAnsiTheme="minorEastAsia"/>
          <w:color w:val="auto"/>
          <w:sz w:val="21"/>
          <w:szCs w:val="21"/>
        </w:rPr>
        <w:t>指定地点。</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4.</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标</w:t>
      </w:r>
      <w:r>
        <w:rPr>
          <w:rFonts w:hint="eastAsia" w:ascii="仿宋_GB2312" w:eastAsia="仿宋_GB2312" w:hAnsiTheme="minorEastAsia"/>
          <w:color w:val="auto"/>
          <w:sz w:val="21"/>
          <w:szCs w:val="21"/>
          <w:lang w:eastAsia="zh-CN"/>
        </w:rPr>
        <w:t>的服务</w:t>
      </w:r>
      <w:r>
        <w:rPr>
          <w:rFonts w:hint="eastAsia" w:ascii="仿宋_GB2312" w:eastAsia="仿宋_GB2312" w:hAnsiTheme="minorEastAsia"/>
          <w:color w:val="auto"/>
          <w:sz w:val="21"/>
          <w:szCs w:val="21"/>
        </w:rPr>
        <w:t>不允许转包。</w:t>
      </w:r>
    </w:p>
    <w:p>
      <w:pPr>
        <w:pStyle w:val="181"/>
        <w:keepNext w:val="0"/>
        <w:keepLines w:val="0"/>
        <w:ind w:firstLine="482" w:firstLineChars="200"/>
        <w:rPr>
          <w:rFonts w:ascii="仿宋_GB2312" w:eastAsia="仿宋_GB2312" w:hAnsiTheme="minorEastAsia"/>
          <w:b/>
          <w:bCs/>
          <w:color w:val="auto"/>
        </w:rPr>
      </w:pPr>
      <w:bookmarkStart w:id="18" w:name="_Toc8674"/>
      <w:r>
        <w:rPr>
          <w:rFonts w:hint="eastAsia" w:ascii="仿宋_GB2312" w:eastAsia="仿宋_GB2312" w:cs="宋体" w:hAnsiTheme="minorEastAsia"/>
          <w:b/>
          <w:bCs/>
          <w:color w:val="auto"/>
        </w:rPr>
        <w:t>5.投标人</w:t>
      </w:r>
      <w:bookmarkEnd w:id="18"/>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投标人必须是经国家工商、税务机关登记注册，经营范围涵盖招标物资，能独立承担民事责任的法人组织。代理人必须得到投标单位的授权。</w:t>
      </w:r>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投标单位需首先获得招标人的准入许可方能参与本次</w:t>
      </w:r>
      <w:r>
        <w:rPr>
          <w:rFonts w:hint="eastAsia" w:ascii="仿宋_GB2312" w:eastAsia="仿宋_GB2312" w:hAnsiTheme="minorEastAsia"/>
          <w:color w:val="auto"/>
          <w:sz w:val="21"/>
          <w:szCs w:val="21"/>
          <w:lang w:eastAsia="zh-CN"/>
        </w:rPr>
        <w:t>投</w:t>
      </w:r>
      <w:r>
        <w:rPr>
          <w:rFonts w:hint="eastAsia" w:ascii="仿宋_GB2312" w:eastAsia="仿宋_GB2312" w:hAnsiTheme="minorEastAsia"/>
          <w:color w:val="auto"/>
          <w:sz w:val="21"/>
          <w:szCs w:val="21"/>
        </w:rPr>
        <w:t>标。</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5.1投标人必须具备：</w:t>
      </w:r>
    </w:p>
    <w:p>
      <w:pPr>
        <w:spacing w:line="400" w:lineRule="exact"/>
        <w:ind w:firstLine="420" w:firstLineChars="200"/>
        <w:outlineLvl w:val="2"/>
        <w:rPr>
          <w:rFonts w:ascii="仿宋_GB2312" w:eastAsia="仿宋_GB2312" w:hAnsiTheme="minorEastAsia"/>
          <w:color w:val="auto"/>
          <w:sz w:val="21"/>
          <w:szCs w:val="21"/>
        </w:rPr>
      </w:pPr>
      <w:bookmarkStart w:id="19" w:name="_Toc20481"/>
      <w:r>
        <w:rPr>
          <w:rFonts w:hint="eastAsia" w:ascii="仿宋_GB2312" w:eastAsia="仿宋_GB2312" w:hAnsiTheme="minorEastAsia"/>
          <w:color w:val="auto"/>
          <w:sz w:val="21"/>
          <w:szCs w:val="21"/>
        </w:rPr>
        <w:t>5.1.1投标人必须保证所供应机械设备性能并保证能按招标人规定的规格型号、期限进场，具备运输风险抵抗能力和运输质量保障能力，能够承担本次招标</w:t>
      </w:r>
      <w:r>
        <w:rPr>
          <w:rFonts w:hint="eastAsia" w:ascii="仿宋_GB2312" w:eastAsia="仿宋_GB2312" w:hAnsiTheme="minorEastAsia"/>
          <w:color w:val="auto"/>
          <w:sz w:val="21"/>
          <w:szCs w:val="21"/>
          <w:lang w:eastAsia="zh-CN"/>
        </w:rPr>
        <w:t>水稳级配成品料</w:t>
      </w:r>
      <w:r>
        <w:rPr>
          <w:rFonts w:hint="eastAsia" w:ascii="仿宋_GB2312" w:eastAsia="仿宋_GB2312" w:hAnsiTheme="minorEastAsia"/>
          <w:color w:val="auto"/>
          <w:sz w:val="21"/>
          <w:szCs w:val="21"/>
        </w:rPr>
        <w:t>运输能力。</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5.1.2营业范围要求：见投标人须知前附表；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5.1.3生产能力要求：见投标人须知前附表；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5.1.4质量保证能力要求：见投标人须知前附表；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hAnsi="仿宋" w:eastAsia="仿宋_GB2312"/>
          <w:bCs/>
          <w:color w:val="auto"/>
          <w:sz w:val="21"/>
          <w:szCs w:val="21"/>
        </w:rPr>
        <w:t>5.1.5绿色、节能、环保</w:t>
      </w:r>
      <w:r>
        <w:rPr>
          <w:rFonts w:hint="eastAsia" w:ascii="仿宋_GB2312" w:eastAsia="仿宋_GB2312" w:hAnsiTheme="minorEastAsia"/>
          <w:color w:val="auto"/>
          <w:sz w:val="21"/>
          <w:szCs w:val="21"/>
        </w:rPr>
        <w:t>能力</w:t>
      </w:r>
      <w:r>
        <w:rPr>
          <w:rFonts w:hint="eastAsia" w:ascii="仿宋_GB2312" w:hAnsi="仿宋" w:eastAsia="仿宋_GB2312"/>
          <w:bCs/>
          <w:color w:val="auto"/>
          <w:sz w:val="21"/>
          <w:szCs w:val="21"/>
        </w:rPr>
        <w:t>要求：</w:t>
      </w:r>
      <w:r>
        <w:rPr>
          <w:rFonts w:hint="eastAsia" w:ascii="仿宋_GB2312" w:eastAsia="仿宋_GB2312" w:hAnsiTheme="minorEastAsia"/>
          <w:color w:val="auto"/>
          <w:sz w:val="21"/>
          <w:szCs w:val="21"/>
        </w:rPr>
        <w:t>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5.1.6供货业绩要求：见投标人须知前附表；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5.1.7履约信用要求：见投标人须知前附表；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5.1.8</w:t>
      </w:r>
      <w:r>
        <w:rPr>
          <w:rFonts w:ascii="仿宋_GB2312" w:eastAsia="仿宋_GB2312" w:hAnsiTheme="minorEastAsia"/>
          <w:color w:val="auto"/>
          <w:sz w:val="21"/>
          <w:szCs w:val="21"/>
        </w:rPr>
        <w:t>投标人应具备的资格条件</w:t>
      </w:r>
      <w:r>
        <w:rPr>
          <w:rFonts w:hint="eastAsia" w:ascii="仿宋_GB2312" w:eastAsia="仿宋_GB2312" w:hAnsiTheme="minorEastAsia"/>
          <w:color w:val="auto"/>
          <w:sz w:val="21"/>
          <w:szCs w:val="21"/>
        </w:rPr>
        <w:t>见招标公告</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5.1.9其他要求：见投标人须知前附表。</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5.2投标人不得存在下列情形之一：</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 xml:space="preserve">5.2.1不具有独立法人资格的附属机构（单位）； </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 xml:space="preserve">5.2.2被责令停业的； </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 xml:space="preserve">5.2.3被暂停或取消投标资格的； </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5.2.4财产被接管、冻结，或企业处于停产、停业、歇业或破产状态的；</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5.2.5围标串标：两家及以上投标人法定代表人为同一人、或母公司、全资子公司及控股公司关系。</w:t>
      </w:r>
    </w:p>
    <w:p>
      <w:pPr>
        <w:spacing w:line="400" w:lineRule="exact"/>
        <w:ind w:firstLine="420" w:firstLineChars="200"/>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5</w:t>
      </w:r>
      <w:r>
        <w:rPr>
          <w:rFonts w:hint="eastAsia" w:ascii="仿宋_GB2312" w:eastAsia="仿宋_GB2312" w:hAnsiTheme="minorEastAsia"/>
          <w:color w:val="auto"/>
          <w:sz w:val="21"/>
          <w:szCs w:val="21"/>
        </w:rPr>
        <w:t>.2.6招标人不合格分供商名录单位。</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5.2.7有不良社会记录的。</w:t>
      </w:r>
    </w:p>
    <w:p>
      <w:pPr>
        <w:pStyle w:val="181"/>
        <w:keepNext w:val="0"/>
        <w:keepLines w:val="0"/>
        <w:ind w:firstLine="482" w:firstLineChars="200"/>
        <w:rPr>
          <w:rFonts w:ascii="仿宋_GB2312" w:eastAsia="仿宋_GB2312" w:hAnsiTheme="minorEastAsia"/>
          <w:b/>
          <w:bCs/>
          <w:color w:val="auto"/>
        </w:rPr>
      </w:pPr>
      <w:r>
        <w:rPr>
          <w:rFonts w:hint="eastAsia" w:ascii="仿宋_GB2312" w:eastAsia="仿宋_GB2312" w:cs="宋体" w:hAnsiTheme="minorEastAsia"/>
          <w:b/>
          <w:bCs/>
          <w:color w:val="auto"/>
        </w:rPr>
        <w:t>6.合格的物资及服务</w:t>
      </w:r>
      <w:bookmarkEnd w:id="19"/>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6.1所有投标物资及其有关服务，均应来自投标人，</w:t>
      </w:r>
      <w:r>
        <w:rPr>
          <w:rFonts w:hint="eastAsia" w:ascii="仿宋_GB2312" w:eastAsia="仿宋_GB2312" w:cs="宋体" w:hAnsiTheme="minorEastAsia"/>
          <w:color w:val="auto"/>
          <w:sz w:val="21"/>
          <w:szCs w:val="21"/>
        </w:rPr>
        <w:t>所供应的运输车辆各项性能指标</w:t>
      </w:r>
      <w:r>
        <w:rPr>
          <w:rFonts w:hint="eastAsia" w:ascii="仿宋_GB2312" w:eastAsia="仿宋_GB2312" w:hAnsiTheme="minorEastAsia"/>
          <w:color w:val="auto"/>
          <w:sz w:val="21"/>
          <w:szCs w:val="21"/>
        </w:rPr>
        <w:t>应符合或优于</w:t>
      </w:r>
      <w:r>
        <w:rPr>
          <w:rFonts w:hint="eastAsia" w:ascii="仿宋_GB2312" w:eastAsia="仿宋_GB2312" w:cs="宋体" w:hAnsiTheme="minorEastAsia"/>
          <w:color w:val="auto"/>
          <w:sz w:val="21"/>
          <w:szCs w:val="21"/>
        </w:rPr>
        <w:t>招标方施工技术要求及中华人民共和国国家、地方及行业最新颁布的相关技术标准</w:t>
      </w:r>
      <w:r>
        <w:rPr>
          <w:rFonts w:hint="eastAsia" w:ascii="仿宋_GB2312" w:eastAsia="仿宋_GB2312" w:hAnsiTheme="minorEastAsia"/>
          <w:color w:val="auto"/>
          <w:sz w:val="21"/>
          <w:szCs w:val="21"/>
        </w:rPr>
        <w:t>；</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6.2投标人承担其它相关的义务。</w:t>
      </w:r>
    </w:p>
    <w:p>
      <w:pPr>
        <w:pStyle w:val="181"/>
        <w:keepNext w:val="0"/>
        <w:keepLines w:val="0"/>
        <w:ind w:firstLine="482" w:firstLineChars="200"/>
        <w:rPr>
          <w:rFonts w:ascii="仿宋_GB2312" w:eastAsia="仿宋_GB2312" w:hAnsiTheme="minorEastAsia"/>
          <w:b/>
          <w:bCs/>
          <w:color w:val="auto"/>
        </w:rPr>
      </w:pPr>
      <w:bookmarkStart w:id="20" w:name="_Toc6990"/>
      <w:r>
        <w:rPr>
          <w:rFonts w:hint="eastAsia" w:ascii="仿宋_GB2312" w:eastAsia="仿宋_GB2312" w:cs="宋体" w:hAnsiTheme="minorEastAsia"/>
          <w:b/>
          <w:bCs/>
          <w:color w:val="auto"/>
        </w:rPr>
        <w:t>7.投标费用</w:t>
      </w:r>
      <w:bookmarkEnd w:id="20"/>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7.1投标人应承担自身发生的所有与投标有关的一切费用</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招标人在任何情况下不负担任何费用。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outlineLvl w:val="2"/>
        <w:rPr>
          <w:rFonts w:ascii="仿宋_GB2312" w:eastAsia="仿宋_GB2312" w:hAnsiTheme="minorEastAsia"/>
          <w:b/>
          <w:color w:val="auto"/>
          <w:sz w:val="21"/>
          <w:szCs w:val="21"/>
          <w:u w:val="single"/>
        </w:rPr>
      </w:pPr>
      <w:bookmarkStart w:id="21" w:name="_Hlk98226187"/>
      <w:r>
        <w:rPr>
          <w:rFonts w:hint="eastAsia" w:ascii="仿宋_GB2312" w:eastAsia="仿宋_GB2312" w:hAnsiTheme="minorEastAsia"/>
          <w:b/>
          <w:color w:val="auto"/>
          <w:sz w:val="21"/>
          <w:szCs w:val="21"/>
        </w:rPr>
        <w:t>账号信息：</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户    名：</w:t>
      </w:r>
      <w:r>
        <w:rPr>
          <w:rFonts w:hint="eastAsia" w:ascii="仿宋_GB2312" w:eastAsia="仿宋_GB2312" w:hAnsiTheme="minorEastAsia"/>
          <w:b/>
          <w:color w:val="auto"/>
          <w:sz w:val="21"/>
          <w:szCs w:val="21"/>
          <w:u w:val="single"/>
        </w:rPr>
        <w:t xml:space="preserve"> 中建路桥集团高速公路养护有限公司石家庄市藁城分公司</w:t>
      </w:r>
    </w:p>
    <w:p>
      <w:pPr>
        <w:spacing w:line="400" w:lineRule="exact"/>
        <w:ind w:firstLine="422" w:firstLineChars="200"/>
        <w:outlineLvl w:val="2"/>
        <w:rPr>
          <w:rFonts w:ascii="仿宋_GB2312" w:eastAsia="仿宋_GB2312" w:hAnsiTheme="minorEastAsia"/>
          <w:b/>
          <w:color w:val="auto"/>
          <w:sz w:val="21"/>
          <w:szCs w:val="21"/>
          <w:u w:val="single"/>
        </w:rPr>
      </w:pPr>
      <w:r>
        <w:rPr>
          <w:rFonts w:hint="eastAsia" w:ascii="仿宋_GB2312" w:eastAsia="仿宋_GB2312" w:hAnsiTheme="minorEastAsia"/>
          <w:b/>
          <w:color w:val="auto"/>
          <w:sz w:val="21"/>
          <w:szCs w:val="21"/>
        </w:rPr>
        <w:t xml:space="preserve">账    号： </w:t>
      </w:r>
      <w:r>
        <w:rPr>
          <w:rFonts w:hint="eastAsia" w:ascii="仿宋_GB2312" w:eastAsia="仿宋_GB2312" w:hAnsiTheme="minorEastAsia"/>
          <w:b/>
          <w:color w:val="auto"/>
          <w:sz w:val="21"/>
          <w:szCs w:val="21"/>
          <w:u w:val="single"/>
        </w:rPr>
        <w:t>50314001040043860</w:t>
      </w:r>
    </w:p>
    <w:p>
      <w:pPr>
        <w:spacing w:line="400" w:lineRule="exact"/>
        <w:ind w:firstLine="422" w:firstLineChars="200"/>
        <w:outlineLvl w:val="2"/>
        <w:rPr>
          <w:rFonts w:ascii="仿宋_GB2312" w:eastAsia="仿宋_GB2312" w:hAnsiTheme="minorEastAsia"/>
          <w:b/>
          <w:color w:val="auto"/>
          <w:sz w:val="21"/>
          <w:szCs w:val="21"/>
          <w:u w:val="single"/>
        </w:rPr>
      </w:pPr>
      <w:r>
        <w:rPr>
          <w:rFonts w:hint="eastAsia" w:ascii="仿宋_GB2312" w:eastAsia="仿宋_GB2312" w:hAnsiTheme="minorEastAsia"/>
          <w:b/>
          <w:color w:val="auto"/>
          <w:sz w:val="21"/>
          <w:szCs w:val="21"/>
        </w:rPr>
        <w:t>开 户 行：</w:t>
      </w:r>
      <w:bookmarkStart w:id="22" w:name="_Toc287545441"/>
      <w:bookmarkStart w:id="23" w:name="_Toc238552208"/>
      <w:bookmarkStart w:id="24" w:name="_Toc238797563"/>
      <w:r>
        <w:rPr>
          <w:rFonts w:hint="eastAsia" w:ascii="仿宋_GB2312" w:eastAsia="仿宋_GB2312" w:hAnsiTheme="minorEastAsia"/>
          <w:b/>
          <w:color w:val="auto"/>
          <w:sz w:val="21"/>
          <w:szCs w:val="21"/>
          <w:u w:val="single"/>
        </w:rPr>
        <w:t>中国农业银行石家庄藁城支行</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备注信息：</w:t>
      </w:r>
      <w:r>
        <w:rPr>
          <w:rFonts w:hint="eastAsia" w:ascii="仿宋_GB2312" w:eastAsia="仿宋_GB2312" w:hAnsiTheme="minorEastAsia"/>
          <w:b/>
          <w:color w:val="auto"/>
          <w:sz w:val="21"/>
          <w:szCs w:val="21"/>
          <w:u w:val="single"/>
          <w:lang w:eastAsia="zh-CN"/>
        </w:rPr>
        <w:t>水稳级配成品料运输</w:t>
      </w:r>
      <w:r>
        <w:rPr>
          <w:rFonts w:hint="eastAsia" w:ascii="仿宋_GB2312" w:eastAsia="仿宋_GB2312" w:hAnsiTheme="minorEastAsia"/>
          <w:b/>
          <w:color w:val="auto"/>
          <w:sz w:val="21"/>
          <w:szCs w:val="21"/>
          <w:u w:val="single"/>
        </w:rPr>
        <w:t>投标保证金</w:t>
      </w:r>
    </w:p>
    <w:bookmarkEnd w:id="21"/>
    <w:p>
      <w:pPr>
        <w:spacing w:line="400" w:lineRule="exact"/>
        <w:ind w:firstLine="482" w:firstLineChars="200"/>
        <w:outlineLvl w:val="2"/>
        <w:rPr>
          <w:rFonts w:ascii="仿宋_GB2312" w:eastAsia="仿宋_GB2312" w:hAnsiTheme="minorEastAsia"/>
          <w:b/>
          <w:color w:val="auto"/>
          <w:sz w:val="21"/>
          <w:szCs w:val="21"/>
        </w:rPr>
      </w:pPr>
      <w:r>
        <w:rPr>
          <w:rFonts w:hint="eastAsia" w:ascii="仿宋_GB2312" w:hAnsi="华文仿宋" w:eastAsia="仿宋_GB2312" w:cs="宋体"/>
          <w:b/>
          <w:bCs/>
          <w:color w:val="auto"/>
        </w:rPr>
        <w:t>8. 偏离</w:t>
      </w:r>
      <w:bookmarkEnd w:id="22"/>
      <w:bookmarkEnd w:id="23"/>
      <w:bookmarkEnd w:id="24"/>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允许投标文件偏离招标文件某些要求的，偏离应当符合招标文件规定的偏离范围和幅度。商务及技术条款响应偏差表见第四部分</w:t>
      </w:r>
      <w:bookmarkStart w:id="25" w:name="_Toc214336661"/>
      <w:bookmarkStart w:id="26" w:name="_Toc28053"/>
      <w:bookmarkStart w:id="27" w:name="_Toc214339495"/>
      <w:bookmarkStart w:id="28" w:name="_Toc214333206"/>
      <w:r>
        <w:rPr>
          <w:rFonts w:hint="eastAsia" w:ascii="宋体" w:hAnsi="宋体" w:eastAsia="宋体" w:cs="宋体"/>
          <w:color w:val="auto"/>
          <w:sz w:val="21"/>
          <w:szCs w:val="21"/>
        </w:rPr>
        <w:t>。</w:t>
      </w:r>
    </w:p>
    <w:p>
      <w:pPr>
        <w:pStyle w:val="4"/>
        <w:keepNext w:val="0"/>
        <w:keepLines w:val="0"/>
        <w:spacing w:before="120" w:after="120" w:line="400" w:lineRule="exact"/>
        <w:ind w:firstLine="562" w:firstLineChars="200"/>
        <w:rPr>
          <w:rFonts w:ascii="仿宋_GB2312" w:eastAsia="仿宋_GB2312" w:cs="Times New Roman" w:hAnsiTheme="minorEastAsia"/>
          <w:bCs w:val="0"/>
          <w:color w:val="auto"/>
          <w:kern w:val="2"/>
          <w:sz w:val="28"/>
          <w:szCs w:val="28"/>
        </w:rPr>
      </w:pPr>
      <w:r>
        <w:rPr>
          <w:rFonts w:hint="eastAsia" w:ascii="仿宋_GB2312" w:eastAsia="仿宋_GB2312" w:cs="黑体" w:hAnsiTheme="minorEastAsia"/>
          <w:bCs w:val="0"/>
          <w:color w:val="auto"/>
          <w:kern w:val="2"/>
          <w:sz w:val="28"/>
          <w:szCs w:val="28"/>
        </w:rPr>
        <w:t>二、招标文件</w:t>
      </w:r>
      <w:bookmarkEnd w:id="25"/>
      <w:bookmarkEnd w:id="26"/>
      <w:bookmarkEnd w:id="27"/>
      <w:bookmarkEnd w:id="28"/>
      <w:r>
        <w:rPr>
          <w:rFonts w:hint="eastAsia" w:ascii="仿宋_GB2312" w:eastAsia="仿宋_GB2312" w:cs="黑体" w:hAnsiTheme="minorEastAsia"/>
          <w:bCs w:val="0"/>
          <w:color w:val="auto"/>
          <w:kern w:val="2"/>
          <w:sz w:val="28"/>
          <w:szCs w:val="28"/>
        </w:rPr>
        <w:t>的澄清和修改</w:t>
      </w:r>
    </w:p>
    <w:p>
      <w:pPr>
        <w:pStyle w:val="181"/>
        <w:keepNext w:val="0"/>
        <w:keepLines w:val="0"/>
        <w:ind w:firstLine="482" w:firstLineChars="200"/>
        <w:rPr>
          <w:rFonts w:ascii="仿宋_GB2312" w:eastAsia="仿宋_GB2312" w:hAnsiTheme="minorEastAsia"/>
          <w:b/>
          <w:bCs/>
          <w:color w:val="auto"/>
        </w:rPr>
      </w:pPr>
      <w:bookmarkStart w:id="29" w:name="_Toc9826"/>
      <w:r>
        <w:rPr>
          <w:rFonts w:ascii="仿宋_GB2312" w:eastAsia="仿宋_GB2312" w:cs="宋体" w:hAnsiTheme="minorEastAsia"/>
          <w:b/>
          <w:bCs/>
          <w:color w:val="auto"/>
        </w:rPr>
        <w:t>9</w:t>
      </w:r>
      <w:r>
        <w:rPr>
          <w:rFonts w:hint="eastAsia" w:ascii="仿宋_GB2312" w:eastAsia="仿宋_GB2312" w:cs="宋体" w:hAnsiTheme="minorEastAsia"/>
          <w:b/>
          <w:bCs/>
          <w:color w:val="auto"/>
        </w:rPr>
        <w:t>.招标文件的澄清、答疑和补遗</w:t>
      </w:r>
      <w:bookmarkEnd w:id="29"/>
    </w:p>
    <w:p>
      <w:pPr>
        <w:spacing w:line="400" w:lineRule="exact"/>
        <w:ind w:firstLine="420" w:firstLineChars="200"/>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9</w:t>
      </w:r>
      <w:r>
        <w:rPr>
          <w:rFonts w:hint="eastAsia" w:ascii="仿宋_GB2312" w:eastAsia="仿宋_GB2312" w:hAnsiTheme="minorEastAsia"/>
          <w:color w:val="auto"/>
          <w:sz w:val="21"/>
          <w:szCs w:val="21"/>
        </w:rPr>
        <w:t>.1投标人应认真阅读招标文件，包括所有说明、术语、技术标准等。如发现招标文件缺页或错误等问题，应及时向招标人答疑，以便补齐，否则，责任自负。</w:t>
      </w:r>
    </w:p>
    <w:p>
      <w:pPr>
        <w:spacing w:line="400" w:lineRule="exact"/>
        <w:ind w:firstLine="420" w:firstLineChars="200"/>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9</w:t>
      </w:r>
      <w:r>
        <w:rPr>
          <w:rFonts w:hint="eastAsia" w:ascii="仿宋_GB2312" w:eastAsia="仿宋_GB2312" w:hAnsiTheme="minorEastAsia"/>
          <w:color w:val="auto"/>
          <w:sz w:val="21"/>
          <w:szCs w:val="21"/>
        </w:rPr>
        <w:t>.2 投标人对招标文件提出的答疑或澄清应于开标截止时间之前，按要求上传相关资料。</w:t>
      </w:r>
    </w:p>
    <w:p>
      <w:pPr>
        <w:spacing w:line="400" w:lineRule="exact"/>
        <w:ind w:firstLine="420" w:firstLineChars="200"/>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9</w:t>
      </w:r>
      <w:r>
        <w:rPr>
          <w:rFonts w:hint="eastAsia" w:ascii="仿宋_GB2312" w:eastAsia="仿宋_GB2312" w:hAnsiTheme="minorEastAsia"/>
          <w:color w:val="auto"/>
          <w:sz w:val="21"/>
          <w:szCs w:val="21"/>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9.4</w:t>
      </w:r>
      <w:r>
        <w:rPr>
          <w:rFonts w:hint="eastAsia" w:ascii="仿宋_GB2312" w:eastAsia="仿宋_GB2312" w:hAnsiTheme="minorEastAsia"/>
          <w:color w:val="auto"/>
          <w:sz w:val="21"/>
          <w:szCs w:val="21"/>
        </w:rPr>
        <w:t xml:space="preserve"> 对招标文件两次以上的公告、澄清、答疑或补遗如有不一致之处，以日期在后的澄清或补遗为准。</w:t>
      </w:r>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招标过程中，对招标文件所作的澄清、答疑、补遗等，均构成招标文件的组成部分。</w:t>
      </w:r>
    </w:p>
    <w:p>
      <w:pPr>
        <w:pStyle w:val="181"/>
        <w:keepNext w:val="0"/>
        <w:keepLines w:val="0"/>
        <w:ind w:firstLine="482" w:firstLineChars="200"/>
        <w:rPr>
          <w:rFonts w:ascii="仿宋_GB2312" w:eastAsia="仿宋_GB2312" w:hAnsiTheme="minorEastAsia"/>
          <w:b/>
          <w:bCs/>
          <w:color w:val="auto"/>
        </w:rPr>
      </w:pPr>
      <w:bookmarkStart w:id="30" w:name="_Toc20034"/>
      <w:r>
        <w:rPr>
          <w:rFonts w:hint="eastAsia" w:ascii="仿宋_GB2312" w:eastAsia="仿宋_GB2312" w:cs="宋体" w:hAnsiTheme="minorEastAsia"/>
          <w:b/>
          <w:bCs/>
          <w:color w:val="auto"/>
        </w:rPr>
        <w:t>1</w:t>
      </w:r>
      <w:r>
        <w:rPr>
          <w:rFonts w:ascii="仿宋_GB2312" w:eastAsia="仿宋_GB2312" w:cs="宋体" w:hAnsiTheme="minorEastAsia"/>
          <w:b/>
          <w:bCs/>
          <w:color w:val="auto"/>
        </w:rPr>
        <w:t>0</w:t>
      </w:r>
      <w:r>
        <w:rPr>
          <w:rFonts w:hint="eastAsia" w:ascii="仿宋_GB2312" w:eastAsia="仿宋_GB2312" w:cs="宋体" w:hAnsiTheme="minorEastAsia"/>
          <w:b/>
          <w:bCs/>
          <w:color w:val="auto"/>
        </w:rPr>
        <w:t>.招标文件的修改</w:t>
      </w:r>
      <w:bookmarkEnd w:id="30"/>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color w:val="auto"/>
          <w:sz w:val="21"/>
          <w:szCs w:val="21"/>
        </w:rPr>
        <w:t xml:space="preserve"> </w:t>
      </w:r>
      <w:bookmarkStart w:id="31" w:name="_Toc10683"/>
      <w:bookmarkStart w:id="32" w:name="_Toc214331811"/>
      <w:bookmarkStart w:id="33" w:name="_Toc214333207"/>
      <w:bookmarkStart w:id="34" w:name="_Toc214336662"/>
      <w:bookmarkStart w:id="35" w:name="_Toc214335335"/>
      <w:bookmarkStart w:id="36" w:name="_Toc214339496"/>
    </w:p>
    <w:p>
      <w:pPr>
        <w:spacing w:line="400" w:lineRule="exact"/>
        <w:ind w:firstLine="420" w:firstLineChars="200"/>
        <w:outlineLvl w:val="2"/>
        <w:rPr>
          <w:rFonts w:ascii="仿宋_GB2312" w:eastAsia="仿宋_GB2312" w:cs="Times New Roman" w:hAnsiTheme="minorEastAsia"/>
          <w:color w:val="auto"/>
          <w:sz w:val="21"/>
          <w:szCs w:val="21"/>
        </w:rPr>
      </w:pPr>
    </w:p>
    <w:p>
      <w:pPr>
        <w:pStyle w:val="4"/>
        <w:keepNext w:val="0"/>
        <w:keepLines w:val="0"/>
        <w:spacing w:before="120" w:after="120" w:line="400" w:lineRule="exact"/>
        <w:ind w:firstLine="562" w:firstLineChars="200"/>
        <w:rPr>
          <w:rFonts w:ascii="仿宋_GB2312" w:eastAsia="仿宋_GB2312" w:cs="Times New Roman" w:hAnsiTheme="minorEastAsia"/>
          <w:bCs w:val="0"/>
          <w:color w:val="auto"/>
          <w:kern w:val="2"/>
          <w:sz w:val="28"/>
          <w:szCs w:val="28"/>
        </w:rPr>
      </w:pPr>
      <w:r>
        <w:rPr>
          <w:rFonts w:hint="eastAsia" w:ascii="仿宋_GB2312" w:eastAsia="仿宋_GB2312" w:cs="黑体" w:hAnsiTheme="minorEastAsia"/>
          <w:bCs w:val="0"/>
          <w:color w:val="auto"/>
          <w:kern w:val="2"/>
          <w:sz w:val="28"/>
          <w:szCs w:val="28"/>
        </w:rPr>
        <w:t>三、投标文件的编制</w:t>
      </w:r>
      <w:bookmarkEnd w:id="31"/>
      <w:bookmarkEnd w:id="32"/>
      <w:bookmarkEnd w:id="33"/>
      <w:bookmarkEnd w:id="34"/>
      <w:bookmarkEnd w:id="35"/>
      <w:bookmarkEnd w:id="36"/>
      <w:r>
        <w:rPr>
          <w:rFonts w:hint="eastAsia" w:ascii="仿宋_GB2312" w:eastAsia="仿宋_GB2312" w:cs="黑体" w:hAnsiTheme="minorEastAsia"/>
          <w:bCs w:val="0"/>
          <w:color w:val="auto"/>
          <w:kern w:val="2"/>
          <w:sz w:val="28"/>
          <w:szCs w:val="28"/>
        </w:rPr>
        <w:t>及相关事项说明</w:t>
      </w:r>
    </w:p>
    <w:p>
      <w:pPr>
        <w:pStyle w:val="181"/>
        <w:keepNext w:val="0"/>
        <w:keepLines w:val="0"/>
        <w:ind w:firstLine="482" w:firstLineChars="200"/>
        <w:rPr>
          <w:rFonts w:ascii="仿宋_GB2312" w:eastAsia="仿宋_GB2312" w:hAnsiTheme="minorEastAsia"/>
          <w:b/>
          <w:bCs/>
          <w:color w:val="auto"/>
        </w:rPr>
      </w:pPr>
      <w:bookmarkStart w:id="37" w:name="_Toc24946"/>
      <w:r>
        <w:rPr>
          <w:rFonts w:hint="eastAsia" w:ascii="仿宋_GB2312" w:eastAsia="仿宋_GB2312" w:cs="宋体" w:hAnsiTheme="minorEastAsia"/>
          <w:b/>
          <w:bCs/>
          <w:color w:val="auto"/>
        </w:rPr>
        <w:t>1</w:t>
      </w:r>
      <w:r>
        <w:rPr>
          <w:rFonts w:ascii="仿宋_GB2312" w:eastAsia="仿宋_GB2312" w:cs="宋体" w:hAnsiTheme="minorEastAsia"/>
          <w:b/>
          <w:bCs/>
          <w:color w:val="auto"/>
        </w:rPr>
        <w:t>1</w:t>
      </w:r>
      <w:r>
        <w:rPr>
          <w:rFonts w:hint="eastAsia" w:ascii="仿宋_GB2312" w:eastAsia="仿宋_GB2312" w:cs="宋体" w:hAnsiTheme="minorEastAsia"/>
          <w:b/>
          <w:bCs/>
          <w:color w:val="auto"/>
        </w:rPr>
        <w:t>.投标文件的装订、版式及文字</w:t>
      </w:r>
      <w:bookmarkEnd w:id="37"/>
    </w:p>
    <w:p>
      <w:pPr>
        <w:spacing w:line="400" w:lineRule="exact"/>
        <w:ind w:firstLine="420" w:firstLineChars="200"/>
        <w:outlineLvl w:val="2"/>
        <w:rPr>
          <w:rFonts w:ascii="仿宋_GB2312" w:eastAsia="仿宋_GB2312" w:cs="Times New Roman" w:hAnsiTheme="minorEastAsia"/>
          <w:color w:val="auto"/>
          <w:sz w:val="21"/>
          <w:szCs w:val="21"/>
        </w:rPr>
      </w:pPr>
      <w:bookmarkStart w:id="38" w:name="_Toc20888"/>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.1投标文件采用</w:t>
      </w:r>
      <w:r>
        <w:rPr>
          <w:rFonts w:hint="eastAsia" w:ascii="仿宋_GB2312" w:eastAsia="仿宋_GB2312" w:hAnsiTheme="minorEastAsia"/>
          <w:color w:val="auto"/>
          <w:sz w:val="21"/>
          <w:szCs w:val="21"/>
          <w:lang w:eastAsia="zh-CN"/>
        </w:rPr>
        <w:t>纸质方式递交</w:t>
      </w:r>
      <w:r>
        <w:rPr>
          <w:rFonts w:hint="eastAsia" w:ascii="仿宋_GB2312" w:eastAsia="仿宋_GB2312" w:hAnsiTheme="minorEastAsia"/>
          <w:color w:val="auto"/>
          <w:sz w:val="21"/>
          <w:szCs w:val="21"/>
        </w:rPr>
        <w:t>。</w:t>
      </w:r>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.2电子扫描版投标文件的版式用A4纸（附图、附表除外），文字用中文简体。所有文字、图表必须清晰可辨。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.3投标文件纸质版和电子扫描版必须按连续页码顺序排版及扫描。</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.4每个包件均应单独编制投标文件。</w:t>
      </w:r>
    </w:p>
    <w:p>
      <w:pPr>
        <w:pStyle w:val="181"/>
        <w:keepNext w:val="0"/>
        <w:keepLines w:val="0"/>
        <w:ind w:firstLine="482" w:firstLineChars="200"/>
        <w:rPr>
          <w:rFonts w:ascii="仿宋_GB2312" w:eastAsia="仿宋_GB2312" w:hAnsiTheme="minorEastAsia"/>
          <w:b/>
          <w:bCs/>
          <w:color w:val="auto"/>
        </w:rPr>
      </w:pPr>
      <w:r>
        <w:rPr>
          <w:rFonts w:hint="eastAsia" w:ascii="仿宋_GB2312" w:eastAsia="仿宋_GB2312" w:cs="宋体" w:hAnsiTheme="minorEastAsia"/>
          <w:b/>
          <w:bCs/>
          <w:color w:val="auto"/>
        </w:rPr>
        <w:t>1</w:t>
      </w:r>
      <w:r>
        <w:rPr>
          <w:rFonts w:ascii="仿宋_GB2312" w:eastAsia="仿宋_GB2312" w:cs="宋体" w:hAnsiTheme="minorEastAsia"/>
          <w:b/>
          <w:bCs/>
          <w:color w:val="auto"/>
        </w:rPr>
        <w:t>2</w:t>
      </w:r>
      <w:r>
        <w:rPr>
          <w:rFonts w:hint="eastAsia" w:ascii="仿宋_GB2312" w:eastAsia="仿宋_GB2312" w:cs="宋体" w:hAnsiTheme="minorEastAsia"/>
          <w:b/>
          <w:bCs/>
          <w:color w:val="auto"/>
        </w:rPr>
        <w:t>.投标文件的组成及编制顺序</w:t>
      </w:r>
      <w:bookmarkEnd w:id="38"/>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投标人须按照第1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.1、1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.2、1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.3款的顺序和要求编制投标文件。</w:t>
      </w:r>
    </w:p>
    <w:p>
      <w:pPr>
        <w:spacing w:line="400" w:lineRule="exact"/>
        <w:ind w:firstLine="422" w:firstLineChars="200"/>
        <w:outlineLvl w:val="2"/>
        <w:rPr>
          <w:rFonts w:ascii="仿宋_GB2312" w:hAnsi="华文仿宋" w:eastAsia="仿宋_GB2312" w:cs="Times New Roman"/>
          <w:b/>
          <w:color w:val="auto"/>
          <w:sz w:val="21"/>
          <w:szCs w:val="21"/>
        </w:rPr>
      </w:pPr>
      <w:r>
        <w:rPr>
          <w:rFonts w:hint="eastAsia" w:ascii="仿宋_GB2312" w:hAnsi="华文仿宋" w:eastAsia="仿宋_GB2312"/>
          <w:b/>
          <w:color w:val="auto"/>
          <w:sz w:val="21"/>
          <w:szCs w:val="21"/>
        </w:rPr>
        <w:t>1</w:t>
      </w:r>
      <w:r>
        <w:rPr>
          <w:rFonts w:ascii="仿宋_GB2312" w:hAnsi="华文仿宋" w:eastAsia="仿宋_GB2312"/>
          <w:b/>
          <w:color w:val="auto"/>
          <w:sz w:val="21"/>
          <w:szCs w:val="21"/>
        </w:rPr>
        <w:t>2</w:t>
      </w:r>
      <w:r>
        <w:rPr>
          <w:rFonts w:hint="eastAsia" w:ascii="仿宋_GB2312" w:hAnsi="华文仿宋" w:eastAsia="仿宋_GB2312"/>
          <w:b/>
          <w:color w:val="auto"/>
          <w:sz w:val="21"/>
          <w:szCs w:val="21"/>
        </w:rPr>
        <w:t>.1  商务文件</w:t>
      </w:r>
    </w:p>
    <w:p>
      <w:pPr>
        <w:spacing w:line="400" w:lineRule="exact"/>
        <w:ind w:firstLine="420" w:firstLineChars="200"/>
        <w:outlineLvl w:val="2"/>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具体内容如下：</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投标书；</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12.1.2报价表；</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法定代表人授权书；</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12.1.4身份证明</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12.1.5投标保证金（复印件）；</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w:t>
      </w:r>
      <w:r>
        <w:rPr>
          <w:rFonts w:hint="eastAsia" w:ascii="仿宋_GB2312" w:eastAsia="仿宋_GB2312" w:hAnsiTheme="minorEastAsia"/>
          <w:color w:val="auto"/>
          <w:sz w:val="21"/>
          <w:szCs w:val="21"/>
        </w:rPr>
        <w:t>6中华人民共和国企业法人营业执照、税务登记证、组织机构代码证；</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12.1.7</w:t>
      </w:r>
      <w:r>
        <w:rPr>
          <w:rFonts w:hint="eastAsia" w:ascii="仿宋_GB2312" w:eastAsia="仿宋_GB2312" w:hAnsiTheme="minorEastAsia"/>
          <w:color w:val="auto"/>
          <w:sz w:val="21"/>
          <w:szCs w:val="21"/>
        </w:rPr>
        <w:t>中华人民共和国中外合资经营企业批准证书（仅对中外合资经营企业）；</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12.1.8</w:t>
      </w:r>
      <w:r>
        <w:rPr>
          <w:rFonts w:hint="eastAsia" w:ascii="仿宋_GB2312" w:eastAsia="仿宋_GB2312" w:hAnsiTheme="minorEastAsia"/>
          <w:color w:val="auto"/>
          <w:sz w:val="21"/>
          <w:szCs w:val="21"/>
        </w:rPr>
        <w:t xml:space="preserve">产品生产许可证或销售许可证；   </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12.1.9</w:t>
      </w:r>
      <w:r>
        <w:rPr>
          <w:rFonts w:hint="eastAsia" w:ascii="仿宋_GB2312" w:eastAsia="仿宋_GB2312" w:hAnsiTheme="minorEastAsia"/>
          <w:color w:val="auto"/>
          <w:sz w:val="21"/>
          <w:szCs w:val="21"/>
        </w:rPr>
        <w:t>产品鉴定证书和检测报告；</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12.1.10</w:t>
      </w:r>
      <w:r>
        <w:rPr>
          <w:rFonts w:hint="eastAsia" w:ascii="仿宋_GB2312" w:eastAsia="仿宋_GB2312" w:hAnsiTheme="minorEastAsia"/>
          <w:color w:val="auto"/>
          <w:sz w:val="21"/>
          <w:szCs w:val="21"/>
        </w:rPr>
        <w:t>企业ISO9000和ISO14000证书；</w:t>
      </w:r>
    </w:p>
    <w:p>
      <w:pPr>
        <w:adjustRightInd w:val="0"/>
        <w:snapToGrid w:val="0"/>
        <w:spacing w:line="400" w:lineRule="exact"/>
        <w:ind w:firstLine="420" w:firstLineChars="200"/>
        <w:textAlignment w:val="baseline"/>
        <w:outlineLvl w:val="2"/>
        <w:rPr>
          <w:rFonts w:hint="eastAsia" w:ascii="仿宋_GB2312" w:eastAsia="仿宋_GB2312" w:hAnsiTheme="minorEastAsia"/>
          <w:color w:val="auto"/>
          <w:sz w:val="21"/>
          <w:szCs w:val="21"/>
          <w:lang w:eastAsia="zh-CN"/>
        </w:rPr>
      </w:pPr>
      <w:r>
        <w:rPr>
          <w:rFonts w:ascii="仿宋_GB2312" w:eastAsia="仿宋_GB2312" w:hAnsiTheme="minorEastAsia"/>
          <w:color w:val="auto"/>
          <w:sz w:val="21"/>
          <w:szCs w:val="21"/>
        </w:rPr>
        <w:t>12.1.</w:t>
      </w: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增值税一般纳税人资格登记表；</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ascii="仿宋_GB2312" w:eastAsia="仿宋_GB2312" w:hAnsiTheme="minorEastAsia"/>
          <w:color w:val="auto"/>
          <w:sz w:val="21"/>
          <w:szCs w:val="21"/>
        </w:rPr>
        <w:t>12.1.</w:t>
      </w: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近三年内是否有被责令停业</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暂停投标期限</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财产被接管、冻结，破产状态等情况（附录</w:t>
      </w:r>
      <w:r>
        <w:rPr>
          <w:rFonts w:ascii="仿宋_GB2312" w:eastAsia="仿宋_GB2312" w:hAnsiTheme="minorEastAsia"/>
          <w:color w:val="auto"/>
          <w:sz w:val="21"/>
          <w:szCs w:val="21"/>
        </w:rPr>
        <w:t>12</w:t>
      </w:r>
      <w:r>
        <w:rPr>
          <w:rFonts w:hint="eastAsia" w:ascii="仿宋_GB2312" w:eastAsia="仿宋_GB2312" w:hAnsiTheme="minorEastAsia"/>
          <w:color w:val="auto"/>
          <w:sz w:val="21"/>
          <w:szCs w:val="21"/>
        </w:rPr>
        <w:t>）；</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2.1.</w:t>
      </w: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业绩证明资料（近三年的类似工程施工合同复印件，提供原件备查）；</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12.1.1</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12.1.1</w:t>
      </w:r>
      <w:r>
        <w:rPr>
          <w:rFonts w:ascii="仿宋_GB2312" w:eastAsia="仿宋_GB2312" w:hAnsiTheme="minorEastAsia"/>
          <w:color w:val="auto"/>
          <w:sz w:val="21"/>
          <w:szCs w:val="21"/>
        </w:rPr>
        <w:t>5</w:t>
      </w:r>
      <w:r>
        <w:rPr>
          <w:rFonts w:hint="eastAsia" w:ascii="仿宋_GB2312" w:eastAsia="仿宋_GB2312" w:hAnsiTheme="minorEastAsia"/>
          <w:color w:val="auto"/>
          <w:sz w:val="21"/>
          <w:szCs w:val="21"/>
        </w:rPr>
        <w:t>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2.1.</w:t>
      </w: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投标人认为必要的其它文件和资料。</w:t>
      </w:r>
    </w:p>
    <w:p>
      <w:pPr>
        <w:spacing w:line="400" w:lineRule="exact"/>
        <w:ind w:firstLine="422" w:firstLineChars="200"/>
        <w:outlineLvl w:val="2"/>
        <w:rPr>
          <w:rFonts w:ascii="仿宋_GB2312" w:hAnsi="华文仿宋" w:eastAsia="仿宋_GB2312" w:cs="Times New Roman"/>
          <w:b/>
          <w:color w:val="auto"/>
          <w:sz w:val="21"/>
          <w:szCs w:val="21"/>
        </w:rPr>
      </w:pPr>
      <w:r>
        <w:rPr>
          <w:rFonts w:hint="eastAsia" w:ascii="仿宋_GB2312" w:hAnsi="华文仿宋" w:eastAsia="仿宋_GB2312"/>
          <w:b/>
          <w:color w:val="auto"/>
          <w:sz w:val="21"/>
          <w:szCs w:val="21"/>
        </w:rPr>
        <w:t>1</w:t>
      </w:r>
      <w:r>
        <w:rPr>
          <w:rFonts w:ascii="仿宋_GB2312" w:hAnsi="华文仿宋" w:eastAsia="仿宋_GB2312"/>
          <w:b/>
          <w:color w:val="auto"/>
          <w:sz w:val="21"/>
          <w:szCs w:val="21"/>
        </w:rPr>
        <w:t>2</w:t>
      </w:r>
      <w:r>
        <w:rPr>
          <w:rFonts w:hint="eastAsia" w:ascii="仿宋_GB2312" w:hAnsi="华文仿宋" w:eastAsia="仿宋_GB2312"/>
          <w:b/>
          <w:color w:val="auto"/>
          <w:sz w:val="21"/>
          <w:szCs w:val="21"/>
        </w:rPr>
        <w:t>.</w:t>
      </w:r>
      <w:r>
        <w:rPr>
          <w:rFonts w:ascii="仿宋_GB2312" w:hAnsi="华文仿宋" w:eastAsia="仿宋_GB2312"/>
          <w:b/>
          <w:color w:val="auto"/>
          <w:sz w:val="21"/>
          <w:szCs w:val="21"/>
        </w:rPr>
        <w:t>2</w:t>
      </w:r>
      <w:r>
        <w:rPr>
          <w:rFonts w:hint="eastAsia" w:ascii="仿宋_GB2312" w:hAnsi="华文仿宋" w:eastAsia="仿宋_GB2312"/>
          <w:b/>
          <w:color w:val="auto"/>
          <w:sz w:val="21"/>
          <w:szCs w:val="21"/>
        </w:rPr>
        <w:t xml:space="preserve">  技术文件</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12.2.1</w:t>
      </w:r>
      <w:r>
        <w:rPr>
          <w:rFonts w:hint="eastAsia" w:ascii="仿宋_GB2312" w:eastAsia="仿宋_GB2312" w:hAnsiTheme="minorEastAsia"/>
          <w:color w:val="auto"/>
          <w:sz w:val="21"/>
          <w:szCs w:val="21"/>
        </w:rPr>
        <w:t>投标人所供应运输车辆的</w:t>
      </w:r>
      <w:r>
        <w:rPr>
          <w:rFonts w:hint="eastAsia" w:ascii="仿宋_GB2312" w:hAnsi="华文仿宋" w:eastAsia="仿宋_GB2312"/>
          <w:color w:val="auto"/>
          <w:sz w:val="21"/>
          <w:szCs w:val="21"/>
        </w:rPr>
        <w:t>性能指标及采用标准；</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12.2.2</w:t>
      </w:r>
      <w:r>
        <w:rPr>
          <w:rFonts w:hint="eastAsia" w:ascii="仿宋_GB2312" w:hAnsi="华文仿宋" w:eastAsia="仿宋_GB2312"/>
          <w:color w:val="auto"/>
          <w:sz w:val="21"/>
          <w:szCs w:val="21"/>
        </w:rPr>
        <w:t>投标运输车辆的质量保证措施；</w:t>
      </w:r>
    </w:p>
    <w:p>
      <w:pPr>
        <w:spacing w:line="400" w:lineRule="exact"/>
        <w:ind w:firstLine="420" w:firstLineChars="200"/>
        <w:outlineLvl w:val="2"/>
        <w:rPr>
          <w:rFonts w:ascii="仿宋_GB2312" w:hAnsi="华文仿宋" w:eastAsia="仿宋_GB2312"/>
          <w:color w:val="auto"/>
          <w:sz w:val="21"/>
          <w:szCs w:val="21"/>
        </w:rPr>
      </w:pPr>
      <w:r>
        <w:rPr>
          <w:rFonts w:ascii="仿宋_GB2312" w:hAnsi="华文仿宋" w:eastAsia="仿宋_GB2312"/>
          <w:color w:val="auto"/>
          <w:sz w:val="21"/>
          <w:szCs w:val="21"/>
        </w:rPr>
        <w:t>12.2.3</w:t>
      </w:r>
      <w:r>
        <w:rPr>
          <w:rFonts w:hint="eastAsia" w:ascii="仿宋_GB2312" w:hAnsi="华文仿宋" w:eastAsia="仿宋_GB2312"/>
          <w:color w:val="auto"/>
          <w:sz w:val="21"/>
          <w:szCs w:val="21"/>
        </w:rPr>
        <w:t>详细具体的组织运输、技术服务方案。要求根据本项目施工特点以及所处的地理位置、环境、气候、交通和工期等情况，编制切实可行的方案，并提供应急预案；</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2.2.4</w:t>
      </w:r>
      <w:r>
        <w:rPr>
          <w:rFonts w:hint="eastAsia" w:ascii="仿宋_GB2312" w:eastAsia="仿宋_GB2312" w:hAnsiTheme="minorEastAsia"/>
          <w:color w:val="auto"/>
          <w:sz w:val="21"/>
          <w:szCs w:val="21"/>
        </w:rPr>
        <w:t>道路运输许可证；</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2.2.5</w:t>
      </w:r>
      <w:r>
        <w:rPr>
          <w:rFonts w:hint="eastAsia" w:ascii="仿宋_GB2312" w:eastAsia="仿宋_GB2312" w:hAnsiTheme="minorEastAsia"/>
          <w:color w:val="auto"/>
          <w:sz w:val="21"/>
          <w:szCs w:val="21"/>
        </w:rPr>
        <w:t>企业自有车辆清单；</w:t>
      </w:r>
    </w:p>
    <w:p>
      <w:pPr>
        <w:pStyle w:val="2"/>
        <w:spacing w:after="0" w:line="400" w:lineRule="exact"/>
        <w:ind w:firstLine="420" w:firstLineChars="200"/>
        <w:rPr>
          <w:color w:val="auto"/>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2.2.6</w:t>
      </w:r>
      <w:r>
        <w:rPr>
          <w:rFonts w:hint="eastAsia" w:ascii="仿宋_GB2312" w:eastAsia="仿宋_GB2312" w:hAnsiTheme="minorEastAsia"/>
          <w:color w:val="auto"/>
          <w:sz w:val="21"/>
          <w:szCs w:val="21"/>
        </w:rPr>
        <w:t>机动车登记证复印件、车辆行驶证复印件</w:t>
      </w:r>
    </w:p>
    <w:p>
      <w:pPr>
        <w:spacing w:line="400" w:lineRule="exact"/>
        <w:ind w:firstLine="420" w:firstLineChars="200"/>
        <w:rPr>
          <w:rFonts w:ascii="仿宋_GB2312" w:hAnsi="华文仿宋" w:eastAsia="仿宋_GB2312" w:cs="Times New Roman"/>
          <w:color w:val="auto"/>
          <w:sz w:val="21"/>
          <w:szCs w:val="21"/>
        </w:rPr>
      </w:pPr>
      <w:r>
        <w:rPr>
          <w:rFonts w:ascii="仿宋_GB2312" w:hAnsi="华文仿宋" w:eastAsia="仿宋_GB2312"/>
          <w:color w:val="auto"/>
          <w:sz w:val="21"/>
          <w:szCs w:val="21"/>
        </w:rPr>
        <w:t>12.2.7</w:t>
      </w:r>
      <w:r>
        <w:rPr>
          <w:rFonts w:hint="eastAsia" w:ascii="仿宋_GB2312" w:hAnsi="华文仿宋" w:eastAsia="仿宋_GB2312"/>
          <w:color w:val="auto"/>
          <w:sz w:val="21"/>
          <w:szCs w:val="21"/>
        </w:rPr>
        <w:t>投标人须提供售后服务承诺；</w:t>
      </w:r>
    </w:p>
    <w:p>
      <w:pPr>
        <w:spacing w:line="400" w:lineRule="exact"/>
        <w:ind w:firstLine="420" w:firstLineChars="200"/>
        <w:outlineLvl w:val="2"/>
        <w:rPr>
          <w:rFonts w:ascii="仿宋_GB2312" w:hAnsi="华文仿宋" w:eastAsia="仿宋_GB2312"/>
          <w:color w:val="auto"/>
          <w:sz w:val="21"/>
          <w:szCs w:val="21"/>
        </w:rPr>
      </w:pPr>
      <w:r>
        <w:rPr>
          <w:rFonts w:ascii="仿宋_GB2312" w:hAnsi="华文仿宋" w:eastAsia="仿宋_GB2312"/>
          <w:color w:val="auto"/>
          <w:sz w:val="21"/>
          <w:szCs w:val="21"/>
        </w:rPr>
        <w:t>12.2.8</w:t>
      </w:r>
      <w:r>
        <w:rPr>
          <w:rFonts w:hint="eastAsia" w:ascii="仿宋_GB2312" w:hAnsi="华文仿宋" w:eastAsia="仿宋_GB2312"/>
          <w:color w:val="auto"/>
          <w:sz w:val="21"/>
          <w:szCs w:val="21"/>
        </w:rPr>
        <w:t>投标人认为需要补充的其它文件或资料。</w:t>
      </w:r>
    </w:p>
    <w:p>
      <w:pPr>
        <w:adjustRightInd w:val="0"/>
        <w:snapToGrid w:val="0"/>
        <w:spacing w:line="400" w:lineRule="exact"/>
        <w:ind w:firstLine="422" w:firstLineChars="200"/>
        <w:textAlignment w:val="baseline"/>
        <w:outlineLvl w:val="2"/>
        <w:rPr>
          <w:rFonts w:ascii="仿宋_GB2312" w:eastAsia="仿宋_GB2312" w:hAnsiTheme="minorEastAsia"/>
          <w:b/>
          <w:color w:val="auto"/>
          <w:sz w:val="21"/>
          <w:szCs w:val="21"/>
        </w:rPr>
      </w:pPr>
      <w:r>
        <w:rPr>
          <w:rFonts w:ascii="仿宋_GB2312" w:eastAsia="仿宋_GB2312" w:hAnsiTheme="minorEastAsia"/>
          <w:b/>
          <w:color w:val="auto"/>
          <w:sz w:val="21"/>
          <w:szCs w:val="21"/>
        </w:rPr>
        <w:t>12.3</w:t>
      </w:r>
      <w:r>
        <w:rPr>
          <w:rFonts w:hint="eastAsia" w:ascii="仿宋_GB2312" w:eastAsia="仿宋_GB2312" w:hAnsiTheme="minorEastAsia"/>
          <w:b/>
          <w:color w:val="auto"/>
          <w:sz w:val="21"/>
          <w:szCs w:val="21"/>
        </w:rPr>
        <w:t>投标文件编制要求：</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.1投标书的内容应按照招标人提供的表样文件的要求，详细填写、请勿遗漏；</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.2投标文件要求的资格证书等以原件的扫描件形式在投标文件中体现；</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.3投标文件用中文编制。</w:t>
      </w:r>
    </w:p>
    <w:p>
      <w:pPr>
        <w:adjustRightInd w:val="0"/>
        <w:snapToGrid w:val="0"/>
        <w:spacing w:line="400" w:lineRule="exact"/>
        <w:ind w:firstLine="422" w:firstLineChars="200"/>
        <w:textAlignment w:val="baseline"/>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1</w:t>
      </w:r>
      <w:r>
        <w:rPr>
          <w:rFonts w:ascii="仿宋_GB2312" w:eastAsia="仿宋_GB2312" w:hAnsiTheme="minorEastAsia"/>
          <w:b/>
          <w:color w:val="auto"/>
          <w:sz w:val="21"/>
          <w:szCs w:val="21"/>
        </w:rPr>
        <w:t>2</w:t>
      </w:r>
      <w:r>
        <w:rPr>
          <w:rFonts w:hint="eastAsia" w:ascii="仿宋_GB2312" w:eastAsia="仿宋_GB2312" w:hAnsiTheme="minorEastAsia"/>
          <w:b/>
          <w:color w:val="auto"/>
          <w:sz w:val="21"/>
          <w:szCs w:val="21"/>
        </w:rPr>
        <w:t>.4标书有下列情况之一无效：</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.1投标书未按规定盖公章和法定代表人或授权代理人签字；</w:t>
      </w:r>
    </w:p>
    <w:p>
      <w:pPr>
        <w:adjustRightInd w:val="0"/>
        <w:snapToGrid w:val="0"/>
        <w:spacing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.2投标书内容不全、字迹模糊难以辨认或未按规定填写</w:t>
      </w:r>
      <w:r>
        <w:rPr>
          <w:rFonts w:hint="eastAsia" w:ascii="宋体" w:hAnsi="宋体" w:eastAsia="宋体" w:cs="宋体"/>
          <w:color w:val="auto"/>
          <w:sz w:val="21"/>
          <w:szCs w:val="21"/>
        </w:rPr>
        <w:t>。</w:t>
      </w:r>
    </w:p>
    <w:p>
      <w:pPr>
        <w:pStyle w:val="181"/>
        <w:keepNext w:val="0"/>
        <w:keepLines w:val="0"/>
        <w:ind w:firstLine="482" w:firstLineChars="200"/>
        <w:rPr>
          <w:rFonts w:ascii="仿宋_GB2312" w:eastAsia="仿宋_GB2312" w:hAnsiTheme="minorEastAsia"/>
          <w:b/>
          <w:bCs/>
          <w:color w:val="auto"/>
        </w:rPr>
      </w:pPr>
      <w:r>
        <w:rPr>
          <w:rFonts w:ascii="仿宋_GB2312" w:eastAsia="仿宋_GB2312" w:cs="宋体" w:hAnsiTheme="minorEastAsia"/>
          <w:b/>
          <w:bCs/>
          <w:color w:val="auto"/>
        </w:rPr>
        <w:t>13</w:t>
      </w:r>
      <w:r>
        <w:rPr>
          <w:rFonts w:hint="eastAsia" w:ascii="仿宋_GB2312" w:eastAsia="仿宋_GB2312" w:cs="宋体" w:hAnsiTheme="minorEastAsia"/>
          <w:b/>
          <w:bCs/>
          <w:color w:val="auto"/>
        </w:rPr>
        <w:t>.投标保证金和履约保证金</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.1投标人按规定递交投标保证金，（投标保证金金额为</w:t>
      </w:r>
      <w:r>
        <w:rPr>
          <w:rFonts w:ascii="仿宋_GB2312" w:eastAsia="仿宋_GB2312" w:hAnsiTheme="minorEastAsia"/>
          <w:b/>
          <w:color w:val="auto"/>
          <w:sz w:val="21"/>
          <w:szCs w:val="21"/>
          <w:u w:val="single"/>
        </w:rPr>
        <w:t xml:space="preserve">  </w:t>
      </w:r>
      <w:r>
        <w:rPr>
          <w:rFonts w:hint="eastAsia" w:ascii="仿宋_GB2312" w:eastAsia="仿宋_GB2312" w:hAnsiTheme="minorEastAsia"/>
          <w:b/>
          <w:color w:val="auto"/>
          <w:sz w:val="21"/>
          <w:szCs w:val="21"/>
          <w:u w:val="single"/>
          <w:lang w:val="en-US" w:eastAsia="zh-CN"/>
        </w:rPr>
        <w:t>20000</w:t>
      </w:r>
      <w:r>
        <w:rPr>
          <w:rFonts w:ascii="仿宋_GB2312" w:eastAsia="仿宋_GB2312" w:hAnsiTheme="minorEastAsia"/>
          <w:b/>
          <w:color w:val="auto"/>
          <w:sz w:val="21"/>
          <w:szCs w:val="21"/>
          <w:u w:val="single"/>
        </w:rPr>
        <w:t xml:space="preserve">   </w:t>
      </w:r>
      <w:r>
        <w:rPr>
          <w:rFonts w:hint="eastAsia" w:ascii="仿宋_GB2312" w:eastAsia="仿宋_GB2312" w:hAnsiTheme="minorEastAsia"/>
          <w:b/>
          <w:color w:val="auto"/>
          <w:sz w:val="21"/>
          <w:szCs w:val="21"/>
          <w:u w:val="single"/>
        </w:rPr>
        <w:t>元</w:t>
      </w:r>
      <w:r>
        <w:rPr>
          <w:rFonts w:hint="eastAsia" w:ascii="仿宋_GB2312" w:eastAsia="仿宋_GB2312" w:hAnsiTheme="minorEastAsia"/>
          <w:b/>
          <w:color w:val="auto"/>
          <w:sz w:val="21"/>
          <w:szCs w:val="21"/>
        </w:rPr>
        <w:t>；</w:t>
      </w:r>
      <w:r>
        <w:rPr>
          <w:rFonts w:hint="eastAsia" w:ascii="宋体" w:hAnsi="宋体" w:eastAsia="宋体" w:cs="宋体"/>
          <w:b/>
          <w:color w:val="auto"/>
          <w:sz w:val="21"/>
          <w:szCs w:val="21"/>
        </w:rPr>
        <w:t>大写</w:t>
      </w:r>
      <w:r>
        <w:rPr>
          <w:rFonts w:hint="eastAsia" w:ascii="仿宋_GB2312" w:eastAsia="仿宋_GB2312" w:hAnsiTheme="minorEastAsia"/>
          <w:b/>
          <w:color w:val="auto"/>
          <w:sz w:val="21"/>
          <w:szCs w:val="21"/>
          <w:u w:val="single"/>
        </w:rPr>
        <w:t xml:space="preserve">  </w:t>
      </w:r>
      <w:r>
        <w:rPr>
          <w:rFonts w:hint="eastAsia" w:ascii="仿宋_GB2312" w:eastAsia="仿宋_GB2312" w:hAnsiTheme="minorEastAsia"/>
          <w:b/>
          <w:color w:val="auto"/>
          <w:sz w:val="21"/>
          <w:szCs w:val="21"/>
          <w:u w:val="single"/>
          <w:lang w:eastAsia="zh-CN"/>
        </w:rPr>
        <w:t>贰万元</w:t>
      </w:r>
      <w:r>
        <w:rPr>
          <w:rFonts w:hint="eastAsia" w:ascii="仿宋_GB2312" w:eastAsia="仿宋_GB2312" w:hAnsiTheme="minorEastAsia"/>
          <w:b/>
          <w:color w:val="auto"/>
          <w:sz w:val="21"/>
          <w:szCs w:val="21"/>
          <w:u w:val="single"/>
        </w:rPr>
        <w:t>整</w:t>
      </w:r>
      <w:r>
        <w:rPr>
          <w:rFonts w:hint="eastAsia" w:ascii="仿宋_GB2312" w:eastAsia="仿宋_GB2312" w:hAnsiTheme="minorEastAsia"/>
          <w:color w:val="auto"/>
          <w:sz w:val="21"/>
          <w:szCs w:val="21"/>
        </w:rPr>
        <w:t>）</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并作为投标文件的组成部分。</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.2投标人不按本章第1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.1项要求提交投标保证金的</w:t>
      </w:r>
      <w:r>
        <w:rPr>
          <w:rFonts w:hint="eastAsia" w:ascii="仿宋_GB2312" w:eastAsia="仿宋_GB2312" w:cs="宋体" w:hAnsiTheme="minorEastAsia"/>
          <w:b/>
          <w:bCs/>
          <w:color w:val="auto"/>
        </w:rPr>
        <w:t>，</w:t>
      </w:r>
      <w:r>
        <w:rPr>
          <w:rFonts w:hint="eastAsia" w:ascii="仿宋_GB2312" w:eastAsia="仿宋_GB2312" w:hAnsiTheme="minorEastAsia"/>
          <w:color w:val="auto"/>
          <w:sz w:val="21"/>
          <w:szCs w:val="21"/>
        </w:rPr>
        <w:t>其投标文件作废标处理。</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.3招标人与中标人签订合同后10个工作日内，向未中标的投标人退还投标保证金。</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hAnsiTheme="minorEastAsia"/>
          <w:color w:val="auto"/>
          <w:sz w:val="21"/>
          <w:szCs w:val="21"/>
        </w:rPr>
        <w:t>13.4</w:t>
      </w:r>
      <w:r>
        <w:rPr>
          <w:rFonts w:hint="eastAsia" w:ascii="仿宋_GB2312" w:eastAsia="仿宋_GB2312" w:cs="宋体" w:hAnsiTheme="minorEastAsia"/>
          <w:color w:val="auto"/>
          <w:sz w:val="21"/>
          <w:szCs w:val="21"/>
        </w:rPr>
        <w:t>上一年度中建路桥集团有限公司优质供应商可免交投标保证金。</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3.5</w:t>
      </w:r>
      <w:r>
        <w:rPr>
          <w:rFonts w:hint="eastAsia" w:ascii="仿宋_GB2312" w:eastAsia="仿宋_GB2312" w:hAnsiTheme="minorEastAsia"/>
          <w:color w:val="auto"/>
          <w:sz w:val="21"/>
          <w:szCs w:val="21"/>
        </w:rPr>
        <w:t>中标人投标保证金在中标人与招标人签订物资采购合同后直接转为履约保证金，不足部分在收到中标通知1</w:t>
      </w:r>
      <w:r>
        <w:rPr>
          <w:rFonts w:ascii="仿宋_GB2312" w:eastAsia="仿宋_GB2312" w:hAnsiTheme="minorEastAsia"/>
          <w:color w:val="auto"/>
          <w:sz w:val="21"/>
          <w:szCs w:val="21"/>
        </w:rPr>
        <w:t>0</w:t>
      </w:r>
      <w:r>
        <w:rPr>
          <w:rFonts w:hint="eastAsia" w:ascii="仿宋_GB2312" w:eastAsia="仿宋_GB2312" w:hAnsiTheme="minorEastAsia"/>
          <w:color w:val="auto"/>
          <w:sz w:val="21"/>
          <w:szCs w:val="21"/>
        </w:rPr>
        <w:t>日内补足。</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1</w:t>
      </w:r>
      <w:r>
        <w:rPr>
          <w:rFonts w:ascii="仿宋_GB2312" w:eastAsia="仿宋_GB2312" w:hAnsiTheme="minorEastAsia"/>
          <w:b/>
          <w:color w:val="auto"/>
          <w:sz w:val="21"/>
          <w:szCs w:val="21"/>
        </w:rPr>
        <w:t>3</w:t>
      </w:r>
      <w:r>
        <w:rPr>
          <w:rFonts w:hint="eastAsia" w:ascii="仿宋_GB2312" w:eastAsia="仿宋_GB2312" w:hAnsiTheme="minorEastAsia"/>
          <w:b/>
          <w:color w:val="auto"/>
          <w:sz w:val="21"/>
          <w:szCs w:val="21"/>
        </w:rPr>
        <w:t xml:space="preserve">.5 有下列情形之一的，投标保证金将不予退还，情节严重的列入中建路桥集团《不合格分供商名录》： </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3.5.1</w:t>
      </w:r>
      <w:r>
        <w:rPr>
          <w:rFonts w:hint="eastAsia" w:ascii="仿宋_GB2312" w:eastAsia="仿宋_GB2312" w:hAnsiTheme="minorEastAsia"/>
          <w:color w:val="auto"/>
          <w:sz w:val="21"/>
          <w:szCs w:val="21"/>
        </w:rPr>
        <w:t>投标人在规定的投标有效期内未经招标人同意撤销或修改其投标文件；</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3.5.2</w:t>
      </w:r>
      <w:r>
        <w:rPr>
          <w:rFonts w:hint="eastAsia" w:ascii="仿宋_GB2312" w:eastAsia="仿宋_GB2312" w:hAnsiTheme="minorEastAsia"/>
          <w:color w:val="auto"/>
          <w:sz w:val="21"/>
          <w:szCs w:val="21"/>
        </w:rPr>
        <w:t>严重扰乱议标流程，招标过程中恶意退出的；</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3.5.3</w:t>
      </w:r>
      <w:r>
        <w:rPr>
          <w:rFonts w:hint="eastAsia" w:ascii="仿宋_GB2312" w:eastAsia="仿宋_GB2312" w:hAnsiTheme="minorEastAsia"/>
          <w:color w:val="auto"/>
          <w:sz w:val="21"/>
          <w:szCs w:val="21"/>
        </w:rPr>
        <w:t>中标人在收到中标通知后，无正当理由拒签合同协议书或未按招标文件规定提交履约保证金</w:t>
      </w:r>
      <w:r>
        <w:rPr>
          <w:rFonts w:hint="eastAsia" w:ascii="宋体" w:hAnsi="宋体" w:eastAsia="宋体" w:cs="宋体"/>
          <w:color w:val="auto"/>
          <w:sz w:val="21"/>
          <w:szCs w:val="21"/>
        </w:rPr>
        <w:t>。</w:t>
      </w:r>
    </w:p>
    <w:p>
      <w:pPr>
        <w:spacing w:line="400" w:lineRule="exact"/>
        <w:ind w:firstLine="422" w:firstLineChars="200"/>
        <w:outlineLvl w:val="2"/>
        <w:rPr>
          <w:rFonts w:ascii="仿宋_GB2312" w:eastAsia="仿宋_GB2312" w:hAnsiTheme="minorEastAsia"/>
          <w:color w:val="auto"/>
          <w:sz w:val="21"/>
          <w:szCs w:val="21"/>
        </w:rPr>
      </w:pPr>
      <w:r>
        <w:rPr>
          <w:rFonts w:hint="eastAsia" w:ascii="仿宋_GB2312" w:eastAsia="仿宋_GB2312" w:hAnsiTheme="minorEastAsia"/>
          <w:b/>
          <w:color w:val="auto"/>
          <w:sz w:val="21"/>
          <w:szCs w:val="21"/>
        </w:rPr>
        <w:t>13.6履约保证金见前附表。</w:t>
      </w:r>
      <w:r>
        <w:rPr>
          <w:rFonts w:hint="eastAsia" w:ascii="仿宋_GB2312" w:eastAsia="仿宋_GB2312" w:cs="宋体" w:hAnsiTheme="minorEastAsia"/>
          <w:color w:val="auto"/>
          <w:sz w:val="21"/>
          <w:szCs w:val="21"/>
        </w:rPr>
        <w:t>上一年度中建路桥集团有限公司优质供应商免交履约保证金。</w:t>
      </w:r>
    </w:p>
    <w:p>
      <w:pPr>
        <w:pStyle w:val="181"/>
        <w:keepNext w:val="0"/>
        <w:keepLines w:val="0"/>
        <w:ind w:firstLine="482" w:firstLineChars="200"/>
        <w:rPr>
          <w:rFonts w:ascii="仿宋_GB2312" w:eastAsia="仿宋_GB2312" w:cs="宋体" w:hAnsiTheme="minorEastAsia"/>
          <w:b/>
          <w:bCs/>
          <w:color w:val="auto"/>
        </w:rPr>
      </w:pPr>
      <w:r>
        <w:rPr>
          <w:rFonts w:hint="eastAsia" w:ascii="仿宋_GB2312" w:eastAsia="仿宋_GB2312" w:cs="宋体" w:hAnsiTheme="minorEastAsia"/>
          <w:b/>
          <w:bCs/>
          <w:color w:val="auto"/>
        </w:rPr>
        <w:t>14.投标报价及结算方式</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.1投标价。</w:t>
      </w:r>
      <w:r>
        <w:rPr>
          <w:rFonts w:hint="eastAsia" w:ascii="仿宋_GB2312" w:eastAsia="仿宋_GB2312" w:hAnsiTheme="minorEastAsia"/>
          <w:color w:val="auto"/>
          <w:sz w:val="21"/>
          <w:szCs w:val="21"/>
          <w:lang w:eastAsia="zh-CN"/>
        </w:rPr>
        <w:t>水稳级配成品料</w:t>
      </w:r>
      <w:r>
        <w:rPr>
          <w:rFonts w:hint="eastAsia" w:ascii="仿宋_GB2312" w:eastAsia="仿宋_GB2312" w:hAnsiTheme="minorEastAsia"/>
          <w:color w:val="auto"/>
          <w:sz w:val="21"/>
          <w:szCs w:val="21"/>
        </w:rPr>
        <w:t>运输综合单价为固定单价，投标人把</w:t>
      </w:r>
      <w:r>
        <w:rPr>
          <w:rFonts w:hint="eastAsia" w:ascii="仿宋_GB2312" w:eastAsia="仿宋_GB2312" w:hAnsiTheme="minorEastAsia"/>
          <w:color w:val="auto"/>
          <w:sz w:val="21"/>
          <w:szCs w:val="21"/>
          <w:lang w:eastAsia="zh-CN"/>
        </w:rPr>
        <w:t>混合料</w:t>
      </w:r>
      <w:r>
        <w:rPr>
          <w:rFonts w:hint="eastAsia" w:ascii="仿宋_GB2312" w:eastAsia="仿宋_GB2312" w:hAnsiTheme="minorEastAsia"/>
          <w:color w:val="auto"/>
          <w:sz w:val="21"/>
          <w:szCs w:val="21"/>
        </w:rPr>
        <w:t>由生产所在地，完好无损地运至招标人指定交货地点所发生的一切费用，包括但不限于前期准备费、车辆的使用费、装卸车费、地方协调配合费、驾驶员工资、奖金、津贴，人员的社保、保险及食宿，车辆的燃油、维修及保养、保险、税费、利润、过路过桥费、交警路政费用、所有车辆及人员进退场所需费用及安全文明施工费以及其他运抵甲方指定货物地点的一切费用。乙方不得以任何理由向甲方另行索要其它费用。</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风险因素</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现场一切条件、供货周期、运输过程中的各种障碍、各种意想不到的费用等均由投标方自行考虑，费用自行承担。</w:t>
      </w:r>
    </w:p>
    <w:p>
      <w:pPr>
        <w:spacing w:line="400" w:lineRule="exact"/>
        <w:ind w:firstLine="422" w:firstLineChars="200"/>
        <w:outlineLvl w:val="2"/>
        <w:rPr>
          <w:rFonts w:ascii="仿宋_GB2312" w:eastAsia="仿宋_GB2312" w:hAnsiTheme="minorEastAsia"/>
          <w:b/>
          <w:color w:val="auto"/>
          <w:sz w:val="21"/>
          <w:szCs w:val="21"/>
        </w:rPr>
      </w:pPr>
      <w:r>
        <w:rPr>
          <w:rFonts w:hint="eastAsia" w:ascii="仿宋_GB2312" w:eastAsia="仿宋_GB2312" w:hAnsiTheme="minorEastAsia"/>
          <w:b/>
          <w:color w:val="auto"/>
          <w:sz w:val="21"/>
          <w:szCs w:val="21"/>
        </w:rPr>
        <w:t>1</w:t>
      </w:r>
      <w:r>
        <w:rPr>
          <w:rFonts w:ascii="仿宋_GB2312" w:eastAsia="仿宋_GB2312" w:hAnsiTheme="minorEastAsia"/>
          <w:b/>
          <w:color w:val="auto"/>
          <w:sz w:val="21"/>
          <w:szCs w:val="21"/>
        </w:rPr>
        <w:t>4</w:t>
      </w:r>
      <w:r>
        <w:rPr>
          <w:rFonts w:hint="eastAsia" w:ascii="仿宋_GB2312" w:eastAsia="仿宋_GB2312" w:hAnsiTheme="minorEastAsia"/>
          <w:b/>
          <w:color w:val="auto"/>
          <w:sz w:val="21"/>
          <w:szCs w:val="21"/>
        </w:rPr>
        <w:t>.2本次招标报价采用</w:t>
      </w:r>
      <w:r>
        <w:rPr>
          <w:rFonts w:hint="eastAsia" w:ascii="仿宋_GB2312" w:eastAsia="仿宋_GB2312" w:hAnsiTheme="minorEastAsia"/>
          <w:b/>
          <w:color w:val="auto"/>
          <w:sz w:val="21"/>
          <w:szCs w:val="21"/>
          <w:u w:val="single"/>
        </w:rPr>
        <w:t xml:space="preserve"> </w:t>
      </w:r>
      <w:r>
        <w:rPr>
          <w:rFonts w:ascii="仿宋_GB2312" w:eastAsia="仿宋_GB2312" w:hAnsiTheme="minorEastAsia"/>
          <w:b/>
          <w:color w:val="auto"/>
          <w:sz w:val="21"/>
          <w:szCs w:val="21"/>
          <w:u w:val="single"/>
        </w:rPr>
        <w:t xml:space="preserve"> </w:t>
      </w:r>
      <w:r>
        <w:rPr>
          <w:rFonts w:hint="eastAsia" w:ascii="仿宋_GB2312" w:eastAsia="仿宋_GB2312" w:hAnsiTheme="minorEastAsia"/>
          <w:b/>
          <w:color w:val="auto"/>
          <w:sz w:val="21"/>
          <w:szCs w:val="21"/>
          <w:u w:val="single"/>
        </w:rPr>
        <w:t xml:space="preserve">固定单价  </w:t>
      </w:r>
      <w:r>
        <w:rPr>
          <w:rFonts w:hint="eastAsia" w:ascii="仿宋_GB2312" w:eastAsia="仿宋_GB2312" w:hAnsiTheme="minorEastAsia"/>
          <w:b/>
          <w:color w:val="auto"/>
          <w:sz w:val="21"/>
          <w:szCs w:val="21"/>
        </w:rPr>
        <w:t>报价方式</w:t>
      </w:r>
    </w:p>
    <w:p>
      <w:pPr>
        <w:pStyle w:val="2"/>
        <w:spacing w:after="0" w:line="400" w:lineRule="exact"/>
        <w:ind w:firstLine="420" w:firstLineChars="200"/>
        <w:rPr>
          <w:rFonts w:ascii="仿宋_GB2312" w:eastAsia="仿宋_GB2312" w:hAnsiTheme="minorEastAsia" w:cstheme="minorBidi"/>
          <w:color w:val="auto"/>
          <w:kern w:val="2"/>
          <w:sz w:val="21"/>
          <w:szCs w:val="21"/>
        </w:rPr>
      </w:pPr>
      <w:r>
        <w:rPr>
          <w:rFonts w:hint="eastAsia" w:ascii="仿宋_GB2312" w:eastAsia="仿宋_GB2312" w:hAnsiTheme="minorEastAsia" w:cstheme="minorBidi"/>
          <w:color w:val="auto"/>
          <w:kern w:val="2"/>
          <w:sz w:val="21"/>
          <w:szCs w:val="21"/>
        </w:rPr>
        <w:t>合同执行过程中保持不变。承包价已考虑燃油等物料价格市场波动因素影响，本合同履行期间价格波动盈亏风险甲乙双方各自承担。乙方不得以任何物料价格上涨或运输价格上涨向甲方提出任何调整合同价或索赔的要求，实际运输数量的增减不影响合同单价。本合同单价是乙方提供</w:t>
      </w:r>
      <w:r>
        <w:rPr>
          <w:rFonts w:hint="eastAsia" w:ascii="仿宋_GB2312" w:eastAsia="仿宋_GB2312" w:hAnsiTheme="minorEastAsia" w:cstheme="minorBidi"/>
          <w:color w:val="auto"/>
          <w:kern w:val="2"/>
          <w:sz w:val="21"/>
          <w:szCs w:val="21"/>
          <w:highlight w:val="none"/>
        </w:rPr>
        <w:t>增值税</w:t>
      </w:r>
      <w:r>
        <w:rPr>
          <w:rFonts w:hint="eastAsia" w:ascii="仿宋_GB2312" w:eastAsia="仿宋_GB2312" w:hAnsiTheme="minorEastAsia" w:cstheme="minorBidi"/>
          <w:color w:val="auto"/>
          <w:kern w:val="2"/>
          <w:sz w:val="21"/>
          <w:szCs w:val="21"/>
          <w:highlight w:val="none"/>
          <w:lang w:eastAsia="zh-CN"/>
        </w:rPr>
        <w:t>专用发票</w:t>
      </w:r>
      <w:r>
        <w:rPr>
          <w:rFonts w:hint="eastAsia" w:ascii="仿宋_GB2312" w:eastAsia="仿宋_GB2312" w:hAnsiTheme="minorEastAsia" w:cstheme="minorBidi"/>
          <w:color w:val="auto"/>
          <w:kern w:val="2"/>
          <w:sz w:val="21"/>
          <w:szCs w:val="21"/>
          <w:highlight w:val="none"/>
        </w:rPr>
        <w:t>的结</w:t>
      </w:r>
      <w:r>
        <w:rPr>
          <w:rFonts w:hint="eastAsia" w:ascii="仿宋_GB2312" w:eastAsia="仿宋_GB2312" w:hAnsiTheme="minorEastAsia" w:cstheme="minorBidi"/>
          <w:color w:val="auto"/>
          <w:kern w:val="2"/>
          <w:sz w:val="21"/>
          <w:szCs w:val="21"/>
        </w:rPr>
        <w:t>算单价。</w:t>
      </w:r>
    </w:p>
    <w:p>
      <w:pPr>
        <w:tabs>
          <w:tab w:val="left" w:pos="765"/>
        </w:tabs>
        <w:spacing w:line="400" w:lineRule="exact"/>
        <w:ind w:firstLine="420" w:firstLineChars="200"/>
        <w:outlineLvl w:val="2"/>
        <w:rPr>
          <w:rFonts w:ascii="仿宋_GB2312" w:eastAsia="仿宋_GB2312" w:hAnsiTheme="minorEastAsia"/>
          <w:color w:val="auto"/>
          <w:sz w:val="21"/>
          <w:szCs w:val="21"/>
        </w:rPr>
      </w:pPr>
      <w:r>
        <w:rPr>
          <w:rFonts w:hint="eastAsia" w:ascii="仿宋_GB2312" w:hAnsi="宋体" w:eastAsia="仿宋_GB2312" w:cs="宋体"/>
          <w:color w:val="auto"/>
          <w:sz w:val="21"/>
          <w:szCs w:val="21"/>
        </w:rPr>
        <w:t>14.3结算方式</w:t>
      </w:r>
      <w:r>
        <w:rPr>
          <w:rFonts w:hint="eastAsia" w:ascii="仿宋_GB2312" w:eastAsia="仿宋_GB2312" w:hAnsiTheme="minorEastAsia"/>
          <w:color w:val="auto"/>
          <w:sz w:val="21"/>
          <w:szCs w:val="21"/>
        </w:rPr>
        <w:t>见投标人须知前附表。</w:t>
      </w:r>
    </w:p>
    <w:p>
      <w:pPr>
        <w:pStyle w:val="181"/>
        <w:keepNext w:val="0"/>
        <w:keepLines w:val="0"/>
        <w:ind w:firstLine="420" w:firstLineChars="200"/>
        <w:rPr>
          <w:rFonts w:ascii="仿宋_GB2312" w:eastAsia="仿宋_GB2312" w:cs="宋体" w:hAnsiTheme="minorEastAsia"/>
          <w:color w:val="auto"/>
          <w:sz w:val="21"/>
          <w:szCs w:val="21"/>
        </w:rPr>
      </w:pPr>
      <w:r>
        <w:rPr>
          <w:rFonts w:hint="eastAsia" w:ascii="仿宋_GB2312" w:eastAsia="仿宋_GB2312" w:hAnsiTheme="minorEastAsia"/>
          <w:color w:val="auto"/>
          <w:sz w:val="21"/>
          <w:szCs w:val="21"/>
        </w:rPr>
        <w:t>14.4</w:t>
      </w:r>
      <w:r>
        <w:rPr>
          <w:rFonts w:hint="eastAsia" w:ascii="仿宋_GB2312" w:eastAsia="仿宋_GB2312" w:cs="宋体" w:hAnsiTheme="minorEastAsia"/>
          <w:color w:val="auto"/>
          <w:sz w:val="21"/>
          <w:szCs w:val="21"/>
        </w:rPr>
        <w:t>付款比例、付款方式见</w:t>
      </w:r>
      <w:r>
        <w:rPr>
          <w:rFonts w:hint="eastAsia" w:ascii="仿宋_GB2312" w:eastAsia="仿宋_GB2312" w:hAnsiTheme="minorEastAsia"/>
          <w:color w:val="auto"/>
          <w:sz w:val="21"/>
          <w:szCs w:val="21"/>
        </w:rPr>
        <w:t>投标人须知前附表。</w:t>
      </w:r>
    </w:p>
    <w:p>
      <w:pPr>
        <w:pStyle w:val="181"/>
        <w:keepNext w:val="0"/>
        <w:keepLines w:val="0"/>
        <w:ind w:firstLine="482" w:firstLineChars="200"/>
        <w:rPr>
          <w:rFonts w:ascii="仿宋_GB2312" w:eastAsia="仿宋_GB2312" w:cs="宋体" w:hAnsiTheme="minorEastAsia"/>
          <w:b/>
          <w:bCs/>
          <w:color w:val="auto"/>
        </w:rPr>
      </w:pPr>
      <w:r>
        <w:rPr>
          <w:rFonts w:hint="eastAsia" w:ascii="仿宋_GB2312" w:eastAsia="仿宋_GB2312" w:cs="宋体" w:hAnsiTheme="minorEastAsia"/>
          <w:b/>
          <w:bCs/>
          <w:color w:val="auto"/>
        </w:rPr>
        <w:t>1</w:t>
      </w:r>
      <w:r>
        <w:rPr>
          <w:rFonts w:ascii="仿宋_GB2312" w:eastAsia="仿宋_GB2312" w:cs="宋体" w:hAnsiTheme="minorEastAsia"/>
          <w:b/>
          <w:bCs/>
          <w:color w:val="auto"/>
        </w:rPr>
        <w:t>5</w:t>
      </w:r>
      <w:r>
        <w:rPr>
          <w:rFonts w:hint="eastAsia" w:ascii="仿宋_GB2312" w:eastAsia="仿宋_GB2312" w:cs="宋体" w:hAnsiTheme="minorEastAsia"/>
          <w:b/>
          <w:bCs/>
          <w:color w:val="auto"/>
        </w:rPr>
        <w:t>.投标有效期</w:t>
      </w:r>
    </w:p>
    <w:p>
      <w:pPr>
        <w:adjustRightInd w:val="0"/>
        <w:snapToGrid w:val="0"/>
        <w:spacing w:after="100"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15.1规定的投标截止之日后</w:t>
      </w:r>
      <w:r>
        <w:rPr>
          <w:rFonts w:hint="eastAsia" w:ascii="仿宋_GB2312" w:eastAsia="仿宋_GB2312" w:hAnsiTheme="minorEastAsia"/>
          <w:color w:val="auto"/>
          <w:sz w:val="21"/>
          <w:szCs w:val="21"/>
          <w:lang w:val="en-US" w:eastAsia="zh-CN"/>
        </w:rPr>
        <w:t>60</w:t>
      </w:r>
      <w:r>
        <w:rPr>
          <w:rFonts w:hint="eastAsia" w:ascii="仿宋_GB2312" w:eastAsia="仿宋_GB2312" w:hAnsiTheme="minorEastAsia"/>
          <w:color w:val="auto"/>
          <w:sz w:val="21"/>
          <w:szCs w:val="21"/>
        </w:rPr>
        <w:t>天内投标文件有效。有效期内投标人不得自行改变其投标文件内容。</w:t>
      </w:r>
    </w:p>
    <w:p>
      <w:pPr>
        <w:adjustRightInd w:val="0"/>
        <w:snapToGrid w:val="0"/>
        <w:spacing w:after="100" w:line="400" w:lineRule="exact"/>
        <w:ind w:firstLine="420" w:firstLineChars="200"/>
        <w:textAlignment w:val="baseline"/>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5</w:t>
      </w:r>
      <w:r>
        <w:rPr>
          <w:rFonts w:hint="eastAsia" w:ascii="仿宋_GB2312" w:eastAsia="仿宋_GB2312" w:hAnsiTheme="minorEastAsia"/>
          <w:color w:val="auto"/>
          <w:sz w:val="21"/>
          <w:szCs w:val="21"/>
        </w:rPr>
        <w:t>.2投标有效期满</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如招标人因故未能确定中标人</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招标人重新招标。</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5</w:t>
      </w:r>
      <w:r>
        <w:rPr>
          <w:rFonts w:hint="eastAsia" w:ascii="仿宋_GB2312" w:eastAsia="仿宋_GB2312" w:hAnsiTheme="minorEastAsia"/>
          <w:color w:val="auto"/>
          <w:sz w:val="21"/>
          <w:szCs w:val="21"/>
        </w:rPr>
        <w:t xml:space="preserve">.3投标有效期缩短的，视投标人未响应招标文件而被拒绝。 </w:t>
      </w:r>
    </w:p>
    <w:p>
      <w:pPr>
        <w:pStyle w:val="181"/>
        <w:keepNext w:val="0"/>
        <w:keepLines w:val="0"/>
        <w:ind w:firstLine="482" w:firstLineChars="200"/>
        <w:rPr>
          <w:rFonts w:ascii="仿宋_GB2312" w:eastAsia="仿宋_GB2312" w:cs="宋体" w:hAnsiTheme="minorEastAsia"/>
          <w:b/>
          <w:bCs/>
          <w:color w:val="auto"/>
        </w:rPr>
      </w:pPr>
      <w:bookmarkStart w:id="39" w:name="_Toc16914"/>
      <w:r>
        <w:rPr>
          <w:rFonts w:hint="eastAsia" w:ascii="仿宋_GB2312" w:eastAsia="仿宋_GB2312" w:cs="宋体" w:hAnsiTheme="minorEastAsia"/>
          <w:b/>
          <w:bCs/>
          <w:color w:val="auto"/>
        </w:rPr>
        <w:t>16.投标文件的签署</w:t>
      </w:r>
      <w:bookmarkEnd w:id="39"/>
    </w:p>
    <w:p>
      <w:pPr>
        <w:adjustRightInd w:val="0"/>
        <w:snapToGrid w:val="0"/>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.1 投标人在提供投标文件时，所有的表格、承诺及签署的文件均需壹份正本、壹份副本及一份电子版投标文件，以PDF格式提供。纸质版及U盘电子版招标文件适用线下招标。</w:t>
      </w:r>
    </w:p>
    <w:p>
      <w:pPr>
        <w:adjustRightInd w:val="0"/>
        <w:snapToGrid w:val="0"/>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.2 投标文件应由投标人的法定代表人或授权代理人签字，并按招标文件要求加盖公章。并扫描上传。</w:t>
      </w:r>
    </w:p>
    <w:p>
      <w:pPr>
        <w:adjustRightInd w:val="0"/>
        <w:snapToGrid w:val="0"/>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.3投标文件原则上不应有涂抹等修改。如确需修改，修改处应由法定代表人或授权代理人签字确认。</w:t>
      </w:r>
    </w:p>
    <w:p>
      <w:pPr>
        <w:pStyle w:val="181"/>
        <w:keepNext w:val="0"/>
        <w:keepLines w:val="0"/>
        <w:ind w:firstLine="420" w:firstLineChars="200"/>
        <w:rPr>
          <w:rFonts w:ascii="仿宋_GB2312" w:eastAsia="仿宋_GB2312" w:hAnsiTheme="minorEastAsia"/>
          <w:color w:val="auto"/>
          <w:sz w:val="21"/>
          <w:szCs w:val="21"/>
        </w:rPr>
      </w:pPr>
      <w:r>
        <w:rPr>
          <w:rFonts w:hint="eastAsia" w:ascii="仿宋_GB2312" w:eastAsia="仿宋_GB2312" w:hAnsiTheme="minorEastAsia"/>
          <w:color w:val="auto"/>
          <w:sz w:val="21"/>
          <w:szCs w:val="21"/>
        </w:rPr>
        <w:t>1</w:t>
      </w: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.4法定代表人为两个及两个以上公司法人，母公司、全资子公司及其控股公司，不得同时投标，否则全部视为废标。</w:t>
      </w:r>
      <w:bookmarkStart w:id="40" w:name="_Toc16382"/>
    </w:p>
    <w:p>
      <w:pPr>
        <w:pStyle w:val="181"/>
        <w:keepNext w:val="0"/>
        <w:keepLines w:val="0"/>
        <w:ind w:firstLine="420" w:firstLineChars="200"/>
        <w:rPr>
          <w:rFonts w:ascii="仿宋_GB2312" w:eastAsia="仿宋_GB2312" w:hAnsiTheme="minorEastAsia"/>
          <w:color w:val="auto"/>
          <w:sz w:val="21"/>
          <w:szCs w:val="21"/>
        </w:rPr>
      </w:pPr>
      <w:r>
        <w:rPr>
          <w:rFonts w:hint="eastAsia" w:ascii="仿宋_GB2312" w:eastAsia="仿宋_GB2312" w:hAnsiTheme="minorEastAsia"/>
          <w:color w:val="auto"/>
          <w:sz w:val="21"/>
          <w:szCs w:val="21"/>
        </w:rPr>
        <w:t>16.5投标文件的封套</w:t>
      </w:r>
      <w:bookmarkEnd w:id="40"/>
      <w:r>
        <w:rPr>
          <w:rFonts w:hint="eastAsia" w:ascii="仿宋_GB2312" w:eastAsia="仿宋_GB2312" w:hAnsiTheme="minorEastAsia"/>
          <w:color w:val="auto"/>
          <w:sz w:val="21"/>
          <w:szCs w:val="21"/>
        </w:rPr>
        <w:t>见投标人须知前附表</w:t>
      </w:r>
      <w:r>
        <w:rPr>
          <w:rFonts w:hint="eastAsia" w:ascii="仿宋_GB2312" w:eastAsia="仿宋_GB2312" w:hAnsiTheme="minorEastAsia"/>
          <w:color w:val="auto"/>
        </w:rPr>
        <w:t>。</w:t>
      </w:r>
      <w:bookmarkStart w:id="41" w:name="_Toc214335336"/>
      <w:bookmarkStart w:id="42" w:name="_Toc214336663"/>
      <w:bookmarkStart w:id="43" w:name="_Hlk38441028"/>
      <w:bookmarkStart w:id="44" w:name="_Toc214331812"/>
      <w:bookmarkStart w:id="45" w:name="_Toc31618"/>
      <w:bookmarkStart w:id="46" w:name="_Toc214339497"/>
      <w:bookmarkStart w:id="47" w:name="_Toc214333208"/>
    </w:p>
    <w:p>
      <w:pPr>
        <w:pStyle w:val="18"/>
        <w:adjustRightInd w:val="0"/>
        <w:snapToGrid w:val="0"/>
        <w:spacing w:line="400" w:lineRule="exact"/>
        <w:ind w:firstLine="420" w:firstLineChars="200"/>
        <w:outlineLvl w:val="2"/>
        <w:rPr>
          <w:rFonts w:ascii="仿宋_GB2312" w:eastAsia="仿宋_GB2312" w:hAnsiTheme="minorEastAsia"/>
          <w:color w:val="auto"/>
          <w:kern w:val="2"/>
        </w:rPr>
      </w:pPr>
    </w:p>
    <w:p>
      <w:pPr>
        <w:pStyle w:val="4"/>
        <w:keepNext w:val="0"/>
        <w:keepLines w:val="0"/>
        <w:spacing w:before="120" w:after="120" w:line="400" w:lineRule="exact"/>
        <w:ind w:firstLine="562" w:firstLineChars="200"/>
        <w:rPr>
          <w:rFonts w:ascii="仿宋_GB2312" w:eastAsia="仿宋_GB2312" w:cs="Times New Roman" w:hAnsiTheme="minorEastAsia"/>
          <w:bCs w:val="0"/>
          <w:color w:val="auto"/>
          <w:kern w:val="2"/>
          <w:sz w:val="28"/>
          <w:szCs w:val="28"/>
        </w:rPr>
      </w:pPr>
      <w:r>
        <w:rPr>
          <w:rFonts w:hint="eastAsia" w:ascii="仿宋_GB2312" w:eastAsia="仿宋_GB2312" w:cs="黑体" w:hAnsiTheme="minorEastAsia"/>
          <w:bCs w:val="0"/>
          <w:color w:val="auto"/>
          <w:kern w:val="2"/>
          <w:sz w:val="28"/>
          <w:szCs w:val="28"/>
        </w:rPr>
        <w:t>四、投标文件的递标</w:t>
      </w:r>
      <w:bookmarkEnd w:id="41"/>
      <w:bookmarkEnd w:id="42"/>
      <w:bookmarkEnd w:id="43"/>
      <w:bookmarkEnd w:id="44"/>
      <w:bookmarkEnd w:id="45"/>
      <w:bookmarkEnd w:id="46"/>
      <w:bookmarkEnd w:id="47"/>
    </w:p>
    <w:p>
      <w:pPr>
        <w:pStyle w:val="181"/>
        <w:keepNext w:val="0"/>
        <w:keepLines w:val="0"/>
        <w:ind w:firstLine="482" w:firstLineChars="200"/>
        <w:rPr>
          <w:rFonts w:ascii="仿宋_GB2312" w:eastAsia="仿宋_GB2312" w:hAnsiTheme="minorEastAsia"/>
          <w:b/>
          <w:bCs/>
          <w:color w:val="auto"/>
        </w:rPr>
      </w:pPr>
      <w:bookmarkStart w:id="48" w:name="_Toc2256"/>
      <w:r>
        <w:rPr>
          <w:rFonts w:ascii="仿宋_GB2312" w:eastAsia="仿宋_GB2312" w:cs="宋体" w:hAnsiTheme="minorEastAsia"/>
          <w:b/>
          <w:bCs/>
          <w:color w:val="auto"/>
        </w:rPr>
        <w:t>17</w:t>
      </w:r>
      <w:r>
        <w:rPr>
          <w:rFonts w:hint="eastAsia" w:ascii="仿宋_GB2312" w:eastAsia="仿宋_GB2312" w:cs="宋体" w:hAnsiTheme="minorEastAsia"/>
          <w:b/>
          <w:bCs/>
          <w:color w:val="auto"/>
        </w:rPr>
        <w:t>.投标文件的递交</w:t>
      </w:r>
      <w:bookmarkEnd w:id="48"/>
    </w:p>
    <w:p>
      <w:pPr>
        <w:spacing w:line="500" w:lineRule="exact"/>
        <w:ind w:firstLine="420" w:firstLineChars="200"/>
        <w:rPr>
          <w:rFonts w:ascii="仿宋_GB2312" w:hAnsi="仿宋" w:eastAsia="仿宋_GB2312"/>
          <w:bCs/>
          <w:color w:val="auto"/>
          <w:sz w:val="21"/>
          <w:szCs w:val="21"/>
        </w:rPr>
      </w:pPr>
      <w:bookmarkStart w:id="49" w:name="_Toc214333209"/>
      <w:bookmarkStart w:id="50" w:name="_Toc214331813"/>
      <w:bookmarkStart w:id="51" w:name="_Toc4220"/>
      <w:bookmarkStart w:id="52" w:name="_Toc214335337"/>
      <w:bookmarkStart w:id="53" w:name="_Toc214336664"/>
      <w:bookmarkStart w:id="54" w:name="_Toc214339498"/>
      <w:r>
        <w:rPr>
          <w:rFonts w:hint="eastAsia" w:ascii="仿宋_GB2312" w:hAnsi="仿宋" w:eastAsia="仿宋_GB2312"/>
          <w:bCs/>
          <w:color w:val="auto"/>
          <w:sz w:val="21"/>
          <w:szCs w:val="21"/>
        </w:rPr>
        <w:t>17.1投标文件递交的</w:t>
      </w:r>
      <w:r>
        <w:rPr>
          <w:rFonts w:hint="eastAsia" w:ascii="仿宋_GB2312" w:hAnsi="仿宋" w:eastAsia="仿宋_GB2312"/>
          <w:bCs/>
          <w:color w:val="auto"/>
          <w:sz w:val="21"/>
          <w:szCs w:val="21"/>
          <w:lang w:eastAsia="zh-CN"/>
        </w:rPr>
        <w:t>截止</w:t>
      </w:r>
      <w:r>
        <w:rPr>
          <w:rFonts w:hint="eastAsia" w:ascii="仿宋_GB2312" w:hAnsi="仿宋" w:eastAsia="仿宋_GB2312"/>
          <w:bCs/>
          <w:color w:val="auto"/>
          <w:sz w:val="21"/>
          <w:szCs w:val="21"/>
        </w:rPr>
        <w:t>时间</w:t>
      </w:r>
      <w:r>
        <w:rPr>
          <w:rFonts w:hint="eastAsia" w:ascii="仿宋_GB2312" w:hAnsi="仿宋" w:eastAsia="仿宋_GB2312"/>
          <w:bCs/>
          <w:color w:val="auto"/>
          <w:sz w:val="21"/>
          <w:szCs w:val="21"/>
          <w:lang w:eastAsia="zh-CN"/>
        </w:rPr>
        <w:t>：</w:t>
      </w:r>
      <w:r>
        <w:rPr>
          <w:rFonts w:hint="eastAsia" w:ascii="仿宋_GB2312" w:hAnsi="仿宋" w:eastAsia="仿宋_GB2312"/>
          <w:b/>
          <w:bCs w:val="0"/>
          <w:color w:val="auto"/>
          <w:sz w:val="21"/>
          <w:szCs w:val="21"/>
          <w:lang w:val="en-US" w:eastAsia="zh-CN"/>
        </w:rPr>
        <w:t>2023年4月6日12点</w:t>
      </w:r>
      <w:r>
        <w:rPr>
          <w:rFonts w:hint="eastAsia" w:ascii="仿宋_GB2312" w:hAnsi="仿宋" w:eastAsia="仿宋_GB2312"/>
          <w:bCs/>
          <w:color w:val="auto"/>
          <w:sz w:val="21"/>
          <w:szCs w:val="21"/>
        </w:rPr>
        <w:t>，招标方亦可能变更投标截止时间，请投标人早作安排。</w:t>
      </w:r>
    </w:p>
    <w:p>
      <w:pPr>
        <w:pStyle w:val="137"/>
        <w:ind w:firstLine="420" w:firstLineChars="200"/>
        <w:jc w:val="both"/>
        <w:rPr>
          <w:rFonts w:ascii="仿宋_GB2312" w:eastAsia="仿宋_GB2312" w:hAnsiTheme="minorEastAsia"/>
          <w:color w:val="auto"/>
          <w:sz w:val="21"/>
          <w:szCs w:val="21"/>
        </w:rPr>
      </w:pPr>
      <w:r>
        <w:rPr>
          <w:rFonts w:hint="eastAsia" w:ascii="仿宋_GB2312" w:eastAsia="仿宋_GB2312" w:hAnsiTheme="minorEastAsia"/>
          <w:b w:val="0"/>
          <w:bCs w:val="0"/>
          <w:color w:val="auto"/>
          <w:sz w:val="21"/>
          <w:szCs w:val="21"/>
        </w:rPr>
        <w:t>17.2无论投标人中标与否，投标人均无权索回投标文件及电子文档。</w:t>
      </w:r>
    </w:p>
    <w:p>
      <w:pPr>
        <w:pStyle w:val="4"/>
        <w:keepNext w:val="0"/>
        <w:keepLines w:val="0"/>
        <w:spacing w:before="120" w:after="120" w:line="400" w:lineRule="exact"/>
        <w:ind w:firstLine="562" w:firstLineChars="200"/>
        <w:rPr>
          <w:rFonts w:ascii="仿宋_GB2312" w:eastAsia="仿宋_GB2312" w:cs="Times New Roman" w:hAnsiTheme="minorEastAsia"/>
          <w:bCs w:val="0"/>
          <w:color w:val="auto"/>
          <w:kern w:val="2"/>
          <w:sz w:val="28"/>
          <w:szCs w:val="28"/>
        </w:rPr>
      </w:pPr>
      <w:r>
        <w:rPr>
          <w:rFonts w:hint="eastAsia" w:ascii="仿宋_GB2312" w:eastAsia="仿宋_GB2312" w:cs="黑体" w:hAnsiTheme="minorEastAsia"/>
          <w:bCs w:val="0"/>
          <w:color w:val="auto"/>
          <w:kern w:val="2"/>
          <w:sz w:val="28"/>
          <w:szCs w:val="28"/>
        </w:rPr>
        <w:t>五、开标与评标</w:t>
      </w:r>
      <w:bookmarkEnd w:id="49"/>
      <w:bookmarkEnd w:id="50"/>
      <w:bookmarkEnd w:id="51"/>
      <w:bookmarkEnd w:id="52"/>
      <w:bookmarkEnd w:id="53"/>
      <w:bookmarkEnd w:id="54"/>
    </w:p>
    <w:p>
      <w:pPr>
        <w:pStyle w:val="181"/>
        <w:keepNext w:val="0"/>
        <w:keepLines w:val="0"/>
        <w:ind w:firstLine="482" w:firstLineChars="200"/>
        <w:rPr>
          <w:rFonts w:ascii="仿宋_GB2312" w:eastAsia="仿宋_GB2312" w:hAnsiTheme="minorEastAsia"/>
          <w:b/>
          <w:bCs/>
          <w:color w:val="auto"/>
        </w:rPr>
      </w:pPr>
      <w:bookmarkStart w:id="55" w:name="_Toc9280"/>
      <w:r>
        <w:rPr>
          <w:rFonts w:ascii="仿宋_GB2312" w:eastAsia="仿宋_GB2312" w:cs="宋体" w:hAnsiTheme="minorEastAsia"/>
          <w:b/>
          <w:bCs/>
          <w:color w:val="auto"/>
        </w:rPr>
        <w:t>18</w:t>
      </w:r>
      <w:r>
        <w:rPr>
          <w:rFonts w:hint="eastAsia" w:ascii="仿宋_GB2312" w:eastAsia="仿宋_GB2312" w:cs="宋体" w:hAnsiTheme="minorEastAsia"/>
          <w:b/>
          <w:bCs/>
          <w:color w:val="auto"/>
        </w:rPr>
        <w:t>.开标</w:t>
      </w:r>
      <w:bookmarkEnd w:id="55"/>
    </w:p>
    <w:p>
      <w:pPr>
        <w:pStyle w:val="18"/>
        <w:adjustRightInd w:val="0"/>
        <w:snapToGrid w:val="0"/>
        <w:spacing w:line="400" w:lineRule="exact"/>
        <w:ind w:firstLine="420" w:firstLineChars="200"/>
        <w:outlineLvl w:val="2"/>
        <w:rPr>
          <w:rFonts w:ascii="仿宋_GB2312" w:eastAsia="仿宋_GB2312" w:hAnsiTheme="minorEastAsia"/>
          <w:color w:val="auto"/>
          <w:kern w:val="2"/>
        </w:rPr>
      </w:pPr>
      <w:bookmarkStart w:id="56" w:name="_Toc13578"/>
      <w:r>
        <w:rPr>
          <w:rFonts w:hint="eastAsia" w:ascii="仿宋_GB2312" w:eastAsia="仿宋_GB2312" w:hAnsiTheme="minorEastAsia"/>
          <w:color w:val="auto"/>
          <w:kern w:val="2"/>
        </w:rPr>
        <w:t>招标人在</w:t>
      </w:r>
      <w:r>
        <w:rPr>
          <w:rFonts w:hint="eastAsia" w:ascii="仿宋_GB2312" w:eastAsia="仿宋_GB2312" w:hAnsiTheme="minorEastAsia"/>
          <w:color w:val="auto"/>
          <w:kern w:val="2"/>
          <w:lang w:eastAsia="zh-CN"/>
        </w:rPr>
        <w:t>养护公司会议室</w:t>
      </w:r>
      <w:r>
        <w:rPr>
          <w:rFonts w:hint="eastAsia" w:ascii="仿宋_GB2312" w:eastAsia="仿宋_GB2312" w:hAnsiTheme="minorEastAsia"/>
          <w:color w:val="auto"/>
          <w:kern w:val="2"/>
        </w:rPr>
        <w:t>开标。</w:t>
      </w:r>
    </w:p>
    <w:p>
      <w:pPr>
        <w:pStyle w:val="181"/>
        <w:keepNext w:val="0"/>
        <w:keepLines w:val="0"/>
        <w:ind w:firstLine="482" w:firstLineChars="200"/>
        <w:rPr>
          <w:rFonts w:ascii="仿宋_GB2312" w:eastAsia="仿宋_GB2312" w:cs="宋体" w:hAnsiTheme="minorEastAsia"/>
          <w:b/>
          <w:bCs/>
          <w:color w:val="auto"/>
        </w:rPr>
      </w:pPr>
      <w:r>
        <w:rPr>
          <w:rFonts w:ascii="仿宋_GB2312" w:eastAsia="仿宋_GB2312" w:cs="宋体" w:hAnsiTheme="minorEastAsia"/>
          <w:b/>
          <w:bCs/>
          <w:color w:val="auto"/>
        </w:rPr>
        <w:t>19</w:t>
      </w:r>
      <w:r>
        <w:rPr>
          <w:rFonts w:hint="eastAsia" w:ascii="仿宋_GB2312" w:eastAsia="仿宋_GB2312" w:cs="宋体" w:hAnsiTheme="minorEastAsia"/>
          <w:b/>
          <w:bCs/>
          <w:color w:val="auto"/>
        </w:rPr>
        <w:t>.评标</w:t>
      </w:r>
      <w:bookmarkEnd w:id="56"/>
    </w:p>
    <w:p>
      <w:pPr>
        <w:pStyle w:val="18"/>
        <w:adjustRightInd w:val="0"/>
        <w:snapToGrid w:val="0"/>
        <w:spacing w:line="400" w:lineRule="exact"/>
        <w:ind w:firstLine="420" w:firstLineChars="200"/>
        <w:outlineLvl w:val="2"/>
        <w:rPr>
          <w:rFonts w:ascii="仿宋_GB2312" w:eastAsia="仿宋_GB2312" w:cs="Times New Roman" w:hAnsiTheme="minorEastAsia"/>
          <w:color w:val="auto"/>
          <w:kern w:val="2"/>
        </w:rPr>
      </w:pPr>
      <w:r>
        <w:rPr>
          <w:rFonts w:ascii="仿宋_GB2312" w:eastAsia="仿宋_GB2312" w:hAnsiTheme="minorEastAsia"/>
          <w:color w:val="auto"/>
          <w:kern w:val="2"/>
        </w:rPr>
        <w:t>19</w:t>
      </w:r>
      <w:r>
        <w:rPr>
          <w:rFonts w:hint="eastAsia" w:ascii="仿宋_GB2312" w:eastAsia="仿宋_GB2312" w:hAnsiTheme="minorEastAsia"/>
          <w:color w:val="auto"/>
          <w:kern w:val="2"/>
        </w:rPr>
        <w:t>.1 评标小组：由招标人依法、依规组建评标小组。</w:t>
      </w:r>
      <w:r>
        <w:rPr>
          <w:rFonts w:hint="eastAsia" w:ascii="仿宋_GB2312" w:eastAsia="仿宋_GB2312" w:cs="Times New Roman" w:hAnsiTheme="minorEastAsia"/>
          <w:color w:val="auto"/>
          <w:kern w:val="2"/>
        </w:rPr>
        <w:tab/>
      </w:r>
    </w:p>
    <w:p>
      <w:pPr>
        <w:pStyle w:val="181"/>
        <w:keepNext w:val="0"/>
        <w:keepLines w:val="0"/>
        <w:ind w:firstLine="420" w:firstLineChars="200"/>
        <w:rPr>
          <w:rFonts w:ascii="仿宋_GB2312" w:eastAsia="仿宋_GB2312" w:cs="宋体" w:hAnsiTheme="minorEastAsia"/>
          <w:color w:val="auto"/>
          <w:sz w:val="21"/>
          <w:szCs w:val="21"/>
        </w:rPr>
      </w:pPr>
      <w:r>
        <w:rPr>
          <w:rFonts w:ascii="仿宋_GB2312" w:eastAsia="仿宋_GB2312" w:cs="宋体" w:hAnsiTheme="minorEastAsia"/>
          <w:color w:val="auto"/>
          <w:sz w:val="21"/>
          <w:szCs w:val="21"/>
        </w:rPr>
        <w:t>19</w:t>
      </w:r>
      <w:r>
        <w:rPr>
          <w:rFonts w:hint="eastAsia" w:ascii="仿宋_GB2312" w:eastAsia="仿宋_GB2312" w:cs="宋体" w:hAnsiTheme="minorEastAsia"/>
          <w:color w:val="auto"/>
          <w:sz w:val="21"/>
          <w:szCs w:val="21"/>
        </w:rPr>
        <w:t>.2 评标原则：遵循公平、公正、科学、择优和市场价格调查的原则。本次招标将选取报价较低且合理的分供商进入议标，报价较高或异常的分供商不进入议标，请投标人谨慎报价。</w:t>
      </w:r>
      <w:bookmarkStart w:id="57" w:name="_Toc31000"/>
    </w:p>
    <w:p>
      <w:pPr>
        <w:pStyle w:val="181"/>
        <w:keepNext w:val="0"/>
        <w:keepLines w:val="0"/>
        <w:ind w:firstLine="482" w:firstLineChars="200"/>
        <w:rPr>
          <w:rFonts w:ascii="仿宋_GB2312" w:eastAsia="仿宋_GB2312" w:hAnsiTheme="minorEastAsia"/>
          <w:b/>
          <w:bCs/>
          <w:color w:val="auto"/>
        </w:rPr>
      </w:pPr>
      <w:r>
        <w:rPr>
          <w:rFonts w:hint="eastAsia" w:ascii="仿宋_GB2312" w:eastAsia="仿宋_GB2312" w:cs="宋体" w:hAnsiTheme="minorEastAsia"/>
          <w:b/>
          <w:bCs/>
          <w:color w:val="auto"/>
        </w:rPr>
        <w:t>2</w:t>
      </w:r>
      <w:r>
        <w:rPr>
          <w:rFonts w:ascii="仿宋_GB2312" w:eastAsia="仿宋_GB2312" w:cs="宋体" w:hAnsiTheme="minorEastAsia"/>
          <w:b/>
          <w:bCs/>
          <w:color w:val="auto"/>
        </w:rPr>
        <w:t>0.</w:t>
      </w:r>
      <w:r>
        <w:rPr>
          <w:rFonts w:hint="eastAsia" w:ascii="仿宋_GB2312" w:eastAsia="仿宋_GB2312" w:cs="宋体" w:hAnsiTheme="minorEastAsia"/>
          <w:b/>
          <w:bCs/>
          <w:color w:val="auto"/>
        </w:rPr>
        <w:t>投标文件的澄清</w:t>
      </w:r>
      <w:bookmarkEnd w:id="57"/>
    </w:p>
    <w:p>
      <w:pPr>
        <w:pStyle w:val="18"/>
        <w:adjustRightInd w:val="0"/>
        <w:snapToGrid w:val="0"/>
        <w:spacing w:line="400" w:lineRule="exact"/>
        <w:ind w:firstLine="420" w:firstLineChars="200"/>
        <w:outlineLvl w:val="2"/>
        <w:rPr>
          <w:rFonts w:ascii="仿宋_GB2312" w:eastAsia="仿宋_GB2312" w:cs="Times New Roman" w:hAnsiTheme="minorEastAsia"/>
          <w:color w:val="auto"/>
          <w:kern w:val="2"/>
        </w:rPr>
      </w:pPr>
      <w:r>
        <w:rPr>
          <w:rFonts w:hint="eastAsia" w:ascii="仿宋_GB2312" w:eastAsia="仿宋_GB2312" w:hAnsiTheme="minorEastAsia"/>
          <w:color w:val="auto"/>
          <w:kern w:val="2"/>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rPr>
          <w:rFonts w:ascii="仿宋_GB2312" w:eastAsia="仿宋_GB2312" w:hAnsiTheme="minorEastAsia"/>
          <w:b/>
          <w:bCs/>
          <w:color w:val="auto"/>
        </w:rPr>
      </w:pPr>
      <w:bookmarkStart w:id="58" w:name="_Toc31133"/>
      <w:r>
        <w:rPr>
          <w:rFonts w:hint="eastAsia" w:ascii="仿宋_GB2312" w:eastAsia="仿宋_GB2312" w:cs="宋体" w:hAnsiTheme="minorEastAsia"/>
          <w:b/>
          <w:bCs/>
          <w:color w:val="auto"/>
        </w:rPr>
        <w:t>2</w:t>
      </w:r>
      <w:r>
        <w:rPr>
          <w:rFonts w:ascii="仿宋_GB2312" w:eastAsia="仿宋_GB2312" w:cs="宋体" w:hAnsiTheme="minorEastAsia"/>
          <w:b/>
          <w:bCs/>
          <w:color w:val="auto"/>
        </w:rPr>
        <w:t>1</w:t>
      </w:r>
      <w:r>
        <w:rPr>
          <w:rFonts w:hint="eastAsia" w:ascii="仿宋_GB2312" w:eastAsia="仿宋_GB2312" w:cs="宋体" w:hAnsiTheme="minorEastAsia"/>
          <w:b/>
          <w:bCs/>
          <w:color w:val="auto"/>
        </w:rPr>
        <w:t>.废标处理的条件</w:t>
      </w:r>
      <w:bookmarkEnd w:id="58"/>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被确定为有重大偏差的投标将作废标处理。</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投标人串通投标、围标、以行贿手段谋取中标或者以其它弄虚作假方式投标的将作废标处理。</w:t>
      </w:r>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.3投标人干扰招标人自行招标的投标将作废标处理。</w:t>
      </w:r>
    </w:p>
    <w:p>
      <w:pPr>
        <w:spacing w:line="400" w:lineRule="exact"/>
        <w:ind w:firstLine="420" w:firstLineChars="200"/>
        <w:rPr>
          <w:rFonts w:ascii="仿宋_GB2312" w:eastAsia="仿宋_GB2312" w:hAnsiTheme="minorEastAsia"/>
          <w:color w:val="auto"/>
          <w:sz w:val="21"/>
          <w:szCs w:val="21"/>
        </w:rPr>
      </w:pPr>
    </w:p>
    <w:p>
      <w:pPr>
        <w:pStyle w:val="4"/>
        <w:keepNext w:val="0"/>
        <w:keepLines w:val="0"/>
        <w:spacing w:before="120" w:after="120" w:line="400" w:lineRule="exact"/>
        <w:ind w:firstLine="562" w:firstLineChars="200"/>
        <w:rPr>
          <w:rFonts w:ascii="仿宋_GB2312" w:eastAsia="仿宋_GB2312" w:cs="Times New Roman" w:hAnsiTheme="minorEastAsia"/>
          <w:bCs w:val="0"/>
          <w:color w:val="auto"/>
          <w:kern w:val="2"/>
          <w:sz w:val="28"/>
          <w:szCs w:val="28"/>
        </w:rPr>
      </w:pPr>
      <w:bookmarkStart w:id="59" w:name="_Toc214335338"/>
      <w:bookmarkStart w:id="60" w:name="_Toc214331814"/>
      <w:bookmarkStart w:id="61" w:name="_Toc214339499"/>
      <w:bookmarkStart w:id="62" w:name="_Toc214336665"/>
      <w:bookmarkStart w:id="63" w:name="_Toc214333210"/>
      <w:bookmarkStart w:id="64" w:name="_Toc4715"/>
      <w:r>
        <w:rPr>
          <w:rFonts w:hint="eastAsia" w:ascii="仿宋_GB2312" w:eastAsia="仿宋_GB2312" w:cs="黑体" w:hAnsiTheme="minorEastAsia"/>
          <w:bCs w:val="0"/>
          <w:color w:val="auto"/>
          <w:kern w:val="2"/>
          <w:sz w:val="28"/>
          <w:szCs w:val="28"/>
        </w:rPr>
        <w:t>六、定标</w:t>
      </w:r>
      <w:bookmarkEnd w:id="59"/>
      <w:bookmarkEnd w:id="60"/>
      <w:bookmarkEnd w:id="61"/>
      <w:bookmarkEnd w:id="62"/>
      <w:bookmarkEnd w:id="63"/>
      <w:bookmarkEnd w:id="64"/>
    </w:p>
    <w:p>
      <w:pPr>
        <w:pStyle w:val="181"/>
        <w:keepNext w:val="0"/>
        <w:keepLines w:val="0"/>
        <w:ind w:firstLine="482" w:firstLineChars="200"/>
        <w:rPr>
          <w:rFonts w:ascii="仿宋_GB2312" w:eastAsia="仿宋_GB2312" w:hAnsiTheme="minorEastAsia"/>
          <w:b/>
          <w:bCs/>
          <w:color w:val="auto"/>
        </w:rPr>
      </w:pPr>
      <w:bookmarkStart w:id="65" w:name="_Toc30302"/>
      <w:r>
        <w:rPr>
          <w:rFonts w:hint="eastAsia" w:ascii="仿宋_GB2312" w:eastAsia="仿宋_GB2312" w:cs="宋体" w:hAnsiTheme="minorEastAsia"/>
          <w:b/>
          <w:bCs/>
          <w:color w:val="auto"/>
        </w:rPr>
        <w:t>2</w:t>
      </w:r>
      <w:r>
        <w:rPr>
          <w:rFonts w:ascii="仿宋_GB2312" w:eastAsia="仿宋_GB2312" w:cs="宋体" w:hAnsiTheme="minorEastAsia"/>
          <w:b/>
          <w:bCs/>
          <w:color w:val="auto"/>
        </w:rPr>
        <w:t>2</w:t>
      </w:r>
      <w:r>
        <w:rPr>
          <w:rFonts w:hint="eastAsia" w:ascii="仿宋_GB2312" w:eastAsia="仿宋_GB2312" w:cs="宋体" w:hAnsiTheme="minorEastAsia"/>
          <w:b/>
          <w:bCs/>
          <w:color w:val="auto"/>
        </w:rPr>
        <w:t>.定标</w:t>
      </w:r>
      <w:bookmarkEnd w:id="65"/>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招标人不承诺将合同授予报价最低的投标人。</w:t>
      </w:r>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招标人对评标、定标结果不作任何解释。</w:t>
      </w:r>
    </w:p>
    <w:p>
      <w:pPr>
        <w:spacing w:line="400" w:lineRule="exact"/>
        <w:ind w:firstLine="420" w:firstLineChars="200"/>
        <w:outlineLvl w:val="2"/>
        <w:rPr>
          <w:rFonts w:ascii="仿宋_GB2312" w:eastAsia="仿宋_GB2312" w:cs="Times New Roman"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招标人保留在授标之前任何时候作废处理任何投标，以及宣布招标程序无效或作废标处理所有投标的权力，对受影响的投标人不承担任何责任。</w:t>
      </w:r>
    </w:p>
    <w:p>
      <w:pPr>
        <w:spacing w:line="400" w:lineRule="exact"/>
        <w:ind w:firstLine="420" w:firstLineChars="200"/>
        <w:outlineLvl w:val="2"/>
        <w:rPr>
          <w:rFonts w:ascii="仿宋_GB2312" w:eastAsia="仿宋_GB2312" w:cs="Times New Roman" w:hAnsiTheme="minorEastAsia"/>
          <w:color w:val="auto"/>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color w:val="auto"/>
        </w:rPr>
        <w:t>。</w:t>
      </w:r>
    </w:p>
    <w:p>
      <w:pPr>
        <w:pStyle w:val="181"/>
        <w:keepNext w:val="0"/>
        <w:keepLines w:val="0"/>
        <w:ind w:firstLine="482" w:firstLineChars="200"/>
        <w:rPr>
          <w:rFonts w:ascii="仿宋_GB2312" w:eastAsia="仿宋_GB2312" w:hAnsiTheme="minorEastAsia"/>
          <w:b/>
          <w:bCs/>
          <w:color w:val="auto"/>
        </w:rPr>
      </w:pPr>
      <w:bookmarkStart w:id="66" w:name="_Toc15618"/>
      <w:r>
        <w:rPr>
          <w:rFonts w:hint="eastAsia" w:ascii="仿宋_GB2312" w:eastAsia="仿宋_GB2312" w:cs="宋体" w:hAnsiTheme="minorEastAsia"/>
          <w:b/>
          <w:bCs/>
          <w:color w:val="auto"/>
        </w:rPr>
        <w:t>2</w:t>
      </w:r>
      <w:r>
        <w:rPr>
          <w:rFonts w:ascii="仿宋_GB2312" w:eastAsia="仿宋_GB2312" w:cs="宋体" w:hAnsiTheme="minorEastAsia"/>
          <w:b/>
          <w:bCs/>
          <w:color w:val="auto"/>
        </w:rPr>
        <w:t>3</w:t>
      </w:r>
      <w:r>
        <w:rPr>
          <w:rFonts w:hint="eastAsia" w:ascii="仿宋_GB2312" w:eastAsia="仿宋_GB2312" w:cs="宋体" w:hAnsiTheme="minorEastAsia"/>
          <w:b/>
          <w:bCs/>
          <w:color w:val="auto"/>
        </w:rPr>
        <w:t>.中标通知</w:t>
      </w:r>
      <w:bookmarkEnd w:id="66"/>
    </w:p>
    <w:p>
      <w:pPr>
        <w:spacing w:line="400" w:lineRule="exact"/>
        <w:ind w:firstLine="420" w:firstLineChars="200"/>
        <w:outlineLvl w:val="2"/>
        <w:rPr>
          <w:rFonts w:ascii="仿宋_GB2312" w:eastAsia="仿宋_GB2312" w:hAnsiTheme="minorEastAsia"/>
          <w:color w:val="auto"/>
          <w:sz w:val="21"/>
          <w:szCs w:val="21"/>
        </w:rPr>
      </w:pPr>
      <w:r>
        <w:rPr>
          <w:rFonts w:hint="eastAsia" w:ascii="仿宋_GB2312" w:eastAsia="仿宋_GB2312" w:hAnsiTheme="minorEastAsia"/>
          <w:color w:val="auto"/>
          <w:sz w:val="21"/>
          <w:szCs w:val="21"/>
        </w:rPr>
        <w:t>2</w:t>
      </w: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.1通过“</w:t>
      </w:r>
      <w:r>
        <w:rPr>
          <w:rFonts w:hint="eastAsia" w:ascii="仿宋_GB2312" w:eastAsia="仿宋_GB2312" w:cs="宋体" w:hAnsiTheme="minorEastAsia"/>
          <w:color w:val="auto"/>
          <w:sz w:val="21"/>
          <w:szCs w:val="21"/>
        </w:rPr>
        <w:t>中建路桥集团有限公司网站</w:t>
      </w:r>
      <w:r>
        <w:rPr>
          <w:rFonts w:hint="eastAsia" w:ascii="仿宋_GB2312" w:eastAsia="仿宋_GB2312" w:hAnsiTheme="minorEastAsia"/>
          <w:color w:val="auto"/>
          <w:sz w:val="21"/>
          <w:szCs w:val="21"/>
        </w:rPr>
        <w:t>”</w:t>
      </w:r>
      <w:r>
        <w:rPr>
          <w:rFonts w:hint="eastAsia" w:ascii="仿宋_GB2312" w:eastAsia="仿宋_GB2312" w:hAnsiTheme="minorEastAsia"/>
          <w:color w:val="auto"/>
          <w:sz w:val="21"/>
          <w:szCs w:val="21"/>
          <w:lang w:eastAsia="zh-CN"/>
        </w:rPr>
        <w:t>或其他方式</w:t>
      </w:r>
      <w:r>
        <w:rPr>
          <w:rFonts w:hint="eastAsia" w:ascii="仿宋_GB2312" w:eastAsia="仿宋_GB2312" w:hAnsiTheme="minorEastAsia"/>
          <w:color w:val="auto"/>
          <w:sz w:val="21"/>
          <w:szCs w:val="21"/>
        </w:rPr>
        <w:t>向中标人发出中标通知。</w:t>
      </w:r>
      <w:r>
        <w:rPr>
          <w:rFonts w:ascii="仿宋_GB2312" w:eastAsia="仿宋_GB2312" w:hAnsiTheme="majorEastAsia"/>
          <w:b/>
          <w:bCs/>
          <w:color w:val="auto"/>
          <w:sz w:val="28"/>
          <w:szCs w:val="28"/>
        </w:rPr>
        <w:br w:type="page"/>
      </w:r>
    </w:p>
    <w:p>
      <w:pPr>
        <w:spacing w:line="400" w:lineRule="exact"/>
        <w:outlineLvl w:val="2"/>
        <w:rPr>
          <w:rFonts w:ascii="仿宋_GB2312" w:eastAsia="仿宋_GB2312" w:hAnsiTheme="majorEastAsia"/>
          <w:b/>
          <w:bCs/>
          <w:color w:val="auto"/>
          <w:sz w:val="28"/>
          <w:szCs w:val="28"/>
        </w:rPr>
      </w:pPr>
      <w:r>
        <w:rPr>
          <w:rFonts w:hint="eastAsia" w:ascii="仿宋_GB2312" w:eastAsia="仿宋_GB2312" w:hAnsiTheme="majorEastAsia"/>
          <w:b/>
          <w:bCs/>
          <w:color w:val="auto"/>
          <w:sz w:val="28"/>
          <w:szCs w:val="28"/>
        </w:rPr>
        <w:t>第二部分</w:t>
      </w:r>
      <w:r>
        <w:rPr>
          <w:rFonts w:ascii="仿宋_GB2312" w:eastAsia="仿宋_GB2312" w:hAnsiTheme="majorEastAsia"/>
          <w:b/>
          <w:bCs/>
          <w:color w:val="auto"/>
          <w:sz w:val="28"/>
          <w:szCs w:val="28"/>
        </w:rPr>
        <w:t xml:space="preserve"> </w:t>
      </w:r>
      <w:r>
        <w:rPr>
          <w:rFonts w:hint="eastAsia" w:ascii="仿宋_GB2312" w:eastAsia="仿宋_GB2312" w:hAnsiTheme="majorEastAsia"/>
          <w:b/>
          <w:bCs/>
          <w:color w:val="auto"/>
          <w:sz w:val="28"/>
          <w:szCs w:val="28"/>
        </w:rPr>
        <w:t>技术标准和图纸</w:t>
      </w:r>
    </w:p>
    <w:p>
      <w:pPr>
        <w:pStyle w:val="18"/>
        <w:snapToGrid w:val="0"/>
        <w:spacing w:line="400" w:lineRule="exact"/>
        <w:ind w:firstLine="482" w:firstLineChars="200"/>
        <w:outlineLvl w:val="2"/>
        <w:rPr>
          <w:rFonts w:ascii="仿宋_GB2312" w:hAnsi="宋体" w:eastAsia="仿宋_GB2312"/>
          <w:b/>
          <w:color w:val="auto"/>
          <w:kern w:val="2"/>
          <w:sz w:val="24"/>
          <w:szCs w:val="24"/>
        </w:rPr>
      </w:pPr>
      <w:r>
        <w:rPr>
          <w:rFonts w:hint="eastAsia" w:ascii="仿宋_GB2312" w:hAnsi="宋体" w:eastAsia="仿宋_GB2312"/>
          <w:b/>
          <w:color w:val="auto"/>
          <w:kern w:val="2"/>
          <w:sz w:val="24"/>
          <w:szCs w:val="24"/>
        </w:rPr>
        <w:t>1.质量要求</w:t>
      </w:r>
    </w:p>
    <w:p>
      <w:pPr>
        <w:pStyle w:val="18"/>
        <w:snapToGrid w:val="0"/>
        <w:spacing w:line="400" w:lineRule="exact"/>
        <w:ind w:firstLine="420" w:firstLineChars="200"/>
        <w:outlineLvl w:val="2"/>
        <w:rPr>
          <w:rFonts w:hint="eastAsia" w:ascii="仿宋_GB2312" w:hAnsi="宋体" w:eastAsia="仿宋_GB2312"/>
          <w:color w:val="auto"/>
          <w:kern w:val="2"/>
        </w:rPr>
      </w:pPr>
      <w:r>
        <w:rPr>
          <w:rFonts w:hint="eastAsia" w:ascii="仿宋_GB2312" w:hAnsi="宋体" w:eastAsia="仿宋_GB2312"/>
          <w:color w:val="auto"/>
          <w:kern w:val="2"/>
        </w:rPr>
        <w:t>1.1质量基本条件：</w:t>
      </w:r>
      <w:r>
        <w:rPr>
          <w:rFonts w:hint="eastAsia" w:ascii="仿宋_GB2312" w:hAnsi="宋体" w:eastAsia="仿宋_GB2312"/>
          <w:color w:val="auto"/>
          <w:kern w:val="2"/>
          <w:lang w:eastAsia="zh-CN"/>
        </w:rPr>
        <w:t>运输</w:t>
      </w:r>
      <w:r>
        <w:rPr>
          <w:rFonts w:hint="eastAsia" w:ascii="仿宋_GB2312" w:hAnsi="宋体" w:eastAsia="仿宋_GB2312"/>
          <w:color w:val="auto"/>
          <w:kern w:val="2"/>
        </w:rPr>
        <w:t>的质量必须完全符合国家有关技术标准、规范的要求，并满足招标人为保证工程进度、质量、环保等方面对投标人提出的其它要求。</w:t>
      </w:r>
    </w:p>
    <w:p>
      <w:pPr>
        <w:pStyle w:val="18"/>
        <w:snapToGrid w:val="0"/>
        <w:spacing w:line="400" w:lineRule="exact"/>
        <w:ind w:firstLine="420" w:firstLineChars="200"/>
        <w:outlineLvl w:val="2"/>
        <w:rPr>
          <w:rFonts w:ascii="仿宋_GB2312" w:hAnsi="宋体" w:eastAsia="仿宋_GB2312"/>
          <w:color w:val="auto"/>
          <w:kern w:val="2"/>
        </w:rPr>
      </w:pPr>
      <w:r>
        <w:rPr>
          <w:rFonts w:hint="eastAsia" w:ascii="仿宋_GB2312" w:hAnsi="宋体" w:eastAsia="仿宋_GB2312"/>
          <w:color w:val="auto"/>
          <w:kern w:val="2"/>
        </w:rPr>
        <w:t>1.2</w:t>
      </w:r>
      <w:r>
        <w:rPr>
          <w:rFonts w:hint="eastAsia" w:ascii="仿宋_GB2312" w:eastAsia="仿宋_GB2312" w:hAnsiTheme="minorEastAsia"/>
          <w:color w:val="auto"/>
          <w:kern w:val="2"/>
        </w:rPr>
        <w:t>投标人提供</w:t>
      </w:r>
      <w:r>
        <w:rPr>
          <w:rFonts w:hint="eastAsia" w:ascii="仿宋_GB2312" w:hAnsi="宋体" w:eastAsia="仿宋_GB2312"/>
          <w:color w:val="auto"/>
          <w:kern w:val="2"/>
        </w:rPr>
        <w:t>投标运输车辆的车辆行驶证、保险、产品合格证书、特种设备安全检验合格证书、作业人员身份证和驾驶证、从业资格证复印件必须随</w:t>
      </w:r>
      <w:r>
        <w:rPr>
          <w:rFonts w:hint="eastAsia" w:ascii="仿宋_GB2312" w:hAnsi="宋体" w:eastAsia="仿宋_GB2312"/>
          <w:color w:val="auto"/>
          <w:kern w:val="2"/>
          <w:lang w:eastAsia="zh-CN"/>
        </w:rPr>
        <w:t>车辆</w:t>
      </w:r>
      <w:r>
        <w:rPr>
          <w:rFonts w:hint="eastAsia" w:ascii="仿宋_GB2312" w:hAnsi="宋体" w:eastAsia="仿宋_GB2312"/>
          <w:color w:val="auto"/>
          <w:kern w:val="2"/>
        </w:rPr>
        <w:t>进场时交甲方备案，并对运输车辆</w:t>
      </w:r>
      <w:r>
        <w:rPr>
          <w:rFonts w:hint="eastAsia" w:ascii="仿宋_GB2312" w:hAnsi="宋体" w:eastAsia="仿宋_GB2312"/>
          <w:color w:val="auto"/>
          <w:kern w:val="2"/>
          <w:lang w:eastAsia="zh-CN"/>
        </w:rPr>
        <w:t>车况</w:t>
      </w:r>
      <w:r>
        <w:rPr>
          <w:rFonts w:hint="eastAsia" w:ascii="仿宋_GB2312" w:hAnsi="宋体" w:eastAsia="仿宋_GB2312"/>
          <w:color w:val="auto"/>
          <w:kern w:val="2"/>
        </w:rPr>
        <w:t>负责。</w:t>
      </w:r>
    </w:p>
    <w:p>
      <w:pPr>
        <w:pStyle w:val="18"/>
        <w:snapToGrid w:val="0"/>
        <w:spacing w:line="400" w:lineRule="exact"/>
        <w:ind w:firstLine="420" w:firstLineChars="200"/>
        <w:outlineLvl w:val="2"/>
        <w:rPr>
          <w:rFonts w:ascii="仿宋_GB2312" w:hAnsi="宋体" w:eastAsia="仿宋_GB2312"/>
          <w:color w:val="auto"/>
          <w:kern w:val="2"/>
        </w:rPr>
      </w:pPr>
      <w:r>
        <w:rPr>
          <w:rFonts w:hint="eastAsia" w:ascii="仿宋_GB2312" w:hAnsi="宋体" w:eastAsia="仿宋_GB2312"/>
          <w:color w:val="auto"/>
          <w:kern w:val="2"/>
        </w:rPr>
        <w:t>1.3</w:t>
      </w:r>
      <w:r>
        <w:rPr>
          <w:rFonts w:hint="eastAsia" w:ascii="仿宋_GB2312" w:eastAsia="仿宋_GB2312" w:hAnsiTheme="minorEastAsia"/>
          <w:color w:val="auto"/>
          <w:kern w:val="2"/>
        </w:rPr>
        <w:t>投标人</w:t>
      </w:r>
      <w:r>
        <w:rPr>
          <w:rFonts w:hint="eastAsia" w:ascii="仿宋_GB2312" w:hAnsi="宋体" w:eastAsia="仿宋_GB2312"/>
          <w:color w:val="auto"/>
          <w:kern w:val="2"/>
        </w:rPr>
        <w:t>必须承担以劣充优，遗留及掩盖隐患所造成的经济损失和法律责任。</w:t>
      </w:r>
    </w:p>
    <w:p>
      <w:pPr>
        <w:pStyle w:val="18"/>
        <w:snapToGrid w:val="0"/>
        <w:spacing w:line="400" w:lineRule="exact"/>
        <w:ind w:firstLine="482" w:firstLineChars="200"/>
        <w:outlineLvl w:val="2"/>
        <w:rPr>
          <w:rFonts w:ascii="仿宋_GB2312" w:hAnsi="宋体" w:eastAsia="仿宋_GB2312"/>
          <w:color w:val="auto"/>
          <w:kern w:val="2"/>
          <w:sz w:val="24"/>
          <w:szCs w:val="24"/>
        </w:rPr>
      </w:pPr>
      <w:r>
        <w:rPr>
          <w:rFonts w:hint="eastAsia" w:ascii="仿宋_GB2312" w:hAnsi="宋体" w:eastAsia="仿宋_GB2312"/>
          <w:b/>
          <w:color w:val="auto"/>
          <w:sz w:val="24"/>
          <w:szCs w:val="24"/>
        </w:rPr>
        <w:t>2.质量标准、技术规范、图纸、质量保证期和验收标准</w:t>
      </w:r>
    </w:p>
    <w:p>
      <w:pPr>
        <w:pStyle w:val="18"/>
        <w:snapToGrid w:val="0"/>
        <w:spacing w:line="400" w:lineRule="exact"/>
        <w:ind w:firstLine="420" w:firstLineChars="200"/>
        <w:outlineLvl w:val="2"/>
        <w:rPr>
          <w:rFonts w:ascii="仿宋_GB2312" w:hAnsi="宋体" w:eastAsia="仿宋_GB2312"/>
          <w:color w:val="auto"/>
          <w:kern w:val="2"/>
        </w:rPr>
      </w:pPr>
      <w:r>
        <w:rPr>
          <w:rFonts w:hint="eastAsia" w:ascii="仿宋_GB2312" w:hAnsi="宋体" w:eastAsia="仿宋_GB2312"/>
          <w:color w:val="auto"/>
          <w:kern w:val="2"/>
        </w:rPr>
        <w:t>2.1</w:t>
      </w:r>
      <w:r>
        <w:rPr>
          <w:rFonts w:hint="eastAsia" w:ascii="仿宋_GB2312" w:eastAsia="仿宋_GB2312" w:hAnsiTheme="minorEastAsia"/>
          <w:color w:val="auto"/>
          <w:kern w:val="2"/>
        </w:rPr>
        <w:t>投标人</w:t>
      </w:r>
      <w:r>
        <w:rPr>
          <w:rFonts w:hint="eastAsia" w:ascii="仿宋_GB2312" w:hAnsi="宋体" w:eastAsia="仿宋_GB2312"/>
          <w:color w:val="auto"/>
          <w:kern w:val="2"/>
        </w:rPr>
        <w:t>投标运输车辆应符合：机械设备各项性能指标应满足工程建设单位为本工程编制的《招标文件》、施工图设计及其引用的相关国家或行业标准与规范的要求。其各项指标均能满足《建筑机械使用安全技术规程》（JGJ33-2012）；《汽车标准》（QCT29114-1993）；《施工现场机械设备检查技术规范》（JGJ160-2016）；《机械设备安全操作规程》等最新标准的要求。</w:t>
      </w:r>
    </w:p>
    <w:p>
      <w:pPr>
        <w:pStyle w:val="3"/>
        <w:jc w:val="both"/>
        <w:rPr>
          <w:color w:val="auto"/>
        </w:rPr>
      </w:pPr>
    </w:p>
    <w:p>
      <w:pPr>
        <w:pStyle w:val="3"/>
        <w:jc w:val="both"/>
        <w:rPr>
          <w:color w:val="auto"/>
        </w:rPr>
      </w:pPr>
    </w:p>
    <w:p>
      <w:pPr>
        <w:pStyle w:val="3"/>
        <w:jc w:val="both"/>
        <w:rPr>
          <w:color w:val="auto"/>
        </w:rPr>
      </w:pPr>
    </w:p>
    <w:p>
      <w:pPr>
        <w:pStyle w:val="3"/>
        <w:jc w:val="both"/>
        <w:rPr>
          <w:color w:val="auto"/>
        </w:rPr>
      </w:pPr>
    </w:p>
    <w:p>
      <w:pPr>
        <w:widowControl/>
        <w:jc w:val="left"/>
        <w:rPr>
          <w:color w:val="auto"/>
          <w:kern w:val="0"/>
        </w:rPr>
      </w:pPr>
      <w:r>
        <w:rPr>
          <w:color w:val="auto"/>
        </w:rPr>
        <w:br w:type="page"/>
      </w:r>
    </w:p>
    <w:p>
      <w:pPr>
        <w:spacing w:line="400" w:lineRule="exact"/>
        <w:outlineLvl w:val="0"/>
        <w:rPr>
          <w:rFonts w:ascii="仿宋_GB2312" w:eastAsia="仿宋_GB2312" w:hAnsiTheme="majorEastAsia"/>
          <w:b/>
          <w:bCs/>
          <w:color w:val="auto"/>
          <w:sz w:val="28"/>
          <w:szCs w:val="28"/>
        </w:rPr>
      </w:pPr>
      <w:r>
        <w:rPr>
          <w:rFonts w:hint="eastAsia" w:ascii="仿宋_GB2312" w:eastAsia="仿宋_GB2312" w:hAnsiTheme="majorEastAsia"/>
          <w:b/>
          <w:bCs/>
          <w:color w:val="auto"/>
          <w:sz w:val="28"/>
          <w:szCs w:val="28"/>
        </w:rPr>
        <w:t>第三部分 投标文件格式</w:t>
      </w:r>
    </w:p>
    <w:p>
      <w:pPr>
        <w:widowControl/>
        <w:rPr>
          <w:rFonts w:ascii="宋体" w:hAnsi="宋体" w:cs="宋体"/>
          <w:color w:val="auto"/>
          <w:sz w:val="36"/>
          <w:szCs w:val="36"/>
        </w:rPr>
      </w:pPr>
    </w:p>
    <w:p>
      <w:pPr>
        <w:widowControl/>
        <w:rPr>
          <w:rFonts w:ascii="宋体" w:hAnsi="宋体" w:cs="宋体"/>
          <w:color w:val="auto"/>
          <w:sz w:val="36"/>
          <w:szCs w:val="36"/>
        </w:rPr>
      </w:pPr>
    </w:p>
    <w:p>
      <w:pPr>
        <w:widowControl/>
        <w:rPr>
          <w:rFonts w:ascii="宋体" w:hAnsi="宋体" w:cs="宋体"/>
          <w:color w:val="auto"/>
          <w:sz w:val="36"/>
          <w:szCs w:val="36"/>
        </w:rPr>
      </w:pPr>
    </w:p>
    <w:p>
      <w:pPr>
        <w:widowControl/>
        <w:jc w:val="center"/>
        <w:rPr>
          <w:rFonts w:ascii="宋体" w:hAnsi="宋体" w:cs="宋体"/>
          <w:b/>
          <w:color w:val="auto"/>
          <w:sz w:val="72"/>
          <w:szCs w:val="72"/>
        </w:rPr>
      </w:pPr>
      <w:r>
        <w:rPr>
          <w:rFonts w:hint="eastAsia" w:ascii="宋体" w:hAnsi="宋体" w:cs="宋体"/>
          <w:b/>
          <w:color w:val="auto"/>
          <w:sz w:val="72"/>
          <w:szCs w:val="72"/>
        </w:rPr>
        <w:t>投 标 文 件</w:t>
      </w:r>
    </w:p>
    <w:p>
      <w:pPr>
        <w:widowControl/>
        <w:rPr>
          <w:rFonts w:ascii="宋体" w:hAnsi="宋体" w:cs="宋体"/>
          <w:color w:val="auto"/>
          <w:sz w:val="36"/>
          <w:szCs w:val="36"/>
        </w:rPr>
      </w:pPr>
    </w:p>
    <w:p>
      <w:pPr>
        <w:widowControl/>
        <w:rPr>
          <w:rFonts w:ascii="宋体" w:hAnsi="宋体" w:cs="宋体"/>
          <w:b/>
          <w:color w:val="auto"/>
          <w:sz w:val="30"/>
          <w:szCs w:val="30"/>
        </w:rPr>
      </w:pPr>
    </w:p>
    <w:p>
      <w:pPr>
        <w:widowControl/>
        <w:rPr>
          <w:rFonts w:ascii="宋体" w:hAnsi="宋体" w:eastAsia="黑体" w:cs="宋体"/>
          <w:b/>
          <w:color w:val="auto"/>
          <w:sz w:val="28"/>
          <w:szCs w:val="28"/>
        </w:rPr>
      </w:pPr>
    </w:p>
    <w:p>
      <w:pPr>
        <w:pStyle w:val="181"/>
        <w:keepNext w:val="0"/>
        <w:keepLines w:val="0"/>
        <w:ind w:firstLine="562" w:firstLineChars="200"/>
        <w:jc w:val="center"/>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color w:val="auto"/>
          <w:sz w:val="28"/>
          <w:szCs w:val="28"/>
          <w:u w:val="single"/>
        </w:rPr>
        <w:t>中建路桥集团高速公路养护有限公司</w:t>
      </w:r>
    </w:p>
    <w:p>
      <w:pPr>
        <w:pStyle w:val="181"/>
        <w:keepNext w:val="0"/>
        <w:keepLines w:val="0"/>
        <w:jc w:val="center"/>
        <w:rPr>
          <w:b/>
          <w:color w:val="auto"/>
          <w:sz w:val="28"/>
          <w:szCs w:val="28"/>
          <w:u w:val="single"/>
        </w:rPr>
      </w:pPr>
      <w:r>
        <w:rPr>
          <w:rFonts w:hint="eastAsia"/>
          <w:b/>
          <w:color w:val="auto"/>
          <w:sz w:val="28"/>
          <w:szCs w:val="28"/>
          <w:u w:val="single"/>
        </w:rPr>
        <w:t>石家庄市藁城分公司</w:t>
      </w:r>
    </w:p>
    <w:p>
      <w:pPr>
        <w:pStyle w:val="181"/>
        <w:keepNext w:val="0"/>
        <w:keepLines w:val="0"/>
        <w:jc w:val="center"/>
        <w:rPr>
          <w:rFonts w:ascii="宋体" w:hAnsi="宋体" w:cs="宋体"/>
          <w:b/>
          <w:color w:val="auto"/>
          <w:sz w:val="28"/>
          <w:szCs w:val="28"/>
        </w:rPr>
      </w:pPr>
      <w:r>
        <w:rPr>
          <w:b/>
          <w:color w:val="auto"/>
          <w:sz w:val="28"/>
          <w:szCs w:val="28"/>
        </w:rPr>
        <w:t xml:space="preserve">  </w:t>
      </w:r>
      <w:r>
        <w:rPr>
          <w:rFonts w:hint="eastAsia"/>
          <w:b/>
          <w:kern w:val="2"/>
          <w:sz w:val="28"/>
          <w:szCs w:val="28"/>
          <w:lang w:val="en-US" w:eastAsia="zh-CN"/>
        </w:rPr>
        <w:t>2023年滹沱河防洪整治工程</w:t>
      </w:r>
      <w:r>
        <w:rPr>
          <w:b/>
          <w:kern w:val="2"/>
          <w:sz w:val="28"/>
          <w:szCs w:val="28"/>
        </w:rPr>
        <w:t>项</w:t>
      </w:r>
      <w:r>
        <w:rPr>
          <w:rFonts w:hint="eastAsia"/>
          <w:b/>
          <w:kern w:val="2"/>
          <w:sz w:val="28"/>
          <w:szCs w:val="28"/>
        </w:rPr>
        <w:t>目</w:t>
      </w:r>
      <w:r>
        <w:rPr>
          <w:rFonts w:hint="eastAsia"/>
          <w:b/>
          <w:kern w:val="2"/>
          <w:sz w:val="28"/>
          <w:szCs w:val="28"/>
          <w:u w:val="single"/>
          <w:lang w:eastAsia="zh-CN"/>
        </w:rPr>
        <w:t>水稳级配成品料运输</w:t>
      </w:r>
    </w:p>
    <w:p>
      <w:pPr>
        <w:widowControl/>
        <w:tabs>
          <w:tab w:val="left" w:pos="1134"/>
        </w:tabs>
        <w:ind w:firstLine="1405" w:firstLineChars="500"/>
        <w:rPr>
          <w:rFonts w:ascii="宋体" w:hAnsi="宋体" w:cs="宋体"/>
          <w:b/>
          <w:color w:val="auto"/>
          <w:sz w:val="28"/>
          <w:szCs w:val="28"/>
        </w:rPr>
      </w:pPr>
    </w:p>
    <w:p>
      <w:pPr>
        <w:widowControl/>
        <w:tabs>
          <w:tab w:val="left" w:pos="1134"/>
        </w:tabs>
        <w:ind w:firstLine="1124" w:firstLineChars="400"/>
        <w:rPr>
          <w:rFonts w:hint="eastAsia" w:cs="Times New Roman" w:asciiTheme="majorEastAsia" w:hAnsiTheme="majorEastAsia" w:eastAsiaTheme="majorEastAsia"/>
          <w:b/>
          <w:color w:val="auto"/>
          <w:kern w:val="2"/>
          <w:sz w:val="28"/>
          <w:szCs w:val="28"/>
          <w:u w:val="single"/>
          <w:lang w:val="en-US" w:eastAsia="zh-CN"/>
        </w:rPr>
      </w:pPr>
      <w:r>
        <w:rPr>
          <w:rFonts w:hint="eastAsia" w:ascii="宋体" w:hAnsi="宋体" w:cs="宋体"/>
          <w:b/>
          <w:color w:val="auto"/>
          <w:sz w:val="28"/>
          <w:szCs w:val="28"/>
        </w:rPr>
        <w:t>招标编号：</w:t>
      </w:r>
      <w:r>
        <w:rPr>
          <w:rFonts w:hint="eastAsia" w:cs="Times New Roman" w:asciiTheme="majorEastAsia" w:hAnsiTheme="majorEastAsia" w:eastAsiaTheme="majorEastAsia"/>
          <w:b/>
          <w:color w:val="auto"/>
          <w:kern w:val="2"/>
          <w:sz w:val="28"/>
          <w:szCs w:val="28"/>
          <w:u w:val="single"/>
          <w:lang w:val="en-US" w:eastAsia="zh-CN"/>
        </w:rPr>
        <w:t>YHGS-FGZB-藁城滹沱河项目-2023001号</w:t>
      </w:r>
    </w:p>
    <w:p>
      <w:pPr>
        <w:widowControl/>
        <w:rPr>
          <w:rFonts w:ascii="宋体" w:hAnsi="宋体" w:cs="宋体"/>
          <w:color w:val="auto"/>
          <w:sz w:val="36"/>
          <w:szCs w:val="36"/>
        </w:rPr>
      </w:pPr>
    </w:p>
    <w:p>
      <w:pPr>
        <w:widowControl/>
        <w:rPr>
          <w:rFonts w:ascii="宋体" w:hAnsi="宋体" w:cs="宋体"/>
          <w:color w:val="auto"/>
          <w:sz w:val="36"/>
          <w:szCs w:val="36"/>
        </w:rPr>
      </w:pPr>
    </w:p>
    <w:p>
      <w:pPr>
        <w:pStyle w:val="2"/>
        <w:rPr>
          <w:color w:val="auto"/>
        </w:rPr>
      </w:pPr>
    </w:p>
    <w:p>
      <w:pPr>
        <w:widowControl/>
        <w:spacing w:line="480" w:lineRule="auto"/>
        <w:ind w:left="3426" w:leftChars="565" w:hanging="2070" w:hangingChars="859"/>
        <w:rPr>
          <w:rFonts w:ascii="宋体" w:hAnsi="宋体" w:cs="宋体"/>
          <w:b/>
          <w:color w:val="auto"/>
          <w:u w:val="single"/>
        </w:rPr>
      </w:pPr>
      <w:r>
        <w:rPr>
          <w:rFonts w:hint="eastAsia" w:ascii="宋体" w:hAnsi="宋体" w:cs="宋体"/>
          <w:b/>
          <w:color w:val="auto"/>
        </w:rPr>
        <w:t>投标物资名称：</w:t>
      </w:r>
      <w:r>
        <w:rPr>
          <w:rFonts w:hint="eastAsia" w:ascii="宋体" w:hAnsi="宋体" w:cs="宋体"/>
          <w:b/>
          <w:color w:val="auto"/>
          <w:u w:val="single"/>
        </w:rPr>
        <w:t xml:space="preserve">                  </w:t>
      </w:r>
      <w:r>
        <w:rPr>
          <w:rFonts w:ascii="宋体" w:hAnsi="宋体" w:cs="宋体"/>
          <w:b/>
          <w:color w:val="auto"/>
          <w:u w:val="single"/>
        </w:rPr>
        <w:t xml:space="preserve"> </w:t>
      </w:r>
      <w:r>
        <w:rPr>
          <w:rFonts w:hint="eastAsia" w:ascii="宋体" w:hAnsi="宋体" w:cs="宋体"/>
          <w:b/>
          <w:color w:val="auto"/>
          <w:u w:val="single"/>
        </w:rPr>
        <w:t xml:space="preserve">           </w:t>
      </w:r>
      <w:r>
        <w:rPr>
          <w:rFonts w:ascii="宋体" w:hAnsi="宋体" w:cs="宋体"/>
          <w:b/>
          <w:color w:val="auto"/>
          <w:u w:val="single"/>
        </w:rPr>
        <w:t xml:space="preserve">  </w:t>
      </w:r>
    </w:p>
    <w:p>
      <w:pPr>
        <w:widowControl/>
        <w:spacing w:line="480" w:lineRule="auto"/>
        <w:ind w:left="3426" w:leftChars="565" w:hanging="2070" w:hangingChars="859"/>
        <w:rPr>
          <w:rFonts w:ascii="宋体" w:hAnsi="宋体" w:cs="宋体"/>
          <w:b/>
          <w:color w:val="auto"/>
          <w:u w:val="single"/>
        </w:rPr>
      </w:pPr>
      <w:r>
        <w:rPr>
          <w:rFonts w:hint="eastAsia" w:ascii="宋体" w:hAnsi="宋体" w:cs="宋体"/>
          <w:b/>
          <w:color w:val="auto"/>
        </w:rPr>
        <w:t>投标单位：（公章）</w:t>
      </w:r>
      <w:r>
        <w:rPr>
          <w:rFonts w:hint="eastAsia" w:ascii="宋体" w:hAnsi="宋体" w:cs="宋体"/>
          <w:b/>
          <w:color w:val="auto"/>
          <w:u w:val="single"/>
        </w:rPr>
        <w:t xml:space="preserve">                      </w:t>
      </w:r>
      <w:r>
        <w:rPr>
          <w:rFonts w:ascii="宋体" w:hAnsi="宋体" w:cs="宋体"/>
          <w:b/>
          <w:color w:val="auto"/>
          <w:u w:val="single"/>
        </w:rPr>
        <w:t xml:space="preserve">     </w:t>
      </w:r>
      <w:r>
        <w:rPr>
          <w:rFonts w:hint="eastAsia" w:ascii="宋体" w:hAnsi="宋体" w:cs="宋体"/>
          <w:b/>
          <w:color w:val="auto"/>
          <w:u w:val="single"/>
        </w:rPr>
        <w:t xml:space="preserve"> </w:t>
      </w:r>
    </w:p>
    <w:p>
      <w:pPr>
        <w:widowControl/>
        <w:spacing w:line="480" w:lineRule="auto"/>
        <w:ind w:left="3426" w:leftChars="565" w:hanging="2070" w:hangingChars="859"/>
        <w:rPr>
          <w:rFonts w:ascii="宋体" w:hAnsi="宋体" w:cs="宋体"/>
          <w:b/>
          <w:color w:val="auto"/>
        </w:rPr>
      </w:pPr>
      <w:r>
        <w:rPr>
          <w:rFonts w:hint="eastAsia" w:ascii="宋体" w:hAnsi="宋体" w:cs="宋体"/>
          <w:b/>
          <w:color w:val="auto"/>
        </w:rPr>
        <w:t>投标联系人：</w:t>
      </w:r>
      <w:r>
        <w:rPr>
          <w:rFonts w:hint="eastAsia" w:ascii="宋体" w:hAnsi="宋体" w:cs="宋体"/>
          <w:b/>
          <w:color w:val="auto"/>
          <w:u w:val="single"/>
        </w:rPr>
        <w:t xml:space="preserve">                             </w:t>
      </w:r>
      <w:r>
        <w:rPr>
          <w:rFonts w:ascii="宋体" w:hAnsi="宋体" w:cs="宋体"/>
          <w:b/>
          <w:color w:val="auto"/>
          <w:u w:val="single"/>
        </w:rPr>
        <w:t xml:space="preserve"> </w:t>
      </w:r>
      <w:r>
        <w:rPr>
          <w:rFonts w:hint="eastAsia" w:ascii="宋体" w:hAnsi="宋体" w:cs="宋体"/>
          <w:b/>
          <w:color w:val="auto"/>
          <w:u w:val="single"/>
        </w:rPr>
        <w:t xml:space="preserve">    </w:t>
      </w:r>
    </w:p>
    <w:p>
      <w:pPr>
        <w:widowControl/>
        <w:spacing w:line="480" w:lineRule="auto"/>
        <w:ind w:left="3426" w:leftChars="565" w:hanging="2070" w:hangingChars="859"/>
        <w:rPr>
          <w:rFonts w:ascii="宋体" w:hAnsi="宋体" w:cs="宋体"/>
          <w:b/>
          <w:color w:val="auto"/>
        </w:rPr>
      </w:pPr>
      <w:r>
        <w:rPr>
          <w:rFonts w:hint="eastAsia" w:ascii="宋体" w:hAnsi="宋体" w:cs="宋体"/>
          <w:b/>
          <w:color w:val="auto"/>
        </w:rPr>
        <w:t>联系电话：</w:t>
      </w:r>
      <w:r>
        <w:rPr>
          <w:rFonts w:hint="eastAsia" w:ascii="宋体" w:hAnsi="宋体" w:cs="宋体"/>
          <w:b/>
          <w:color w:val="auto"/>
          <w:u w:val="single"/>
        </w:rPr>
        <w:t xml:space="preserve">                                    </w:t>
      </w:r>
    </w:p>
    <w:p>
      <w:pPr>
        <w:widowControl/>
        <w:spacing w:line="480" w:lineRule="auto"/>
        <w:ind w:left="3426" w:leftChars="565" w:hanging="2070" w:hangingChars="859"/>
        <w:rPr>
          <w:rFonts w:ascii="宋体" w:hAnsi="宋体" w:cs="宋体"/>
          <w:b/>
          <w:color w:val="auto"/>
          <w:sz w:val="36"/>
          <w:szCs w:val="36"/>
          <w:u w:val="single"/>
        </w:rPr>
      </w:pPr>
      <w:r>
        <w:rPr>
          <w:rFonts w:hint="eastAsia" w:ascii="宋体" w:hAnsi="宋体" w:cs="宋体"/>
          <w:b/>
          <w:color w:val="auto"/>
        </w:rPr>
        <w:t>投标日期：</w:t>
      </w:r>
      <w:r>
        <w:rPr>
          <w:rFonts w:hint="eastAsia" w:ascii="宋体" w:hAnsi="宋体" w:cs="宋体"/>
          <w:b/>
          <w:color w:val="auto"/>
          <w:u w:val="single"/>
        </w:rPr>
        <w:t xml:space="preserve">                           </w:t>
      </w:r>
      <w:r>
        <w:rPr>
          <w:rFonts w:ascii="宋体" w:hAnsi="宋体" w:cs="宋体"/>
          <w:b/>
          <w:color w:val="auto"/>
          <w:u w:val="single"/>
        </w:rPr>
        <w:t xml:space="preserve">  </w:t>
      </w:r>
      <w:r>
        <w:rPr>
          <w:rFonts w:hint="eastAsia" w:ascii="宋体" w:hAnsi="宋体" w:cs="宋体"/>
          <w:b/>
          <w:color w:val="auto"/>
          <w:u w:val="single"/>
        </w:rPr>
        <w:t xml:space="preserve">      </w:t>
      </w:r>
    </w:p>
    <w:p>
      <w:pPr>
        <w:spacing w:line="360" w:lineRule="auto"/>
        <w:rPr>
          <w:rFonts w:ascii="仿宋_GB2312" w:eastAsia="仿宋_GB2312" w:cs="宋体" w:hAnsiTheme="minorEastAsia"/>
          <w:b/>
          <w:color w:val="auto"/>
          <w:w w:val="90"/>
        </w:rPr>
      </w:pP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1</w:t>
      </w:r>
      <w:r>
        <w:rPr>
          <w:rFonts w:ascii="仿宋_GB2312" w:eastAsia="仿宋_GB2312" w:cs="宋体" w:hAnsiTheme="minorEastAsia"/>
          <w:b/>
          <w:color w:val="auto"/>
          <w:w w:val="90"/>
        </w:rPr>
        <w:t>.</w:t>
      </w:r>
    </w:p>
    <w:p>
      <w:pPr>
        <w:spacing w:line="400" w:lineRule="exact"/>
        <w:rPr>
          <w:rFonts w:ascii="仿宋_GB2312" w:eastAsia="仿宋_GB2312" w:cs="宋体" w:hAnsiTheme="minorEastAsia"/>
          <w:color w:val="auto"/>
          <w:sz w:val="28"/>
          <w:szCs w:val="28"/>
        </w:rPr>
      </w:pPr>
      <w:r>
        <w:rPr>
          <w:rFonts w:hint="eastAsia" w:ascii="仿宋_GB2312" w:eastAsia="仿宋_GB2312" w:cs="宋体" w:hAnsiTheme="minorEastAsia"/>
          <w:b/>
          <w:color w:val="auto"/>
          <w:sz w:val="28"/>
          <w:szCs w:val="28"/>
        </w:rPr>
        <w:t>投标书</w:t>
      </w:r>
    </w:p>
    <w:p>
      <w:pPr>
        <w:spacing w:line="400" w:lineRule="exact"/>
        <w:ind w:firstLine="422"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b/>
          <w:bCs/>
          <w:color w:val="auto"/>
          <w:sz w:val="21"/>
          <w:szCs w:val="21"/>
        </w:rPr>
        <w:t>致：</w:t>
      </w:r>
      <w:r>
        <w:rPr>
          <w:rFonts w:hint="eastAsia" w:ascii="仿宋_GB2312" w:eastAsia="仿宋_GB2312" w:cs="宋体" w:hAnsiTheme="minorEastAsia"/>
          <w:color w:val="auto"/>
          <w:sz w:val="21"/>
          <w:szCs w:val="21"/>
          <w:u w:val="single"/>
        </w:rPr>
        <w:t>中建路桥集团高速公路养护有限公司</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根据已收到的该工程招标文件及所有相关资料，经研究我公司愿承担贵公司所需</w:t>
      </w:r>
      <w:r>
        <w:rPr>
          <w:rFonts w:hint="eastAsia" w:ascii="仿宋_GB2312" w:hAnsi="仿宋" w:eastAsia="仿宋_GB2312"/>
          <w:bCs/>
          <w:sz w:val="21"/>
          <w:szCs w:val="21"/>
          <w:u w:val="single"/>
          <w:lang w:eastAsia="zh-CN"/>
        </w:rPr>
        <w:t>水稳级配成品料运输</w:t>
      </w:r>
      <w:r>
        <w:rPr>
          <w:rFonts w:hint="eastAsia" w:ascii="仿宋_GB2312" w:eastAsia="仿宋_GB2312" w:cs="宋体" w:hAnsiTheme="minorEastAsia"/>
          <w:color w:val="auto"/>
          <w:sz w:val="21"/>
          <w:szCs w:val="21"/>
        </w:rPr>
        <w:t>的供应。具体投标内容如下：</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1.对本招标文件的确认和意见</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1.1 是否确认本招标文件投标须知：      （   ）是   （   ）否</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2.工期</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完全满足贵公司根据工程进度提出的运输计划要求，按照要求将</w:t>
      </w:r>
      <w:r>
        <w:rPr>
          <w:rFonts w:hint="eastAsia" w:ascii="仿宋_GB2312" w:eastAsia="仿宋_GB2312" w:cs="宋体" w:hAnsiTheme="minorEastAsia"/>
          <w:color w:val="auto"/>
          <w:sz w:val="21"/>
          <w:szCs w:val="21"/>
          <w:lang w:eastAsia="zh-CN"/>
        </w:rPr>
        <w:t>水稳级配成品料运输</w:t>
      </w:r>
      <w:r>
        <w:rPr>
          <w:rFonts w:hint="eastAsia" w:ascii="仿宋_GB2312" w:eastAsia="仿宋_GB2312" w:cs="宋体" w:hAnsiTheme="minorEastAsia"/>
          <w:color w:val="auto"/>
          <w:sz w:val="21"/>
          <w:szCs w:val="21"/>
        </w:rPr>
        <w:t>至指定地点，并承诺对运输迟延造成的工程损失承担全部责任。</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3.报价：附后</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4.质量</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质量达到贵公司招标文件要求的标准，满足投标须知中所列的相应条件，并承诺对产品质量出现问题造成的工程损失承担全部责任。</w:t>
      </w:r>
    </w:p>
    <w:p>
      <w:pPr>
        <w:spacing w:line="400" w:lineRule="exact"/>
        <w:ind w:firstLine="420" w:firstLineChars="200"/>
        <w:outlineLvl w:val="2"/>
        <w:rPr>
          <w:rFonts w:ascii="仿宋_GB2312" w:eastAsia="仿宋_GB2312" w:cs="宋体" w:hAnsiTheme="minorEastAsia"/>
          <w:color w:val="auto"/>
          <w:sz w:val="21"/>
          <w:szCs w:val="21"/>
          <w:u w:val="single"/>
        </w:rPr>
      </w:pPr>
      <w:r>
        <w:rPr>
          <w:rFonts w:hint="eastAsia" w:ascii="仿宋_GB2312" w:eastAsia="仿宋_GB2312" w:cs="宋体" w:hAnsiTheme="minorEastAsia"/>
          <w:color w:val="auto"/>
          <w:sz w:val="21"/>
          <w:szCs w:val="21"/>
        </w:rPr>
        <w:t>进一步的质量承诺：</w:t>
      </w:r>
      <w:r>
        <w:rPr>
          <w:rFonts w:hint="eastAsia" w:ascii="仿宋_GB2312" w:eastAsia="仿宋_GB2312" w:cs="宋体" w:hAnsiTheme="minorEastAsia"/>
          <w:color w:val="auto"/>
          <w:sz w:val="21"/>
          <w:szCs w:val="21"/>
          <w:u w:val="single"/>
        </w:rPr>
        <w:t xml:space="preserve">                                              </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5.交货</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满足投标须知中所列的相应条件。</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6.服务</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本着用户第一、服务至上的原则，投标人保证提供全面的服务。</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6.1遵守贵公司及项目关于环保、安全等方面的ISO9001、ISO14001、OHSMS18000认证有关标准之要求。</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6.2按要求将</w:t>
      </w:r>
      <w:r>
        <w:rPr>
          <w:rFonts w:hint="eastAsia" w:ascii="仿宋_GB2312" w:eastAsia="仿宋_GB2312" w:cs="宋体" w:hAnsiTheme="minorEastAsia"/>
          <w:color w:val="auto"/>
          <w:sz w:val="21"/>
          <w:szCs w:val="21"/>
          <w:lang w:eastAsia="zh-CN"/>
        </w:rPr>
        <w:t>水稳级配成品料</w:t>
      </w:r>
      <w:r>
        <w:rPr>
          <w:rFonts w:hint="eastAsia" w:ascii="仿宋_GB2312" w:eastAsia="仿宋_GB2312" w:cs="宋体" w:hAnsiTheme="minorEastAsia"/>
          <w:color w:val="auto"/>
          <w:sz w:val="21"/>
          <w:szCs w:val="21"/>
        </w:rPr>
        <w:t>保质保量及时送达现场，并卸至贵司指定的位置。</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6.3</w:t>
      </w:r>
      <w:r>
        <w:rPr>
          <w:rFonts w:hint="eastAsia" w:ascii="仿宋_GB2312" w:eastAsia="仿宋_GB2312" w:cs="宋体" w:hAnsiTheme="minorEastAsia"/>
          <w:color w:val="auto"/>
          <w:sz w:val="21"/>
          <w:szCs w:val="21"/>
          <w:lang w:eastAsia="zh-CN"/>
        </w:rPr>
        <w:t>水稳级配成品料</w:t>
      </w:r>
      <w:r>
        <w:rPr>
          <w:rFonts w:hint="eastAsia" w:ascii="仿宋_GB2312" w:eastAsia="仿宋_GB2312" w:cs="宋体" w:hAnsiTheme="minorEastAsia"/>
          <w:color w:val="auto"/>
          <w:sz w:val="21"/>
          <w:szCs w:val="21"/>
        </w:rPr>
        <w:t>卸货严格符合项目要求，存放到相应位置。</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hAnsiTheme="minorEastAsia"/>
          <w:color w:val="auto"/>
          <w:sz w:val="21"/>
          <w:szCs w:val="21"/>
        </w:rPr>
        <w:t>6</w:t>
      </w: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服从甲方的统一调度，我公司</w:t>
      </w:r>
      <w:r>
        <w:rPr>
          <w:rFonts w:hint="eastAsia" w:ascii="仿宋_GB2312" w:eastAsia="仿宋_GB2312" w:cs="宋体" w:hAnsiTheme="minorEastAsia"/>
          <w:color w:val="auto"/>
          <w:sz w:val="21"/>
          <w:szCs w:val="21"/>
        </w:rPr>
        <w:t>指定一名现场车辆管理或调度人员。保证每天24小时随叫随到，出现问题将按照以下程序及时解决：</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6.4.</w:t>
      </w:r>
      <w:r>
        <w:rPr>
          <w:rFonts w:ascii="仿宋_GB2312" w:eastAsia="仿宋_GB2312" w:cs="宋体" w:hAnsiTheme="minorEastAsia"/>
          <w:color w:val="auto"/>
          <w:sz w:val="21"/>
          <w:szCs w:val="21"/>
        </w:rPr>
        <w:t>1</w:t>
      </w:r>
      <w:r>
        <w:rPr>
          <w:rFonts w:hint="eastAsia" w:ascii="仿宋_GB2312" w:eastAsia="仿宋_GB2312" w:cs="宋体" w:hAnsiTheme="minorEastAsia"/>
          <w:color w:val="auto"/>
          <w:sz w:val="21"/>
          <w:szCs w:val="21"/>
        </w:rPr>
        <w:t>及时替换故障车辆；</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6.4.</w:t>
      </w:r>
      <w:r>
        <w:rPr>
          <w:rFonts w:ascii="仿宋_GB2312" w:eastAsia="仿宋_GB2312" w:cs="宋体" w:hAnsiTheme="minorEastAsia"/>
          <w:color w:val="auto"/>
          <w:sz w:val="21"/>
          <w:szCs w:val="21"/>
        </w:rPr>
        <w:t>2</w:t>
      </w:r>
      <w:r>
        <w:rPr>
          <w:rFonts w:hint="eastAsia" w:ascii="仿宋_GB2312" w:eastAsia="仿宋_GB2312" w:cs="宋体" w:hAnsiTheme="minorEastAsia"/>
          <w:color w:val="auto"/>
          <w:sz w:val="21"/>
          <w:szCs w:val="21"/>
        </w:rPr>
        <w:t>若由于我公司原因造成的工程工期延迟、工程损失及其它总包方损失等问题，投标人将承担相应的经济赔偿。</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6.5竭力满足贵司及项目提出的有关工期及材料的其他要求。</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7.保障</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7.1投标人将保证严格按照贵司根据工程进度提出的运输计划要求，按时完成</w:t>
      </w:r>
      <w:r>
        <w:rPr>
          <w:rFonts w:hint="eastAsia" w:ascii="仿宋_GB2312" w:eastAsia="仿宋_GB2312" w:cs="宋体" w:hAnsiTheme="minorEastAsia"/>
          <w:color w:val="auto"/>
          <w:sz w:val="21"/>
          <w:szCs w:val="21"/>
          <w:lang w:eastAsia="zh-CN"/>
        </w:rPr>
        <w:t>水稳级配成品料</w:t>
      </w:r>
      <w:r>
        <w:rPr>
          <w:rFonts w:hint="eastAsia" w:ascii="仿宋_GB2312" w:eastAsia="仿宋_GB2312" w:cs="宋体" w:hAnsiTheme="minorEastAsia"/>
          <w:color w:val="auto"/>
          <w:sz w:val="21"/>
          <w:szCs w:val="21"/>
        </w:rPr>
        <w:t>的运输工作。</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7.2若投标人在执行合同期间没有满足合同中所要求的运输服务，投标人将在市场上进行租赁运输车以保障贵司工程工期，由此可能造成的经济损失由投标人自行承担。</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7.3未能满足贵司根据工程进度提出的运输计划要求，可由贵司自行租赁运输车，投标人将承担因此增加的一切费用，并承担由此造成的损失。</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7.4投标人认可贵司的运输车辆需用可能与中标时所签合同确定的数量不同，投标人认可此种数量调整，并确保不会因此种调整而影响供货时间和质量及服务水平，也不会因此提出索赔。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8.结算方式</w:t>
      </w:r>
    </w:p>
    <w:p>
      <w:pPr>
        <w:snapToGrid w:val="0"/>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投标人愿意接受贵司采用银行电汇的支付形式作为结算方式。</w:t>
      </w:r>
    </w:p>
    <w:p>
      <w:pPr>
        <w:spacing w:line="400" w:lineRule="exact"/>
        <w:ind w:firstLine="422"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b/>
          <w:color w:val="auto"/>
          <w:sz w:val="21"/>
          <w:szCs w:val="21"/>
        </w:rPr>
        <w:t>9投标书附件</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9.1详细的报价清单</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9.2其他需要说明的事项</w:t>
      </w:r>
    </w:p>
    <w:p>
      <w:pPr>
        <w:spacing w:line="400" w:lineRule="exact"/>
        <w:ind w:firstLine="422" w:firstLineChars="200"/>
        <w:outlineLvl w:val="2"/>
        <w:rPr>
          <w:rFonts w:ascii="仿宋_GB2312" w:eastAsia="仿宋_GB2312" w:cs="宋体" w:hAnsiTheme="minorEastAsia"/>
          <w:b/>
          <w:color w:val="auto"/>
          <w:sz w:val="21"/>
          <w:szCs w:val="21"/>
        </w:rPr>
      </w:pPr>
      <w:r>
        <w:rPr>
          <w:rFonts w:hint="eastAsia" w:ascii="仿宋_GB2312" w:eastAsia="仿宋_GB2312" w:cs="宋体" w:hAnsiTheme="minorEastAsia"/>
          <w:b/>
          <w:color w:val="auto"/>
          <w:sz w:val="21"/>
          <w:szCs w:val="21"/>
        </w:rPr>
        <w:t>10.附注</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10.1本投标书一旦被招标人接纳即成为正式有效的合同文件，且本投标书连同投标人的书面接纳文件将成为约束双方的、具有法律效力的文件。</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ab/>
      </w:r>
    </w:p>
    <w:p>
      <w:pPr>
        <w:spacing w:line="360" w:lineRule="auto"/>
        <w:rPr>
          <w:rFonts w:ascii="仿宋_GB2312" w:eastAsia="仿宋_GB2312" w:cs="宋体" w:hAnsiTheme="minorEastAsia"/>
          <w:color w:val="auto"/>
          <w:sz w:val="21"/>
          <w:szCs w:val="21"/>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spacing w:line="400" w:lineRule="exact"/>
        <w:ind w:firstLine="5111" w:firstLineChars="2434"/>
        <w:rPr>
          <w:rFonts w:ascii="仿宋_GB2312" w:eastAsia="仿宋_GB2312" w:cs="宋体" w:hAnsiTheme="minorEastAsia"/>
          <w:color w:val="auto"/>
          <w:sz w:val="21"/>
          <w:szCs w:val="21"/>
        </w:rPr>
      </w:pPr>
    </w:p>
    <w:p>
      <w:pPr>
        <w:spacing w:line="400" w:lineRule="exact"/>
        <w:ind w:firstLine="5111" w:firstLineChars="2434"/>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投标人（盖章）：</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 xml:space="preserve">                                 </w:t>
      </w:r>
    </w:p>
    <w:p>
      <w:pPr>
        <w:spacing w:line="400" w:lineRule="exact"/>
        <w:ind w:firstLine="5145" w:firstLineChars="2450"/>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法  人  代 表：</w:t>
      </w:r>
      <w:r>
        <w:rPr>
          <w:rFonts w:hint="eastAsia" w:ascii="仿宋_GB2312" w:eastAsia="仿宋_GB2312" w:cs="宋体" w:hAnsiTheme="minorEastAsia"/>
          <w:color w:val="auto"/>
          <w:sz w:val="21"/>
          <w:szCs w:val="21"/>
          <w:u w:val="single"/>
        </w:rPr>
        <w:t xml:space="preserve">             </w:t>
      </w:r>
    </w:p>
    <w:p>
      <w:pPr>
        <w:spacing w:line="400" w:lineRule="exact"/>
        <w:ind w:firstLine="5040" w:firstLineChars="2400"/>
        <w:rPr>
          <w:rFonts w:ascii="仿宋_GB2312" w:eastAsia="仿宋_GB2312" w:cs="宋体" w:hAnsiTheme="minorEastAsia"/>
          <w:color w:val="auto"/>
          <w:w w:val="90"/>
          <w:sz w:val="21"/>
          <w:szCs w:val="21"/>
        </w:rPr>
      </w:pPr>
      <w:r>
        <w:rPr>
          <w:rFonts w:hint="eastAsia"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年</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月</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 xml:space="preserve"> 日</w:t>
      </w:r>
    </w:p>
    <w:p>
      <w:pPr>
        <w:rPr>
          <w:rFonts w:ascii="仿宋_GB2312" w:eastAsia="仿宋_GB2312" w:cs="宋体" w:hAnsiTheme="minorEastAsia"/>
          <w:color w:val="auto"/>
          <w:szCs w:val="21"/>
        </w:rPr>
      </w:pPr>
    </w:p>
    <w:p>
      <w:pPr>
        <w:rPr>
          <w:rFonts w:ascii="仿宋_GB2312" w:eastAsia="仿宋_GB2312" w:cs="宋体" w:hAnsiTheme="minorEastAsia"/>
          <w:b/>
          <w:color w:val="auto"/>
          <w:w w:val="90"/>
          <w:sz w:val="32"/>
          <w:szCs w:val="32"/>
        </w:rPr>
      </w:pPr>
    </w:p>
    <w:p>
      <w:pPr>
        <w:pStyle w:val="2"/>
        <w:rPr>
          <w:rFonts w:ascii="仿宋_GB2312" w:eastAsia="仿宋_GB2312" w:cs="宋体" w:hAnsiTheme="minorEastAsia"/>
          <w:b/>
          <w:color w:val="auto"/>
          <w:w w:val="90"/>
          <w:sz w:val="32"/>
          <w:szCs w:val="32"/>
        </w:rPr>
      </w:pPr>
    </w:p>
    <w:p>
      <w:pPr>
        <w:widowControl/>
        <w:rPr>
          <w:rFonts w:ascii="仿宋_GB2312" w:eastAsia="仿宋_GB2312" w:cs="宋体" w:hAnsiTheme="minorEastAsia"/>
          <w:b/>
          <w:color w:val="auto"/>
          <w:w w:val="90"/>
        </w:rPr>
      </w:pPr>
      <w:r>
        <w:rPr>
          <w:rFonts w:hint="eastAsia" w:ascii="仿宋_GB2312" w:eastAsia="仿宋_GB2312" w:cs="宋体" w:hAnsiTheme="minorEastAsia"/>
          <w:b/>
          <w:color w:val="auto"/>
          <w:w w:val="90"/>
        </w:rPr>
        <w:t>2</w:t>
      </w:r>
      <w:r>
        <w:rPr>
          <w:rFonts w:ascii="仿宋_GB2312" w:eastAsia="仿宋_GB2312" w:cs="宋体" w:hAnsiTheme="minorEastAsia"/>
          <w:b/>
          <w:color w:val="auto"/>
          <w:w w:val="90"/>
        </w:rPr>
        <w:t>.</w:t>
      </w:r>
    </w:p>
    <w:p>
      <w:pPr>
        <w:spacing w:line="360" w:lineRule="auto"/>
        <w:rPr>
          <w:rFonts w:ascii="仿宋_GB2312" w:eastAsia="仿宋_GB2312" w:cs="宋体" w:hAnsiTheme="minorEastAsia"/>
          <w:b/>
          <w:color w:val="auto"/>
          <w:w w:val="90"/>
          <w:sz w:val="28"/>
          <w:szCs w:val="28"/>
        </w:rPr>
      </w:pPr>
      <w:r>
        <w:rPr>
          <w:rFonts w:hint="eastAsia" w:ascii="仿宋_GB2312" w:eastAsia="仿宋_GB2312" w:cs="宋体" w:hAnsiTheme="minorEastAsia"/>
          <w:b/>
          <w:color w:val="auto"/>
          <w:w w:val="90"/>
          <w:sz w:val="28"/>
          <w:szCs w:val="28"/>
        </w:rPr>
        <w:t>报价清单</w:t>
      </w:r>
      <w:bookmarkStart w:id="67" w:name="_Toc54278961"/>
      <w:bookmarkStart w:id="68" w:name="_Toc54291526"/>
      <w:bookmarkStart w:id="69" w:name="_Toc53948739"/>
      <w:bookmarkStart w:id="70" w:name="_Toc54280770"/>
      <w:bookmarkStart w:id="71" w:name="_Toc54280344"/>
      <w:bookmarkStart w:id="72" w:name="_Toc53949160"/>
      <w:bookmarkStart w:id="73" w:name="_Toc54281622"/>
      <w:bookmarkStart w:id="74" w:name="_Toc54281196"/>
      <w:bookmarkStart w:id="75" w:name="_Toc53949581"/>
    </w:p>
    <w:bookmarkEnd w:id="67"/>
    <w:bookmarkEnd w:id="68"/>
    <w:bookmarkEnd w:id="69"/>
    <w:bookmarkEnd w:id="70"/>
    <w:bookmarkEnd w:id="71"/>
    <w:bookmarkEnd w:id="72"/>
    <w:bookmarkEnd w:id="73"/>
    <w:bookmarkEnd w:id="74"/>
    <w:bookmarkEnd w:id="75"/>
    <w:p>
      <w:pPr>
        <w:spacing w:line="400" w:lineRule="exact"/>
        <w:rPr>
          <w:rFonts w:ascii="仿宋_GB2312" w:eastAsia="仿宋_GB2312" w:cs="宋体" w:hAnsiTheme="minorEastAsia"/>
          <w:color w:val="auto"/>
          <w:sz w:val="21"/>
          <w:szCs w:val="21"/>
        </w:rPr>
      </w:pPr>
      <w:bookmarkStart w:id="76" w:name="_Toc18209295"/>
      <w:r>
        <w:rPr>
          <w:rFonts w:hint="eastAsia" w:ascii="仿宋_GB2312" w:eastAsia="仿宋_GB2312" w:cs="宋体" w:hAnsiTheme="minorEastAsia"/>
          <w:b/>
          <w:color w:val="auto"/>
          <w:sz w:val="21"/>
          <w:szCs w:val="21"/>
        </w:rPr>
        <w:t>固定价格报价清单</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1、送至各收货地点运距及单位重量单价：</w:t>
      </w:r>
    </w:p>
    <w:tbl>
      <w:tblPr>
        <w:tblStyle w:val="35"/>
        <w:tblW w:w="9473" w:type="dxa"/>
        <w:jc w:val="center"/>
        <w:tblLayout w:type="autofit"/>
        <w:tblCellMar>
          <w:top w:w="0" w:type="dxa"/>
          <w:left w:w="0" w:type="dxa"/>
          <w:bottom w:w="0" w:type="dxa"/>
          <w:right w:w="0" w:type="dxa"/>
        </w:tblCellMar>
      </w:tblPr>
      <w:tblGrid>
        <w:gridCol w:w="1080"/>
        <w:gridCol w:w="1080"/>
        <w:gridCol w:w="1080"/>
        <w:gridCol w:w="1080"/>
        <w:gridCol w:w="1080"/>
        <w:gridCol w:w="915"/>
        <w:gridCol w:w="705"/>
        <w:gridCol w:w="765"/>
        <w:gridCol w:w="780"/>
        <w:gridCol w:w="908"/>
      </w:tblGrid>
      <w:tr>
        <w:tblPrEx>
          <w:tblCellMar>
            <w:top w:w="0" w:type="dxa"/>
            <w:left w:w="0" w:type="dxa"/>
            <w:bottom w:w="0" w:type="dxa"/>
            <w:right w:w="0"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起始地点</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目的地</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暂定数量（吨）</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平均运距（公里)</w:t>
            </w:r>
          </w:p>
        </w:tc>
        <w:tc>
          <w:tcPr>
            <w:tcW w:w="316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综合单价(元/吨</w:t>
            </w:r>
            <w:r>
              <w:rPr>
                <w:rFonts w:hint="eastAsia" w:ascii="仿宋_GB2312" w:eastAsia="仿宋_GB2312" w:cs="宋体" w:hAnsiTheme="minorEastAsia"/>
                <w:color w:val="auto"/>
                <w:sz w:val="21"/>
                <w:szCs w:val="21"/>
                <w:lang w:val="en-US" w:eastAsia="zh-CN"/>
              </w:rPr>
              <w:t>·公里</w:t>
            </w:r>
            <w:r>
              <w:rPr>
                <w:rFonts w:hint="eastAsia" w:ascii="仿宋_GB2312" w:eastAsia="仿宋_GB2312" w:cs="宋体" w:hAnsiTheme="minorEastAsia"/>
                <w:color w:val="auto"/>
                <w:sz w:val="21"/>
                <w:szCs w:val="21"/>
              </w:rPr>
              <w:t>）</w:t>
            </w:r>
          </w:p>
        </w:tc>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金额合计（元）</w:t>
            </w:r>
          </w:p>
        </w:tc>
      </w:tr>
      <w:tr>
        <w:tblPrEx>
          <w:tblCellMar>
            <w:top w:w="0" w:type="dxa"/>
            <w:left w:w="0" w:type="dxa"/>
            <w:bottom w:w="0" w:type="dxa"/>
            <w:right w:w="0" w:type="dxa"/>
          </w:tblCellMar>
        </w:tblPrEx>
        <w:trPr>
          <w:trHeight w:val="5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不含税</w:t>
            </w:r>
          </w:p>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单价</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发票</w:t>
            </w:r>
          </w:p>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税率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税额</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税价合计</w:t>
            </w:r>
          </w:p>
        </w:tc>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jc w:val="center"/>
              <w:rPr>
                <w:rFonts w:ascii="仿宋_GB2312" w:eastAsia="仿宋_GB2312" w:cs="宋体" w:hAnsiTheme="minorEastAsia"/>
                <w:color w:val="auto"/>
                <w:sz w:val="21"/>
                <w:szCs w:val="21"/>
              </w:rPr>
            </w:pPr>
          </w:p>
        </w:tc>
      </w:tr>
      <w:tr>
        <w:tblPrEx>
          <w:tblCellMar>
            <w:top w:w="0" w:type="dxa"/>
            <w:left w:w="0" w:type="dxa"/>
            <w:bottom w:w="0" w:type="dxa"/>
            <w:right w:w="0" w:type="dxa"/>
          </w:tblCellMar>
        </w:tblPrEx>
        <w:trPr>
          <w:trHeight w:val="142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lang w:eastAsia="zh-CN"/>
              </w:rPr>
              <w:t>水稳级配成品料运输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石家庄市藁城区兴安镇张村中街</w:t>
            </w:r>
            <w:r>
              <w:rPr>
                <w:rFonts w:hint="eastAsia" w:ascii="仿宋_GB2312" w:eastAsia="仿宋_GB2312" w:cs="宋体" w:hAnsiTheme="minorEastAsia"/>
                <w:color w:val="auto"/>
                <w:sz w:val="21"/>
                <w:szCs w:val="21"/>
                <w:lang w:eastAsia="zh-CN"/>
              </w:rPr>
              <w:t>中建</w:t>
            </w:r>
            <w:r>
              <w:rPr>
                <w:rFonts w:hint="eastAsia" w:ascii="仿宋_GB2312" w:eastAsia="仿宋_GB2312" w:cs="宋体" w:hAnsiTheme="minorEastAsia"/>
                <w:color w:val="auto"/>
                <w:sz w:val="21"/>
                <w:szCs w:val="21"/>
              </w:rPr>
              <w:t>拌合场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lang w:val="en-US" w:eastAsia="zh-CN"/>
              </w:rPr>
              <w:t>2023年滹沱河防洪整治工程</w:t>
            </w:r>
            <w:r>
              <w:rPr>
                <w:rFonts w:hint="eastAsia" w:ascii="仿宋_GB2312" w:eastAsia="仿宋_GB2312" w:cs="宋体" w:hAnsiTheme="minorEastAsia"/>
                <w:color w:val="auto"/>
                <w:sz w:val="21"/>
                <w:szCs w:val="21"/>
              </w:rPr>
              <w:t>项目指定地点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仿宋_GB2312" w:eastAsia="仿宋_GB2312" w:cs="宋体" w:hAnsiTheme="minorEastAsia"/>
                <w:color w:val="auto"/>
                <w:sz w:val="21"/>
                <w:szCs w:val="21"/>
                <w:lang w:val="en-US" w:eastAsia="zh-CN"/>
              </w:rPr>
            </w:pPr>
            <w:r>
              <w:rPr>
                <w:rFonts w:hint="eastAsia" w:ascii="仿宋_GB2312" w:eastAsia="仿宋_GB2312" w:cs="宋体" w:hAnsiTheme="minorEastAsia"/>
                <w:color w:val="auto"/>
                <w:sz w:val="21"/>
                <w:szCs w:val="21"/>
                <w:lang w:val="en-US" w:eastAsia="zh-CN"/>
              </w:rPr>
              <w:t>131500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仿宋_GB2312" w:eastAsia="仿宋_GB2312" w:cs="宋体" w:hAnsiTheme="minorEastAsia"/>
                <w:color w:val="auto"/>
                <w:sz w:val="21"/>
                <w:szCs w:val="21"/>
                <w:lang w:val="en-US" w:eastAsia="zh-CN"/>
              </w:rPr>
            </w:pPr>
            <w:r>
              <w:rPr>
                <w:rFonts w:hint="eastAsia" w:ascii="仿宋_GB2312" w:eastAsia="仿宋_GB2312" w:cs="宋体" w:hAnsiTheme="minorEastAsia"/>
                <w:color w:val="auto"/>
                <w:sz w:val="21"/>
                <w:szCs w:val="21"/>
                <w:lang w:val="en-US" w:eastAsia="zh-CN"/>
              </w:rPr>
              <w:t>13</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仿宋_GB2312" w:eastAsia="仿宋_GB2312" w:cs="宋体" w:hAnsiTheme="minorEastAsia"/>
                <w:color w:val="auto"/>
                <w:sz w:val="21"/>
                <w:szCs w:val="21"/>
              </w:rPr>
            </w:pPr>
          </w:p>
        </w:tc>
      </w:tr>
      <w:tr>
        <w:tblPrEx>
          <w:tblCellMar>
            <w:top w:w="0" w:type="dxa"/>
            <w:left w:w="0" w:type="dxa"/>
            <w:bottom w:w="0" w:type="dxa"/>
            <w:right w:w="0" w:type="dxa"/>
          </w:tblCellMar>
        </w:tblPrEx>
        <w:trPr>
          <w:trHeight w:val="285" w:hRule="atLeast"/>
          <w:jc w:val="center"/>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 xml:space="preserve">总计（不含税）（大写）: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（小写):</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元</w:t>
            </w:r>
          </w:p>
        </w:tc>
      </w:tr>
      <w:tr>
        <w:tblPrEx>
          <w:tblCellMar>
            <w:top w:w="0" w:type="dxa"/>
            <w:left w:w="0" w:type="dxa"/>
            <w:bottom w:w="0" w:type="dxa"/>
            <w:right w:w="0" w:type="dxa"/>
          </w:tblCellMar>
        </w:tblPrEx>
        <w:trPr>
          <w:trHeight w:val="285" w:hRule="atLeast"/>
          <w:jc w:val="center"/>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 xml:space="preserve">税额合计（大写）：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（小写):</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元</w:t>
            </w:r>
          </w:p>
        </w:tc>
      </w:tr>
      <w:tr>
        <w:tblPrEx>
          <w:tblCellMar>
            <w:top w:w="0" w:type="dxa"/>
            <w:left w:w="0" w:type="dxa"/>
            <w:bottom w:w="0" w:type="dxa"/>
            <w:right w:w="0" w:type="dxa"/>
          </w:tblCellMar>
        </w:tblPrEx>
        <w:trPr>
          <w:trHeight w:val="285" w:hRule="atLeast"/>
          <w:jc w:val="center"/>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textAlignment w:val="center"/>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 xml:space="preserve">金额合计（大写）：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 xml:space="preserve">     （小写):</w:t>
            </w:r>
            <w:r>
              <w:rPr>
                <w:rFonts w:ascii="仿宋_GB2312" w:eastAsia="仿宋_GB2312" w:cs="宋体" w:hAnsiTheme="minorEastAsia"/>
                <w:color w:val="auto"/>
                <w:sz w:val="21"/>
                <w:szCs w:val="21"/>
              </w:rPr>
              <w:t xml:space="preserve">                  </w:t>
            </w:r>
            <w:r>
              <w:rPr>
                <w:rFonts w:hint="eastAsia" w:ascii="仿宋_GB2312" w:eastAsia="仿宋_GB2312" w:cs="宋体" w:hAnsiTheme="minorEastAsia"/>
                <w:color w:val="auto"/>
                <w:sz w:val="21"/>
                <w:szCs w:val="21"/>
              </w:rPr>
              <w:t>元</w:t>
            </w:r>
          </w:p>
        </w:tc>
      </w:tr>
    </w:tbl>
    <w:p>
      <w:pPr>
        <w:numPr>
          <w:ilvl w:val="0"/>
          <w:numId w:val="1"/>
        </w:numPr>
        <w:spacing w:line="400" w:lineRule="exact"/>
        <w:ind w:firstLine="420" w:firstLineChars="200"/>
        <w:outlineLvl w:val="2"/>
        <w:rPr>
          <w:rFonts w:hint="eastAsia" w:ascii="仿宋_GB2312" w:eastAsia="仿宋_GB2312" w:cs="宋体" w:hAnsiTheme="minorEastAsia"/>
          <w:color w:val="auto"/>
          <w:sz w:val="21"/>
          <w:szCs w:val="21"/>
          <w:lang w:eastAsia="zh-CN"/>
        </w:rPr>
      </w:pPr>
      <w:r>
        <w:rPr>
          <w:rFonts w:hint="eastAsia" w:ascii="仿宋_GB2312" w:eastAsia="仿宋_GB2312" w:cs="宋体" w:hAnsiTheme="minorEastAsia"/>
          <w:color w:val="auto"/>
          <w:sz w:val="21"/>
          <w:szCs w:val="21"/>
        </w:rPr>
        <w:t>本合同中运输</w:t>
      </w:r>
      <w:r>
        <w:rPr>
          <w:rFonts w:hint="eastAsia" w:ascii="仿宋_GB2312" w:eastAsia="仿宋_GB2312" w:cs="宋体" w:hAnsiTheme="minorEastAsia"/>
          <w:color w:val="auto"/>
          <w:sz w:val="21"/>
          <w:szCs w:val="21"/>
          <w:lang w:eastAsia="zh-CN"/>
        </w:rPr>
        <w:t>水稳级配成品料</w:t>
      </w:r>
      <w:r>
        <w:rPr>
          <w:rFonts w:hint="eastAsia" w:ascii="仿宋_GB2312" w:eastAsia="仿宋_GB2312" w:cs="宋体" w:hAnsiTheme="minorEastAsia"/>
          <w:color w:val="auto"/>
          <w:sz w:val="21"/>
          <w:szCs w:val="21"/>
        </w:rPr>
        <w:t>数量为暂定数量，实际以甲方收到的检验合格运输数量为准</w:t>
      </w:r>
      <w:r>
        <w:rPr>
          <w:rFonts w:hint="eastAsia" w:ascii="仿宋_GB2312" w:eastAsia="仿宋_GB2312" w:cs="宋体" w:hAnsiTheme="minorEastAsia"/>
          <w:color w:val="auto"/>
          <w:sz w:val="21"/>
          <w:szCs w:val="21"/>
          <w:lang w:eastAsia="zh-CN"/>
        </w:rPr>
        <w:t>。</w:t>
      </w:r>
    </w:p>
    <w:p>
      <w:pPr>
        <w:numPr>
          <w:ilvl w:val="0"/>
          <w:numId w:val="0"/>
        </w:num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3、</w:t>
      </w:r>
      <w:r>
        <w:rPr>
          <w:rFonts w:hint="eastAsia" w:ascii="仿宋_GB2312" w:eastAsia="仿宋_GB2312" w:cs="宋体" w:hAnsiTheme="minorEastAsia"/>
          <w:color w:val="auto"/>
          <w:sz w:val="21"/>
          <w:szCs w:val="21"/>
          <w:lang w:eastAsia="zh-CN"/>
        </w:rPr>
        <w:t>水稳级配成品料</w:t>
      </w:r>
      <w:r>
        <w:rPr>
          <w:rFonts w:hint="eastAsia" w:ascii="仿宋_GB2312" w:eastAsia="仿宋_GB2312" w:cs="宋体" w:hAnsiTheme="minorEastAsia"/>
          <w:color w:val="auto"/>
          <w:sz w:val="21"/>
          <w:szCs w:val="21"/>
        </w:rPr>
        <w:t>运输综合单价为固定单价，合同执行过程中保持不变。固定单价包括前期准备费、车辆的使用费、装卸车费、地方协调配合费、驾驶员工资、奖金、津贴，人员的社保、保险及食宿，车辆的燃油、维修及保养、保险、税费、利润、过路过桥费、交警路政费用、所有车辆及人员进退场所需费用及安全文明施工费以及其他运抵甲方指定货物地点的一切费用。乙方不得以任何理由向甲方另行索要其它费用。</w:t>
      </w:r>
      <w:r>
        <w:rPr>
          <w:rFonts w:hint="eastAsia" w:ascii="仿宋_GB2312" w:eastAsia="仿宋_GB2312" w:cs="宋体" w:hAnsiTheme="minorEastAsia"/>
          <w:color w:val="auto"/>
          <w:sz w:val="21"/>
          <w:szCs w:val="21"/>
          <w:lang w:eastAsia="zh-CN"/>
        </w:rPr>
        <w:t>综合单</w:t>
      </w:r>
      <w:r>
        <w:rPr>
          <w:rFonts w:hint="eastAsia" w:ascii="仿宋_GB2312" w:eastAsia="仿宋_GB2312" w:cs="宋体" w:hAnsiTheme="minorEastAsia"/>
          <w:color w:val="auto"/>
          <w:sz w:val="21"/>
          <w:szCs w:val="21"/>
        </w:rPr>
        <w:t>价已考虑燃油等物料价格市场波动因素影响，本合同履行期间价格波动盈亏风险甲乙双方各自承担。乙方不得以任何物料价格上涨或运输价格上涨向甲方提出任何调整合同价或索赔的要求，实际运输数量的增减不影响合同单价。本合同单价</w:t>
      </w:r>
      <w:r>
        <w:rPr>
          <w:rFonts w:hint="eastAsia" w:ascii="仿宋_GB2312" w:eastAsia="仿宋_GB2312" w:cs="宋体" w:hAnsiTheme="minorEastAsia"/>
          <w:color w:val="auto"/>
          <w:sz w:val="21"/>
          <w:szCs w:val="21"/>
          <w:highlight w:val="none"/>
        </w:rPr>
        <w:t>是乙方提供增值税</w:t>
      </w:r>
      <w:r>
        <w:rPr>
          <w:rFonts w:hint="eastAsia" w:ascii="仿宋_GB2312" w:eastAsia="仿宋_GB2312" w:cs="宋体" w:hAnsiTheme="minorEastAsia"/>
          <w:color w:val="auto"/>
          <w:sz w:val="21"/>
          <w:szCs w:val="21"/>
          <w:highlight w:val="none"/>
          <w:lang w:eastAsia="zh-CN"/>
        </w:rPr>
        <w:t>专用发票</w:t>
      </w:r>
      <w:r>
        <w:rPr>
          <w:rFonts w:hint="eastAsia" w:ascii="仿宋_GB2312" w:eastAsia="仿宋_GB2312" w:cs="宋体" w:hAnsiTheme="minorEastAsia"/>
          <w:color w:val="auto"/>
          <w:sz w:val="21"/>
          <w:szCs w:val="21"/>
          <w:highlight w:val="none"/>
        </w:rPr>
        <w:t>的</w:t>
      </w:r>
      <w:r>
        <w:rPr>
          <w:rFonts w:hint="eastAsia" w:ascii="仿宋_GB2312" w:eastAsia="仿宋_GB2312" w:cs="宋体" w:hAnsiTheme="minorEastAsia"/>
          <w:color w:val="auto"/>
          <w:sz w:val="21"/>
          <w:szCs w:val="21"/>
        </w:rPr>
        <w:t>结算单价。</w:t>
      </w:r>
    </w:p>
    <w:p>
      <w:pPr>
        <w:pStyle w:val="2"/>
        <w:rPr>
          <w:color w:val="auto"/>
        </w:rPr>
      </w:pPr>
    </w:p>
    <w:p>
      <w:pPr>
        <w:spacing w:line="240" w:lineRule="auto"/>
        <w:jc w:val="right"/>
        <w:rPr>
          <w:rFonts w:hint="eastAsia" w:ascii="仿宋_GB2312" w:eastAsia="仿宋_GB2312" w:cs="宋体" w:hAnsiTheme="minorEastAsia"/>
          <w:color w:val="auto"/>
          <w:kern w:val="0"/>
          <w:sz w:val="21"/>
          <w:szCs w:val="21"/>
        </w:rPr>
      </w:pPr>
      <w:r>
        <w:rPr>
          <w:rFonts w:hint="eastAsia" w:ascii="仿宋_GB2312" w:eastAsia="仿宋_GB2312" w:cs="宋体" w:hAnsiTheme="minorEastAsia"/>
          <w:color w:val="auto"/>
          <w:sz w:val="21"/>
          <w:szCs w:val="21"/>
        </w:rPr>
        <w:t>投标人</w:t>
      </w:r>
      <w:r>
        <w:rPr>
          <w:rFonts w:hint="eastAsia" w:ascii="仿宋_GB2312" w:eastAsia="仿宋_GB2312" w:cs="宋体" w:hAnsiTheme="minorEastAsia"/>
          <w:color w:val="auto"/>
          <w:w w:val="90"/>
          <w:sz w:val="21"/>
          <w:szCs w:val="21"/>
        </w:rPr>
        <w:t>：</w:t>
      </w:r>
      <w:r>
        <w:rPr>
          <w:rFonts w:hint="eastAsia" w:ascii="仿宋_GB2312" w:eastAsia="仿宋_GB2312" w:cs="宋体" w:hAnsiTheme="minorEastAsia"/>
          <w:color w:val="auto"/>
          <w:w w:val="90"/>
          <w:sz w:val="21"/>
          <w:szCs w:val="21"/>
          <w:u w:val="single"/>
        </w:rPr>
        <w:t xml:space="preserve">                   </w:t>
      </w:r>
      <w:r>
        <w:rPr>
          <w:rFonts w:hint="eastAsia" w:ascii="仿宋_GB2312" w:eastAsia="仿宋_GB2312" w:cs="宋体" w:hAnsiTheme="minorEastAsia"/>
          <w:color w:val="auto"/>
          <w:kern w:val="0"/>
          <w:sz w:val="21"/>
          <w:szCs w:val="21"/>
        </w:rPr>
        <w:t>（盖章）</w:t>
      </w:r>
    </w:p>
    <w:p>
      <w:pPr>
        <w:pStyle w:val="2"/>
        <w:spacing w:line="240" w:lineRule="auto"/>
      </w:pPr>
    </w:p>
    <w:p>
      <w:pPr>
        <w:wordWrap w:val="0"/>
        <w:spacing w:line="240" w:lineRule="auto"/>
        <w:jc w:val="right"/>
        <w:rPr>
          <w:rFonts w:ascii="仿宋_GB2312" w:eastAsia="仿宋_GB2312" w:cs="宋体" w:hAnsiTheme="minorEastAsia"/>
          <w:color w:val="auto"/>
          <w:kern w:val="0"/>
          <w:sz w:val="21"/>
          <w:szCs w:val="21"/>
        </w:rPr>
      </w:pPr>
      <w:r>
        <w:rPr>
          <w:rFonts w:hint="eastAsia" w:ascii="仿宋_GB2312" w:eastAsia="仿宋_GB2312" w:cs="宋体" w:hAnsiTheme="minorEastAsia"/>
          <w:color w:val="auto"/>
          <w:kern w:val="0"/>
          <w:sz w:val="21"/>
          <w:szCs w:val="21"/>
        </w:rPr>
        <w:t>法人代表人或代理人：</w:t>
      </w:r>
      <w:r>
        <w:rPr>
          <w:rFonts w:hint="eastAsia" w:ascii="仿宋_GB2312" w:eastAsia="仿宋_GB2312" w:cs="宋体" w:hAnsiTheme="minorEastAsia"/>
          <w:color w:val="auto"/>
          <w:kern w:val="0"/>
          <w:sz w:val="21"/>
          <w:szCs w:val="21"/>
          <w:u w:val="single"/>
        </w:rPr>
        <w:t xml:space="preserve"> </w:t>
      </w:r>
      <w:r>
        <w:rPr>
          <w:rFonts w:ascii="仿宋_GB2312" w:eastAsia="仿宋_GB2312" w:cs="宋体" w:hAnsiTheme="minorEastAsia"/>
          <w:color w:val="auto"/>
          <w:kern w:val="0"/>
          <w:sz w:val="21"/>
          <w:szCs w:val="21"/>
          <w:u w:val="single"/>
        </w:rPr>
        <w:t xml:space="preserve">                      </w:t>
      </w:r>
      <w:r>
        <w:rPr>
          <w:rFonts w:ascii="仿宋_GB2312" w:eastAsia="仿宋_GB2312" w:cs="宋体" w:hAnsiTheme="minorEastAsia"/>
          <w:color w:val="auto"/>
          <w:kern w:val="0"/>
          <w:sz w:val="21"/>
          <w:szCs w:val="21"/>
        </w:rPr>
        <w:t xml:space="preserve">  </w:t>
      </w:r>
    </w:p>
    <w:p>
      <w:pPr>
        <w:pStyle w:val="2"/>
        <w:wordWrap/>
        <w:spacing w:line="240" w:lineRule="auto"/>
      </w:pPr>
    </w:p>
    <w:p>
      <w:pPr>
        <w:wordWrap w:val="0"/>
        <w:spacing w:line="240" w:lineRule="auto"/>
        <w:jc w:val="right"/>
        <w:rPr>
          <w:rFonts w:ascii="仿宋_GB2312" w:eastAsia="仿宋_GB2312" w:cs="宋体" w:hAnsiTheme="minorEastAsia"/>
          <w:color w:val="auto"/>
          <w:kern w:val="0"/>
          <w:sz w:val="21"/>
          <w:szCs w:val="21"/>
        </w:rPr>
      </w:pPr>
      <w:r>
        <w:rPr>
          <w:rFonts w:hint="eastAsia" w:ascii="仿宋_GB2312" w:eastAsia="仿宋_GB2312" w:cs="宋体" w:hAnsiTheme="minorEastAsia"/>
          <w:color w:val="auto"/>
          <w:kern w:val="0"/>
          <w:sz w:val="21"/>
          <w:szCs w:val="21"/>
        </w:rPr>
        <w:t>日期：</w:t>
      </w:r>
      <w:r>
        <w:rPr>
          <w:rFonts w:hint="eastAsia" w:ascii="仿宋_GB2312" w:eastAsia="仿宋_GB2312" w:cs="宋体" w:hAnsiTheme="minorEastAsia"/>
          <w:color w:val="auto"/>
          <w:kern w:val="0"/>
          <w:sz w:val="21"/>
          <w:szCs w:val="21"/>
          <w:u w:val="single"/>
        </w:rPr>
        <w:t xml:space="preserve"> </w:t>
      </w:r>
      <w:r>
        <w:rPr>
          <w:rFonts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rPr>
        <w:t>年</w:t>
      </w:r>
      <w:r>
        <w:rPr>
          <w:rFonts w:hint="eastAsia" w:ascii="仿宋_GB2312" w:eastAsia="仿宋_GB2312" w:cs="宋体" w:hAnsiTheme="minorEastAsia"/>
          <w:color w:val="auto"/>
          <w:kern w:val="0"/>
          <w:sz w:val="21"/>
          <w:szCs w:val="21"/>
          <w:u w:val="single"/>
        </w:rPr>
        <w:t xml:space="preserve">  </w:t>
      </w:r>
      <w:r>
        <w:rPr>
          <w:rFonts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rPr>
        <w:t>月</w:t>
      </w:r>
      <w:r>
        <w:rPr>
          <w:rFonts w:hint="eastAsia" w:ascii="仿宋_GB2312" w:eastAsia="仿宋_GB2312" w:cs="宋体" w:hAnsiTheme="minorEastAsia"/>
          <w:color w:val="auto"/>
          <w:kern w:val="0"/>
          <w:sz w:val="21"/>
          <w:szCs w:val="21"/>
          <w:u w:val="single"/>
        </w:rPr>
        <w:t xml:space="preserve"> </w:t>
      </w:r>
      <w:r>
        <w:rPr>
          <w:rFonts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u w:val="single"/>
        </w:rPr>
        <w:t xml:space="preserve">   </w:t>
      </w:r>
      <w:r>
        <w:rPr>
          <w:rFonts w:hint="eastAsia" w:ascii="仿宋_GB2312" w:eastAsia="仿宋_GB2312" w:cs="宋体" w:hAnsiTheme="minorEastAsia"/>
          <w:color w:val="auto"/>
          <w:kern w:val="0"/>
          <w:sz w:val="21"/>
          <w:szCs w:val="21"/>
        </w:rPr>
        <w:t>日</w:t>
      </w:r>
      <w:r>
        <w:rPr>
          <w:rFonts w:ascii="仿宋_GB2312" w:eastAsia="仿宋_GB2312" w:cs="宋体" w:hAnsiTheme="minorEastAsia"/>
          <w:color w:val="auto"/>
          <w:kern w:val="0"/>
          <w:sz w:val="21"/>
          <w:szCs w:val="21"/>
        </w:rPr>
        <w:t xml:space="preserve"> </w:t>
      </w:r>
    </w:p>
    <w:p>
      <w:pPr>
        <w:widowControl/>
        <w:jc w:val="left"/>
        <w:rPr>
          <w:rFonts w:ascii="宋体" w:hAnsi="宋体" w:eastAsia="宋体" w:cs="宋体"/>
          <w:color w:val="auto"/>
          <w:kern w:val="44"/>
          <w:sz w:val="28"/>
          <w:szCs w:val="28"/>
        </w:rPr>
      </w:pPr>
      <w:r>
        <w:rPr>
          <w:color w:val="auto"/>
        </w:rPr>
        <w:br w:type="page"/>
      </w: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3</w:t>
      </w:r>
      <w:r>
        <w:rPr>
          <w:rFonts w:ascii="仿宋_GB2312" w:eastAsia="仿宋_GB2312" w:cs="宋体" w:hAnsiTheme="minorEastAsia"/>
          <w:b/>
          <w:color w:val="auto"/>
          <w:w w:val="90"/>
        </w:rPr>
        <w:t>.</w:t>
      </w:r>
    </w:p>
    <w:p>
      <w:pPr>
        <w:spacing w:line="400" w:lineRule="exact"/>
        <w:rPr>
          <w:rFonts w:ascii="仿宋_GB2312" w:eastAsia="仿宋_GB2312" w:cs="宋体" w:hAnsiTheme="minorEastAsia"/>
          <w:b/>
          <w:color w:val="auto"/>
          <w:sz w:val="28"/>
          <w:szCs w:val="28"/>
        </w:rPr>
      </w:pPr>
      <w:r>
        <w:rPr>
          <w:rFonts w:hint="eastAsia" w:ascii="仿宋_GB2312" w:eastAsia="仿宋_GB2312" w:cs="宋体" w:hAnsiTheme="minorEastAsia"/>
          <w:b/>
          <w:color w:val="auto"/>
          <w:sz w:val="28"/>
          <w:szCs w:val="28"/>
        </w:rPr>
        <w:t>授权委托书</w:t>
      </w:r>
      <w:bookmarkEnd w:id="76"/>
    </w:p>
    <w:p>
      <w:pPr>
        <w:spacing w:line="360" w:lineRule="auto"/>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致：</w:t>
      </w:r>
      <w:r>
        <w:rPr>
          <w:rFonts w:hint="eastAsia" w:ascii="仿宋_GB2312" w:eastAsia="仿宋_GB2312" w:cs="宋体" w:hAnsiTheme="minorEastAsia"/>
          <w:color w:val="auto"/>
          <w:sz w:val="21"/>
          <w:szCs w:val="21"/>
          <w:u w:val="single"/>
        </w:rPr>
        <w:t>中建路桥集团高速公路养护有限公司</w:t>
      </w:r>
    </w:p>
    <w:p>
      <w:pPr>
        <w:spacing w:line="400" w:lineRule="exact"/>
        <w:ind w:firstLine="420" w:firstLineChars="2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 xml:space="preserve">本授权书宣告： </w:t>
      </w:r>
      <w:r>
        <w:rPr>
          <w:rFonts w:hint="eastAsia" w:ascii="仿宋_GB2312" w:eastAsia="仿宋_GB2312" w:cs="宋体" w:hAnsiTheme="minorEastAsia"/>
          <w:color w:val="auto"/>
          <w:sz w:val="21"/>
          <w:szCs w:val="21"/>
          <w:u w:val="single"/>
        </w:rPr>
        <w:t xml:space="preserve"> (投标人全称)  (职务)  (姓名)</w:t>
      </w:r>
      <w:r>
        <w:rPr>
          <w:rFonts w:hint="eastAsia" w:ascii="仿宋_GB2312" w:eastAsia="仿宋_GB2312" w:cs="宋体" w:hAnsiTheme="minorEastAsia"/>
          <w:color w:val="auto"/>
          <w:sz w:val="21"/>
          <w:szCs w:val="21"/>
        </w:rPr>
        <w:t xml:space="preserve">合法地代表本单位，授权 </w:t>
      </w:r>
      <w:r>
        <w:rPr>
          <w:rFonts w:hint="eastAsia" w:ascii="仿宋_GB2312" w:eastAsia="仿宋_GB2312" w:cs="宋体" w:hAnsiTheme="minorEastAsia"/>
          <w:color w:val="auto"/>
          <w:sz w:val="21"/>
          <w:szCs w:val="21"/>
          <w:u w:val="single"/>
        </w:rPr>
        <w:t>(投标人全称)   的  (职务) (姓名)</w:t>
      </w:r>
      <w:r>
        <w:rPr>
          <w:rFonts w:hint="eastAsia" w:ascii="仿宋_GB2312" w:eastAsia="仿宋_GB2312" w:cs="宋体" w:hAnsiTheme="minorEastAsia"/>
          <w:color w:val="auto"/>
          <w:sz w:val="21"/>
          <w:szCs w:val="21"/>
        </w:rPr>
        <w:t>为我单位代理人，该代理人有权在</w:t>
      </w:r>
      <w:bookmarkStart w:id="77" w:name="_Hlk97991349"/>
      <w:r>
        <w:rPr>
          <w:rFonts w:hint="eastAsia" w:ascii="仿宋_GB2312" w:hAnsi="仿宋" w:eastAsia="仿宋_GB2312"/>
          <w:bCs/>
          <w:sz w:val="21"/>
          <w:szCs w:val="21"/>
          <w:u w:val="single"/>
          <w:lang w:val="en-US" w:eastAsia="zh-CN"/>
        </w:rPr>
        <w:t>2023年滹沱河防洪整治工程</w:t>
      </w:r>
      <w:r>
        <w:rPr>
          <w:rFonts w:hint="eastAsia" w:ascii="仿宋_GB2312" w:hAnsi="仿宋" w:eastAsia="仿宋_GB2312"/>
          <w:bCs/>
          <w:sz w:val="21"/>
          <w:szCs w:val="21"/>
        </w:rPr>
        <w:t>项目</w:t>
      </w:r>
      <w:r>
        <w:rPr>
          <w:rFonts w:hint="eastAsia" w:ascii="仿宋_GB2312" w:hAnsi="仿宋" w:eastAsia="仿宋_GB2312"/>
          <w:bCs/>
          <w:sz w:val="21"/>
          <w:szCs w:val="21"/>
          <w:u w:val="single"/>
          <w:lang w:eastAsia="zh-CN"/>
        </w:rPr>
        <w:t>水稳级配成品料运输</w:t>
      </w:r>
      <w:r>
        <w:rPr>
          <w:rFonts w:hint="eastAsia" w:ascii="仿宋_GB2312" w:eastAsia="仿宋_GB2312" w:cs="宋体" w:hAnsiTheme="minorEastAsia"/>
          <w:color w:val="auto"/>
          <w:sz w:val="21"/>
          <w:szCs w:val="21"/>
          <w:u w:val="single"/>
        </w:rPr>
        <w:t>采购招标</w:t>
      </w:r>
      <w:bookmarkEnd w:id="77"/>
      <w:r>
        <w:rPr>
          <w:rFonts w:hint="eastAsia" w:ascii="仿宋_GB2312" w:eastAsia="仿宋_GB2312" w:cs="宋体" w:hAnsiTheme="minorEastAsia"/>
          <w:color w:val="auto"/>
          <w:sz w:val="21"/>
          <w:szCs w:val="21"/>
        </w:rPr>
        <w:t>（招标文件编号：</w:t>
      </w:r>
      <w:r>
        <w:rPr>
          <w:rFonts w:hint="eastAsia" w:ascii="仿宋_GB2312" w:hAnsi="仿宋" w:eastAsia="仿宋_GB2312"/>
          <w:bCs/>
          <w:sz w:val="21"/>
          <w:szCs w:val="21"/>
          <w:u w:val="single"/>
          <w:lang w:val="en-US" w:eastAsia="zh-CN"/>
        </w:rPr>
        <w:t>YHGS-FGZB-藁城滹沱河项目-2023001号</w:t>
      </w:r>
      <w:r>
        <w:rPr>
          <w:rFonts w:hint="eastAsia" w:ascii="仿宋_GB2312" w:eastAsia="仿宋_GB2312" w:cs="宋体" w:hAnsiTheme="minorEastAsia"/>
          <w:color w:val="auto"/>
          <w:sz w:val="21"/>
          <w:szCs w:val="21"/>
        </w:rPr>
        <w:t>）工作中，以我单位的名义签署投标函和投标文件、与招标人协商、谈判、签订合同协议书以及执行一切与此有关的事项。</w:t>
      </w: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pStyle w:val="3"/>
        <w:rPr>
          <w:color w:val="auto"/>
        </w:rPr>
      </w:pPr>
    </w:p>
    <w:p>
      <w:pPr>
        <w:spacing w:line="400" w:lineRule="exact"/>
        <w:ind w:firstLine="3780" w:firstLineChars="18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投标人：</w:t>
      </w:r>
      <w:r>
        <w:rPr>
          <w:rFonts w:hint="eastAsia" w:ascii="仿宋_GB2312" w:eastAsia="仿宋_GB2312" w:cs="宋体" w:hAnsiTheme="minorEastAsia"/>
          <w:color w:val="auto"/>
          <w:sz w:val="21"/>
          <w:szCs w:val="21"/>
          <w:u w:val="single"/>
        </w:rPr>
        <w:t xml:space="preserve">                     (盖章)</w:t>
      </w:r>
    </w:p>
    <w:p>
      <w:pPr>
        <w:spacing w:line="400" w:lineRule="exact"/>
        <w:ind w:firstLine="420" w:firstLineChars="200"/>
        <w:outlineLvl w:val="2"/>
        <w:rPr>
          <w:rFonts w:ascii="仿宋_GB2312" w:eastAsia="仿宋_GB2312" w:cs="宋体" w:hAnsiTheme="minorEastAsia"/>
          <w:color w:val="auto"/>
          <w:sz w:val="21"/>
          <w:szCs w:val="21"/>
        </w:rPr>
      </w:pPr>
    </w:p>
    <w:p>
      <w:pPr>
        <w:spacing w:line="400" w:lineRule="exact"/>
        <w:ind w:firstLine="3780" w:firstLineChars="18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授权人：</w:t>
      </w:r>
      <w:r>
        <w:rPr>
          <w:rFonts w:hint="eastAsia" w:ascii="仿宋_GB2312" w:eastAsia="仿宋_GB2312" w:cs="宋体" w:hAnsiTheme="minorEastAsia"/>
          <w:color w:val="auto"/>
          <w:sz w:val="21"/>
          <w:szCs w:val="21"/>
          <w:u w:val="single"/>
        </w:rPr>
        <w:t xml:space="preserve">                     (签字)</w:t>
      </w:r>
    </w:p>
    <w:p>
      <w:pPr>
        <w:spacing w:line="400" w:lineRule="exact"/>
        <w:ind w:firstLine="420" w:firstLineChars="200"/>
        <w:outlineLvl w:val="2"/>
        <w:rPr>
          <w:rFonts w:ascii="仿宋_GB2312" w:eastAsia="仿宋_GB2312" w:cs="宋体" w:hAnsiTheme="minorEastAsia"/>
          <w:color w:val="auto"/>
          <w:sz w:val="21"/>
          <w:szCs w:val="21"/>
        </w:rPr>
      </w:pPr>
    </w:p>
    <w:p>
      <w:pPr>
        <w:spacing w:line="400" w:lineRule="exact"/>
        <w:ind w:firstLine="3780" w:firstLineChars="1800"/>
        <w:outlineLvl w:val="2"/>
        <w:rPr>
          <w:rFonts w:ascii="仿宋_GB2312" w:eastAsia="仿宋_GB2312" w:cs="宋体" w:hAnsiTheme="minorEastAsia"/>
          <w:color w:val="auto"/>
          <w:sz w:val="21"/>
          <w:szCs w:val="21"/>
          <w:u w:val="single"/>
        </w:rPr>
      </w:pPr>
      <w:r>
        <w:rPr>
          <w:rFonts w:hint="eastAsia" w:ascii="仿宋_GB2312" w:eastAsia="仿宋_GB2312" w:cs="宋体" w:hAnsiTheme="minorEastAsia"/>
          <w:color w:val="auto"/>
          <w:sz w:val="21"/>
          <w:szCs w:val="21"/>
        </w:rPr>
        <w:t>授权代理人：</w:t>
      </w:r>
      <w:r>
        <w:rPr>
          <w:rFonts w:hint="eastAsia" w:ascii="仿宋_GB2312" w:eastAsia="仿宋_GB2312" w:cs="宋体" w:hAnsiTheme="minorEastAsia"/>
          <w:color w:val="auto"/>
          <w:sz w:val="21"/>
          <w:szCs w:val="21"/>
          <w:u w:val="single"/>
        </w:rPr>
        <w:t xml:space="preserve">                 (签字)</w:t>
      </w:r>
    </w:p>
    <w:p>
      <w:pPr>
        <w:spacing w:line="400" w:lineRule="exact"/>
        <w:ind w:firstLine="420" w:firstLineChars="200"/>
        <w:outlineLvl w:val="2"/>
        <w:rPr>
          <w:rFonts w:ascii="仿宋_GB2312" w:eastAsia="仿宋_GB2312" w:cs="宋体" w:hAnsiTheme="minorEastAsia"/>
          <w:color w:val="auto"/>
          <w:sz w:val="21"/>
          <w:szCs w:val="21"/>
        </w:rPr>
      </w:pPr>
    </w:p>
    <w:p>
      <w:pPr>
        <w:spacing w:line="400" w:lineRule="exact"/>
        <w:ind w:firstLine="3780" w:firstLineChars="1800"/>
        <w:outlineLvl w:val="2"/>
        <w:rPr>
          <w:rFonts w:ascii="仿宋_GB2312" w:eastAsia="仿宋_GB2312" w:cs="宋体" w:hAnsiTheme="minorEastAsia"/>
          <w:color w:val="auto"/>
          <w:sz w:val="21"/>
          <w:szCs w:val="21"/>
        </w:rPr>
      </w:pPr>
      <w:r>
        <w:rPr>
          <w:rFonts w:hint="eastAsia" w:ascii="仿宋_GB2312" w:eastAsia="仿宋_GB2312" w:cs="宋体" w:hAnsiTheme="minorEastAsia"/>
          <w:color w:val="auto"/>
          <w:sz w:val="21"/>
          <w:szCs w:val="21"/>
        </w:rPr>
        <w:t>日　期：</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 xml:space="preserve">年 </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月</w:t>
      </w:r>
      <w:r>
        <w:rPr>
          <w:rFonts w:hint="eastAsia" w:ascii="仿宋_GB2312" w:eastAsia="仿宋_GB2312" w:cs="宋体" w:hAnsiTheme="minorEastAsia"/>
          <w:color w:val="auto"/>
          <w:sz w:val="21"/>
          <w:szCs w:val="21"/>
          <w:u w:val="single"/>
        </w:rPr>
        <w:t xml:space="preserve">  　  </w:t>
      </w:r>
      <w:r>
        <w:rPr>
          <w:rFonts w:hint="eastAsia" w:ascii="仿宋_GB2312" w:eastAsia="仿宋_GB2312" w:cs="宋体" w:hAnsiTheme="minorEastAsia"/>
          <w:color w:val="auto"/>
          <w:sz w:val="21"/>
          <w:szCs w:val="21"/>
        </w:rPr>
        <w:t>日</w:t>
      </w:r>
    </w:p>
    <w:p>
      <w:pPr>
        <w:widowControl/>
        <w:rPr>
          <w:rFonts w:ascii="仿宋_GB2312" w:eastAsia="仿宋_GB2312" w:cs="宋体" w:hAnsiTheme="minorEastAsia"/>
          <w:b/>
          <w:color w:val="auto"/>
          <w:w w:val="90"/>
        </w:rPr>
      </w:pPr>
      <w:r>
        <w:rPr>
          <w:rFonts w:ascii="仿宋_GB2312" w:eastAsia="仿宋_GB2312" w:cs="宋体" w:hAnsiTheme="minorEastAsia"/>
          <w:b/>
          <w:color w:val="auto"/>
          <w:w w:val="90"/>
        </w:rPr>
        <w:br w:type="page"/>
      </w:r>
    </w:p>
    <w:p>
      <w:pPr>
        <w:widowControl/>
        <w:rPr>
          <w:rFonts w:ascii="仿宋_GB2312" w:eastAsia="仿宋_GB2312" w:cs="宋体" w:hAnsiTheme="minorEastAsia"/>
          <w:b/>
          <w:color w:val="auto"/>
          <w:w w:val="90"/>
        </w:rPr>
      </w:pPr>
      <w:r>
        <w:rPr>
          <w:rFonts w:hint="eastAsia" w:ascii="仿宋_GB2312" w:eastAsia="仿宋_GB2312" w:cs="宋体" w:hAnsiTheme="minorEastAsia"/>
          <w:b/>
          <w:color w:val="auto"/>
          <w:w w:val="90"/>
        </w:rPr>
        <w:t>4</w:t>
      </w:r>
      <w:r>
        <w:rPr>
          <w:rFonts w:ascii="仿宋_GB2312" w:eastAsia="仿宋_GB2312" w:cs="宋体" w:hAnsiTheme="minorEastAsia"/>
          <w:b/>
          <w:color w:val="auto"/>
          <w:w w:val="90"/>
        </w:rPr>
        <w:t>.</w:t>
      </w:r>
    </w:p>
    <w:p>
      <w:pPr>
        <w:spacing w:line="360" w:lineRule="auto"/>
        <w:rPr>
          <w:rFonts w:ascii="仿宋_GB2312" w:eastAsia="仿宋_GB2312" w:cs="宋体" w:hAnsiTheme="minorEastAsia"/>
          <w:b/>
          <w:color w:val="auto"/>
          <w:sz w:val="28"/>
          <w:szCs w:val="28"/>
        </w:rPr>
      </w:pPr>
      <w:r>
        <w:rPr>
          <w:rFonts w:hint="eastAsia" w:ascii="仿宋_GB2312" w:eastAsia="仿宋_GB2312" w:cs="宋体" w:hAnsiTheme="minorEastAsia"/>
          <w:b/>
          <w:color w:val="auto"/>
          <w:sz w:val="28"/>
          <w:szCs w:val="28"/>
        </w:rPr>
        <w:t>投标人身份证明文件</w:t>
      </w:r>
    </w:p>
    <w:p>
      <w:pPr>
        <w:spacing w:line="360" w:lineRule="auto"/>
        <w:rPr>
          <w:rFonts w:ascii="仿宋_GB2312" w:eastAsia="仿宋_GB2312" w:cs="宋体" w:hAnsiTheme="minorEastAsia"/>
          <w:color w:val="auto"/>
        </w:rPr>
      </w:pPr>
    </w:p>
    <w:tbl>
      <w:tblPr>
        <w:tblStyle w:val="35"/>
        <w:tblW w:w="0" w:type="auto"/>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312" w:beforeLines="100" w:line="360" w:lineRule="auto"/>
              <w:jc w:val="both"/>
              <w:rPr>
                <w:rFonts w:hAnsiTheme="minorEastAsia"/>
                <w:b w:val="0"/>
                <w:color w:val="auto"/>
              </w:rPr>
            </w:pPr>
            <w:r>
              <w:rPr>
                <w:rFonts w:hint="eastAsia" w:hAnsiTheme="minorEastAsia"/>
                <w:b w:val="0"/>
                <w:color w:val="auto"/>
              </w:rPr>
              <w:t xml:space="preserve">       </w:t>
            </w:r>
          </w:p>
          <w:p>
            <w:pPr>
              <w:pStyle w:val="308"/>
              <w:keepNext w:val="0"/>
              <w:keepLines w:val="0"/>
              <w:spacing w:before="312" w:beforeLines="100" w:line="360" w:lineRule="auto"/>
              <w:jc w:val="both"/>
              <w:rPr>
                <w:rFonts w:hAnsiTheme="minorEastAsia"/>
                <w:b w:val="0"/>
                <w:color w:val="auto"/>
              </w:rPr>
            </w:pPr>
            <w:r>
              <w:rPr>
                <w:rFonts w:hint="eastAsia" w:hAnsiTheme="minorEastAsia"/>
                <w:b w:val="0"/>
                <w:color w:val="auto"/>
              </w:rPr>
              <w:t xml:space="preserve">    法人身份证（扫描件）</w:t>
            </w:r>
          </w:p>
        </w:tc>
      </w:tr>
    </w:tbl>
    <w:tbl>
      <w:tblPr>
        <w:tblStyle w:val="35"/>
        <w:tblpPr w:leftFromText="180" w:rightFromText="180" w:vertAnchor="text" w:horzAnchor="margin" w:tblpXSpec="right" w:tblpY="-2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312" w:beforeLines="100" w:line="360" w:lineRule="auto"/>
              <w:jc w:val="both"/>
              <w:rPr>
                <w:rFonts w:hAnsiTheme="minorEastAsia"/>
                <w:b w:val="0"/>
                <w:color w:val="auto"/>
              </w:rPr>
            </w:pPr>
          </w:p>
          <w:p>
            <w:pPr>
              <w:pStyle w:val="308"/>
              <w:keepNext w:val="0"/>
              <w:keepLines w:val="0"/>
              <w:spacing w:before="312" w:beforeLines="100" w:line="360" w:lineRule="auto"/>
              <w:jc w:val="both"/>
              <w:rPr>
                <w:rFonts w:hAnsiTheme="minorEastAsia"/>
                <w:b w:val="0"/>
                <w:color w:val="auto"/>
              </w:rPr>
            </w:pPr>
            <w:r>
              <w:rPr>
                <w:rFonts w:hint="eastAsia" w:hAnsiTheme="minorEastAsia"/>
                <w:b w:val="0"/>
                <w:color w:val="auto"/>
              </w:rPr>
              <w:t xml:space="preserve">  授权代理人身份证（扫描件）</w:t>
            </w:r>
          </w:p>
        </w:tc>
      </w:tr>
    </w:tbl>
    <w:p>
      <w:pPr>
        <w:rPr>
          <w:rFonts w:ascii="仿宋_GB2312" w:eastAsia="仿宋_GB2312" w:cs="Times New Roman" w:hAnsiTheme="minorEastAsia"/>
          <w:vanish/>
          <w:color w:val="auto"/>
          <w:sz w:val="21"/>
          <w:szCs w:val="22"/>
        </w:rPr>
      </w:pPr>
    </w:p>
    <w:p>
      <w:pPr>
        <w:spacing w:line="360" w:lineRule="auto"/>
        <w:rPr>
          <w:rFonts w:ascii="仿宋_GB2312" w:eastAsia="仿宋_GB2312" w:cs="宋体" w:hAnsiTheme="minorEastAsia"/>
          <w:b/>
          <w:color w:val="auto"/>
          <w:sz w:val="32"/>
          <w:szCs w:val="32"/>
        </w:rPr>
      </w:pPr>
    </w:p>
    <w:p>
      <w:pPr>
        <w:spacing w:line="360" w:lineRule="auto"/>
        <w:rPr>
          <w:rFonts w:ascii="仿宋_GB2312" w:eastAsia="仿宋_GB2312" w:cs="宋体" w:hAnsiTheme="minorEastAsia"/>
          <w:b/>
          <w:color w:val="auto"/>
          <w:sz w:val="32"/>
          <w:szCs w:val="32"/>
        </w:rPr>
      </w:pP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5</w:t>
      </w:r>
      <w:r>
        <w:rPr>
          <w:rFonts w:ascii="仿宋_GB2312" w:eastAsia="仿宋_GB2312" w:cs="宋体" w:hAnsiTheme="minorEastAsia"/>
          <w:b/>
          <w:color w:val="auto"/>
          <w:w w:val="90"/>
        </w:rPr>
        <w:t>.</w:t>
      </w:r>
    </w:p>
    <w:p>
      <w:pPr>
        <w:spacing w:line="360" w:lineRule="auto"/>
        <w:rPr>
          <w:rFonts w:ascii="仿宋_GB2312" w:eastAsia="仿宋_GB2312" w:cs="宋体" w:hAnsiTheme="minorEastAsia"/>
          <w:b/>
          <w:color w:val="auto"/>
          <w:sz w:val="28"/>
          <w:szCs w:val="28"/>
        </w:rPr>
      </w:pPr>
      <w:r>
        <w:rPr>
          <w:rFonts w:hint="eastAsia" w:ascii="仿宋_GB2312" w:eastAsia="仿宋_GB2312" w:cs="宋体" w:hAnsiTheme="minorEastAsia"/>
          <w:b/>
          <w:color w:val="auto"/>
          <w:sz w:val="28"/>
          <w:szCs w:val="28"/>
        </w:rPr>
        <w:t>投标保证金（复印件加盖公章）</w:t>
      </w: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spacing w:line="360" w:lineRule="auto"/>
        <w:rPr>
          <w:rFonts w:ascii="仿宋_GB2312" w:eastAsia="仿宋_GB2312" w:cs="宋体" w:hAnsiTheme="minorEastAsia"/>
          <w:b/>
          <w:color w:val="auto"/>
          <w:sz w:val="28"/>
          <w:szCs w:val="28"/>
        </w:rPr>
      </w:pPr>
    </w:p>
    <w:p>
      <w:pPr>
        <w:widowControl/>
        <w:rPr>
          <w:rFonts w:ascii="仿宋_GB2312" w:eastAsia="仿宋_GB2312" w:cs="宋体" w:hAnsiTheme="minorEastAsia"/>
          <w:b/>
          <w:color w:val="auto"/>
          <w:w w:val="90"/>
        </w:rPr>
      </w:pPr>
      <w:r>
        <w:rPr>
          <w:rFonts w:ascii="仿宋_GB2312" w:eastAsia="仿宋_GB2312" w:cs="宋体" w:hAnsiTheme="minorEastAsia"/>
          <w:b/>
          <w:color w:val="auto"/>
          <w:w w:val="90"/>
        </w:rPr>
        <w:br w:type="page"/>
      </w: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6</w:t>
      </w:r>
      <w:r>
        <w:rPr>
          <w:rFonts w:ascii="仿宋_GB2312" w:eastAsia="仿宋_GB2312" w:cs="宋体" w:hAnsiTheme="minorEastAsia"/>
          <w:b/>
          <w:color w:val="auto"/>
          <w:w w:val="90"/>
        </w:rPr>
        <w:t>.</w:t>
      </w:r>
    </w:p>
    <w:p>
      <w:pPr>
        <w:spacing w:line="360" w:lineRule="auto"/>
        <w:rPr>
          <w:rFonts w:ascii="仿宋_GB2312" w:eastAsia="仿宋_GB2312" w:cs="宋体" w:hAnsiTheme="minorEastAsia"/>
          <w:b/>
          <w:color w:val="auto"/>
          <w:sz w:val="28"/>
          <w:szCs w:val="28"/>
        </w:rPr>
      </w:pPr>
      <w:r>
        <w:rPr>
          <w:rFonts w:hint="eastAsia" w:ascii="仿宋_GB2312" w:eastAsia="仿宋_GB2312" w:cs="宋体" w:hAnsiTheme="minorEastAsia"/>
          <w:b/>
          <w:color w:val="auto"/>
          <w:sz w:val="28"/>
          <w:szCs w:val="28"/>
        </w:rPr>
        <w:t>商务条款和技术条款响应偏差表</w:t>
      </w:r>
    </w:p>
    <w:p>
      <w:pPr>
        <w:widowControl/>
        <w:rPr>
          <w:rFonts w:ascii="仿宋_GB2312" w:hAnsi="华文仿宋" w:eastAsia="仿宋_GB2312" w:cs="Times New Roman"/>
          <w:color w:val="auto"/>
        </w:rPr>
      </w:pPr>
      <w:r>
        <w:rPr>
          <w:rFonts w:hint="eastAsia" w:ascii="仿宋_GB2312" w:hAnsi="华文仿宋" w:eastAsia="仿宋_GB2312"/>
          <w:color w:val="auto"/>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序号</w:t>
            </w:r>
          </w:p>
        </w:tc>
        <w:tc>
          <w:tcPr>
            <w:tcW w:w="1418"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招标文件</w:t>
            </w:r>
          </w:p>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条目号</w:t>
            </w:r>
          </w:p>
        </w:tc>
        <w:tc>
          <w:tcPr>
            <w:tcW w:w="2410"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招标文件商务条款</w:t>
            </w:r>
          </w:p>
        </w:tc>
        <w:tc>
          <w:tcPr>
            <w:tcW w:w="2409"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投标文件商务条款</w:t>
            </w:r>
          </w:p>
        </w:tc>
        <w:tc>
          <w:tcPr>
            <w:tcW w:w="1910"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1</w:t>
            </w:r>
          </w:p>
        </w:tc>
        <w:tc>
          <w:tcPr>
            <w:tcW w:w="1418" w:type="dxa"/>
            <w:vAlign w:val="center"/>
          </w:tcPr>
          <w:p>
            <w:pPr>
              <w:rPr>
                <w:rFonts w:ascii="仿宋_GB2312" w:hAnsi="华文仿宋" w:eastAsia="仿宋_GB2312" w:cs="Times New Roman"/>
                <w:color w:val="auto"/>
                <w:sz w:val="21"/>
                <w:szCs w:val="21"/>
              </w:rPr>
            </w:pPr>
          </w:p>
        </w:tc>
        <w:tc>
          <w:tcPr>
            <w:tcW w:w="2410" w:type="dxa"/>
            <w:vAlign w:val="center"/>
          </w:tcPr>
          <w:p>
            <w:pPr>
              <w:rPr>
                <w:rFonts w:ascii="仿宋_GB2312" w:hAnsi="华文仿宋" w:eastAsia="仿宋_GB2312" w:cs="Times New Roman"/>
                <w:color w:val="auto"/>
                <w:sz w:val="21"/>
                <w:szCs w:val="21"/>
              </w:rPr>
            </w:pPr>
          </w:p>
        </w:tc>
        <w:tc>
          <w:tcPr>
            <w:tcW w:w="2409" w:type="dxa"/>
            <w:vAlign w:val="center"/>
          </w:tcPr>
          <w:p>
            <w:pPr>
              <w:rPr>
                <w:rFonts w:ascii="仿宋_GB2312" w:hAnsi="华文仿宋" w:eastAsia="仿宋_GB2312" w:cs="Times New Roman"/>
                <w:color w:val="auto"/>
                <w:sz w:val="21"/>
                <w:szCs w:val="21"/>
              </w:rPr>
            </w:pPr>
          </w:p>
        </w:tc>
        <w:tc>
          <w:tcPr>
            <w:tcW w:w="191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2</w:t>
            </w:r>
          </w:p>
        </w:tc>
        <w:tc>
          <w:tcPr>
            <w:tcW w:w="1418" w:type="dxa"/>
            <w:vAlign w:val="center"/>
          </w:tcPr>
          <w:p>
            <w:pPr>
              <w:rPr>
                <w:rFonts w:ascii="仿宋_GB2312" w:hAnsi="华文仿宋" w:eastAsia="仿宋_GB2312" w:cs="Times New Roman"/>
                <w:color w:val="auto"/>
                <w:sz w:val="21"/>
                <w:szCs w:val="21"/>
              </w:rPr>
            </w:pPr>
          </w:p>
        </w:tc>
        <w:tc>
          <w:tcPr>
            <w:tcW w:w="2410" w:type="dxa"/>
            <w:vAlign w:val="center"/>
          </w:tcPr>
          <w:p>
            <w:pPr>
              <w:rPr>
                <w:rFonts w:ascii="仿宋_GB2312" w:hAnsi="华文仿宋" w:eastAsia="仿宋_GB2312" w:cs="Times New Roman"/>
                <w:color w:val="auto"/>
                <w:sz w:val="21"/>
                <w:szCs w:val="21"/>
              </w:rPr>
            </w:pPr>
          </w:p>
        </w:tc>
        <w:tc>
          <w:tcPr>
            <w:tcW w:w="2409" w:type="dxa"/>
            <w:vAlign w:val="center"/>
          </w:tcPr>
          <w:p>
            <w:pPr>
              <w:rPr>
                <w:rFonts w:ascii="仿宋_GB2312" w:hAnsi="华文仿宋" w:eastAsia="仿宋_GB2312" w:cs="Times New Roman"/>
                <w:color w:val="auto"/>
                <w:sz w:val="21"/>
                <w:szCs w:val="21"/>
              </w:rPr>
            </w:pPr>
          </w:p>
        </w:tc>
        <w:tc>
          <w:tcPr>
            <w:tcW w:w="191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3</w:t>
            </w:r>
          </w:p>
        </w:tc>
        <w:tc>
          <w:tcPr>
            <w:tcW w:w="1418" w:type="dxa"/>
            <w:vAlign w:val="center"/>
          </w:tcPr>
          <w:p>
            <w:pPr>
              <w:rPr>
                <w:rFonts w:ascii="仿宋_GB2312" w:hAnsi="华文仿宋" w:eastAsia="仿宋_GB2312" w:cs="Times New Roman"/>
                <w:color w:val="auto"/>
                <w:sz w:val="21"/>
                <w:szCs w:val="21"/>
              </w:rPr>
            </w:pPr>
          </w:p>
        </w:tc>
        <w:tc>
          <w:tcPr>
            <w:tcW w:w="2410" w:type="dxa"/>
            <w:vAlign w:val="center"/>
          </w:tcPr>
          <w:p>
            <w:pPr>
              <w:rPr>
                <w:rFonts w:ascii="仿宋_GB2312" w:hAnsi="华文仿宋" w:eastAsia="仿宋_GB2312" w:cs="Times New Roman"/>
                <w:color w:val="auto"/>
                <w:sz w:val="21"/>
                <w:szCs w:val="21"/>
              </w:rPr>
            </w:pPr>
          </w:p>
        </w:tc>
        <w:tc>
          <w:tcPr>
            <w:tcW w:w="2409" w:type="dxa"/>
            <w:vAlign w:val="center"/>
          </w:tcPr>
          <w:p>
            <w:pPr>
              <w:rPr>
                <w:rFonts w:ascii="仿宋_GB2312" w:hAnsi="华文仿宋" w:eastAsia="仿宋_GB2312" w:cs="Times New Roman"/>
                <w:color w:val="auto"/>
                <w:sz w:val="21"/>
                <w:szCs w:val="21"/>
              </w:rPr>
            </w:pPr>
          </w:p>
        </w:tc>
        <w:tc>
          <w:tcPr>
            <w:tcW w:w="191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4</w:t>
            </w:r>
          </w:p>
        </w:tc>
        <w:tc>
          <w:tcPr>
            <w:tcW w:w="1418" w:type="dxa"/>
            <w:vAlign w:val="center"/>
          </w:tcPr>
          <w:p>
            <w:pPr>
              <w:rPr>
                <w:rFonts w:ascii="仿宋_GB2312" w:hAnsi="华文仿宋" w:eastAsia="仿宋_GB2312" w:cs="Times New Roman"/>
                <w:color w:val="auto"/>
                <w:sz w:val="21"/>
                <w:szCs w:val="21"/>
              </w:rPr>
            </w:pPr>
          </w:p>
        </w:tc>
        <w:tc>
          <w:tcPr>
            <w:tcW w:w="2410" w:type="dxa"/>
            <w:vAlign w:val="center"/>
          </w:tcPr>
          <w:p>
            <w:pPr>
              <w:rPr>
                <w:rFonts w:ascii="仿宋_GB2312" w:hAnsi="华文仿宋" w:eastAsia="仿宋_GB2312" w:cs="Times New Roman"/>
                <w:color w:val="auto"/>
                <w:sz w:val="21"/>
                <w:szCs w:val="21"/>
              </w:rPr>
            </w:pPr>
          </w:p>
        </w:tc>
        <w:tc>
          <w:tcPr>
            <w:tcW w:w="2409" w:type="dxa"/>
            <w:vAlign w:val="center"/>
          </w:tcPr>
          <w:p>
            <w:pPr>
              <w:rPr>
                <w:rFonts w:ascii="仿宋_GB2312" w:hAnsi="华文仿宋" w:eastAsia="仿宋_GB2312" w:cs="Times New Roman"/>
                <w:color w:val="auto"/>
                <w:sz w:val="21"/>
                <w:szCs w:val="21"/>
              </w:rPr>
            </w:pPr>
          </w:p>
        </w:tc>
        <w:tc>
          <w:tcPr>
            <w:tcW w:w="191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5</w:t>
            </w:r>
          </w:p>
        </w:tc>
        <w:tc>
          <w:tcPr>
            <w:tcW w:w="1418" w:type="dxa"/>
            <w:vAlign w:val="center"/>
          </w:tcPr>
          <w:p>
            <w:pPr>
              <w:rPr>
                <w:rFonts w:ascii="仿宋_GB2312" w:hAnsi="华文仿宋" w:eastAsia="仿宋_GB2312" w:cs="Times New Roman"/>
                <w:color w:val="auto"/>
                <w:sz w:val="21"/>
                <w:szCs w:val="21"/>
              </w:rPr>
            </w:pPr>
          </w:p>
        </w:tc>
        <w:tc>
          <w:tcPr>
            <w:tcW w:w="2410" w:type="dxa"/>
            <w:vAlign w:val="center"/>
          </w:tcPr>
          <w:p>
            <w:pPr>
              <w:rPr>
                <w:rFonts w:ascii="仿宋_GB2312" w:hAnsi="华文仿宋" w:eastAsia="仿宋_GB2312" w:cs="Times New Roman"/>
                <w:color w:val="auto"/>
                <w:sz w:val="21"/>
                <w:szCs w:val="21"/>
              </w:rPr>
            </w:pPr>
          </w:p>
        </w:tc>
        <w:tc>
          <w:tcPr>
            <w:tcW w:w="2409" w:type="dxa"/>
            <w:vAlign w:val="center"/>
          </w:tcPr>
          <w:p>
            <w:pPr>
              <w:rPr>
                <w:rFonts w:ascii="仿宋_GB2312" w:hAnsi="华文仿宋" w:eastAsia="仿宋_GB2312" w:cs="Times New Roman"/>
                <w:color w:val="auto"/>
                <w:sz w:val="21"/>
                <w:szCs w:val="21"/>
              </w:rPr>
            </w:pPr>
          </w:p>
        </w:tc>
        <w:tc>
          <w:tcPr>
            <w:tcW w:w="1910" w:type="dxa"/>
            <w:vAlign w:val="center"/>
          </w:tcPr>
          <w:p>
            <w:pPr>
              <w:rPr>
                <w:rFonts w:ascii="仿宋_GB2312" w:hAnsi="华文仿宋" w:eastAsia="仿宋_GB2312" w:cs="Times New Roman"/>
                <w:color w:val="auto"/>
                <w:sz w:val="21"/>
                <w:szCs w:val="21"/>
              </w:rPr>
            </w:pPr>
          </w:p>
        </w:tc>
      </w:tr>
    </w:tbl>
    <w:p>
      <w:pPr>
        <w:rPr>
          <w:rFonts w:ascii="仿宋_GB2312" w:hAnsi="华文仿宋" w:eastAsia="仿宋_GB2312"/>
          <w:color w:val="auto"/>
          <w:sz w:val="21"/>
          <w:szCs w:val="21"/>
        </w:rPr>
      </w:pPr>
    </w:p>
    <w:p>
      <w:pPr>
        <w:rPr>
          <w:rFonts w:ascii="仿宋_GB2312" w:hAnsi="华文仿宋" w:eastAsia="仿宋_GB2312" w:cs="Times New Roman"/>
          <w:color w:val="auto"/>
        </w:rPr>
      </w:pPr>
      <w:r>
        <w:rPr>
          <w:rFonts w:hint="eastAsia" w:ascii="仿宋_GB2312" w:hAnsi="华文仿宋" w:eastAsia="仿宋_GB2312"/>
          <w:color w:val="auto"/>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序号</w:t>
            </w:r>
          </w:p>
        </w:tc>
        <w:tc>
          <w:tcPr>
            <w:tcW w:w="1419" w:type="dxa"/>
            <w:tcBorders>
              <w:top w:val="double" w:color="000000" w:sz="6" w:space="0"/>
            </w:tcBorders>
            <w:vAlign w:val="center"/>
          </w:tcPr>
          <w:p>
            <w:pPr>
              <w:ind w:firstLine="16" w:firstLineChars="8"/>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招标文件条目号</w:t>
            </w:r>
          </w:p>
        </w:tc>
        <w:tc>
          <w:tcPr>
            <w:tcW w:w="1996" w:type="dxa"/>
            <w:tcBorders>
              <w:top w:val="double" w:color="000000" w:sz="6" w:space="0"/>
            </w:tcBorders>
            <w:vAlign w:val="center"/>
          </w:tcPr>
          <w:p>
            <w:pPr>
              <w:ind w:firstLine="16" w:firstLineChars="8"/>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招标文件技术条款</w:t>
            </w:r>
          </w:p>
        </w:tc>
        <w:tc>
          <w:tcPr>
            <w:tcW w:w="2100"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投标文件技术条款</w:t>
            </w:r>
          </w:p>
        </w:tc>
        <w:tc>
          <w:tcPr>
            <w:tcW w:w="1540" w:type="dxa"/>
            <w:tcBorders>
              <w:top w:val="double" w:color="000000" w:sz="6" w:space="0"/>
            </w:tcBorders>
            <w:vAlign w:val="center"/>
          </w:tcPr>
          <w:p>
            <w:pPr>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偏离</w:t>
            </w:r>
          </w:p>
        </w:tc>
        <w:tc>
          <w:tcPr>
            <w:tcW w:w="1120" w:type="dxa"/>
            <w:tcBorders>
              <w:top w:val="double" w:color="000000" w:sz="6" w:space="0"/>
            </w:tcBorders>
            <w:vAlign w:val="center"/>
          </w:tcPr>
          <w:p>
            <w:pPr>
              <w:ind w:firstLine="25" w:firstLineChars="12"/>
              <w:rPr>
                <w:rFonts w:ascii="仿宋_GB2312" w:hAnsi="华文仿宋" w:eastAsia="仿宋_GB2312" w:cs="Times New Roman"/>
                <w:color w:val="auto"/>
                <w:sz w:val="21"/>
                <w:szCs w:val="21"/>
              </w:rPr>
            </w:pPr>
            <w:r>
              <w:rPr>
                <w:rFonts w:hint="eastAsia" w:ascii="仿宋_GB2312" w:hAnsi="华文仿宋" w:eastAsia="仿宋_GB2312"/>
                <w:color w:val="auto"/>
                <w:sz w:val="21"/>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1</w:t>
            </w:r>
          </w:p>
        </w:tc>
        <w:tc>
          <w:tcPr>
            <w:tcW w:w="1419" w:type="dxa"/>
            <w:vAlign w:val="center"/>
          </w:tcPr>
          <w:p>
            <w:pPr>
              <w:rPr>
                <w:rFonts w:ascii="仿宋_GB2312" w:hAnsi="华文仿宋" w:eastAsia="仿宋_GB2312" w:cs="Times New Roman"/>
                <w:color w:val="auto"/>
                <w:sz w:val="21"/>
                <w:szCs w:val="21"/>
              </w:rPr>
            </w:pPr>
          </w:p>
        </w:tc>
        <w:tc>
          <w:tcPr>
            <w:tcW w:w="1996" w:type="dxa"/>
            <w:vAlign w:val="center"/>
          </w:tcPr>
          <w:p>
            <w:pPr>
              <w:rPr>
                <w:rFonts w:ascii="仿宋_GB2312" w:hAnsi="华文仿宋" w:eastAsia="仿宋_GB2312" w:cs="Times New Roman"/>
                <w:color w:val="auto"/>
                <w:sz w:val="21"/>
                <w:szCs w:val="21"/>
              </w:rPr>
            </w:pPr>
          </w:p>
        </w:tc>
        <w:tc>
          <w:tcPr>
            <w:tcW w:w="2100" w:type="dxa"/>
            <w:vAlign w:val="center"/>
          </w:tcPr>
          <w:p>
            <w:pPr>
              <w:rPr>
                <w:rFonts w:ascii="仿宋_GB2312" w:hAnsi="华文仿宋" w:eastAsia="仿宋_GB2312" w:cs="Times New Roman"/>
                <w:color w:val="auto"/>
                <w:sz w:val="21"/>
                <w:szCs w:val="21"/>
              </w:rPr>
            </w:pPr>
          </w:p>
        </w:tc>
        <w:tc>
          <w:tcPr>
            <w:tcW w:w="1540" w:type="dxa"/>
            <w:vAlign w:val="center"/>
          </w:tcPr>
          <w:p>
            <w:pPr>
              <w:rPr>
                <w:rFonts w:ascii="仿宋_GB2312" w:hAnsi="华文仿宋" w:eastAsia="仿宋_GB2312" w:cs="Times New Roman"/>
                <w:color w:val="auto"/>
                <w:sz w:val="21"/>
                <w:szCs w:val="21"/>
              </w:rPr>
            </w:pPr>
          </w:p>
        </w:tc>
        <w:tc>
          <w:tcPr>
            <w:tcW w:w="112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2</w:t>
            </w:r>
          </w:p>
        </w:tc>
        <w:tc>
          <w:tcPr>
            <w:tcW w:w="1419" w:type="dxa"/>
            <w:vAlign w:val="center"/>
          </w:tcPr>
          <w:p>
            <w:pPr>
              <w:rPr>
                <w:rFonts w:ascii="仿宋_GB2312" w:hAnsi="华文仿宋" w:eastAsia="仿宋_GB2312" w:cs="Times New Roman"/>
                <w:color w:val="auto"/>
                <w:sz w:val="21"/>
                <w:szCs w:val="21"/>
              </w:rPr>
            </w:pPr>
          </w:p>
        </w:tc>
        <w:tc>
          <w:tcPr>
            <w:tcW w:w="1996" w:type="dxa"/>
            <w:vAlign w:val="center"/>
          </w:tcPr>
          <w:p>
            <w:pPr>
              <w:rPr>
                <w:rFonts w:ascii="仿宋_GB2312" w:hAnsi="华文仿宋" w:eastAsia="仿宋_GB2312" w:cs="Times New Roman"/>
                <w:color w:val="auto"/>
                <w:sz w:val="21"/>
                <w:szCs w:val="21"/>
              </w:rPr>
            </w:pPr>
          </w:p>
        </w:tc>
        <w:tc>
          <w:tcPr>
            <w:tcW w:w="2100" w:type="dxa"/>
            <w:vAlign w:val="center"/>
          </w:tcPr>
          <w:p>
            <w:pPr>
              <w:rPr>
                <w:rFonts w:ascii="仿宋_GB2312" w:hAnsi="华文仿宋" w:eastAsia="仿宋_GB2312" w:cs="Times New Roman"/>
                <w:color w:val="auto"/>
                <w:sz w:val="21"/>
                <w:szCs w:val="21"/>
              </w:rPr>
            </w:pPr>
          </w:p>
        </w:tc>
        <w:tc>
          <w:tcPr>
            <w:tcW w:w="1540" w:type="dxa"/>
            <w:vAlign w:val="center"/>
          </w:tcPr>
          <w:p>
            <w:pPr>
              <w:rPr>
                <w:rFonts w:ascii="仿宋_GB2312" w:hAnsi="华文仿宋" w:eastAsia="仿宋_GB2312" w:cs="Times New Roman"/>
                <w:color w:val="auto"/>
                <w:sz w:val="21"/>
                <w:szCs w:val="21"/>
              </w:rPr>
            </w:pPr>
          </w:p>
        </w:tc>
        <w:tc>
          <w:tcPr>
            <w:tcW w:w="112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3</w:t>
            </w:r>
          </w:p>
        </w:tc>
        <w:tc>
          <w:tcPr>
            <w:tcW w:w="1419" w:type="dxa"/>
            <w:vAlign w:val="center"/>
          </w:tcPr>
          <w:p>
            <w:pPr>
              <w:rPr>
                <w:rFonts w:ascii="仿宋_GB2312" w:hAnsi="华文仿宋" w:eastAsia="仿宋_GB2312" w:cs="Times New Roman"/>
                <w:color w:val="auto"/>
                <w:sz w:val="21"/>
                <w:szCs w:val="21"/>
              </w:rPr>
            </w:pPr>
          </w:p>
        </w:tc>
        <w:tc>
          <w:tcPr>
            <w:tcW w:w="1996" w:type="dxa"/>
            <w:vAlign w:val="center"/>
          </w:tcPr>
          <w:p>
            <w:pPr>
              <w:rPr>
                <w:rFonts w:ascii="仿宋_GB2312" w:hAnsi="华文仿宋" w:eastAsia="仿宋_GB2312" w:cs="Times New Roman"/>
                <w:color w:val="auto"/>
                <w:sz w:val="21"/>
                <w:szCs w:val="21"/>
              </w:rPr>
            </w:pPr>
          </w:p>
        </w:tc>
        <w:tc>
          <w:tcPr>
            <w:tcW w:w="2100" w:type="dxa"/>
            <w:vAlign w:val="center"/>
          </w:tcPr>
          <w:p>
            <w:pPr>
              <w:rPr>
                <w:rFonts w:ascii="仿宋_GB2312" w:hAnsi="华文仿宋" w:eastAsia="仿宋_GB2312" w:cs="Times New Roman"/>
                <w:color w:val="auto"/>
                <w:sz w:val="21"/>
                <w:szCs w:val="21"/>
              </w:rPr>
            </w:pPr>
          </w:p>
        </w:tc>
        <w:tc>
          <w:tcPr>
            <w:tcW w:w="1540" w:type="dxa"/>
            <w:vAlign w:val="center"/>
          </w:tcPr>
          <w:p>
            <w:pPr>
              <w:rPr>
                <w:rFonts w:ascii="仿宋_GB2312" w:hAnsi="华文仿宋" w:eastAsia="仿宋_GB2312" w:cs="Times New Roman"/>
                <w:color w:val="auto"/>
                <w:sz w:val="21"/>
                <w:szCs w:val="21"/>
              </w:rPr>
            </w:pPr>
          </w:p>
        </w:tc>
        <w:tc>
          <w:tcPr>
            <w:tcW w:w="112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4</w:t>
            </w:r>
          </w:p>
        </w:tc>
        <w:tc>
          <w:tcPr>
            <w:tcW w:w="1419" w:type="dxa"/>
            <w:vAlign w:val="center"/>
          </w:tcPr>
          <w:p>
            <w:pPr>
              <w:rPr>
                <w:rFonts w:ascii="仿宋_GB2312" w:hAnsi="华文仿宋" w:eastAsia="仿宋_GB2312" w:cs="Times New Roman"/>
                <w:color w:val="auto"/>
                <w:sz w:val="21"/>
                <w:szCs w:val="21"/>
              </w:rPr>
            </w:pPr>
          </w:p>
        </w:tc>
        <w:tc>
          <w:tcPr>
            <w:tcW w:w="1996" w:type="dxa"/>
            <w:vAlign w:val="center"/>
          </w:tcPr>
          <w:p>
            <w:pPr>
              <w:rPr>
                <w:rFonts w:ascii="仿宋_GB2312" w:hAnsi="华文仿宋" w:eastAsia="仿宋_GB2312" w:cs="Times New Roman"/>
                <w:color w:val="auto"/>
                <w:sz w:val="21"/>
                <w:szCs w:val="21"/>
              </w:rPr>
            </w:pPr>
          </w:p>
        </w:tc>
        <w:tc>
          <w:tcPr>
            <w:tcW w:w="2100" w:type="dxa"/>
            <w:vAlign w:val="center"/>
          </w:tcPr>
          <w:p>
            <w:pPr>
              <w:rPr>
                <w:rFonts w:ascii="仿宋_GB2312" w:hAnsi="华文仿宋" w:eastAsia="仿宋_GB2312" w:cs="Times New Roman"/>
                <w:color w:val="auto"/>
                <w:sz w:val="21"/>
                <w:szCs w:val="21"/>
              </w:rPr>
            </w:pPr>
          </w:p>
        </w:tc>
        <w:tc>
          <w:tcPr>
            <w:tcW w:w="1540" w:type="dxa"/>
            <w:vAlign w:val="center"/>
          </w:tcPr>
          <w:p>
            <w:pPr>
              <w:rPr>
                <w:rFonts w:ascii="仿宋_GB2312" w:hAnsi="华文仿宋" w:eastAsia="仿宋_GB2312" w:cs="Times New Roman"/>
                <w:color w:val="auto"/>
                <w:sz w:val="21"/>
                <w:szCs w:val="21"/>
              </w:rPr>
            </w:pPr>
          </w:p>
        </w:tc>
        <w:tc>
          <w:tcPr>
            <w:tcW w:w="1120" w:type="dxa"/>
            <w:vAlign w:val="center"/>
          </w:tcPr>
          <w:p>
            <w:pPr>
              <w:rPr>
                <w:rFonts w:ascii="仿宋_GB2312" w:hAnsi="华文仿宋" w:eastAsia="仿宋_GB2312" w:cs="Times New Roman"/>
                <w:color w:val="auto"/>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rPr>
                <w:rFonts w:ascii="仿宋_GB2312" w:hAnsi="华文仿宋" w:eastAsia="仿宋_GB2312" w:cs="Times New Roman"/>
                <w:color w:val="auto"/>
                <w:sz w:val="21"/>
                <w:szCs w:val="21"/>
              </w:rPr>
            </w:pPr>
            <w:r>
              <w:rPr>
                <w:rFonts w:hint="eastAsia" w:ascii="仿宋_GB2312" w:hAnsi="华文仿宋" w:eastAsia="仿宋_GB2312" w:cs="Times New Roman"/>
                <w:color w:val="auto"/>
                <w:sz w:val="21"/>
                <w:szCs w:val="21"/>
              </w:rPr>
              <w:t>5</w:t>
            </w:r>
          </w:p>
        </w:tc>
        <w:tc>
          <w:tcPr>
            <w:tcW w:w="1419" w:type="dxa"/>
            <w:vAlign w:val="center"/>
          </w:tcPr>
          <w:p>
            <w:pPr>
              <w:rPr>
                <w:rFonts w:ascii="仿宋_GB2312" w:hAnsi="华文仿宋" w:eastAsia="仿宋_GB2312" w:cs="Times New Roman"/>
                <w:color w:val="auto"/>
                <w:sz w:val="21"/>
                <w:szCs w:val="21"/>
              </w:rPr>
            </w:pPr>
          </w:p>
        </w:tc>
        <w:tc>
          <w:tcPr>
            <w:tcW w:w="1996" w:type="dxa"/>
            <w:vAlign w:val="center"/>
          </w:tcPr>
          <w:p>
            <w:pPr>
              <w:rPr>
                <w:rFonts w:ascii="仿宋_GB2312" w:hAnsi="华文仿宋" w:eastAsia="仿宋_GB2312" w:cs="Times New Roman"/>
                <w:color w:val="auto"/>
                <w:sz w:val="21"/>
                <w:szCs w:val="21"/>
              </w:rPr>
            </w:pPr>
          </w:p>
        </w:tc>
        <w:tc>
          <w:tcPr>
            <w:tcW w:w="2100" w:type="dxa"/>
            <w:vAlign w:val="center"/>
          </w:tcPr>
          <w:p>
            <w:pPr>
              <w:rPr>
                <w:rFonts w:ascii="仿宋_GB2312" w:hAnsi="华文仿宋" w:eastAsia="仿宋_GB2312" w:cs="Times New Roman"/>
                <w:color w:val="auto"/>
                <w:sz w:val="21"/>
                <w:szCs w:val="21"/>
              </w:rPr>
            </w:pPr>
          </w:p>
        </w:tc>
        <w:tc>
          <w:tcPr>
            <w:tcW w:w="1540" w:type="dxa"/>
            <w:vAlign w:val="center"/>
          </w:tcPr>
          <w:p>
            <w:pPr>
              <w:rPr>
                <w:rFonts w:ascii="仿宋_GB2312" w:hAnsi="华文仿宋" w:eastAsia="仿宋_GB2312" w:cs="Times New Roman"/>
                <w:color w:val="auto"/>
                <w:sz w:val="21"/>
                <w:szCs w:val="21"/>
              </w:rPr>
            </w:pPr>
          </w:p>
        </w:tc>
        <w:tc>
          <w:tcPr>
            <w:tcW w:w="1120" w:type="dxa"/>
            <w:vAlign w:val="center"/>
          </w:tcPr>
          <w:p>
            <w:pPr>
              <w:rPr>
                <w:rFonts w:ascii="仿宋_GB2312" w:hAnsi="华文仿宋" w:eastAsia="仿宋_GB2312" w:cs="Times New Roman"/>
                <w:color w:val="auto"/>
                <w:sz w:val="21"/>
                <w:szCs w:val="21"/>
              </w:rPr>
            </w:pPr>
          </w:p>
        </w:tc>
      </w:tr>
    </w:tbl>
    <w:p>
      <w:pPr>
        <w:spacing w:line="360" w:lineRule="auto"/>
        <w:rPr>
          <w:rFonts w:ascii="仿宋_GB2312" w:eastAsia="仿宋_GB2312" w:cs="宋体" w:hAnsiTheme="minorEastAsia"/>
          <w:b/>
          <w:color w:val="auto"/>
          <w:w w:val="90"/>
        </w:rPr>
      </w:pP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附生产厂家资质证明文件</w:t>
      </w:r>
    </w:p>
    <w:p>
      <w:pPr>
        <w:widowControl/>
        <w:rPr>
          <w:rFonts w:ascii="仿宋_GB2312" w:eastAsia="仿宋_GB2312" w:cs="宋体" w:hAnsiTheme="minorEastAsia"/>
          <w:b/>
          <w:color w:val="auto"/>
          <w:w w:val="90"/>
        </w:rPr>
      </w:pPr>
      <w:r>
        <w:rPr>
          <w:rFonts w:ascii="仿宋_GB2312" w:eastAsia="仿宋_GB2312" w:cs="宋体" w:hAnsiTheme="minorEastAsia"/>
          <w:b/>
          <w:color w:val="auto"/>
          <w:w w:val="90"/>
        </w:rPr>
        <w:br w:type="page"/>
      </w:r>
    </w:p>
    <w:p>
      <w:pPr>
        <w:spacing w:line="360" w:lineRule="auto"/>
        <w:rPr>
          <w:rFonts w:ascii="仿宋_GB2312" w:eastAsia="仿宋_GB2312" w:cs="宋体" w:hAnsiTheme="minorEastAsia"/>
          <w:b/>
          <w:color w:val="auto"/>
          <w:w w:val="90"/>
        </w:rPr>
      </w:pPr>
      <w:r>
        <w:rPr>
          <w:rFonts w:hint="eastAsia" w:ascii="仿宋_GB2312" w:eastAsia="仿宋_GB2312" w:cs="宋体" w:hAnsiTheme="minorEastAsia"/>
          <w:b/>
          <w:color w:val="auto"/>
          <w:w w:val="90"/>
        </w:rPr>
        <w:t>7</w:t>
      </w:r>
      <w:r>
        <w:rPr>
          <w:rFonts w:ascii="仿宋_GB2312" w:eastAsia="仿宋_GB2312" w:cs="宋体" w:hAnsiTheme="minorEastAsia"/>
          <w:b/>
          <w:color w:val="auto"/>
          <w:w w:val="90"/>
        </w:rPr>
        <w:t>.</w:t>
      </w:r>
    </w:p>
    <w:p>
      <w:pPr>
        <w:spacing w:line="360" w:lineRule="auto"/>
        <w:rPr>
          <w:rFonts w:ascii="仿宋_GB2312" w:eastAsia="仿宋_GB2312" w:cs="宋体" w:hAnsiTheme="minorEastAsia"/>
          <w:b/>
          <w:color w:val="auto"/>
          <w:sz w:val="28"/>
          <w:szCs w:val="28"/>
        </w:rPr>
      </w:pPr>
      <w:r>
        <w:rPr>
          <w:rFonts w:hint="eastAsia" w:ascii="仿宋_GB2312" w:eastAsia="仿宋_GB2312" w:cs="宋体" w:hAnsiTheme="minorEastAsia"/>
          <w:b/>
          <w:color w:val="auto"/>
          <w:sz w:val="28"/>
          <w:szCs w:val="28"/>
        </w:rPr>
        <w:t>其他资格证明文件</w:t>
      </w:r>
    </w:p>
    <w:p>
      <w:pPr>
        <w:spacing w:before="312" w:beforeLines="100" w:after="156" w:afterLines="50" w:line="400" w:lineRule="exact"/>
        <w:ind w:firstLine="422" w:firstLineChars="200"/>
        <w:rPr>
          <w:rFonts w:ascii="仿宋_GB2312" w:hAnsi="华文仿宋" w:eastAsia="仿宋_GB2312"/>
          <w:b/>
          <w:color w:val="auto"/>
          <w:sz w:val="21"/>
          <w:szCs w:val="21"/>
        </w:rPr>
      </w:pPr>
      <w:r>
        <w:rPr>
          <w:rFonts w:hint="eastAsia" w:ascii="仿宋_GB2312" w:hAnsi="华文仿宋" w:eastAsia="仿宋_GB2312"/>
          <w:b/>
          <w:color w:val="auto"/>
          <w:sz w:val="21"/>
          <w:szCs w:val="21"/>
        </w:rPr>
        <w:t>商务部分</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1.</w:t>
      </w:r>
      <w:r>
        <w:rPr>
          <w:rFonts w:hint="eastAsia" w:ascii="仿宋_GB2312" w:eastAsia="仿宋_GB2312" w:hAnsiTheme="minorEastAsia"/>
          <w:color w:val="auto"/>
          <w:sz w:val="21"/>
          <w:szCs w:val="21"/>
        </w:rPr>
        <w:t>中华人民共和国企业法人营业执照、税务登记证、组织机构代码证；</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2.</w:t>
      </w:r>
      <w:r>
        <w:rPr>
          <w:rFonts w:hint="eastAsia" w:ascii="仿宋_GB2312" w:eastAsia="仿宋_GB2312" w:hAnsiTheme="minorEastAsia"/>
          <w:color w:val="auto"/>
          <w:sz w:val="21"/>
          <w:szCs w:val="21"/>
        </w:rPr>
        <w:t>中华人民共和国中外合资经营企业批准证书（仅对中外合资经营企业）；</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3.</w:t>
      </w:r>
      <w:r>
        <w:rPr>
          <w:rFonts w:hint="eastAsia" w:ascii="仿宋_GB2312" w:eastAsia="仿宋_GB2312" w:hAnsiTheme="minorEastAsia"/>
          <w:color w:val="auto"/>
          <w:sz w:val="21"/>
          <w:szCs w:val="21"/>
        </w:rPr>
        <w:t xml:space="preserve">产品生产许可证或销售许可证；   </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4.</w:t>
      </w:r>
      <w:r>
        <w:rPr>
          <w:rFonts w:hint="eastAsia" w:ascii="仿宋_GB2312" w:eastAsia="仿宋_GB2312" w:hAnsiTheme="minorEastAsia"/>
          <w:color w:val="auto"/>
          <w:sz w:val="21"/>
          <w:szCs w:val="21"/>
        </w:rPr>
        <w:t>产品鉴定证书和检测报告；</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5.</w:t>
      </w:r>
      <w:r>
        <w:rPr>
          <w:rFonts w:hint="eastAsia" w:ascii="仿宋_GB2312" w:eastAsia="仿宋_GB2312" w:hAnsiTheme="minorEastAsia"/>
          <w:color w:val="auto"/>
          <w:sz w:val="21"/>
          <w:szCs w:val="21"/>
        </w:rPr>
        <w:t>企业ISO9000和ISO14000证书；</w:t>
      </w:r>
    </w:p>
    <w:p>
      <w:pPr>
        <w:adjustRightInd w:val="0"/>
        <w:snapToGrid w:val="0"/>
        <w:spacing w:line="400" w:lineRule="exact"/>
        <w:ind w:firstLine="420" w:firstLineChars="200"/>
        <w:textAlignment w:val="baseline"/>
        <w:rPr>
          <w:rFonts w:hint="eastAsia" w:ascii="仿宋_GB2312" w:eastAsia="仿宋_GB2312" w:hAnsiTheme="minorEastAsia"/>
          <w:color w:val="auto"/>
          <w:sz w:val="21"/>
          <w:szCs w:val="21"/>
        </w:rPr>
      </w:pPr>
      <w:r>
        <w:rPr>
          <w:rFonts w:ascii="仿宋_GB2312" w:eastAsia="仿宋_GB2312" w:hAnsiTheme="minorEastAsia"/>
          <w:color w:val="auto"/>
          <w:sz w:val="21"/>
          <w:szCs w:val="21"/>
        </w:rPr>
        <w:t>6.</w:t>
      </w:r>
      <w:r>
        <w:rPr>
          <w:rFonts w:hint="eastAsia" w:ascii="仿宋_GB2312" w:eastAsia="仿宋_GB2312" w:hAnsiTheme="minorEastAsia"/>
          <w:color w:val="auto"/>
          <w:sz w:val="21"/>
          <w:szCs w:val="21"/>
        </w:rPr>
        <w:t>增值税一般纳税人资格登记表；</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bookmarkStart w:id="78" w:name="_GoBack"/>
      <w:bookmarkEnd w:id="78"/>
      <w:r>
        <w:rPr>
          <w:rFonts w:ascii="仿宋_GB2312" w:eastAsia="仿宋_GB2312" w:hAnsiTheme="minorEastAsia"/>
          <w:color w:val="auto"/>
          <w:sz w:val="21"/>
          <w:szCs w:val="21"/>
        </w:rPr>
        <w:t>7.</w:t>
      </w:r>
      <w:r>
        <w:rPr>
          <w:rFonts w:hint="eastAsia" w:ascii="仿宋_GB2312" w:eastAsia="仿宋_GB2312" w:hAnsiTheme="minorEastAsia"/>
          <w:color w:val="auto"/>
          <w:sz w:val="21"/>
          <w:szCs w:val="21"/>
        </w:rPr>
        <w:t>近三年内是否有被责令停业</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暂停投标期限</w:t>
      </w:r>
      <w:r>
        <w:rPr>
          <w:rFonts w:hint="eastAsia" w:ascii="宋体" w:hAnsi="宋体" w:eastAsia="宋体" w:cs="宋体"/>
          <w:color w:val="auto"/>
          <w:sz w:val="21"/>
          <w:szCs w:val="21"/>
        </w:rPr>
        <w:t>，</w:t>
      </w:r>
      <w:r>
        <w:rPr>
          <w:rFonts w:hint="eastAsia" w:ascii="仿宋_GB2312" w:eastAsia="仿宋_GB2312" w:hAnsiTheme="minorEastAsia"/>
          <w:color w:val="auto"/>
          <w:sz w:val="21"/>
          <w:szCs w:val="21"/>
        </w:rPr>
        <w:t>财产被接管、冻结，破产状态等情况（附录</w:t>
      </w:r>
      <w:r>
        <w:rPr>
          <w:rFonts w:ascii="仿宋_GB2312" w:eastAsia="仿宋_GB2312" w:hAnsiTheme="minorEastAsia"/>
          <w:color w:val="auto"/>
          <w:sz w:val="21"/>
          <w:szCs w:val="21"/>
        </w:rPr>
        <w:t>12</w:t>
      </w:r>
      <w:r>
        <w:rPr>
          <w:rFonts w:hint="eastAsia" w:ascii="仿宋_GB2312" w:eastAsia="仿宋_GB2312" w:hAnsiTheme="minorEastAsia"/>
          <w:color w:val="auto"/>
          <w:sz w:val="21"/>
          <w:szCs w:val="21"/>
        </w:rPr>
        <w:t>）；</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ascii="仿宋_GB2312" w:eastAsia="仿宋_GB2312" w:hAnsiTheme="minorEastAsia"/>
          <w:color w:val="auto"/>
          <w:sz w:val="21"/>
          <w:szCs w:val="21"/>
        </w:rPr>
        <w:t>8.</w:t>
      </w:r>
      <w:r>
        <w:rPr>
          <w:rFonts w:hint="eastAsia" w:ascii="仿宋_GB2312" w:eastAsia="仿宋_GB2312" w:hAnsiTheme="minorEastAsia"/>
          <w:color w:val="auto"/>
          <w:sz w:val="21"/>
          <w:szCs w:val="21"/>
        </w:rPr>
        <w:t>业绩证明资料（近三年的类似工程施工合同复印件，提供原件备查）；</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hint="eastAsia" w:ascii="仿宋_GB2312" w:eastAsia="仿宋_GB2312" w:hAnsiTheme="minorEastAsia"/>
          <w:color w:val="auto"/>
          <w:sz w:val="21"/>
          <w:szCs w:val="21"/>
        </w:rPr>
        <w:t>9.劳动保护用品资料；</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hint="eastAsia" w:ascii="仿宋_GB2312" w:eastAsia="仿宋_GB2312" w:hAnsiTheme="minorEastAsia"/>
          <w:color w:val="auto"/>
          <w:sz w:val="21"/>
          <w:szCs w:val="21"/>
        </w:rPr>
        <w:t>10.易燃易爆化学危险品资料；</w:t>
      </w:r>
    </w:p>
    <w:p>
      <w:pPr>
        <w:adjustRightInd w:val="0"/>
        <w:snapToGrid w:val="0"/>
        <w:spacing w:line="400" w:lineRule="exact"/>
        <w:ind w:firstLine="420" w:firstLineChars="200"/>
        <w:textAlignment w:val="baseline"/>
        <w:rPr>
          <w:rFonts w:ascii="仿宋_GB2312" w:eastAsia="仿宋_GB2312" w:hAnsiTheme="minorEastAsia"/>
          <w:color w:val="auto"/>
          <w:sz w:val="21"/>
          <w:szCs w:val="21"/>
        </w:rPr>
      </w:pPr>
      <w:r>
        <w:rPr>
          <w:rFonts w:hint="eastAsia" w:ascii="仿宋_GB2312" w:eastAsia="仿宋_GB2312" w:hAnsiTheme="minorEastAsia"/>
          <w:color w:val="auto"/>
          <w:sz w:val="21"/>
          <w:szCs w:val="21"/>
        </w:rPr>
        <w:t>11</w:t>
      </w:r>
      <w:r>
        <w:rPr>
          <w:rFonts w:ascii="仿宋_GB2312" w:eastAsia="仿宋_GB2312" w:hAnsiTheme="minorEastAsia"/>
          <w:color w:val="auto"/>
          <w:sz w:val="21"/>
          <w:szCs w:val="21"/>
        </w:rPr>
        <w:t>.</w:t>
      </w:r>
      <w:r>
        <w:rPr>
          <w:rFonts w:hint="eastAsia" w:ascii="仿宋_GB2312" w:eastAsia="仿宋_GB2312" w:hAnsiTheme="minorEastAsia"/>
          <w:color w:val="auto"/>
          <w:sz w:val="21"/>
          <w:szCs w:val="21"/>
        </w:rPr>
        <w:t>投标人认为必要的其它文件和资料。</w:t>
      </w:r>
    </w:p>
    <w:p>
      <w:pPr>
        <w:spacing w:before="312" w:beforeLines="100" w:after="156" w:afterLines="50" w:line="400" w:lineRule="exact"/>
        <w:ind w:firstLine="422" w:firstLineChars="200"/>
        <w:rPr>
          <w:rFonts w:ascii="仿宋_GB2312" w:hAnsi="华文仿宋" w:eastAsia="仿宋_GB2312"/>
          <w:b/>
          <w:color w:val="auto"/>
          <w:sz w:val="21"/>
          <w:szCs w:val="21"/>
        </w:rPr>
      </w:pPr>
      <w:r>
        <w:rPr>
          <w:rFonts w:hint="eastAsia" w:ascii="仿宋_GB2312" w:hAnsi="华文仿宋" w:eastAsia="仿宋_GB2312"/>
          <w:b/>
          <w:color w:val="auto"/>
          <w:sz w:val="21"/>
          <w:szCs w:val="21"/>
        </w:rPr>
        <w:t>技术部分</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1</w:t>
      </w:r>
      <w:r>
        <w:rPr>
          <w:rFonts w:hint="eastAsia" w:ascii="仿宋_GB2312" w:eastAsia="仿宋_GB2312" w:hAnsiTheme="minorEastAsia"/>
          <w:color w:val="auto"/>
          <w:sz w:val="21"/>
          <w:szCs w:val="21"/>
        </w:rPr>
        <w:t>投标人所供应运输车辆的</w:t>
      </w:r>
      <w:r>
        <w:rPr>
          <w:rFonts w:hint="eastAsia" w:ascii="仿宋_GB2312" w:hAnsi="华文仿宋" w:eastAsia="仿宋_GB2312"/>
          <w:color w:val="auto"/>
          <w:sz w:val="21"/>
          <w:szCs w:val="21"/>
        </w:rPr>
        <w:t>性能指标及采用标准；</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2</w:t>
      </w:r>
      <w:r>
        <w:rPr>
          <w:rFonts w:hint="eastAsia" w:ascii="仿宋_GB2312" w:hAnsi="华文仿宋" w:eastAsia="仿宋_GB2312"/>
          <w:color w:val="auto"/>
          <w:sz w:val="21"/>
          <w:szCs w:val="21"/>
        </w:rPr>
        <w:t>投标运输服务的质量保证措施；</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3</w:t>
      </w:r>
      <w:r>
        <w:rPr>
          <w:rFonts w:hint="eastAsia" w:ascii="仿宋_GB2312" w:hAnsi="华文仿宋" w:eastAsia="仿宋_GB2312"/>
          <w:color w:val="auto"/>
          <w:sz w:val="21"/>
          <w:szCs w:val="21"/>
        </w:rPr>
        <w:t>详细具体的组织供运输、技术服务方案。要求根据本项目施工特点以及所处的地理位置、环境、气候、交通和工期等情况，编制切实可行的方案，并提供应急预案；</w:t>
      </w:r>
    </w:p>
    <w:p>
      <w:pPr>
        <w:spacing w:line="400" w:lineRule="exact"/>
        <w:ind w:firstLine="420" w:firstLineChars="200"/>
        <w:outlineLvl w:val="2"/>
        <w:rPr>
          <w:rFonts w:ascii="仿宋_GB2312" w:hAnsi="华文仿宋" w:eastAsia="仿宋_GB2312" w:cs="Times New Roman"/>
          <w:color w:val="auto"/>
          <w:sz w:val="21"/>
          <w:szCs w:val="21"/>
        </w:rPr>
      </w:pPr>
      <w:r>
        <w:rPr>
          <w:rFonts w:ascii="仿宋_GB2312" w:hAnsi="华文仿宋" w:eastAsia="仿宋_GB2312"/>
          <w:color w:val="auto"/>
          <w:sz w:val="21"/>
          <w:szCs w:val="21"/>
        </w:rPr>
        <w:t>4</w:t>
      </w:r>
      <w:r>
        <w:rPr>
          <w:rFonts w:hint="eastAsia" w:ascii="仿宋_GB2312" w:hAnsi="华文仿宋" w:eastAsia="仿宋_GB2312"/>
          <w:color w:val="auto"/>
          <w:sz w:val="21"/>
          <w:szCs w:val="21"/>
        </w:rPr>
        <w:t>投标人须提供售后服务承诺；</w:t>
      </w:r>
    </w:p>
    <w:p>
      <w:pPr>
        <w:spacing w:line="400" w:lineRule="exact"/>
        <w:ind w:firstLine="420" w:firstLineChars="200"/>
        <w:outlineLvl w:val="2"/>
        <w:rPr>
          <w:rFonts w:ascii="仿宋_GB2312" w:hAnsi="华文仿宋" w:eastAsia="仿宋_GB2312"/>
          <w:color w:val="auto"/>
          <w:sz w:val="21"/>
          <w:szCs w:val="21"/>
        </w:rPr>
      </w:pPr>
      <w:r>
        <w:rPr>
          <w:rFonts w:ascii="仿宋_GB2312" w:hAnsi="华文仿宋" w:eastAsia="仿宋_GB2312"/>
          <w:color w:val="auto"/>
          <w:sz w:val="21"/>
          <w:szCs w:val="21"/>
        </w:rPr>
        <w:t>5</w:t>
      </w:r>
      <w:r>
        <w:rPr>
          <w:rFonts w:hint="eastAsia" w:ascii="仿宋_GB2312" w:hAnsi="华文仿宋" w:eastAsia="仿宋_GB2312"/>
          <w:color w:val="auto"/>
          <w:sz w:val="21"/>
          <w:szCs w:val="21"/>
        </w:rPr>
        <w:t>投标人认为需要补充的其它文件或资料。</w:t>
      </w:r>
    </w:p>
    <w:p>
      <w:pPr>
        <w:spacing w:line="400" w:lineRule="exact"/>
        <w:ind w:firstLine="420" w:firstLineChars="200"/>
        <w:rPr>
          <w:rFonts w:ascii="仿宋_GB2312" w:hAnsi="华文仿宋" w:eastAsia="仿宋_GB2312"/>
          <w:color w:val="auto"/>
          <w:sz w:val="21"/>
          <w:szCs w:val="21"/>
        </w:rPr>
      </w:pPr>
      <w:r>
        <w:rPr>
          <w:rFonts w:hint="eastAsia" w:ascii="仿宋_GB2312" w:hAnsi="华文仿宋" w:eastAsia="仿宋_GB2312"/>
          <w:color w:val="auto"/>
          <w:sz w:val="21"/>
          <w:szCs w:val="21"/>
        </w:rPr>
        <w:t xml:space="preserve"> </w:t>
      </w:r>
    </w:p>
    <w:p>
      <w:pPr>
        <w:spacing w:line="400" w:lineRule="exact"/>
        <w:ind w:firstLine="200"/>
        <w:rPr>
          <w:rFonts w:ascii="仿宋_GB2312" w:eastAsia="仿宋_GB2312" w:cs="宋体" w:hAnsiTheme="minorEastAsia"/>
          <w:color w:val="auto"/>
        </w:rPr>
      </w:pPr>
    </w:p>
    <w:p>
      <w:pPr>
        <w:widowControl/>
        <w:rPr>
          <w:rFonts w:ascii="仿宋_GB2312" w:eastAsia="仿宋_GB2312" w:hAnsiTheme="majorEastAsia"/>
          <w:b/>
          <w:bCs/>
          <w:color w:val="auto"/>
          <w:sz w:val="28"/>
          <w:szCs w:val="28"/>
        </w:rPr>
      </w:pPr>
    </w:p>
    <w:p>
      <w:pPr>
        <w:widowControl/>
        <w:rPr>
          <w:rFonts w:ascii="仿宋_GB2312" w:eastAsia="仿宋_GB2312" w:hAnsiTheme="majorEastAsia"/>
          <w:b/>
          <w:bCs/>
          <w:color w:val="auto"/>
          <w:sz w:val="28"/>
          <w:szCs w:val="28"/>
        </w:rPr>
      </w:pPr>
    </w:p>
    <w:p>
      <w:pPr>
        <w:widowControl/>
        <w:rPr>
          <w:rFonts w:ascii="仿宋_GB2312" w:eastAsia="仿宋_GB2312" w:hAnsiTheme="majorEastAsia"/>
          <w:b/>
          <w:bCs/>
          <w:color w:val="auto"/>
          <w:sz w:val="28"/>
          <w:szCs w:val="28"/>
        </w:rPr>
      </w:pPr>
    </w:p>
    <w:p>
      <w:pPr>
        <w:widowControl/>
        <w:rPr>
          <w:rFonts w:ascii="仿宋_GB2312" w:eastAsia="仿宋_GB2312" w:hAnsiTheme="majorEastAsia"/>
          <w:b/>
          <w:bCs/>
          <w:color w:val="auto"/>
          <w:sz w:val="28"/>
          <w:szCs w:val="28"/>
        </w:rPr>
      </w:pPr>
    </w:p>
    <w:p>
      <w:pPr>
        <w:widowControl/>
        <w:rPr>
          <w:rFonts w:ascii="仿宋_GB2312" w:eastAsia="仿宋_GB2312" w:hAnsiTheme="majorEastAsia"/>
          <w:b/>
          <w:bCs/>
          <w:color w:val="auto"/>
          <w:sz w:val="28"/>
          <w:szCs w:val="28"/>
        </w:rPr>
      </w:pPr>
    </w:p>
    <w:p>
      <w:pPr>
        <w:widowControl/>
        <w:rPr>
          <w:rFonts w:ascii="仿宋_GB2312" w:eastAsia="仿宋_GB2312" w:hAnsiTheme="majorEastAsia"/>
          <w:b/>
          <w:bCs/>
          <w:color w:val="auto"/>
          <w:sz w:val="28"/>
          <w:szCs w:val="28"/>
        </w:rPr>
      </w:pPr>
      <w:r>
        <w:rPr>
          <w:rFonts w:hint="eastAsia" w:ascii="仿宋_GB2312" w:eastAsia="仿宋_GB2312" w:hAnsiTheme="majorEastAsia"/>
          <w:b/>
          <w:bCs/>
          <w:color w:val="auto"/>
          <w:sz w:val="28"/>
          <w:szCs w:val="28"/>
        </w:rPr>
        <w:t>第四部分  合同文件</w:t>
      </w:r>
    </w:p>
    <w:p>
      <w:pPr>
        <w:widowControl/>
        <w:spacing w:line="480" w:lineRule="auto"/>
        <w:rPr>
          <w:rFonts w:ascii="宋体" w:hAnsi="宋体"/>
          <w:color w:val="auto"/>
          <w:sz w:val="28"/>
          <w:szCs w:val="28"/>
        </w:rPr>
      </w:pPr>
    </w:p>
    <w:p>
      <w:pPr>
        <w:widowControl/>
        <w:spacing w:line="480" w:lineRule="auto"/>
        <w:rPr>
          <w:rFonts w:ascii="宋体" w:hAnsi="宋体"/>
          <w:color w:val="auto"/>
          <w:sz w:val="28"/>
          <w:szCs w:val="28"/>
        </w:rPr>
      </w:pPr>
      <w:r>
        <w:rPr>
          <w:rFonts w:ascii="Times New Roman" w:hAnsi="Times New Roman"/>
          <w:color w:val="auto"/>
          <w:sz w:val="21"/>
        </w:rPr>
        <mc:AlternateContent>
          <mc:Choice Requires="wps">
            <w:drawing>
              <wp:anchor distT="0" distB="0" distL="114300" distR="114300" simplePos="0" relativeHeight="251659264" behindDoc="0" locked="0" layoutInCell="1" allowOverlap="1">
                <wp:simplePos x="0" y="0"/>
                <wp:positionH relativeFrom="column">
                  <wp:posOffset>3094355</wp:posOffset>
                </wp:positionH>
                <wp:positionV relativeFrom="paragraph">
                  <wp:posOffset>7620</wp:posOffset>
                </wp:positionV>
                <wp:extent cx="2170430" cy="286385"/>
                <wp:effectExtent l="8255" t="13335" r="12065" b="508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170430" cy="286385"/>
                        </a:xfrm>
                        <a:prstGeom prst="rect">
                          <a:avLst/>
                        </a:prstGeom>
                        <a:noFill/>
                        <a:ln w="9525">
                          <a:solidFill>
                            <a:srgbClr val="000000"/>
                          </a:solidFill>
                          <a:miter lim="800000"/>
                        </a:ln>
                      </wps:spPr>
                      <wps:txbx>
                        <w:txbxContent>
                          <w:p>
                            <w:pPr>
                              <w:rPr>
                                <w:rFonts w:asciiTheme="minorEastAsia" w:hAnsiTheme="minorEastAsia"/>
                              </w:rPr>
                            </w:pPr>
                            <w:r>
                              <w:rPr>
                                <w:rFonts w:hint="eastAsia" w:asciiTheme="minorEastAsia" w:hAnsiTheme="minorEastAsia"/>
                              </w:rPr>
                              <w:t>合同编号：YHGS-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65pt;margin-top:0.6pt;height:22.55pt;width:170.9pt;z-index:251659264;mso-width-relative:page;mso-height-relative:page;" filled="f" stroked="t" coordsize="21600,21600" o:gfxdata="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StWf3VAAAACAEAAA8AAAAAAAAAAQAgAAAAIgAAAGRycy9k&#10;b3ducmV2LnhtbFBLAQIUABQAAAAIAIdO4kC9nMDDPgIAAF4EAAAOAAAAAAAAAAEAIAAAACQBAABk&#10;cnMvZTJvRG9jLnhtbFBLBQYAAAAABgAGAFkBAADUBQAAAAA=&#10;">
                <v:fill on="f" focussize="0,0"/>
                <v:stroke color="#000000" miterlimit="8" joinstyle="miter"/>
                <v:imagedata o:title=""/>
                <o:lock v:ext="edit" aspectratio="f"/>
                <v:textbox>
                  <w:txbxContent>
                    <w:p>
                      <w:pPr>
                        <w:rPr>
                          <w:rFonts w:asciiTheme="minorEastAsia" w:hAnsiTheme="minorEastAsia"/>
                        </w:rPr>
                      </w:pPr>
                      <w:r>
                        <w:rPr>
                          <w:rFonts w:hint="eastAsia" w:asciiTheme="minorEastAsia" w:hAnsiTheme="minorEastAsia"/>
                        </w:rPr>
                        <w:t>合同编号：YHGS-</w:t>
                      </w:r>
                    </w:p>
                  </w:txbxContent>
                </v:textbox>
              </v:shape>
            </w:pict>
          </mc:Fallback>
        </mc:AlternateContent>
      </w:r>
    </w:p>
    <w:p>
      <w:pPr>
        <w:tabs>
          <w:tab w:val="left" w:pos="8735"/>
        </w:tabs>
        <w:spacing w:line="360" w:lineRule="auto"/>
        <w:rPr>
          <w:rFonts w:ascii="宋体" w:hAnsi="宋体"/>
          <w:color w:val="auto"/>
        </w:rPr>
      </w:pPr>
    </w:p>
    <w:p>
      <w:pPr>
        <w:spacing w:line="220" w:lineRule="atLeast"/>
        <w:rPr>
          <w:rFonts w:ascii="黑体" w:hAnsi="黑体" w:eastAsia="黑体"/>
          <w:b/>
          <w:color w:val="auto"/>
          <w:sz w:val="52"/>
          <w:szCs w:val="52"/>
        </w:rPr>
      </w:pPr>
    </w:p>
    <w:p>
      <w:pPr>
        <w:spacing w:line="220" w:lineRule="atLeast"/>
        <w:jc w:val="center"/>
        <w:rPr>
          <w:rFonts w:ascii="黑体" w:hAnsi="黑体" w:eastAsia="黑体"/>
          <w:b/>
          <w:color w:val="auto"/>
          <w:sz w:val="52"/>
          <w:szCs w:val="52"/>
        </w:rPr>
      </w:pPr>
      <w:r>
        <w:rPr>
          <w:rFonts w:hint="eastAsia" w:ascii="黑体" w:hAnsi="黑体" w:eastAsia="黑体"/>
          <w:b/>
          <w:color w:val="auto"/>
          <w:sz w:val="52"/>
          <w:szCs w:val="52"/>
          <w:lang w:eastAsia="zh-CN"/>
        </w:rPr>
        <w:t>水稳级配成品料</w:t>
      </w:r>
      <w:r>
        <w:rPr>
          <w:rFonts w:hint="eastAsia" w:ascii="黑体" w:hAnsi="黑体" w:eastAsia="黑体"/>
          <w:b/>
          <w:color w:val="auto"/>
          <w:sz w:val="52"/>
          <w:szCs w:val="52"/>
        </w:rPr>
        <w:t>运输合同</w:t>
      </w:r>
    </w:p>
    <w:p>
      <w:pPr>
        <w:spacing w:line="220" w:lineRule="atLeast"/>
        <w:jc w:val="center"/>
        <w:rPr>
          <w:rFonts w:ascii="宋体" w:hAnsi="宋体"/>
          <w:color w:val="auto"/>
          <w:sz w:val="28"/>
          <w:szCs w:val="28"/>
        </w:rPr>
      </w:pPr>
    </w:p>
    <w:p>
      <w:pPr>
        <w:spacing w:line="220" w:lineRule="atLeast"/>
        <w:jc w:val="center"/>
        <w:rPr>
          <w:rFonts w:ascii="黑体" w:hAnsi="黑体" w:eastAsia="黑体"/>
          <w:b/>
          <w:color w:val="auto"/>
          <w:sz w:val="52"/>
          <w:szCs w:val="52"/>
        </w:rPr>
      </w:pPr>
      <w:r>
        <w:rPr>
          <w:rFonts w:hint="eastAsia" w:ascii="宋体" w:hAnsi="宋体"/>
          <w:color w:val="auto"/>
          <w:sz w:val="28"/>
          <w:szCs w:val="28"/>
        </w:rPr>
        <w:t>物资名称：</w:t>
      </w:r>
      <w:r>
        <w:rPr>
          <w:rFonts w:hint="eastAsia" w:ascii="宋体" w:hAnsi="宋体"/>
          <w:color w:val="auto"/>
          <w:sz w:val="28"/>
          <w:szCs w:val="28"/>
          <w:u w:val="single"/>
        </w:rPr>
        <w:t xml:space="preserve"> </w:t>
      </w:r>
      <w:r>
        <w:rPr>
          <w:rFonts w:hint="eastAsia" w:ascii="宋体" w:hAnsi="宋体"/>
          <w:color w:val="auto"/>
          <w:sz w:val="28"/>
          <w:szCs w:val="28"/>
          <w:u w:val="single"/>
          <w:lang w:eastAsia="zh-CN"/>
        </w:rPr>
        <w:t>水稳级配成品料运输</w:t>
      </w:r>
    </w:p>
    <w:p>
      <w:pPr>
        <w:spacing w:line="360" w:lineRule="auto"/>
        <w:outlineLvl w:val="0"/>
        <w:rPr>
          <w:rFonts w:ascii="宋体" w:hAnsi="宋体"/>
          <w:b/>
          <w:color w:val="auto"/>
          <w:spacing w:val="-20"/>
          <w:sz w:val="48"/>
          <w:szCs w:val="48"/>
        </w:rPr>
      </w:pPr>
    </w:p>
    <w:p>
      <w:pPr>
        <w:spacing w:line="360" w:lineRule="auto"/>
        <w:outlineLvl w:val="0"/>
        <w:rPr>
          <w:rFonts w:ascii="宋体" w:hAnsi="宋体"/>
          <w:b/>
          <w:color w:val="auto"/>
          <w:spacing w:val="-20"/>
          <w:sz w:val="52"/>
          <w:szCs w:val="52"/>
        </w:rPr>
      </w:pPr>
      <w:r>
        <w:rPr>
          <w:rFonts w:hint="eastAsia" w:ascii="宋体" w:hAnsi="宋体"/>
          <w:b/>
          <w:color w:val="auto"/>
          <w:spacing w:val="-20"/>
          <w:sz w:val="52"/>
          <w:szCs w:val="52"/>
        </w:rPr>
        <w:t xml:space="preserve">              </w:t>
      </w:r>
      <w:r>
        <w:rPr>
          <w:rFonts w:hint="eastAsia" w:ascii="仿宋" w:hAnsi="仿宋" w:eastAsia="仿宋"/>
          <w:b/>
          <w:color w:val="auto"/>
          <w:sz w:val="40"/>
          <w:szCs w:val="40"/>
          <w:u w:color="000000"/>
        </w:rPr>
        <w:drawing>
          <wp:inline distT="0" distB="0" distL="114300" distR="114300">
            <wp:extent cx="1433195" cy="1341120"/>
            <wp:effectExtent l="0" t="0" r="14605" b="11430"/>
            <wp:docPr id="1" name="图片 1"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SCEC中建-2"/>
                    <pic:cNvPicPr>
                      <a:picLocks noChangeAspect="1"/>
                    </pic:cNvPicPr>
                  </pic:nvPicPr>
                  <pic:blipFill>
                    <a:blip r:embed="rId7"/>
                    <a:stretch>
                      <a:fillRect/>
                    </a:stretch>
                  </pic:blipFill>
                  <pic:spPr>
                    <a:xfrm>
                      <a:off x="0" y="0"/>
                      <a:ext cx="1433195" cy="1341120"/>
                    </a:xfrm>
                    <a:prstGeom prst="rect">
                      <a:avLst/>
                    </a:prstGeom>
                    <a:noFill/>
                    <a:ln>
                      <a:noFill/>
                    </a:ln>
                  </pic:spPr>
                </pic:pic>
              </a:graphicData>
            </a:graphic>
          </wp:inline>
        </w:drawing>
      </w:r>
    </w:p>
    <w:p>
      <w:pPr>
        <w:spacing w:line="360" w:lineRule="auto"/>
        <w:rPr>
          <w:rFonts w:ascii="宋体" w:hAnsi="宋体"/>
          <w:b/>
          <w:color w:val="auto"/>
          <w:u w:val="single"/>
        </w:rPr>
      </w:pPr>
    </w:p>
    <w:p>
      <w:pPr>
        <w:spacing w:line="360" w:lineRule="auto"/>
        <w:rPr>
          <w:rFonts w:ascii="宋体" w:hAnsi="宋体"/>
          <w:b/>
          <w:color w:val="auto"/>
          <w:u w:val="single"/>
        </w:rPr>
      </w:pPr>
    </w:p>
    <w:p>
      <w:pPr>
        <w:spacing w:line="360" w:lineRule="auto"/>
        <w:jc w:val="center"/>
        <w:rPr>
          <w:rFonts w:ascii="宋体" w:hAnsi="宋体"/>
          <w:color w:val="auto"/>
          <w:sz w:val="28"/>
          <w:szCs w:val="28"/>
          <w:u w:val="single"/>
        </w:rPr>
      </w:pPr>
      <w:r>
        <w:rPr>
          <w:rFonts w:hint="eastAsia" w:ascii="宋体" w:hAnsi="宋体"/>
          <w:color w:val="auto"/>
          <w:sz w:val="28"/>
          <w:szCs w:val="28"/>
        </w:rPr>
        <w:t>甲方：</w:t>
      </w:r>
      <w:r>
        <w:rPr>
          <w:rFonts w:hint="eastAsia" w:ascii="宋体" w:hAnsi="宋体"/>
          <w:color w:val="auto"/>
          <w:sz w:val="28"/>
          <w:szCs w:val="28"/>
          <w:u w:val="single"/>
        </w:rPr>
        <w:t>中建路桥集团高速公路养护有限公司</w:t>
      </w:r>
    </w:p>
    <w:p>
      <w:pPr>
        <w:spacing w:line="360" w:lineRule="auto"/>
        <w:jc w:val="center"/>
        <w:rPr>
          <w:rFonts w:ascii="宋体" w:hAnsi="宋体"/>
          <w:color w:val="auto"/>
          <w:sz w:val="28"/>
          <w:szCs w:val="28"/>
          <w:u w:val="single"/>
        </w:rPr>
      </w:pPr>
      <w:r>
        <w:rPr>
          <w:rFonts w:hint="eastAsia" w:ascii="宋体" w:hAnsi="宋体"/>
          <w:color w:val="auto"/>
          <w:sz w:val="28"/>
          <w:szCs w:val="28"/>
          <w:u w:val="single"/>
        </w:rPr>
        <w:t>石家庄市藁城分公司</w:t>
      </w:r>
    </w:p>
    <w:p>
      <w:pPr>
        <w:spacing w:line="360" w:lineRule="auto"/>
        <w:ind w:firstLine="1960" w:firstLineChars="700"/>
        <w:rPr>
          <w:rFonts w:ascii="宋体" w:hAnsi="宋体"/>
          <w:color w:val="auto"/>
          <w:sz w:val="28"/>
          <w:szCs w:val="28"/>
          <w:u w:val="single"/>
        </w:rPr>
      </w:pPr>
      <w:r>
        <w:rPr>
          <w:rFonts w:hint="eastAsia" w:ascii="宋体" w:hAnsi="宋体"/>
          <w:color w:val="auto"/>
          <w:sz w:val="28"/>
          <w:szCs w:val="28"/>
        </w:rPr>
        <w:t>乙方：</w:t>
      </w:r>
      <w:r>
        <w:rPr>
          <w:rFonts w:hint="eastAsia" w:ascii="宋体" w:hAnsi="宋体"/>
          <w:color w:val="auto"/>
          <w:sz w:val="28"/>
          <w:szCs w:val="28"/>
          <w:u w:val="single"/>
        </w:rPr>
        <w:t xml:space="preserve">                    </w:t>
      </w:r>
    </w:p>
    <w:p>
      <w:pPr>
        <w:spacing w:line="360" w:lineRule="auto"/>
        <w:ind w:firstLine="1687" w:firstLineChars="700"/>
        <w:jc w:val="center"/>
        <w:rPr>
          <w:rFonts w:ascii="宋体" w:hAnsi="宋体"/>
          <w:b/>
          <w:color w:val="auto"/>
          <w:u w:val="single"/>
        </w:rPr>
      </w:pPr>
    </w:p>
    <w:p>
      <w:pPr>
        <w:spacing w:line="360" w:lineRule="auto"/>
        <w:jc w:val="center"/>
        <w:rPr>
          <w:rFonts w:ascii="宋体" w:hAnsi="宋体"/>
          <w:color w:val="auto"/>
          <w:sz w:val="28"/>
          <w:szCs w:val="28"/>
        </w:rPr>
      </w:pPr>
      <w:r>
        <w:rPr>
          <w:rFonts w:hint="eastAsia" w:ascii="宋体" w:hAnsi="宋体"/>
          <w:color w:val="auto"/>
          <w:sz w:val="28"/>
          <w:szCs w:val="28"/>
        </w:rPr>
        <w:t>合同订立日期：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360" w:lineRule="auto"/>
        <w:jc w:val="center"/>
        <w:rPr>
          <w:rFonts w:ascii="宋体" w:hAnsi="宋体"/>
          <w:color w:val="auto"/>
          <w:sz w:val="28"/>
          <w:szCs w:val="28"/>
        </w:rPr>
      </w:pPr>
      <w:r>
        <w:rPr>
          <w:rFonts w:hint="eastAsia" w:ascii="宋体" w:hAnsi="宋体"/>
          <w:color w:val="auto"/>
          <w:sz w:val="28"/>
          <w:szCs w:val="28"/>
        </w:rPr>
        <w:t>合同订立地点：石家庄市</w:t>
      </w:r>
    </w:p>
    <w:p>
      <w:pPr>
        <w:pStyle w:val="2"/>
        <w:rPr>
          <w:color w:val="auto"/>
        </w:rPr>
      </w:pPr>
    </w:p>
    <w:p>
      <w:pPr>
        <w:pStyle w:val="3"/>
        <w:rPr>
          <w:color w:val="auto"/>
        </w:rPr>
        <w:sectPr>
          <w:headerReference r:id="rId3" w:type="default"/>
          <w:pgSz w:w="11906" w:h="16838"/>
          <w:pgMar w:top="1440" w:right="1800" w:bottom="1440" w:left="1800" w:header="851" w:footer="992" w:gutter="0"/>
          <w:cols w:space="720" w:num="1"/>
          <w:docGrid w:type="lines" w:linePitch="312" w:charSpace="0"/>
        </w:sectPr>
      </w:pPr>
    </w:p>
    <w:p>
      <w:pPr>
        <w:jc w:val="center"/>
        <w:rPr>
          <w:rFonts w:ascii="宋体" w:hAnsi="宋体"/>
          <w:b/>
          <w:color w:val="auto"/>
          <w:sz w:val="36"/>
          <w:szCs w:val="36"/>
        </w:rPr>
      </w:pPr>
      <w:r>
        <w:rPr>
          <w:rFonts w:hint="eastAsia" w:ascii="仿宋" w:hAnsi="仿宋" w:eastAsia="仿宋"/>
          <w:b/>
          <w:color w:val="auto"/>
          <w:sz w:val="36"/>
          <w:szCs w:val="36"/>
          <w:lang w:eastAsia="zh-CN"/>
        </w:rPr>
        <w:t>水稳级配成品料</w:t>
      </w:r>
      <w:r>
        <w:rPr>
          <w:rFonts w:hint="eastAsia" w:ascii="仿宋" w:hAnsi="仿宋" w:eastAsia="仿宋"/>
          <w:b/>
          <w:color w:val="auto"/>
          <w:sz w:val="36"/>
          <w:szCs w:val="36"/>
        </w:rPr>
        <w:t>运输</w:t>
      </w:r>
      <w:r>
        <w:rPr>
          <w:rFonts w:hint="eastAsia" w:ascii="宋体" w:hAnsi="宋体"/>
          <w:b/>
          <w:color w:val="auto"/>
          <w:sz w:val="36"/>
          <w:szCs w:val="36"/>
        </w:rPr>
        <w:t>合同</w:t>
      </w:r>
    </w:p>
    <w:p>
      <w:pPr>
        <w:snapToGrid w:val="0"/>
        <w:spacing w:line="440" w:lineRule="atLeast"/>
        <w:ind w:firstLine="480" w:firstLineChars="200"/>
        <w:jc w:val="center"/>
        <w:rPr>
          <w:rFonts w:ascii="仿宋" w:hAnsi="仿宋" w:eastAsia="仿宋"/>
          <w:color w:val="auto"/>
        </w:rPr>
      </w:pPr>
      <w:r>
        <w:rPr>
          <w:rFonts w:hint="eastAsia" w:ascii="仿宋" w:hAnsi="仿宋" w:eastAsia="仿宋"/>
          <w:color w:val="auto"/>
        </w:rPr>
        <w:t xml:space="preserve">                                    </w:t>
      </w:r>
      <w:r>
        <w:rPr>
          <w:rFonts w:hint="eastAsia" w:ascii="仿宋" w:hAnsi="仿宋" w:eastAsia="仿宋"/>
          <w:color w:val="auto"/>
          <w:lang w:val="en-US" w:eastAsia="zh-CN"/>
        </w:rPr>
        <w:t xml:space="preserve">   </w:t>
      </w:r>
    </w:p>
    <w:p>
      <w:pPr>
        <w:spacing w:before="192" w:beforeLines="80" w:line="220" w:lineRule="atLeast"/>
        <w:jc w:val="center"/>
        <w:rPr>
          <w:rFonts w:ascii="宋体" w:hAnsi="宋体"/>
          <w:b/>
          <w:color w:val="auto"/>
          <w:sz w:val="30"/>
          <w:szCs w:val="30"/>
        </w:rPr>
      </w:pPr>
      <w:r>
        <w:rPr>
          <w:rFonts w:hint="eastAsia" w:ascii="宋体" w:hAnsi="宋体"/>
          <w:b/>
          <w:color w:val="auto"/>
          <w:sz w:val="30"/>
          <w:szCs w:val="30"/>
        </w:rPr>
        <w:t>第一部分  合同</w:t>
      </w:r>
      <w:r>
        <w:rPr>
          <w:rFonts w:ascii="宋体" w:hAnsi="宋体"/>
          <w:b/>
          <w:color w:val="auto"/>
          <w:sz w:val="30"/>
          <w:szCs w:val="30"/>
        </w:rPr>
        <w:t>协议书</w:t>
      </w:r>
    </w:p>
    <w:p>
      <w:pPr>
        <w:spacing w:line="400" w:lineRule="exact"/>
        <w:rPr>
          <w:rFonts w:ascii="宋体" w:hAnsi="宋体"/>
          <w:color w:val="auto"/>
        </w:rPr>
      </w:pPr>
      <w:r>
        <w:rPr>
          <w:rFonts w:hint="eastAsia" w:ascii="宋体" w:hAnsi="宋体"/>
          <w:color w:val="auto"/>
        </w:rPr>
        <w:t>甲方（需方）：</w:t>
      </w:r>
      <w:r>
        <w:rPr>
          <w:rFonts w:hint="eastAsia" w:ascii="宋体" w:hAnsi="宋体"/>
          <w:color w:val="auto"/>
          <w:u w:val="single"/>
        </w:rPr>
        <w:t>中建路桥集团高速公路养护有限公司石家庄市藁城分公司</w:t>
      </w:r>
    </w:p>
    <w:p>
      <w:pPr>
        <w:tabs>
          <w:tab w:val="center" w:pos="5081"/>
        </w:tabs>
        <w:spacing w:line="400" w:lineRule="exact"/>
        <w:rPr>
          <w:rFonts w:ascii="宋体" w:hAnsi="宋体"/>
          <w:color w:val="auto"/>
          <w:u w:val="single"/>
        </w:rPr>
      </w:pPr>
      <w:r>
        <w:rPr>
          <w:rFonts w:hint="eastAsia" w:ascii="宋体" w:hAnsi="宋体"/>
          <w:color w:val="auto"/>
        </w:rPr>
        <w:t>乙方（供方）：</w:t>
      </w:r>
      <w:r>
        <w:rPr>
          <w:rFonts w:hint="eastAsia" w:ascii="宋体" w:hAnsi="宋体"/>
          <w:color w:val="auto"/>
          <w:u w:val="single"/>
        </w:rPr>
        <w:t xml:space="preserve">                   </w:t>
      </w:r>
    </w:p>
    <w:p>
      <w:pPr>
        <w:snapToGrid w:val="0"/>
        <w:spacing w:line="440" w:lineRule="atLeast"/>
        <w:ind w:firstLine="480" w:firstLineChars="200"/>
        <w:rPr>
          <w:rFonts w:ascii="宋体" w:hAnsi="宋体"/>
          <w:color w:val="auto"/>
        </w:rPr>
      </w:pPr>
      <w:r>
        <w:rPr>
          <w:rFonts w:hint="eastAsia" w:ascii="宋体" w:hAnsi="宋体"/>
          <w:color w:val="auto"/>
        </w:rPr>
        <w:t>根据</w:t>
      </w:r>
      <w:r>
        <w:rPr>
          <w:rFonts w:hint="eastAsia"/>
          <w:color w:val="auto"/>
          <w:sz w:val="24"/>
          <w:szCs w:val="24"/>
        </w:rPr>
        <w:t>《中华人民共和国民法典》</w:t>
      </w:r>
      <w:r>
        <w:rPr>
          <w:rFonts w:hint="eastAsia" w:ascii="宋体" w:hAnsi="宋体"/>
          <w:color w:val="auto"/>
        </w:rPr>
        <w:t>及相关法规、规定，遵循平等、自愿、公平和诚实守信的原则，为明确甲乙双方的权利和义务，甲方根据工程需要，由乙方为甲方运输</w:t>
      </w:r>
      <w:r>
        <w:rPr>
          <w:rFonts w:hint="eastAsia" w:ascii="宋体" w:hAnsi="宋体"/>
          <w:color w:val="auto"/>
          <w:lang w:eastAsia="zh-CN"/>
        </w:rPr>
        <w:t>水稳级配成品料</w:t>
      </w:r>
      <w:r>
        <w:rPr>
          <w:rFonts w:hint="eastAsia" w:ascii="宋体" w:hAnsi="宋体"/>
          <w:color w:val="auto"/>
        </w:rPr>
        <w:t>，经甲乙双方友好协商，就</w:t>
      </w:r>
      <w:r>
        <w:rPr>
          <w:rFonts w:hint="eastAsia" w:ascii="宋体" w:hAnsi="宋体"/>
          <w:color w:val="auto"/>
          <w:lang w:eastAsia="zh-CN"/>
        </w:rPr>
        <w:t>水稳级配成品料</w:t>
      </w:r>
      <w:r>
        <w:rPr>
          <w:rFonts w:hint="eastAsia" w:ascii="宋体" w:hAnsi="宋体"/>
          <w:color w:val="auto"/>
        </w:rPr>
        <w:t>运输事宜，达成如下协议，以便共同遵守。</w:t>
      </w:r>
    </w:p>
    <w:p>
      <w:pPr>
        <w:tabs>
          <w:tab w:val="left" w:pos="8640"/>
        </w:tabs>
        <w:snapToGrid w:val="0"/>
        <w:spacing w:line="440" w:lineRule="atLeast"/>
        <w:ind w:right="-998" w:rightChars="-416"/>
        <w:rPr>
          <w:rFonts w:ascii="宋体" w:hAnsi="宋体"/>
          <w:color w:val="auto"/>
        </w:rPr>
      </w:pPr>
      <w:r>
        <w:rPr>
          <w:rFonts w:hint="eastAsia" w:ascii="宋体" w:hAnsi="宋体"/>
          <w:color w:val="auto"/>
        </w:rPr>
        <w:t>设备、人员配置及工程概况</w:t>
      </w:r>
    </w:p>
    <w:p>
      <w:pPr>
        <w:snapToGrid w:val="0"/>
        <w:spacing w:line="440" w:lineRule="atLeast"/>
        <w:ind w:firstLine="480" w:firstLineChars="200"/>
        <w:rPr>
          <w:rFonts w:ascii="宋体" w:hAnsi="宋体"/>
          <w:color w:val="auto"/>
        </w:rPr>
      </w:pPr>
      <w:r>
        <w:rPr>
          <w:rFonts w:hint="eastAsia" w:ascii="宋体" w:hAnsi="宋体"/>
          <w:color w:val="auto"/>
        </w:rPr>
        <w:t>1、甲方工地上所需的运输车数量及规格以满足实际生产需求为原则，乙方应根据甲方工地需要及时进行运输车数量调整，车辆驾驶人员及配合人员充足，服从项目部指挥，不得疲劳驾驶。</w:t>
      </w:r>
    </w:p>
    <w:p>
      <w:pPr>
        <w:snapToGrid w:val="0"/>
        <w:spacing w:line="440" w:lineRule="atLeast"/>
        <w:ind w:firstLine="480" w:firstLineChars="200"/>
        <w:rPr>
          <w:rFonts w:ascii="宋体" w:hAnsi="宋体"/>
          <w:color w:val="auto"/>
        </w:rPr>
      </w:pPr>
      <w:r>
        <w:rPr>
          <w:rFonts w:hint="eastAsia" w:ascii="宋体" w:hAnsi="宋体"/>
          <w:color w:val="auto"/>
        </w:rPr>
        <w:t>2、</w:t>
      </w:r>
      <w:r>
        <w:rPr>
          <w:rFonts w:hint="eastAsia" w:ascii="宋体" w:hAnsi="宋体"/>
          <w:color w:val="auto"/>
          <w:lang w:eastAsia="zh-CN"/>
        </w:rPr>
        <w:t>水稳级配成品料运输</w:t>
      </w:r>
      <w:r>
        <w:rPr>
          <w:rFonts w:hint="eastAsia" w:ascii="宋体" w:hAnsi="宋体"/>
          <w:color w:val="auto"/>
        </w:rPr>
        <w:t>概况</w:t>
      </w:r>
    </w:p>
    <w:p>
      <w:pPr>
        <w:snapToGrid w:val="0"/>
        <w:spacing w:line="440" w:lineRule="atLeast"/>
        <w:ind w:firstLine="480" w:firstLineChars="200"/>
        <w:rPr>
          <w:rFonts w:ascii="宋体" w:hAnsi="宋体"/>
          <w:color w:val="auto"/>
        </w:rPr>
      </w:pPr>
      <w:r>
        <w:rPr>
          <w:rFonts w:hint="eastAsia" w:ascii="宋体" w:hAnsi="宋体"/>
          <w:color w:val="auto"/>
        </w:rPr>
        <w:t>运输起始地：石家庄市藁城区兴安镇张村中街</w:t>
      </w:r>
      <w:r>
        <w:rPr>
          <w:rFonts w:hint="eastAsia" w:ascii="宋体" w:hAnsi="宋体"/>
          <w:color w:val="auto"/>
          <w:lang w:eastAsia="zh-CN"/>
        </w:rPr>
        <w:t>中建</w:t>
      </w:r>
      <w:r>
        <w:rPr>
          <w:rFonts w:hint="eastAsia" w:ascii="宋体" w:hAnsi="宋体"/>
          <w:color w:val="auto"/>
        </w:rPr>
        <w:t>拌合场（藁城东高速口北行50米路北）。</w:t>
      </w:r>
    </w:p>
    <w:p>
      <w:pPr>
        <w:pStyle w:val="31"/>
        <w:tabs>
          <w:tab w:val="left" w:pos="8100"/>
        </w:tabs>
        <w:spacing w:before="0" w:after="0" w:line="400" w:lineRule="exact"/>
        <w:ind w:firstLine="480" w:firstLineChars="200"/>
        <w:jc w:val="both"/>
        <w:rPr>
          <w:rFonts w:eastAsiaTheme="minorEastAsia" w:cstheme="minorBidi"/>
          <w:color w:val="auto"/>
          <w:kern w:val="2"/>
        </w:rPr>
      </w:pPr>
      <w:r>
        <w:rPr>
          <w:rFonts w:hint="eastAsia" w:eastAsiaTheme="minorEastAsia"/>
          <w:color w:val="auto"/>
        </w:rPr>
        <w:t>运输目的地：</w:t>
      </w:r>
      <w:r>
        <w:rPr>
          <w:rFonts w:hint="eastAsia" w:eastAsiaTheme="minorEastAsia"/>
          <w:color w:val="auto"/>
          <w:lang w:val="en-US" w:eastAsia="zh-CN"/>
        </w:rPr>
        <w:t>2023年滹沱河防洪整治工程</w:t>
      </w:r>
      <w:r>
        <w:rPr>
          <w:rFonts w:hint="eastAsia" w:eastAsiaTheme="minorEastAsia" w:cstheme="minorBidi"/>
          <w:color w:val="auto"/>
          <w:kern w:val="2"/>
        </w:rPr>
        <w:t>项目部指定位置</w:t>
      </w:r>
      <w:r>
        <w:rPr>
          <w:rFonts w:hint="eastAsia" w:eastAsiaTheme="minorEastAsia"/>
          <w:color w:val="auto"/>
        </w:rPr>
        <w:t>。</w:t>
      </w:r>
    </w:p>
    <w:p>
      <w:pPr>
        <w:spacing w:line="400" w:lineRule="exact"/>
        <w:ind w:firstLine="482" w:firstLineChars="200"/>
        <w:rPr>
          <w:rFonts w:ascii="宋体" w:hAnsi="宋体"/>
          <w:b/>
          <w:color w:val="auto"/>
        </w:rPr>
      </w:pPr>
      <w:r>
        <w:rPr>
          <w:rFonts w:hint="eastAsia" w:ascii="宋体" w:hAnsi="宋体"/>
          <w:b/>
          <w:color w:val="auto"/>
        </w:rPr>
        <w:t>一、项目名称和项目地点</w:t>
      </w:r>
    </w:p>
    <w:p>
      <w:pPr>
        <w:spacing w:line="400" w:lineRule="exact"/>
        <w:ind w:firstLine="480" w:firstLineChars="200"/>
        <w:rPr>
          <w:rFonts w:ascii="宋体" w:hAnsi="宋体"/>
          <w:b/>
          <w:color w:val="auto"/>
        </w:rPr>
      </w:pPr>
      <w:r>
        <w:rPr>
          <w:rFonts w:ascii="宋体" w:hAnsi="宋体"/>
          <w:color w:val="auto"/>
          <w:szCs w:val="21"/>
        </w:rPr>
        <w:t>（一）</w:t>
      </w:r>
      <w:r>
        <w:rPr>
          <w:rFonts w:hint="eastAsia" w:ascii="宋体" w:hAnsi="宋体"/>
          <w:color w:val="auto"/>
        </w:rPr>
        <w:t>项目名称：</w:t>
      </w:r>
      <w:r>
        <w:rPr>
          <w:rFonts w:hint="eastAsia" w:ascii="宋体" w:hAnsi="宋体"/>
          <w:color w:val="auto"/>
          <w:u w:val="single"/>
          <w:lang w:val="en-US" w:eastAsia="zh-CN"/>
        </w:rPr>
        <w:t>2023年滹沱河防洪整治工程</w:t>
      </w:r>
    </w:p>
    <w:p>
      <w:pPr>
        <w:spacing w:line="400" w:lineRule="exact"/>
        <w:ind w:firstLine="480" w:firstLineChars="200"/>
        <w:rPr>
          <w:rFonts w:ascii="宋体" w:hAnsi="宋体"/>
          <w:color w:val="auto"/>
        </w:rPr>
      </w:pPr>
      <w:r>
        <w:rPr>
          <w:rFonts w:ascii="宋体" w:hAnsi="宋体"/>
          <w:color w:val="auto"/>
          <w:szCs w:val="21"/>
        </w:rPr>
        <w:t>（二）</w:t>
      </w:r>
      <w:r>
        <w:rPr>
          <w:rFonts w:hint="eastAsia" w:ascii="宋体" w:hAnsi="宋体"/>
          <w:color w:val="auto"/>
        </w:rPr>
        <w:t>项目地点：</w:t>
      </w:r>
      <w:r>
        <w:rPr>
          <w:rFonts w:hint="eastAsia" w:ascii="宋体" w:hAnsi="宋体"/>
          <w:color w:val="auto"/>
          <w:u w:val="single"/>
        </w:rPr>
        <w:t xml:space="preserve">河北省石家庄市藁城区兴安镇张村中街 </w:t>
      </w:r>
    </w:p>
    <w:p>
      <w:pPr>
        <w:spacing w:line="400" w:lineRule="exact"/>
        <w:ind w:firstLine="482" w:firstLineChars="200"/>
        <w:rPr>
          <w:rFonts w:ascii="宋体" w:hAnsi="宋体"/>
          <w:color w:val="auto"/>
          <w:u w:val="single"/>
        </w:rPr>
      </w:pPr>
      <w:r>
        <w:rPr>
          <w:rFonts w:hint="eastAsia" w:ascii="宋体" w:hAnsi="宋体"/>
          <w:b/>
          <w:color w:val="auto"/>
        </w:rPr>
        <w:t>二、物资信息</w:t>
      </w:r>
    </w:p>
    <w:p>
      <w:pPr>
        <w:spacing w:line="400" w:lineRule="exact"/>
        <w:ind w:firstLine="480" w:firstLineChars="200"/>
        <w:rPr>
          <w:rFonts w:ascii="宋体" w:hAnsi="宋体"/>
          <w:color w:val="auto"/>
        </w:rPr>
      </w:pPr>
      <w:r>
        <w:rPr>
          <w:rFonts w:ascii="宋体" w:hAnsi="宋体"/>
          <w:color w:val="auto"/>
          <w:szCs w:val="21"/>
        </w:rPr>
        <w:t>（一）</w:t>
      </w:r>
      <w:r>
        <w:rPr>
          <w:rFonts w:hint="eastAsia" w:ascii="宋体" w:hAnsi="宋体"/>
          <w:color w:val="auto"/>
        </w:rPr>
        <w:t>送至各收货地点运距及单位重量单价：</w:t>
      </w:r>
    </w:p>
    <w:p>
      <w:pPr>
        <w:pStyle w:val="3"/>
        <w:rPr>
          <w:color w:val="auto"/>
        </w:rPr>
      </w:pPr>
    </w:p>
    <w:tbl>
      <w:tblPr>
        <w:tblStyle w:val="35"/>
        <w:tblW w:w="9473" w:type="dxa"/>
        <w:tblInd w:w="0" w:type="dxa"/>
        <w:tblLayout w:type="autofit"/>
        <w:tblCellMar>
          <w:top w:w="0" w:type="dxa"/>
          <w:left w:w="0" w:type="dxa"/>
          <w:bottom w:w="0" w:type="dxa"/>
          <w:right w:w="0" w:type="dxa"/>
        </w:tblCellMar>
      </w:tblPr>
      <w:tblGrid>
        <w:gridCol w:w="1080"/>
        <w:gridCol w:w="1080"/>
        <w:gridCol w:w="1080"/>
        <w:gridCol w:w="1080"/>
        <w:gridCol w:w="1080"/>
        <w:gridCol w:w="915"/>
        <w:gridCol w:w="705"/>
        <w:gridCol w:w="765"/>
        <w:gridCol w:w="780"/>
        <w:gridCol w:w="908"/>
      </w:tblGrid>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起始地点</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目的地</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暂定数量（吨）</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平均运距（公里)</w:t>
            </w:r>
          </w:p>
        </w:tc>
        <w:tc>
          <w:tcPr>
            <w:tcW w:w="316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center"/>
              <w:textAlignment w:val="center"/>
              <w:rPr>
                <w:rFonts w:ascii="宋体" w:hAnsi="宋体"/>
                <w:color w:val="auto"/>
              </w:rPr>
            </w:pPr>
            <w:r>
              <w:rPr>
                <w:rFonts w:hint="eastAsia" w:ascii="宋体" w:hAnsi="宋体"/>
                <w:color w:val="auto"/>
              </w:rPr>
              <w:t>综合单价(元/吨</w:t>
            </w:r>
            <w:r>
              <w:rPr>
                <w:rFonts w:hint="eastAsia" w:ascii="宋体" w:hAnsi="宋体"/>
                <w:color w:val="auto"/>
                <w:lang w:val="en-US" w:eastAsia="zh-CN"/>
              </w:rPr>
              <w:t>·公里</w:t>
            </w:r>
            <w:r>
              <w:rPr>
                <w:rFonts w:hint="eastAsia" w:ascii="宋体" w:hAnsi="宋体"/>
                <w:color w:val="auto"/>
              </w:rPr>
              <w:t>）</w:t>
            </w:r>
          </w:p>
        </w:tc>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金额合计（元）</w:t>
            </w:r>
          </w:p>
        </w:tc>
      </w:tr>
      <w:tr>
        <w:tblPrEx>
          <w:tblCellMar>
            <w:top w:w="0" w:type="dxa"/>
            <w:left w:w="0" w:type="dxa"/>
            <w:bottom w:w="0" w:type="dxa"/>
            <w:right w:w="0"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不含税单价</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发票税率</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税额</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r>
              <w:rPr>
                <w:rFonts w:hint="eastAsia" w:ascii="宋体" w:hAnsi="宋体"/>
                <w:color w:val="auto"/>
              </w:rPr>
              <w:t>税价合计</w:t>
            </w:r>
          </w:p>
        </w:tc>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00" w:lineRule="exact"/>
              <w:ind w:firstLine="200"/>
              <w:jc w:val="center"/>
              <w:rPr>
                <w:rFonts w:ascii="宋体" w:hAnsi="宋体"/>
                <w:color w:val="auto"/>
              </w:rPr>
            </w:pPr>
          </w:p>
        </w:tc>
      </w:tr>
      <w:tr>
        <w:tblPrEx>
          <w:tblCellMar>
            <w:top w:w="0" w:type="dxa"/>
            <w:left w:w="0" w:type="dxa"/>
            <w:bottom w:w="0" w:type="dxa"/>
            <w:right w:w="0" w:type="dxa"/>
          </w:tblCellMar>
        </w:tblPrEx>
        <w:trPr>
          <w:trHeight w:val="142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sz w:val="22"/>
                <w:szCs w:val="22"/>
              </w:rPr>
            </w:pPr>
            <w:r>
              <w:rPr>
                <w:rFonts w:hint="eastAsia" w:ascii="宋体" w:hAnsi="宋体"/>
                <w:color w:val="auto"/>
                <w:sz w:val="22"/>
                <w:szCs w:val="22"/>
                <w:lang w:eastAsia="zh-CN"/>
              </w:rPr>
              <w:t>水稳级配成品料运输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sz w:val="22"/>
                <w:szCs w:val="22"/>
              </w:rPr>
            </w:pPr>
            <w:r>
              <w:rPr>
                <w:rFonts w:hint="eastAsia" w:ascii="宋体" w:hAnsi="宋体"/>
                <w:color w:val="auto"/>
                <w:sz w:val="22"/>
                <w:szCs w:val="22"/>
              </w:rPr>
              <w:t>石家庄市藁城区兴安镇张村中街</w:t>
            </w:r>
            <w:r>
              <w:rPr>
                <w:rFonts w:hint="eastAsia" w:ascii="宋体" w:hAnsi="宋体"/>
                <w:color w:val="auto"/>
                <w:sz w:val="22"/>
                <w:szCs w:val="22"/>
                <w:lang w:eastAsia="zh-CN"/>
              </w:rPr>
              <w:t>中建</w:t>
            </w:r>
            <w:r>
              <w:rPr>
                <w:rFonts w:hint="eastAsia" w:ascii="宋体" w:hAnsi="宋体"/>
                <w:color w:val="auto"/>
                <w:sz w:val="22"/>
                <w:szCs w:val="22"/>
              </w:rPr>
              <w:t>拌合场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eastAsia" w:cs="宋体" w:asciiTheme="minorEastAsia" w:hAnsiTheme="minorEastAsia"/>
                <w:color w:val="auto"/>
                <w:sz w:val="21"/>
                <w:szCs w:val="21"/>
              </w:rPr>
            </w:pPr>
            <w:r>
              <w:rPr>
                <w:rFonts w:hint="eastAsia" w:cs="宋体" w:asciiTheme="minorEastAsia" w:hAnsiTheme="minorEastAsia"/>
                <w:color w:val="auto"/>
                <w:sz w:val="21"/>
                <w:szCs w:val="21"/>
                <w:lang w:val="en-US" w:eastAsia="zh-CN"/>
              </w:rPr>
              <w:t>2023年滹沱河防洪整治工程</w:t>
            </w:r>
          </w:p>
          <w:p>
            <w:pPr>
              <w:widowControl/>
              <w:spacing w:line="400" w:lineRule="exact"/>
              <w:jc w:val="center"/>
              <w:textAlignment w:val="center"/>
              <w:rPr>
                <w:rFonts w:asciiTheme="minorEastAsia" w:hAnsiTheme="minorEastAsia"/>
                <w:color w:val="auto"/>
              </w:rPr>
            </w:pPr>
            <w:r>
              <w:rPr>
                <w:rFonts w:hint="eastAsia" w:cs="宋体" w:asciiTheme="minorEastAsia" w:hAnsiTheme="minorEastAsia"/>
                <w:color w:val="auto"/>
                <w:sz w:val="21"/>
                <w:szCs w:val="21"/>
              </w:rPr>
              <w:t>指定地点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宋体" w:hAnsi="宋体" w:eastAsiaTheme="minorEastAsia"/>
                <w:color w:val="auto"/>
                <w:lang w:val="en-US" w:eastAsia="zh-CN"/>
              </w:rPr>
            </w:pPr>
            <w:r>
              <w:rPr>
                <w:rFonts w:hint="eastAsia" w:ascii="宋体" w:hAnsi="宋体"/>
                <w:color w:val="auto"/>
                <w:lang w:val="en-US" w:eastAsia="zh-CN"/>
              </w:rPr>
              <w:t>131500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default" w:ascii="宋体" w:hAnsi="宋体" w:eastAsiaTheme="minorEastAsia"/>
                <w:color w:val="auto"/>
                <w:lang w:val="en-US" w:eastAsia="zh-CN"/>
              </w:rPr>
            </w:pPr>
            <w:r>
              <w:rPr>
                <w:rFonts w:hint="eastAsia" w:ascii="宋体" w:hAnsi="宋体"/>
                <w:color w:val="auto"/>
                <w:lang w:val="en-US" w:eastAsia="zh-CN"/>
              </w:rPr>
              <w:t>13</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olor w:val="auto"/>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Theme="minorEastAsia"/>
                <w:color w:val="auto"/>
                <w:lang w:eastAsia="zh-CN"/>
              </w:rPr>
            </w:pPr>
            <w:r>
              <w:rPr>
                <w:rFonts w:hint="eastAsia" w:ascii="宋体" w:hAnsi="宋体"/>
                <w:color w:val="auto"/>
                <w:lang w:val="en-US" w:eastAsia="zh-CN"/>
              </w:rPr>
              <w:t xml:space="preserve">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center"/>
              <w:textAlignment w:val="center"/>
              <w:rPr>
                <w:rFonts w:ascii="宋体" w:hAnsi="宋体"/>
                <w:color w:val="auto"/>
              </w:rPr>
            </w:pP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center"/>
              <w:textAlignment w:val="center"/>
              <w:rPr>
                <w:rFonts w:ascii="宋体" w:hAnsi="宋体"/>
                <w:color w:val="auto"/>
              </w:rPr>
            </w:pPr>
          </w:p>
        </w:tc>
        <w:tc>
          <w:tcPr>
            <w:tcW w:w="9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center"/>
              <w:textAlignment w:val="center"/>
              <w:rPr>
                <w:rFonts w:ascii="宋体" w:hAnsi="宋体"/>
                <w:color w:val="auto"/>
              </w:rPr>
            </w:pPr>
          </w:p>
        </w:tc>
      </w:tr>
      <w:tr>
        <w:tblPrEx>
          <w:tblCellMar>
            <w:top w:w="0" w:type="dxa"/>
            <w:left w:w="0" w:type="dxa"/>
            <w:bottom w:w="0" w:type="dxa"/>
            <w:right w:w="0" w:type="dxa"/>
          </w:tblCellMar>
        </w:tblPrEx>
        <w:trPr>
          <w:trHeight w:val="285" w:hRule="atLeast"/>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left"/>
              <w:textAlignment w:val="center"/>
              <w:rPr>
                <w:rFonts w:ascii="宋体" w:hAnsi="宋体"/>
                <w:color w:val="auto"/>
              </w:rPr>
            </w:pPr>
            <w:r>
              <w:rPr>
                <w:rFonts w:hint="eastAsia" w:ascii="宋体" w:hAnsi="宋体"/>
                <w:color w:val="auto"/>
              </w:rPr>
              <w:t>总计（不含税）（大写）:</w:t>
            </w:r>
            <w:r>
              <w:rPr>
                <w:rFonts w:hint="eastAsia" w:ascii="宋体" w:hAnsi="宋体"/>
                <w:color w:val="auto"/>
                <w:lang w:val="en-US" w:eastAsia="zh-CN"/>
              </w:rPr>
              <w:t xml:space="preserve">    </w:t>
            </w:r>
            <w:r>
              <w:rPr>
                <w:rFonts w:hint="eastAsia" w:ascii="宋体" w:hAnsi="宋体"/>
                <w:color w:val="auto"/>
              </w:rPr>
              <w:t xml:space="preserve">           ；    （小写):</w:t>
            </w:r>
            <w:r>
              <w:rPr>
                <w:rFonts w:ascii="宋体" w:hAnsi="宋体"/>
                <w:color w:val="auto"/>
              </w:rPr>
              <w:t xml:space="preserve">                    </w:t>
            </w:r>
            <w:r>
              <w:rPr>
                <w:rFonts w:hint="eastAsia" w:ascii="宋体" w:hAnsi="宋体"/>
                <w:color w:val="auto"/>
              </w:rPr>
              <w:t>元</w:t>
            </w:r>
          </w:p>
        </w:tc>
      </w:tr>
      <w:tr>
        <w:tblPrEx>
          <w:tblCellMar>
            <w:top w:w="0" w:type="dxa"/>
            <w:left w:w="0" w:type="dxa"/>
            <w:bottom w:w="0" w:type="dxa"/>
            <w:right w:w="0" w:type="dxa"/>
          </w:tblCellMar>
        </w:tblPrEx>
        <w:trPr>
          <w:trHeight w:val="285" w:hRule="atLeast"/>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left"/>
              <w:textAlignment w:val="center"/>
              <w:rPr>
                <w:rFonts w:ascii="宋体" w:hAnsi="宋体"/>
                <w:color w:val="auto"/>
              </w:rPr>
            </w:pPr>
            <w:r>
              <w:rPr>
                <w:rFonts w:hint="eastAsia" w:ascii="宋体" w:hAnsi="宋体"/>
                <w:color w:val="auto"/>
              </w:rPr>
              <w:t xml:space="preserve">税额合计（大写）：            </w:t>
            </w:r>
            <w:r>
              <w:rPr>
                <w:rFonts w:ascii="宋体" w:hAnsi="宋体"/>
                <w:color w:val="auto"/>
              </w:rPr>
              <w:t xml:space="preserve">   </w:t>
            </w:r>
            <w:r>
              <w:rPr>
                <w:rFonts w:hint="eastAsia" w:ascii="宋体" w:hAnsi="宋体"/>
                <w:color w:val="auto"/>
              </w:rPr>
              <w:t xml:space="preserve">  </w:t>
            </w:r>
            <w:r>
              <w:rPr>
                <w:rFonts w:ascii="宋体" w:hAnsi="宋体"/>
                <w:color w:val="auto"/>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（小写):</w:t>
            </w:r>
            <w:r>
              <w:rPr>
                <w:rFonts w:ascii="宋体" w:hAnsi="宋体"/>
                <w:color w:val="auto"/>
              </w:rPr>
              <w:t xml:space="preserve">                    </w:t>
            </w:r>
            <w:r>
              <w:rPr>
                <w:rFonts w:hint="eastAsia" w:ascii="宋体" w:hAnsi="宋体"/>
                <w:color w:val="auto"/>
              </w:rPr>
              <w:t>元</w:t>
            </w:r>
          </w:p>
        </w:tc>
      </w:tr>
      <w:tr>
        <w:tblPrEx>
          <w:tblCellMar>
            <w:top w:w="0" w:type="dxa"/>
            <w:left w:w="0" w:type="dxa"/>
            <w:bottom w:w="0" w:type="dxa"/>
            <w:right w:w="0" w:type="dxa"/>
          </w:tblCellMar>
        </w:tblPrEx>
        <w:trPr>
          <w:trHeight w:val="285" w:hRule="atLeast"/>
        </w:trPr>
        <w:tc>
          <w:tcPr>
            <w:tcW w:w="9473"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ind w:firstLine="200"/>
              <w:jc w:val="left"/>
              <w:textAlignment w:val="center"/>
              <w:rPr>
                <w:rFonts w:ascii="宋体" w:hAnsi="宋体"/>
                <w:color w:val="auto"/>
              </w:rPr>
            </w:pPr>
            <w:r>
              <w:rPr>
                <w:rFonts w:hint="eastAsia" w:ascii="宋体" w:hAnsi="宋体"/>
                <w:color w:val="auto"/>
              </w:rPr>
              <w:t xml:space="preserve">金额合计（大写）：      </w:t>
            </w:r>
            <w:r>
              <w:rPr>
                <w:rFonts w:ascii="宋体" w:hAnsi="宋体"/>
                <w:color w:val="auto"/>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w:t>
            </w:r>
            <w:r>
              <w:rPr>
                <w:rFonts w:hint="eastAsia" w:ascii="宋体" w:hAnsi="宋体"/>
                <w:color w:val="auto"/>
                <w:lang w:val="en-US" w:eastAsia="zh-CN"/>
              </w:rPr>
              <w:t xml:space="preserve">    </w:t>
            </w:r>
            <w:r>
              <w:rPr>
                <w:rFonts w:hint="eastAsia" w:ascii="宋体" w:hAnsi="宋体"/>
                <w:color w:val="auto"/>
              </w:rPr>
              <w:t>（小写):</w:t>
            </w:r>
            <w:r>
              <w:rPr>
                <w:rFonts w:ascii="宋体" w:hAnsi="宋体"/>
                <w:color w:val="auto"/>
              </w:rPr>
              <w:t xml:space="preserve">                    </w:t>
            </w:r>
            <w:r>
              <w:rPr>
                <w:rFonts w:hint="eastAsia" w:ascii="宋体" w:hAnsi="宋体"/>
                <w:color w:val="auto"/>
              </w:rPr>
              <w:t>元</w:t>
            </w:r>
          </w:p>
        </w:tc>
      </w:tr>
    </w:tbl>
    <w:p>
      <w:pPr>
        <w:snapToGrid w:val="0"/>
        <w:spacing w:line="400" w:lineRule="exact"/>
        <w:ind w:firstLine="480" w:firstLineChars="200"/>
        <w:rPr>
          <w:rFonts w:ascii="宋体" w:hAnsi="宋体"/>
          <w:color w:val="auto"/>
        </w:rPr>
      </w:pPr>
      <w:r>
        <w:rPr>
          <w:rFonts w:hint="eastAsia" w:ascii="宋体" w:hAnsi="宋体"/>
          <w:color w:val="auto"/>
        </w:rPr>
        <w:t>2、本合同中运输</w:t>
      </w:r>
      <w:r>
        <w:rPr>
          <w:rFonts w:hint="eastAsia" w:ascii="宋体" w:hAnsi="宋体"/>
          <w:color w:val="auto"/>
          <w:lang w:eastAsia="zh-CN"/>
        </w:rPr>
        <w:t>水稳级配成品料</w:t>
      </w:r>
      <w:r>
        <w:rPr>
          <w:rFonts w:hint="eastAsia" w:ascii="宋体" w:hAnsi="宋体"/>
          <w:color w:val="auto"/>
        </w:rPr>
        <w:t>数量为暂定数量，实际以甲方收到的检验合格运输数量为准，乙方应按甲方要求将</w:t>
      </w:r>
      <w:r>
        <w:rPr>
          <w:rFonts w:hint="eastAsia" w:ascii="宋体" w:hAnsi="宋体"/>
          <w:color w:val="auto"/>
          <w:lang w:eastAsia="zh-CN"/>
        </w:rPr>
        <w:t>水稳级配成品料</w:t>
      </w:r>
      <w:r>
        <w:rPr>
          <w:rFonts w:hint="eastAsia" w:ascii="宋体" w:hAnsi="宋体"/>
          <w:color w:val="auto"/>
        </w:rPr>
        <w:t>运输至指定地点，若指定上表未提及，按双方共同确认的运输距离结算。</w:t>
      </w:r>
    </w:p>
    <w:p>
      <w:pPr>
        <w:spacing w:line="400" w:lineRule="exact"/>
        <w:ind w:firstLine="480" w:firstLineChars="200"/>
        <w:rPr>
          <w:rFonts w:ascii="宋体" w:hAnsi="宋体"/>
          <w:color w:val="auto"/>
        </w:rPr>
      </w:pPr>
      <w:r>
        <w:rPr>
          <w:rFonts w:hint="eastAsia" w:ascii="宋体" w:hAnsi="宋体"/>
          <w:color w:val="auto"/>
        </w:rPr>
        <w:t>3、</w:t>
      </w:r>
      <w:r>
        <w:rPr>
          <w:rFonts w:hint="eastAsia" w:ascii="宋体" w:hAnsi="宋体"/>
          <w:color w:val="auto"/>
          <w:lang w:eastAsia="zh-CN"/>
        </w:rPr>
        <w:t>水稳级配成品料</w:t>
      </w:r>
      <w:r>
        <w:rPr>
          <w:rFonts w:hint="eastAsia" w:ascii="宋体" w:hAnsi="宋体"/>
          <w:color w:val="auto"/>
        </w:rPr>
        <w:t>运输综合单价为固定单价，合同执行过程中保持不变。固定单价包括前期准备费、车辆的使用费、装卸车费、地方协调配合费、驾驶员工资、奖金、津贴，人员的社保、保险及食宿，车辆的燃油、维修及保养、保险、税费、利润、过路过桥费、交警路政费用、所有车辆及人员进退场所需费用及安全文明施工费以及其他运抵甲方指定货物地点的一切费用。乙方不得以任何理由向甲方另行索要其它费用。</w:t>
      </w:r>
      <w:r>
        <w:rPr>
          <w:rFonts w:hint="eastAsia" w:ascii="宋体" w:hAnsi="宋体"/>
          <w:color w:val="auto"/>
          <w:lang w:eastAsia="zh-CN"/>
        </w:rPr>
        <w:t>综合单</w:t>
      </w:r>
      <w:r>
        <w:rPr>
          <w:rFonts w:hint="eastAsia" w:ascii="宋体" w:hAnsi="宋体"/>
          <w:color w:val="auto"/>
        </w:rPr>
        <w:t>价已考虑燃油等物料价格市场波动因素影响，本合同履行期间价格波动盈亏风险甲乙双方各自承担。乙方不得以任何物料价格上涨或运输价格上涨向甲方提出任何调</w:t>
      </w:r>
      <w:r>
        <w:rPr>
          <w:rFonts w:hint="eastAsia" w:ascii="宋体" w:hAnsi="宋体"/>
          <w:color w:val="auto"/>
          <w:highlight w:val="none"/>
        </w:rPr>
        <w:t>整合同价或索赔的要求，实际运输数量的增减不影响合同单价。本合同单价是乙方提供增值税</w:t>
      </w:r>
      <w:r>
        <w:rPr>
          <w:rFonts w:hint="eastAsia" w:ascii="宋体" w:hAnsi="宋体"/>
          <w:color w:val="auto"/>
          <w:highlight w:val="none"/>
          <w:lang w:eastAsia="zh-CN"/>
        </w:rPr>
        <w:t>专用发票</w:t>
      </w:r>
      <w:r>
        <w:rPr>
          <w:rFonts w:hint="eastAsia" w:ascii="宋体" w:hAnsi="宋体"/>
          <w:color w:val="auto"/>
          <w:highlight w:val="none"/>
        </w:rPr>
        <w:t>的结算</w:t>
      </w:r>
      <w:r>
        <w:rPr>
          <w:rFonts w:hint="eastAsia" w:ascii="宋体" w:hAnsi="宋体"/>
          <w:color w:val="auto"/>
        </w:rPr>
        <w:t>单价。</w:t>
      </w:r>
    </w:p>
    <w:p>
      <w:pPr>
        <w:spacing w:line="400" w:lineRule="exact"/>
        <w:ind w:firstLine="482" w:firstLineChars="200"/>
        <w:rPr>
          <w:rFonts w:ascii="宋体" w:hAnsi="宋体"/>
          <w:b/>
          <w:color w:val="auto"/>
          <w:szCs w:val="21"/>
        </w:rPr>
      </w:pPr>
      <w:r>
        <w:rPr>
          <w:rFonts w:hint="eastAsia" w:ascii="宋体" w:hAnsi="宋体"/>
          <w:b/>
          <w:color w:val="auto"/>
          <w:szCs w:val="21"/>
        </w:rPr>
        <w:t>三、物资供应及</w:t>
      </w:r>
      <w:r>
        <w:rPr>
          <w:rFonts w:ascii="宋体" w:hAnsi="宋体"/>
          <w:b/>
          <w:color w:val="auto"/>
          <w:szCs w:val="21"/>
        </w:rPr>
        <w:t>计量方式</w:t>
      </w:r>
    </w:p>
    <w:p>
      <w:pPr>
        <w:snapToGrid w:val="0"/>
        <w:spacing w:line="400" w:lineRule="exact"/>
        <w:ind w:firstLine="480" w:firstLineChars="200"/>
        <w:rPr>
          <w:rFonts w:asciiTheme="minorEastAsia" w:hAnsiTheme="minorEastAsia"/>
          <w:b/>
          <w:color w:val="auto"/>
        </w:rPr>
      </w:pPr>
      <w:r>
        <w:rPr>
          <w:rFonts w:hint="eastAsia" w:asciiTheme="minorEastAsia" w:hAnsiTheme="minorEastAsia"/>
          <w:color w:val="auto"/>
        </w:rPr>
        <w:t>采用的计量方式:过磅计量。货物运至甲方指定地点过磅计量，以甲方磅单为准，计量单位为吨。误差超出3%可找第三方验证并以验证数量为准，过磅费用由过错方承担。</w:t>
      </w:r>
    </w:p>
    <w:p>
      <w:pPr>
        <w:snapToGrid w:val="0"/>
        <w:spacing w:line="400" w:lineRule="exact"/>
        <w:ind w:firstLine="441" w:firstLineChars="183"/>
        <w:rPr>
          <w:rFonts w:asciiTheme="minorEastAsia" w:hAnsiTheme="minorEastAsia"/>
          <w:b/>
          <w:color w:val="auto"/>
        </w:rPr>
      </w:pPr>
      <w:r>
        <w:rPr>
          <w:rFonts w:hint="eastAsia" w:asciiTheme="minorEastAsia" w:hAnsiTheme="minorEastAsia"/>
          <w:b/>
          <w:color w:val="auto"/>
        </w:rPr>
        <w:t>四、租赁费的结算支付</w:t>
      </w:r>
    </w:p>
    <w:p>
      <w:pPr>
        <w:spacing w:line="400" w:lineRule="exact"/>
        <w:ind w:firstLine="480" w:firstLineChars="200"/>
        <w:rPr>
          <w:rFonts w:asciiTheme="minorEastAsia" w:hAnsiTheme="minorEastAsia"/>
          <w:color w:val="auto"/>
        </w:rPr>
      </w:pPr>
      <w:r>
        <w:rPr>
          <w:rFonts w:ascii="宋体" w:hAnsi="宋体"/>
          <w:color w:val="auto"/>
          <w:szCs w:val="21"/>
        </w:rPr>
        <w:t>（一）</w:t>
      </w:r>
      <w:r>
        <w:rPr>
          <w:rFonts w:hint="eastAsia" w:asciiTheme="minorEastAsia" w:hAnsiTheme="minorEastAsia"/>
          <w:color w:val="auto"/>
        </w:rPr>
        <w:t>乙方结算人原则上应为合同指定结算人，非合同指定结算人办理运输结算时，须由合同当事人或持合同当事人签发的授权委托书。本合同指定结算人：</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姓名：</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asciiTheme="minorEastAsia" w:hAnsiTheme="minorEastAsia"/>
          <w:color w:val="auto"/>
        </w:rPr>
        <w:t>；</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联系电话：</w:t>
      </w:r>
      <w:r>
        <w:rPr>
          <w:rFonts w:asciiTheme="minorEastAsia" w:hAnsiTheme="minorEastAsia"/>
          <w:color w:val="auto"/>
          <w:u w:val="single"/>
        </w:rPr>
        <w:t xml:space="preserve">                 </w:t>
      </w:r>
      <w:r>
        <w:rPr>
          <w:rFonts w:asciiTheme="minorEastAsia" w:hAnsiTheme="minorEastAsia"/>
          <w:color w:val="auto"/>
        </w:rPr>
        <w:t>；</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身份证号：</w:t>
      </w:r>
      <w:r>
        <w:rPr>
          <w:rFonts w:asciiTheme="minorEastAsia" w:hAnsiTheme="minorEastAsia"/>
          <w:color w:val="auto"/>
          <w:u w:val="single"/>
        </w:rPr>
        <w:t xml:space="preserve">                 </w:t>
      </w:r>
      <w:r>
        <w:rPr>
          <w:rFonts w:asciiTheme="minorEastAsia" w:hAnsiTheme="minorEastAsia"/>
          <w:color w:val="auto"/>
        </w:rPr>
        <w:t>；</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开户行：</w:t>
      </w:r>
      <w:r>
        <w:rPr>
          <w:rFonts w:hint="eastAsia" w:asciiTheme="minorEastAsia" w:hAnsiTheme="minorEastAsia"/>
          <w:color w:val="auto"/>
          <w:u w:val="single"/>
        </w:rPr>
        <w:t xml:space="preserve"> </w:t>
      </w:r>
      <w:r>
        <w:rPr>
          <w:rFonts w:asciiTheme="minorEastAsia" w:hAnsiTheme="minorEastAsia"/>
          <w:color w:val="auto"/>
          <w:u w:val="single"/>
        </w:rPr>
        <w:t xml:space="preserve">                    </w:t>
      </w:r>
      <w:r>
        <w:rPr>
          <w:rFonts w:asciiTheme="minorEastAsia" w:hAnsiTheme="minorEastAsia"/>
          <w:color w:val="auto"/>
        </w:rPr>
        <w:t>；</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账号：</w:t>
      </w:r>
      <w:r>
        <w:rPr>
          <w:rFonts w:asciiTheme="minorEastAsia" w:hAnsiTheme="minorEastAsia"/>
          <w:color w:val="auto"/>
          <w:u w:val="single"/>
        </w:rPr>
        <w:t xml:space="preserve">                       </w:t>
      </w:r>
      <w:r>
        <w:rPr>
          <w:rFonts w:asciiTheme="minorEastAsia" w:hAnsiTheme="minorEastAsia"/>
          <w:color w:val="auto"/>
        </w:rPr>
        <w:t>。</w:t>
      </w:r>
    </w:p>
    <w:p>
      <w:pPr>
        <w:spacing w:line="400" w:lineRule="exact"/>
        <w:ind w:firstLine="480" w:firstLineChars="200"/>
        <w:rPr>
          <w:rFonts w:asciiTheme="minorEastAsia" w:hAnsiTheme="minorEastAsia"/>
          <w:color w:val="auto"/>
        </w:rPr>
      </w:pPr>
      <w:r>
        <w:rPr>
          <w:rFonts w:ascii="宋体" w:hAnsi="宋体"/>
          <w:color w:val="auto"/>
          <w:szCs w:val="21"/>
        </w:rPr>
        <w:t>（二）</w:t>
      </w:r>
      <w:r>
        <w:rPr>
          <w:rFonts w:hint="eastAsia" w:asciiTheme="minorEastAsia" w:hAnsiTheme="minorEastAsia"/>
          <w:color w:val="auto"/>
        </w:rPr>
        <w:t>结算方式：月结，一票结算。双方于每月15日后将上月16日至本月15日的运输量及时办理月结手续，乙方凭运单与甲方对账，由甲方开具对账单，对账单开具后运单交还给甲方留存，凭对账单开具结算单，乙方为</w:t>
      </w:r>
      <w:r>
        <w:rPr>
          <w:rFonts w:hint="eastAsia" w:asciiTheme="minorEastAsia" w:hAnsiTheme="minorEastAsia"/>
          <w:color w:val="auto"/>
          <w:lang w:eastAsia="zh-CN"/>
        </w:rPr>
        <w:t>（一般纳税人</w:t>
      </w:r>
      <w:r>
        <w:rPr>
          <w:rFonts w:hint="eastAsia" w:asciiTheme="minorEastAsia" w:hAnsiTheme="minorEastAsia"/>
          <w:color w:val="auto"/>
          <w:lang w:val="en-US" w:eastAsia="zh-CN"/>
        </w:rPr>
        <w:t>/</w:t>
      </w:r>
      <w:r>
        <w:rPr>
          <w:rFonts w:hint="eastAsia" w:asciiTheme="minorEastAsia" w:hAnsiTheme="minorEastAsia"/>
          <w:color w:val="auto"/>
          <w:lang w:eastAsia="zh-CN"/>
        </w:rPr>
        <w:t>小规模纳税人）</w:t>
      </w:r>
      <w:r>
        <w:rPr>
          <w:rFonts w:hint="eastAsia" w:asciiTheme="minorEastAsia" w:hAnsiTheme="minorEastAsia"/>
          <w:color w:val="auto"/>
        </w:rPr>
        <w:t>，并向甲方提交等额的符合甲方和国家税法要求的运输</w:t>
      </w:r>
      <w:r>
        <w:rPr>
          <w:rFonts w:hint="eastAsia" w:asciiTheme="minorEastAsia" w:hAnsiTheme="minorEastAsia"/>
          <w:b/>
          <w:bCs/>
          <w:color w:val="auto"/>
        </w:rPr>
        <w:t>增值税专用发票</w:t>
      </w:r>
      <w:r>
        <w:rPr>
          <w:rFonts w:hint="eastAsia" w:asciiTheme="minorEastAsia" w:hAnsiTheme="minorEastAsia"/>
          <w:color w:val="auto"/>
        </w:rPr>
        <w:t>，发票税率为</w:t>
      </w:r>
      <w:r>
        <w:rPr>
          <w:rFonts w:hint="eastAsia" w:asciiTheme="minorEastAsia" w:hAnsiTheme="minorEastAsia"/>
          <w:color w:val="auto"/>
          <w:lang w:val="en-US" w:eastAsia="zh-CN"/>
        </w:rPr>
        <w:t xml:space="preserve">  </w:t>
      </w:r>
      <w:r>
        <w:rPr>
          <w:rFonts w:hint="eastAsia" w:asciiTheme="minorEastAsia" w:hAnsiTheme="minorEastAsia"/>
          <w:color w:val="auto"/>
        </w:rPr>
        <w:t>%，开票信息如下：</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抬头：中建路桥集团高速公路养护有限公司石家庄市藁城分公司</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税号：91130182096345993W</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 xml:space="preserve">地址：河北省石家庄市藁城区兴安镇张村中街 </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电话：031186116760</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开户行：中国农业银行石家庄藁城支行</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账号：50314001040043860</w:t>
      </w:r>
    </w:p>
    <w:p>
      <w:pPr>
        <w:spacing w:line="400" w:lineRule="exact"/>
        <w:rPr>
          <w:rFonts w:asciiTheme="minorEastAsia" w:hAnsiTheme="minorEastAsia"/>
          <w:color w:val="auto"/>
        </w:rPr>
      </w:pPr>
      <w:r>
        <w:rPr>
          <w:rFonts w:hint="eastAsia" w:asciiTheme="minorEastAsia" w:hAnsiTheme="minorEastAsia"/>
          <w:color w:val="auto"/>
        </w:rPr>
        <w:t>否则，甲方有权拒绝付款而无需承担任何责任。</w:t>
      </w:r>
    </w:p>
    <w:p>
      <w:pPr>
        <w:spacing w:line="400" w:lineRule="exact"/>
        <w:ind w:firstLine="480" w:firstLineChars="200"/>
        <w:rPr>
          <w:rFonts w:hint="eastAsia" w:ascii="宋体" w:hAnsi="宋体" w:eastAsia="宋体" w:cs="宋体"/>
          <w:b/>
          <w:bCs/>
          <w:color w:val="auto"/>
        </w:rPr>
      </w:pPr>
      <w:r>
        <w:rPr>
          <w:rFonts w:ascii="宋体" w:hAnsi="宋体"/>
          <w:color w:val="auto"/>
          <w:szCs w:val="21"/>
        </w:rPr>
        <w:t>（三）</w:t>
      </w:r>
      <w:r>
        <w:rPr>
          <w:rFonts w:hint="eastAsia" w:asciiTheme="minorEastAsia" w:hAnsiTheme="minorEastAsia"/>
          <w:color w:val="auto"/>
        </w:rPr>
        <w:t>无预付款。</w:t>
      </w:r>
      <w:r>
        <w:rPr>
          <w:rFonts w:hint="eastAsia" w:ascii="宋体" w:hAnsi="宋体" w:eastAsia="宋体" w:cs="宋体"/>
          <w:color w:val="auto"/>
          <w:szCs w:val="21"/>
          <w:lang w:eastAsia="zh-CN"/>
        </w:rPr>
        <w:t>运输款</w:t>
      </w:r>
      <w:r>
        <w:rPr>
          <w:rFonts w:hint="eastAsia" w:ascii="宋体" w:hAnsi="宋体" w:eastAsia="宋体" w:cs="宋体"/>
          <w:color w:val="auto"/>
          <w:szCs w:val="21"/>
        </w:rPr>
        <w:t>来源于项目工程结算款，支付形式为银行电汇支付。甲方收到业主支付的工程款后按资金审批计划对货款进行</w:t>
      </w:r>
      <w:r>
        <w:rPr>
          <w:rFonts w:hint="eastAsia" w:ascii="宋体" w:hAnsi="宋体" w:eastAsia="宋体" w:cs="宋体"/>
          <w:color w:val="auto"/>
        </w:rPr>
        <w:t>支付，支付比例不超业主支付比例。暂定为在甲乙双方完成物资结算手续且甲方收到乙方相应全额发票后</w:t>
      </w:r>
      <w:r>
        <w:rPr>
          <w:rFonts w:hint="eastAsia" w:ascii="宋体" w:hAnsi="宋体" w:eastAsia="宋体" w:cs="宋体"/>
          <w:color w:val="auto"/>
          <w:lang w:val="en-US" w:eastAsia="zh-CN"/>
        </w:rPr>
        <w:t>3个月内支付至结算</w:t>
      </w:r>
      <w:r>
        <w:rPr>
          <w:rFonts w:hint="eastAsia" w:ascii="宋体" w:hAnsi="宋体" w:eastAsia="宋体" w:cs="宋体"/>
          <w:color w:val="auto"/>
        </w:rPr>
        <w:t>款的</w:t>
      </w:r>
      <w:r>
        <w:rPr>
          <w:rFonts w:hint="eastAsia" w:ascii="宋体" w:hAnsi="宋体" w:eastAsia="宋体" w:cs="宋体"/>
          <w:color w:val="auto"/>
          <w:lang w:val="en-US" w:eastAsia="zh-CN"/>
        </w:rPr>
        <w:t>8</w:t>
      </w:r>
      <w:r>
        <w:rPr>
          <w:rFonts w:hint="eastAsia" w:ascii="宋体" w:hAnsi="宋体" w:eastAsia="宋体" w:cs="宋体"/>
          <w:color w:val="auto"/>
        </w:rPr>
        <w:t>0%，</w:t>
      </w:r>
      <w:r>
        <w:rPr>
          <w:rFonts w:hint="eastAsia" w:ascii="宋体" w:hAnsi="宋体" w:eastAsia="宋体" w:cs="宋体"/>
          <w:color w:val="auto"/>
          <w:lang w:val="en-US" w:eastAsia="zh-CN"/>
        </w:rPr>
        <w:t>6个月内</w:t>
      </w:r>
      <w:r>
        <w:rPr>
          <w:rFonts w:hint="eastAsia" w:ascii="宋体" w:hAnsi="宋体" w:eastAsia="宋体" w:cs="宋体"/>
          <w:color w:val="auto"/>
        </w:rPr>
        <w:t>支付</w:t>
      </w:r>
      <w:r>
        <w:rPr>
          <w:rFonts w:hint="eastAsia" w:ascii="宋体" w:hAnsi="宋体" w:eastAsia="宋体" w:cs="宋体"/>
          <w:color w:val="auto"/>
          <w:lang w:eastAsia="zh-CN"/>
        </w:rPr>
        <w:t>到结算款</w:t>
      </w:r>
      <w:r>
        <w:rPr>
          <w:rFonts w:hint="eastAsia" w:ascii="宋体" w:hAnsi="宋体" w:eastAsia="宋体" w:cs="宋体"/>
          <w:color w:val="auto"/>
        </w:rPr>
        <w:t>的</w:t>
      </w:r>
      <w:r>
        <w:rPr>
          <w:rFonts w:hint="eastAsia" w:ascii="宋体" w:hAnsi="宋体" w:eastAsia="宋体" w:cs="宋体"/>
          <w:color w:val="auto"/>
          <w:lang w:val="en-US" w:eastAsia="zh-CN"/>
        </w:rPr>
        <w:t>100</w:t>
      </w:r>
      <w:r>
        <w:rPr>
          <w:rFonts w:hint="eastAsia" w:ascii="宋体" w:hAnsi="宋体" w:eastAsia="宋体" w:cs="宋体"/>
          <w:color w:val="auto"/>
        </w:rPr>
        <w:t>%</w:t>
      </w:r>
      <w:r>
        <w:rPr>
          <w:rFonts w:hint="eastAsia" w:ascii="宋体" w:hAnsi="宋体" w:eastAsia="宋体" w:cs="宋体"/>
          <w:color w:val="auto"/>
          <w:lang w:eastAsia="zh-CN"/>
        </w:rPr>
        <w:t>，以此类推。</w:t>
      </w:r>
      <w:r>
        <w:rPr>
          <w:rFonts w:hint="eastAsia" w:ascii="宋体" w:hAnsi="宋体" w:eastAsia="宋体" w:cs="宋体"/>
          <w:color w:val="auto"/>
        </w:rPr>
        <w:t>以上付款比例及付款节点按业主实际资金拨付情况和项目资金状况进行调整，支付比例不超过业主拨付比例。若业主付款提前或推迟则该付款期限相应提前、推迟。如甲方延迟支付货款，甲方对延期支付部分</w:t>
      </w:r>
      <w:r>
        <w:rPr>
          <w:rFonts w:hint="eastAsia" w:ascii="宋体" w:hAnsi="宋体" w:eastAsia="宋体" w:cs="宋体"/>
          <w:color w:val="auto"/>
          <w:lang w:eastAsia="zh-CN"/>
        </w:rPr>
        <w:t>不</w:t>
      </w:r>
      <w:r>
        <w:rPr>
          <w:rFonts w:hint="eastAsia" w:ascii="宋体" w:hAnsi="宋体" w:eastAsia="宋体" w:cs="宋体"/>
          <w:color w:val="auto"/>
        </w:rPr>
        <w:t>承担逾期利息。</w:t>
      </w:r>
      <w:r>
        <w:rPr>
          <w:rFonts w:hint="eastAsia" w:ascii="宋体" w:hAnsi="宋体" w:eastAsia="宋体" w:cs="宋体"/>
          <w:b/>
          <w:bCs/>
          <w:color w:val="auto"/>
        </w:rPr>
        <w:t>乙方对于本条款完全理解，并同意接受上述支付时间及相应支付比例的约定。</w:t>
      </w:r>
    </w:p>
    <w:p>
      <w:pPr>
        <w:spacing w:line="400" w:lineRule="exact"/>
        <w:ind w:firstLine="480" w:firstLineChars="200"/>
        <w:rPr>
          <w:rFonts w:asciiTheme="minorEastAsia" w:hAnsiTheme="minorEastAsia"/>
          <w:color w:val="auto"/>
        </w:rPr>
      </w:pPr>
      <w:r>
        <w:rPr>
          <w:rFonts w:ascii="宋体" w:hAnsi="宋体"/>
          <w:color w:val="auto"/>
          <w:szCs w:val="21"/>
        </w:rPr>
        <w:t>（四）</w:t>
      </w:r>
      <w:r>
        <w:rPr>
          <w:rFonts w:hint="eastAsia" w:asciiTheme="minorEastAsia" w:hAnsiTheme="minorEastAsia"/>
          <w:color w:val="auto"/>
        </w:rPr>
        <w:t>非合同约定的正规发票造成的损失全部由乙方承担，并支付“问题发票”等额的违约金给甲方。乙方向甲方申请本合同下的款项并提供相关发票过程中，与之相关的各种税费由乙方承担。</w:t>
      </w:r>
    </w:p>
    <w:p>
      <w:pPr>
        <w:spacing w:line="400" w:lineRule="exact"/>
        <w:ind w:firstLine="480" w:firstLineChars="200"/>
        <w:rPr>
          <w:rFonts w:asciiTheme="minorEastAsia" w:hAnsiTheme="minorEastAsia"/>
          <w:color w:val="auto"/>
        </w:rPr>
      </w:pPr>
      <w:r>
        <w:rPr>
          <w:rFonts w:ascii="宋体" w:hAnsi="宋体"/>
          <w:color w:val="auto"/>
          <w:szCs w:val="21"/>
        </w:rPr>
        <w:t>（五）</w:t>
      </w:r>
      <w:r>
        <w:rPr>
          <w:rFonts w:hint="eastAsia" w:asciiTheme="minorEastAsia" w:hAnsiTheme="minorEastAsia"/>
          <w:color w:val="auto"/>
        </w:rPr>
        <w:t>因本工程业主计量滞后工程款不能及时到位时，付款时间相应顺延，甲方不承担任何利息或其他费用。</w:t>
      </w:r>
    </w:p>
    <w:p>
      <w:pPr>
        <w:spacing w:line="400" w:lineRule="exact"/>
        <w:ind w:firstLine="480" w:firstLineChars="200"/>
        <w:rPr>
          <w:rFonts w:asciiTheme="minorEastAsia" w:hAnsiTheme="minorEastAsia"/>
          <w:color w:val="auto"/>
        </w:rPr>
      </w:pPr>
      <w:r>
        <w:rPr>
          <w:rFonts w:ascii="宋体" w:hAnsi="宋体"/>
          <w:color w:val="auto"/>
          <w:szCs w:val="21"/>
        </w:rPr>
        <w:t>（六）</w:t>
      </w:r>
      <w:r>
        <w:rPr>
          <w:rFonts w:hint="eastAsia" w:asciiTheme="minorEastAsia" w:hAnsiTheme="minorEastAsia"/>
          <w:color w:val="auto"/>
        </w:rPr>
        <w:t>付款方式：按合同指定银行账户转账。甲方向乙方付款采用电汇形式，乙方须保证对甲方的资金往来账户与签订合同名称一致，开票单位名称与签订合同名称一致。</w:t>
      </w:r>
    </w:p>
    <w:p>
      <w:pPr>
        <w:spacing w:line="400" w:lineRule="exact"/>
        <w:ind w:firstLine="679" w:firstLineChars="282"/>
        <w:rPr>
          <w:rFonts w:asciiTheme="minorEastAsia" w:hAnsiTheme="minorEastAsia"/>
          <w:b/>
          <w:color w:val="auto"/>
        </w:rPr>
      </w:pPr>
      <w:r>
        <w:rPr>
          <w:rFonts w:hint="eastAsia" w:asciiTheme="minorEastAsia" w:hAnsiTheme="minorEastAsia"/>
          <w:b/>
          <w:color w:val="auto"/>
        </w:rPr>
        <w:t>五、履约保证金</w:t>
      </w:r>
    </w:p>
    <w:p>
      <w:pPr>
        <w:spacing w:line="400" w:lineRule="exact"/>
        <w:ind w:firstLine="480" w:firstLineChars="200"/>
        <w:rPr>
          <w:rFonts w:ascii="宋体" w:hAnsi="宋体"/>
          <w:color w:val="auto"/>
          <w:szCs w:val="21"/>
        </w:rPr>
      </w:pPr>
      <w:r>
        <w:rPr>
          <w:rFonts w:ascii="宋体" w:hAnsi="宋体"/>
          <w:color w:val="auto"/>
          <w:szCs w:val="21"/>
        </w:rPr>
        <w:t>（一）</w:t>
      </w:r>
      <w:r>
        <w:rPr>
          <w:rFonts w:hint="eastAsia" w:ascii="宋体" w:hAnsi="宋体"/>
          <w:color w:val="auto"/>
          <w:szCs w:val="21"/>
        </w:rPr>
        <w:t>履约保证金为</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lang w:val="en-US" w:eastAsia="zh-CN"/>
        </w:rPr>
        <w:t>2</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万元。</w:t>
      </w:r>
    </w:p>
    <w:p>
      <w:pPr>
        <w:spacing w:line="400" w:lineRule="exact"/>
        <w:ind w:firstLine="480" w:firstLineChars="200"/>
        <w:rPr>
          <w:rFonts w:ascii="宋体" w:hAnsi="宋体"/>
          <w:color w:val="auto"/>
          <w:szCs w:val="21"/>
        </w:rPr>
      </w:pPr>
      <w:r>
        <w:rPr>
          <w:rFonts w:ascii="宋体" w:hAnsi="宋体"/>
          <w:color w:val="auto"/>
          <w:szCs w:val="21"/>
        </w:rPr>
        <w:t>（二）</w:t>
      </w:r>
      <w:r>
        <w:rPr>
          <w:rFonts w:hint="eastAsia" w:asciiTheme="minorEastAsia" w:hAnsiTheme="minorEastAsia"/>
          <w:color w:val="auto"/>
          <w:szCs w:val="21"/>
        </w:rPr>
        <w:t>本合同在乙方提供履约担保后，由双方法定代表人或其委托代理人签署并加盖单位章后生效。履约保证金以现金或保函形式缴纳。</w:t>
      </w:r>
    </w:p>
    <w:p>
      <w:pPr>
        <w:spacing w:line="400" w:lineRule="exact"/>
        <w:ind w:firstLine="480" w:firstLineChars="200"/>
        <w:rPr>
          <w:rFonts w:ascii="宋体" w:hAnsi="宋体"/>
          <w:color w:val="auto"/>
          <w:szCs w:val="21"/>
        </w:rPr>
      </w:pPr>
      <w:r>
        <w:rPr>
          <w:rFonts w:ascii="宋体" w:hAnsi="宋体"/>
          <w:color w:val="auto"/>
          <w:szCs w:val="21"/>
        </w:rPr>
        <w:t>（三）</w:t>
      </w:r>
      <w:r>
        <w:rPr>
          <w:rFonts w:hint="eastAsia" w:ascii="宋体" w:hAnsi="宋体"/>
          <w:color w:val="auto"/>
          <w:szCs w:val="21"/>
        </w:rPr>
        <w:t>在合同完成后</w:t>
      </w:r>
      <w:r>
        <w:rPr>
          <w:rFonts w:hint="eastAsia" w:ascii="宋体" w:hAnsi="宋体"/>
          <w:color w:val="auto"/>
          <w:szCs w:val="21"/>
          <w:u w:val="single"/>
        </w:rPr>
        <w:t xml:space="preserve"> 30  </w:t>
      </w:r>
      <w:r>
        <w:rPr>
          <w:rFonts w:hint="eastAsia" w:ascii="宋体" w:hAnsi="宋体"/>
          <w:color w:val="auto"/>
          <w:szCs w:val="21"/>
        </w:rPr>
        <w:t>个工作日</w:t>
      </w:r>
      <w:r>
        <w:rPr>
          <w:rFonts w:ascii="宋体" w:hAnsi="宋体"/>
          <w:color w:val="auto"/>
          <w:szCs w:val="21"/>
        </w:rPr>
        <w:t>内</w:t>
      </w:r>
      <w:r>
        <w:rPr>
          <w:rFonts w:hint="eastAsia" w:ascii="宋体" w:hAnsi="宋体"/>
          <w:color w:val="auto"/>
          <w:szCs w:val="21"/>
        </w:rPr>
        <w:t>甲方无息退还乙方履约保证金。</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如发生以下任何一种情况履约保证金不予退还：</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（一）无法正常运输的情况，包括任何原因的不运输及连续5天未能按甲方要求的数量进行运输。</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（二）不服从甲方管理的情况。</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（三）因乙方原因给甲方造成损失的情况。</w:t>
      </w:r>
    </w:p>
    <w:p>
      <w:pPr>
        <w:spacing w:line="400" w:lineRule="exact"/>
        <w:ind w:firstLine="480" w:firstLineChars="200"/>
        <w:rPr>
          <w:rFonts w:asciiTheme="minorEastAsia" w:hAnsiTheme="minorEastAsia"/>
          <w:color w:val="auto"/>
        </w:rPr>
      </w:pPr>
      <w:r>
        <w:rPr>
          <w:rFonts w:hint="eastAsia" w:asciiTheme="minorEastAsia" w:hAnsiTheme="minorEastAsia"/>
          <w:color w:val="auto"/>
        </w:rPr>
        <w:t>在</w:t>
      </w:r>
      <w:r>
        <w:rPr>
          <w:rFonts w:hint="eastAsia" w:asciiTheme="minorEastAsia" w:hAnsiTheme="minorEastAsia"/>
          <w:color w:val="auto"/>
          <w:lang w:eastAsia="zh-CN"/>
        </w:rPr>
        <w:t>结算全部完成</w:t>
      </w:r>
      <w:r>
        <w:rPr>
          <w:rFonts w:hint="eastAsia" w:asciiTheme="minorEastAsia" w:hAnsiTheme="minorEastAsia"/>
          <w:color w:val="auto"/>
        </w:rPr>
        <w:t>后30个工作日内无息返还乙方履约保证金。</w:t>
      </w:r>
    </w:p>
    <w:p>
      <w:pPr>
        <w:snapToGrid w:val="0"/>
        <w:spacing w:line="400" w:lineRule="exact"/>
        <w:ind w:firstLine="441" w:firstLineChars="183"/>
        <w:rPr>
          <w:rFonts w:asciiTheme="minorEastAsia" w:hAnsiTheme="minorEastAsia"/>
          <w:b/>
          <w:color w:val="auto"/>
        </w:rPr>
      </w:pPr>
      <w:r>
        <w:rPr>
          <w:rFonts w:hint="eastAsia" w:asciiTheme="minorEastAsia" w:hAnsiTheme="minorEastAsia"/>
          <w:b/>
          <w:color w:val="auto"/>
        </w:rPr>
        <w:t>六、甲方的责任与义务</w:t>
      </w:r>
    </w:p>
    <w:p>
      <w:pPr>
        <w:snapToGrid w:val="0"/>
        <w:spacing w:line="400" w:lineRule="exact"/>
        <w:ind w:firstLine="480" w:firstLineChars="200"/>
        <w:rPr>
          <w:rFonts w:asciiTheme="minorEastAsia" w:hAnsiTheme="minorEastAsia"/>
          <w:color w:val="auto"/>
        </w:rPr>
      </w:pPr>
      <w:r>
        <w:rPr>
          <w:rFonts w:hint="eastAsia" w:asciiTheme="minorEastAsia" w:hAnsiTheme="minorEastAsia"/>
          <w:color w:val="auto"/>
        </w:rPr>
        <w:t>（一）提供进入工地的便道，并及时维护行车便道。</w:t>
      </w:r>
    </w:p>
    <w:p>
      <w:pPr>
        <w:snapToGrid w:val="0"/>
        <w:spacing w:line="400" w:lineRule="exact"/>
        <w:ind w:firstLine="480" w:firstLineChars="200"/>
        <w:rPr>
          <w:rFonts w:asciiTheme="minorEastAsia" w:hAnsiTheme="minorEastAsia"/>
          <w:color w:val="auto"/>
        </w:rPr>
      </w:pPr>
      <w:r>
        <w:rPr>
          <w:rFonts w:hint="eastAsia" w:asciiTheme="minorEastAsia" w:hAnsiTheme="minorEastAsia"/>
          <w:color w:val="auto"/>
        </w:rPr>
        <w:t>（二）设专人配合乙方过磅收发料。</w:t>
      </w:r>
    </w:p>
    <w:p>
      <w:pPr>
        <w:snapToGrid w:val="0"/>
        <w:spacing w:line="400" w:lineRule="exact"/>
        <w:ind w:firstLine="480" w:firstLineChars="200"/>
        <w:rPr>
          <w:rFonts w:asciiTheme="minorEastAsia" w:hAnsiTheme="minorEastAsia"/>
          <w:color w:val="auto"/>
        </w:rPr>
      </w:pPr>
      <w:r>
        <w:rPr>
          <w:rFonts w:hint="eastAsia" w:asciiTheme="minorEastAsia" w:hAnsiTheme="minorEastAsia"/>
          <w:color w:val="auto"/>
        </w:rPr>
        <w:t>（三）按合同规定及时支付运输款。</w:t>
      </w:r>
    </w:p>
    <w:p>
      <w:pPr>
        <w:snapToGrid w:val="0"/>
        <w:spacing w:line="400" w:lineRule="exact"/>
        <w:ind w:firstLine="480" w:firstLineChars="200"/>
        <w:rPr>
          <w:rFonts w:asciiTheme="minorEastAsia" w:hAnsiTheme="minorEastAsia"/>
          <w:color w:val="auto"/>
        </w:rPr>
      </w:pPr>
      <w:r>
        <w:rPr>
          <w:rFonts w:hint="eastAsia" w:asciiTheme="minorEastAsia" w:hAnsiTheme="minorEastAsia"/>
          <w:color w:val="auto"/>
        </w:rPr>
        <w:t>（四）甲方根据施工安排情况提前2天告知乙方，给乙方时间调配车辆。</w:t>
      </w:r>
    </w:p>
    <w:p>
      <w:pPr>
        <w:snapToGrid w:val="0"/>
        <w:spacing w:line="360" w:lineRule="exact"/>
        <w:ind w:firstLine="241" w:firstLineChars="100"/>
        <w:rPr>
          <w:rFonts w:asciiTheme="minorEastAsia" w:hAnsiTheme="minorEastAsia"/>
          <w:b/>
          <w:color w:val="auto"/>
        </w:rPr>
      </w:pPr>
      <w:r>
        <w:rPr>
          <w:rFonts w:hint="eastAsia" w:asciiTheme="minorEastAsia" w:hAnsiTheme="minorEastAsia"/>
          <w:b/>
          <w:color w:val="auto"/>
        </w:rPr>
        <w:t>七、乙方的责任与义务</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（一）乙方自理操作人员食宿。</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二）施工现场道路情况复杂，故要求乙方车况必须良好，手续齐全合规；进场车辆不少于25辆运输车。乙方应根据甲方工地需要及时进行运输车数量调整，要求司机相应车型驾龄五年以上，身体健康、反应灵敏、技术娴熟；乙方必须给设备和司机等购买保险。</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（三）乙方必须服从甲方的统一调度，乙方应指定一名现场车辆管理或调度人员。保证每天24小时随叫随到，且将运输的</w:t>
      </w:r>
      <w:r>
        <w:rPr>
          <w:rFonts w:hint="eastAsia" w:asciiTheme="minorEastAsia" w:hAnsiTheme="minorEastAsia"/>
          <w:color w:val="auto"/>
          <w:lang w:eastAsia="zh-CN"/>
        </w:rPr>
        <w:t>水稳级配成品料</w:t>
      </w:r>
      <w:r>
        <w:rPr>
          <w:rFonts w:hint="eastAsia" w:asciiTheme="minorEastAsia" w:hAnsiTheme="minorEastAsia"/>
          <w:color w:val="auto"/>
        </w:rPr>
        <w:t>送至甲方指定地点，并保证</w:t>
      </w:r>
      <w:r>
        <w:rPr>
          <w:rFonts w:hint="eastAsia" w:asciiTheme="minorEastAsia" w:hAnsiTheme="minorEastAsia"/>
          <w:color w:val="auto"/>
          <w:lang w:eastAsia="zh-CN"/>
        </w:rPr>
        <w:t>水稳级配成品料</w:t>
      </w:r>
      <w:r>
        <w:rPr>
          <w:rFonts w:hint="eastAsia" w:asciiTheme="minorEastAsia" w:hAnsiTheme="minorEastAsia"/>
          <w:color w:val="auto"/>
        </w:rPr>
        <w:t>不被盗窃、调换，如在运输期间发生上述事件，造成的甲方全部损失由乙方负责赔偿。若乙方未能服从甲方调度，耽误甲方生产，给甲方造成损失，甲方有权要求乙方换人，并承担甲方的相应损失。</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四）乙方应在生产间隙中安排车辆的维修保养，维修保养以不影响甲方工地的生产为原则，若因乙方车况未能满足甲方生产要求或有安全隐患，乙方必须及时调车到场更换，且只能在新车到场后征得甲方同意后故障车方可退场，其产生的进退场费用由乙方自行承担。</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（五）乙方车辆进场后自行管理，但车辆CI标识、保温</w:t>
      </w:r>
      <w:r>
        <w:rPr>
          <w:rFonts w:hint="eastAsia" w:asciiTheme="minorEastAsia" w:hAnsiTheme="minorEastAsia"/>
          <w:color w:val="auto"/>
          <w:lang w:eastAsia="zh-CN"/>
        </w:rPr>
        <w:t>保湿篷布</w:t>
      </w:r>
      <w:r>
        <w:rPr>
          <w:rFonts w:hint="eastAsia" w:asciiTheme="minorEastAsia" w:hAnsiTheme="minorEastAsia"/>
          <w:color w:val="auto"/>
        </w:rPr>
        <w:t>，或根据业主或甲方要求相应增加的附属物品，乙方必须按照业主或甲方要求增加，费用由乙方承担。</w:t>
      </w:r>
    </w:p>
    <w:p>
      <w:pPr>
        <w:snapToGrid w:val="0"/>
        <w:spacing w:line="360" w:lineRule="exact"/>
        <w:ind w:firstLine="480" w:firstLineChars="200"/>
        <w:rPr>
          <w:rFonts w:asciiTheme="minorEastAsia" w:hAnsiTheme="minorEastAsia"/>
          <w:color w:val="auto"/>
          <w:highlight w:val="none"/>
        </w:rPr>
      </w:pPr>
      <w:r>
        <w:rPr>
          <w:rFonts w:hint="eastAsia" w:asciiTheme="minorEastAsia" w:hAnsiTheme="minorEastAsia"/>
          <w:color w:val="auto"/>
        </w:rPr>
        <w:t>（六）乙方驾驶员必须持证上岗，严格按操作规程操作，若因驾驶员违章操作、无证驾驶、酒后驾驶</w:t>
      </w:r>
      <w:r>
        <w:rPr>
          <w:rFonts w:hint="eastAsia" w:asciiTheme="minorEastAsia" w:hAnsiTheme="minorEastAsia"/>
          <w:color w:val="auto"/>
          <w:lang w:eastAsia="zh-CN"/>
        </w:rPr>
        <w:t>、疲劳</w:t>
      </w:r>
      <w:r>
        <w:rPr>
          <w:rFonts w:hint="eastAsia" w:asciiTheme="minorEastAsia" w:hAnsiTheme="minorEastAsia"/>
          <w:color w:val="auto"/>
          <w:highlight w:val="none"/>
          <w:lang w:eastAsia="zh-CN"/>
        </w:rPr>
        <w:t>驾驶</w:t>
      </w:r>
      <w:r>
        <w:rPr>
          <w:rFonts w:hint="eastAsia" w:asciiTheme="minorEastAsia" w:hAnsiTheme="minorEastAsia"/>
          <w:color w:val="auto"/>
          <w:highlight w:val="none"/>
        </w:rPr>
        <w:t>等违反《道路交通安全法等法》规定，造成安全事故，其责任及损失均由乙方负责，驾驶员进场时需提供驾驶证、从业资格证。</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highlight w:val="none"/>
        </w:rPr>
        <w:t>（七）乙方必须保证所进场</w:t>
      </w:r>
      <w:r>
        <w:rPr>
          <w:rFonts w:hint="eastAsia" w:asciiTheme="minorEastAsia" w:hAnsiTheme="minorEastAsia"/>
          <w:color w:val="auto"/>
        </w:rPr>
        <w:t>人员的身体健康，如在合同期内发生疾病，打架斗殴等造成自身或第三方伤亡的，乙方承担全部责任。</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（八）</w:t>
      </w:r>
      <w:r>
        <w:rPr>
          <w:rFonts w:hint="eastAsia" w:asciiTheme="minorEastAsia" w:hAnsiTheme="minorEastAsia"/>
          <w:color w:val="auto"/>
          <w:lang w:eastAsia="zh-CN"/>
        </w:rPr>
        <w:t>运输车辆</w:t>
      </w:r>
      <w:r>
        <w:rPr>
          <w:rFonts w:hint="eastAsia" w:asciiTheme="minorEastAsia" w:hAnsiTheme="minorEastAsia"/>
          <w:color w:val="auto"/>
        </w:rPr>
        <w:t>所用柴油乙方负责采购保管，并支付及承担相关采购保管费用。</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（九）乙方进场人员</w:t>
      </w:r>
      <w:r>
        <w:rPr>
          <w:rFonts w:hint="eastAsia" w:asciiTheme="minorEastAsia" w:hAnsiTheme="minorEastAsia"/>
          <w:color w:val="auto"/>
          <w:lang w:eastAsia="zh-CN"/>
        </w:rPr>
        <w:t>、</w:t>
      </w:r>
      <w:r>
        <w:rPr>
          <w:rFonts w:hint="eastAsia" w:asciiTheme="minorEastAsia" w:hAnsiTheme="minorEastAsia"/>
          <w:color w:val="auto"/>
        </w:rPr>
        <w:t>车辆必须按招标文件要求，给进场人员及设备均需购买不低于50万以上的商业保险，人员进场时需提供保险单，对未购买保险的人员，车辆，甲方有权拒绝进场。造成人员，车辆，误工等损失由乙方承担。</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十）乙方应遵守国家和地方有关环境保护的相关规定，采取必要措施防止运输中发生有害物质泄漏，对周边环境造成污染，乙方在运输过程中如发生交通事故、人身伤害、通讯或电力线路损害、污染物泄漏等，所造成的一切损失、罚款及其他一切责任，均由乙方自行负担。如造成甲方的财产损失或人身损害的，乙方向甲方赔偿上述所有损失。包括但不限于由此引发的诉讼费、代理费、差旅费等相关费用。</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（十一）</w:t>
      </w:r>
      <w:r>
        <w:rPr>
          <w:rFonts w:hint="eastAsia" w:asciiTheme="minorEastAsia" w:hAnsiTheme="minorEastAsia"/>
          <w:color w:val="auto"/>
          <w:lang w:eastAsia="zh-CN"/>
        </w:rPr>
        <w:t>乙</w:t>
      </w:r>
      <w:r>
        <w:rPr>
          <w:rFonts w:hint="eastAsia" w:asciiTheme="minorEastAsia" w:hAnsiTheme="minorEastAsia"/>
          <w:color w:val="auto"/>
        </w:rPr>
        <w:t>方运输</w:t>
      </w:r>
      <w:r>
        <w:rPr>
          <w:rFonts w:hint="eastAsia" w:asciiTheme="minorEastAsia" w:hAnsiTheme="minorEastAsia"/>
          <w:color w:val="auto"/>
          <w:lang w:eastAsia="zh-CN"/>
        </w:rPr>
        <w:t>水稳级配成品料</w:t>
      </w:r>
      <w:r>
        <w:rPr>
          <w:rFonts w:hint="eastAsia" w:asciiTheme="minorEastAsia" w:hAnsiTheme="minorEastAsia"/>
          <w:color w:val="auto"/>
        </w:rPr>
        <w:t>过程中，应做好</w:t>
      </w:r>
      <w:r>
        <w:rPr>
          <w:rFonts w:hint="eastAsia" w:asciiTheme="minorEastAsia" w:hAnsiTheme="minorEastAsia"/>
          <w:color w:val="auto"/>
          <w:lang w:eastAsia="zh-CN"/>
        </w:rPr>
        <w:t>环保</w:t>
      </w:r>
      <w:r>
        <w:rPr>
          <w:rFonts w:hint="eastAsia" w:asciiTheme="minorEastAsia" w:hAnsiTheme="minorEastAsia"/>
          <w:color w:val="auto"/>
        </w:rPr>
        <w:t>措施，加盖篷布，保证</w:t>
      </w:r>
      <w:r>
        <w:rPr>
          <w:rFonts w:hint="eastAsia" w:asciiTheme="minorEastAsia" w:hAnsiTheme="minorEastAsia"/>
          <w:color w:val="auto"/>
          <w:lang w:eastAsia="zh-CN"/>
        </w:rPr>
        <w:t>水稳级配成品料</w:t>
      </w:r>
      <w:r>
        <w:rPr>
          <w:rFonts w:hint="eastAsia" w:asciiTheme="minorEastAsia" w:hAnsiTheme="minorEastAsia"/>
          <w:color w:val="auto"/>
        </w:rPr>
        <w:t>运抵施工现场时，</w:t>
      </w:r>
      <w:r>
        <w:rPr>
          <w:rFonts w:hint="eastAsia" w:asciiTheme="minorEastAsia" w:hAnsiTheme="minorEastAsia"/>
          <w:color w:val="auto"/>
          <w:lang w:eastAsia="zh-CN"/>
        </w:rPr>
        <w:t>符合</w:t>
      </w:r>
      <w:r>
        <w:rPr>
          <w:rFonts w:hint="eastAsia" w:asciiTheme="minorEastAsia" w:hAnsiTheme="minorEastAsia"/>
          <w:color w:val="auto"/>
        </w:rPr>
        <w:t>甲方施工要求。因乙方</w:t>
      </w:r>
      <w:r>
        <w:rPr>
          <w:rFonts w:hint="eastAsia" w:asciiTheme="minorEastAsia" w:hAnsiTheme="minorEastAsia"/>
          <w:color w:val="auto"/>
          <w:lang w:eastAsia="zh-CN"/>
        </w:rPr>
        <w:t>未盖篷布</w:t>
      </w:r>
      <w:r>
        <w:rPr>
          <w:rFonts w:hint="eastAsia" w:asciiTheme="minorEastAsia" w:hAnsiTheme="minorEastAsia"/>
          <w:color w:val="auto"/>
        </w:rPr>
        <w:t>，致使</w:t>
      </w:r>
      <w:r>
        <w:rPr>
          <w:rFonts w:hint="eastAsia" w:asciiTheme="minorEastAsia" w:hAnsiTheme="minorEastAsia"/>
          <w:color w:val="auto"/>
          <w:lang w:eastAsia="zh-CN"/>
        </w:rPr>
        <w:t>成品料</w:t>
      </w:r>
      <w:r>
        <w:rPr>
          <w:rFonts w:hint="eastAsia" w:asciiTheme="minorEastAsia" w:hAnsiTheme="minorEastAsia"/>
          <w:color w:val="auto"/>
        </w:rPr>
        <w:t>运抵施工现场无法使用的，乙方向甲方赔偿由此引发的所有损失。</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十二）机械进出场事宜由乙方负责，进场费、退场费由乙方承担。机械进出场过程中所发生的任何事件、纠纷，乙方必须自行承担，由此引起的一切刑事责任和民事责任，由乙方自行处理一切善后事宜，以保证甲方的各项工作正常进行。</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（十三）乙方及乙方人员应认真遵守国家的有关法律、法规及当地的乡规民约；并认真遵守当地政府部门的有关规定。</w:t>
      </w:r>
    </w:p>
    <w:p>
      <w:pPr>
        <w:snapToGrid w:val="0"/>
        <w:spacing w:line="360" w:lineRule="exact"/>
        <w:ind w:firstLine="482" w:firstLineChars="200"/>
        <w:rPr>
          <w:rFonts w:asciiTheme="minorEastAsia" w:hAnsiTheme="minorEastAsia"/>
          <w:b/>
          <w:bCs/>
          <w:color w:val="auto"/>
        </w:rPr>
      </w:pPr>
      <w:r>
        <w:rPr>
          <w:rFonts w:hint="eastAsia" w:asciiTheme="minorEastAsia" w:hAnsiTheme="minorEastAsia"/>
          <w:b/>
          <w:bCs/>
          <w:color w:val="auto"/>
        </w:rPr>
        <w:t>八、其它约定</w:t>
      </w:r>
    </w:p>
    <w:p>
      <w:pPr>
        <w:spacing w:line="360" w:lineRule="exact"/>
        <w:ind w:firstLine="480" w:firstLineChars="200"/>
        <w:rPr>
          <w:rFonts w:asciiTheme="minorEastAsia" w:hAnsiTheme="minorEastAsia"/>
          <w:color w:val="auto"/>
        </w:rPr>
      </w:pPr>
      <w:r>
        <w:rPr>
          <w:rFonts w:hint="eastAsia" w:asciiTheme="minorEastAsia" w:hAnsiTheme="minorEastAsia"/>
          <w:color w:val="auto"/>
        </w:rPr>
        <w:t>（一）因工程建设业主、总监及相关部门出台的相关规定文件、或市场准入制度造成合同不能执行，甲方不负担任何责任。</w:t>
      </w:r>
    </w:p>
    <w:p>
      <w:pPr>
        <w:spacing w:line="360" w:lineRule="exact"/>
        <w:ind w:firstLine="480" w:firstLineChars="200"/>
        <w:rPr>
          <w:rFonts w:asciiTheme="minorEastAsia" w:hAnsiTheme="minorEastAsia"/>
          <w:color w:val="auto"/>
        </w:rPr>
      </w:pPr>
      <w:r>
        <w:rPr>
          <w:rFonts w:hint="eastAsia" w:asciiTheme="minorEastAsia" w:hAnsiTheme="minorEastAsia"/>
          <w:color w:val="auto"/>
        </w:rPr>
        <w:t>（二）合同未尽事宜或出现争执，双方可以在本合同执行过程中，通过协商，以签订补充协议的方式加以解决，补充协议与本合同具有同等法律效力。</w:t>
      </w:r>
    </w:p>
    <w:p>
      <w:pPr>
        <w:tabs>
          <w:tab w:val="left" w:pos="810"/>
        </w:tabs>
        <w:spacing w:line="360" w:lineRule="exact"/>
        <w:ind w:firstLine="241" w:firstLineChars="100"/>
        <w:jc w:val="left"/>
        <w:rPr>
          <w:rFonts w:asciiTheme="minorEastAsia" w:hAnsiTheme="minorEastAsia"/>
          <w:b/>
          <w:bCs/>
          <w:color w:val="auto"/>
        </w:rPr>
      </w:pPr>
      <w:r>
        <w:rPr>
          <w:rFonts w:hint="eastAsia" w:asciiTheme="minorEastAsia" w:hAnsiTheme="minorEastAsia"/>
          <w:b/>
          <w:bCs/>
          <w:color w:val="auto"/>
        </w:rPr>
        <w:t xml:space="preserve">九、不可抗力 </w:t>
      </w:r>
    </w:p>
    <w:p>
      <w:pPr>
        <w:tabs>
          <w:tab w:val="left" w:pos="810"/>
        </w:tabs>
        <w:spacing w:line="360" w:lineRule="exact"/>
        <w:ind w:firstLine="480" w:firstLineChars="200"/>
        <w:jc w:val="left"/>
        <w:rPr>
          <w:rFonts w:asciiTheme="minorEastAsia" w:hAnsiTheme="minorEastAsia"/>
          <w:color w:val="auto"/>
        </w:rPr>
      </w:pPr>
      <w:r>
        <w:rPr>
          <w:rFonts w:hint="eastAsia" w:asciiTheme="minorEastAsia" w:hAnsiTheme="minorEastAsia"/>
          <w:color w:val="auto"/>
        </w:rPr>
        <w:t>甲、乙双方的任何一方由于不可抗力的原因不能履行或不能完全履行合同时，应及时向对方通报不能履行或不能完全履行合同的理由，协商延期、变更或者解除合同；根据情况可部分或全部免予承担违约责任。</w:t>
      </w:r>
    </w:p>
    <w:p>
      <w:pPr>
        <w:tabs>
          <w:tab w:val="left" w:pos="360"/>
        </w:tabs>
        <w:snapToGrid w:val="0"/>
        <w:spacing w:line="360" w:lineRule="exact"/>
        <w:ind w:firstLine="241" w:firstLineChars="100"/>
        <w:rPr>
          <w:rFonts w:asciiTheme="minorEastAsia" w:hAnsiTheme="minorEastAsia"/>
          <w:b/>
          <w:bCs/>
          <w:color w:val="auto"/>
        </w:rPr>
      </w:pPr>
      <w:r>
        <w:rPr>
          <w:rFonts w:hint="eastAsia" w:asciiTheme="minorEastAsia" w:hAnsiTheme="minorEastAsia"/>
          <w:b/>
          <w:bCs/>
          <w:color w:val="auto"/>
        </w:rPr>
        <w:t>十、违约</w:t>
      </w:r>
    </w:p>
    <w:p>
      <w:pPr>
        <w:snapToGrid w:val="0"/>
        <w:spacing w:line="360" w:lineRule="exact"/>
        <w:ind w:firstLine="480" w:firstLineChars="200"/>
        <w:rPr>
          <w:rFonts w:asciiTheme="minorEastAsia" w:hAnsiTheme="minorEastAsia"/>
          <w:color w:val="auto"/>
        </w:rPr>
      </w:pPr>
      <w:r>
        <w:rPr>
          <w:rFonts w:hint="eastAsia" w:asciiTheme="minorEastAsia" w:hAnsiTheme="minorEastAsia"/>
          <w:color w:val="auto"/>
        </w:rPr>
        <w:t>（一）合同签订后，任何一方不得违约，若甲方违约，未能按约定支付运费，乙方有权拒运，若乙方违约，不服从甲方的生产调度或车辆未能按计划数量到位而影响甲方的正常生产，乙方应承担相应的责任，并赔偿甲方损失。</w:t>
      </w:r>
    </w:p>
    <w:p>
      <w:pPr>
        <w:snapToGrid w:val="0"/>
        <w:spacing w:line="360" w:lineRule="exact"/>
        <w:ind w:firstLine="480" w:firstLineChars="200"/>
        <w:rPr>
          <w:rFonts w:hint="eastAsia" w:asciiTheme="minorEastAsia" w:hAnsiTheme="minorEastAsia"/>
          <w:color w:val="auto"/>
        </w:rPr>
      </w:pPr>
      <w:r>
        <w:rPr>
          <w:rFonts w:hint="eastAsia" w:asciiTheme="minorEastAsia" w:hAnsiTheme="minorEastAsia"/>
          <w:color w:val="auto"/>
        </w:rPr>
        <w:t>（二）如在合同期内产生纠纷，双方可以在本合同执行过程中，通过协商，以签订补充协议的方式加以解决，补充协议与本合同具有同等法律效力；经协商未能达成协议时，双方约定向甲方住所地有管辖权的人民法院提起诉讼。</w:t>
      </w:r>
    </w:p>
    <w:p>
      <w:pPr>
        <w:snapToGrid w:val="0"/>
        <w:spacing w:line="360" w:lineRule="exact"/>
        <w:ind w:firstLine="241" w:firstLineChars="100"/>
        <w:rPr>
          <w:rFonts w:asciiTheme="minorEastAsia" w:hAnsiTheme="minorEastAsia"/>
          <w:color w:val="auto"/>
        </w:rPr>
      </w:pPr>
      <w:r>
        <w:rPr>
          <w:rFonts w:hint="eastAsia" w:asciiTheme="minorEastAsia" w:hAnsiTheme="minorEastAsia"/>
          <w:b/>
          <w:bCs/>
          <w:color w:val="auto"/>
        </w:rPr>
        <w:t>十一、</w:t>
      </w:r>
      <w:r>
        <w:rPr>
          <w:rFonts w:hint="eastAsia" w:asciiTheme="minorEastAsia" w:hAnsiTheme="minorEastAsia"/>
          <w:color w:val="auto"/>
        </w:rPr>
        <w:t>如在合同期内出现其它未尽事宜，甲乙双方另行协商，</w:t>
      </w: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u w:val="single"/>
          <w:lang w:val="en-US" w:eastAsia="zh-CN"/>
        </w:rPr>
        <w:t>4</w:t>
      </w:r>
      <w:r>
        <w:rPr>
          <w:rFonts w:hint="eastAsia" w:ascii="宋体" w:hAnsi="宋体"/>
          <w:color w:val="auto"/>
          <w:szCs w:val="21"/>
        </w:rPr>
        <w:t>份，甲方执</w:t>
      </w:r>
      <w:r>
        <w:rPr>
          <w:rFonts w:hint="eastAsia" w:ascii="宋体" w:hAnsi="宋体"/>
          <w:color w:val="auto"/>
          <w:szCs w:val="21"/>
          <w:u w:val="single"/>
          <w:lang w:val="en-US" w:eastAsia="zh-CN"/>
        </w:rPr>
        <w:t>3</w:t>
      </w:r>
      <w:r>
        <w:rPr>
          <w:rFonts w:hint="eastAsia" w:ascii="宋体" w:hAnsi="宋体"/>
          <w:color w:val="auto"/>
          <w:szCs w:val="21"/>
        </w:rPr>
        <w:t>份，乙方执</w:t>
      </w:r>
      <w:r>
        <w:rPr>
          <w:rFonts w:hint="eastAsia" w:ascii="宋体" w:hAnsi="宋体"/>
          <w:color w:val="auto"/>
          <w:szCs w:val="21"/>
          <w:u w:val="single"/>
        </w:rPr>
        <w:t xml:space="preserve"> 1 </w:t>
      </w:r>
      <w:r>
        <w:rPr>
          <w:rFonts w:hint="eastAsia" w:ascii="宋体" w:hAnsi="宋体"/>
          <w:color w:val="auto"/>
          <w:szCs w:val="21"/>
        </w:rPr>
        <w:t>份</w:t>
      </w:r>
      <w:r>
        <w:rPr>
          <w:rFonts w:hint="eastAsia" w:asciiTheme="minorEastAsia" w:hAnsiTheme="minorEastAsia"/>
          <w:color w:val="auto"/>
        </w:rPr>
        <w:t>，双方签字盖章后生效。履约完毕，合同自动终止。</w:t>
      </w:r>
    </w:p>
    <w:p>
      <w:pPr>
        <w:pStyle w:val="2"/>
        <w:rPr>
          <w:color w:val="auto"/>
        </w:rPr>
      </w:pPr>
    </w:p>
    <w:p>
      <w:pPr>
        <w:pStyle w:val="2"/>
        <w:rPr>
          <w:color w:val="auto"/>
        </w:rPr>
      </w:pPr>
    </w:p>
    <w:p>
      <w:pPr>
        <w:pStyle w:val="3"/>
        <w:rPr>
          <w:color w:val="auto"/>
        </w:rPr>
      </w:pPr>
    </w:p>
    <w:p>
      <w:pPr>
        <w:pStyle w:val="3"/>
        <w:rPr>
          <w:color w:val="auto"/>
        </w:rPr>
      </w:pPr>
    </w:p>
    <w:p>
      <w:pPr>
        <w:pStyle w:val="3"/>
        <w:rPr>
          <w:color w:val="auto"/>
        </w:rPr>
      </w:pPr>
    </w:p>
    <w:p>
      <w:pPr>
        <w:pStyle w:val="3"/>
        <w:rPr>
          <w:color w:val="auto"/>
        </w:rPr>
      </w:pPr>
    </w:p>
    <w:p>
      <w:pPr>
        <w:snapToGrid w:val="0"/>
        <w:spacing w:line="400" w:lineRule="exact"/>
        <w:ind w:firstLine="480" w:firstLineChars="200"/>
        <w:rPr>
          <w:rFonts w:ascii="宋体" w:hAnsi="宋体"/>
          <w:color w:val="auto"/>
          <w:szCs w:val="21"/>
        </w:rPr>
      </w:pPr>
      <w:r>
        <w:rPr>
          <w:rFonts w:hint="eastAsia" w:ascii="宋体" w:hAnsi="宋体"/>
          <w:color w:val="auto"/>
          <w:szCs w:val="21"/>
        </w:rPr>
        <w:t xml:space="preserve">甲方：（盖章）                         乙方：（盖章） </w:t>
      </w:r>
    </w:p>
    <w:p>
      <w:pPr>
        <w:snapToGrid w:val="0"/>
        <w:spacing w:line="400" w:lineRule="exact"/>
        <w:ind w:firstLine="480" w:firstLineChars="200"/>
        <w:rPr>
          <w:rFonts w:ascii="宋体" w:hAnsi="宋体"/>
          <w:color w:val="auto"/>
          <w:szCs w:val="21"/>
        </w:rPr>
      </w:pPr>
      <w:r>
        <w:rPr>
          <w:rFonts w:hint="eastAsia" w:ascii="宋体" w:hAnsi="宋体"/>
          <w:color w:val="auto"/>
          <w:szCs w:val="21"/>
        </w:rPr>
        <w:t xml:space="preserve">法定代表人                             法定代表人 </w:t>
      </w:r>
    </w:p>
    <w:p>
      <w:pPr>
        <w:snapToGrid w:val="0"/>
        <w:spacing w:line="400" w:lineRule="exact"/>
        <w:ind w:firstLine="480" w:firstLineChars="200"/>
        <w:rPr>
          <w:rFonts w:ascii="宋体" w:hAnsi="宋体"/>
          <w:color w:val="auto"/>
          <w:szCs w:val="21"/>
        </w:rPr>
      </w:pPr>
      <w:r>
        <w:rPr>
          <w:rFonts w:hint="eastAsia" w:ascii="宋体" w:hAnsi="宋体"/>
          <w:color w:val="auto"/>
          <w:szCs w:val="21"/>
        </w:rPr>
        <w:t>或被授权人签字：                       或被授权人签字：</w:t>
      </w:r>
    </w:p>
    <w:p>
      <w:pPr>
        <w:snapToGrid w:val="0"/>
        <w:spacing w:line="400" w:lineRule="exact"/>
        <w:ind w:firstLine="480" w:firstLineChars="200"/>
        <w:rPr>
          <w:rFonts w:ascii="仿宋_GB2312" w:hAnsi="宋体" w:eastAsia="仿宋_GB2312"/>
          <w:color w:val="auto"/>
        </w:rPr>
      </w:pPr>
      <w:r>
        <w:rPr>
          <w:rFonts w:hint="eastAsia" w:ascii="宋体" w:hAnsi="宋体"/>
          <w:color w:val="auto"/>
          <w:szCs w:val="21"/>
        </w:rPr>
        <w:t>联系电话：                             联系电话：</w:t>
      </w:r>
    </w:p>
    <w:sectPr>
      <w:headerReference r:id="rId4" w:type="default"/>
      <w:footerReference r:id="rId5"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FA20B"/>
    <w:multiLevelType w:val="singleLevel"/>
    <w:tmpl w:val="CB8FA20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NmE5ZjEzNDcxMjljOTkyMTVmOTA2MmMxY2JhYzYifQ=="/>
  </w:docVars>
  <w:rsids>
    <w:rsidRoot w:val="00CD2279"/>
    <w:rsid w:val="0000134C"/>
    <w:rsid w:val="00002E12"/>
    <w:rsid w:val="000205DD"/>
    <w:rsid w:val="000215C5"/>
    <w:rsid w:val="000229FE"/>
    <w:rsid w:val="0002510D"/>
    <w:rsid w:val="00033850"/>
    <w:rsid w:val="0003716E"/>
    <w:rsid w:val="000378AE"/>
    <w:rsid w:val="00041304"/>
    <w:rsid w:val="000462B6"/>
    <w:rsid w:val="00051BAF"/>
    <w:rsid w:val="0005377E"/>
    <w:rsid w:val="00063CFA"/>
    <w:rsid w:val="00065E95"/>
    <w:rsid w:val="00067E94"/>
    <w:rsid w:val="000755E3"/>
    <w:rsid w:val="000813D3"/>
    <w:rsid w:val="00081AD6"/>
    <w:rsid w:val="00081B05"/>
    <w:rsid w:val="00083443"/>
    <w:rsid w:val="00083CFE"/>
    <w:rsid w:val="00086265"/>
    <w:rsid w:val="00086883"/>
    <w:rsid w:val="00086CD8"/>
    <w:rsid w:val="000871DD"/>
    <w:rsid w:val="00092EEC"/>
    <w:rsid w:val="00095550"/>
    <w:rsid w:val="00097979"/>
    <w:rsid w:val="000A3C48"/>
    <w:rsid w:val="000A4881"/>
    <w:rsid w:val="000A5407"/>
    <w:rsid w:val="000A5F3B"/>
    <w:rsid w:val="000A6689"/>
    <w:rsid w:val="000A7A00"/>
    <w:rsid w:val="000B3B4B"/>
    <w:rsid w:val="000B4D6E"/>
    <w:rsid w:val="000C0AD4"/>
    <w:rsid w:val="000C0C0E"/>
    <w:rsid w:val="000C5EB6"/>
    <w:rsid w:val="000D17B5"/>
    <w:rsid w:val="000D192D"/>
    <w:rsid w:val="000D1CB5"/>
    <w:rsid w:val="000D70A6"/>
    <w:rsid w:val="000E3358"/>
    <w:rsid w:val="000E3E4B"/>
    <w:rsid w:val="000E5A62"/>
    <w:rsid w:val="000E6AB2"/>
    <w:rsid w:val="000E76EE"/>
    <w:rsid w:val="000F2F00"/>
    <w:rsid w:val="000F32F1"/>
    <w:rsid w:val="000F6ECE"/>
    <w:rsid w:val="001024CB"/>
    <w:rsid w:val="00103508"/>
    <w:rsid w:val="0010397E"/>
    <w:rsid w:val="00103A8E"/>
    <w:rsid w:val="00104858"/>
    <w:rsid w:val="00104DC7"/>
    <w:rsid w:val="00113B93"/>
    <w:rsid w:val="00132C92"/>
    <w:rsid w:val="00133F88"/>
    <w:rsid w:val="00135A58"/>
    <w:rsid w:val="001373B4"/>
    <w:rsid w:val="00137588"/>
    <w:rsid w:val="00142D87"/>
    <w:rsid w:val="00143251"/>
    <w:rsid w:val="00144BDF"/>
    <w:rsid w:val="00156465"/>
    <w:rsid w:val="0015697B"/>
    <w:rsid w:val="00156EC6"/>
    <w:rsid w:val="00161A94"/>
    <w:rsid w:val="00161C2C"/>
    <w:rsid w:val="001635B9"/>
    <w:rsid w:val="00166852"/>
    <w:rsid w:val="00171D7A"/>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22F"/>
    <w:rsid w:val="001B7767"/>
    <w:rsid w:val="001C346D"/>
    <w:rsid w:val="001C41CC"/>
    <w:rsid w:val="001C4B60"/>
    <w:rsid w:val="001D1199"/>
    <w:rsid w:val="001D41BE"/>
    <w:rsid w:val="001D5A99"/>
    <w:rsid w:val="001D5DF1"/>
    <w:rsid w:val="001E26F0"/>
    <w:rsid w:val="001E4185"/>
    <w:rsid w:val="001F202A"/>
    <w:rsid w:val="001F29B8"/>
    <w:rsid w:val="001F3E86"/>
    <w:rsid w:val="001F4E95"/>
    <w:rsid w:val="00201F63"/>
    <w:rsid w:val="00202975"/>
    <w:rsid w:val="00202FD5"/>
    <w:rsid w:val="002058D2"/>
    <w:rsid w:val="002068FC"/>
    <w:rsid w:val="002075DA"/>
    <w:rsid w:val="00215EC7"/>
    <w:rsid w:val="0022260F"/>
    <w:rsid w:val="00223849"/>
    <w:rsid w:val="00224DEB"/>
    <w:rsid w:val="00232082"/>
    <w:rsid w:val="00234123"/>
    <w:rsid w:val="00234609"/>
    <w:rsid w:val="00236784"/>
    <w:rsid w:val="00237151"/>
    <w:rsid w:val="002401E5"/>
    <w:rsid w:val="0024632B"/>
    <w:rsid w:val="00252FBB"/>
    <w:rsid w:val="00253975"/>
    <w:rsid w:val="00260000"/>
    <w:rsid w:val="00261C07"/>
    <w:rsid w:val="00261D17"/>
    <w:rsid w:val="002621AB"/>
    <w:rsid w:val="00267FDB"/>
    <w:rsid w:val="00270AC1"/>
    <w:rsid w:val="002723B2"/>
    <w:rsid w:val="0027422B"/>
    <w:rsid w:val="002755F4"/>
    <w:rsid w:val="002839BD"/>
    <w:rsid w:val="00283B65"/>
    <w:rsid w:val="00286944"/>
    <w:rsid w:val="00290E31"/>
    <w:rsid w:val="00295725"/>
    <w:rsid w:val="002A0E52"/>
    <w:rsid w:val="002A6B9C"/>
    <w:rsid w:val="002B0633"/>
    <w:rsid w:val="002B07D3"/>
    <w:rsid w:val="002B1F02"/>
    <w:rsid w:val="002C053F"/>
    <w:rsid w:val="002C47B7"/>
    <w:rsid w:val="002C5B1D"/>
    <w:rsid w:val="002C5B6B"/>
    <w:rsid w:val="002C6655"/>
    <w:rsid w:val="002C7B0A"/>
    <w:rsid w:val="002D01CF"/>
    <w:rsid w:val="002D13E8"/>
    <w:rsid w:val="002D3445"/>
    <w:rsid w:val="002D37F3"/>
    <w:rsid w:val="002D41F9"/>
    <w:rsid w:val="002D540E"/>
    <w:rsid w:val="002D6B37"/>
    <w:rsid w:val="002E0268"/>
    <w:rsid w:val="002E127D"/>
    <w:rsid w:val="002E2F16"/>
    <w:rsid w:val="002E6AD4"/>
    <w:rsid w:val="002F203F"/>
    <w:rsid w:val="002F23E6"/>
    <w:rsid w:val="002F422C"/>
    <w:rsid w:val="002F4256"/>
    <w:rsid w:val="002F51AD"/>
    <w:rsid w:val="002F77D6"/>
    <w:rsid w:val="00301C72"/>
    <w:rsid w:val="00301E78"/>
    <w:rsid w:val="003028E6"/>
    <w:rsid w:val="00302928"/>
    <w:rsid w:val="00310A70"/>
    <w:rsid w:val="00310D97"/>
    <w:rsid w:val="00312EFB"/>
    <w:rsid w:val="00313019"/>
    <w:rsid w:val="003136D8"/>
    <w:rsid w:val="0031505E"/>
    <w:rsid w:val="0032196F"/>
    <w:rsid w:val="00322DF9"/>
    <w:rsid w:val="003355A7"/>
    <w:rsid w:val="00335A90"/>
    <w:rsid w:val="00344092"/>
    <w:rsid w:val="0034448D"/>
    <w:rsid w:val="003450D3"/>
    <w:rsid w:val="0034681A"/>
    <w:rsid w:val="00347017"/>
    <w:rsid w:val="0035110A"/>
    <w:rsid w:val="00354736"/>
    <w:rsid w:val="00357B64"/>
    <w:rsid w:val="003618ED"/>
    <w:rsid w:val="00361B11"/>
    <w:rsid w:val="00363FE6"/>
    <w:rsid w:val="00367147"/>
    <w:rsid w:val="00367D50"/>
    <w:rsid w:val="00372099"/>
    <w:rsid w:val="0037325B"/>
    <w:rsid w:val="00377570"/>
    <w:rsid w:val="00380081"/>
    <w:rsid w:val="0038064C"/>
    <w:rsid w:val="0038184D"/>
    <w:rsid w:val="00382604"/>
    <w:rsid w:val="00383AC1"/>
    <w:rsid w:val="0038657C"/>
    <w:rsid w:val="00390EBD"/>
    <w:rsid w:val="00393517"/>
    <w:rsid w:val="0039619E"/>
    <w:rsid w:val="00397F52"/>
    <w:rsid w:val="003A1BC0"/>
    <w:rsid w:val="003A1F6E"/>
    <w:rsid w:val="003A2502"/>
    <w:rsid w:val="003A431F"/>
    <w:rsid w:val="003A561E"/>
    <w:rsid w:val="003A57BF"/>
    <w:rsid w:val="003A7AA9"/>
    <w:rsid w:val="003B1743"/>
    <w:rsid w:val="003B58D1"/>
    <w:rsid w:val="003B7E87"/>
    <w:rsid w:val="003C4982"/>
    <w:rsid w:val="003C5D72"/>
    <w:rsid w:val="003C7281"/>
    <w:rsid w:val="003C7536"/>
    <w:rsid w:val="003D3125"/>
    <w:rsid w:val="003D3853"/>
    <w:rsid w:val="003E1C56"/>
    <w:rsid w:val="003E2E41"/>
    <w:rsid w:val="003E401B"/>
    <w:rsid w:val="003E42CD"/>
    <w:rsid w:val="003E5FC8"/>
    <w:rsid w:val="003F0BD0"/>
    <w:rsid w:val="003F2F9B"/>
    <w:rsid w:val="003F3596"/>
    <w:rsid w:val="003F5546"/>
    <w:rsid w:val="003F7FFA"/>
    <w:rsid w:val="0040534C"/>
    <w:rsid w:val="004061DA"/>
    <w:rsid w:val="004140D2"/>
    <w:rsid w:val="00414B7A"/>
    <w:rsid w:val="004169A0"/>
    <w:rsid w:val="00420433"/>
    <w:rsid w:val="004260ED"/>
    <w:rsid w:val="004269DE"/>
    <w:rsid w:val="00426B86"/>
    <w:rsid w:val="004301DC"/>
    <w:rsid w:val="00430D4B"/>
    <w:rsid w:val="004313D7"/>
    <w:rsid w:val="00431F73"/>
    <w:rsid w:val="004322FE"/>
    <w:rsid w:val="00434BC3"/>
    <w:rsid w:val="00436144"/>
    <w:rsid w:val="00442F64"/>
    <w:rsid w:val="00443CCD"/>
    <w:rsid w:val="004443E4"/>
    <w:rsid w:val="0045554D"/>
    <w:rsid w:val="0045689E"/>
    <w:rsid w:val="00456C80"/>
    <w:rsid w:val="00460B52"/>
    <w:rsid w:val="00460D4B"/>
    <w:rsid w:val="00475D0A"/>
    <w:rsid w:val="00475F5A"/>
    <w:rsid w:val="0047613E"/>
    <w:rsid w:val="00476207"/>
    <w:rsid w:val="00480601"/>
    <w:rsid w:val="004A0199"/>
    <w:rsid w:val="004A1020"/>
    <w:rsid w:val="004A27C1"/>
    <w:rsid w:val="004A2E48"/>
    <w:rsid w:val="004A3BA3"/>
    <w:rsid w:val="004A5E93"/>
    <w:rsid w:val="004A7A9E"/>
    <w:rsid w:val="004B1A06"/>
    <w:rsid w:val="004B28B4"/>
    <w:rsid w:val="004B7419"/>
    <w:rsid w:val="004C4AFE"/>
    <w:rsid w:val="004C5A74"/>
    <w:rsid w:val="004D5A89"/>
    <w:rsid w:val="004D7A6E"/>
    <w:rsid w:val="004E4113"/>
    <w:rsid w:val="004F20CD"/>
    <w:rsid w:val="004F56A9"/>
    <w:rsid w:val="004F58F1"/>
    <w:rsid w:val="004F6F2C"/>
    <w:rsid w:val="00501F13"/>
    <w:rsid w:val="00503433"/>
    <w:rsid w:val="00511169"/>
    <w:rsid w:val="00513910"/>
    <w:rsid w:val="00514A12"/>
    <w:rsid w:val="00526670"/>
    <w:rsid w:val="00531B8B"/>
    <w:rsid w:val="005340EE"/>
    <w:rsid w:val="00560203"/>
    <w:rsid w:val="005607FC"/>
    <w:rsid w:val="005621ED"/>
    <w:rsid w:val="005630B7"/>
    <w:rsid w:val="00565EC9"/>
    <w:rsid w:val="00566178"/>
    <w:rsid w:val="00570381"/>
    <w:rsid w:val="005715FF"/>
    <w:rsid w:val="00572EAA"/>
    <w:rsid w:val="00573C5D"/>
    <w:rsid w:val="00580FF1"/>
    <w:rsid w:val="005848C5"/>
    <w:rsid w:val="005849C1"/>
    <w:rsid w:val="00591B7B"/>
    <w:rsid w:val="0059550B"/>
    <w:rsid w:val="005A1FE6"/>
    <w:rsid w:val="005A2E71"/>
    <w:rsid w:val="005A48F6"/>
    <w:rsid w:val="005B0126"/>
    <w:rsid w:val="005B2524"/>
    <w:rsid w:val="005B265B"/>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17F0"/>
    <w:rsid w:val="005F2F48"/>
    <w:rsid w:val="005F44D2"/>
    <w:rsid w:val="005F56DE"/>
    <w:rsid w:val="00606C58"/>
    <w:rsid w:val="0061173C"/>
    <w:rsid w:val="00613934"/>
    <w:rsid w:val="00615AF4"/>
    <w:rsid w:val="006237CD"/>
    <w:rsid w:val="00623FB6"/>
    <w:rsid w:val="00627E08"/>
    <w:rsid w:val="006303A7"/>
    <w:rsid w:val="006369FF"/>
    <w:rsid w:val="006423FF"/>
    <w:rsid w:val="0064247F"/>
    <w:rsid w:val="00643FCC"/>
    <w:rsid w:val="006561B3"/>
    <w:rsid w:val="00663751"/>
    <w:rsid w:val="0066493D"/>
    <w:rsid w:val="00664B0B"/>
    <w:rsid w:val="00666283"/>
    <w:rsid w:val="006662EE"/>
    <w:rsid w:val="00673F20"/>
    <w:rsid w:val="00675D15"/>
    <w:rsid w:val="00675E68"/>
    <w:rsid w:val="006763A2"/>
    <w:rsid w:val="0068167B"/>
    <w:rsid w:val="00687880"/>
    <w:rsid w:val="00691E8A"/>
    <w:rsid w:val="00692947"/>
    <w:rsid w:val="00696400"/>
    <w:rsid w:val="006969EA"/>
    <w:rsid w:val="006A0E02"/>
    <w:rsid w:val="006A2B2C"/>
    <w:rsid w:val="006A35DB"/>
    <w:rsid w:val="006A5FB4"/>
    <w:rsid w:val="006A6A5D"/>
    <w:rsid w:val="006A7701"/>
    <w:rsid w:val="006A7709"/>
    <w:rsid w:val="006B16EA"/>
    <w:rsid w:val="006B245E"/>
    <w:rsid w:val="006C0457"/>
    <w:rsid w:val="006C2530"/>
    <w:rsid w:val="006C5A2C"/>
    <w:rsid w:val="006C6979"/>
    <w:rsid w:val="006C7F25"/>
    <w:rsid w:val="006D5859"/>
    <w:rsid w:val="006D6F23"/>
    <w:rsid w:val="006E0705"/>
    <w:rsid w:val="006E207D"/>
    <w:rsid w:val="006E3554"/>
    <w:rsid w:val="006E41F0"/>
    <w:rsid w:val="006E5A1B"/>
    <w:rsid w:val="006E64E4"/>
    <w:rsid w:val="006F1003"/>
    <w:rsid w:val="006F3F20"/>
    <w:rsid w:val="006F5689"/>
    <w:rsid w:val="006F6487"/>
    <w:rsid w:val="007004D9"/>
    <w:rsid w:val="00700FC9"/>
    <w:rsid w:val="00700FD3"/>
    <w:rsid w:val="00701942"/>
    <w:rsid w:val="00704B5E"/>
    <w:rsid w:val="00706073"/>
    <w:rsid w:val="0071149B"/>
    <w:rsid w:val="00713DB1"/>
    <w:rsid w:val="00714FA7"/>
    <w:rsid w:val="00716BB3"/>
    <w:rsid w:val="00717AAB"/>
    <w:rsid w:val="00731D46"/>
    <w:rsid w:val="00732D12"/>
    <w:rsid w:val="007450F6"/>
    <w:rsid w:val="00750E87"/>
    <w:rsid w:val="00752C8E"/>
    <w:rsid w:val="00754000"/>
    <w:rsid w:val="00754B0D"/>
    <w:rsid w:val="00754D8E"/>
    <w:rsid w:val="007552E9"/>
    <w:rsid w:val="00756BEA"/>
    <w:rsid w:val="00757F90"/>
    <w:rsid w:val="0076397C"/>
    <w:rsid w:val="00764273"/>
    <w:rsid w:val="0077123D"/>
    <w:rsid w:val="00774F9C"/>
    <w:rsid w:val="00780AF9"/>
    <w:rsid w:val="00780F9F"/>
    <w:rsid w:val="0078463E"/>
    <w:rsid w:val="0078681D"/>
    <w:rsid w:val="00786A9D"/>
    <w:rsid w:val="00790121"/>
    <w:rsid w:val="00793B22"/>
    <w:rsid w:val="00793EEE"/>
    <w:rsid w:val="007A0AFC"/>
    <w:rsid w:val="007A0B84"/>
    <w:rsid w:val="007A1FC3"/>
    <w:rsid w:val="007A4E65"/>
    <w:rsid w:val="007B19C4"/>
    <w:rsid w:val="007B3AB9"/>
    <w:rsid w:val="007B3CA5"/>
    <w:rsid w:val="007B4274"/>
    <w:rsid w:val="007B75D2"/>
    <w:rsid w:val="007C3B73"/>
    <w:rsid w:val="007D013D"/>
    <w:rsid w:val="007D132B"/>
    <w:rsid w:val="007D25F1"/>
    <w:rsid w:val="007D3E4E"/>
    <w:rsid w:val="007D4CCB"/>
    <w:rsid w:val="007D5478"/>
    <w:rsid w:val="007D5EB1"/>
    <w:rsid w:val="007D6345"/>
    <w:rsid w:val="007D67F7"/>
    <w:rsid w:val="007E2EF7"/>
    <w:rsid w:val="007E5C22"/>
    <w:rsid w:val="007F014A"/>
    <w:rsid w:val="007F19E4"/>
    <w:rsid w:val="007F1CBD"/>
    <w:rsid w:val="007F7512"/>
    <w:rsid w:val="008019D4"/>
    <w:rsid w:val="00806E95"/>
    <w:rsid w:val="008071EE"/>
    <w:rsid w:val="0081206D"/>
    <w:rsid w:val="00813E61"/>
    <w:rsid w:val="00814869"/>
    <w:rsid w:val="0081509F"/>
    <w:rsid w:val="008174BA"/>
    <w:rsid w:val="00817DE1"/>
    <w:rsid w:val="00821133"/>
    <w:rsid w:val="00822B82"/>
    <w:rsid w:val="008248E0"/>
    <w:rsid w:val="00824C15"/>
    <w:rsid w:val="00825D84"/>
    <w:rsid w:val="0083651B"/>
    <w:rsid w:val="00840B24"/>
    <w:rsid w:val="008434E9"/>
    <w:rsid w:val="008436C2"/>
    <w:rsid w:val="00844D32"/>
    <w:rsid w:val="0084520B"/>
    <w:rsid w:val="008464C8"/>
    <w:rsid w:val="00846A4B"/>
    <w:rsid w:val="0084736A"/>
    <w:rsid w:val="00847379"/>
    <w:rsid w:val="0084772E"/>
    <w:rsid w:val="008501A7"/>
    <w:rsid w:val="0085040C"/>
    <w:rsid w:val="00854D4A"/>
    <w:rsid w:val="00855419"/>
    <w:rsid w:val="00855C6F"/>
    <w:rsid w:val="00866FD8"/>
    <w:rsid w:val="00867D58"/>
    <w:rsid w:val="00874C25"/>
    <w:rsid w:val="0087533E"/>
    <w:rsid w:val="00875EB6"/>
    <w:rsid w:val="0088527F"/>
    <w:rsid w:val="00890DAD"/>
    <w:rsid w:val="00891EE3"/>
    <w:rsid w:val="00894226"/>
    <w:rsid w:val="008A0613"/>
    <w:rsid w:val="008A1A2A"/>
    <w:rsid w:val="008B293B"/>
    <w:rsid w:val="008B5710"/>
    <w:rsid w:val="008C02B0"/>
    <w:rsid w:val="008C4799"/>
    <w:rsid w:val="008C5C53"/>
    <w:rsid w:val="008C74A3"/>
    <w:rsid w:val="008C79B7"/>
    <w:rsid w:val="008D26EA"/>
    <w:rsid w:val="008D2C4D"/>
    <w:rsid w:val="008D39E7"/>
    <w:rsid w:val="008D5BE6"/>
    <w:rsid w:val="008E0389"/>
    <w:rsid w:val="008E244D"/>
    <w:rsid w:val="008E49E3"/>
    <w:rsid w:val="008E4A56"/>
    <w:rsid w:val="008E7BB0"/>
    <w:rsid w:val="008F05A8"/>
    <w:rsid w:val="008F1F3E"/>
    <w:rsid w:val="008F4B24"/>
    <w:rsid w:val="008F6B85"/>
    <w:rsid w:val="008F7C03"/>
    <w:rsid w:val="00901885"/>
    <w:rsid w:val="009030FB"/>
    <w:rsid w:val="0090467E"/>
    <w:rsid w:val="009103F6"/>
    <w:rsid w:val="00920431"/>
    <w:rsid w:val="00922A78"/>
    <w:rsid w:val="009231AD"/>
    <w:rsid w:val="0092410E"/>
    <w:rsid w:val="00926693"/>
    <w:rsid w:val="00927103"/>
    <w:rsid w:val="0093030C"/>
    <w:rsid w:val="00930AF6"/>
    <w:rsid w:val="00932ECD"/>
    <w:rsid w:val="009347D6"/>
    <w:rsid w:val="00940296"/>
    <w:rsid w:val="00941390"/>
    <w:rsid w:val="009535F3"/>
    <w:rsid w:val="00953647"/>
    <w:rsid w:val="009545A4"/>
    <w:rsid w:val="00957195"/>
    <w:rsid w:val="00962D26"/>
    <w:rsid w:val="00962D43"/>
    <w:rsid w:val="00963A86"/>
    <w:rsid w:val="00963AFA"/>
    <w:rsid w:val="00963ED4"/>
    <w:rsid w:val="00965D76"/>
    <w:rsid w:val="0096637C"/>
    <w:rsid w:val="00966B04"/>
    <w:rsid w:val="009700EE"/>
    <w:rsid w:val="009707E3"/>
    <w:rsid w:val="00974A3E"/>
    <w:rsid w:val="009753CC"/>
    <w:rsid w:val="0097644F"/>
    <w:rsid w:val="00977C1E"/>
    <w:rsid w:val="009872D5"/>
    <w:rsid w:val="009A2878"/>
    <w:rsid w:val="009B180A"/>
    <w:rsid w:val="009B191D"/>
    <w:rsid w:val="009B471C"/>
    <w:rsid w:val="009B76B7"/>
    <w:rsid w:val="009C090F"/>
    <w:rsid w:val="009C1131"/>
    <w:rsid w:val="009C3CBB"/>
    <w:rsid w:val="009C44A3"/>
    <w:rsid w:val="009C54D8"/>
    <w:rsid w:val="009C7052"/>
    <w:rsid w:val="009D04D6"/>
    <w:rsid w:val="009D33DA"/>
    <w:rsid w:val="009D35F2"/>
    <w:rsid w:val="009E1643"/>
    <w:rsid w:val="009E6E7D"/>
    <w:rsid w:val="009F00F7"/>
    <w:rsid w:val="009F0AC9"/>
    <w:rsid w:val="009F1809"/>
    <w:rsid w:val="009F7A8F"/>
    <w:rsid w:val="009F7F7E"/>
    <w:rsid w:val="00A01456"/>
    <w:rsid w:val="00A01736"/>
    <w:rsid w:val="00A03F39"/>
    <w:rsid w:val="00A15D31"/>
    <w:rsid w:val="00A16332"/>
    <w:rsid w:val="00A203DE"/>
    <w:rsid w:val="00A30817"/>
    <w:rsid w:val="00A31FDA"/>
    <w:rsid w:val="00A34472"/>
    <w:rsid w:val="00A35972"/>
    <w:rsid w:val="00A35CC2"/>
    <w:rsid w:val="00A35F1E"/>
    <w:rsid w:val="00A42A78"/>
    <w:rsid w:val="00A42BF9"/>
    <w:rsid w:val="00A437FD"/>
    <w:rsid w:val="00A45CDD"/>
    <w:rsid w:val="00A50C36"/>
    <w:rsid w:val="00A546A6"/>
    <w:rsid w:val="00A56E0C"/>
    <w:rsid w:val="00A61F5E"/>
    <w:rsid w:val="00A710C3"/>
    <w:rsid w:val="00A72999"/>
    <w:rsid w:val="00A72C24"/>
    <w:rsid w:val="00A74CD7"/>
    <w:rsid w:val="00A75DCB"/>
    <w:rsid w:val="00A76278"/>
    <w:rsid w:val="00A77A24"/>
    <w:rsid w:val="00A80B01"/>
    <w:rsid w:val="00A90855"/>
    <w:rsid w:val="00A93AE9"/>
    <w:rsid w:val="00A96B9C"/>
    <w:rsid w:val="00A97E9F"/>
    <w:rsid w:val="00AA4C6E"/>
    <w:rsid w:val="00AC0DB0"/>
    <w:rsid w:val="00AC102B"/>
    <w:rsid w:val="00AC1A55"/>
    <w:rsid w:val="00AC1BAB"/>
    <w:rsid w:val="00AC5D09"/>
    <w:rsid w:val="00AC5EA7"/>
    <w:rsid w:val="00AD0131"/>
    <w:rsid w:val="00AD01DC"/>
    <w:rsid w:val="00AD0448"/>
    <w:rsid w:val="00AD5185"/>
    <w:rsid w:val="00AD5301"/>
    <w:rsid w:val="00AD65EF"/>
    <w:rsid w:val="00AD77B3"/>
    <w:rsid w:val="00AF4777"/>
    <w:rsid w:val="00AF63A2"/>
    <w:rsid w:val="00B00818"/>
    <w:rsid w:val="00B00DBD"/>
    <w:rsid w:val="00B01FB2"/>
    <w:rsid w:val="00B06661"/>
    <w:rsid w:val="00B0712E"/>
    <w:rsid w:val="00B07226"/>
    <w:rsid w:val="00B11C62"/>
    <w:rsid w:val="00B17976"/>
    <w:rsid w:val="00B248D0"/>
    <w:rsid w:val="00B25565"/>
    <w:rsid w:val="00B26E8C"/>
    <w:rsid w:val="00B327CE"/>
    <w:rsid w:val="00B353B9"/>
    <w:rsid w:val="00B36B1C"/>
    <w:rsid w:val="00B36F89"/>
    <w:rsid w:val="00B3753C"/>
    <w:rsid w:val="00B41085"/>
    <w:rsid w:val="00B41217"/>
    <w:rsid w:val="00B449E5"/>
    <w:rsid w:val="00B46BB8"/>
    <w:rsid w:val="00B60B90"/>
    <w:rsid w:val="00B611D2"/>
    <w:rsid w:val="00B72F3D"/>
    <w:rsid w:val="00B77783"/>
    <w:rsid w:val="00B77CEC"/>
    <w:rsid w:val="00B8185C"/>
    <w:rsid w:val="00B81DB7"/>
    <w:rsid w:val="00B861D4"/>
    <w:rsid w:val="00B91736"/>
    <w:rsid w:val="00B93518"/>
    <w:rsid w:val="00B94806"/>
    <w:rsid w:val="00B95063"/>
    <w:rsid w:val="00B95C04"/>
    <w:rsid w:val="00B96DE6"/>
    <w:rsid w:val="00BB188D"/>
    <w:rsid w:val="00BB604A"/>
    <w:rsid w:val="00BC078B"/>
    <w:rsid w:val="00BC65FB"/>
    <w:rsid w:val="00BC7D3D"/>
    <w:rsid w:val="00BD14BF"/>
    <w:rsid w:val="00BD2734"/>
    <w:rsid w:val="00BD4596"/>
    <w:rsid w:val="00BE2982"/>
    <w:rsid w:val="00BE3820"/>
    <w:rsid w:val="00BE3886"/>
    <w:rsid w:val="00C02F77"/>
    <w:rsid w:val="00C04742"/>
    <w:rsid w:val="00C055D3"/>
    <w:rsid w:val="00C05D20"/>
    <w:rsid w:val="00C07123"/>
    <w:rsid w:val="00C14BE8"/>
    <w:rsid w:val="00C15019"/>
    <w:rsid w:val="00C16339"/>
    <w:rsid w:val="00C179FA"/>
    <w:rsid w:val="00C21D6E"/>
    <w:rsid w:val="00C35581"/>
    <w:rsid w:val="00C35953"/>
    <w:rsid w:val="00C4669A"/>
    <w:rsid w:val="00C46EB3"/>
    <w:rsid w:val="00C50B1D"/>
    <w:rsid w:val="00C5121E"/>
    <w:rsid w:val="00C53E73"/>
    <w:rsid w:val="00C54840"/>
    <w:rsid w:val="00C5679B"/>
    <w:rsid w:val="00C62093"/>
    <w:rsid w:val="00C65CFC"/>
    <w:rsid w:val="00C663D4"/>
    <w:rsid w:val="00C70047"/>
    <w:rsid w:val="00C71688"/>
    <w:rsid w:val="00C768D9"/>
    <w:rsid w:val="00C81031"/>
    <w:rsid w:val="00C93564"/>
    <w:rsid w:val="00C97CAD"/>
    <w:rsid w:val="00CA062D"/>
    <w:rsid w:val="00CA5A0F"/>
    <w:rsid w:val="00CA6D04"/>
    <w:rsid w:val="00CB2CCF"/>
    <w:rsid w:val="00CB2E7A"/>
    <w:rsid w:val="00CB2F03"/>
    <w:rsid w:val="00CB7E8C"/>
    <w:rsid w:val="00CC0330"/>
    <w:rsid w:val="00CC12A1"/>
    <w:rsid w:val="00CC416D"/>
    <w:rsid w:val="00CD1788"/>
    <w:rsid w:val="00CD1DA4"/>
    <w:rsid w:val="00CD2279"/>
    <w:rsid w:val="00CD2769"/>
    <w:rsid w:val="00CD38EE"/>
    <w:rsid w:val="00CD56F8"/>
    <w:rsid w:val="00CD78DA"/>
    <w:rsid w:val="00CD78F2"/>
    <w:rsid w:val="00CE5FCF"/>
    <w:rsid w:val="00CE7FA3"/>
    <w:rsid w:val="00CF03FD"/>
    <w:rsid w:val="00CF1259"/>
    <w:rsid w:val="00CF2334"/>
    <w:rsid w:val="00CF3B26"/>
    <w:rsid w:val="00CF44A6"/>
    <w:rsid w:val="00CF5491"/>
    <w:rsid w:val="00CF574D"/>
    <w:rsid w:val="00CF6FC0"/>
    <w:rsid w:val="00CF7031"/>
    <w:rsid w:val="00D027D3"/>
    <w:rsid w:val="00D07110"/>
    <w:rsid w:val="00D11FFF"/>
    <w:rsid w:val="00D15AF4"/>
    <w:rsid w:val="00D15D7D"/>
    <w:rsid w:val="00D16048"/>
    <w:rsid w:val="00D21907"/>
    <w:rsid w:val="00D2305A"/>
    <w:rsid w:val="00D23CBB"/>
    <w:rsid w:val="00D33591"/>
    <w:rsid w:val="00D368AE"/>
    <w:rsid w:val="00D50799"/>
    <w:rsid w:val="00D518EF"/>
    <w:rsid w:val="00D53E35"/>
    <w:rsid w:val="00D54986"/>
    <w:rsid w:val="00D56A72"/>
    <w:rsid w:val="00D56B8B"/>
    <w:rsid w:val="00D744A4"/>
    <w:rsid w:val="00D7479D"/>
    <w:rsid w:val="00D75145"/>
    <w:rsid w:val="00D756C9"/>
    <w:rsid w:val="00D75C8E"/>
    <w:rsid w:val="00D813A2"/>
    <w:rsid w:val="00D85DFC"/>
    <w:rsid w:val="00D87D9A"/>
    <w:rsid w:val="00D9255A"/>
    <w:rsid w:val="00D92F2C"/>
    <w:rsid w:val="00D97D2F"/>
    <w:rsid w:val="00DA0236"/>
    <w:rsid w:val="00DA2DC5"/>
    <w:rsid w:val="00DB37B9"/>
    <w:rsid w:val="00DB70F6"/>
    <w:rsid w:val="00DC1464"/>
    <w:rsid w:val="00DC7107"/>
    <w:rsid w:val="00DC730B"/>
    <w:rsid w:val="00DD073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15"/>
    <w:rsid w:val="00E210A0"/>
    <w:rsid w:val="00E21EFB"/>
    <w:rsid w:val="00E22BD4"/>
    <w:rsid w:val="00E22E52"/>
    <w:rsid w:val="00E25B7E"/>
    <w:rsid w:val="00E25BED"/>
    <w:rsid w:val="00E31E97"/>
    <w:rsid w:val="00E3743D"/>
    <w:rsid w:val="00E379CF"/>
    <w:rsid w:val="00E37B68"/>
    <w:rsid w:val="00E40902"/>
    <w:rsid w:val="00E479F7"/>
    <w:rsid w:val="00E47A6D"/>
    <w:rsid w:val="00E51091"/>
    <w:rsid w:val="00E523A2"/>
    <w:rsid w:val="00E528E6"/>
    <w:rsid w:val="00E566B2"/>
    <w:rsid w:val="00E57D31"/>
    <w:rsid w:val="00E6245C"/>
    <w:rsid w:val="00E632A3"/>
    <w:rsid w:val="00E64E9F"/>
    <w:rsid w:val="00E719AC"/>
    <w:rsid w:val="00E71C8F"/>
    <w:rsid w:val="00E74809"/>
    <w:rsid w:val="00E8161E"/>
    <w:rsid w:val="00E8338F"/>
    <w:rsid w:val="00E843B7"/>
    <w:rsid w:val="00E85B57"/>
    <w:rsid w:val="00E87079"/>
    <w:rsid w:val="00E87E11"/>
    <w:rsid w:val="00E911A7"/>
    <w:rsid w:val="00E94818"/>
    <w:rsid w:val="00EA16D5"/>
    <w:rsid w:val="00EA35B7"/>
    <w:rsid w:val="00EA36AC"/>
    <w:rsid w:val="00EA5983"/>
    <w:rsid w:val="00EA5C9F"/>
    <w:rsid w:val="00EA6B7E"/>
    <w:rsid w:val="00EA6E3E"/>
    <w:rsid w:val="00EA70D1"/>
    <w:rsid w:val="00EA7F5E"/>
    <w:rsid w:val="00EB1A9C"/>
    <w:rsid w:val="00EB5E12"/>
    <w:rsid w:val="00EC0FFD"/>
    <w:rsid w:val="00EC6613"/>
    <w:rsid w:val="00ED0727"/>
    <w:rsid w:val="00ED3F12"/>
    <w:rsid w:val="00ED4427"/>
    <w:rsid w:val="00ED6AA9"/>
    <w:rsid w:val="00EE3A39"/>
    <w:rsid w:val="00EE5A0B"/>
    <w:rsid w:val="00EE5DA4"/>
    <w:rsid w:val="00EE60D5"/>
    <w:rsid w:val="00EF0871"/>
    <w:rsid w:val="00EF096E"/>
    <w:rsid w:val="00EF1729"/>
    <w:rsid w:val="00EF3AC8"/>
    <w:rsid w:val="00EF650D"/>
    <w:rsid w:val="00F003CA"/>
    <w:rsid w:val="00F0286B"/>
    <w:rsid w:val="00F02894"/>
    <w:rsid w:val="00F0324E"/>
    <w:rsid w:val="00F06EB5"/>
    <w:rsid w:val="00F11036"/>
    <w:rsid w:val="00F1191B"/>
    <w:rsid w:val="00F156C1"/>
    <w:rsid w:val="00F217A6"/>
    <w:rsid w:val="00F226F2"/>
    <w:rsid w:val="00F259A3"/>
    <w:rsid w:val="00F27F1D"/>
    <w:rsid w:val="00F27F3B"/>
    <w:rsid w:val="00F3076D"/>
    <w:rsid w:val="00F31486"/>
    <w:rsid w:val="00F35803"/>
    <w:rsid w:val="00F37BEF"/>
    <w:rsid w:val="00F40920"/>
    <w:rsid w:val="00F43A6B"/>
    <w:rsid w:val="00F46D73"/>
    <w:rsid w:val="00F50C91"/>
    <w:rsid w:val="00F562FD"/>
    <w:rsid w:val="00F611C4"/>
    <w:rsid w:val="00F611F0"/>
    <w:rsid w:val="00F613F5"/>
    <w:rsid w:val="00F74F9B"/>
    <w:rsid w:val="00F82018"/>
    <w:rsid w:val="00F910D1"/>
    <w:rsid w:val="00F913C9"/>
    <w:rsid w:val="00F9284F"/>
    <w:rsid w:val="00F932EE"/>
    <w:rsid w:val="00F9369F"/>
    <w:rsid w:val="00F952A2"/>
    <w:rsid w:val="00FA146F"/>
    <w:rsid w:val="00FA22EB"/>
    <w:rsid w:val="00FA2F90"/>
    <w:rsid w:val="00FA3C7D"/>
    <w:rsid w:val="00FA5B80"/>
    <w:rsid w:val="00FA7B16"/>
    <w:rsid w:val="00FB1268"/>
    <w:rsid w:val="00FB292B"/>
    <w:rsid w:val="00FB3180"/>
    <w:rsid w:val="00FB61E9"/>
    <w:rsid w:val="00FC128A"/>
    <w:rsid w:val="00FC2432"/>
    <w:rsid w:val="00FC75B9"/>
    <w:rsid w:val="00FD260E"/>
    <w:rsid w:val="00FD5B3C"/>
    <w:rsid w:val="00FE3747"/>
    <w:rsid w:val="00FE7A55"/>
    <w:rsid w:val="00FF2A69"/>
    <w:rsid w:val="00FF5DF2"/>
    <w:rsid w:val="02247ACE"/>
    <w:rsid w:val="0334789D"/>
    <w:rsid w:val="03887BE8"/>
    <w:rsid w:val="052F4E73"/>
    <w:rsid w:val="05D87585"/>
    <w:rsid w:val="067803E8"/>
    <w:rsid w:val="071C2F8E"/>
    <w:rsid w:val="07433627"/>
    <w:rsid w:val="08971F79"/>
    <w:rsid w:val="096037F3"/>
    <w:rsid w:val="09882E42"/>
    <w:rsid w:val="0A4800D1"/>
    <w:rsid w:val="0A9A7F6B"/>
    <w:rsid w:val="0B756CA4"/>
    <w:rsid w:val="0C8554DE"/>
    <w:rsid w:val="0CB71849"/>
    <w:rsid w:val="0D95558A"/>
    <w:rsid w:val="0E31782B"/>
    <w:rsid w:val="0E6B3C83"/>
    <w:rsid w:val="0EC47E0F"/>
    <w:rsid w:val="0EFC6704"/>
    <w:rsid w:val="0F203982"/>
    <w:rsid w:val="0F8C0A60"/>
    <w:rsid w:val="0FDF5034"/>
    <w:rsid w:val="0FE16FFE"/>
    <w:rsid w:val="0FEF171B"/>
    <w:rsid w:val="101A3777"/>
    <w:rsid w:val="10525806"/>
    <w:rsid w:val="107F0CE6"/>
    <w:rsid w:val="10CD1330"/>
    <w:rsid w:val="10FE14EA"/>
    <w:rsid w:val="114333A1"/>
    <w:rsid w:val="11544F10"/>
    <w:rsid w:val="12B30ACA"/>
    <w:rsid w:val="13427DB4"/>
    <w:rsid w:val="138D0E0E"/>
    <w:rsid w:val="149C1746"/>
    <w:rsid w:val="149C7544"/>
    <w:rsid w:val="14CD1245"/>
    <w:rsid w:val="15391438"/>
    <w:rsid w:val="15B4146A"/>
    <w:rsid w:val="15CA326B"/>
    <w:rsid w:val="1602382A"/>
    <w:rsid w:val="179E3A27"/>
    <w:rsid w:val="17B85DC1"/>
    <w:rsid w:val="18095344"/>
    <w:rsid w:val="18BA4890"/>
    <w:rsid w:val="18E47E32"/>
    <w:rsid w:val="18EE0096"/>
    <w:rsid w:val="18FA6A3B"/>
    <w:rsid w:val="1A8567D8"/>
    <w:rsid w:val="1B023157"/>
    <w:rsid w:val="1B4961C2"/>
    <w:rsid w:val="1C1E005D"/>
    <w:rsid w:val="1CCC054D"/>
    <w:rsid w:val="1CE04199"/>
    <w:rsid w:val="1CF92E0D"/>
    <w:rsid w:val="1DDE692B"/>
    <w:rsid w:val="1DE1641B"/>
    <w:rsid w:val="1EE55D5D"/>
    <w:rsid w:val="1EF15A5E"/>
    <w:rsid w:val="213C55CF"/>
    <w:rsid w:val="214C004F"/>
    <w:rsid w:val="22120716"/>
    <w:rsid w:val="224A27E1"/>
    <w:rsid w:val="23733FB9"/>
    <w:rsid w:val="23EA427B"/>
    <w:rsid w:val="23F030F0"/>
    <w:rsid w:val="241D0191"/>
    <w:rsid w:val="24794F91"/>
    <w:rsid w:val="2547125A"/>
    <w:rsid w:val="25C12DBA"/>
    <w:rsid w:val="274A5D75"/>
    <w:rsid w:val="27743E5C"/>
    <w:rsid w:val="27E9484A"/>
    <w:rsid w:val="27F51441"/>
    <w:rsid w:val="28702875"/>
    <w:rsid w:val="29160FFE"/>
    <w:rsid w:val="2AF4778E"/>
    <w:rsid w:val="2BBD04C8"/>
    <w:rsid w:val="2C300526"/>
    <w:rsid w:val="2CE60AD6"/>
    <w:rsid w:val="2D1B36F8"/>
    <w:rsid w:val="2D597D7C"/>
    <w:rsid w:val="2D796670"/>
    <w:rsid w:val="2DCE2518"/>
    <w:rsid w:val="2EC35DF5"/>
    <w:rsid w:val="2F0C35AE"/>
    <w:rsid w:val="2F4A2072"/>
    <w:rsid w:val="30C6397A"/>
    <w:rsid w:val="30CE1EF5"/>
    <w:rsid w:val="30F77FD8"/>
    <w:rsid w:val="30F93D50"/>
    <w:rsid w:val="316B2774"/>
    <w:rsid w:val="32DD144F"/>
    <w:rsid w:val="3391314D"/>
    <w:rsid w:val="344828F8"/>
    <w:rsid w:val="347C43E8"/>
    <w:rsid w:val="355107B4"/>
    <w:rsid w:val="3608233F"/>
    <w:rsid w:val="360A2597"/>
    <w:rsid w:val="36EC1C61"/>
    <w:rsid w:val="36F6663C"/>
    <w:rsid w:val="37EC6507"/>
    <w:rsid w:val="37F25055"/>
    <w:rsid w:val="38685317"/>
    <w:rsid w:val="389820A0"/>
    <w:rsid w:val="38E26A3B"/>
    <w:rsid w:val="3949339B"/>
    <w:rsid w:val="398D772B"/>
    <w:rsid w:val="39CE01F7"/>
    <w:rsid w:val="3A036E88"/>
    <w:rsid w:val="3A322081"/>
    <w:rsid w:val="3A700301"/>
    <w:rsid w:val="3B152CDA"/>
    <w:rsid w:val="3B7F4E52"/>
    <w:rsid w:val="3BCA17DA"/>
    <w:rsid w:val="3C027831"/>
    <w:rsid w:val="3C3E231C"/>
    <w:rsid w:val="3C6D114E"/>
    <w:rsid w:val="3C9C5ED7"/>
    <w:rsid w:val="3D08728D"/>
    <w:rsid w:val="3E6B3DB3"/>
    <w:rsid w:val="3EC36AA6"/>
    <w:rsid w:val="3F731171"/>
    <w:rsid w:val="40692574"/>
    <w:rsid w:val="4078512D"/>
    <w:rsid w:val="41586871"/>
    <w:rsid w:val="43454BD3"/>
    <w:rsid w:val="440E1D35"/>
    <w:rsid w:val="45102FBE"/>
    <w:rsid w:val="45372C41"/>
    <w:rsid w:val="468367C8"/>
    <w:rsid w:val="46F96400"/>
    <w:rsid w:val="48BD520B"/>
    <w:rsid w:val="48D34A2F"/>
    <w:rsid w:val="48FF75D2"/>
    <w:rsid w:val="497C0C22"/>
    <w:rsid w:val="4B5259DB"/>
    <w:rsid w:val="4B7A3887"/>
    <w:rsid w:val="4B83098E"/>
    <w:rsid w:val="4BED4059"/>
    <w:rsid w:val="4C1E06B7"/>
    <w:rsid w:val="4C514055"/>
    <w:rsid w:val="4D997011"/>
    <w:rsid w:val="4DA55A86"/>
    <w:rsid w:val="4E492CE7"/>
    <w:rsid w:val="4EC710B0"/>
    <w:rsid w:val="4ECD3CCE"/>
    <w:rsid w:val="4F544A0A"/>
    <w:rsid w:val="4F604B42"/>
    <w:rsid w:val="4F6A4186"/>
    <w:rsid w:val="4FD0420C"/>
    <w:rsid w:val="4FF552B7"/>
    <w:rsid w:val="50485D02"/>
    <w:rsid w:val="50943CC8"/>
    <w:rsid w:val="50F869C5"/>
    <w:rsid w:val="523C1897"/>
    <w:rsid w:val="5257222D"/>
    <w:rsid w:val="538D6A2E"/>
    <w:rsid w:val="53F01D34"/>
    <w:rsid w:val="54606D71"/>
    <w:rsid w:val="5474356A"/>
    <w:rsid w:val="54DC121D"/>
    <w:rsid w:val="54F621D1"/>
    <w:rsid w:val="559D2AE4"/>
    <w:rsid w:val="562B40FC"/>
    <w:rsid w:val="566E2D84"/>
    <w:rsid w:val="567E0946"/>
    <w:rsid w:val="570F0068"/>
    <w:rsid w:val="58501BF8"/>
    <w:rsid w:val="589729B3"/>
    <w:rsid w:val="59135878"/>
    <w:rsid w:val="591E1855"/>
    <w:rsid w:val="59777658"/>
    <w:rsid w:val="59967ADE"/>
    <w:rsid w:val="59F96BDE"/>
    <w:rsid w:val="59FF7E31"/>
    <w:rsid w:val="5A902CB9"/>
    <w:rsid w:val="5A9E632D"/>
    <w:rsid w:val="5B1C04B7"/>
    <w:rsid w:val="5B525C87"/>
    <w:rsid w:val="5B5F03A4"/>
    <w:rsid w:val="5B726329"/>
    <w:rsid w:val="5BFB1E7B"/>
    <w:rsid w:val="5C0276AD"/>
    <w:rsid w:val="5C7E485A"/>
    <w:rsid w:val="5CC51437"/>
    <w:rsid w:val="5CD66A5C"/>
    <w:rsid w:val="5E3321AA"/>
    <w:rsid w:val="5EC04825"/>
    <w:rsid w:val="5F9E149B"/>
    <w:rsid w:val="5FA77105"/>
    <w:rsid w:val="5FFC7052"/>
    <w:rsid w:val="60254689"/>
    <w:rsid w:val="60A35687"/>
    <w:rsid w:val="60BA0556"/>
    <w:rsid w:val="61784487"/>
    <w:rsid w:val="61A22128"/>
    <w:rsid w:val="61E17D65"/>
    <w:rsid w:val="624D0F56"/>
    <w:rsid w:val="627B1F67"/>
    <w:rsid w:val="62917D37"/>
    <w:rsid w:val="629F4AE4"/>
    <w:rsid w:val="62F23C4B"/>
    <w:rsid w:val="63676048"/>
    <w:rsid w:val="65FD5B10"/>
    <w:rsid w:val="66E55C01"/>
    <w:rsid w:val="66F10A4A"/>
    <w:rsid w:val="66FE6CC3"/>
    <w:rsid w:val="67A27F96"/>
    <w:rsid w:val="685A43CD"/>
    <w:rsid w:val="68D26659"/>
    <w:rsid w:val="69C02956"/>
    <w:rsid w:val="6A103DAD"/>
    <w:rsid w:val="6A9A6318"/>
    <w:rsid w:val="6AE82164"/>
    <w:rsid w:val="6B000883"/>
    <w:rsid w:val="6B030A97"/>
    <w:rsid w:val="6BAA1948"/>
    <w:rsid w:val="6CEA0712"/>
    <w:rsid w:val="6D3C22F3"/>
    <w:rsid w:val="6E312B48"/>
    <w:rsid w:val="6E7066F8"/>
    <w:rsid w:val="7039240A"/>
    <w:rsid w:val="707F2C23"/>
    <w:rsid w:val="7089584F"/>
    <w:rsid w:val="71155335"/>
    <w:rsid w:val="71EC253A"/>
    <w:rsid w:val="71F31B1A"/>
    <w:rsid w:val="71FD4747"/>
    <w:rsid w:val="723A1EC7"/>
    <w:rsid w:val="72592E57"/>
    <w:rsid w:val="726227FC"/>
    <w:rsid w:val="727644F9"/>
    <w:rsid w:val="732E26DE"/>
    <w:rsid w:val="75683F50"/>
    <w:rsid w:val="75A03F60"/>
    <w:rsid w:val="75FD174E"/>
    <w:rsid w:val="7611394B"/>
    <w:rsid w:val="76734093"/>
    <w:rsid w:val="77456248"/>
    <w:rsid w:val="77C50F11"/>
    <w:rsid w:val="793F5645"/>
    <w:rsid w:val="79FD2E0A"/>
    <w:rsid w:val="79FF4DD4"/>
    <w:rsid w:val="7A0B4ECA"/>
    <w:rsid w:val="7A8208A6"/>
    <w:rsid w:val="7AFE6E3A"/>
    <w:rsid w:val="7D522FCC"/>
    <w:rsid w:val="7E365E76"/>
    <w:rsid w:val="7E6D055E"/>
    <w:rsid w:val="7E8E0F85"/>
    <w:rsid w:val="7F384F5F"/>
    <w:rsid w:val="7F9D0677"/>
    <w:rsid w:val="7FF33517"/>
    <w:rsid w:val="7FFA05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0"/>
    <w:pPr>
      <w:spacing w:after="120"/>
    </w:pPr>
    <w:rPr>
      <w:rFonts w:ascii="宋体" w:hAnsi="宋体" w:eastAsia="宋体" w:cs="宋体"/>
      <w:kern w:val="44"/>
      <w:sz w:val="28"/>
      <w:szCs w:val="28"/>
    </w:rPr>
  </w:style>
  <w:style w:type="paragraph" w:customStyle="1" w:styleId="3">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styleId="9">
    <w:name w:val="toc 7"/>
    <w:basedOn w:val="1"/>
    <w:next w:val="1"/>
    <w:qFormat/>
    <w:uiPriority w:val="0"/>
    <w:pPr>
      <w:ind w:left="1680"/>
      <w:jc w:val="left"/>
    </w:pPr>
    <w:rPr>
      <w:rFonts w:ascii="宋体" w:hAnsi="宋体" w:eastAsia="宋体" w:cs="宋体"/>
      <w:kern w:val="44"/>
      <w:sz w:val="18"/>
      <w:szCs w:val="18"/>
    </w:rPr>
  </w:style>
  <w:style w:type="paragraph" w:styleId="10">
    <w:name w:val="Normal Indent"/>
    <w:basedOn w:val="1"/>
    <w:qFormat/>
    <w:uiPriority w:val="0"/>
    <w:pPr>
      <w:ind w:firstLine="420"/>
    </w:pPr>
    <w:rPr>
      <w:rFonts w:ascii="宋体" w:hAnsi="宋体" w:eastAsia="宋体" w:cs="宋体"/>
      <w:kern w:val="44"/>
      <w:sz w:val="21"/>
      <w:szCs w:val="21"/>
    </w:rPr>
  </w:style>
  <w:style w:type="paragraph" w:styleId="11">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semiHidden/>
    <w:unhideWhenUsed/>
    <w:qFormat/>
    <w:uiPriority w:val="0"/>
    <w:pPr>
      <w:jc w:val="left"/>
    </w:pPr>
  </w:style>
  <w:style w:type="paragraph" w:styleId="13">
    <w:name w:val="Salutation"/>
    <w:basedOn w:val="1"/>
    <w:next w:val="1"/>
    <w:link w:val="57"/>
    <w:qFormat/>
    <w:uiPriority w:val="0"/>
    <w:rPr>
      <w:rFonts w:ascii="宋体" w:hAnsi="宋体" w:eastAsia="宋体" w:cs="宋体"/>
      <w:kern w:val="44"/>
      <w:sz w:val="32"/>
      <w:szCs w:val="32"/>
    </w:rPr>
  </w:style>
  <w:style w:type="paragraph" w:styleId="14">
    <w:name w:val="Body Text 3"/>
    <w:basedOn w:val="1"/>
    <w:link w:val="305"/>
    <w:semiHidden/>
    <w:unhideWhenUsed/>
    <w:qFormat/>
    <w:uiPriority w:val="99"/>
    <w:pPr>
      <w:spacing w:after="120"/>
    </w:pPr>
    <w:rPr>
      <w:sz w:val="16"/>
      <w:szCs w:val="16"/>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字符"/>
    <w:basedOn w:val="37"/>
    <w:link w:val="4"/>
    <w:qFormat/>
    <w:uiPriority w:val="0"/>
    <w:rPr>
      <w:rFonts w:ascii="宋体" w:hAnsi="宋体" w:eastAsia="宋体" w:cs="宋体"/>
      <w:b/>
      <w:bCs/>
      <w:kern w:val="44"/>
      <w:sz w:val="44"/>
      <w:szCs w:val="44"/>
    </w:rPr>
  </w:style>
  <w:style w:type="character" w:customStyle="1" w:styleId="43">
    <w:name w:val="标题 2 字符"/>
    <w:basedOn w:val="37"/>
    <w:link w:val="5"/>
    <w:qFormat/>
    <w:uiPriority w:val="0"/>
    <w:rPr>
      <w:rFonts w:ascii="Arial" w:hAnsi="Arial" w:eastAsia="黑体" w:cs="Arial"/>
      <w:b/>
      <w:bCs/>
      <w:kern w:val="44"/>
      <w:sz w:val="32"/>
      <w:szCs w:val="32"/>
    </w:rPr>
  </w:style>
  <w:style w:type="character" w:customStyle="1" w:styleId="44">
    <w:name w:val="标题 3 字符"/>
    <w:basedOn w:val="37"/>
    <w:link w:val="6"/>
    <w:qFormat/>
    <w:uiPriority w:val="0"/>
    <w:rPr>
      <w:rFonts w:ascii="宋体" w:hAnsi="宋体" w:eastAsia="宋体" w:cs="宋体"/>
      <w:b/>
      <w:bCs/>
      <w:kern w:val="44"/>
      <w:sz w:val="32"/>
      <w:szCs w:val="32"/>
    </w:rPr>
  </w:style>
  <w:style w:type="character" w:customStyle="1" w:styleId="45">
    <w:name w:val="标题 4 字符"/>
    <w:basedOn w:val="37"/>
    <w:link w:val="7"/>
    <w:qFormat/>
    <w:uiPriority w:val="0"/>
    <w:rPr>
      <w:rFonts w:ascii="Arial" w:hAnsi="Arial" w:eastAsia="黑体" w:cs="Arial"/>
      <w:b/>
      <w:bCs/>
      <w:kern w:val="44"/>
      <w:sz w:val="28"/>
      <w:szCs w:val="28"/>
    </w:rPr>
  </w:style>
  <w:style w:type="character" w:customStyle="1" w:styleId="46">
    <w:name w:val="标题 9 字符"/>
    <w:basedOn w:val="37"/>
    <w:link w:val="8"/>
    <w:qFormat/>
    <w:uiPriority w:val="0"/>
    <w:rPr>
      <w:rFonts w:ascii="Arial" w:hAnsi="Arial" w:eastAsia="黑体" w:cs="Arial"/>
      <w:kern w:val="44"/>
      <w:sz w:val="21"/>
      <w:szCs w:val="21"/>
    </w:rPr>
  </w:style>
  <w:style w:type="character" w:customStyle="1" w:styleId="47">
    <w:name w:val="页眉 字符"/>
    <w:basedOn w:val="37"/>
    <w:link w:val="24"/>
    <w:qFormat/>
    <w:uiPriority w:val="0"/>
    <w:rPr>
      <w:sz w:val="18"/>
      <w:szCs w:val="18"/>
    </w:rPr>
  </w:style>
  <w:style w:type="character" w:customStyle="1" w:styleId="48">
    <w:name w:val="页脚 字符"/>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字符"/>
    <w:basedOn w:val="37"/>
    <w:link w:val="2"/>
    <w:qFormat/>
    <w:locked/>
    <w:uiPriority w:val="0"/>
    <w:rPr>
      <w:rFonts w:ascii="宋体" w:hAnsi="宋体" w:eastAsia="宋体" w:cs="宋体"/>
      <w:kern w:val="44"/>
      <w:sz w:val="28"/>
      <w:szCs w:val="28"/>
    </w:rPr>
  </w:style>
  <w:style w:type="character" w:customStyle="1" w:styleId="52">
    <w:name w:val="日期 字符"/>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字符"/>
    <w:basedOn w:val="37"/>
    <w:link w:val="11"/>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字符"/>
    <w:basedOn w:val="37"/>
    <w:link w:val="13"/>
    <w:qFormat/>
    <w:locked/>
    <w:uiPriority w:val="0"/>
    <w:rPr>
      <w:rFonts w:ascii="宋体" w:hAnsi="宋体" w:eastAsia="宋体" w:cs="宋体"/>
      <w:kern w:val="44"/>
      <w:sz w:val="32"/>
      <w:szCs w:val="32"/>
    </w:rPr>
  </w:style>
  <w:style w:type="character" w:customStyle="1" w:styleId="58">
    <w:name w:val="批注框文本 字符"/>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字符"/>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字符"/>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字符"/>
    <w:basedOn w:val="37"/>
    <w:link w:val="12"/>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字符"/>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字符"/>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字符"/>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11"/>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字符"/>
    <w:basedOn w:val="37"/>
    <w:link w:val="14"/>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字符"/>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文本首行缩进 2 字符"/>
    <w:basedOn w:val="76"/>
    <w:link w:val="34"/>
    <w:qFormat/>
    <w:uiPriority w:val="0"/>
    <w:rPr>
      <w:rFonts w:ascii="Times New Roman" w:hAnsi="Times New Roman" w:eastAsia="宋体" w:cs="Times New Roman"/>
      <w:kern w:val="44"/>
      <w:sz w:val="21"/>
      <w:szCs w:val="22"/>
    </w:rPr>
  </w:style>
  <w:style w:type="paragraph" w:customStyle="1" w:styleId="31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A223A-A621-427B-8A0A-026AB51276B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26</Pages>
  <Words>12747</Words>
  <Characters>13602</Characters>
  <Lines>113</Lines>
  <Paragraphs>31</Paragraphs>
  <TotalTime>2</TotalTime>
  <ScaleCrop>false</ScaleCrop>
  <LinksUpToDate>false</LinksUpToDate>
  <CharactersWithSpaces>14792</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2022-02-13T08:29:00Z</dcterms:created>
  <dc:creator>魏宏博</dc:creator>
  <cp:lastModifiedBy>马赛攀</cp:lastModifiedBy>
  <cp:lastPrinted>2020-05-07T01:04:00Z</cp:lastPrinted>
  <dcterms:modified xsi:type="dcterms:W3CDTF">2023-03-28T03:12:20Z</dcterms:modified>
  <dc:title>物资招标标准文本</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94D66E278F184FD682C4437A0FD08291</vt:lpwstr>
  </property>
</Properties>
</file>