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center"/>
        <w:rPr>
          <w:rFonts w:cs="Times New Roman" w:asciiTheme="majorEastAsia" w:hAnsiTheme="majorEastAsia" w:eastAsiaTheme="majorEastAsia"/>
          <w:b/>
          <w:color w:val="000000" w:themeColor="text1"/>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themeColor="text1"/>
          <w:kern w:val="2"/>
          <w:sz w:val="48"/>
          <w:szCs w:val="48"/>
        </w:rPr>
      </w:pPr>
    </w:p>
    <w:p>
      <w:pPr>
        <w:pStyle w:val="31"/>
        <w:tabs>
          <w:tab w:val="left" w:pos="8100"/>
        </w:tabs>
        <w:spacing w:line="360" w:lineRule="auto"/>
        <w:jc w:val="center"/>
        <w:rPr>
          <w:rFonts w:asciiTheme="majorEastAsia" w:hAnsiTheme="majorEastAsia" w:eastAsiaTheme="majorEastAsia"/>
        </w:rPr>
      </w:pPr>
      <w:r>
        <w:rPr>
          <w:rFonts w:hint="eastAsia" w:cs="Times New Roman" w:asciiTheme="majorEastAsia" w:hAnsiTheme="majorEastAsia" w:eastAsiaTheme="majorEastAsia"/>
          <w:b/>
          <w:color w:val="000000"/>
          <w:kern w:val="2"/>
          <w:sz w:val="52"/>
          <w:szCs w:val="52"/>
        </w:rPr>
        <w:t>物资</w:t>
      </w:r>
      <w:r>
        <w:rPr>
          <w:rFonts w:hint="eastAsia" w:cs="Times New Roman" w:asciiTheme="majorEastAsia" w:hAnsiTheme="majorEastAsia" w:eastAsiaTheme="majorEastAsia"/>
          <w:b/>
          <w:color w:val="000000"/>
          <w:kern w:val="2"/>
          <w:sz w:val="52"/>
          <w:szCs w:val="52"/>
          <w:lang w:eastAsia="zh-CN"/>
        </w:rPr>
        <w:t>采购</w:t>
      </w: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31"/>
        <w:tabs>
          <w:tab w:val="left" w:pos="8100"/>
        </w:tabs>
        <w:spacing w:before="240" w:after="240" w:line="360" w:lineRule="auto"/>
        <w:jc w:val="center"/>
        <w:rPr>
          <w:rFonts w:cs="Times New Roman" w:asciiTheme="majorEastAsia" w:hAnsiTheme="majorEastAsia" w:eastAsiaTheme="majorEastAsia"/>
          <w:b/>
          <w:color w:val="000000" w:themeColor="text1"/>
          <w:kern w:val="2"/>
          <w:sz w:val="44"/>
          <w:szCs w:val="44"/>
        </w:rPr>
      </w:pPr>
      <w:r>
        <w:rPr>
          <w:rFonts w:hint="eastAsia" w:cs="Times New Roman" w:asciiTheme="majorEastAsia" w:hAnsiTheme="majorEastAsia" w:eastAsiaTheme="majorEastAsia"/>
          <w:b/>
          <w:color w:val="000000" w:themeColor="text1"/>
          <w:kern w:val="2"/>
          <w:sz w:val="44"/>
          <w:szCs w:val="44"/>
        </w:rPr>
        <w:t>中建路桥集团有限公司</w:t>
      </w:r>
    </w:p>
    <w:p>
      <w:pPr>
        <w:jc w:val="center"/>
        <w:rPr>
          <w:rFonts w:asciiTheme="minorEastAsia" w:hAnsiTheme="minorEastAsia"/>
          <w:b/>
          <w:bCs/>
          <w:sz w:val="36"/>
          <w:szCs w:val="36"/>
        </w:rPr>
      </w:pPr>
      <w:r>
        <w:rPr>
          <w:rFonts w:hint="eastAsia" w:asciiTheme="minorEastAsia" w:hAnsiTheme="minorEastAsia"/>
          <w:b/>
          <w:bCs/>
          <w:sz w:val="36"/>
          <w:szCs w:val="36"/>
        </w:rPr>
        <w:t>202</w:t>
      </w:r>
      <w:r>
        <w:rPr>
          <w:rFonts w:hint="eastAsia" w:asciiTheme="minorEastAsia" w:hAnsiTheme="minorEastAsia"/>
          <w:b/>
          <w:bCs/>
          <w:sz w:val="36"/>
          <w:szCs w:val="36"/>
          <w:lang w:val="en-US" w:eastAsia="zh-CN"/>
        </w:rPr>
        <w:t>3</w:t>
      </w:r>
      <w:r>
        <w:rPr>
          <w:rFonts w:hint="eastAsia" w:asciiTheme="minorEastAsia" w:hAnsiTheme="minorEastAsia"/>
          <w:b/>
          <w:bCs/>
          <w:sz w:val="36"/>
          <w:szCs w:val="36"/>
        </w:rPr>
        <w:t>年</w:t>
      </w:r>
      <w:r>
        <w:rPr>
          <w:rFonts w:hint="eastAsia" w:asciiTheme="minorEastAsia" w:hAnsiTheme="minorEastAsia"/>
          <w:b/>
          <w:bCs/>
          <w:sz w:val="36"/>
          <w:szCs w:val="36"/>
          <w:lang w:val="en-US" w:eastAsia="zh-CN"/>
        </w:rPr>
        <w:t>6</w:t>
      </w:r>
      <w:r>
        <w:rPr>
          <w:rFonts w:hint="eastAsia" w:asciiTheme="minorEastAsia" w:hAnsiTheme="minorEastAsia"/>
          <w:b/>
          <w:bCs/>
          <w:sz w:val="36"/>
          <w:szCs w:val="36"/>
        </w:rPr>
        <w:t>月</w:t>
      </w:r>
      <w:r>
        <w:rPr>
          <w:rFonts w:hint="eastAsia" w:asciiTheme="minorEastAsia" w:hAnsiTheme="minorEastAsia"/>
          <w:b/>
          <w:bCs/>
          <w:sz w:val="36"/>
          <w:szCs w:val="36"/>
          <w:lang w:val="en-US" w:eastAsia="zh-CN"/>
        </w:rPr>
        <w:t>6</w:t>
      </w:r>
      <w:r>
        <w:rPr>
          <w:rFonts w:hint="eastAsia" w:asciiTheme="minorEastAsia" w:hAnsiTheme="minorEastAsia"/>
          <w:b/>
          <w:bCs/>
          <w:sz w:val="36"/>
          <w:szCs w:val="36"/>
        </w:rPr>
        <w:t>日</w:t>
      </w:r>
    </w:p>
    <w:p>
      <w:pPr>
        <w:widowControl/>
        <w:jc w:val="left"/>
        <w:rPr>
          <w:rFonts w:ascii="宋体" w:hAnsi="宋体" w:eastAsia="宋体" w:cs="宋体"/>
          <w:b/>
          <w:sz w:val="28"/>
          <w:szCs w:val="28"/>
        </w:rPr>
      </w:pPr>
      <w:r>
        <w:rPr>
          <w:b/>
          <w:sz w:val="28"/>
          <w:szCs w:val="28"/>
        </w:rPr>
        <w:br w:type="page"/>
      </w: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rPr>
      </w:pPr>
    </w:p>
    <w:p>
      <w:pPr>
        <w:pStyle w:val="31"/>
        <w:tabs>
          <w:tab w:val="left" w:pos="8100"/>
        </w:tabs>
        <w:spacing w:line="360" w:lineRule="auto"/>
        <w:jc w:val="right"/>
        <w:rPr>
          <w:rFonts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招标编号：</w:t>
      </w:r>
      <w:r>
        <w:rPr>
          <w:rFonts w:hint="eastAsia" w:cs="宋体"/>
          <w:b/>
          <w:color w:val="000000"/>
          <w:kern w:val="2"/>
          <w:sz w:val="28"/>
          <w:szCs w:val="28"/>
          <w:highlight w:val="none"/>
          <w:u w:val="single"/>
          <w:lang w:val="en-US" w:eastAsia="zh-CN"/>
        </w:rPr>
        <w:t>ZJLQ-WZSB-吉林项目-005</w:t>
      </w:r>
      <w:r>
        <w:rPr>
          <w:rFonts w:hint="eastAsia" w:ascii="宋体" w:hAnsi="宋体" w:eastAsia="宋体" w:cs="宋体"/>
          <w:b/>
          <w:bCs/>
          <w:sz w:val="28"/>
          <w:szCs w:val="28"/>
          <w:highlight w:val="none"/>
          <w:u w:val="single"/>
        </w:rPr>
        <w:t>号</w:t>
      </w:r>
    </w:p>
    <w:p>
      <w:pPr>
        <w:pStyle w:val="31"/>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lang w:val="en-US" w:eastAsia="zh-CN"/>
        </w:rPr>
        <w:t>吉林省2023年高速公路养护专项工程</w:t>
      </w:r>
      <w:r>
        <w:rPr>
          <w:rFonts w:hint="eastAsia" w:cs="Times New Roman" w:asciiTheme="majorEastAsia" w:hAnsiTheme="majorEastAsia" w:eastAsiaTheme="majorEastAsia"/>
          <w:b/>
          <w:color w:val="000000"/>
          <w:kern w:val="2"/>
          <w:sz w:val="44"/>
          <w:szCs w:val="44"/>
        </w:rPr>
        <w:t>项目</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lang w:val="en-US" w:eastAsia="zh-CN"/>
        </w:rPr>
        <w:t>柴油</w:t>
      </w:r>
      <w:r>
        <w:rPr>
          <w:rFonts w:hint="eastAsia" w:cs="Times New Roman" w:asciiTheme="majorEastAsia" w:hAnsiTheme="majorEastAsia" w:eastAsiaTheme="majorEastAsia"/>
          <w:b/>
          <w:color w:val="000000"/>
          <w:kern w:val="2"/>
          <w:sz w:val="44"/>
          <w:szCs w:val="44"/>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2023</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6</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7</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spacing w:line="400" w:lineRule="exact"/>
        <w:ind w:firstLine="420" w:firstLineChars="200"/>
        <w:rPr>
          <w:rFonts w:hint="eastAsia" w:ascii="仿宋_GB2312" w:eastAsia="仿宋_GB2312" w:hAnsiTheme="minorEastAsia"/>
          <w:sz w:val="21"/>
          <w:szCs w:val="21"/>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1"/>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rPr>
          <w:trHeight w:val="90"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bookmarkStart w:id="1" w:name="_Toc238552194"/>
            <w:bookmarkStart w:id="2" w:name="_Toc152045528"/>
            <w:bookmarkStart w:id="3" w:name="_Toc287545429"/>
            <w:bookmarkStart w:id="4" w:name="_Toc144974496"/>
            <w:bookmarkStart w:id="5" w:name="_Toc238797549"/>
            <w:bookmarkStart w:id="6" w:name="_Toc152042304"/>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34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34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default" w:ascii="仿宋_GB2312" w:eastAsia="仿宋_GB2312" w:cs="宋体" w:hAnsiTheme="minorEastAsia"/>
                <w:sz w:val="21"/>
                <w:szCs w:val="21"/>
                <w:lang w:val="en-US" w:eastAsia="zh-CN"/>
              </w:rPr>
            </w:pPr>
            <w:r>
              <w:rPr>
                <w:rFonts w:hint="eastAsia" w:ascii="仿宋_GB2312" w:eastAsia="仿宋_GB2312" w:cs="宋体" w:hAnsiTheme="minorEastAsia"/>
                <w:sz w:val="21"/>
                <w:szCs w:val="21"/>
                <w:lang w:val="en-US" w:eastAsia="zh-CN"/>
              </w:rPr>
              <w:t>柴油0#</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81"/>
              <w:keepNext w:val="0"/>
              <w:keepLines w:val="0"/>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cs="宋体" w:hAnsiTheme="minorEastAsia"/>
                <w:sz w:val="21"/>
                <w:szCs w:val="21"/>
              </w:rPr>
              <w:t>质量保证能力要求：物资各项指标均必须满足招标方施工技术要求，满足中华人民共和国国家、地方及行业最新颁布的相关标准及技术规范，如果规范、标准、要</w:t>
            </w:r>
            <w:r>
              <w:rPr>
                <w:rFonts w:hint="eastAsia" w:ascii="仿宋_GB2312" w:eastAsia="仿宋_GB2312" w:cs="宋体" w:hAnsiTheme="minorEastAsia"/>
                <w:sz w:val="21"/>
                <w:szCs w:val="21"/>
                <w:highlight w:val="none"/>
              </w:rPr>
              <w:t>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81"/>
              <w:rPr>
                <w:rFonts w:ascii="仿宋_GB2312" w:eastAsia="仿宋_GB2312" w:cs="宋体" w:hAnsiTheme="minorEastAsia"/>
                <w:sz w:val="21"/>
                <w:szCs w:val="21"/>
              </w:rPr>
            </w:pPr>
            <w:r>
              <w:rPr>
                <w:rFonts w:hint="eastAsia" w:ascii="仿宋_GB2312" w:eastAsia="仿宋_GB2312" w:cs="宋体" w:hAnsiTheme="minorEastAsia"/>
                <w:sz w:val="21"/>
                <w:szCs w:val="21"/>
              </w:rPr>
              <w:t>财务能力要求：具有健全的财务会计制度，近两年财务状况良好；</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宋体" w:cs="宋体" w:hAnsiTheme="minorEastAsia"/>
                <w:sz w:val="21"/>
                <w:szCs w:val="21"/>
                <w:lang w:val="en-US" w:eastAsia="zh-CN"/>
              </w:rPr>
            </w:pPr>
            <w:r>
              <w:rPr>
                <w:rFonts w:hint="eastAsia" w:ascii="仿宋" w:hAnsi="仿宋" w:eastAsia="仿宋" w:cs="仿宋"/>
                <w:sz w:val="21"/>
                <w:szCs w:val="21"/>
                <w:highlight w:val="none"/>
              </w:rPr>
              <w:t>实行月结，一票结算。每月</w:t>
            </w:r>
            <w:r>
              <w:rPr>
                <w:rFonts w:hint="eastAsia" w:ascii="仿宋" w:hAnsi="仿宋" w:eastAsia="仿宋" w:cs="仿宋"/>
                <w:sz w:val="21"/>
                <w:szCs w:val="21"/>
                <w:highlight w:val="none"/>
                <w:u w:val="single"/>
              </w:rPr>
              <w:t xml:space="preserve"> 1 </w:t>
            </w:r>
            <w:r>
              <w:rPr>
                <w:rFonts w:hint="eastAsia" w:ascii="仿宋" w:hAnsi="仿宋" w:eastAsia="仿宋" w:cs="仿宋"/>
                <w:sz w:val="21"/>
                <w:szCs w:val="21"/>
                <w:highlight w:val="none"/>
              </w:rPr>
              <w:t>日对上月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2</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日到本月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日所供应的物资办理月结手续</w:t>
            </w:r>
            <w:r>
              <w:rPr>
                <w:rFonts w:hint="eastAsia" w:ascii="仿宋" w:hAnsi="仿宋" w:eastAsia="仿宋" w:cs="仿宋"/>
                <w:sz w:val="21"/>
                <w:szCs w:val="21"/>
                <w:highlight w:val="none"/>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无预付款，付款期限自双方确认结算金额之日起计算，暂定为在甲乙双方完成月度物资结算手续且甲方收到乙方相应全额发票后，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第1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w:t>
            </w:r>
            <w:r>
              <w:rPr>
                <w:rFonts w:hint="eastAsia" w:ascii="仿宋" w:hAnsi="仿宋" w:eastAsia="仿宋" w:cs="仿宋"/>
                <w:color w:val="auto"/>
                <w:sz w:val="21"/>
                <w:szCs w:val="21"/>
                <w:highlight w:val="none"/>
                <w:lang w:eastAsia="zh-CN"/>
              </w:rPr>
              <w:t>末</w:t>
            </w:r>
            <w:r>
              <w:rPr>
                <w:rFonts w:hint="eastAsia" w:ascii="仿宋" w:hAnsi="仿宋" w:eastAsia="仿宋" w:cs="仿宋"/>
                <w:color w:val="auto"/>
                <w:sz w:val="21"/>
                <w:szCs w:val="21"/>
                <w:highlight w:val="none"/>
              </w:rPr>
              <w:t>支付当期应付货款的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100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按合同约定银行账户转账，招标方</w:t>
            </w:r>
            <w:r>
              <w:rPr>
                <w:rFonts w:hint="eastAsia" w:ascii="仿宋" w:hAnsi="仿宋" w:eastAsia="仿宋" w:cs="仿宋"/>
                <w:color w:val="auto"/>
                <w:sz w:val="21"/>
                <w:szCs w:val="21"/>
                <w:highlight w:val="none"/>
                <w:lang w:val="zh-CN"/>
              </w:rPr>
              <w:t>货款</w:t>
            </w:r>
            <w:r>
              <w:rPr>
                <w:rFonts w:hint="eastAsia" w:ascii="仿宋" w:hAnsi="仿宋" w:eastAsia="仿宋" w:cs="仿宋"/>
                <w:color w:val="auto"/>
                <w:sz w:val="21"/>
                <w:szCs w:val="21"/>
                <w:highlight w:val="none"/>
              </w:rPr>
              <w:t>支付形式</w:t>
            </w:r>
            <w:r>
              <w:rPr>
                <w:rFonts w:hint="eastAsia" w:ascii="仿宋" w:hAnsi="仿宋" w:eastAsia="仿宋" w:cs="仿宋"/>
                <w:color w:val="auto"/>
                <w:sz w:val="21"/>
                <w:szCs w:val="21"/>
                <w:highlight w:val="none"/>
                <w:lang w:val="zh-CN"/>
              </w:rPr>
              <w:t>:银行电汇支付，</w:t>
            </w:r>
            <w:r>
              <w:rPr>
                <w:rFonts w:hint="eastAsia" w:ascii="仿宋" w:hAnsi="仿宋" w:eastAsia="仿宋" w:cs="仿宋"/>
                <w:color w:val="auto"/>
                <w:sz w:val="21"/>
                <w:szCs w:val="21"/>
                <w:highlight w:val="none"/>
              </w:rPr>
              <w:t>投标方</w:t>
            </w:r>
            <w:r>
              <w:rPr>
                <w:rFonts w:hint="eastAsia" w:ascii="仿宋" w:hAnsi="仿宋" w:eastAsia="仿宋" w:cs="仿宋"/>
                <w:color w:val="auto"/>
                <w:sz w:val="21"/>
                <w:szCs w:val="21"/>
                <w:highlight w:val="none"/>
                <w:lang w:val="zh-CN"/>
              </w:rPr>
              <w:t>须保证对</w:t>
            </w:r>
            <w:r>
              <w:rPr>
                <w:rFonts w:hint="eastAsia" w:ascii="仿宋" w:hAnsi="仿宋" w:eastAsia="仿宋" w:cs="仿宋"/>
                <w:color w:val="auto"/>
                <w:sz w:val="21"/>
                <w:szCs w:val="21"/>
                <w:highlight w:val="none"/>
              </w:rPr>
              <w:t>招标方</w:t>
            </w:r>
            <w:r>
              <w:rPr>
                <w:rFonts w:hint="eastAsia" w:ascii="仿宋" w:hAnsi="仿宋" w:eastAsia="仿宋" w:cs="仿宋"/>
                <w:color w:val="auto"/>
                <w:sz w:val="21"/>
                <w:szCs w:val="21"/>
                <w:highlight w:val="none"/>
                <w:lang w:val="zh-CN"/>
              </w:rPr>
              <w:t>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 w:hAnsi="仿宋" w:eastAsia="仿宋" w:cs="仿宋"/>
                <w:sz w:val="21"/>
                <w:szCs w:val="21"/>
              </w:rPr>
            </w:pPr>
            <w:r>
              <w:rPr>
                <w:rFonts w:hint="eastAsia" w:ascii="仿宋" w:hAnsi="仿宋" w:eastAsia="仿宋" w:cs="仿宋"/>
                <w:sz w:val="21"/>
                <w:szCs w:val="21"/>
              </w:rPr>
              <w:t>“招标文件”发布信息为准</w:t>
            </w:r>
          </w:p>
        </w:tc>
      </w:tr>
      <w:tr>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 w:hAnsi="仿宋" w:eastAsia="仿宋" w:cs="仿宋"/>
                <w:sz w:val="21"/>
                <w:szCs w:val="21"/>
                <w:lang w:eastAsia="zh-CN"/>
              </w:rPr>
            </w:pPr>
            <w:r>
              <w:rPr>
                <w:rFonts w:hint="eastAsia" w:ascii="仿宋" w:hAnsi="仿宋" w:eastAsia="仿宋" w:cs="仿宋"/>
                <w:sz w:val="21"/>
                <w:szCs w:val="21"/>
              </w:rPr>
              <w:t>是否指定生产厂家/品牌：是□   否</w:t>
            </w:r>
            <w:r>
              <w:rPr>
                <w:rFonts w:hint="eastAsia" w:ascii="仿宋" w:hAnsi="仿宋" w:eastAsia="仿宋" w:cs="仿宋"/>
                <w:sz w:val="21"/>
                <w:szCs w:val="21"/>
                <w:lang w:eastAsia="zh-CN"/>
              </w:rPr>
              <w:t>☑</w:t>
            </w:r>
          </w:p>
          <w:p>
            <w:pPr>
              <w:pStyle w:val="137"/>
              <w:spacing w:before="0" w:beforeAutospacing="0" w:after="0" w:afterAutospacing="0" w:line="320" w:lineRule="exact"/>
              <w:rPr>
                <w:rFonts w:hint="eastAsia" w:ascii="仿宋" w:hAnsi="仿宋" w:eastAsia="仿宋" w:cs="仿宋"/>
                <w:u w:val="single"/>
              </w:rPr>
            </w:pPr>
            <w:r>
              <w:rPr>
                <w:rFonts w:hint="eastAsia" w:ascii="仿宋" w:hAnsi="仿宋" w:eastAsia="仿宋" w:cs="仿宋"/>
                <w:b w:val="0"/>
                <w:bCs w:val="0"/>
                <w:kern w:val="2"/>
                <w:sz w:val="21"/>
                <w:szCs w:val="21"/>
              </w:rPr>
              <w:t>要求提供以下厂家/品牌产品：</w:t>
            </w:r>
            <w:r>
              <w:rPr>
                <w:rFonts w:hint="eastAsia" w:ascii="仿宋" w:hAnsi="仿宋" w:eastAsia="仿宋" w:cs="仿宋"/>
                <w:b w:val="0"/>
                <w:bCs w:val="0"/>
                <w:kern w:val="2"/>
                <w:sz w:val="21"/>
                <w:szCs w:val="21"/>
                <w:u w:val="single"/>
              </w:rPr>
              <w:t xml:space="preserve">    </w:t>
            </w:r>
            <w:r>
              <w:rPr>
                <w:rFonts w:hint="eastAsia" w:ascii="仿宋" w:hAnsi="仿宋" w:eastAsia="仿宋" w:cs="仿宋"/>
                <w:b w:val="0"/>
                <w:bCs w:val="0"/>
                <w:kern w:val="2"/>
                <w:sz w:val="21"/>
                <w:szCs w:val="21"/>
                <w:u w:val="single"/>
                <w:lang w:val="en-US" w:eastAsia="zh-CN"/>
              </w:rPr>
              <w:t>/</w:t>
            </w:r>
            <w:r>
              <w:rPr>
                <w:rFonts w:hint="eastAsia" w:ascii="仿宋" w:hAnsi="仿宋" w:eastAsia="仿宋" w:cs="仿宋"/>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1090"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36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37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履约保证金：</w:t>
            </w:r>
            <w:r>
              <w:rPr>
                <w:rFonts w:hint="eastAsia" w:ascii="仿宋_GB2312" w:eastAsia="仿宋_GB2312" w:cs="宋体" w:hAnsiTheme="minorEastAsia"/>
                <w:sz w:val="21"/>
                <w:szCs w:val="21"/>
                <w:lang w:val="en-US"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2</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物资计量方式：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计件□</w:t>
            </w:r>
            <w:r>
              <w:rPr>
                <w:rFonts w:hint="eastAsia" w:ascii="仿宋_GB2312" w:eastAsia="仿宋_GB2312" w:cs="宋体" w:hAnsiTheme="minorEastAsia"/>
                <w:sz w:val="21"/>
                <w:szCs w:val="21"/>
              </w:rPr>
              <w:t xml:space="preserve"> 检尺□ 其他计量方式</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6660"/>
      <w:bookmarkStart w:id="8" w:name="_Toc214339494"/>
      <w:bookmarkStart w:id="9" w:name="_Toc31831"/>
      <w:bookmarkStart w:id="10" w:name="_Toc214333205"/>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1"/>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坚持以习近平新时代中国特色社会主义思想为指导，全面贯彻党的十九大精神。遵守自由、平等、公正、法治的社会主义核心价值观。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lang w:val="en-US" w:eastAsia="zh-CN"/>
        </w:rPr>
        <w:t>ZJLQ-WZSB-吉林项目-005</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 w:hAnsi="仿宋" w:eastAsia="仿宋" w:cs="仿宋"/>
          <w:sz w:val="21"/>
          <w:szCs w:val="21"/>
          <w:highlight w:val="none"/>
          <w:u w:val="single"/>
          <w:lang w:eastAsia="zh-CN"/>
        </w:rPr>
        <w:t>中建路桥集团有限公司</w:t>
      </w:r>
      <w:r>
        <w:rPr>
          <w:rFonts w:hint="eastAsia" w:ascii="仿宋" w:hAnsi="仿宋" w:eastAsia="仿宋" w:cs="仿宋"/>
          <w:sz w:val="21"/>
          <w:szCs w:val="21"/>
          <w:highlight w:val="none"/>
          <w:u w:val="single"/>
          <w:lang w:val="en-US" w:eastAsia="zh-CN"/>
        </w:rPr>
        <w:t>吉林省2023年高速公路养护专项工程</w:t>
      </w:r>
    </w:p>
    <w:p>
      <w:pPr>
        <w:pStyle w:val="181"/>
        <w:keepNext w:val="0"/>
        <w:keepLines w:val="0"/>
        <w:ind w:firstLine="420" w:firstLineChars="200"/>
        <w:jc w:val="left"/>
        <w:rPr>
          <w:rFonts w:hint="default" w:ascii="仿宋_GB2312" w:eastAsia="仿宋_GB2312" w:cs="宋体" w:hAnsiTheme="minorEastAsia"/>
          <w:sz w:val="21"/>
          <w:szCs w:val="21"/>
          <w:u w:val="single"/>
          <w:lang w:val="en-US"/>
        </w:rPr>
      </w:pPr>
      <w:r>
        <w:rPr>
          <w:rFonts w:hint="eastAsia" w:ascii="仿宋_GB2312" w:eastAsia="仿宋_GB2312" w:cs="宋体" w:hAnsiTheme="minorEastAsia"/>
          <w:sz w:val="21"/>
          <w:szCs w:val="21"/>
        </w:rPr>
        <w:t>1.5项目地点：</w:t>
      </w:r>
      <w:r>
        <w:rPr>
          <w:rFonts w:hint="eastAsia" w:ascii="仿宋" w:hAnsi="仿宋" w:eastAsia="仿宋" w:cs="仿宋"/>
          <w:sz w:val="21"/>
          <w:szCs w:val="21"/>
          <w:highlight w:val="none"/>
          <w:u w:val="single"/>
          <w:lang w:val="en-US" w:eastAsia="zh-CN"/>
        </w:rPr>
        <w:t>吉林省磐石市、白山市、通化市</w:t>
      </w:r>
    </w:p>
    <w:p>
      <w:pPr>
        <w:pStyle w:val="181"/>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周龙乾</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lang w:val="en-US" w:eastAsia="zh-CN"/>
        </w:rPr>
        <w:t>13373533070</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1"/>
        <w:keepNext w:val="0"/>
        <w:keepLines w:val="0"/>
        <w:ind w:firstLine="482" w:firstLineChars="200"/>
        <w:jc w:val="left"/>
        <w:rPr>
          <w:rFonts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工程款</w:t>
      </w:r>
    </w:p>
    <w:p>
      <w:pPr>
        <w:pStyle w:val="181"/>
        <w:keepNext w:val="0"/>
        <w:keepLines w:val="0"/>
        <w:ind w:firstLine="482" w:firstLineChars="200"/>
        <w:jc w:val="left"/>
        <w:rPr>
          <w:rFonts w:ascii="仿宋_GB2312" w:eastAsia="仿宋_GB2312" w:hAnsiTheme="minorEastAsia"/>
          <w:b/>
          <w:bCs/>
        </w:rPr>
      </w:pPr>
      <w:bookmarkStart w:id="15" w:name="_Toc30721"/>
      <w:r>
        <w:rPr>
          <w:rFonts w:hint="eastAsia" w:ascii="仿宋_GB2312" w:eastAsia="仿宋_GB2312" w:cs="宋体" w:hAnsiTheme="minorEastAsia"/>
          <w:b/>
          <w:bCs/>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4.1本次招标采购物资为中建路桥集团有限公司</w:t>
      </w:r>
      <w:r>
        <w:rPr>
          <w:rFonts w:hint="eastAsia" w:ascii="仿宋" w:hAnsi="仿宋" w:eastAsia="仿宋" w:cs="仿宋"/>
          <w:sz w:val="21"/>
          <w:szCs w:val="21"/>
          <w:highlight w:val="none"/>
          <w:u w:val="single"/>
          <w:lang w:val="en-US" w:eastAsia="zh-CN"/>
        </w:rPr>
        <w:t>吉林省2023年高速公路养护专项工程</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b/>
          <w:bCs/>
          <w:sz w:val="21"/>
          <w:szCs w:val="21"/>
          <w:u w:val="single"/>
          <w:lang w:val="en-US" w:eastAsia="zh-CN"/>
        </w:rPr>
        <w:t>柴油</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柴油</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60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约70000升</w:t>
            </w:r>
          </w:p>
        </w:tc>
      </w:tr>
    </w:tbl>
    <w:p>
      <w:pPr>
        <w:spacing w:line="400" w:lineRule="exact"/>
        <w:ind w:firstLine="420" w:firstLineChars="200"/>
        <w:jc w:val="left"/>
        <w:outlineLvl w:val="2"/>
        <w:rPr>
          <w:rFonts w:hint="eastAsia" w:ascii="仿宋_GB2312" w:eastAsia="仿宋_GB2312" w:hAnsiTheme="minorEastAsia"/>
          <w:sz w:val="21"/>
          <w:szCs w:val="21"/>
          <w:lang w:eastAsia="zh-CN"/>
        </w:rPr>
      </w:pPr>
      <w:r>
        <w:rPr>
          <w:rFonts w:hint="eastAsia" w:ascii="仿宋_GB2312" w:eastAsia="仿宋_GB2312" w:hAnsiTheme="minorEastAsia"/>
          <w:sz w:val="21"/>
          <w:szCs w:val="21"/>
        </w:rPr>
        <w:t>4.2交货地点：中建路桥集团有限公司</w:t>
      </w:r>
      <w:r>
        <w:rPr>
          <w:rFonts w:hint="eastAsia" w:ascii="仿宋" w:hAnsi="仿宋" w:eastAsia="仿宋" w:cs="仿宋"/>
          <w:sz w:val="21"/>
          <w:szCs w:val="21"/>
          <w:highlight w:val="none"/>
          <w:u w:val="single"/>
          <w:lang w:val="en-US" w:eastAsia="zh-CN"/>
        </w:rPr>
        <w:t>吉林省2023年高速公路养护专项工程</w:t>
      </w:r>
      <w:r>
        <w:rPr>
          <w:rFonts w:hint="eastAsia" w:ascii="仿宋" w:hAnsi="仿宋" w:eastAsia="仿宋" w:cs="仿宋"/>
          <w:sz w:val="21"/>
          <w:szCs w:val="21"/>
          <w:highlight w:val="none"/>
          <w:u w:val="none"/>
          <w:lang w:val="en-US" w:eastAsia="zh-CN"/>
        </w:rPr>
        <w:t>指定地点</w:t>
      </w:r>
      <w:r>
        <w:rPr>
          <w:rFonts w:hint="eastAsia" w:ascii="仿宋_GB2312" w:eastAsia="仿宋_GB2312" w:hAnsiTheme="minorEastAsia"/>
          <w:sz w:val="21"/>
          <w:szCs w:val="21"/>
          <w:lang w:eastAsia="zh-CN"/>
        </w:rPr>
        <w:t>。</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4.3中标物资不允许转包。</w:t>
      </w:r>
    </w:p>
    <w:p>
      <w:pPr>
        <w:pStyle w:val="181"/>
        <w:keepNext w:val="0"/>
        <w:keepLines w:val="0"/>
        <w:ind w:firstLine="482" w:firstLineChars="200"/>
        <w:jc w:val="left"/>
        <w:rPr>
          <w:rFonts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5.1.5绿色、节能、环保</w:t>
      </w:r>
      <w:r>
        <w:rPr>
          <w:rFonts w:hint="eastAsia" w:ascii="仿宋_GB2312" w:eastAsia="仿宋_GB2312" w:hAnsiTheme="minorEastAsia"/>
          <w:sz w:val="21"/>
          <w:szCs w:val="21"/>
          <w:highlight w:val="none"/>
        </w:rPr>
        <w:t>能力</w:t>
      </w:r>
      <w:r>
        <w:rPr>
          <w:rFonts w:hint="eastAsia" w:ascii="仿宋_GB2312" w:hAnsi="仿宋" w:eastAsia="仿宋_GB2312"/>
          <w:bCs/>
          <w:color w:val="000000" w:themeColor="text1"/>
          <w:sz w:val="21"/>
          <w:szCs w:val="21"/>
          <w:highlight w:val="none"/>
          <w:lang w:val="en-US" w:eastAsia="zh-CN"/>
        </w:rPr>
        <w:t>要求：</w:t>
      </w:r>
      <w:r>
        <w:rPr>
          <w:rFonts w:hint="eastAsia" w:ascii="仿宋_GB2312" w:eastAsia="仿宋_GB2312" w:hAnsiTheme="minorEastAsia"/>
          <w:sz w:val="21"/>
          <w:szCs w:val="21"/>
          <w:highlight w:val="none"/>
        </w:rPr>
        <w:t>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7</w:t>
      </w:r>
      <w:r>
        <w:rPr>
          <w:rFonts w:hint="eastAsia" w:ascii="仿宋_GB2312" w:eastAsia="仿宋_GB2312" w:hAnsiTheme="minorEastAsia"/>
          <w:sz w:val="21"/>
          <w:szCs w:val="21"/>
        </w:rPr>
        <w:t>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8</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9</w:t>
      </w:r>
      <w:r>
        <w:rPr>
          <w:rFonts w:hint="eastAsia" w:ascii="仿宋_GB2312" w:eastAsia="仿宋_GB2312" w:hAnsiTheme="minorEastAsia"/>
          <w:sz w:val="21"/>
          <w:szCs w:val="21"/>
        </w:rPr>
        <w:t>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5.2.2被责令停业的；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5.2.3被暂停或取消投标资格的；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w:t>
      </w:r>
      <w:r>
        <w:rPr>
          <w:rFonts w:hint="eastAsia" w:ascii="仿宋_GB2312" w:eastAsia="仿宋_GB2312" w:hAnsiTheme="minorEastAsia"/>
          <w:sz w:val="21"/>
          <w:szCs w:val="21"/>
          <w:highlight w:val="none"/>
        </w:rPr>
        <w:t>求和现行的有关技术标准</w:t>
      </w:r>
      <w:r>
        <w:rPr>
          <w:rFonts w:hint="eastAsia" w:ascii="仿宋_GB2312" w:eastAsia="仿宋_GB2312" w:hAnsiTheme="minorEastAsia"/>
          <w:sz w:val="21"/>
          <w:szCs w:val="21"/>
          <w:highlight w:val="none"/>
          <w:lang w:eastAsia="zh-CN"/>
        </w:rPr>
        <w:t>，</w:t>
      </w:r>
      <w:r>
        <w:rPr>
          <w:rFonts w:hint="eastAsia" w:ascii="仿宋_GB2312" w:hAnsi="仿宋" w:eastAsia="仿宋_GB2312"/>
          <w:bCs/>
          <w:color w:val="000000" w:themeColor="text1"/>
          <w:sz w:val="21"/>
          <w:szCs w:val="21"/>
          <w:highlight w:val="none"/>
        </w:rPr>
        <w:t>优先选择绿色节能环保</w:t>
      </w:r>
      <w:r>
        <w:rPr>
          <w:rFonts w:hint="eastAsia" w:ascii="仿宋_GB2312" w:hAnsi="仿宋" w:eastAsia="仿宋_GB2312"/>
          <w:bCs/>
          <w:color w:val="000000" w:themeColor="text1"/>
          <w:sz w:val="21"/>
          <w:szCs w:val="21"/>
          <w:highlight w:val="none"/>
          <w:lang w:val="en-US" w:eastAsia="zh-CN"/>
        </w:rPr>
        <w:t>材料</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pPr>
        <w:spacing w:line="400" w:lineRule="exact"/>
        <w:ind w:firstLine="420" w:firstLineChars="200"/>
        <w:jc w:val="left"/>
        <w:outlineLvl w:val="2"/>
        <w:rPr>
          <w:rFonts w:hint="eastAsia" w:ascii="仿宋_GB2312" w:eastAsia="仿宋_GB2312" w:hAnsiTheme="minorEastAsia"/>
          <w:sz w:val="21"/>
          <w:szCs w:val="21"/>
          <w:lang w:val="en-US" w:eastAsia="zh-CN"/>
        </w:rPr>
      </w:pPr>
      <w:bookmarkStart w:id="19" w:name="_Toc238552208"/>
      <w:bookmarkStart w:id="20" w:name="_Toc238797563"/>
      <w:bookmarkStart w:id="21" w:name="_Toc287545441"/>
      <w:r>
        <w:rPr>
          <w:rFonts w:hint="eastAsia" w:ascii="仿宋_GB2312" w:eastAsia="仿宋_GB2312" w:hAnsiTheme="minorEastAsia"/>
          <w:sz w:val="21"/>
          <w:szCs w:val="21"/>
          <w:lang w:val="en-US" w:eastAsia="zh-CN"/>
        </w:rPr>
        <w:t>无</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8053"/>
      <w:bookmarkStart w:id="25" w:name="_Toc214339495"/>
      <w:r>
        <w:rPr>
          <w:rFonts w:hint="eastAsia" w:ascii="宋体" w:hAnsi="宋体" w:eastAsia="宋体" w:cs="宋体"/>
          <w:sz w:val="21"/>
          <w:szCs w:val="21"/>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81"/>
        <w:keepNext w:val="0"/>
        <w:keepLines w:val="0"/>
        <w:ind w:firstLine="482" w:firstLineChars="200"/>
        <w:jc w:val="left"/>
        <w:rPr>
          <w:rFonts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8" w:name="_Toc214333207"/>
      <w:bookmarkStart w:id="29" w:name="_Toc214339496"/>
      <w:bookmarkStart w:id="30" w:name="_Toc214335335"/>
      <w:bookmarkStart w:id="31" w:name="_Toc214336662"/>
      <w:bookmarkStart w:id="32" w:name="_Toc214331811"/>
      <w:bookmarkStart w:id="33" w:name="_Toc1068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81"/>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lang w:eastAsia="zh-CN"/>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r>
        <w:rPr>
          <w:rFonts w:hint="eastAsia" w:ascii="仿宋_GB2312" w:eastAsia="仿宋_GB2312" w:hAnsiTheme="minorEastAsia"/>
          <w:sz w:val="21"/>
          <w:szCs w:val="21"/>
          <w:lang w:eastAsia="zh-CN"/>
        </w:rPr>
        <w:t>（如有）</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1"/>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万元整；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.1投标人把物资完好无损地</w:t>
      </w:r>
      <w:r>
        <w:rPr>
          <w:rFonts w:hint="eastAsia" w:ascii="仿宋_GB2312" w:eastAsia="仿宋_GB2312" w:hAnsiTheme="minorEastAsia"/>
          <w:sz w:val="21"/>
          <w:szCs w:val="21"/>
          <w:lang w:val="en-US" w:eastAsia="zh-CN"/>
        </w:rPr>
        <w:t>交付</w:t>
      </w:r>
      <w:r>
        <w:rPr>
          <w:rFonts w:hint="eastAsia" w:ascii="仿宋_GB2312" w:eastAsia="仿宋_GB2312" w:hAnsiTheme="minorEastAsia"/>
          <w:sz w:val="21"/>
          <w:szCs w:val="21"/>
        </w:rPr>
        <w:t>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 xml:space="preserve">浮动单价 </w:t>
      </w:r>
      <w:r>
        <w:rPr>
          <w:rFonts w:hint="eastAsia" w:ascii="仿宋_GB2312" w:eastAsia="仿宋_GB2312" w:hAnsiTheme="minorEastAsia"/>
          <w:b/>
          <w:sz w:val="21"/>
          <w:szCs w:val="21"/>
        </w:rPr>
        <w:t>报价方式</w:t>
      </w:r>
    </w:p>
    <w:p>
      <w:pPr>
        <w:spacing w:line="400" w:lineRule="exact"/>
        <w:ind w:firstLine="420" w:firstLineChars="200"/>
        <w:jc w:val="left"/>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rPr>
        <w:t>物资报价</w:t>
      </w:r>
      <w:r>
        <w:rPr>
          <w:rFonts w:hint="eastAsia" w:ascii="仿宋_GB2312" w:eastAsia="仿宋_GB2312" w:hAnsiTheme="minorEastAsia"/>
          <w:sz w:val="21"/>
          <w:szCs w:val="21"/>
          <w:lang w:val="en-US" w:eastAsia="zh-CN"/>
        </w:rPr>
        <w:t>根据市场价格浮动调整。</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Toc214336663"/>
      <w:bookmarkStart w:id="39" w:name="_Toc214339497"/>
      <w:bookmarkStart w:id="40" w:name="_Toc214331812"/>
      <w:bookmarkStart w:id="41" w:name="_Toc214333208"/>
      <w:bookmarkStart w:id="42" w:name="_Toc31618"/>
      <w:bookmarkStart w:id="43" w:name="_Toc214335336"/>
      <w:bookmarkStart w:id="44" w:name="_Hlk38441028"/>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2023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6</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12</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14</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u w:val="single"/>
          <w:lang w:val="en-US" w:eastAsia="zh-CN"/>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u w:val="single"/>
          <w:lang w:val="en-US" w:eastAsia="zh-CN"/>
        </w:rPr>
        <w:t>石家庄市桥西区新石北路362号中建路桥集团第二办公区。</w:t>
      </w:r>
    </w:p>
    <w:p>
      <w:pPr>
        <w:spacing w:line="400" w:lineRule="exact"/>
        <w:ind w:firstLine="420" w:firstLineChars="200"/>
        <w:jc w:val="left"/>
        <w:outlineLvl w:val="2"/>
        <w:rPr>
          <w:rFonts w:hint="default" w:ascii="仿宋_GB2312" w:eastAsia="仿宋_GB2312" w:cs="Times New Roman" w:hAnsiTheme="minorEastAsia"/>
          <w:sz w:val="21"/>
          <w:szCs w:val="21"/>
          <w:lang w:val="en-US" w:eastAsia="zh-CN"/>
        </w:rPr>
      </w:pPr>
      <w:r>
        <w:rPr>
          <w:rFonts w:hint="eastAsia" w:ascii="仿宋_GB2312" w:eastAsia="仿宋_GB2312" w:cs="Times New Roman" w:hAnsiTheme="minorEastAsia"/>
          <w:sz w:val="21"/>
          <w:szCs w:val="21"/>
          <w:u w:val="none"/>
          <w:lang w:val="en-US" w:eastAsia="zh-CN"/>
        </w:rPr>
        <w:t>联系人</w:t>
      </w:r>
      <w:r>
        <w:rPr>
          <w:rFonts w:hint="eastAsia" w:ascii="仿宋_GB2312" w:eastAsia="仿宋_GB2312" w:cs="Times New Roman" w:hAnsiTheme="minorEastAsia"/>
          <w:sz w:val="21"/>
          <w:szCs w:val="21"/>
          <w:u w:val="single"/>
          <w:lang w:val="en-US" w:eastAsia="zh-CN"/>
        </w:rPr>
        <w:t>：养护公司合约与采购部马经理，18332011236</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6664"/>
      <w:bookmarkStart w:id="47" w:name="_Toc214339498"/>
      <w:bookmarkStart w:id="48" w:name="_Toc214331813"/>
      <w:bookmarkStart w:id="49" w:name="_Toc214335337"/>
      <w:bookmarkStart w:id="50" w:name="_Toc214333209"/>
      <w:bookmarkStart w:id="51" w:name="_Toc4220"/>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lang w:eastAsia="zh-CN"/>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2023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6</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12</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14</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w:t>
      </w:r>
      <w:r>
        <w:rPr>
          <w:rFonts w:hint="eastAsia" w:ascii="仿宋_GB2312" w:eastAsia="仿宋_GB2312" w:hAnsiTheme="minorEastAsia"/>
          <w:kern w:val="2"/>
          <w:lang w:eastAsia="zh-CN"/>
        </w:rPr>
        <w:t>高速公路养护有限公司</w:t>
      </w:r>
      <w:r>
        <w:rPr>
          <w:rFonts w:hint="eastAsia" w:ascii="仿宋_GB2312" w:eastAsia="仿宋_GB2312" w:hAnsiTheme="minorEastAsia"/>
          <w:kern w:val="2"/>
        </w:rPr>
        <w:t>开标</w:t>
      </w:r>
      <w:r>
        <w:rPr>
          <w:rFonts w:hint="eastAsia" w:ascii="仿宋_GB2312" w:eastAsia="仿宋_GB2312" w:hAnsiTheme="minorEastAsia"/>
          <w:kern w:val="2"/>
          <w:lang w:eastAsia="zh-CN"/>
        </w:rPr>
        <w:t>。</w:t>
      </w:r>
    </w:p>
    <w:p>
      <w:pPr>
        <w:pStyle w:val="181"/>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1"/>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6" w:name="_Toc214339499"/>
      <w:bookmarkStart w:id="57" w:name="_Toc214333210"/>
      <w:bookmarkStart w:id="58" w:name="_Toc214331814"/>
      <w:bookmarkStart w:id="59" w:name="_Toc214335338"/>
      <w:bookmarkStart w:id="60" w:name="_Toc4715"/>
      <w:bookmarkStart w:id="61" w:name="_Toc214336665"/>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1"/>
        <w:keepNext w:val="0"/>
        <w:keepLines w:val="0"/>
        <w:ind w:firstLine="482" w:firstLineChars="200"/>
        <w:jc w:val="left"/>
        <w:rPr>
          <w:rFonts w:ascii="仿宋_GB2312" w:eastAsia="仿宋_GB2312" w:hAnsiTheme="minorEastAsia"/>
          <w:sz w:val="21"/>
          <w:szCs w:val="21"/>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ajorEastAsia"/>
          <w:b/>
          <w:bCs/>
          <w:sz w:val="36"/>
          <w:szCs w:val="36"/>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“集团官网”。纸版或其它方式通知。</w:t>
      </w: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2.3投标单位应随每批次产品提供产品出厂合格证明、质量检验报告等各种证件以及技术性能合格后方可供货。</w:t>
      </w:r>
    </w:p>
    <w:p>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柴油质量技术要求：</w:t>
      </w:r>
    </w:p>
    <w:tbl>
      <w:tblPr>
        <w:tblStyle w:val="36"/>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4"/>
        <w:gridCol w:w="648"/>
        <w:gridCol w:w="12"/>
        <w:gridCol w:w="636"/>
        <w:gridCol w:w="84"/>
        <w:gridCol w:w="564"/>
        <w:gridCol w:w="6"/>
        <w:gridCol w:w="270"/>
        <w:gridCol w:w="368"/>
        <w:gridCol w:w="472"/>
        <w:gridCol w:w="84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vMerge w:val="restart"/>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项目</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质量指标</w:t>
            </w:r>
          </w:p>
        </w:tc>
        <w:tc>
          <w:tcPr>
            <w:tcW w:w="1483" w:type="dxa"/>
            <w:vMerge w:val="restart"/>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vMerge w:val="continue"/>
            <w:noWrap w:val="0"/>
            <w:vAlign w:val="top"/>
          </w:tcPr>
          <w:p>
            <w:pPr>
              <w:widowControl w:val="0"/>
              <w:jc w:val="center"/>
              <w:rPr>
                <w:rFonts w:hint="eastAsia" w:ascii="仿宋" w:hAnsi="仿宋" w:eastAsia="仿宋" w:cs="仿宋"/>
                <w:kern w:val="2"/>
                <w:sz w:val="21"/>
                <w:szCs w:val="21"/>
                <w:highlight w:val="none"/>
                <w:lang w:val="en-US" w:eastAsia="zh-CN" w:bidi="ar-SA"/>
              </w:rPr>
            </w:pPr>
          </w:p>
        </w:tc>
        <w:tc>
          <w:tcPr>
            <w:tcW w:w="660"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5号</w:t>
            </w:r>
          </w:p>
        </w:tc>
        <w:tc>
          <w:tcPr>
            <w:tcW w:w="720"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0号</w:t>
            </w:r>
          </w:p>
        </w:tc>
        <w:tc>
          <w:tcPr>
            <w:tcW w:w="840" w:type="dxa"/>
            <w:gridSpan w:val="3"/>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-10号</w:t>
            </w:r>
          </w:p>
        </w:tc>
        <w:tc>
          <w:tcPr>
            <w:tcW w:w="840"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-20号</w:t>
            </w:r>
          </w:p>
        </w:tc>
        <w:tc>
          <w:tcPr>
            <w:tcW w:w="840"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-35号</w:t>
            </w:r>
          </w:p>
        </w:tc>
        <w:tc>
          <w:tcPr>
            <w:tcW w:w="1483" w:type="dxa"/>
            <w:vMerge w:val="continue"/>
            <w:noWrap w:val="0"/>
            <w:vAlign w:val="top"/>
          </w:tcPr>
          <w:p>
            <w:pPr>
              <w:widowControl w:val="0"/>
              <w:jc w:val="center"/>
              <w:rPr>
                <w:rFonts w:hint="eastAsia" w:ascii="仿宋" w:hAnsi="仿宋" w:eastAsia="仿宋"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色度号不大于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氧化安定性，总不溶物mg/100ml不大于</w:t>
            </w:r>
          </w:p>
        </w:tc>
        <w:tc>
          <w:tcPr>
            <w:tcW w:w="3900" w:type="dxa"/>
            <w:gridSpan w:val="10"/>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w:t>
            </w:r>
          </w:p>
        </w:tc>
        <w:tc>
          <w:tcPr>
            <w:tcW w:w="1483" w:type="dxa"/>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SH/T 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硫含量，%（质量分数）   不大于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0.005</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酸度，mgKOH/100ml       不大于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10%蒸余物残碳，%（质量分数）</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0.3</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灰分，%（质量分数）     不大于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0.01</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铜片腐蚀（50℃，3h）级  不大于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水分，%（体积分数）     不大于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痕迹</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机械杂质</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无</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运动粘度（20℃）m·m²/s</w:t>
            </w:r>
          </w:p>
        </w:tc>
        <w:tc>
          <w:tcPr>
            <w:tcW w:w="1296" w:type="dxa"/>
            <w:gridSpan w:val="3"/>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3.0~8.0</w:t>
            </w:r>
          </w:p>
        </w:tc>
        <w:tc>
          <w:tcPr>
            <w:tcW w:w="1292" w:type="dxa"/>
            <w:gridSpan w:val="5"/>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2.5~8.0</w:t>
            </w:r>
          </w:p>
        </w:tc>
        <w:tc>
          <w:tcPr>
            <w:tcW w:w="1312"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1.8~7.0</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凝点，℃                不高于</w:t>
            </w:r>
          </w:p>
        </w:tc>
        <w:tc>
          <w:tcPr>
            <w:tcW w:w="648"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648"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w:t>
            </w:r>
          </w:p>
        </w:tc>
        <w:tc>
          <w:tcPr>
            <w:tcW w:w="648"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644" w:type="dxa"/>
            <w:gridSpan w:val="3"/>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w:t>
            </w:r>
          </w:p>
        </w:tc>
        <w:tc>
          <w:tcPr>
            <w:tcW w:w="1312"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冷滤点，℃              不高于</w:t>
            </w:r>
          </w:p>
        </w:tc>
        <w:tc>
          <w:tcPr>
            <w:tcW w:w="648"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648"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648"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644" w:type="dxa"/>
            <w:gridSpan w:val="3"/>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-14</w:t>
            </w:r>
          </w:p>
        </w:tc>
        <w:tc>
          <w:tcPr>
            <w:tcW w:w="1312" w:type="dxa"/>
            <w:gridSpan w:val="2"/>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-29</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tabs>
                <w:tab w:val="center" w:pos="1644"/>
              </w:tabs>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闪点（闭口）</w:t>
            </w:r>
            <w:r>
              <w:rPr>
                <w:rFonts w:hint="eastAsia" w:ascii="仿宋" w:hAnsi="仿宋" w:eastAsia="仿宋" w:cs="仿宋"/>
                <w:kern w:val="2"/>
                <w:sz w:val="21"/>
                <w:szCs w:val="21"/>
                <w:highlight w:val="none"/>
                <w:lang w:val="en-US" w:eastAsia="zh-CN" w:bidi="ar-SA"/>
              </w:rPr>
              <w:tab/>
            </w:r>
            <w:r>
              <w:rPr>
                <w:rFonts w:hint="eastAsia" w:ascii="仿宋" w:hAnsi="仿宋" w:eastAsia="仿宋" w:cs="仿宋"/>
                <w:kern w:val="2"/>
                <w:sz w:val="21"/>
                <w:szCs w:val="21"/>
                <w:highlight w:val="none"/>
                <w:lang w:val="en-US" w:eastAsia="zh-CN" w:bidi="ar-SA"/>
              </w:rPr>
              <w:t xml:space="preserve">            不低于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55</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504" w:type="dxa"/>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十六烷值           不小于</w:t>
            </w:r>
          </w:p>
        </w:tc>
        <w:tc>
          <w:tcPr>
            <w:tcW w:w="1944" w:type="dxa"/>
            <w:gridSpan w:val="5"/>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51</w:t>
            </w:r>
          </w:p>
        </w:tc>
        <w:tc>
          <w:tcPr>
            <w:tcW w:w="644" w:type="dxa"/>
            <w:gridSpan w:val="3"/>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49</w:t>
            </w:r>
          </w:p>
        </w:tc>
        <w:tc>
          <w:tcPr>
            <w:tcW w:w="1312" w:type="dxa"/>
            <w:gridSpan w:val="2"/>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47</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386</w:t>
            </w:r>
          </w:p>
          <w:p>
            <w:pPr>
              <w:pStyle w:val="2"/>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ASTMD6890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04" w:type="dxa"/>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十六烷指数         不小于</w:t>
            </w:r>
          </w:p>
        </w:tc>
        <w:tc>
          <w:tcPr>
            <w:tcW w:w="1944" w:type="dxa"/>
            <w:gridSpan w:val="5"/>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46</w:t>
            </w:r>
          </w:p>
        </w:tc>
        <w:tc>
          <w:tcPr>
            <w:tcW w:w="644" w:type="dxa"/>
            <w:gridSpan w:val="3"/>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46</w:t>
            </w:r>
          </w:p>
        </w:tc>
        <w:tc>
          <w:tcPr>
            <w:tcW w:w="1312" w:type="dxa"/>
            <w:gridSpan w:val="2"/>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46</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11139</w:t>
            </w:r>
          </w:p>
          <w:p>
            <w:pPr>
              <w:pStyle w:val="2"/>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SH/T 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馏程</w:t>
            </w:r>
          </w:p>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50%馏出温度，℃         不高于</w:t>
            </w:r>
          </w:p>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90%馏出温度，℃         不高于</w:t>
            </w:r>
          </w:p>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95%馏出温度，℃         不高于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p>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p>
            <w:pPr>
              <w:pStyle w:val="2"/>
              <w:widowControl w:val="0"/>
              <w:spacing w:line="24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355</w:t>
            </w:r>
          </w:p>
          <w:p>
            <w:pPr>
              <w:pStyle w:val="2"/>
              <w:widowControl w:val="0"/>
              <w:spacing w:line="24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365</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p>
          <w:p>
            <w:pPr>
              <w:pStyle w:val="2"/>
              <w:widowControl w:val="0"/>
              <w:jc w:val="center"/>
              <w:rPr>
                <w:rFonts w:hint="eastAsia" w:ascii="仿宋" w:hAnsi="仿宋" w:eastAsia="仿宋" w:cs="仿宋"/>
                <w:kern w:val="2"/>
                <w:sz w:val="21"/>
                <w:szCs w:val="21"/>
                <w:highlight w:val="none"/>
                <w:lang w:val="en-US" w:eastAsia="zh-CN" w:bidi="ar-SA"/>
              </w:rPr>
            </w:pPr>
          </w:p>
          <w:p>
            <w:pPr>
              <w:pStyle w:val="3"/>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6536</w:t>
            </w:r>
          </w:p>
          <w:p>
            <w:pPr>
              <w:pStyle w:val="2"/>
              <w:widowControl w:val="0"/>
              <w:jc w:val="center"/>
              <w:rPr>
                <w:rFonts w:hint="eastAsia" w:ascii="仿宋" w:hAnsi="仿宋" w:eastAsia="仿宋"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多环芳烃%（质量分数）   不高于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润滑性 磨斑直径um       不高于</w:t>
            </w:r>
          </w:p>
        </w:tc>
        <w:tc>
          <w:tcPr>
            <w:tcW w:w="3900" w:type="dxa"/>
            <w:gridSpan w:val="10"/>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460</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504" w:type="dxa"/>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密度（20℃）           kg/m³</w:t>
            </w:r>
          </w:p>
        </w:tc>
        <w:tc>
          <w:tcPr>
            <w:tcW w:w="1950" w:type="dxa"/>
            <w:gridSpan w:val="6"/>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820~845</w:t>
            </w:r>
          </w:p>
        </w:tc>
        <w:tc>
          <w:tcPr>
            <w:tcW w:w="1950" w:type="dxa"/>
            <w:gridSpan w:val="4"/>
            <w:noWrap w:val="0"/>
            <w:vAlign w:val="center"/>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800~840</w:t>
            </w:r>
          </w:p>
        </w:tc>
        <w:tc>
          <w:tcPr>
            <w:tcW w:w="1483" w:type="dxa"/>
            <w:noWrap w:val="0"/>
            <w:vAlign w:val="top"/>
          </w:tcPr>
          <w:p>
            <w:pPr>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1884</w:t>
            </w:r>
          </w:p>
          <w:p>
            <w:pPr>
              <w:pStyle w:val="2"/>
              <w:widowControl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GB/T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8887" w:type="dxa"/>
            <w:gridSpan w:val="12"/>
            <w:noWrap w:val="0"/>
            <w:vAlign w:val="top"/>
          </w:tcPr>
          <w:p>
            <w:pPr>
              <w:widowControl w:val="0"/>
              <w:numPr>
                <w:ilvl w:val="0"/>
                <w:numId w:val="1"/>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为保证质量，每月必须检测一次，在原有性质变化，加工工艺条件改变，调合比例变化及检修开工后等情况下应及时检验。</w:t>
            </w:r>
          </w:p>
          <w:p>
            <w:pPr>
              <w:pStyle w:val="2"/>
              <w:widowControl w:val="0"/>
              <w:numPr>
                <w:ilvl w:val="0"/>
                <w:numId w:val="1"/>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可用GB/T11131、GB/T11140、ASTM D7039方法测定，结果有争议时，以SH/T0689为准。</w:t>
            </w:r>
          </w:p>
          <w:p>
            <w:pPr>
              <w:pStyle w:val="3"/>
              <w:numPr>
                <w:ilvl w:val="0"/>
                <w:numId w:val="1"/>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若柴油中含有硝酸酯型十六烷值改进剂，10%蒸余物残炭的测定，必须用不加硝酸脂的基础燃料就行，柴油中是否加有硝酸脂型十六烷值改进剂的检验方法见附录A，可用GB/T17144方法测定。结果有争议时以GB/T268方法为准。</w:t>
            </w:r>
          </w:p>
          <w:p>
            <w:pPr>
              <w:pStyle w:val="3"/>
              <w:numPr>
                <w:ilvl w:val="0"/>
                <w:numId w:val="1"/>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可用目测法，即将试样注入100ml玻璃量筒中，在室温（20±5℃）下观察，应当透明，没有悬浮和沉降的水分及机械杂质。结果有争议时，按GB/T511测定。</w:t>
            </w:r>
          </w:p>
          <w:p>
            <w:pPr>
              <w:pStyle w:val="3"/>
              <w:numPr>
                <w:ilvl w:val="0"/>
                <w:numId w:val="1"/>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结果有争议时，以GB/T386为准。</w:t>
            </w:r>
          </w:p>
        </w:tc>
      </w:tr>
    </w:tbl>
    <w:p>
      <w:pPr>
        <w:spacing w:line="360" w:lineRule="auto"/>
        <w:ind w:firstLine="420" w:firstLineChars="200"/>
        <w:rPr>
          <w:rFonts w:hint="eastAsia" w:ascii="仿宋" w:hAnsi="仿宋" w:eastAsia="仿宋" w:cs="仿宋"/>
          <w:kern w:val="2"/>
          <w:sz w:val="21"/>
          <w:szCs w:val="21"/>
          <w:highlight w:val="none"/>
          <w:lang w:val="en-US" w:eastAsia="zh-CN" w:bidi="ar-SA"/>
        </w:rPr>
      </w:pPr>
    </w:p>
    <w:p>
      <w:pPr>
        <w:pStyle w:val="18"/>
        <w:snapToGrid w:val="0"/>
        <w:spacing w:line="360" w:lineRule="auto"/>
        <w:ind w:firstLine="420" w:firstLineChars="200"/>
        <w:jc w:val="left"/>
        <w:outlineLvl w:val="2"/>
        <w:rPr>
          <w:rFonts w:hint="eastAsia" w:ascii="仿宋" w:hAnsi="仿宋" w:eastAsia="仿宋" w:cs="仿宋"/>
          <w:kern w:val="2"/>
          <w:highlight w:val="none"/>
        </w:rPr>
      </w:pPr>
    </w:p>
    <w:p>
      <w:pPr>
        <w:pStyle w:val="18"/>
        <w:snapToGrid w:val="0"/>
        <w:spacing w:line="360" w:lineRule="auto"/>
        <w:ind w:firstLine="420" w:firstLineChars="200"/>
        <w:jc w:val="left"/>
        <w:outlineLvl w:val="2"/>
        <w:rPr>
          <w:rFonts w:hint="eastAsia" w:ascii="仿宋" w:hAnsi="仿宋" w:eastAsia="仿宋" w:cs="仿宋"/>
          <w:kern w:val="2"/>
          <w:highlight w:val="none"/>
        </w:rPr>
      </w:pPr>
    </w:p>
    <w:p>
      <w:pPr>
        <w:pStyle w:val="18"/>
        <w:snapToGrid w:val="0"/>
        <w:spacing w:line="360" w:lineRule="auto"/>
        <w:ind w:firstLine="420" w:firstLineChars="200"/>
        <w:jc w:val="left"/>
        <w:outlineLvl w:val="2"/>
        <w:rPr>
          <w:rFonts w:hint="eastAsia" w:ascii="仿宋" w:hAnsi="仿宋" w:eastAsia="仿宋" w:cs="仿宋"/>
          <w:kern w:val="2"/>
          <w:highlight w:val="none"/>
        </w:rPr>
      </w:pPr>
    </w:p>
    <w:p>
      <w:pPr>
        <w:pStyle w:val="18"/>
        <w:snapToGrid w:val="0"/>
        <w:spacing w:line="360" w:lineRule="auto"/>
        <w:ind w:firstLine="420" w:firstLineChars="200"/>
        <w:jc w:val="left"/>
        <w:outlineLvl w:val="2"/>
        <w:rPr>
          <w:rFonts w:hint="eastAsia" w:ascii="仿宋" w:hAnsi="仿宋" w:eastAsia="仿宋" w:cs="仿宋"/>
          <w:kern w:val="2"/>
          <w:highlight w:val="none"/>
        </w:rPr>
      </w:pPr>
    </w:p>
    <w:p>
      <w:pPr>
        <w:pStyle w:val="18"/>
        <w:snapToGrid w:val="0"/>
        <w:spacing w:line="360" w:lineRule="auto"/>
        <w:ind w:firstLine="420" w:firstLineChars="200"/>
        <w:jc w:val="left"/>
        <w:outlineLvl w:val="2"/>
        <w:rPr>
          <w:rFonts w:hint="eastAsia" w:ascii="仿宋" w:hAnsi="仿宋" w:eastAsia="仿宋" w:cs="仿宋"/>
          <w:kern w:val="2"/>
          <w:highlight w:val="none"/>
        </w:rPr>
      </w:pPr>
    </w:p>
    <w:p>
      <w:pPr>
        <w:pStyle w:val="18"/>
        <w:snapToGrid w:val="0"/>
        <w:spacing w:line="360" w:lineRule="auto"/>
        <w:ind w:firstLine="420" w:firstLineChars="200"/>
        <w:jc w:val="left"/>
        <w:outlineLvl w:val="2"/>
        <w:rPr>
          <w:rFonts w:hint="eastAsia" w:ascii="仿宋" w:hAnsi="仿宋" w:eastAsia="仿宋" w:cs="仿宋"/>
          <w:kern w:val="2"/>
          <w:highlight w:val="none"/>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p>
    <w:p>
      <w:pPr>
        <w:spacing w:line="500" w:lineRule="exact"/>
        <w:jc w:val="center"/>
        <w:rPr>
          <w:rFonts w:ascii="宋体" w:hAnsi="宋体" w:cs="宋体"/>
          <w:b/>
          <w:color w:val="000000"/>
          <w:sz w:val="28"/>
          <w:szCs w:val="28"/>
        </w:rPr>
      </w:pPr>
      <w:r>
        <w:rPr>
          <w:rFonts w:hint="eastAsia" w:ascii="宋体" w:hAnsi="宋体" w:eastAsia="宋体" w:cs="宋体"/>
          <w:b/>
          <w:color w:val="000000"/>
          <w:sz w:val="28"/>
          <w:szCs w:val="28"/>
          <w:highlight w:val="none"/>
          <w:u w:val="single"/>
          <w:lang w:val="en-US" w:eastAsia="zh-CN"/>
        </w:rPr>
        <w:t>吉林省2023年高速公路养护专项工程</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柴油</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采购项目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ZJLQ-WZSB-吉林项目-005</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4"/>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柴油 </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widowControl/>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w:t>
      </w:r>
      <w:r>
        <w:rPr>
          <w:rFonts w:hint="eastAsia" w:ascii="仿宋_GB2312" w:eastAsia="仿宋_GB2312" w:cs="宋体" w:hAnsiTheme="minorEastAsia"/>
          <w:sz w:val="21"/>
          <w:szCs w:val="21"/>
          <w:lang w:val="en-US" w:eastAsia="zh-CN"/>
        </w:rPr>
        <w:t>水泥稳定碎石、沥青混凝土</w:t>
      </w:r>
      <w:r>
        <w:rPr>
          <w:rFonts w:hint="eastAsia" w:ascii="仿宋_GB2312" w:eastAsia="仿宋_GB2312" w:cs="宋体" w:hAnsiTheme="minorEastAsia"/>
          <w:sz w:val="21"/>
          <w:szCs w:val="21"/>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仿宋" w:hAnsi="仿宋" w:eastAsia="仿宋" w:cs="仿宋"/>
          <w:sz w:val="21"/>
          <w:szCs w:val="21"/>
          <w:highlight w:val="none"/>
        </w:rPr>
        <w:t>投标人愿意接受贵司采用银行电汇支付形式作为结算方式。</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spacing w:line="360" w:lineRule="auto"/>
        <w:jc w:val="center"/>
        <w:rPr>
          <w:rFonts w:ascii="仿宋_GB2312" w:eastAsia="仿宋_GB2312" w:cs="宋体" w:hAnsiTheme="minorEastAsia"/>
          <w:w w:val="90"/>
          <w:sz w:val="22"/>
          <w:szCs w:val="22"/>
        </w:rPr>
      </w:pPr>
      <w:r>
        <w:rPr>
          <w:rFonts w:hint="eastAsia" w:ascii="仿宋_GB2312" w:eastAsia="仿宋_GB2312" w:cs="宋体" w:hAnsiTheme="minorEastAsia"/>
          <w:b/>
          <w:color w:val="000000" w:themeColor="text1"/>
          <w:w w:val="90"/>
          <w:sz w:val="32"/>
          <w:szCs w:val="32"/>
        </w:rPr>
        <w:t>报价清单</w:t>
      </w:r>
      <w:bookmarkStart w:id="64" w:name="_Toc54278961"/>
      <w:bookmarkStart w:id="65" w:name="_Toc53949160"/>
      <w:bookmarkStart w:id="66" w:name="_Toc53948739"/>
      <w:bookmarkStart w:id="67" w:name="_Toc54291526"/>
      <w:bookmarkStart w:id="68" w:name="_Toc54281622"/>
      <w:bookmarkStart w:id="69" w:name="_Toc54280770"/>
      <w:bookmarkStart w:id="70" w:name="_Toc54280344"/>
      <w:bookmarkStart w:id="71" w:name="_Toc54281196"/>
      <w:bookmarkStart w:id="72" w:name="_Toc53949581"/>
    </w:p>
    <w:tbl>
      <w:tblPr>
        <w:tblStyle w:val="35"/>
        <w:tblW w:w="10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54"/>
        <w:gridCol w:w="1118"/>
        <w:gridCol w:w="1405"/>
        <w:gridCol w:w="933"/>
        <w:gridCol w:w="933"/>
        <w:gridCol w:w="933"/>
        <w:gridCol w:w="933"/>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4"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物资名称</w:t>
            </w:r>
          </w:p>
        </w:tc>
        <w:tc>
          <w:tcPr>
            <w:tcW w:w="1254"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w:t>
            </w:r>
          </w:p>
        </w:tc>
        <w:tc>
          <w:tcPr>
            <w:tcW w:w="111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405"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3732"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综合单价（元/吨）</w:t>
            </w:r>
          </w:p>
        </w:tc>
        <w:tc>
          <w:tcPr>
            <w:tcW w:w="1241"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金额合计（元）</w:t>
            </w:r>
          </w:p>
        </w:tc>
        <w:tc>
          <w:tcPr>
            <w:tcW w:w="1241"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4" w:type="dxa"/>
            <w:vMerge w:val="continue"/>
            <w:tcBorders>
              <w:left w:val="single" w:color="auto" w:sz="4" w:space="0"/>
              <w:bottom w:val="single" w:color="auto" w:sz="4" w:space="0"/>
              <w:right w:val="single" w:color="auto" w:sz="4" w:space="0"/>
            </w:tcBorders>
            <w:vAlign w:val="center"/>
          </w:tcPr>
          <w:p>
            <w:pPr>
              <w:tabs>
                <w:tab w:val="left" w:pos="2857"/>
              </w:tabs>
              <w:jc w:val="center"/>
            </w:pPr>
          </w:p>
        </w:tc>
        <w:tc>
          <w:tcPr>
            <w:tcW w:w="1254" w:type="dxa"/>
            <w:vMerge w:val="continue"/>
            <w:tcBorders>
              <w:left w:val="single" w:color="auto" w:sz="4" w:space="0"/>
              <w:right w:val="single" w:color="auto" w:sz="4" w:space="0"/>
            </w:tcBorders>
            <w:vAlign w:val="center"/>
          </w:tcPr>
          <w:p>
            <w:pPr>
              <w:tabs>
                <w:tab w:val="left" w:pos="2857"/>
              </w:tabs>
              <w:jc w:val="center"/>
            </w:pPr>
          </w:p>
        </w:tc>
        <w:tc>
          <w:tcPr>
            <w:tcW w:w="1118" w:type="dxa"/>
            <w:vMerge w:val="continue"/>
            <w:tcBorders>
              <w:left w:val="single" w:color="auto" w:sz="4" w:space="0"/>
              <w:bottom w:val="single" w:color="auto" w:sz="4" w:space="0"/>
              <w:right w:val="single" w:color="auto" w:sz="4" w:space="0"/>
            </w:tcBorders>
            <w:vAlign w:val="center"/>
          </w:tcPr>
          <w:p>
            <w:pPr>
              <w:tabs>
                <w:tab w:val="left" w:pos="2857"/>
              </w:tabs>
              <w:jc w:val="center"/>
            </w:pPr>
          </w:p>
        </w:tc>
        <w:tc>
          <w:tcPr>
            <w:tcW w:w="1405" w:type="dxa"/>
            <w:vMerge w:val="continue"/>
            <w:tcBorders>
              <w:left w:val="single" w:color="auto" w:sz="4" w:space="0"/>
              <w:right w:val="single" w:color="auto" w:sz="4" w:space="0"/>
            </w:tcBorders>
            <w:vAlign w:val="center"/>
          </w:tcPr>
          <w:p>
            <w:pPr>
              <w:tabs>
                <w:tab w:val="left" w:pos="2857"/>
              </w:tabs>
              <w:jc w:val="cente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不含税单价</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税率</w:t>
            </w:r>
          </w:p>
          <w:p>
            <w:pPr>
              <w:tabs>
                <w:tab w:val="left" w:pos="2857"/>
              </w:tabs>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税额</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价税合计</w:t>
            </w:r>
          </w:p>
        </w:tc>
        <w:tc>
          <w:tcPr>
            <w:tcW w:w="1241" w:type="dxa"/>
            <w:vMerge w:val="continue"/>
            <w:tcBorders>
              <w:left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lang w:val="en-US" w:eastAsia="zh-CN"/>
              </w:rPr>
            </w:pPr>
          </w:p>
        </w:tc>
        <w:tc>
          <w:tcPr>
            <w:tcW w:w="1241" w:type="dxa"/>
            <w:vMerge w:val="continue"/>
            <w:tcBorders>
              <w:left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outlineLvl w:val="2"/>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柴油</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吨</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outlineLvl w:val="2"/>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60</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21"/>
                <w:szCs w:val="21"/>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8"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不含税金额合计</w:t>
            </w:r>
          </w:p>
        </w:tc>
        <w:tc>
          <w:tcPr>
            <w:tcW w:w="8737" w:type="dxa"/>
            <w:gridSpan w:val="8"/>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none"/>
                <w:lang w:val="en-US"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8"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税额合计</w:t>
            </w:r>
          </w:p>
        </w:tc>
        <w:tc>
          <w:tcPr>
            <w:tcW w:w="8737" w:type="dxa"/>
            <w:gridSpan w:val="8"/>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none"/>
                <w:lang w:val="en-US"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78"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含税金额合计</w:t>
            </w:r>
          </w:p>
        </w:tc>
        <w:tc>
          <w:tcPr>
            <w:tcW w:w="8737" w:type="dxa"/>
            <w:gridSpan w:val="8"/>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15" w:type="dxa"/>
            <w:gridSpan w:val="10"/>
            <w:tcBorders>
              <w:top w:val="single" w:color="auto" w:sz="4" w:space="0"/>
              <w:left w:val="single" w:color="auto" w:sz="4" w:space="0"/>
              <w:bottom w:val="single" w:color="auto" w:sz="4" w:space="0"/>
              <w:right w:val="single" w:color="auto" w:sz="4" w:space="0"/>
            </w:tcBorders>
          </w:tcPr>
          <w:p>
            <w:pPr>
              <w:tabs>
                <w:tab w:val="left" w:pos="765"/>
              </w:tabs>
              <w:spacing w:line="400" w:lineRule="exact"/>
              <w:jc w:val="left"/>
              <w:outlineLvl w:val="2"/>
              <w:rPr>
                <w:rFonts w:hint="eastAsia" w:ascii="宋体" w:hAnsi="宋体" w:eastAsia="宋体" w:cs="宋体"/>
                <w:sz w:val="21"/>
                <w:szCs w:val="21"/>
              </w:rPr>
            </w:pPr>
            <w:r>
              <w:rPr>
                <w:rFonts w:hint="eastAsia" w:ascii="宋体" w:hAnsi="宋体" w:eastAsia="宋体" w:cs="宋体"/>
                <w:sz w:val="21"/>
                <w:szCs w:val="21"/>
              </w:rPr>
              <w:t>备注：1、合同所示的</w:t>
            </w:r>
            <w:r>
              <w:rPr>
                <w:rFonts w:hint="eastAsia" w:ascii="宋体" w:hAnsi="宋体" w:eastAsia="宋体" w:cs="宋体"/>
                <w:sz w:val="21"/>
                <w:szCs w:val="21"/>
                <w:lang w:val="en-US" w:eastAsia="zh-CN"/>
              </w:rPr>
              <w:t>物资</w:t>
            </w:r>
            <w:r>
              <w:rPr>
                <w:rFonts w:hint="eastAsia" w:ascii="宋体" w:hAnsi="宋体" w:eastAsia="宋体" w:cs="宋体"/>
                <w:sz w:val="21"/>
                <w:szCs w:val="21"/>
              </w:rPr>
              <w:t>数量均为暂定数量，实际供应数量以甲方提出的供应计划为准，乙方不得以合同中的材料暂定数量的变化原因追究甲方责任。</w:t>
            </w:r>
          </w:p>
        </w:tc>
      </w:tr>
    </w:tbl>
    <w:p>
      <w:pPr>
        <w:spacing w:line="360" w:lineRule="auto"/>
        <w:ind w:left="5250" w:hanging="5250" w:hangingChars="2500"/>
        <w:rPr>
          <w:rFonts w:hint="eastAsia" w:ascii="仿宋_GB2312" w:eastAsia="仿宋_GB2312" w:cs="宋体" w:hAnsiTheme="minorEastAsia"/>
          <w:kern w:val="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4"/>
      <w:bookmarkEnd w:id="65"/>
      <w:bookmarkEnd w:id="66"/>
      <w:bookmarkEnd w:id="67"/>
      <w:bookmarkEnd w:id="68"/>
      <w:bookmarkEnd w:id="69"/>
      <w:bookmarkEnd w:id="70"/>
      <w:bookmarkEnd w:id="71"/>
      <w:bookmarkEnd w:id="72"/>
      <w:bookmarkStart w:id="73" w:name="_Toc18209295"/>
    </w:p>
    <w:p>
      <w:pPr>
        <w:spacing w:line="360" w:lineRule="auto"/>
        <w:ind w:left="5250" w:hanging="5250" w:hangingChars="2500"/>
        <w:rPr>
          <w:rFonts w:hint="eastAsia" w:ascii="仿宋_GB2312" w:eastAsia="仿宋_GB2312" w:cs="宋体" w:hAnsiTheme="minorEastAsia"/>
          <w:kern w:val="0"/>
          <w:sz w:val="21"/>
          <w:szCs w:val="21"/>
        </w:rPr>
      </w:pPr>
    </w:p>
    <w:p>
      <w:pPr>
        <w:spacing w:line="360" w:lineRule="auto"/>
        <w:ind w:left="5250" w:hanging="5250" w:hangingChars="2500"/>
        <w:rPr>
          <w:rFonts w:hint="eastAsia" w:ascii="仿宋_GB2312" w:eastAsia="仿宋_GB2312" w:cs="宋体" w:hAnsiTheme="minorEastAsia"/>
          <w:kern w:val="0"/>
          <w:sz w:val="21"/>
          <w:szCs w:val="21"/>
        </w:rPr>
      </w:pPr>
    </w:p>
    <w:p>
      <w:pPr>
        <w:spacing w:line="360" w:lineRule="auto"/>
        <w:ind w:left="5250" w:hanging="5250" w:hangingChars="2500"/>
        <w:rPr>
          <w:rFonts w:hint="eastAsia" w:ascii="仿宋_GB2312" w:eastAsia="仿宋_GB2312" w:cs="宋体" w:hAnsiTheme="minorEastAsia"/>
          <w:kern w:val="0"/>
          <w:sz w:val="21"/>
          <w:szCs w:val="21"/>
        </w:rPr>
      </w:pPr>
    </w:p>
    <w:p>
      <w:pPr>
        <w:spacing w:line="360" w:lineRule="auto"/>
        <w:ind w:left="5250" w:hanging="5250" w:hangingChars="2500"/>
        <w:rPr>
          <w:rFonts w:hint="eastAsia" w:ascii="仿宋_GB2312" w:eastAsia="仿宋_GB2312" w:cs="宋体" w:hAnsiTheme="minorEastAsia"/>
          <w:kern w:val="0"/>
          <w:sz w:val="21"/>
          <w:szCs w:val="21"/>
        </w:rPr>
      </w:pPr>
    </w:p>
    <w:p>
      <w:pPr>
        <w:spacing w:line="360" w:lineRule="auto"/>
        <w:ind w:left="5250" w:hanging="5250" w:hangingChars="2500"/>
        <w:rPr>
          <w:rFonts w:hint="eastAsia" w:ascii="仿宋_GB2312" w:eastAsia="仿宋_GB2312" w:cs="宋体" w:hAnsiTheme="minorEastAsia"/>
          <w:kern w:val="0"/>
          <w:sz w:val="21"/>
          <w:szCs w:val="21"/>
        </w:rPr>
      </w:pPr>
    </w:p>
    <w:p>
      <w:pPr>
        <w:spacing w:line="360" w:lineRule="auto"/>
        <w:ind w:left="5220" w:leftChars="2175" w:firstLine="630" w:firstLineChars="300"/>
        <w:rPr>
          <w:rFonts w:hint="eastAsia" w:ascii="仿宋_GB2312" w:eastAsia="仿宋_GB2312" w:cs="宋体" w:hAnsiTheme="minorEastAsia"/>
          <w:sz w:val="21"/>
          <w:szCs w:val="21"/>
        </w:rPr>
      </w:pPr>
    </w:p>
    <w:p>
      <w:pPr>
        <w:spacing w:line="360" w:lineRule="auto"/>
        <w:ind w:left="5220" w:leftChars="2175" w:firstLine="630" w:firstLineChars="300"/>
        <w:rPr>
          <w:rFonts w:ascii="仿宋_GB2312" w:eastAsia="仿宋_GB2312" w:cs="宋体" w:hAnsiTheme="minorEastAsia"/>
          <w:w w:val="90"/>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hint="eastAsia" w:ascii="仿宋_GB2312" w:eastAsia="仿宋_GB2312" w:cs="宋体" w:hAnsiTheme="minorEastAsia"/>
          <w:kern w:val="0"/>
          <w:sz w:val="21"/>
          <w:szCs w:val="21"/>
        </w:rPr>
      </w:pP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u w:val="single"/>
          <w:lang w:val="en-US" w:eastAsia="zh-CN"/>
        </w:rPr>
        <w:t xml:space="preserve">   </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u w:val="single"/>
          <w:lang w:val="en-US" w:eastAsia="zh-CN"/>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u w:val="single"/>
          <w:lang w:val="en-US" w:eastAsia="zh-CN"/>
        </w:rPr>
        <w:t xml:space="preserve">  </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本授权书宣告：</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(投标人全称)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(职务)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 xml:space="preserve">(投标人全称)   的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(职务)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w:t>
      </w:r>
      <w:r>
        <w:rPr>
          <w:rFonts w:hint="eastAsia" w:ascii="仿宋" w:hAnsi="仿宋" w:eastAsia="仿宋" w:cs="仿宋"/>
          <w:sz w:val="21"/>
          <w:szCs w:val="21"/>
          <w:highlight w:val="none"/>
          <w:u w:val="single"/>
          <w:lang w:val="en-US" w:eastAsia="zh-CN"/>
        </w:rPr>
        <w:t>吉林省2023年高速公路养护专项工程</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u w:val="single"/>
          <w:lang w:val="en-US" w:eastAsia="zh-CN"/>
        </w:rPr>
        <w:t>柴油</w:t>
      </w:r>
      <w:r>
        <w:rPr>
          <w:rFonts w:hint="eastAsia" w:ascii="仿宋_GB2312" w:eastAsia="仿宋_GB2312" w:cs="宋体" w:hAnsiTheme="minorEastAsia"/>
          <w:sz w:val="21"/>
          <w:szCs w:val="21"/>
          <w:u w:val="single"/>
        </w:rPr>
        <w:t>物资采购招标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ZJLQ-WZSB-吉林项目-005</w:t>
      </w:r>
      <w:r>
        <w:rPr>
          <w:rFonts w:hint="eastAsia" w:ascii="仿宋_GB2312" w:eastAsia="仿宋_GB2312" w:cs="宋体" w:hAnsiTheme="minorEastAsia"/>
          <w:sz w:val="21"/>
          <w:szCs w:val="21"/>
          <w:u w:val="single"/>
        </w:rPr>
        <w:t xml:space="preserve">号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tbl>
      <w:tblPr>
        <w:tblStyle w:val="35"/>
        <w:tblpPr w:leftFromText="180" w:rightFromText="180" w:vertAnchor="text" w:horzAnchor="page" w:tblpX="6133"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rPr>
          <w:rFonts w:hint="eastAsia" w:ascii="仿宋_GB2312" w:eastAsia="仿宋_GB2312" w:cs="宋体" w:hAnsiTheme="minorEastAsia"/>
          <w:b/>
          <w:w w:val="90"/>
        </w:rPr>
      </w:pPr>
      <w:r>
        <w:rPr>
          <w:rFonts w:hint="eastAsia"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rPr>
          <w:rFonts w:hint="eastAsia" w:ascii="仿宋_GB2312" w:eastAsia="仿宋_GB2312" w:cs="宋体" w:hAnsiTheme="minorEastAsia"/>
          <w:b/>
          <w:w w:val="90"/>
        </w:rPr>
      </w:pPr>
      <w:r>
        <w:rPr>
          <w:rFonts w:hint="eastAsia"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bl>
    <w:p>
      <w:pPr>
        <w:outlineLvl w:val="1"/>
        <w:rPr>
          <w:rFonts w:hint="eastAsia" w:ascii="仿宋_GB2312" w:hAnsi="华文仿宋" w:eastAsia="仿宋_GB2312" w:cs="Times New Roman"/>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hint="eastAsia" w:ascii="仿宋_GB2312" w:eastAsia="仿宋_GB2312" w:hAnsiTheme="minorEastAsia"/>
          <w:sz w:val="21"/>
          <w:szCs w:val="21"/>
          <w:lang w:eastAsia="zh-CN"/>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r>
        <w:rPr>
          <w:rFonts w:hint="eastAsia" w:ascii="仿宋_GB2312" w:eastAsia="仿宋_GB2312" w:hAnsiTheme="minorEastAsia"/>
          <w:sz w:val="21"/>
          <w:szCs w:val="21"/>
          <w:lang w:eastAsia="zh-CN"/>
        </w:rPr>
        <w:t>（如有）</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物资购销合同</w:t>
      </w:r>
    </w:p>
    <w:p>
      <w:pPr>
        <w:spacing w:line="220" w:lineRule="atLeast"/>
        <w:jc w:val="center"/>
        <w:rPr>
          <w:rFonts w:hint="eastAsia" w:ascii="宋体" w:hAnsi="宋体" w:eastAsia="宋体" w:cs="宋体"/>
          <w:sz w:val="28"/>
          <w:szCs w:val="28"/>
          <w:highlight w:val="none"/>
        </w:rPr>
      </w:pPr>
    </w:p>
    <w:p>
      <w:pPr>
        <w:spacing w:line="22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pStyle w:val="2"/>
        <w:rPr>
          <w:rFonts w:hint="eastAsia" w:ascii="宋体" w:hAnsi="宋体" w:eastAsia="宋体" w:cs="宋体"/>
          <w:highlight w:val="none"/>
        </w:rPr>
      </w:pPr>
    </w:p>
    <w:p>
      <w:pPr>
        <w:spacing w:line="360" w:lineRule="auto"/>
        <w:jc w:val="center"/>
        <w:outlineLvl w:val="0"/>
        <w:rPr>
          <w:rFonts w:hint="eastAsia" w:ascii="宋体" w:hAnsi="宋体" w:eastAsia="宋体" w:cs="宋体"/>
          <w:b/>
          <w:spacing w:val="-20"/>
          <w:sz w:val="52"/>
          <w:szCs w:val="52"/>
          <w:highlight w:val="none"/>
        </w:rPr>
      </w:pPr>
      <w:r>
        <w:rPr>
          <w:rFonts w:hint="eastAsia" w:ascii="宋体" w:hAnsi="宋体" w:eastAsia="宋体" w:cs="宋体"/>
          <w:sz w:val="28"/>
          <w:szCs w:val="28"/>
          <w:highlight w:val="none"/>
        </w:rPr>
        <w:t>物资名称：</w:t>
      </w:r>
      <w:r>
        <w:rPr>
          <w:rFonts w:hint="eastAsia" w:ascii="宋体" w:hAnsi="宋体" w:eastAsia="宋体" w:cs="宋体"/>
          <w:sz w:val="28"/>
          <w:szCs w:val="28"/>
          <w:highlight w:val="none"/>
          <w:u w:val="single"/>
          <w:lang w:val="en-US" w:eastAsia="zh-CN"/>
        </w:rPr>
        <w:t>柴油</w:t>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仿宋" w:hAnsi="仿宋" w:eastAsia="仿宋" w:cs="Times New Roman"/>
          <w:b/>
          <w:color w:val="auto"/>
          <w:sz w:val="40"/>
          <w:szCs w:val="40"/>
          <w:u w:val="none" w:color="000000"/>
          <w:lang w:eastAsia="zh-CN" w:bidi="ar-SA"/>
        </w:rPr>
        <w:drawing>
          <wp:anchor distT="0" distB="0" distL="114300" distR="114300" simplePos="0" relativeHeight="251659264" behindDoc="1" locked="0" layoutInCell="1" allowOverlap="1">
            <wp:simplePos x="0" y="0"/>
            <wp:positionH relativeFrom="column">
              <wp:posOffset>2184400</wp:posOffset>
            </wp:positionH>
            <wp:positionV relativeFrom="page">
              <wp:posOffset>3989070</wp:posOffset>
            </wp:positionV>
            <wp:extent cx="1433195" cy="1341120"/>
            <wp:effectExtent l="0" t="0" r="14605" b="11430"/>
            <wp:wrapTight wrapText="bothSides">
              <wp:wrapPolygon>
                <wp:start x="0" y="0"/>
                <wp:lineTo x="0" y="21170"/>
                <wp:lineTo x="21246" y="21170"/>
                <wp:lineTo x="21246" y="0"/>
                <wp:lineTo x="0" y="0"/>
              </wp:wrapPolygon>
            </wp:wrapTight>
            <wp:docPr id="2"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SCEC中建-2"/>
                    <pic:cNvPicPr>
                      <a:picLocks noChangeAspect="1"/>
                    </pic:cNvPicPr>
                  </pic:nvPicPr>
                  <pic:blipFill>
                    <a:blip r:embed="rId6"/>
                    <a:stretch>
                      <a:fillRect/>
                    </a:stretch>
                  </pic:blipFill>
                  <pic:spPr>
                    <a:xfrm>
                      <a:off x="0" y="0"/>
                      <a:ext cx="1433195" cy="1341120"/>
                    </a:xfrm>
                    <a:prstGeom prst="rect">
                      <a:avLst/>
                    </a:prstGeom>
                    <a:noFill/>
                    <a:ln>
                      <a:noFill/>
                    </a:ln>
                  </pic:spPr>
                </pic:pic>
              </a:graphicData>
            </a:graphic>
          </wp:anchor>
        </w:drawing>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宋体" w:hAnsi="宋体" w:eastAsia="宋体" w:cs="宋体"/>
          <w:b/>
          <w:sz w:val="24"/>
          <w:highlight w:val="none"/>
          <w:u w:val="single"/>
        </w:rPr>
        <w:br w:type="textWrapping"/>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甲方：</w:t>
      </w:r>
      <w:r>
        <w:rPr>
          <w:rFonts w:hint="eastAsia" w:ascii="宋体" w:hAnsi="宋体" w:eastAsia="宋体" w:cs="宋体"/>
          <w:sz w:val="28"/>
          <w:szCs w:val="28"/>
          <w:highlight w:val="none"/>
          <w:u w:val="single"/>
        </w:rPr>
        <w:t>中建路桥集团有限公司</w:t>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rPr>
        <w:t xml:space="preserve">                    </w:t>
      </w:r>
    </w:p>
    <w:p>
      <w:pPr>
        <w:spacing w:line="360" w:lineRule="auto"/>
        <w:ind w:firstLine="1687" w:firstLineChars="700"/>
        <w:rPr>
          <w:rFonts w:hint="eastAsia" w:ascii="宋体" w:hAnsi="宋体" w:eastAsia="宋体" w:cs="宋体"/>
          <w:b/>
          <w:sz w:val="24"/>
          <w:highlight w:val="none"/>
          <w:u w:val="single"/>
        </w:rPr>
      </w:pPr>
    </w:p>
    <w:p>
      <w:pPr>
        <w:spacing w:line="360" w:lineRule="auto"/>
        <w:ind w:firstLine="1687" w:firstLineChars="700"/>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合同订立地点：石家庄市</w:t>
      </w:r>
    </w:p>
    <w:p>
      <w:pPr>
        <w:pStyle w:val="2"/>
        <w:jc w:val="center"/>
      </w:pPr>
      <w:r>
        <w:rPr>
          <w:rFonts w:hint="eastAsia" w:ascii="宋体" w:hAnsi="宋体" w:eastAsia="宋体" w:cs="宋体"/>
          <w:b/>
          <w:sz w:val="36"/>
          <w:szCs w:val="36"/>
          <w:highlight w:val="none"/>
        </w:rPr>
        <w:br w:type="page"/>
      </w:r>
      <w:r>
        <w:rPr>
          <w:rFonts w:hint="eastAsia" w:ascii="宋体" w:hAnsi="宋体"/>
          <w:b/>
          <w:sz w:val="36"/>
          <w:szCs w:val="36"/>
        </w:rPr>
        <w:t>物资购销合同</w:t>
      </w:r>
    </w:p>
    <w:p>
      <w:pPr>
        <w:spacing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spacing w:beforeLines="50" w:line="400" w:lineRule="exact"/>
        <w:rPr>
          <w:rFonts w:ascii="宋体" w:hAnsi="宋体" w:eastAsia="宋体"/>
          <w:sz w:val="21"/>
          <w:szCs w:val="21"/>
        </w:rPr>
      </w:pPr>
      <w:r>
        <w:rPr>
          <w:rFonts w:hint="eastAsia" w:ascii="宋体" w:hAnsi="宋体" w:eastAsia="宋体"/>
          <w:sz w:val="21"/>
          <w:szCs w:val="21"/>
        </w:rPr>
        <w:t>甲方（需方）：</w:t>
      </w:r>
      <w:r>
        <w:rPr>
          <w:rFonts w:hint="eastAsia" w:ascii="宋体" w:hAnsi="宋体" w:eastAsia="宋体"/>
          <w:sz w:val="21"/>
          <w:szCs w:val="21"/>
          <w:u w:val="single"/>
        </w:rPr>
        <w:t>中建路桥集团有限公司</w:t>
      </w:r>
    </w:p>
    <w:p>
      <w:pPr>
        <w:tabs>
          <w:tab w:val="center" w:pos="5081"/>
        </w:tabs>
        <w:spacing w:afterLines="50" w:line="400" w:lineRule="exact"/>
        <w:rPr>
          <w:rFonts w:hint="default" w:ascii="宋体" w:hAnsi="宋体" w:eastAsia="宋体"/>
          <w:sz w:val="21"/>
          <w:szCs w:val="21"/>
          <w:u w:val="single"/>
          <w:lang w:val="en-US"/>
        </w:rPr>
      </w:pPr>
      <w:r>
        <w:rPr>
          <w:rFonts w:hint="eastAsia" w:ascii="宋体" w:hAnsi="宋体" w:eastAsia="宋体"/>
          <w:sz w:val="21"/>
          <w:szCs w:val="21"/>
        </w:rPr>
        <w:t>乙方（供方）：</w:t>
      </w:r>
      <w:r>
        <w:rPr>
          <w:rFonts w:hint="eastAsia" w:ascii="宋体" w:hAnsi="宋体" w:eastAsia="宋体"/>
          <w:sz w:val="21"/>
          <w:szCs w:val="21"/>
          <w:u w:val="single"/>
          <w:lang w:val="en-US" w:eastAsia="zh-CN"/>
        </w:rPr>
        <w:t xml:space="preserve">                    </w:t>
      </w:r>
    </w:p>
    <w:p>
      <w:pPr>
        <w:pStyle w:val="72"/>
        <w:spacing w:beforeLines="0" w:line="400" w:lineRule="exact"/>
        <w:ind w:firstLine="420" w:firstLineChars="200"/>
        <w:jc w:val="left"/>
      </w:pPr>
      <w:r>
        <w:rPr>
          <w:rFonts w:hint="eastAsia"/>
        </w:rPr>
        <w:t>依据《中华人民共和国</w:t>
      </w:r>
      <w:r>
        <w:rPr>
          <w:rFonts w:hint="eastAsia"/>
          <w:lang w:val="en-US" w:eastAsia="zh-CN"/>
        </w:rPr>
        <w:t>民法典</w:t>
      </w:r>
      <w:r>
        <w:rPr>
          <w:rFonts w:hint="eastAsia"/>
        </w:rPr>
        <w:t>》及相关法律、法规，遵循平等、自愿、公平和诚实信用的原则，为明确甲方与乙方的权利和义务，经双方协商就物资采购事宜达成一致意见，特签订本合同，双方共同遵照执行。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一、项目名称和项目地点</w:t>
      </w:r>
    </w:p>
    <w:p>
      <w:pPr>
        <w:spacing w:line="400" w:lineRule="exact"/>
        <w:ind w:firstLine="420" w:firstLineChars="200"/>
        <w:jc w:val="left"/>
        <w:rPr>
          <w:rFonts w:hint="eastAsia" w:ascii="宋体" w:hAnsi="宋体" w:eastAsia="宋体"/>
          <w:sz w:val="21"/>
          <w:szCs w:val="21"/>
          <w:u w:val="single"/>
          <w:lang w:val="en-US" w:eastAsia="zh-CN"/>
        </w:rPr>
      </w:pPr>
      <w:r>
        <w:rPr>
          <w:rFonts w:ascii="宋体" w:hAnsi="宋体" w:eastAsia="宋体"/>
          <w:sz w:val="21"/>
          <w:szCs w:val="21"/>
        </w:rPr>
        <w:t>(</w:t>
      </w:r>
      <w:r>
        <w:rPr>
          <w:rFonts w:hint="eastAsia" w:ascii="宋体" w:hAnsi="宋体" w:eastAsia="宋体"/>
          <w:sz w:val="21"/>
          <w:szCs w:val="21"/>
        </w:rPr>
        <w:t>一)项目名称：</w:t>
      </w:r>
      <w:r>
        <w:rPr>
          <w:rFonts w:hint="eastAsia" w:ascii="宋体" w:hAnsi="宋体" w:eastAsia="宋体"/>
          <w:sz w:val="21"/>
          <w:szCs w:val="21"/>
          <w:u w:val="single"/>
          <w:lang w:val="en-US" w:eastAsia="zh-CN"/>
        </w:rPr>
        <w:t>吉林省2023年高速公路养护专项工程</w:t>
      </w:r>
    </w:p>
    <w:p>
      <w:pPr>
        <w:spacing w:line="400" w:lineRule="exact"/>
        <w:ind w:firstLine="420" w:firstLineChars="200"/>
        <w:jc w:val="left"/>
        <w:rPr>
          <w:rFonts w:hint="eastAsia" w:ascii="宋体" w:hAnsi="宋体" w:eastAsia="宋体"/>
          <w:sz w:val="21"/>
          <w:szCs w:val="21"/>
          <w:lang w:val="en-US" w:eastAsia="zh-CN"/>
        </w:rPr>
      </w:pPr>
      <w:r>
        <w:rPr>
          <w:rFonts w:hint="eastAsia" w:ascii="宋体" w:hAnsi="宋体" w:eastAsia="宋体"/>
          <w:sz w:val="21"/>
          <w:szCs w:val="21"/>
        </w:rPr>
        <w:t>(二)项目地点：</w:t>
      </w:r>
      <w:r>
        <w:rPr>
          <w:rFonts w:hint="eastAsia" w:ascii="宋体" w:hAnsi="宋体" w:eastAsia="宋体"/>
          <w:sz w:val="21"/>
          <w:szCs w:val="21"/>
          <w:u w:val="single"/>
          <w:lang w:val="en-US" w:eastAsia="zh-CN"/>
        </w:rPr>
        <w:t>吉林</w:t>
      </w:r>
      <w:r>
        <w:rPr>
          <w:rFonts w:hint="eastAsia" w:ascii="宋体" w:hAnsi="宋体" w:eastAsia="宋体"/>
          <w:sz w:val="21"/>
          <w:szCs w:val="21"/>
          <w:u w:val="single"/>
        </w:rPr>
        <w:t>省</w:t>
      </w:r>
      <w:r>
        <w:rPr>
          <w:rFonts w:hint="eastAsia" w:ascii="宋体" w:hAnsi="宋体" w:eastAsia="宋体"/>
          <w:sz w:val="21"/>
          <w:szCs w:val="21"/>
          <w:u w:val="single"/>
          <w:lang w:val="en-US" w:eastAsia="zh-CN"/>
        </w:rPr>
        <w:t>磐石市、白山市、通化</w:t>
      </w:r>
      <w:r>
        <w:rPr>
          <w:rFonts w:hint="eastAsia" w:ascii="宋体" w:hAnsi="宋体" w:eastAsia="宋体"/>
          <w:sz w:val="21"/>
          <w:szCs w:val="21"/>
          <w:u w:val="single"/>
        </w:rPr>
        <w:t>市</w:t>
      </w:r>
      <w:r>
        <w:rPr>
          <w:rFonts w:hint="eastAsia" w:ascii="宋体" w:hAnsi="宋体" w:eastAsia="宋体"/>
          <w:sz w:val="21"/>
          <w:szCs w:val="21"/>
          <w:u w:val="single"/>
          <w:lang w:val="en-US" w:eastAsia="zh-CN"/>
        </w:rPr>
        <w:t>等</w:t>
      </w:r>
    </w:p>
    <w:p>
      <w:pPr>
        <w:spacing w:line="400" w:lineRule="exact"/>
        <w:ind w:firstLine="422" w:firstLineChars="200"/>
        <w:rPr>
          <w:rFonts w:ascii="宋体" w:hAnsi="宋体" w:eastAsia="宋体"/>
          <w:color w:val="000000" w:themeColor="text1"/>
          <w:sz w:val="21"/>
          <w:szCs w:val="21"/>
          <w:u w:val="single"/>
        </w:rPr>
      </w:pPr>
      <w:r>
        <w:rPr>
          <w:rFonts w:hint="eastAsia" w:ascii="宋体" w:hAnsi="宋体" w:eastAsia="宋体"/>
          <w:b/>
          <w:color w:val="000000" w:themeColor="text1"/>
          <w:sz w:val="21"/>
          <w:szCs w:val="21"/>
        </w:rPr>
        <w:t>二、物资信息</w:t>
      </w:r>
    </w:p>
    <w:p>
      <w:pPr>
        <w:numPr>
          <w:ilvl w:val="0"/>
          <w:numId w:val="2"/>
        </w:numPr>
        <w:spacing w:line="400" w:lineRule="exact"/>
        <w:ind w:firstLine="315" w:firstLineChars="150"/>
        <w:rPr>
          <w:rFonts w:ascii="宋体" w:hAnsi="宋体" w:eastAsia="宋体"/>
          <w:color w:val="000000" w:themeColor="text1"/>
          <w:sz w:val="21"/>
          <w:szCs w:val="21"/>
        </w:rPr>
      </w:pPr>
      <w:r>
        <w:rPr>
          <w:rFonts w:hint="eastAsia" w:ascii="宋体" w:hAnsi="宋体" w:eastAsia="宋体"/>
          <w:color w:val="000000" w:themeColor="text1"/>
          <w:sz w:val="21"/>
          <w:szCs w:val="21"/>
        </w:rPr>
        <w:t>综合单价</w:t>
      </w:r>
    </w:p>
    <w:tbl>
      <w:tblPr>
        <w:tblStyle w:val="35"/>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54"/>
        <w:gridCol w:w="1118"/>
        <w:gridCol w:w="1405"/>
        <w:gridCol w:w="933"/>
        <w:gridCol w:w="933"/>
        <w:gridCol w:w="933"/>
        <w:gridCol w:w="93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4"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物资名称</w:t>
            </w:r>
          </w:p>
        </w:tc>
        <w:tc>
          <w:tcPr>
            <w:tcW w:w="1254"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w:t>
            </w:r>
          </w:p>
        </w:tc>
        <w:tc>
          <w:tcPr>
            <w:tcW w:w="111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405"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3732"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综合单价（元/吨）</w:t>
            </w:r>
          </w:p>
        </w:tc>
        <w:tc>
          <w:tcPr>
            <w:tcW w:w="2009"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4" w:type="dxa"/>
            <w:vMerge w:val="continue"/>
            <w:tcBorders>
              <w:left w:val="single" w:color="auto" w:sz="4" w:space="0"/>
              <w:bottom w:val="single" w:color="auto" w:sz="4" w:space="0"/>
              <w:right w:val="single" w:color="auto" w:sz="4" w:space="0"/>
            </w:tcBorders>
            <w:vAlign w:val="center"/>
          </w:tcPr>
          <w:p>
            <w:pPr>
              <w:tabs>
                <w:tab w:val="left" w:pos="2857"/>
              </w:tabs>
              <w:jc w:val="center"/>
            </w:pPr>
          </w:p>
        </w:tc>
        <w:tc>
          <w:tcPr>
            <w:tcW w:w="1254" w:type="dxa"/>
            <w:vMerge w:val="continue"/>
            <w:tcBorders>
              <w:left w:val="single" w:color="auto" w:sz="4" w:space="0"/>
              <w:right w:val="single" w:color="auto" w:sz="4" w:space="0"/>
            </w:tcBorders>
            <w:vAlign w:val="center"/>
          </w:tcPr>
          <w:p>
            <w:pPr>
              <w:tabs>
                <w:tab w:val="left" w:pos="2857"/>
              </w:tabs>
              <w:jc w:val="center"/>
            </w:pPr>
          </w:p>
        </w:tc>
        <w:tc>
          <w:tcPr>
            <w:tcW w:w="1118" w:type="dxa"/>
            <w:vMerge w:val="continue"/>
            <w:tcBorders>
              <w:left w:val="single" w:color="auto" w:sz="4" w:space="0"/>
              <w:bottom w:val="single" w:color="auto" w:sz="4" w:space="0"/>
              <w:right w:val="single" w:color="auto" w:sz="4" w:space="0"/>
            </w:tcBorders>
            <w:vAlign w:val="center"/>
          </w:tcPr>
          <w:p>
            <w:pPr>
              <w:tabs>
                <w:tab w:val="left" w:pos="2857"/>
              </w:tabs>
              <w:jc w:val="center"/>
            </w:pPr>
          </w:p>
        </w:tc>
        <w:tc>
          <w:tcPr>
            <w:tcW w:w="1405" w:type="dxa"/>
            <w:vMerge w:val="continue"/>
            <w:tcBorders>
              <w:left w:val="single" w:color="auto" w:sz="4" w:space="0"/>
              <w:right w:val="single" w:color="auto" w:sz="4" w:space="0"/>
            </w:tcBorders>
            <w:vAlign w:val="center"/>
          </w:tcPr>
          <w:p>
            <w:pPr>
              <w:tabs>
                <w:tab w:val="left" w:pos="2857"/>
              </w:tabs>
              <w:jc w:val="cente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不含税单价</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税率</w:t>
            </w:r>
          </w:p>
          <w:p>
            <w:pPr>
              <w:tabs>
                <w:tab w:val="left" w:pos="2857"/>
              </w:tabs>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税额</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价税合计</w:t>
            </w:r>
          </w:p>
        </w:tc>
        <w:tc>
          <w:tcPr>
            <w:tcW w:w="2009" w:type="dxa"/>
            <w:vMerge w:val="continue"/>
            <w:tcBorders>
              <w:left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outlineLvl w:val="2"/>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柴油</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吨</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outlineLvl w:val="2"/>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60</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8"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不含税金额合计</w:t>
            </w:r>
          </w:p>
        </w:tc>
        <w:tc>
          <w:tcPr>
            <w:tcW w:w="8264"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none"/>
                <w:lang w:val="en-US"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8"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税额合计</w:t>
            </w:r>
          </w:p>
        </w:tc>
        <w:tc>
          <w:tcPr>
            <w:tcW w:w="8264"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none"/>
                <w:lang w:val="en-US"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78"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含税金额合计</w:t>
            </w:r>
          </w:p>
        </w:tc>
        <w:tc>
          <w:tcPr>
            <w:tcW w:w="8264"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42" w:type="dxa"/>
            <w:gridSpan w:val="9"/>
            <w:tcBorders>
              <w:top w:val="single" w:color="auto" w:sz="4" w:space="0"/>
              <w:left w:val="single" w:color="auto" w:sz="4" w:space="0"/>
              <w:bottom w:val="single" w:color="auto" w:sz="4" w:space="0"/>
              <w:right w:val="single" w:color="auto" w:sz="4" w:space="0"/>
            </w:tcBorders>
          </w:tcPr>
          <w:p>
            <w:pPr>
              <w:tabs>
                <w:tab w:val="left" w:pos="765"/>
              </w:tabs>
              <w:spacing w:line="400" w:lineRule="exact"/>
              <w:jc w:val="left"/>
              <w:outlineLvl w:val="2"/>
              <w:rPr>
                <w:rFonts w:hint="default" w:ascii="宋体" w:hAnsi="宋体" w:eastAsia="宋体" w:cs="宋体"/>
                <w:color w:val="000000"/>
                <w:sz w:val="21"/>
                <w:szCs w:val="21"/>
                <w:lang w:val="en-US" w:eastAsia="zh-CN"/>
              </w:rPr>
            </w:pPr>
            <w:r>
              <w:rPr>
                <w:rFonts w:hint="eastAsia" w:ascii="宋体" w:hAnsi="宋体" w:eastAsia="宋体" w:cs="宋体"/>
                <w:sz w:val="21"/>
                <w:szCs w:val="21"/>
              </w:rPr>
              <w:t>备注：1、合同所示的</w:t>
            </w:r>
            <w:r>
              <w:rPr>
                <w:rFonts w:hint="eastAsia" w:ascii="宋体" w:hAnsi="宋体" w:eastAsia="宋体" w:cs="宋体"/>
                <w:sz w:val="21"/>
                <w:szCs w:val="21"/>
                <w:lang w:val="en-US" w:eastAsia="zh-CN"/>
              </w:rPr>
              <w:t>物资</w:t>
            </w:r>
            <w:r>
              <w:rPr>
                <w:rFonts w:hint="eastAsia" w:ascii="宋体" w:hAnsi="宋体" w:eastAsia="宋体" w:cs="宋体"/>
                <w:sz w:val="21"/>
                <w:szCs w:val="21"/>
              </w:rPr>
              <w:t>数量均为暂定数量，实际供应数量以甲方提出的供应计划为准，乙方不得以合同中的材料暂定数量的变化原因追究甲方责任。</w:t>
            </w:r>
          </w:p>
        </w:tc>
      </w:tr>
    </w:tbl>
    <w:p>
      <w:pPr>
        <w:tabs>
          <w:tab w:val="left" w:pos="765"/>
        </w:tabs>
        <w:spacing w:line="400" w:lineRule="exact"/>
        <w:jc w:val="left"/>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(二)合同单价所示的“综合单价”为</w:t>
      </w:r>
      <w:r>
        <w:rPr>
          <w:rFonts w:hint="eastAsia" w:ascii="宋体" w:hAnsi="宋体" w:eastAsia="宋体" w:cs="宋体"/>
          <w:color w:val="000000" w:themeColor="text1"/>
          <w:sz w:val="21"/>
          <w:szCs w:val="21"/>
          <w:lang w:val="en-US" w:eastAsia="zh-CN"/>
        </w:rPr>
        <w:t>甲方向乙方油库的提货价</w:t>
      </w:r>
      <w:r>
        <w:rPr>
          <w:rFonts w:hint="eastAsia" w:ascii="宋体" w:hAnsi="宋体" w:eastAsia="宋体" w:cs="宋体"/>
          <w:color w:val="000000" w:themeColor="text1"/>
          <w:sz w:val="21"/>
          <w:szCs w:val="21"/>
        </w:rPr>
        <w:t>,包括但不限于乙方的货价、出库费、</w:t>
      </w:r>
      <w:r>
        <w:rPr>
          <w:rFonts w:hint="eastAsia" w:ascii="宋体" w:hAnsi="宋体" w:eastAsia="宋体" w:cs="宋体"/>
          <w:color w:val="000000" w:themeColor="text1"/>
          <w:sz w:val="21"/>
          <w:szCs w:val="21"/>
          <w:lang w:val="en-US" w:eastAsia="zh-CN"/>
        </w:rPr>
        <w:t>场内</w:t>
      </w:r>
      <w:r>
        <w:rPr>
          <w:rFonts w:hint="eastAsia" w:ascii="宋体" w:hAnsi="宋体" w:eastAsia="宋体" w:cs="宋体"/>
          <w:color w:val="000000" w:themeColor="text1"/>
          <w:sz w:val="21"/>
          <w:szCs w:val="21"/>
        </w:rPr>
        <w:t>运费、装</w:t>
      </w:r>
      <w:r>
        <w:rPr>
          <w:rFonts w:hint="eastAsia" w:ascii="宋体" w:hAnsi="宋体" w:eastAsia="宋体" w:cs="宋体"/>
          <w:color w:val="000000" w:themeColor="text1"/>
          <w:sz w:val="21"/>
          <w:szCs w:val="21"/>
          <w:lang w:val="en-US" w:eastAsia="zh-CN"/>
        </w:rPr>
        <w:t>卸</w:t>
      </w:r>
      <w:r>
        <w:rPr>
          <w:rFonts w:hint="eastAsia" w:ascii="宋体" w:hAnsi="宋体" w:eastAsia="宋体" w:cs="宋体"/>
          <w:color w:val="000000" w:themeColor="text1"/>
          <w:sz w:val="21"/>
          <w:szCs w:val="21"/>
        </w:rPr>
        <w:t>车费、包装费、交货前的采保费、检测费（除甲方收货时验收检测外）、资料费、财务费、损耗、管理费、利润、税金、风险费等一切费用，乙方不得以任何理由向甲方另行索要其它费用。</w:t>
      </w:r>
    </w:p>
    <w:p>
      <w:pPr>
        <w:tabs>
          <w:tab w:val="left" w:pos="765"/>
        </w:tabs>
        <w:spacing w:line="400" w:lineRule="exact"/>
        <w:jc w:val="left"/>
        <w:rPr>
          <w:rFonts w:ascii="宋体" w:hAnsi="宋体" w:eastAsia="宋体" w:cs="宋体"/>
          <w:color w:val="000000"/>
          <w:sz w:val="21"/>
          <w:szCs w:val="21"/>
        </w:rPr>
      </w:pPr>
      <w:r>
        <w:rPr>
          <w:rFonts w:hint="eastAsia" w:ascii="宋体" w:hAnsi="宋体" w:eastAsia="宋体" w:cs="宋体"/>
          <w:color w:val="000000" w:themeColor="text1"/>
          <w:sz w:val="21"/>
          <w:szCs w:val="21"/>
        </w:rPr>
        <w:t>（三）本合同约定的“不含税单价”不受进场数量多少影响。</w:t>
      </w:r>
      <w:r>
        <w:rPr>
          <w:rFonts w:hint="eastAsia" w:ascii="宋体" w:hAnsi="宋体" w:eastAsia="宋体" w:cs="宋体"/>
          <w:color w:val="000000"/>
          <w:sz w:val="21"/>
          <w:szCs w:val="21"/>
        </w:rPr>
        <w:t>物资数量为暂定数量。</w:t>
      </w:r>
    </w:p>
    <w:p>
      <w:pPr>
        <w:tabs>
          <w:tab w:val="left" w:pos="765"/>
        </w:tabs>
        <w:spacing w:line="400" w:lineRule="exact"/>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（四）乙方所供物资必须为</w:t>
      </w:r>
      <w:r>
        <w:rPr>
          <w:rFonts w:hint="eastAsia" w:ascii="宋体" w:hAnsi="宋体" w:eastAsia="宋体" w:cs="宋体"/>
          <w:color w:val="000000" w:themeColor="text1"/>
          <w:sz w:val="21"/>
          <w:szCs w:val="21"/>
          <w:u w:val="single"/>
        </w:rPr>
        <w:t xml:space="preserve">   </w:t>
      </w:r>
      <w:r>
        <w:rPr>
          <w:rFonts w:hint="eastAsia" w:ascii="宋体" w:hAnsi="宋体" w:eastAsia="宋体" w:cs="宋体"/>
          <w:color w:val="000000" w:themeColor="text1"/>
          <w:sz w:val="21"/>
          <w:szCs w:val="21"/>
          <w:u w:val="single"/>
          <w:lang w:val="en-US" w:eastAsia="zh-CN"/>
        </w:rPr>
        <w:t>中国石油天然气股份有限公司</w:t>
      </w:r>
      <w:r>
        <w:rPr>
          <w:rFonts w:hint="eastAsia" w:ascii="宋体" w:hAnsi="宋体" w:eastAsia="宋体" w:cs="宋体"/>
          <w:color w:val="000000" w:themeColor="text1"/>
          <w:sz w:val="21"/>
          <w:szCs w:val="21"/>
          <w:u w:val="single"/>
        </w:rPr>
        <w:t xml:space="preserve">   </w:t>
      </w:r>
      <w:r>
        <w:rPr>
          <w:rFonts w:hint="eastAsia" w:ascii="宋体" w:hAnsi="宋体" w:eastAsia="宋体" w:cs="宋体"/>
          <w:color w:val="000000" w:themeColor="text1"/>
          <w:sz w:val="21"/>
          <w:szCs w:val="21"/>
        </w:rPr>
        <w:t>生产产品。</w:t>
      </w:r>
    </w:p>
    <w:p>
      <w:pPr>
        <w:spacing w:line="400" w:lineRule="exact"/>
        <w:ind w:firstLine="422" w:firstLineChars="200"/>
        <w:rPr>
          <w:rFonts w:ascii="宋体" w:hAnsi="宋体" w:eastAsia="宋体"/>
          <w:b/>
          <w:color w:val="000000" w:themeColor="text1"/>
          <w:sz w:val="21"/>
          <w:szCs w:val="21"/>
        </w:rPr>
      </w:pPr>
      <w:r>
        <w:rPr>
          <w:rFonts w:hint="eastAsia" w:ascii="宋体" w:hAnsi="宋体" w:eastAsia="宋体"/>
          <w:b/>
          <w:color w:val="000000" w:themeColor="text1"/>
          <w:sz w:val="21"/>
          <w:szCs w:val="21"/>
        </w:rPr>
        <w:t>三、物资供应及</w:t>
      </w:r>
      <w:r>
        <w:rPr>
          <w:rFonts w:ascii="宋体" w:hAnsi="宋体" w:eastAsia="宋体"/>
          <w:b/>
          <w:color w:val="000000" w:themeColor="text1"/>
          <w:sz w:val="21"/>
          <w:szCs w:val="21"/>
        </w:rPr>
        <w:t>计量方式</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（一）乙方应严格按照甲方</w:t>
      </w:r>
      <w:r>
        <w:rPr>
          <w:rFonts w:hint="eastAsia" w:ascii="宋体" w:hAnsi="宋体" w:eastAsia="宋体" w:cs="宋体"/>
          <w:color w:val="000000" w:themeColor="text1"/>
          <w:sz w:val="21"/>
          <w:szCs w:val="21"/>
          <w:lang w:val="en-US" w:eastAsia="zh-CN"/>
        </w:rPr>
        <w:t>人员</w:t>
      </w:r>
      <w:r>
        <w:rPr>
          <w:rFonts w:hint="eastAsia" w:ascii="宋体" w:hAnsi="宋体" w:eastAsia="宋体" w:cs="宋体"/>
          <w:color w:val="000000" w:themeColor="text1"/>
          <w:sz w:val="21"/>
          <w:szCs w:val="21"/>
        </w:rPr>
        <w:t>要求的时间将约定的</w:t>
      </w:r>
      <w:r>
        <w:rPr>
          <w:rFonts w:hint="eastAsia" w:ascii="宋体" w:hAnsi="宋体" w:eastAsia="宋体" w:cs="宋体"/>
          <w:color w:val="000000" w:themeColor="text1"/>
          <w:sz w:val="21"/>
          <w:szCs w:val="21"/>
          <w:lang w:val="en-US" w:eastAsia="zh-CN"/>
        </w:rPr>
        <w:t>柴油运输车引导至油库装车区域</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甲</w:t>
      </w:r>
      <w:r>
        <w:rPr>
          <w:rFonts w:hint="eastAsia" w:ascii="宋体" w:hAnsi="宋体" w:eastAsia="宋体" w:cs="宋体"/>
          <w:color w:val="000000" w:themeColor="text1"/>
          <w:sz w:val="21"/>
          <w:szCs w:val="21"/>
        </w:rPr>
        <w:t>方</w:t>
      </w:r>
      <w:r>
        <w:rPr>
          <w:rFonts w:hint="eastAsia" w:ascii="宋体" w:hAnsi="宋体" w:eastAsia="宋体" w:cs="宋体"/>
          <w:color w:val="000000" w:themeColor="text1"/>
          <w:sz w:val="21"/>
          <w:szCs w:val="21"/>
          <w:lang w:val="en-US" w:eastAsia="zh-CN"/>
        </w:rPr>
        <w:t>提前</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u w:val="single"/>
          <w:lang w:val="en-US" w:eastAsia="zh-CN"/>
        </w:rPr>
        <w:t>1</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个日历天</w:t>
      </w:r>
      <w:r>
        <w:rPr>
          <w:rFonts w:hint="eastAsia" w:ascii="宋体" w:hAnsi="宋体" w:eastAsia="宋体"/>
          <w:color w:val="000000" w:themeColor="text1"/>
          <w:sz w:val="21"/>
          <w:szCs w:val="21"/>
          <w:lang w:val="en-US" w:eastAsia="zh-CN"/>
        </w:rPr>
        <w:t>以电话形式</w:t>
      </w:r>
      <w:r>
        <w:rPr>
          <w:rFonts w:hint="eastAsia" w:ascii="宋体" w:hAnsi="宋体" w:eastAsia="宋体" w:cs="宋体"/>
          <w:color w:val="000000" w:themeColor="text1"/>
          <w:sz w:val="21"/>
          <w:szCs w:val="21"/>
          <w:lang w:val="en-US" w:eastAsia="zh-CN"/>
        </w:rPr>
        <w:t>通知乙方</w:t>
      </w:r>
      <w:r>
        <w:rPr>
          <w:rFonts w:hint="eastAsia" w:ascii="宋体" w:hAnsi="宋体" w:eastAsia="宋体" w:cs="宋体"/>
          <w:color w:val="000000" w:themeColor="text1"/>
          <w:sz w:val="21"/>
          <w:szCs w:val="21"/>
        </w:rPr>
        <w:t>。</w:t>
      </w:r>
    </w:p>
    <w:p>
      <w:pPr>
        <w:spacing w:line="400" w:lineRule="exact"/>
        <w:ind w:firstLine="420" w:firstLineChars="200"/>
        <w:rPr>
          <w:rFonts w:ascii="宋体" w:hAnsi="宋体" w:eastAsia="宋体"/>
          <w:color w:val="000000" w:themeColor="text1"/>
          <w:sz w:val="21"/>
          <w:szCs w:val="21"/>
        </w:rPr>
      </w:pPr>
      <w:r>
        <w:rPr>
          <w:rFonts w:hint="eastAsia" w:ascii="宋体" w:hAnsi="宋体" w:eastAsia="宋体" w:cs="宋体"/>
          <w:color w:val="000000" w:themeColor="text1"/>
          <w:sz w:val="21"/>
          <w:szCs w:val="21"/>
        </w:rPr>
        <w:t>（二）</w:t>
      </w:r>
      <w:r>
        <w:rPr>
          <w:rFonts w:hint="eastAsia" w:ascii="宋体" w:hAnsi="宋体" w:eastAsia="宋体"/>
          <w:color w:val="000000" w:themeColor="text1"/>
          <w:sz w:val="21"/>
          <w:szCs w:val="21"/>
        </w:rPr>
        <w:t>物资计量方式:</w:t>
      </w:r>
      <w:r>
        <w:rPr>
          <w:rFonts w:hint="eastAsia" w:ascii="宋体" w:hAnsi="宋体" w:eastAsia="宋体"/>
          <w:color w:val="000000" w:themeColor="text1"/>
          <w:sz w:val="21"/>
          <w:szCs w:val="21"/>
          <w:lang w:val="en-US" w:eastAsia="zh-CN"/>
        </w:rPr>
        <w:t>甲方加油车在乙方油库以地磅计量，计量单位为吨，由双方人员签字确认数量。</w:t>
      </w:r>
      <w:r>
        <w:rPr>
          <w:rFonts w:hint="eastAsia" w:ascii="宋体" w:hAnsi="宋体" w:eastAsia="宋体"/>
          <w:color w:val="000000" w:themeColor="text1"/>
          <w:sz w:val="21"/>
          <w:szCs w:val="21"/>
        </w:rPr>
        <w:t xml:space="preserve"> </w:t>
      </w:r>
    </w:p>
    <w:p>
      <w:pPr>
        <w:spacing w:line="400" w:lineRule="exact"/>
        <w:ind w:firstLine="422" w:firstLineChars="200"/>
        <w:rPr>
          <w:rFonts w:hint="eastAsia" w:ascii="宋体" w:hAnsi="宋体" w:eastAsia="宋体"/>
          <w:b/>
          <w:sz w:val="21"/>
          <w:szCs w:val="21"/>
        </w:rPr>
      </w:pPr>
      <w:r>
        <w:rPr>
          <w:rFonts w:hint="eastAsia" w:ascii="宋体" w:hAnsi="宋体" w:eastAsia="宋体"/>
          <w:b/>
          <w:sz w:val="21"/>
          <w:szCs w:val="21"/>
        </w:rPr>
        <w:t>四、支付、结算</w:t>
      </w:r>
    </w:p>
    <w:p>
      <w:pPr>
        <w:spacing w:line="400" w:lineRule="exact"/>
        <w:ind w:firstLine="630" w:firstLineChars="300"/>
        <w:rPr>
          <w:rFonts w:hint="eastAsia" w:ascii="宋体" w:hAnsi="宋体" w:eastAsia="宋体"/>
          <w:sz w:val="21"/>
          <w:szCs w:val="21"/>
        </w:rPr>
      </w:pPr>
      <w:r>
        <w:rPr>
          <w:rFonts w:ascii="宋体" w:hAnsi="宋体" w:eastAsia="宋体"/>
          <w:sz w:val="21"/>
          <w:szCs w:val="21"/>
        </w:rPr>
        <w:t>(</w:t>
      </w:r>
      <w:r>
        <w:rPr>
          <w:rFonts w:hint="eastAsia" w:ascii="宋体" w:hAnsi="宋体" w:eastAsia="宋体"/>
          <w:sz w:val="21"/>
          <w:szCs w:val="21"/>
        </w:rPr>
        <w:t>一)乙方银行信息：单位名称:</w:t>
      </w:r>
      <w:r>
        <w:rPr>
          <w:rFonts w:hint="eastAsia" w:ascii="宋体" w:hAnsi="宋体" w:eastAsia="宋体"/>
          <w:sz w:val="21"/>
          <w:szCs w:val="21"/>
          <w:u w:val="single"/>
          <w:lang w:val="en-US" w:eastAsia="zh-CN"/>
        </w:rPr>
        <w:t xml:space="preserve">                 </w:t>
      </w:r>
      <w:r>
        <w:rPr>
          <w:rFonts w:hint="eastAsia" w:ascii="宋体" w:hAnsi="宋体" w:eastAsia="宋体"/>
          <w:sz w:val="21"/>
          <w:szCs w:val="21"/>
        </w:rPr>
        <w:t xml:space="preserve"> ；</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开户行：</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pPr>
        <w:spacing w:line="400" w:lineRule="exact"/>
        <w:ind w:firstLine="420" w:firstLineChars="200"/>
        <w:rPr>
          <w:rFonts w:hint="eastAsia" w:ascii="宋体" w:hAnsi="宋体" w:eastAsia="宋体"/>
          <w:sz w:val="21"/>
          <w:szCs w:val="21"/>
          <w:u w:val="single"/>
          <w:lang w:val="en-US" w:eastAsia="zh-CN"/>
        </w:rPr>
      </w:pPr>
      <w:r>
        <w:rPr>
          <w:rFonts w:hint="eastAsia" w:ascii="宋体" w:hAnsi="宋体" w:eastAsia="宋体"/>
          <w:sz w:val="21"/>
          <w:szCs w:val="21"/>
        </w:rPr>
        <w:t>账  号 :</w:t>
      </w:r>
      <w:r>
        <w:rPr>
          <w:rFonts w:hint="eastAsia" w:ascii="宋体" w:hAnsi="宋体" w:eastAsia="宋体"/>
          <w:sz w:val="21"/>
          <w:szCs w:val="21"/>
          <w:u w:val="single"/>
          <w:lang w:val="en-US" w:eastAsia="zh-CN"/>
        </w:rPr>
        <w:t xml:space="preserve">                     </w:t>
      </w:r>
    </w:p>
    <w:p>
      <w:pPr>
        <w:spacing w:line="400" w:lineRule="exact"/>
        <w:ind w:firstLine="630" w:firstLineChars="300"/>
        <w:rPr>
          <w:rFonts w:hint="default" w:ascii="宋体" w:hAnsi="宋体" w:eastAsia="宋体"/>
          <w:sz w:val="21"/>
          <w:szCs w:val="21"/>
          <w:u w:val="single"/>
          <w:lang w:val="en-US" w:eastAsia="zh-CN"/>
        </w:rPr>
      </w:pPr>
      <w:r>
        <w:rPr>
          <w:rFonts w:hint="eastAsia" w:ascii="宋体" w:hAnsi="宋体" w:eastAsia="宋体"/>
          <w:sz w:val="21"/>
          <w:szCs w:val="21"/>
          <w:lang w:val="en-US" w:eastAsia="zh-CN"/>
        </w:rPr>
        <w:t>(二)</w:t>
      </w:r>
      <w:r>
        <w:rPr>
          <w:rFonts w:hint="eastAsia" w:ascii="宋体" w:hAnsi="宋体" w:eastAsia="宋体"/>
          <w:sz w:val="21"/>
          <w:szCs w:val="21"/>
        </w:rPr>
        <w:t>乙方结算人:</w:t>
      </w:r>
      <w:r>
        <w:rPr>
          <w:rFonts w:hint="eastAsia" w:ascii="宋体" w:hAnsi="宋体" w:eastAsia="宋体"/>
          <w:sz w:val="21"/>
          <w:szCs w:val="21"/>
          <w:u w:val="single"/>
          <w:lang w:val="en-US" w:eastAsia="zh-CN"/>
        </w:rPr>
        <w:t xml:space="preserve">          </w:t>
      </w:r>
      <w:r>
        <w:rPr>
          <w:rFonts w:hint="eastAsia" w:ascii="宋体" w:hAnsi="宋体" w:eastAsia="宋体"/>
          <w:sz w:val="21"/>
          <w:szCs w:val="21"/>
        </w:rPr>
        <w:t>；身份证:</w:t>
      </w:r>
      <w:r>
        <w:rPr>
          <w:rFonts w:hint="eastAsia" w:ascii="宋体" w:hAnsi="宋体" w:eastAsia="宋体"/>
          <w:sz w:val="21"/>
          <w:szCs w:val="21"/>
          <w:u w:val="single"/>
          <w:lang w:val="en-US" w:eastAsia="zh-CN"/>
        </w:rPr>
        <w:t xml:space="preserve">               </w:t>
      </w:r>
      <w:r>
        <w:rPr>
          <w:rFonts w:hint="eastAsia" w:ascii="宋体" w:hAnsi="宋体" w:eastAsia="宋体"/>
          <w:sz w:val="21"/>
          <w:szCs w:val="21"/>
        </w:rPr>
        <w:t>；联系电话:</w:t>
      </w:r>
      <w:r>
        <w:rPr>
          <w:rFonts w:hint="eastAsia" w:ascii="宋体" w:hAnsi="宋体" w:eastAsia="宋体"/>
          <w:sz w:val="21"/>
          <w:szCs w:val="21"/>
          <w:u w:val="single"/>
          <w:lang w:val="en-US" w:eastAsia="zh-CN"/>
        </w:rPr>
        <w:t xml:space="preserve">           </w:t>
      </w:r>
    </w:p>
    <w:p>
      <w:pPr>
        <w:tabs>
          <w:tab w:val="left" w:pos="765"/>
        </w:tabs>
        <w:spacing w:line="400" w:lineRule="exact"/>
        <w:ind w:firstLine="630" w:firstLineChars="300"/>
        <w:jc w:val="left"/>
        <w:rPr>
          <w:rFonts w:ascii="宋体" w:hAnsi="宋体" w:eastAsia="宋体" w:cs="宋体"/>
          <w:sz w:val="21"/>
          <w:szCs w:val="21"/>
          <w:u w:val="single"/>
        </w:rPr>
      </w:pPr>
      <w:r>
        <w:rPr>
          <w:rFonts w:hint="eastAsia" w:ascii="宋体" w:hAnsi="宋体" w:eastAsia="宋体" w:cs="宋体"/>
          <w:sz w:val="21"/>
          <w:szCs w:val="21"/>
        </w:rPr>
        <w:t>(三)结算方式</w:t>
      </w:r>
      <w:r>
        <w:rPr>
          <w:rFonts w:hint="eastAsia" w:ascii="宋体" w:hAnsi="宋体" w:eastAsia="宋体" w:cs="宋体"/>
          <w:w w:val="90"/>
          <w:sz w:val="21"/>
          <w:szCs w:val="21"/>
        </w:rPr>
        <w:t>：</w:t>
      </w:r>
      <w:r>
        <w:rPr>
          <w:rFonts w:hint="eastAsia" w:ascii="宋体" w:hAnsi="宋体" w:eastAsia="宋体" w:cs="宋体"/>
          <w:sz w:val="21"/>
          <w:szCs w:val="21"/>
        </w:rPr>
        <w:t>本合同约定按月度结算。开始供货后双方每月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日后将上月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日至本月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rPr>
        <w:t>日的供货数量进行核对并及时办理月结手续，乙方向甲方提交等额的符合甲</w:t>
      </w:r>
      <w:r>
        <w:rPr>
          <w:rFonts w:hint="eastAsia" w:ascii="宋体" w:hAnsi="宋体" w:eastAsia="宋体" w:cs="宋体"/>
          <w:color w:val="000000" w:themeColor="text1"/>
          <w:sz w:val="21"/>
          <w:szCs w:val="21"/>
        </w:rPr>
        <w:t>方财务和</w:t>
      </w:r>
      <w:r>
        <w:rPr>
          <w:rFonts w:hint="eastAsia" w:ascii="宋体" w:hAnsi="宋体" w:eastAsia="宋体" w:cs="宋体"/>
          <w:sz w:val="21"/>
          <w:szCs w:val="21"/>
        </w:rPr>
        <w:t>国家税法要求的</w:t>
      </w:r>
      <w:r>
        <w:rPr>
          <w:rFonts w:hint="eastAsia" w:ascii="宋体" w:hAnsi="宋体" w:eastAsia="宋体" w:cs="宋体"/>
          <w:b/>
          <w:bCs/>
          <w:sz w:val="21"/>
          <w:szCs w:val="21"/>
        </w:rPr>
        <w:t>增值税专用发票</w:t>
      </w:r>
      <w:r>
        <w:rPr>
          <w:rFonts w:hint="eastAsia" w:ascii="宋体" w:hAnsi="宋体" w:eastAsia="宋体" w:cs="宋体"/>
          <w:b/>
          <w:sz w:val="21"/>
          <w:szCs w:val="21"/>
        </w:rPr>
        <w:t>，发票票面税率</w:t>
      </w:r>
      <w:r>
        <w:rPr>
          <w:rFonts w:hint="eastAsia" w:ascii="宋体" w:hAnsi="宋体" w:eastAsia="宋体" w:cs="宋体"/>
          <w:sz w:val="21"/>
          <w:szCs w:val="21"/>
          <w:u w:val="single"/>
          <w:lang w:val="en-US" w:eastAsia="zh-CN"/>
        </w:rPr>
        <w:t xml:space="preserve">  </w:t>
      </w:r>
      <w:r>
        <w:rPr>
          <w:rFonts w:hint="eastAsia" w:ascii="宋体" w:hAnsi="宋体" w:eastAsia="宋体" w:cs="宋体"/>
          <w:b/>
          <w:sz w:val="21"/>
          <w:szCs w:val="21"/>
        </w:rPr>
        <w:t>%</w:t>
      </w:r>
      <w:r>
        <w:rPr>
          <w:rFonts w:hint="eastAsia" w:ascii="宋体" w:hAnsi="宋体" w:eastAsia="宋体" w:cs="宋体"/>
          <w:sz w:val="21"/>
          <w:szCs w:val="21"/>
        </w:rPr>
        <w:t>，开票信息如下：</w:t>
      </w:r>
    </w:p>
    <w:p>
      <w:pPr>
        <w:tabs>
          <w:tab w:val="left" w:pos="765"/>
        </w:tabs>
        <w:spacing w:line="400" w:lineRule="exact"/>
        <w:ind w:firstLine="840" w:firstLineChars="400"/>
        <w:jc w:val="left"/>
        <w:rPr>
          <w:rFonts w:hint="eastAsia" w:ascii="宋体" w:hAnsi="宋体" w:eastAsia="宋体" w:cs="宋体"/>
          <w:sz w:val="21"/>
          <w:szCs w:val="21"/>
        </w:rPr>
      </w:pPr>
      <w:r>
        <w:rPr>
          <w:rFonts w:hint="eastAsia" w:ascii="宋体" w:hAnsi="宋体" w:eastAsia="宋体" w:cs="宋体"/>
          <w:sz w:val="21"/>
          <w:szCs w:val="21"/>
        </w:rPr>
        <w:t>发票抬头：中建路桥集团有限公司；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税号：91130000401700454L；</w:t>
      </w:r>
    </w:p>
    <w:p>
      <w:pPr>
        <w:tabs>
          <w:tab w:val="left" w:pos="765"/>
        </w:tabs>
        <w:spacing w:line="40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lang w:eastAsia="zh-CN"/>
        </w:rPr>
        <w:t>　</w:t>
      </w:r>
      <w:r>
        <w:rPr>
          <w:rFonts w:hint="eastAsia" w:ascii="宋体" w:hAnsi="宋体" w:eastAsia="宋体" w:cs="宋体"/>
          <w:sz w:val="21"/>
          <w:szCs w:val="21"/>
        </w:rPr>
        <w:t>地</w:t>
      </w:r>
      <w:r>
        <w:rPr>
          <w:rFonts w:hint="eastAsia" w:ascii="宋体" w:hAnsi="宋体" w:eastAsia="宋体" w:cs="宋体"/>
          <w:sz w:val="21"/>
          <w:szCs w:val="21"/>
          <w:lang w:eastAsia="zh-CN"/>
        </w:rPr>
        <w:t>　</w:t>
      </w:r>
      <w:r>
        <w:rPr>
          <w:rFonts w:hint="eastAsia" w:ascii="宋体" w:hAnsi="宋体" w:eastAsia="宋体" w:cs="宋体"/>
          <w:sz w:val="21"/>
          <w:szCs w:val="21"/>
        </w:rPr>
        <w:t>址：河北省石家庄市桥西区建设南大街70号；电话：0311-86028814；</w:t>
      </w:r>
    </w:p>
    <w:p>
      <w:pPr>
        <w:tabs>
          <w:tab w:val="left" w:pos="765"/>
        </w:tabs>
        <w:spacing w:line="40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lang w:eastAsia="zh-CN"/>
        </w:rPr>
        <w:t>　</w:t>
      </w:r>
      <w:r>
        <w:rPr>
          <w:rFonts w:hint="eastAsia" w:ascii="宋体" w:hAnsi="宋体" w:eastAsia="宋体" w:cs="宋体"/>
          <w:sz w:val="21"/>
          <w:szCs w:val="21"/>
        </w:rPr>
        <w:t>开户行：建行石家庄平安大街支行；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账号：13001618601050504927；   </w:t>
      </w:r>
    </w:p>
    <w:p>
      <w:pPr>
        <w:tabs>
          <w:tab w:val="left" w:pos="765"/>
        </w:tabs>
        <w:spacing w:line="40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 xml:space="preserve">  备注：</w:t>
      </w:r>
      <w:r>
        <w:rPr>
          <w:rFonts w:hint="eastAsia" w:ascii="宋体" w:hAnsi="宋体" w:eastAsia="宋体" w:cs="宋体"/>
          <w:sz w:val="21"/>
          <w:szCs w:val="21"/>
          <w:lang w:val="en-US" w:eastAsia="zh-CN"/>
        </w:rPr>
        <w:t>提前与财务和合约部门沟通</w:t>
      </w:r>
      <w:r>
        <w:rPr>
          <w:rFonts w:hint="eastAsia" w:ascii="宋体" w:hAnsi="宋体" w:eastAsia="宋体" w:cs="宋体"/>
          <w:sz w:val="21"/>
          <w:szCs w:val="21"/>
        </w:rPr>
        <w:t>。</w:t>
      </w:r>
    </w:p>
    <w:p>
      <w:pPr>
        <w:tabs>
          <w:tab w:val="left" w:pos="765"/>
        </w:tabs>
        <w:spacing w:line="400" w:lineRule="exact"/>
        <w:ind w:firstLine="630" w:firstLineChars="300"/>
        <w:jc w:val="left"/>
        <w:rPr>
          <w:rFonts w:hint="eastAsia" w:ascii="宋体" w:hAnsi="宋体" w:eastAsia="宋体" w:cs="宋体"/>
          <w:sz w:val="21"/>
          <w:szCs w:val="21"/>
          <w:highlight w:val="yellow"/>
          <w:u w:val="single"/>
        </w:rPr>
      </w:pPr>
      <w:r>
        <w:rPr>
          <w:rFonts w:hint="eastAsia" w:ascii="宋体" w:hAnsi="宋体" w:eastAsia="宋体" w:cs="宋体"/>
          <w:sz w:val="21"/>
          <w:szCs w:val="21"/>
        </w:rPr>
        <w:t xml:space="preserve">(四) </w:t>
      </w:r>
      <w:r>
        <w:rPr>
          <w:rFonts w:hint="eastAsia" w:ascii="宋体" w:hAnsi="宋体" w:eastAsia="宋体" w:cs="宋体"/>
          <w:sz w:val="21"/>
          <w:szCs w:val="21"/>
          <w:lang w:val="en-US" w:eastAsia="zh-CN"/>
        </w:rPr>
        <w:t>货款支付：本合同</w:t>
      </w:r>
      <w:r>
        <w:rPr>
          <w:rFonts w:hint="eastAsia" w:ascii="宋体" w:hAnsi="宋体" w:eastAsia="宋体" w:cs="宋体"/>
          <w:sz w:val="21"/>
          <w:szCs w:val="21"/>
        </w:rPr>
        <w:t xml:space="preserve">无预付款，付款期限自双方确认结算金额之日起计算，暂定为在甲乙双方完成月度物资结算手续且甲方收到乙方相应全额发票后， </w:t>
      </w:r>
      <w:r>
        <w:rPr>
          <w:rFonts w:hint="eastAsia" w:ascii="宋体" w:hAnsi="宋体" w:eastAsia="宋体" w:cs="宋体"/>
          <w:sz w:val="21"/>
          <w:szCs w:val="21"/>
          <w:lang w:val="en-US" w:eastAsia="zh-CN"/>
        </w:rPr>
        <w:t>第</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u w:val="single"/>
        </w:rPr>
        <w:t xml:space="preserve"> </w:t>
      </w:r>
      <w:r>
        <w:rPr>
          <w:rFonts w:hint="eastAsia" w:ascii="宋体" w:hAnsi="宋体" w:eastAsia="宋体" w:cs="宋体"/>
          <w:sz w:val="21"/>
          <w:szCs w:val="21"/>
        </w:rPr>
        <w:t>个月</w:t>
      </w:r>
      <w:r>
        <w:rPr>
          <w:rFonts w:hint="eastAsia" w:ascii="宋体" w:hAnsi="宋体" w:eastAsia="宋体" w:cs="宋体"/>
          <w:sz w:val="21"/>
          <w:szCs w:val="21"/>
          <w:lang w:eastAsia="zh-CN"/>
        </w:rPr>
        <w:t>末</w:t>
      </w:r>
      <w:r>
        <w:rPr>
          <w:rFonts w:hint="eastAsia" w:ascii="宋体" w:hAnsi="宋体" w:eastAsia="宋体" w:cs="宋体"/>
          <w:sz w:val="21"/>
          <w:szCs w:val="21"/>
        </w:rPr>
        <w:t xml:space="preserve">支付当期应付货款的 </w:t>
      </w:r>
      <w:r>
        <w:rPr>
          <w:rFonts w:hint="eastAsia" w:ascii="宋体" w:hAnsi="宋体" w:eastAsia="宋体" w:cs="宋体"/>
          <w:sz w:val="21"/>
          <w:szCs w:val="21"/>
          <w:u w:val="single"/>
          <w:lang w:val="en-US" w:eastAsia="zh-CN"/>
        </w:rPr>
        <w:t>100</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）由于</w:t>
      </w:r>
      <w:r>
        <w:rPr>
          <w:rFonts w:hint="eastAsia" w:ascii="宋体" w:hAnsi="宋体" w:eastAsia="宋体" w:cs="宋体"/>
          <w:sz w:val="21"/>
          <w:szCs w:val="21"/>
          <w:lang w:val="en-US" w:eastAsia="zh-CN"/>
        </w:rPr>
        <w:t>各种</w:t>
      </w:r>
      <w:r>
        <w:rPr>
          <w:rFonts w:hint="eastAsia" w:ascii="宋体" w:hAnsi="宋体" w:eastAsia="宋体" w:cs="宋体"/>
          <w:sz w:val="21"/>
          <w:szCs w:val="21"/>
        </w:rPr>
        <w:t>原因造成甲方延迟支付货款，甲方不承担逾期利息。</w:t>
      </w:r>
    </w:p>
    <w:p>
      <w:pPr>
        <w:tabs>
          <w:tab w:val="right" w:pos="8306"/>
        </w:tabs>
        <w:spacing w:line="400" w:lineRule="exact"/>
        <w:ind w:firstLine="422" w:firstLineChars="200"/>
        <w:rPr>
          <w:rFonts w:ascii="宋体" w:hAnsi="宋体" w:eastAsia="宋体" w:cs="宋体"/>
          <w:color w:val="C0C0C0"/>
          <w:sz w:val="21"/>
          <w:szCs w:val="21"/>
          <w:u w:val="single"/>
        </w:rPr>
      </w:pPr>
      <w:r>
        <w:rPr>
          <w:rFonts w:hint="eastAsia" w:ascii="宋体" w:hAnsi="宋体" w:eastAsia="宋体" w:cs="宋体"/>
          <w:b/>
          <w:sz w:val="21"/>
          <w:szCs w:val="21"/>
        </w:rPr>
        <w:t>五、履约保证金</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(一)本合同履约保证金为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0</w:t>
      </w:r>
      <w:r>
        <w:rPr>
          <w:rFonts w:hint="eastAsia" w:ascii="宋体" w:hAnsi="宋体" w:eastAsia="宋体" w:cs="宋体"/>
          <w:sz w:val="21"/>
          <w:szCs w:val="21"/>
          <w:u w:val="single"/>
        </w:rPr>
        <w:t xml:space="preserve"> </w:t>
      </w:r>
      <w:r>
        <w:rPr>
          <w:rFonts w:hint="eastAsia" w:ascii="宋体" w:hAnsi="宋体" w:eastAsia="宋体" w:cs="宋体"/>
          <w:sz w:val="21"/>
          <w:szCs w:val="21"/>
        </w:rPr>
        <w:t>万元（大写：</w:t>
      </w:r>
      <w:r>
        <w:rPr>
          <w:rFonts w:hint="eastAsia" w:ascii="宋体" w:hAnsi="宋体" w:eastAsia="宋体" w:cs="宋体"/>
          <w:sz w:val="21"/>
          <w:szCs w:val="21"/>
          <w:lang w:val="en-US" w:eastAsia="zh-CN"/>
        </w:rPr>
        <w:t>零</w:t>
      </w:r>
      <w:r>
        <w:rPr>
          <w:rFonts w:hint="eastAsia" w:ascii="宋体" w:hAnsi="宋体" w:eastAsia="宋体" w:cs="宋体"/>
          <w:sz w:val="21"/>
          <w:szCs w:val="21"/>
        </w:rPr>
        <w:t>万元整）。</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color w:val="FF0000"/>
          <w:sz w:val="21"/>
          <w:szCs w:val="21"/>
        </w:rPr>
        <w:t xml:space="preserve"> </w:t>
      </w:r>
      <w:r>
        <w:rPr>
          <w:rFonts w:hint="eastAsia" w:ascii="宋体" w:hAnsi="宋体" w:eastAsia="宋体" w:cs="宋体"/>
          <w:sz w:val="21"/>
          <w:szCs w:val="21"/>
        </w:rPr>
        <w:t>本合同在乙方提供履约担保后，由双方法定代表人或其委托代理人签署并加盖单位章后生效。履约保证金以现金或保函形式缴纳。</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(三)在合同完成后</w:t>
      </w:r>
      <w:r>
        <w:rPr>
          <w:rFonts w:hint="eastAsia" w:ascii="宋体" w:hAnsi="宋体" w:eastAsia="宋体" w:cs="宋体"/>
          <w:sz w:val="21"/>
          <w:szCs w:val="21"/>
          <w:u w:val="single"/>
        </w:rPr>
        <w:t xml:space="preserve"> 90 </w:t>
      </w:r>
      <w:r>
        <w:rPr>
          <w:rFonts w:hint="eastAsia" w:ascii="宋体" w:hAnsi="宋体" w:eastAsia="宋体" w:cs="宋体"/>
          <w:sz w:val="21"/>
          <w:szCs w:val="21"/>
        </w:rPr>
        <w:t>工作日内甲方无息退还乙方履约保证金。</w:t>
      </w:r>
    </w:p>
    <w:p>
      <w:pPr>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六、违约金</w:t>
      </w:r>
    </w:p>
    <w:p>
      <w:pPr>
        <w:spacing w:line="400" w:lineRule="exact"/>
        <w:ind w:firstLine="420" w:firstLineChars="200"/>
        <w:rPr>
          <w:rFonts w:hint="eastAsia" w:ascii="宋体" w:hAnsi="宋体" w:eastAsia="宋体" w:cs="宋体"/>
          <w:b/>
          <w:sz w:val="21"/>
          <w:szCs w:val="21"/>
        </w:rPr>
      </w:pPr>
      <w:r>
        <w:rPr>
          <w:rFonts w:hint="eastAsia" w:ascii="宋体" w:hAnsi="宋体" w:eastAsia="宋体" w:cs="宋体"/>
          <w:bCs/>
          <w:sz w:val="21"/>
          <w:szCs w:val="21"/>
        </w:rPr>
        <w:t>乙方按人民币</w:t>
      </w:r>
      <w:r>
        <w:rPr>
          <w:rFonts w:hint="eastAsia" w:ascii="宋体" w:hAnsi="宋体" w:eastAsia="宋体" w:cs="宋体"/>
          <w:bCs/>
          <w:sz w:val="21"/>
          <w:szCs w:val="21"/>
          <w:u w:val="single"/>
        </w:rPr>
        <w:t>500</w:t>
      </w:r>
      <w:r>
        <w:rPr>
          <w:rFonts w:hint="eastAsia" w:ascii="宋体" w:hAnsi="宋体" w:eastAsia="宋体" w:cs="宋体"/>
          <w:bCs/>
          <w:sz w:val="21"/>
          <w:szCs w:val="21"/>
          <w:u w:val="single"/>
          <w:lang w:val="en-US" w:eastAsia="zh-CN"/>
        </w:rPr>
        <w:t>0</w:t>
      </w:r>
      <w:r>
        <w:rPr>
          <w:rFonts w:hint="eastAsia" w:ascii="宋体" w:hAnsi="宋体" w:eastAsia="宋体" w:cs="宋体"/>
          <w:bCs/>
          <w:sz w:val="21"/>
          <w:szCs w:val="21"/>
        </w:rPr>
        <w:t>元/日历天向甲方支付违约金。</w:t>
      </w:r>
    </w:p>
    <w:p>
      <w:pPr>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七、合同份数：</w:t>
      </w:r>
      <w:r>
        <w:rPr>
          <w:rFonts w:hint="eastAsia" w:ascii="宋体" w:hAnsi="宋体" w:eastAsia="宋体" w:cs="宋体"/>
          <w:sz w:val="21"/>
          <w:szCs w:val="21"/>
        </w:rPr>
        <w:t>本合同一式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肆</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叁</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壹 </w:t>
      </w:r>
      <w:r>
        <w:rPr>
          <w:rFonts w:hint="eastAsia" w:ascii="宋体" w:hAnsi="宋体" w:eastAsia="宋体" w:cs="宋体"/>
          <w:sz w:val="21"/>
          <w:szCs w:val="21"/>
        </w:rPr>
        <w:t>份。</w:t>
      </w:r>
    </w:p>
    <w:p>
      <w:pPr>
        <w:snapToGrid w:val="0"/>
        <w:spacing w:line="400" w:lineRule="exact"/>
        <w:ind w:firstLine="420" w:firstLineChars="200"/>
        <w:rPr>
          <w:rFonts w:ascii="宋体" w:hAnsi="宋体"/>
          <w:sz w:val="21"/>
          <w:szCs w:val="21"/>
        </w:rPr>
      </w:pPr>
      <w:r>
        <w:rPr>
          <w:rFonts w:hint="eastAsia" w:ascii="宋体" w:hAnsi="宋体"/>
          <w:sz w:val="21"/>
          <w:szCs w:val="21"/>
        </w:rPr>
        <w:t xml:space="preserve">甲方：（盖章）                               乙方：（盖章） </w:t>
      </w:r>
    </w:p>
    <w:p>
      <w:pPr>
        <w:snapToGrid w:val="0"/>
        <w:spacing w:line="400" w:lineRule="exact"/>
        <w:ind w:firstLine="420" w:firstLineChars="200"/>
        <w:jc w:val="left"/>
        <w:rPr>
          <w:rFonts w:ascii="宋体" w:hAnsi="宋体"/>
          <w:sz w:val="21"/>
          <w:szCs w:val="21"/>
        </w:rPr>
      </w:pPr>
      <w:r>
        <w:rPr>
          <w:rFonts w:hint="eastAsia" w:ascii="宋体" w:hAnsi="宋体"/>
          <w:sz w:val="21"/>
          <w:szCs w:val="21"/>
        </w:rPr>
        <w:t xml:space="preserve">法定代表人                                   法定代表人 </w:t>
      </w:r>
    </w:p>
    <w:p>
      <w:pPr>
        <w:snapToGrid w:val="0"/>
        <w:spacing w:line="400" w:lineRule="exact"/>
        <w:ind w:firstLine="420" w:firstLineChars="200"/>
        <w:rPr>
          <w:rFonts w:ascii="宋体" w:hAnsi="宋体"/>
          <w:sz w:val="21"/>
          <w:szCs w:val="21"/>
        </w:rPr>
      </w:pPr>
      <w:r>
        <w:rPr>
          <w:rFonts w:hint="eastAsia" w:ascii="宋体" w:hAnsi="宋体"/>
          <w:sz w:val="21"/>
          <w:szCs w:val="21"/>
        </w:rPr>
        <w:t>或被授权人签字：                             或被授权人签字：</w:t>
      </w:r>
    </w:p>
    <w:p>
      <w:pPr>
        <w:snapToGrid w:val="0"/>
        <w:spacing w:line="400" w:lineRule="exact"/>
        <w:ind w:firstLine="420" w:firstLineChars="200"/>
        <w:rPr>
          <w:rFonts w:hint="eastAsia" w:ascii="宋体" w:hAnsi="宋体"/>
          <w:b/>
          <w:sz w:val="30"/>
          <w:szCs w:val="30"/>
        </w:rPr>
      </w:pPr>
      <w:r>
        <w:rPr>
          <w:rFonts w:hint="eastAsia" w:ascii="宋体" w:hAnsi="宋体"/>
          <w:sz w:val="21"/>
          <w:szCs w:val="21"/>
        </w:rPr>
        <w:t>联系电话：                                   联系电话：</w:t>
      </w:r>
    </w:p>
    <w:p>
      <w:pPr>
        <w:spacing w:beforeLines="80" w:line="360" w:lineRule="exact"/>
        <w:jc w:val="center"/>
        <w:rPr>
          <w:rFonts w:hint="eastAsia" w:ascii="宋体" w:hAnsi="宋体"/>
          <w:b/>
          <w:sz w:val="30"/>
          <w:szCs w:val="30"/>
        </w:rPr>
      </w:pPr>
    </w:p>
    <w:p>
      <w:pPr>
        <w:spacing w:beforeLines="80" w:line="360" w:lineRule="exact"/>
        <w:jc w:val="center"/>
        <w:rPr>
          <w:rFonts w:hint="eastAsia" w:ascii="宋体" w:hAnsi="宋体"/>
          <w:b/>
          <w:sz w:val="30"/>
          <w:szCs w:val="30"/>
        </w:rPr>
      </w:pPr>
    </w:p>
    <w:p>
      <w:pPr>
        <w:spacing w:beforeLines="80" w:line="360" w:lineRule="exact"/>
        <w:jc w:val="center"/>
        <w:rPr>
          <w:rFonts w:hint="eastAsia" w:ascii="宋体" w:hAnsi="宋体"/>
          <w:b/>
          <w:sz w:val="30"/>
          <w:szCs w:val="30"/>
        </w:rPr>
      </w:pPr>
    </w:p>
    <w:p>
      <w:pPr>
        <w:pStyle w:val="2"/>
        <w:rPr>
          <w:rFonts w:hint="eastAsia" w:ascii="宋体" w:hAnsi="宋体"/>
          <w:b/>
          <w:sz w:val="30"/>
          <w:szCs w:val="30"/>
        </w:rPr>
      </w:pPr>
    </w:p>
    <w:p>
      <w:pPr>
        <w:pStyle w:val="3"/>
        <w:rPr>
          <w:rFonts w:hint="eastAsia"/>
        </w:rPr>
      </w:pPr>
      <w:bookmarkStart w:id="76" w:name="_GoBack"/>
      <w:bookmarkEnd w:id="76"/>
    </w:p>
    <w:p>
      <w:pPr>
        <w:spacing w:beforeLines="80" w:line="360" w:lineRule="exact"/>
        <w:jc w:val="center"/>
        <w:rPr>
          <w:rFonts w:hint="eastAsia" w:ascii="宋体" w:hAnsi="宋体"/>
          <w:b/>
          <w:sz w:val="30"/>
          <w:szCs w:val="30"/>
        </w:rPr>
      </w:pPr>
    </w:p>
    <w:p>
      <w:pPr>
        <w:spacing w:beforeLines="80" w:line="360" w:lineRule="exact"/>
        <w:jc w:val="center"/>
        <w:rPr>
          <w:rFonts w:ascii="宋体" w:hAnsi="宋体"/>
          <w:b/>
          <w:sz w:val="30"/>
          <w:szCs w:val="30"/>
        </w:rPr>
      </w:pPr>
      <w:r>
        <w:rPr>
          <w:rFonts w:hint="eastAsia" w:ascii="宋体" w:hAnsi="宋体"/>
          <w:b/>
          <w:sz w:val="30"/>
          <w:szCs w:val="30"/>
        </w:rPr>
        <w:t>第二部分 通用合同条款</w:t>
      </w:r>
      <w:bookmarkStart w:id="74" w:name="A3"/>
      <w:bookmarkEnd w:id="74"/>
    </w:p>
    <w:p>
      <w:pPr>
        <w:tabs>
          <w:tab w:val="left" w:pos="425"/>
        </w:tabs>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1.适用法律法规</w:t>
      </w:r>
    </w:p>
    <w:p>
      <w:pPr>
        <w:tabs>
          <w:tab w:val="left" w:pos="992"/>
        </w:tabs>
        <w:spacing w:line="400" w:lineRule="exact"/>
        <w:ind w:firstLine="420" w:firstLineChars="200"/>
        <w:jc w:val="left"/>
        <w:rPr>
          <w:rFonts w:ascii="宋体" w:hAnsi="宋体" w:eastAsia="宋体" w:cs="宋体"/>
          <w:b/>
          <w:sz w:val="21"/>
          <w:szCs w:val="21"/>
        </w:rPr>
      </w:pPr>
      <w:bookmarkStart w:id="75" w:name="A2"/>
      <w:bookmarkEnd w:id="75"/>
      <w:r>
        <w:rPr>
          <w:rFonts w:hint="eastAsia" w:ascii="宋体" w:hAnsi="宋体" w:eastAsia="宋体" w:cs="宋体"/>
          <w:sz w:val="21"/>
          <w:szCs w:val="21"/>
        </w:rPr>
        <w:t>1.1适用于本合同的法律包括中华人民共和国正式颁布实施的法律、行政法规、部门规章，以及项目所在地的地方法规、自治条例、单行条例和地方政府规章，包括但不限于</w:t>
      </w:r>
      <w:r>
        <w:rPr>
          <w:rFonts w:hint="eastAsia" w:ascii="宋体" w:hAnsi="宋体" w:eastAsia="宋体" w:cs="宋体"/>
          <w:kern w:val="10"/>
          <w:sz w:val="21"/>
          <w:szCs w:val="21"/>
        </w:rPr>
        <w:t>《中华人民共和国</w:t>
      </w:r>
      <w:r>
        <w:rPr>
          <w:rFonts w:hint="eastAsia" w:ascii="宋体" w:hAnsi="宋体" w:eastAsia="宋体" w:cs="宋体"/>
          <w:kern w:val="10"/>
          <w:sz w:val="21"/>
          <w:szCs w:val="21"/>
          <w:lang w:val="en-US" w:eastAsia="zh-CN"/>
        </w:rPr>
        <w:t>民法典</w:t>
      </w:r>
      <w:r>
        <w:rPr>
          <w:rFonts w:hint="eastAsia" w:ascii="宋体" w:hAnsi="宋体" w:eastAsia="宋体" w:cs="宋体"/>
          <w:kern w:val="10"/>
          <w:sz w:val="21"/>
          <w:szCs w:val="21"/>
        </w:rPr>
        <w:t>》《中华人民共和国产品质量法》</w:t>
      </w:r>
      <w:r>
        <w:rPr>
          <w:rFonts w:hint="eastAsia" w:ascii="宋体" w:hAnsi="宋体" w:eastAsia="宋体" w:cs="宋体"/>
          <w:sz w:val="21"/>
          <w:szCs w:val="21"/>
        </w:rPr>
        <w:t>等。</w:t>
      </w:r>
    </w:p>
    <w:p>
      <w:pPr>
        <w:tabs>
          <w:tab w:val="left" w:pos="425"/>
          <w:tab w:val="left" w:pos="992"/>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1.2如在合同有效期内，颁布新的法律法规或修订了原有法律法规，则后继的法律法规将自动适用于本合同。</w:t>
      </w:r>
    </w:p>
    <w:p>
      <w:pPr>
        <w:tabs>
          <w:tab w:val="left" w:pos="425"/>
        </w:tabs>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2.合同文件组成及解释顺序</w:t>
      </w:r>
    </w:p>
    <w:p>
      <w:pPr>
        <w:tabs>
          <w:tab w:val="left" w:pos="425"/>
          <w:tab w:val="left" w:pos="992"/>
        </w:tabs>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2.1除专用合同条款另有约定外，组成本合同的文件及优先解释顺序如下：</w:t>
      </w:r>
    </w:p>
    <w:p>
      <w:pPr>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2.1.1补充协议文件；</w:t>
      </w:r>
    </w:p>
    <w:p>
      <w:pPr>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2.1.2本合同；</w:t>
      </w:r>
    </w:p>
    <w:p>
      <w:pPr>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2.1.3标准、规范及有关技术标准和要求；</w:t>
      </w:r>
    </w:p>
    <w:p>
      <w:pPr>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2.1.4招标文件及补遗文件；</w:t>
      </w:r>
    </w:p>
    <w:p>
      <w:pPr>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2.1.5投标文件；</w:t>
      </w:r>
    </w:p>
    <w:p>
      <w:pPr>
        <w:spacing w:line="400" w:lineRule="exact"/>
        <w:ind w:left="480" w:leftChars="200"/>
        <w:jc w:val="left"/>
        <w:rPr>
          <w:rFonts w:ascii="宋体" w:hAnsi="宋体" w:eastAsia="宋体" w:cs="宋体"/>
          <w:sz w:val="21"/>
          <w:szCs w:val="21"/>
        </w:rPr>
      </w:pPr>
      <w:r>
        <w:rPr>
          <w:rFonts w:hint="eastAsia" w:ascii="宋体" w:hAnsi="宋体" w:eastAsia="宋体" w:cs="宋体"/>
          <w:sz w:val="21"/>
          <w:szCs w:val="21"/>
        </w:rPr>
        <w:t>2.1.6与本合同有关的其他文件。</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2.2合同文件相互解释、互为补充说明，当合同文件与工程规范、技术要求不一致时，应按要求较高的标准执行；当上述文件出现多义性或不一致解释，应由甲方作出解释和校正。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3.物资质量要求及技术标准</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3.1产品必须满足中华人民共和国国家、地方及行业最新颁布的相关标准及技术规范，如果规范、标准、要求适用于同一种情况，则以标准高者为准。</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3.2乙方对质量负责的条件和期限：如甲方在进行质量检验过程中，发现不符合标准要求的物资，乙方必须在</w:t>
      </w:r>
      <w:r>
        <w:rPr>
          <w:rFonts w:hint="eastAsia" w:ascii="宋体" w:hAnsi="宋体" w:eastAsia="宋体" w:cs="宋体"/>
          <w:color w:val="000000" w:themeColor="text1"/>
          <w:sz w:val="21"/>
          <w:szCs w:val="21"/>
        </w:rPr>
        <w:t>48小时内</w:t>
      </w:r>
      <w:r>
        <w:rPr>
          <w:rFonts w:hint="eastAsia" w:ascii="宋体" w:hAnsi="宋体" w:eastAsia="宋体" w:cs="宋体"/>
          <w:sz w:val="21"/>
          <w:szCs w:val="21"/>
        </w:rPr>
        <w:t>将不合格物资无条件清理出场并予以退换，由此造成的一切损失由乙方负担。</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3.3</w:t>
      </w:r>
      <w:r>
        <w:rPr>
          <w:rFonts w:hint="eastAsia" w:ascii="宋体" w:hAnsi="宋体" w:eastAsia="宋体" w:cs="宋体"/>
          <w:color w:val="000000" w:themeColor="text1"/>
          <w:sz w:val="21"/>
          <w:szCs w:val="21"/>
        </w:rPr>
        <w:t>具体物资质量要求及技术标准见专用条款。</w:t>
      </w:r>
    </w:p>
    <w:p>
      <w:pPr>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4.物资计量验收方式</w:t>
      </w:r>
    </w:p>
    <w:p>
      <w:pPr>
        <w:spacing w:line="400" w:lineRule="exact"/>
        <w:ind w:firstLine="420" w:firstLineChars="200"/>
        <w:rPr>
          <w:rFonts w:ascii="宋体" w:hAnsi="宋体" w:eastAsia="宋体" w:cs="宋体"/>
          <w:bCs/>
          <w:color w:val="000000" w:themeColor="text1"/>
          <w:sz w:val="21"/>
          <w:szCs w:val="21"/>
        </w:rPr>
      </w:pPr>
      <w:r>
        <w:rPr>
          <w:rFonts w:hint="eastAsia" w:ascii="宋体" w:hAnsi="宋体" w:eastAsia="宋体" w:cs="宋体"/>
          <w:color w:val="000000" w:themeColor="text1"/>
          <w:sz w:val="21"/>
          <w:szCs w:val="21"/>
        </w:rPr>
        <w:t>4.1物资验收地点在甲方指定位置。物资交货时，乙方必须提</w:t>
      </w:r>
      <w:r>
        <w:rPr>
          <w:rFonts w:hint="eastAsia" w:ascii="宋体" w:hAnsi="宋体" w:eastAsia="宋体" w:cs="宋体"/>
          <w:bCs/>
          <w:color w:val="000000" w:themeColor="text1"/>
          <w:sz w:val="21"/>
          <w:szCs w:val="21"/>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4.2甲方组织验收时乙方不到场，又不及时通知甲方，甲方将自行组织进场验收，并视为乙方认同验收结果。</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4.3若物资进场经双倍取样试件不合格，发生相关的试验费用由乙方承担。</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4.4乙方执行合同所承担的任何责任不因甲方进行了物资进场验收而解除或减弱。</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4.5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4.6具体的物资计量验收方式见专用条款。</w:t>
      </w:r>
    </w:p>
    <w:p>
      <w:pPr>
        <w:spacing w:line="400" w:lineRule="exact"/>
        <w:ind w:firstLine="420" w:firstLineChars="200"/>
        <w:rPr>
          <w:rFonts w:ascii="宋体" w:hAnsi="宋体" w:eastAsia="宋体" w:cs="宋体"/>
          <w:color w:val="000000" w:themeColor="text1"/>
          <w:sz w:val="21"/>
          <w:szCs w:val="21"/>
          <w:highlight w:val="yellow"/>
        </w:rPr>
      </w:pPr>
      <w:r>
        <w:rPr>
          <w:rFonts w:hint="eastAsia" w:ascii="宋体" w:hAnsi="宋体" w:eastAsia="宋体" w:cs="宋体"/>
          <w:color w:val="000000" w:themeColor="text1"/>
          <w:sz w:val="21"/>
          <w:szCs w:val="21"/>
        </w:rPr>
        <w:t>4.7乙方对验收数量有异议时，可要求甲乙双方共同到有相关资质的第三方处复验，相关费用由过错方承担。最终结算数量以甲方物资供应计划约定范围内且实际收到的合格产品数量为准。</w:t>
      </w:r>
    </w:p>
    <w:p>
      <w:pPr>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5.包装、运输、卸货</w:t>
      </w:r>
    </w:p>
    <w:p>
      <w:pPr>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5.1物资的装车、运输、车辆返回全过程出现的安全事故或其它任何意外均由乙方承担责任。装车和运输途中的物资品质发生变化或丢失由乙方负责，由此造成的损失由乙方承担。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5.2乙方应对运输人员进行安全管理和安全教育，运输人员遵守交通法规。若运输过程中发生安全事故，责任全部由乙方承担，与甲方无任何关系。</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5.4乙方不得利用遥控等科技手段控制磅秤增加物资重量，不得进行任何形式的弄虚作假行为。一经发现，甲方将按发现作弊或弄虚作假数量占本批次运输物资百分比扣除发现作弊日前物资进场总数量对应的货款，并</w:t>
      </w:r>
      <w:r>
        <w:rPr>
          <w:rFonts w:hint="eastAsia" w:ascii="宋体" w:hAnsi="宋体" w:eastAsia="宋体" w:cs="宋体"/>
          <w:color w:val="000000" w:themeColor="text1"/>
          <w:sz w:val="21"/>
          <w:szCs w:val="21"/>
        </w:rPr>
        <w:t>交由</w:t>
      </w:r>
      <w:r>
        <w:rPr>
          <w:rFonts w:hint="eastAsia" w:ascii="宋体" w:hAnsi="宋体" w:eastAsia="宋体" w:cs="宋体"/>
          <w:sz w:val="21"/>
          <w:szCs w:val="21"/>
        </w:rPr>
        <w:t>公安机关处理。</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5.5甲方物资管理人员要为物资进场提供必要的便利，及时验收质量与数量，不得无故拖延时间、扣减物资数量。</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5.6乙方不得因双方分歧寻衅滋事，否则，甲方有权随时终止合同。</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5.7乙方必须配合甲方的</w:t>
      </w:r>
      <w:r>
        <w:rPr>
          <w:rFonts w:hint="eastAsia" w:ascii="宋体" w:hAnsi="宋体" w:eastAsia="宋体" w:cs="宋体"/>
          <w:color w:val="000000" w:themeColor="text1"/>
          <w:sz w:val="21"/>
          <w:szCs w:val="21"/>
        </w:rPr>
        <w:t>物资供应计划</w:t>
      </w:r>
      <w:r>
        <w:rPr>
          <w:rFonts w:hint="eastAsia" w:ascii="宋体" w:hAnsi="宋体" w:eastAsia="宋体" w:cs="宋体"/>
          <w:sz w:val="21"/>
          <w:szCs w:val="21"/>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6．环境﹑安全保护原则</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6.1乙方必须遵守环境﹑安全保护的法律法规。</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6.2乙方所供物资，在保证质量的同时，还应确保材质符合环境﹑安全保护要求。</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6.3乙方供货时，物资的包装必须满足环境﹑安全管理要求，并在外包装商做标志，以便于物资的验证和保管。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6.4在物资运输过程中，粉尘﹑噪声及尾气排放必须满足国家及地方的有关规定采取必要措施防止运输中发生有害物质泄漏，对周边环境造成污染。如有违反行为发生，按国家有关规定进行处理，责任由乙方承担。</w:t>
      </w:r>
    </w:p>
    <w:p>
      <w:pPr>
        <w:spacing w:line="400" w:lineRule="exact"/>
        <w:ind w:firstLine="480"/>
        <w:rPr>
          <w:rFonts w:ascii="宋体" w:hAnsi="宋体" w:eastAsia="宋体" w:cs="宋体"/>
          <w:sz w:val="21"/>
          <w:szCs w:val="21"/>
        </w:rPr>
      </w:pPr>
      <w:r>
        <w:rPr>
          <w:rFonts w:hint="eastAsia" w:ascii="宋体" w:hAnsi="宋体" w:eastAsia="宋体" w:cs="宋体"/>
          <w:sz w:val="21"/>
          <w:szCs w:val="21"/>
        </w:rPr>
        <w:t>6.5乙方进入施工现场的人员车辆必须听从甲方现场人员的统一指挥和安排、必须按甲方要求穿戴个人防护物品，做好个人防护。</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6.6当乙方违反上述条款3次以下1次以上时（含1次），甲方将向乙方提出警告；3次以上（含3次），甲方将有权终止正在执行的合同，一切后果由乙方承担。</w:t>
      </w:r>
    </w:p>
    <w:p>
      <w:pPr>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7.甲方的责任和义务</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7.1</w:t>
      </w:r>
      <w:r>
        <w:rPr>
          <w:rFonts w:hint="eastAsia" w:ascii="宋体" w:hAnsi="宋体" w:eastAsia="宋体" w:cs="宋体"/>
          <w:color w:val="000000" w:themeColor="text1"/>
          <w:sz w:val="21"/>
          <w:szCs w:val="21"/>
        </w:rPr>
        <w:t>提供物资供应计划</w:t>
      </w:r>
      <w:r>
        <w:rPr>
          <w:rFonts w:hint="eastAsia" w:ascii="宋体" w:hAnsi="宋体" w:eastAsia="宋体" w:cs="宋体"/>
          <w:sz w:val="21"/>
          <w:szCs w:val="21"/>
        </w:rPr>
        <w:t>。</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7.2对乙方运抵的物资及时验收并为乙方卸货提供必要的方便。</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7.3及时组织物资质量检测，检测合格，及时签收确认；检测不合格，甲方有权拒收,由此产生的费用全部由乙方承担。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7.4按约定支付乙方货款。</w:t>
      </w:r>
    </w:p>
    <w:p>
      <w:pPr>
        <w:tabs>
          <w:tab w:val="left" w:pos="765"/>
        </w:tabs>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8.乙方的责任和义务</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color w:val="000000" w:themeColor="text1"/>
          <w:sz w:val="21"/>
          <w:szCs w:val="21"/>
        </w:rPr>
        <w:t>8.1将物资送至规定地点，</w:t>
      </w:r>
      <w:r>
        <w:rPr>
          <w:rFonts w:hint="eastAsia" w:ascii="宋体" w:hAnsi="宋体" w:eastAsia="宋体" w:cs="宋体"/>
          <w:sz w:val="21"/>
          <w:szCs w:val="21"/>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8.2发货前应及时通知甲方，以便甲方做好接货准备。乙方不得因甲方要求延期交货而向甲方提出索赔。</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8.3向甲方提供必要的报检证明和结算证明（账户、开户行相关证件复印件及验收单等）。</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8.4供应的物资必须符合中华人民共和国国家、地方及行业最新颁布的相关标准及技术规范和甲方施工要求。</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8.5保证物资在运输过程中不受污染，做好物资运输过程中的防雨、防潮工作。</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8.6承担在供货过程中发生的交通事故、人身伤害、通讯或电力线路损害、污染物泄漏等突发事件造成的损失、罚款及其他一切责任。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8.7遵守甲方有关的规章制度，并负责己方人员及运输设备的安全。</w:t>
      </w:r>
    </w:p>
    <w:p>
      <w:pPr>
        <w:tabs>
          <w:tab w:val="left" w:pos="765"/>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8.8物资供应必须及时并保证满足甲方施工生产需要，如因乙方问题造成甲方停工待料，除不可抗力外，全部损失由乙方承担。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8.9必须按甲方提供的</w:t>
      </w:r>
      <w:r>
        <w:rPr>
          <w:rFonts w:hint="eastAsia" w:ascii="宋体" w:hAnsi="宋体" w:eastAsia="宋体" w:cs="宋体"/>
          <w:color w:val="000000" w:themeColor="text1"/>
          <w:sz w:val="21"/>
          <w:szCs w:val="21"/>
        </w:rPr>
        <w:t>物资供应计划</w:t>
      </w:r>
      <w:r>
        <w:rPr>
          <w:rFonts w:hint="eastAsia" w:ascii="宋体" w:hAnsi="宋体" w:eastAsia="宋体" w:cs="宋体"/>
          <w:sz w:val="21"/>
          <w:szCs w:val="21"/>
        </w:rPr>
        <w:t>的数量、时间供货，不得擅自改变计划内容。乙方对超出供货需求量供应的物资承担相应费用和责任，包括但不限于物资进场、退场的运输、装车、保管等。</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8.10应精心组织物资加工，参照甲方</w:t>
      </w:r>
      <w:r>
        <w:rPr>
          <w:rFonts w:hint="eastAsia" w:ascii="宋体" w:hAnsi="宋体" w:eastAsia="宋体" w:cs="宋体"/>
          <w:color w:val="000000" w:themeColor="text1"/>
          <w:sz w:val="21"/>
          <w:szCs w:val="21"/>
        </w:rPr>
        <w:t>物资供应计划</w:t>
      </w:r>
      <w:r>
        <w:rPr>
          <w:rFonts w:hint="eastAsia" w:ascii="宋体" w:hAnsi="宋体" w:eastAsia="宋体" w:cs="宋体"/>
          <w:sz w:val="21"/>
          <w:szCs w:val="21"/>
        </w:rPr>
        <w:t>，做好物资的储备工作，合理安排运输力量。如乙方不能按期完成甲方计划，应提前</w:t>
      </w:r>
      <w:r>
        <w:rPr>
          <w:rFonts w:hint="eastAsia" w:ascii="宋体" w:hAnsi="宋体" w:eastAsia="宋体" w:cs="宋体"/>
          <w:color w:val="000000" w:themeColor="text1"/>
          <w:sz w:val="21"/>
          <w:szCs w:val="21"/>
        </w:rPr>
        <w:t>5</w:t>
      </w:r>
      <w:r>
        <w:rPr>
          <w:rFonts w:hint="eastAsia" w:ascii="宋体" w:hAnsi="宋体" w:eastAsia="宋体" w:cs="宋体"/>
          <w:sz w:val="21"/>
          <w:szCs w:val="21"/>
        </w:rPr>
        <w:t>日历天向甲方说明，甲方将另行组织货源。如由于乙方原因影响甲方工程进度，甲方将扣除乙方相应货款作为违约金。</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8.11必须无条件满足合同内物资的供应，不得以生产商设备检修停产、未安排生产计划等为由在合同约定供货期内停止供货。</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8.12乙方需正确填写发票，</w:t>
      </w:r>
      <w:r>
        <w:rPr>
          <w:rFonts w:hint="eastAsia" w:ascii="宋体" w:hAnsi="宋体" w:eastAsia="宋体" w:cs="宋体"/>
          <w:color w:val="000000" w:themeColor="text1"/>
          <w:sz w:val="21"/>
          <w:szCs w:val="21"/>
        </w:rPr>
        <w:t>因乙方发票填写错误，造成甲方损失的，由乙方进行全额赔偿，并支付“问题发票”等额的违约金给甲方。</w:t>
      </w:r>
      <w:r>
        <w:rPr>
          <w:rFonts w:hint="eastAsia" w:ascii="宋体" w:hAnsi="宋体" w:eastAsia="宋体" w:cs="宋体"/>
          <w:sz w:val="21"/>
          <w:szCs w:val="21"/>
        </w:rPr>
        <w:t>乙方在申请本合同下的货款和开据发票过程中发生的各种费用由</w:t>
      </w:r>
      <w:r>
        <w:rPr>
          <w:rFonts w:hint="eastAsia" w:ascii="宋体" w:hAnsi="宋体" w:eastAsia="宋体" w:cs="宋体"/>
          <w:color w:val="000000" w:themeColor="text1"/>
          <w:sz w:val="21"/>
          <w:szCs w:val="21"/>
        </w:rPr>
        <w:t>己</w:t>
      </w:r>
      <w:r>
        <w:rPr>
          <w:rFonts w:hint="eastAsia" w:ascii="宋体" w:hAnsi="宋体" w:eastAsia="宋体" w:cs="宋体"/>
          <w:sz w:val="21"/>
          <w:szCs w:val="21"/>
        </w:rPr>
        <w:t>方承担。</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9.违约责任</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9.1以下情况乙方向甲方支付违约金，具体违约金金额在第一部分合同协议书中进行约定。此违约金在应付货款中直接扣除，情况严重时甲方有权单方终止合同。</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9.1.1乙方未按甲方物资供应计划要求供应本合同约定物资</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9.1.2乙方所供应物资检测不合格，且</w:t>
      </w:r>
      <w:r>
        <w:rPr>
          <w:rFonts w:hint="eastAsia" w:ascii="宋体" w:hAnsi="宋体" w:eastAsia="宋体" w:cs="宋体"/>
          <w:color w:val="000000" w:themeColor="text1"/>
          <w:sz w:val="21"/>
          <w:szCs w:val="21"/>
        </w:rPr>
        <w:t>48小时</w:t>
      </w:r>
      <w:r>
        <w:rPr>
          <w:rFonts w:hint="eastAsia" w:ascii="宋体" w:hAnsi="宋体" w:eastAsia="宋体" w:cs="宋体"/>
          <w:bCs/>
          <w:color w:val="000000"/>
          <w:kern w:val="0"/>
          <w:sz w:val="21"/>
          <w:szCs w:val="21"/>
        </w:rPr>
        <w:t>内未予处理的。</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9.2由于乙方原因造成甲方人员人身伤害，乙方应立即采取补救措施，并全额赔偿甲方相关人员损失。</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9.3如果由于物资质量问题，引起工程事故，导致甲方人员或财产损失的，乙方应承担相应的法律责任和经济责任，因此所导致的一切损失由乙方承担，该责任不因合同的终止而减小或解除。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20" w:firstLineChars="200"/>
        <w:jc w:val="left"/>
        <w:rPr>
          <w:rFonts w:ascii="宋体" w:hAnsi="宋体" w:eastAsia="宋体" w:cs="宋体"/>
          <w:b/>
          <w:sz w:val="21"/>
          <w:szCs w:val="21"/>
        </w:rPr>
      </w:pPr>
      <w:r>
        <w:rPr>
          <w:rFonts w:hint="eastAsia" w:ascii="宋体" w:hAnsi="宋体" w:eastAsia="宋体" w:cs="宋体"/>
          <w:sz w:val="21"/>
          <w:szCs w:val="21"/>
        </w:rPr>
        <w:t>9.5乙方收到甲方的索赔通知后10日历天内不作出书面答复，视为乙方同意甲方提出的一切索赔要求。</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9.7如发生以下任何一种情况履约保证金不予退还：</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9.7.1无法正常供货的情况，包括任何原因的不供货或连续5日历天未能按甲方要求的数量供货。</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9.7.2供应的物资不符合国家、甲方、业主和监理相关标准和要求，且在规定时间内不予调换、处理的情况。</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9.7.3不服从甲方管理的。</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9.7.4因乙方原因给甲方造成损失的。</w:t>
      </w:r>
    </w:p>
    <w:p>
      <w:pPr>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10.通知</w:t>
      </w:r>
    </w:p>
    <w:p>
      <w:pPr>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10.1根据本合同需要发出的双方的往来文件及与本合同有关的通知和要求等，可以选择通过传真、电子邮件、邮寄、当面送交等方式传递。以上方式无法送达的，方可采取公告送达的方式。</w:t>
      </w:r>
    </w:p>
    <w:p>
      <w:pPr>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11.争议的处理</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本合同发生的有关争议应通过友好协商解决，经协商未能达成协议时，双方约定向甲方住所地有管辖权的人民法院提起诉讼。</w:t>
      </w:r>
    </w:p>
    <w:p>
      <w:pPr>
        <w:tabs>
          <w:tab w:val="left" w:pos="810"/>
        </w:tabs>
        <w:spacing w:line="40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 xml:space="preserve">12.不可抗力 </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13.其他约定事项</w:t>
      </w:r>
    </w:p>
    <w:p>
      <w:pPr>
        <w:widowControl/>
        <w:spacing w:line="36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13.1本合同未尽事宜，双方另行协商并签订补充协议。</w:t>
      </w:r>
      <w:r>
        <w:rPr>
          <w:rFonts w:hint="eastAsia" w:ascii="宋体" w:hAnsi="宋体" w:eastAsia="宋体" w:cs="宋体"/>
          <w:color w:val="000000" w:themeColor="text1"/>
          <w:sz w:val="21"/>
          <w:szCs w:val="21"/>
        </w:rPr>
        <w:t>当乙方所供物资超出原合同价款的10%时，甲乙双方必须签订补充协议。</w:t>
      </w:r>
      <w:r>
        <w:rPr>
          <w:rFonts w:hint="eastAsia" w:ascii="宋体" w:hAnsi="宋体" w:eastAsia="宋体" w:cs="宋体"/>
          <w:sz w:val="21"/>
          <w:szCs w:val="21"/>
        </w:rPr>
        <w:t>补充协议作为本合同附件，与本合同具有同等法律效力。</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13.2因工程建设单位、监理单位及相关部门出台的相关规定文件、市场准入制度造成合同不能执行，甲方不承担任何责任。</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sz w:val="21"/>
          <w:szCs w:val="21"/>
        </w:rPr>
        <w:t>13.3</w:t>
      </w:r>
      <w:r>
        <w:rPr>
          <w:rFonts w:hint="eastAsia" w:ascii="宋体" w:hAnsi="宋体" w:eastAsia="宋体" w:cs="宋体"/>
          <w:color w:val="000000" w:themeColor="text1"/>
          <w:sz w:val="21"/>
          <w:szCs w:val="21"/>
        </w:rPr>
        <w:t>本合同自双方签字盖章之日起生效。</w:t>
      </w:r>
    </w:p>
    <w:p>
      <w:pPr>
        <w:spacing w:line="360" w:lineRule="exact"/>
        <w:ind w:firstLine="411" w:firstLineChars="195"/>
        <w:jc w:val="left"/>
        <w:rPr>
          <w:rFonts w:ascii="宋体" w:hAnsi="宋体" w:eastAsia="宋体" w:cs="宋体"/>
          <w:b/>
          <w:sz w:val="21"/>
          <w:szCs w:val="21"/>
        </w:rPr>
      </w:pPr>
      <w:r>
        <w:rPr>
          <w:rFonts w:hint="eastAsia" w:ascii="宋体" w:hAnsi="宋体" w:eastAsia="宋体" w:cs="宋体"/>
          <w:b/>
          <w:sz w:val="21"/>
          <w:szCs w:val="21"/>
        </w:rPr>
        <w:t>14.附件</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附件：分供廉政合同</w:t>
      </w:r>
    </w:p>
    <w:p>
      <w:pPr>
        <w:spacing w:line="360" w:lineRule="exact"/>
        <w:jc w:val="center"/>
        <w:rPr>
          <w:rFonts w:ascii="宋体" w:hAnsi="宋体"/>
          <w:b/>
          <w:sz w:val="30"/>
          <w:szCs w:val="30"/>
        </w:rPr>
      </w:pPr>
    </w:p>
    <w:p>
      <w:pPr>
        <w:spacing w:line="400" w:lineRule="exact"/>
        <w:ind w:firstLine="420" w:firstLineChars="200"/>
        <w:rPr>
          <w:rFonts w:ascii="宋体" w:hAnsi="宋体" w:eastAsia="宋体"/>
          <w:color w:val="000000" w:themeColor="text1"/>
          <w:sz w:val="21"/>
          <w:szCs w:val="21"/>
        </w:rPr>
      </w:pPr>
    </w:p>
    <w:p>
      <w:pPr>
        <w:widowControl/>
        <w:jc w:val="left"/>
        <w:rPr>
          <w:rFonts w:ascii="宋体" w:hAnsi="宋体" w:eastAsia="宋体" w:cs="Times New Roman"/>
          <w:b/>
          <w:sz w:val="30"/>
          <w:szCs w:val="30"/>
        </w:rPr>
      </w:pPr>
      <w:r>
        <w:rPr>
          <w:rFonts w:ascii="宋体" w:hAnsi="宋体" w:eastAsia="宋体" w:cs="Times New Roman"/>
          <w:b/>
          <w:sz w:val="30"/>
          <w:szCs w:val="30"/>
        </w:rPr>
        <w:br w:type="page"/>
      </w:r>
    </w:p>
    <w:p>
      <w:pPr>
        <w:spacing w:beforeLines="80" w:line="360" w:lineRule="exact"/>
        <w:jc w:val="center"/>
        <w:rPr>
          <w:rFonts w:ascii="宋体" w:hAnsi="宋体" w:eastAsia="宋体" w:cs="Times New Roman"/>
          <w:b/>
          <w:sz w:val="30"/>
          <w:szCs w:val="30"/>
        </w:rPr>
      </w:pPr>
      <w:r>
        <w:rPr>
          <w:rFonts w:hint="eastAsia" w:ascii="宋体" w:hAnsi="宋体" w:eastAsia="宋体" w:cs="Times New Roman"/>
          <w:b/>
          <w:sz w:val="30"/>
          <w:szCs w:val="30"/>
        </w:rPr>
        <w:t>第三部分 专用合同条款</w:t>
      </w:r>
    </w:p>
    <w:p>
      <w:pPr>
        <w:tabs>
          <w:tab w:val="left" w:pos="425"/>
        </w:tabs>
        <w:spacing w:line="360" w:lineRule="auto"/>
        <w:ind w:left="420"/>
        <w:jc w:val="left"/>
        <w:rPr>
          <w:rFonts w:ascii="宋体" w:hAnsi="宋体" w:eastAsia="宋体"/>
          <w:b/>
          <w:sz w:val="21"/>
          <w:szCs w:val="21"/>
        </w:rPr>
      </w:pPr>
      <w:r>
        <w:rPr>
          <w:rFonts w:hint="eastAsia" w:ascii="宋体" w:hAnsi="宋体" w:eastAsia="宋体"/>
          <w:b/>
          <w:sz w:val="21"/>
          <w:szCs w:val="21"/>
        </w:rPr>
        <w:t>1.适用法律法规</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需要明示其他的法律、行政法规</w:t>
      </w:r>
    </w:p>
    <w:p>
      <w:pPr>
        <w:tabs>
          <w:tab w:val="left" w:pos="425"/>
        </w:tabs>
        <w:spacing w:line="360" w:lineRule="auto"/>
        <w:ind w:left="480" w:leftChars="200"/>
        <w:jc w:val="left"/>
        <w:rPr>
          <w:rFonts w:ascii="宋体" w:hAnsi="宋体" w:eastAsia="宋体"/>
          <w:b/>
          <w:sz w:val="21"/>
          <w:szCs w:val="21"/>
        </w:rPr>
      </w:pPr>
      <w:r>
        <w:rPr>
          <w:rFonts w:hint="eastAsia" w:ascii="宋体" w:hAnsi="宋体" w:eastAsia="宋体"/>
          <w:b/>
          <w:sz w:val="21"/>
          <w:szCs w:val="21"/>
        </w:rPr>
        <w:t>2.合同文件组成及解释顺序</w:t>
      </w:r>
    </w:p>
    <w:p>
      <w:pPr>
        <w:spacing w:line="360" w:lineRule="auto"/>
        <w:ind w:firstLine="420" w:firstLineChars="200"/>
        <w:rPr>
          <w:rFonts w:ascii="宋体" w:hAnsi="宋体" w:eastAsia="宋体"/>
          <w:color w:val="000000" w:themeColor="text1"/>
          <w:sz w:val="21"/>
          <w:szCs w:val="21"/>
        </w:rPr>
      </w:pPr>
      <w:r>
        <w:rPr>
          <w:rFonts w:hint="eastAsia" w:ascii="宋体" w:hAnsi="宋体" w:eastAsia="宋体"/>
          <w:sz w:val="21"/>
          <w:szCs w:val="21"/>
          <w:u w:val="single"/>
        </w:rPr>
        <w:t>见通用合同条款。</w:t>
      </w:r>
    </w:p>
    <w:p>
      <w:pPr>
        <w:spacing w:line="360" w:lineRule="auto"/>
        <w:ind w:firstLine="422" w:firstLineChars="200"/>
        <w:rPr>
          <w:rFonts w:ascii="宋体" w:hAnsi="宋体" w:eastAsia="宋体"/>
          <w:b/>
          <w:sz w:val="21"/>
          <w:szCs w:val="21"/>
        </w:rPr>
      </w:pPr>
      <w:r>
        <w:rPr>
          <w:rFonts w:ascii="宋体" w:hAnsi="宋体" w:eastAsia="宋体"/>
          <w:b/>
          <w:sz w:val="21"/>
          <w:szCs w:val="21"/>
        </w:rPr>
        <w:t>3.</w:t>
      </w:r>
      <w:r>
        <w:rPr>
          <w:rFonts w:hint="eastAsia" w:ascii="宋体" w:hAnsi="宋体" w:eastAsia="宋体"/>
          <w:b/>
          <w:sz w:val="21"/>
          <w:szCs w:val="21"/>
        </w:rPr>
        <w:t>质量要求及技术标准</w:t>
      </w:r>
    </w:p>
    <w:p>
      <w:pPr>
        <w:pStyle w:val="10"/>
        <w:spacing w:beforeLines="50" w:after="120" w:line="360" w:lineRule="auto"/>
        <w:ind w:firstLine="407" w:firstLineChars="194"/>
        <w:rPr>
          <w:rFonts w:ascii="仿宋_GB2312" w:hAnsi="宋体" w:eastAsia="仿宋_GB2312"/>
          <w:kern w:val="2"/>
        </w:rPr>
      </w:pPr>
      <w:r>
        <w:rPr>
          <w:rFonts w:hint="eastAsia"/>
        </w:rPr>
        <w:t>3.3条款修改为：</w:t>
      </w:r>
    </w:p>
    <w:p>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0#柴油质量技术要求：</w:t>
      </w:r>
    </w:p>
    <w:tbl>
      <w:tblPr>
        <w:tblStyle w:val="36"/>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4"/>
        <w:gridCol w:w="648"/>
        <w:gridCol w:w="12"/>
        <w:gridCol w:w="636"/>
        <w:gridCol w:w="84"/>
        <w:gridCol w:w="564"/>
        <w:gridCol w:w="6"/>
        <w:gridCol w:w="270"/>
        <w:gridCol w:w="368"/>
        <w:gridCol w:w="472"/>
        <w:gridCol w:w="84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vMerge w:val="restart"/>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项目</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质量指标</w:t>
            </w:r>
          </w:p>
        </w:tc>
        <w:tc>
          <w:tcPr>
            <w:tcW w:w="1483" w:type="dxa"/>
            <w:vMerge w:val="restart"/>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vMerge w:val="continue"/>
            <w:noWrap w:val="0"/>
            <w:vAlign w:val="top"/>
          </w:tcPr>
          <w:p>
            <w:pPr>
              <w:widowControl w:val="0"/>
              <w:jc w:val="center"/>
              <w:rPr>
                <w:rFonts w:hint="eastAsia" w:ascii="仿宋_GB2312" w:hAnsi="宋体" w:eastAsia="仿宋_GB2312" w:cs="宋体"/>
                <w:kern w:val="2"/>
                <w:sz w:val="21"/>
                <w:szCs w:val="21"/>
                <w:lang w:val="en-US" w:eastAsia="zh-CN" w:bidi="ar-SA"/>
              </w:rPr>
            </w:pPr>
          </w:p>
        </w:tc>
        <w:tc>
          <w:tcPr>
            <w:tcW w:w="660"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5号</w:t>
            </w:r>
          </w:p>
        </w:tc>
        <w:tc>
          <w:tcPr>
            <w:tcW w:w="720"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0号</w:t>
            </w:r>
          </w:p>
        </w:tc>
        <w:tc>
          <w:tcPr>
            <w:tcW w:w="840" w:type="dxa"/>
            <w:gridSpan w:val="3"/>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-10号</w:t>
            </w:r>
          </w:p>
        </w:tc>
        <w:tc>
          <w:tcPr>
            <w:tcW w:w="840"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-20号</w:t>
            </w:r>
          </w:p>
        </w:tc>
        <w:tc>
          <w:tcPr>
            <w:tcW w:w="840"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-35号</w:t>
            </w:r>
          </w:p>
        </w:tc>
        <w:tc>
          <w:tcPr>
            <w:tcW w:w="1483" w:type="dxa"/>
            <w:vMerge w:val="continue"/>
            <w:noWrap w:val="0"/>
            <w:vAlign w:val="top"/>
          </w:tcPr>
          <w:p>
            <w:pPr>
              <w:widowControl w:val="0"/>
              <w:jc w:val="center"/>
              <w:rPr>
                <w:rFonts w:hint="eastAsia" w:ascii="仿宋_GB2312" w:hAnsi="宋体" w:eastAsia="仿宋_GB2312"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色度号不大于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3.5</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氧化安定性，总不溶物mg/100ml不大于</w:t>
            </w:r>
          </w:p>
        </w:tc>
        <w:tc>
          <w:tcPr>
            <w:tcW w:w="3900" w:type="dxa"/>
            <w:gridSpan w:val="10"/>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2.5</w:t>
            </w:r>
          </w:p>
        </w:tc>
        <w:tc>
          <w:tcPr>
            <w:tcW w:w="1483" w:type="dxa"/>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SH/T 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硫含量，%（质量分数）   不大于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0.005</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酸度，mgKOH/100ml       不大于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7</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10%蒸余物残碳，%（质量分数）</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0.3</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灰分，%（质量分数）     不大于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0.01</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铜片腐蚀（50℃，3h）级  不大于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水分，%（体积分数）     不大于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痕迹</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机械杂质</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无</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运动粘度（20℃）m·m²/s</w:t>
            </w:r>
          </w:p>
        </w:tc>
        <w:tc>
          <w:tcPr>
            <w:tcW w:w="1296" w:type="dxa"/>
            <w:gridSpan w:val="3"/>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3.0~8.0</w:t>
            </w:r>
          </w:p>
        </w:tc>
        <w:tc>
          <w:tcPr>
            <w:tcW w:w="1292" w:type="dxa"/>
            <w:gridSpan w:val="5"/>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2.5~8.0</w:t>
            </w:r>
          </w:p>
        </w:tc>
        <w:tc>
          <w:tcPr>
            <w:tcW w:w="1312"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1.8~7.0</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凝点，℃                不高于</w:t>
            </w:r>
          </w:p>
        </w:tc>
        <w:tc>
          <w:tcPr>
            <w:tcW w:w="648"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5</w:t>
            </w:r>
          </w:p>
        </w:tc>
        <w:tc>
          <w:tcPr>
            <w:tcW w:w="648"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0</w:t>
            </w:r>
          </w:p>
        </w:tc>
        <w:tc>
          <w:tcPr>
            <w:tcW w:w="648"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-10</w:t>
            </w:r>
          </w:p>
        </w:tc>
        <w:tc>
          <w:tcPr>
            <w:tcW w:w="644" w:type="dxa"/>
            <w:gridSpan w:val="3"/>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-20</w:t>
            </w:r>
          </w:p>
        </w:tc>
        <w:tc>
          <w:tcPr>
            <w:tcW w:w="1312"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-35</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冷滤点，℃              不高于</w:t>
            </w:r>
          </w:p>
        </w:tc>
        <w:tc>
          <w:tcPr>
            <w:tcW w:w="648"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8</w:t>
            </w:r>
          </w:p>
        </w:tc>
        <w:tc>
          <w:tcPr>
            <w:tcW w:w="648"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w:t>
            </w:r>
          </w:p>
        </w:tc>
        <w:tc>
          <w:tcPr>
            <w:tcW w:w="648"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-5</w:t>
            </w:r>
          </w:p>
        </w:tc>
        <w:tc>
          <w:tcPr>
            <w:tcW w:w="644" w:type="dxa"/>
            <w:gridSpan w:val="3"/>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-14</w:t>
            </w:r>
          </w:p>
        </w:tc>
        <w:tc>
          <w:tcPr>
            <w:tcW w:w="1312" w:type="dxa"/>
            <w:gridSpan w:val="2"/>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-29</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tabs>
                <w:tab w:val="center" w:pos="1644"/>
              </w:tabs>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闪点（闭口）</w:t>
            </w:r>
            <w:r>
              <w:rPr>
                <w:rFonts w:hint="eastAsia" w:ascii="仿宋_GB2312" w:hAnsi="宋体" w:eastAsia="仿宋_GB2312" w:cs="宋体"/>
                <w:kern w:val="2"/>
                <w:sz w:val="21"/>
                <w:szCs w:val="21"/>
                <w:lang w:val="en-US" w:eastAsia="zh-CN" w:bidi="ar-SA"/>
              </w:rPr>
              <w:tab/>
            </w:r>
            <w:r>
              <w:rPr>
                <w:rFonts w:hint="eastAsia" w:ascii="仿宋_GB2312" w:hAnsi="宋体" w:eastAsia="仿宋_GB2312" w:cs="宋体"/>
                <w:kern w:val="2"/>
                <w:sz w:val="21"/>
                <w:szCs w:val="21"/>
                <w:lang w:val="en-US" w:eastAsia="zh-CN" w:bidi="ar-SA"/>
              </w:rPr>
              <w:t xml:space="preserve">            不低于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55</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504" w:type="dxa"/>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十六烷值           不小于</w:t>
            </w:r>
          </w:p>
        </w:tc>
        <w:tc>
          <w:tcPr>
            <w:tcW w:w="1944" w:type="dxa"/>
            <w:gridSpan w:val="5"/>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51</w:t>
            </w:r>
          </w:p>
        </w:tc>
        <w:tc>
          <w:tcPr>
            <w:tcW w:w="644" w:type="dxa"/>
            <w:gridSpan w:val="3"/>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49</w:t>
            </w:r>
          </w:p>
        </w:tc>
        <w:tc>
          <w:tcPr>
            <w:tcW w:w="1312" w:type="dxa"/>
            <w:gridSpan w:val="2"/>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47</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386</w:t>
            </w:r>
          </w:p>
          <w:p>
            <w:pPr>
              <w:pStyle w:val="2"/>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ASTMD6890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04" w:type="dxa"/>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十六烷指数         不小于</w:t>
            </w:r>
          </w:p>
        </w:tc>
        <w:tc>
          <w:tcPr>
            <w:tcW w:w="1944" w:type="dxa"/>
            <w:gridSpan w:val="5"/>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46</w:t>
            </w:r>
          </w:p>
        </w:tc>
        <w:tc>
          <w:tcPr>
            <w:tcW w:w="644" w:type="dxa"/>
            <w:gridSpan w:val="3"/>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46</w:t>
            </w:r>
          </w:p>
        </w:tc>
        <w:tc>
          <w:tcPr>
            <w:tcW w:w="1312" w:type="dxa"/>
            <w:gridSpan w:val="2"/>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46</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11139</w:t>
            </w:r>
          </w:p>
          <w:p>
            <w:pPr>
              <w:pStyle w:val="2"/>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SH/T 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馏程</w:t>
            </w:r>
          </w:p>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50%馏出温度，℃         不高于</w:t>
            </w:r>
          </w:p>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90%馏出温度，℃         不高于</w:t>
            </w:r>
          </w:p>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95%馏出温度，℃         不高于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p>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300</w:t>
            </w:r>
          </w:p>
          <w:p>
            <w:pPr>
              <w:pStyle w:val="2"/>
              <w:widowControl w:val="0"/>
              <w:spacing w:line="240" w:lineRule="exact"/>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355</w:t>
            </w:r>
          </w:p>
          <w:p>
            <w:pPr>
              <w:pStyle w:val="2"/>
              <w:widowControl w:val="0"/>
              <w:spacing w:line="240" w:lineRule="exact"/>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365</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p>
          <w:p>
            <w:pPr>
              <w:pStyle w:val="2"/>
              <w:widowControl w:val="0"/>
              <w:jc w:val="center"/>
              <w:rPr>
                <w:rFonts w:hint="eastAsia" w:ascii="仿宋_GB2312" w:hAnsi="宋体" w:eastAsia="仿宋_GB2312" w:cs="宋体"/>
                <w:kern w:val="2"/>
                <w:sz w:val="21"/>
                <w:szCs w:val="21"/>
                <w:lang w:val="en-US" w:eastAsia="zh-CN" w:bidi="ar-SA"/>
              </w:rPr>
            </w:pPr>
          </w:p>
          <w:p>
            <w:pPr>
              <w:pStyle w:val="3"/>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6536</w:t>
            </w:r>
          </w:p>
          <w:p>
            <w:pPr>
              <w:pStyle w:val="2"/>
              <w:widowControl w:val="0"/>
              <w:jc w:val="center"/>
              <w:rPr>
                <w:rFonts w:hint="eastAsia" w:ascii="仿宋_GB2312" w:hAnsi="宋体" w:eastAsia="仿宋_GB2312"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多环芳烃%（质量分数）   不高于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11</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SH/T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润滑性 磨斑直径um       不高于</w:t>
            </w:r>
          </w:p>
        </w:tc>
        <w:tc>
          <w:tcPr>
            <w:tcW w:w="3900" w:type="dxa"/>
            <w:gridSpan w:val="10"/>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460</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SH/T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504" w:type="dxa"/>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密度（20℃）           kg/m³</w:t>
            </w:r>
          </w:p>
        </w:tc>
        <w:tc>
          <w:tcPr>
            <w:tcW w:w="1950" w:type="dxa"/>
            <w:gridSpan w:val="6"/>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820~845</w:t>
            </w:r>
          </w:p>
        </w:tc>
        <w:tc>
          <w:tcPr>
            <w:tcW w:w="1950" w:type="dxa"/>
            <w:gridSpan w:val="4"/>
            <w:noWrap w:val="0"/>
            <w:vAlign w:val="center"/>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800~840</w:t>
            </w:r>
          </w:p>
        </w:tc>
        <w:tc>
          <w:tcPr>
            <w:tcW w:w="1483" w:type="dxa"/>
            <w:noWrap w:val="0"/>
            <w:vAlign w:val="top"/>
          </w:tcPr>
          <w:p>
            <w:pPr>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1884</w:t>
            </w:r>
          </w:p>
          <w:p>
            <w:pPr>
              <w:pStyle w:val="2"/>
              <w:widowControl w:val="0"/>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GB/T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8887" w:type="dxa"/>
            <w:gridSpan w:val="12"/>
            <w:noWrap w:val="0"/>
            <w:vAlign w:val="top"/>
          </w:tcPr>
          <w:p>
            <w:pPr>
              <w:widowControl w:val="0"/>
              <w:numPr>
                <w:ilvl w:val="0"/>
                <w:numId w:val="1"/>
              </w:numPr>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为保证质量，每月必须检测一次，在原有性质变化，加工工艺条件改变，调合比例变化及检修开工后等情况下应及时检验。</w:t>
            </w:r>
          </w:p>
          <w:p>
            <w:pPr>
              <w:pStyle w:val="2"/>
              <w:widowControl w:val="0"/>
              <w:numPr>
                <w:ilvl w:val="0"/>
                <w:numId w:val="1"/>
              </w:numPr>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可用GB/T11131、GB/T11140、ASTM D7039方法测定，结果有争议时，以SH/T0689为准。</w:t>
            </w:r>
          </w:p>
          <w:p>
            <w:pPr>
              <w:pStyle w:val="3"/>
              <w:numPr>
                <w:ilvl w:val="0"/>
                <w:numId w:val="1"/>
              </w:numPr>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若柴油中含有硝酸酯型十六烷值改进剂，10%蒸余物残炭的测定，必须用不加硝酸脂的基础燃料就行，柴油中是否加有硝酸脂型十六烷值改进剂的检验方法见附录A，可用GB/T17144方法测定。结果有争议时以GB/T268方法为准。</w:t>
            </w:r>
          </w:p>
          <w:p>
            <w:pPr>
              <w:pStyle w:val="3"/>
              <w:numPr>
                <w:ilvl w:val="0"/>
                <w:numId w:val="1"/>
              </w:numPr>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可用目测法，即将试样注入100ml玻璃量筒中，在室温（20±5℃）下观察，应当透明，没有悬浮和沉降的水分及机械杂质。结果有争议时，按GB/T511测定。</w:t>
            </w:r>
          </w:p>
          <w:p>
            <w:pPr>
              <w:pStyle w:val="3"/>
              <w:numPr>
                <w:ilvl w:val="0"/>
                <w:numId w:val="1"/>
              </w:numPr>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结果有争议时，以GB/T386为准。</w:t>
            </w:r>
          </w:p>
        </w:tc>
      </w:tr>
    </w:tbl>
    <w:p>
      <w:pPr>
        <w:spacing w:line="360" w:lineRule="auto"/>
        <w:ind w:firstLine="420" w:firstLineChars="200"/>
        <w:rPr>
          <w:rFonts w:hint="eastAsia" w:ascii="宋体" w:hAnsi="宋体" w:eastAsia="宋体"/>
          <w:sz w:val="21"/>
          <w:szCs w:val="21"/>
        </w:rPr>
      </w:pPr>
    </w:p>
    <w:p>
      <w:pPr>
        <w:pStyle w:val="10"/>
        <w:spacing w:beforeLines="50" w:after="120" w:line="360" w:lineRule="auto"/>
        <w:ind w:firstLine="407" w:firstLineChars="194"/>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增加以下条款：</w:t>
      </w:r>
    </w:p>
    <w:p>
      <w:pPr>
        <w:pStyle w:val="10"/>
        <w:spacing w:beforeLines="50" w:after="120" w:line="360" w:lineRule="auto"/>
        <w:ind w:firstLine="407" w:firstLineChars="194"/>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3.4质量保证：严格按国家标准，行业规范，要求交货。</w:t>
      </w:r>
    </w:p>
    <w:p>
      <w:pPr>
        <w:pStyle w:val="10"/>
        <w:spacing w:beforeLines="50" w:after="120" w:line="360" w:lineRule="auto"/>
        <w:ind w:firstLine="407" w:firstLineChars="194"/>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u w:val="single"/>
          <w:lang w:val="en-US" w:eastAsia="zh-CN" w:bidi="ar-SA"/>
        </w:rPr>
        <w:t>其他见通用合同条款</w:t>
      </w:r>
      <w:r>
        <w:rPr>
          <w:rFonts w:hint="eastAsia" w:ascii="宋体" w:hAnsi="宋体" w:eastAsia="宋体" w:cs="宋体"/>
          <w:color w:val="000000" w:themeColor="text1"/>
          <w:kern w:val="2"/>
          <w:sz w:val="21"/>
          <w:szCs w:val="21"/>
          <w:lang w:val="en-US" w:eastAsia="zh-CN" w:bidi="ar-SA"/>
        </w:rPr>
        <w:t>。</w:t>
      </w:r>
    </w:p>
    <w:p>
      <w:pPr>
        <w:spacing w:line="360" w:lineRule="auto"/>
        <w:ind w:firstLine="422" w:firstLineChars="200"/>
        <w:rPr>
          <w:rFonts w:ascii="宋体" w:hAnsi="宋体" w:eastAsia="宋体"/>
          <w:b/>
          <w:sz w:val="21"/>
          <w:szCs w:val="21"/>
        </w:rPr>
      </w:pPr>
      <w:r>
        <w:rPr>
          <w:rFonts w:ascii="宋体" w:hAnsi="宋体" w:eastAsia="宋体"/>
          <w:b/>
          <w:sz w:val="21"/>
          <w:szCs w:val="21"/>
        </w:rPr>
        <w:t>4.</w:t>
      </w:r>
      <w:r>
        <w:rPr>
          <w:rFonts w:hint="eastAsia" w:ascii="宋体" w:hAnsi="宋体" w:eastAsia="宋体"/>
          <w:b/>
          <w:sz w:val="21"/>
          <w:szCs w:val="21"/>
        </w:rPr>
        <w:t>物资计量验收方式</w:t>
      </w:r>
    </w:p>
    <w:p>
      <w:pPr>
        <w:widowControl/>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rPr>
        <w:t>4.4条款修改为：乙方执行合同所承担的任何责任不因甲方进行了物资进场验收而解除或减弱，若乙方提供的产品确实存在质量问题，乙方不得以货物已经验收、签收、使用及其他原因为由进行抗辩免责，对于甲方的损失应承担全部责任，乙方对所供应产品质量终身负责。</w:t>
      </w:r>
    </w:p>
    <w:p>
      <w:pPr>
        <w:spacing w:line="400" w:lineRule="exact"/>
        <w:ind w:firstLine="420" w:firstLineChars="200"/>
        <w:rPr>
          <w:rFonts w:hint="default" w:eastAsia="宋体"/>
          <w:lang w:val="en-US" w:eastAsia="zh-CN"/>
        </w:rPr>
      </w:pPr>
      <w:r>
        <w:rPr>
          <w:rFonts w:hint="eastAsia" w:ascii="宋体" w:hAnsi="宋体"/>
          <w:sz w:val="21"/>
          <w:szCs w:val="21"/>
          <w:lang w:val="en-US" w:eastAsia="zh-CN"/>
        </w:rPr>
        <w:t>4.5条款修改为：</w:t>
      </w:r>
      <w:r>
        <w:rPr>
          <w:rFonts w:hint="eastAsia" w:ascii="宋体" w:hAnsi="宋体" w:eastAsia="宋体" w:cs="宋体"/>
          <w:color w:val="000000" w:themeColor="text1"/>
          <w:sz w:val="21"/>
          <w:szCs w:val="21"/>
        </w:rPr>
        <w:t>甲方管理人员和乙方人员双方在</w:t>
      </w:r>
      <w:r>
        <w:rPr>
          <w:rFonts w:hint="eastAsia" w:ascii="宋体" w:hAnsi="宋体" w:eastAsia="宋体" w:cs="宋体"/>
          <w:color w:val="000000" w:themeColor="text1"/>
          <w:sz w:val="21"/>
          <w:szCs w:val="21"/>
          <w:lang w:val="en-US" w:eastAsia="zh-CN"/>
        </w:rPr>
        <w:t>过磅单</w:t>
      </w:r>
      <w:r>
        <w:rPr>
          <w:rFonts w:hint="eastAsia" w:ascii="宋体" w:hAnsi="宋体" w:eastAsia="宋体" w:cs="宋体"/>
          <w:color w:val="000000" w:themeColor="text1"/>
          <w:sz w:val="21"/>
          <w:szCs w:val="21"/>
        </w:rPr>
        <w:t>签字确认。待结算时，乙方携</w:t>
      </w:r>
      <w:r>
        <w:rPr>
          <w:rFonts w:hint="eastAsia" w:ascii="宋体" w:hAnsi="宋体" w:eastAsia="宋体" w:cs="宋体"/>
          <w:color w:val="000000" w:themeColor="text1"/>
          <w:sz w:val="21"/>
          <w:szCs w:val="21"/>
          <w:lang w:val="en-US" w:eastAsia="zh-CN"/>
        </w:rPr>
        <w:t>过磅单</w:t>
      </w:r>
      <w:r>
        <w:rPr>
          <w:rFonts w:hint="eastAsia" w:ascii="宋体" w:hAnsi="宋体" w:eastAsia="宋体" w:cs="宋体"/>
          <w:color w:val="000000" w:themeColor="text1"/>
          <w:sz w:val="21"/>
          <w:szCs w:val="21"/>
        </w:rPr>
        <w:t>与甲方结算</w:t>
      </w:r>
      <w:r>
        <w:rPr>
          <w:rFonts w:hint="eastAsia" w:ascii="宋体" w:hAnsi="宋体" w:eastAsia="宋体" w:cs="宋体"/>
          <w:color w:val="000000" w:themeColor="text1"/>
          <w:sz w:val="21"/>
          <w:szCs w:val="21"/>
          <w:lang w:eastAsia="zh-CN"/>
        </w:rPr>
        <w:t>。</w:t>
      </w:r>
    </w:p>
    <w:p>
      <w:pPr>
        <w:widowControl/>
        <w:spacing w:line="360" w:lineRule="auto"/>
        <w:ind w:firstLine="420" w:firstLineChars="200"/>
        <w:jc w:val="left"/>
        <w:rPr>
          <w:rFonts w:ascii="宋体" w:hAnsi="宋体" w:eastAsia="宋体"/>
          <w:sz w:val="21"/>
          <w:szCs w:val="21"/>
        </w:rPr>
      </w:pPr>
      <w:r>
        <w:rPr>
          <w:rFonts w:hint="eastAsia" w:ascii="宋体" w:hAnsi="宋体" w:eastAsia="宋体" w:cs="宋体"/>
          <w:sz w:val="21"/>
          <w:szCs w:val="21"/>
        </w:rPr>
        <w:t>4.6条款修改为：</w:t>
      </w:r>
    </w:p>
    <w:p>
      <w:pPr>
        <w:spacing w:line="360" w:lineRule="auto"/>
        <w:ind w:firstLine="420" w:firstLineChars="200"/>
        <w:rPr>
          <w:rFonts w:hint="eastAsia" w:ascii="宋体" w:hAnsi="宋体" w:eastAsia="宋体"/>
          <w:sz w:val="21"/>
          <w:szCs w:val="21"/>
        </w:rPr>
      </w:pPr>
      <w:r>
        <w:rPr>
          <w:rFonts w:hint="eastAsia" w:ascii="宋体" w:hAnsi="宋体" w:eastAsia="宋体"/>
          <w:color w:val="000000" w:themeColor="text1"/>
          <w:sz w:val="21"/>
          <w:szCs w:val="21"/>
        </w:rPr>
        <w:t>4.6.1</w:t>
      </w:r>
      <w:r>
        <w:rPr>
          <w:rFonts w:hint="eastAsia" w:ascii="宋体" w:hAnsi="宋体" w:eastAsia="宋体"/>
          <w:color w:val="000000" w:themeColor="text1"/>
          <w:sz w:val="21"/>
          <w:szCs w:val="21"/>
          <w:lang w:val="en-US" w:eastAsia="zh-CN"/>
        </w:rPr>
        <w:t>乙方所配备的</w:t>
      </w:r>
      <w:r>
        <w:rPr>
          <w:rFonts w:hint="eastAsia" w:ascii="宋体" w:hAnsi="宋体" w:eastAsia="宋体"/>
          <w:sz w:val="21"/>
          <w:szCs w:val="21"/>
          <w:lang w:val="en-US" w:eastAsia="zh-CN"/>
        </w:rPr>
        <w:t>地磅实际数量计量，计量单位为吨。</w:t>
      </w:r>
    </w:p>
    <w:p>
      <w:pPr>
        <w:widowControl/>
        <w:spacing w:line="360" w:lineRule="auto"/>
        <w:ind w:firstLine="420" w:firstLineChars="200"/>
        <w:jc w:val="left"/>
        <w:rPr>
          <w:rFonts w:ascii="宋体" w:hAnsi="宋体" w:eastAsia="宋体"/>
          <w:sz w:val="21"/>
          <w:szCs w:val="21"/>
        </w:rPr>
      </w:pPr>
      <w:r>
        <w:rPr>
          <w:rFonts w:hint="eastAsia" w:ascii="宋体" w:hAnsi="宋体" w:eastAsia="宋体"/>
          <w:sz w:val="21"/>
          <w:szCs w:val="21"/>
        </w:rPr>
        <w:t>4.6.2计量规则：约定物资数量为暂定数量，最终结算数量以</w:t>
      </w:r>
      <w:r>
        <w:rPr>
          <w:rFonts w:hint="eastAsia" w:ascii="宋体" w:hAnsi="宋体" w:eastAsia="宋体"/>
          <w:sz w:val="21"/>
          <w:szCs w:val="21"/>
          <w:lang w:val="en-US" w:eastAsia="zh-CN"/>
        </w:rPr>
        <w:t>双方人员签字的结算单所</w:t>
      </w:r>
      <w:r>
        <w:rPr>
          <w:rFonts w:hint="eastAsia" w:ascii="宋体" w:hAnsi="宋体" w:eastAsia="宋体"/>
          <w:sz w:val="21"/>
          <w:szCs w:val="21"/>
        </w:rPr>
        <w:t>确认的实际供货数量为准。</w:t>
      </w:r>
    </w:p>
    <w:p>
      <w:pPr>
        <w:widowControl/>
        <w:spacing w:line="360" w:lineRule="auto"/>
        <w:ind w:firstLine="420" w:firstLineChars="200"/>
        <w:jc w:val="left"/>
        <w:rPr>
          <w:rFonts w:ascii="宋体" w:hAnsi="宋体" w:eastAsia="宋体"/>
          <w:sz w:val="21"/>
          <w:szCs w:val="21"/>
        </w:rPr>
      </w:pPr>
      <w:r>
        <w:rPr>
          <w:rFonts w:hint="eastAsia" w:ascii="宋体" w:hAnsi="宋体"/>
          <w:sz w:val="21"/>
          <w:szCs w:val="21"/>
        </w:rPr>
        <w:t>增加以下条款：</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4.8最终结算数量以甲方实际收到的合格产品数量为准。</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4.9甲方</w:t>
      </w:r>
      <w:r>
        <w:rPr>
          <w:rFonts w:hint="eastAsia" w:ascii="宋体" w:hAnsi="宋体" w:eastAsia="宋体" w:cs="宋体"/>
          <w:sz w:val="21"/>
          <w:szCs w:val="21"/>
          <w:lang w:val="en-US" w:eastAsia="zh-CN"/>
        </w:rPr>
        <w:t>人员</w:t>
      </w:r>
      <w:r>
        <w:rPr>
          <w:rFonts w:hint="eastAsia" w:ascii="宋体" w:hAnsi="宋体" w:eastAsia="宋体" w:cs="宋体"/>
          <w:sz w:val="21"/>
          <w:szCs w:val="21"/>
        </w:rPr>
        <w:t>如认定乙方产品有质量问题时，应立即通知乙方，乙方接到甲方通知后，应及时给予处理意见或在</w:t>
      </w:r>
      <w:r>
        <w:rPr>
          <w:rFonts w:hint="eastAsia" w:ascii="宋体" w:hAnsi="宋体" w:eastAsia="宋体" w:cs="宋体"/>
          <w:sz w:val="21"/>
          <w:szCs w:val="21"/>
          <w:lang w:val="en-US" w:eastAsia="zh-CN"/>
        </w:rPr>
        <w:t>2</w:t>
      </w:r>
      <w:r>
        <w:rPr>
          <w:rFonts w:hint="eastAsia" w:ascii="宋体" w:hAnsi="宋体" w:eastAsia="宋体" w:cs="宋体"/>
          <w:sz w:val="21"/>
          <w:szCs w:val="21"/>
        </w:rPr>
        <w:t>小时内派人到工地现场解决，否则，视为乙方默认甲方提出的异议和处理意见。</w:t>
      </w:r>
    </w:p>
    <w:p>
      <w:pPr>
        <w:spacing w:line="360" w:lineRule="auto"/>
        <w:ind w:firstLine="420" w:firstLineChars="200"/>
        <w:rPr>
          <w:rFonts w:ascii="宋体" w:hAnsi="宋体" w:eastAsia="宋体"/>
          <w:color w:val="000000" w:themeColor="text1"/>
          <w:sz w:val="21"/>
          <w:szCs w:val="21"/>
        </w:rPr>
      </w:pPr>
      <w:r>
        <w:rPr>
          <w:rFonts w:ascii="宋体" w:hAnsi="宋体" w:eastAsia="宋体"/>
          <w:color w:val="000000" w:themeColor="text1"/>
          <w:sz w:val="21"/>
          <w:szCs w:val="21"/>
        </w:rPr>
        <w:t>4.</w:t>
      </w:r>
      <w:r>
        <w:rPr>
          <w:rFonts w:hint="eastAsia" w:ascii="宋体" w:hAnsi="宋体" w:eastAsia="宋体"/>
          <w:color w:val="000000" w:themeColor="text1"/>
          <w:sz w:val="21"/>
          <w:szCs w:val="21"/>
        </w:rPr>
        <w:t>1</w:t>
      </w:r>
      <w:r>
        <w:rPr>
          <w:rFonts w:hint="eastAsia" w:ascii="宋体" w:hAnsi="宋体" w:eastAsia="宋体"/>
          <w:color w:val="000000" w:themeColor="text1"/>
          <w:sz w:val="21"/>
          <w:szCs w:val="21"/>
          <w:lang w:val="en-US" w:eastAsia="zh-CN"/>
        </w:rPr>
        <w:t>0</w:t>
      </w:r>
      <w:r>
        <w:rPr>
          <w:rFonts w:ascii="宋体" w:hAnsi="宋体" w:eastAsia="宋体"/>
          <w:color w:val="000000" w:themeColor="text1"/>
          <w:sz w:val="21"/>
          <w:szCs w:val="21"/>
        </w:rPr>
        <w:t>本合同工作范围内发生的一切事项甲方授权签证事项确认人员为：项目经理</w:t>
      </w:r>
      <w:r>
        <w:rPr>
          <w:rFonts w:hint="eastAsia" w:ascii="宋体" w:hAnsi="宋体" w:eastAsia="宋体"/>
          <w:color w:val="000000" w:themeColor="text1"/>
          <w:sz w:val="21"/>
          <w:szCs w:val="21"/>
          <w:u w:val="none"/>
          <w:lang w:val="en-US" w:eastAsia="zh-CN"/>
        </w:rPr>
        <w:t>于校军</w:t>
      </w:r>
      <w:r>
        <w:rPr>
          <w:rFonts w:ascii="宋体" w:hAnsi="宋体" w:eastAsia="宋体"/>
          <w:color w:val="000000" w:themeColor="text1"/>
          <w:sz w:val="21"/>
          <w:szCs w:val="21"/>
        </w:rPr>
        <w:t>；</w:t>
      </w:r>
      <w:r>
        <w:rPr>
          <w:rFonts w:hint="eastAsia" w:ascii="宋体" w:hAnsi="宋体" w:eastAsia="宋体"/>
          <w:color w:val="000000" w:themeColor="text1"/>
          <w:sz w:val="21"/>
          <w:szCs w:val="21"/>
          <w:lang w:val="en-US" w:eastAsia="zh-CN"/>
        </w:rPr>
        <w:t>物资经理周龙乾</w:t>
      </w:r>
      <w:r>
        <w:rPr>
          <w:rFonts w:ascii="宋体" w:hAnsi="宋体" w:eastAsia="宋体"/>
          <w:color w:val="000000" w:themeColor="text1"/>
          <w:sz w:val="21"/>
          <w:szCs w:val="21"/>
        </w:rPr>
        <w:t>签字确认，非甲方授权人员签字确认的事项一律无效，不得作为结算依据。</w:t>
      </w:r>
    </w:p>
    <w:p>
      <w:pPr>
        <w:spacing w:line="360" w:lineRule="auto"/>
        <w:ind w:firstLine="420" w:firstLineChars="200"/>
        <w:rPr>
          <w:rFonts w:hint="eastAsia" w:ascii="宋体" w:hAnsi="宋体" w:eastAsia="宋体"/>
          <w:color w:val="000000" w:themeColor="text1"/>
          <w:sz w:val="21"/>
          <w:szCs w:val="21"/>
          <w:lang w:eastAsia="zh-CN"/>
        </w:rPr>
      </w:pPr>
      <w:r>
        <w:rPr>
          <w:rFonts w:ascii="宋体" w:hAnsi="宋体" w:eastAsia="宋体"/>
          <w:color w:val="000000" w:themeColor="text1"/>
          <w:sz w:val="21"/>
          <w:szCs w:val="21"/>
        </w:rPr>
        <w:t>4.</w:t>
      </w:r>
      <w:r>
        <w:rPr>
          <w:rFonts w:hint="eastAsia" w:ascii="宋体" w:hAnsi="宋体" w:eastAsia="宋体"/>
          <w:color w:val="000000" w:themeColor="text1"/>
          <w:sz w:val="21"/>
          <w:szCs w:val="21"/>
        </w:rPr>
        <w:t>1</w:t>
      </w:r>
      <w:r>
        <w:rPr>
          <w:rFonts w:hint="eastAsia" w:ascii="宋体" w:hAnsi="宋体" w:eastAsia="宋体"/>
          <w:color w:val="000000" w:themeColor="text1"/>
          <w:sz w:val="21"/>
          <w:szCs w:val="21"/>
          <w:lang w:val="en-US" w:eastAsia="zh-CN"/>
        </w:rPr>
        <w:t>1</w:t>
      </w:r>
      <w:r>
        <w:rPr>
          <w:rFonts w:ascii="宋体" w:hAnsi="宋体" w:eastAsia="宋体"/>
          <w:color w:val="000000" w:themeColor="text1"/>
          <w:sz w:val="21"/>
          <w:szCs w:val="21"/>
        </w:rPr>
        <w:t>由甲方发出的、超出乙方供应范围外的指令，无论何种形式（包括但不仅限于往来函件、会议纪要、洽商变更、签证等），凡涉及合同价款变更、结算、付款的，必须经项目经理</w:t>
      </w:r>
      <w:r>
        <w:rPr>
          <w:rFonts w:hint="eastAsia" w:ascii="宋体" w:hAnsi="宋体" w:eastAsia="宋体"/>
          <w:color w:val="000000" w:themeColor="text1"/>
          <w:sz w:val="21"/>
          <w:szCs w:val="21"/>
          <w:u w:val="none"/>
          <w:lang w:val="en-US" w:eastAsia="zh-CN"/>
        </w:rPr>
        <w:t>于校军</w:t>
      </w:r>
      <w:r>
        <w:rPr>
          <w:rFonts w:ascii="宋体" w:hAnsi="宋体" w:eastAsia="宋体"/>
          <w:color w:val="000000" w:themeColor="text1"/>
          <w:sz w:val="21"/>
          <w:szCs w:val="21"/>
        </w:rPr>
        <w:t>；</w:t>
      </w:r>
      <w:r>
        <w:rPr>
          <w:rFonts w:hint="eastAsia" w:ascii="宋体" w:hAnsi="宋体" w:eastAsia="宋体"/>
          <w:color w:val="000000" w:themeColor="text1"/>
          <w:sz w:val="21"/>
          <w:szCs w:val="21"/>
          <w:lang w:val="en-US" w:eastAsia="zh-CN"/>
        </w:rPr>
        <w:t>物资经理周龙乾</w:t>
      </w:r>
      <w:r>
        <w:rPr>
          <w:rFonts w:ascii="宋体" w:hAnsi="宋体" w:eastAsia="宋体"/>
          <w:color w:val="000000" w:themeColor="text1"/>
          <w:sz w:val="21"/>
          <w:szCs w:val="21"/>
        </w:rPr>
        <w:t>签字确认，甲方项目部其他任何人员的任何形式的签字不作为甲方付款及结算的依据</w:t>
      </w:r>
      <w:r>
        <w:rPr>
          <w:rFonts w:hint="eastAsia" w:ascii="宋体" w:hAnsi="宋体" w:eastAsia="宋体"/>
          <w:color w:val="000000" w:themeColor="text1"/>
          <w:sz w:val="21"/>
          <w:szCs w:val="21"/>
          <w:lang w:eastAsia="zh-CN"/>
        </w:rPr>
        <w:t>。</w:t>
      </w:r>
    </w:p>
    <w:p>
      <w:pPr>
        <w:spacing w:line="360" w:lineRule="auto"/>
        <w:ind w:firstLine="422" w:firstLineChars="200"/>
        <w:rPr>
          <w:rFonts w:ascii="宋体" w:hAnsi="宋体" w:eastAsia="宋体"/>
          <w:b/>
          <w:sz w:val="21"/>
          <w:szCs w:val="21"/>
        </w:rPr>
      </w:pPr>
      <w:r>
        <w:rPr>
          <w:rFonts w:ascii="宋体" w:hAnsi="宋体" w:eastAsia="宋体"/>
          <w:b/>
          <w:sz w:val="21"/>
          <w:szCs w:val="21"/>
        </w:rPr>
        <w:t>5.</w:t>
      </w:r>
      <w:r>
        <w:rPr>
          <w:rFonts w:hint="eastAsia" w:ascii="宋体" w:hAnsi="宋体" w:eastAsia="宋体"/>
          <w:b/>
          <w:sz w:val="21"/>
          <w:szCs w:val="21"/>
        </w:rPr>
        <w:t>包装、运输、卸货</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5.3条款修改为：乙方必须保证不得阻止现场验收人员进行质量检验，不合格的物资必须在规定时间内无条件运走调换</w:t>
      </w:r>
      <w:r>
        <w:rPr>
          <w:rFonts w:hint="eastAsia" w:ascii="宋体" w:hAnsi="宋体" w:eastAsia="宋体" w:cs="宋体"/>
          <w:sz w:val="21"/>
          <w:szCs w:val="21"/>
          <w:lang w:eastAsia="zh-CN"/>
        </w:rPr>
        <w:t>，</w:t>
      </w:r>
      <w:r>
        <w:rPr>
          <w:rFonts w:hint="eastAsia" w:ascii="宋体" w:hAnsi="宋体" w:eastAsia="宋体" w:cs="宋体"/>
          <w:sz w:val="21"/>
          <w:szCs w:val="21"/>
        </w:rPr>
        <w:t>损失由乙方承担。</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5.4条款修改为：乙方不得进行任何形式的弄虚作假行为。一经发现，甲方将按发现作弊或弄虚作假数量占本批次运输物资百分比扣除发现作弊日前物资进场总数量对应的货款，并交由公安机关处理。</w:t>
      </w:r>
    </w:p>
    <w:p>
      <w:pPr>
        <w:pStyle w:val="10"/>
        <w:spacing w:beforeLines="50" w:after="120" w:line="360" w:lineRule="auto"/>
        <w:ind w:firstLine="407" w:firstLineChars="194"/>
        <w:rPr>
          <w:color w:val="C0C0C0"/>
          <w:u w:val="single"/>
        </w:rPr>
      </w:pPr>
      <w:r>
        <w:rPr>
          <w:rFonts w:hint="eastAsia"/>
          <w:u w:val="single"/>
        </w:rPr>
        <w:t>其他见通用合同条款。</w:t>
      </w:r>
    </w:p>
    <w:p>
      <w:pPr>
        <w:tabs>
          <w:tab w:val="left" w:pos="765"/>
        </w:tabs>
        <w:spacing w:line="360" w:lineRule="auto"/>
        <w:ind w:firstLine="422" w:firstLineChars="200"/>
        <w:jc w:val="left"/>
        <w:rPr>
          <w:rFonts w:ascii="宋体" w:hAnsi="宋体" w:eastAsia="宋体"/>
          <w:b/>
          <w:sz w:val="21"/>
          <w:szCs w:val="21"/>
        </w:rPr>
      </w:pPr>
      <w:r>
        <w:rPr>
          <w:rFonts w:ascii="宋体" w:hAnsi="宋体" w:eastAsia="宋体"/>
          <w:b/>
          <w:sz w:val="21"/>
          <w:szCs w:val="21"/>
        </w:rPr>
        <w:t>6</w:t>
      </w:r>
      <w:r>
        <w:rPr>
          <w:rFonts w:hint="eastAsia" w:ascii="宋体" w:hAnsi="宋体" w:eastAsia="宋体"/>
          <w:b/>
          <w:sz w:val="21"/>
          <w:szCs w:val="21"/>
        </w:rPr>
        <w:t>．环境﹑安全保护原则</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spacing w:line="360" w:lineRule="auto"/>
        <w:ind w:firstLine="422" w:firstLineChars="200"/>
        <w:rPr>
          <w:rFonts w:ascii="宋体" w:hAnsi="宋体" w:eastAsia="宋体"/>
          <w:b/>
          <w:sz w:val="21"/>
          <w:szCs w:val="21"/>
        </w:rPr>
      </w:pPr>
      <w:r>
        <w:rPr>
          <w:rFonts w:ascii="宋体" w:hAnsi="宋体" w:eastAsia="宋体"/>
          <w:b/>
          <w:sz w:val="21"/>
          <w:szCs w:val="21"/>
        </w:rPr>
        <w:t>7.</w:t>
      </w:r>
      <w:r>
        <w:rPr>
          <w:rFonts w:hint="eastAsia" w:ascii="宋体" w:hAnsi="宋体" w:eastAsia="宋体"/>
          <w:b/>
          <w:sz w:val="21"/>
          <w:szCs w:val="21"/>
        </w:rPr>
        <w:t>甲方的责任和义务</w:t>
      </w:r>
    </w:p>
    <w:p>
      <w:pPr>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7.1修改为：提供物资供应计划，包括但不限于书面、口头、传真、电话、电子邮件方式。</w:t>
      </w:r>
    </w:p>
    <w:p>
      <w:pPr>
        <w:pStyle w:val="34"/>
        <w:ind w:left="0" w:leftChars="0"/>
      </w:pPr>
      <w:r>
        <w:rPr>
          <w:rFonts w:hint="eastAsia"/>
          <w:u w:val="single"/>
        </w:rPr>
        <w:t>其他见通用合同条款。</w:t>
      </w:r>
    </w:p>
    <w:p>
      <w:pPr>
        <w:tabs>
          <w:tab w:val="left" w:pos="765"/>
        </w:tabs>
        <w:spacing w:line="360" w:lineRule="auto"/>
        <w:ind w:firstLine="422" w:firstLineChars="200"/>
        <w:jc w:val="left"/>
        <w:rPr>
          <w:rFonts w:ascii="宋体" w:hAnsi="宋体" w:eastAsia="宋体"/>
          <w:color w:val="000000" w:themeColor="text1"/>
          <w:sz w:val="21"/>
          <w:szCs w:val="21"/>
        </w:rPr>
      </w:pPr>
      <w:r>
        <w:rPr>
          <w:rFonts w:ascii="宋体" w:hAnsi="宋体" w:eastAsia="宋体"/>
          <w:b/>
          <w:sz w:val="21"/>
          <w:szCs w:val="21"/>
        </w:rPr>
        <w:t>8.</w:t>
      </w:r>
      <w:r>
        <w:rPr>
          <w:rFonts w:hint="eastAsia" w:ascii="宋体" w:hAnsi="宋体" w:eastAsia="宋体"/>
          <w:b/>
          <w:sz w:val="21"/>
          <w:szCs w:val="21"/>
        </w:rPr>
        <w:t>乙方的责任和义务</w:t>
      </w:r>
    </w:p>
    <w:p>
      <w:pPr>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新增条款8.14</w:t>
      </w:r>
      <w:r>
        <w:rPr>
          <w:rFonts w:ascii="宋体" w:hAnsi="宋体" w:eastAsia="宋体"/>
          <w:color w:val="000000" w:themeColor="text1"/>
          <w:sz w:val="21"/>
          <w:szCs w:val="21"/>
        </w:rPr>
        <w:t>交货地点：</w:t>
      </w:r>
      <w:r>
        <w:rPr>
          <w:rFonts w:hint="eastAsia" w:ascii="宋体" w:hAnsi="宋体" w:eastAsia="宋体"/>
          <w:color w:val="000000" w:themeColor="text1"/>
          <w:sz w:val="21"/>
          <w:szCs w:val="21"/>
          <w:lang w:val="en-US" w:eastAsia="zh-CN"/>
        </w:rPr>
        <w:t>双方协议</w:t>
      </w:r>
      <w:r>
        <w:rPr>
          <w:rFonts w:ascii="宋体" w:hAnsi="宋体" w:eastAsia="宋体"/>
          <w:color w:val="000000" w:themeColor="text1"/>
          <w:sz w:val="21"/>
          <w:szCs w:val="21"/>
        </w:rPr>
        <w:t>指定位置。</w:t>
      </w:r>
    </w:p>
    <w:p>
      <w:pPr>
        <w:spacing w:line="360" w:lineRule="auto"/>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新增条款8.15保证具备较强的供货能力，具备一定的资金实力。</w:t>
      </w:r>
    </w:p>
    <w:p>
      <w:pPr>
        <w:pStyle w:val="34"/>
        <w:ind w:left="0" w:leftChars="0" w:firstLine="420" w:firstLineChars="200"/>
      </w:pPr>
      <w:r>
        <w:rPr>
          <w:rFonts w:hint="eastAsia"/>
          <w:u w:val="single"/>
        </w:rPr>
        <w:t>其他见通用合同条款。</w:t>
      </w:r>
    </w:p>
    <w:p>
      <w:pPr>
        <w:spacing w:line="360" w:lineRule="auto"/>
        <w:ind w:firstLine="420" w:firstLineChars="200"/>
        <w:rPr>
          <w:rFonts w:ascii="宋体" w:hAnsi="宋体" w:eastAsia="宋体"/>
          <w:color w:val="000000" w:themeColor="text1"/>
          <w:sz w:val="21"/>
          <w:szCs w:val="21"/>
        </w:rPr>
      </w:pPr>
      <w:r>
        <w:rPr>
          <w:rFonts w:ascii="宋体" w:hAnsi="宋体" w:eastAsia="宋体"/>
          <w:color w:val="000000" w:themeColor="text1"/>
          <w:sz w:val="21"/>
          <w:szCs w:val="21"/>
        </w:rPr>
        <w:t>9.</w:t>
      </w:r>
      <w:r>
        <w:rPr>
          <w:rFonts w:hint="eastAsia" w:ascii="宋体" w:hAnsi="宋体" w:eastAsia="宋体"/>
          <w:color w:val="000000" w:themeColor="text1"/>
          <w:sz w:val="21"/>
          <w:szCs w:val="21"/>
        </w:rPr>
        <w:t>违约责任</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增加以下条款：</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乙方具有下列事由之一的，甲方可以单方全部解除合同或部分解除合同或终止合同，乙方已收款项全部无条件返还，乙方另需按所收款项总额或本合同总金额的100%赔偿甲方，甲方的损失额高过前述约定的则甲方有权继续要求乙方补足差额；</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1</w:t>
      </w:r>
      <w:r>
        <w:rPr>
          <w:rFonts w:hint="eastAsia" w:ascii="宋体" w:hAnsi="宋体" w:eastAsia="宋体" w:cs="宋体"/>
          <w:sz w:val="21"/>
          <w:szCs w:val="21"/>
        </w:rPr>
        <w:t>乙方将本合同全部或部分转让的；</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2</w:t>
      </w:r>
      <w:r>
        <w:rPr>
          <w:rFonts w:hint="eastAsia" w:ascii="宋体" w:hAnsi="宋体" w:eastAsia="宋体" w:cs="宋体"/>
          <w:sz w:val="21"/>
          <w:szCs w:val="21"/>
        </w:rPr>
        <w:t>未按本合同约定时间交货累计延误达</w:t>
      </w:r>
      <w:r>
        <w:rPr>
          <w:rFonts w:hint="eastAsia" w:ascii="宋体" w:hAnsi="宋体" w:eastAsia="宋体" w:cs="宋体"/>
          <w:sz w:val="21"/>
          <w:szCs w:val="21"/>
          <w:lang w:val="en-US" w:eastAsia="zh-CN"/>
        </w:rPr>
        <w:t>2</w:t>
      </w:r>
      <w:r>
        <w:rPr>
          <w:rFonts w:hint="eastAsia" w:ascii="宋体" w:hAnsi="宋体" w:eastAsia="宋体" w:cs="宋体"/>
          <w:sz w:val="21"/>
          <w:szCs w:val="21"/>
        </w:rPr>
        <w:t>日历天；</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3</w:t>
      </w:r>
      <w:r>
        <w:rPr>
          <w:rFonts w:hint="eastAsia" w:ascii="宋体" w:hAnsi="宋体" w:eastAsia="宋体" w:cs="宋体"/>
          <w:sz w:val="21"/>
          <w:szCs w:val="21"/>
        </w:rPr>
        <w:t>在本合同履行过程中，乙方未按甲方及时进行整改的；</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4</w:t>
      </w:r>
      <w:r>
        <w:rPr>
          <w:rFonts w:hint="eastAsia" w:ascii="宋体" w:hAnsi="宋体" w:eastAsia="宋体" w:cs="宋体"/>
          <w:sz w:val="21"/>
          <w:szCs w:val="21"/>
        </w:rPr>
        <w:t>本合同约定甲方或乙方可解除合同的事由；</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5</w:t>
      </w:r>
      <w:r>
        <w:rPr>
          <w:rFonts w:hint="eastAsia" w:ascii="宋体" w:hAnsi="宋体" w:eastAsia="宋体" w:cs="宋体"/>
          <w:sz w:val="21"/>
          <w:szCs w:val="21"/>
        </w:rPr>
        <w:t>其他法律规定可解除合同的事由；</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6</w:t>
      </w:r>
      <w:r>
        <w:rPr>
          <w:rFonts w:hint="eastAsia" w:ascii="宋体" w:hAnsi="宋体" w:eastAsia="宋体" w:cs="宋体"/>
          <w:sz w:val="21"/>
          <w:szCs w:val="21"/>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剩下事宜</w:t>
      </w:r>
      <w:r>
        <w:rPr>
          <w:rFonts w:hint="eastAsia" w:ascii="宋体" w:hAnsi="宋体" w:eastAsia="宋体" w:cs="宋体"/>
          <w:sz w:val="21"/>
          <w:szCs w:val="21"/>
          <w:lang w:eastAsia="zh-CN"/>
        </w:rPr>
        <w:t>。</w:t>
      </w:r>
      <w:r>
        <w:rPr>
          <w:rFonts w:hint="eastAsia" w:ascii="宋体" w:hAnsi="宋体" w:eastAsia="宋体" w:cs="宋体"/>
          <w:sz w:val="21"/>
          <w:szCs w:val="21"/>
        </w:rPr>
        <w:t>甲方因本条规定的事项行使权利所发生的合理费用，包括但不限于诉讼费、鉴定费、律师费等全部由乙方承担。</w:t>
      </w:r>
    </w:p>
    <w:p>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9.9乙方未能按合同规定的时间或要求</w:t>
      </w:r>
      <w:r>
        <w:rPr>
          <w:rFonts w:hint="eastAsia" w:ascii="宋体" w:hAnsi="宋体" w:eastAsia="宋体" w:cs="宋体"/>
          <w:sz w:val="21"/>
          <w:szCs w:val="21"/>
          <w:lang w:val="en-US" w:eastAsia="zh-CN"/>
        </w:rPr>
        <w:t>提供柴油</w:t>
      </w:r>
      <w:r>
        <w:rPr>
          <w:rFonts w:hint="eastAsia" w:ascii="宋体" w:hAnsi="宋体" w:eastAsia="宋体" w:cs="宋体"/>
          <w:sz w:val="21"/>
          <w:szCs w:val="21"/>
        </w:rPr>
        <w:t>，每延误1日历天，乙方按人民币</w:t>
      </w:r>
      <w:r>
        <w:rPr>
          <w:rFonts w:hint="eastAsia" w:ascii="宋体" w:hAnsi="宋体" w:eastAsia="宋体" w:cs="宋体"/>
          <w:sz w:val="21"/>
          <w:szCs w:val="21"/>
          <w:u w:val="single"/>
          <w:lang w:val="en-US" w:eastAsia="zh-CN"/>
        </w:rPr>
        <w:t>5000</w:t>
      </w:r>
      <w:r>
        <w:rPr>
          <w:rFonts w:hint="eastAsia" w:ascii="宋体" w:hAnsi="宋体" w:eastAsia="宋体" w:cs="宋体"/>
          <w:sz w:val="21"/>
          <w:szCs w:val="21"/>
          <w:u w:val="single"/>
        </w:rPr>
        <w:t>元/日历天</w:t>
      </w:r>
      <w:r>
        <w:rPr>
          <w:rFonts w:hint="eastAsia" w:ascii="宋体" w:hAnsi="宋体" w:eastAsia="宋体" w:cs="宋体"/>
          <w:sz w:val="21"/>
          <w:szCs w:val="21"/>
        </w:rPr>
        <w:t>向甲方支付违约金，此违约金在应付货款中直接扣除。</w:t>
      </w:r>
    </w:p>
    <w:p>
      <w:pPr>
        <w:widowControl/>
        <w:spacing w:line="360" w:lineRule="auto"/>
        <w:ind w:firstLine="420" w:firstLineChars="200"/>
        <w:jc w:val="left"/>
        <w:rPr>
          <w:rFonts w:hint="eastAsia" w:ascii="宋体" w:hAnsi="宋体" w:eastAsia="宋体"/>
          <w:b/>
          <w:sz w:val="21"/>
          <w:szCs w:val="21"/>
        </w:rPr>
      </w:pPr>
      <w:r>
        <w:rPr>
          <w:rFonts w:hint="eastAsia" w:ascii="宋体" w:hAnsi="宋体" w:eastAsia="宋体" w:cs="宋体"/>
          <w:sz w:val="21"/>
          <w:szCs w:val="21"/>
        </w:rPr>
        <w:t>9.10甲乙双方明确约定，对于在本合同项下产生的或与本合同相关的事项产生的乙方对甲方拥有的债权，乙方承诺不得将其转让给第三方，除非经过甲方的书面同意后方可转让，否则，乙方应在违约转让债权之日起五日内，按照违约转让债权总额的5%向甲方支付违约金，逾期支付违约金应承担违约付款责任，同时债权转让不发生法律效力。</w:t>
      </w:r>
    </w:p>
    <w:p>
      <w:pPr>
        <w:spacing w:line="360" w:lineRule="auto"/>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0.</w:t>
      </w:r>
      <w:r>
        <w:rPr>
          <w:rFonts w:hint="eastAsia" w:ascii="宋体" w:hAnsi="宋体" w:eastAsia="宋体"/>
          <w:b/>
          <w:sz w:val="21"/>
          <w:szCs w:val="21"/>
        </w:rPr>
        <w:t>通知</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spacing w:line="360" w:lineRule="auto"/>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1.</w:t>
      </w:r>
      <w:r>
        <w:rPr>
          <w:rFonts w:hint="eastAsia" w:ascii="宋体" w:hAnsi="宋体" w:eastAsia="宋体"/>
          <w:b/>
          <w:sz w:val="21"/>
          <w:szCs w:val="21"/>
        </w:rPr>
        <w:t>争议的处理</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tabs>
          <w:tab w:val="left" w:pos="810"/>
        </w:tabs>
        <w:spacing w:line="360" w:lineRule="auto"/>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2.</w:t>
      </w:r>
      <w:r>
        <w:rPr>
          <w:rFonts w:hint="eastAsia" w:ascii="宋体" w:hAnsi="宋体" w:eastAsia="宋体"/>
          <w:b/>
          <w:sz w:val="21"/>
          <w:szCs w:val="21"/>
        </w:rPr>
        <w:t xml:space="preserve">不可抗力 </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spacing w:line="360" w:lineRule="auto"/>
        <w:ind w:firstLine="422" w:firstLineChars="200"/>
        <w:rPr>
          <w:rFonts w:ascii="宋体" w:hAnsi="宋体" w:eastAsia="宋体"/>
          <w:sz w:val="21"/>
          <w:szCs w:val="21"/>
          <w:u w:val="single"/>
        </w:rPr>
      </w:pPr>
      <w:r>
        <w:rPr>
          <w:rFonts w:hint="eastAsia" w:ascii="宋体" w:hAnsi="宋体" w:eastAsia="宋体"/>
          <w:b/>
          <w:sz w:val="21"/>
          <w:szCs w:val="21"/>
        </w:rPr>
        <w:t>1</w:t>
      </w:r>
      <w:r>
        <w:rPr>
          <w:rFonts w:ascii="宋体" w:hAnsi="宋体" w:eastAsia="宋体"/>
          <w:b/>
          <w:sz w:val="21"/>
          <w:szCs w:val="21"/>
        </w:rPr>
        <w:t>3.</w:t>
      </w:r>
      <w:r>
        <w:rPr>
          <w:rFonts w:hint="eastAsia" w:ascii="宋体" w:hAnsi="宋体" w:eastAsia="宋体"/>
          <w:b/>
          <w:sz w:val="21"/>
          <w:szCs w:val="21"/>
        </w:rPr>
        <w:t>其他约定事项</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spacing w:line="360" w:lineRule="auto"/>
        <w:ind w:firstLine="411" w:firstLineChars="195"/>
        <w:jc w:val="left"/>
        <w:rPr>
          <w:rFonts w:ascii="宋体" w:hAnsi="宋体" w:eastAsia="宋体"/>
          <w:color w:val="C0C0C0"/>
          <w:sz w:val="21"/>
          <w:szCs w:val="21"/>
          <w:u w:val="single"/>
        </w:rPr>
      </w:pPr>
      <w:r>
        <w:rPr>
          <w:rFonts w:ascii="宋体" w:hAnsi="宋体" w:eastAsia="宋体"/>
          <w:b/>
          <w:sz w:val="21"/>
          <w:szCs w:val="21"/>
        </w:rPr>
        <w:t>14</w:t>
      </w:r>
      <w:r>
        <w:rPr>
          <w:rFonts w:hint="eastAsia" w:ascii="宋体" w:hAnsi="宋体" w:eastAsia="宋体"/>
          <w:b/>
          <w:sz w:val="21"/>
          <w:szCs w:val="21"/>
        </w:rPr>
        <w:t>.附件</w:t>
      </w:r>
    </w:p>
    <w:p>
      <w:pPr>
        <w:spacing w:line="360" w:lineRule="auto"/>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360" w:lineRule="exact"/>
        <w:ind w:firstLine="409" w:firstLineChars="195"/>
        <w:jc w:val="left"/>
        <w:rPr>
          <w:rFonts w:ascii="宋体" w:hAnsi="宋体" w:eastAsia="宋体"/>
          <w:color w:val="C0C0C0"/>
          <w:sz w:val="21"/>
          <w:szCs w:val="21"/>
          <w:u w:val="single"/>
        </w:rPr>
      </w:pPr>
    </w:p>
    <w:p>
      <w:pPr>
        <w:spacing w:line="220" w:lineRule="atLeast"/>
        <w:jc w:val="both"/>
        <w:rPr>
          <w:rFonts w:hint="eastAsia" w:ascii="宋体" w:hAnsi="宋体"/>
          <w:b/>
          <w:sz w:val="36"/>
          <w:szCs w:val="36"/>
        </w:rPr>
      </w:pPr>
    </w:p>
    <w:p>
      <w:pPr>
        <w:spacing w:line="360" w:lineRule="exact"/>
        <w:ind w:firstLine="468" w:firstLineChars="195"/>
        <w:jc w:val="left"/>
        <w:rPr>
          <w:rFonts w:hint="eastAsia" w:ascii="宋体" w:hAnsi="宋体" w:eastAsia="宋体" w:cs="宋体"/>
          <w:highlight w:val="none"/>
        </w:rPr>
      </w:pPr>
    </w:p>
    <w:p>
      <w:pPr>
        <w:widowControl/>
        <w:spacing w:line="480" w:lineRule="auto"/>
        <w:rPr>
          <w:rFonts w:ascii="宋体" w:hAnsi="宋体"/>
          <w:sz w:val="21"/>
          <w:szCs w:val="21"/>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7DC12"/>
    <w:multiLevelType w:val="singleLevel"/>
    <w:tmpl w:val="C617DC12"/>
    <w:lvl w:ilvl="0" w:tentative="0">
      <w:start w:val="1"/>
      <w:numFmt w:val="chineseCounting"/>
      <w:lvlText w:val="(%1)"/>
      <w:lvlJc w:val="left"/>
      <w:pPr>
        <w:tabs>
          <w:tab w:val="left" w:pos="312"/>
        </w:tabs>
      </w:pPr>
      <w:rPr>
        <w:rFonts w:hint="eastAsia"/>
      </w:rPr>
    </w:lvl>
  </w:abstractNum>
  <w:abstractNum w:abstractNumId="1">
    <w:nsid w:val="156CCB53"/>
    <w:multiLevelType w:val="singleLevel"/>
    <w:tmpl w:val="156CCB53"/>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JkNjRmYjk3NDVkZGNlNWYzYTI5MWJiNGQ1YWY4YW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4206"/>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3B65"/>
    <w:rsid w:val="002841C0"/>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37269"/>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726DB"/>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55C6F"/>
    <w:rsid w:val="00866FD8"/>
    <w:rsid w:val="00867D58"/>
    <w:rsid w:val="0087546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30C"/>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6D5"/>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0937"/>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E025EA"/>
    <w:rsid w:val="030E48E0"/>
    <w:rsid w:val="03604FDE"/>
    <w:rsid w:val="0385634A"/>
    <w:rsid w:val="044235D3"/>
    <w:rsid w:val="04640655"/>
    <w:rsid w:val="046917C8"/>
    <w:rsid w:val="048A575A"/>
    <w:rsid w:val="04FE6A4B"/>
    <w:rsid w:val="05854823"/>
    <w:rsid w:val="059F3A06"/>
    <w:rsid w:val="06123B25"/>
    <w:rsid w:val="065A26E4"/>
    <w:rsid w:val="06845347"/>
    <w:rsid w:val="0788465B"/>
    <w:rsid w:val="07D65F6C"/>
    <w:rsid w:val="09B434E5"/>
    <w:rsid w:val="0ACC485F"/>
    <w:rsid w:val="0B1017C3"/>
    <w:rsid w:val="0B4B1C27"/>
    <w:rsid w:val="0B8E5FB8"/>
    <w:rsid w:val="0C3A66AE"/>
    <w:rsid w:val="0D1A5202"/>
    <w:rsid w:val="0E7204B5"/>
    <w:rsid w:val="0EA84FF4"/>
    <w:rsid w:val="0F1F3AF7"/>
    <w:rsid w:val="120C1BCE"/>
    <w:rsid w:val="1238490C"/>
    <w:rsid w:val="125E028E"/>
    <w:rsid w:val="12D335F1"/>
    <w:rsid w:val="12E806A4"/>
    <w:rsid w:val="12F625F6"/>
    <w:rsid w:val="130D37E5"/>
    <w:rsid w:val="13723F7D"/>
    <w:rsid w:val="13A144B3"/>
    <w:rsid w:val="148137BC"/>
    <w:rsid w:val="14B4624A"/>
    <w:rsid w:val="15211C4B"/>
    <w:rsid w:val="155913E5"/>
    <w:rsid w:val="15814549"/>
    <w:rsid w:val="15A07AD1"/>
    <w:rsid w:val="165F6ECF"/>
    <w:rsid w:val="170C0F1D"/>
    <w:rsid w:val="172709F9"/>
    <w:rsid w:val="175635F8"/>
    <w:rsid w:val="1770050C"/>
    <w:rsid w:val="178766DD"/>
    <w:rsid w:val="181F4A63"/>
    <w:rsid w:val="18624C16"/>
    <w:rsid w:val="186702B1"/>
    <w:rsid w:val="187C55C2"/>
    <w:rsid w:val="188327F5"/>
    <w:rsid w:val="18954E2A"/>
    <w:rsid w:val="18B10228"/>
    <w:rsid w:val="191526AD"/>
    <w:rsid w:val="197A4670"/>
    <w:rsid w:val="199571A7"/>
    <w:rsid w:val="1A4C1518"/>
    <w:rsid w:val="1B0E2C71"/>
    <w:rsid w:val="1BCC2910"/>
    <w:rsid w:val="1C224C26"/>
    <w:rsid w:val="1C471FDE"/>
    <w:rsid w:val="1C562AF5"/>
    <w:rsid w:val="1CE67A02"/>
    <w:rsid w:val="1D303373"/>
    <w:rsid w:val="1DF63C75"/>
    <w:rsid w:val="1EA41923"/>
    <w:rsid w:val="1F2C2C0F"/>
    <w:rsid w:val="1F462C7A"/>
    <w:rsid w:val="1F486752"/>
    <w:rsid w:val="1F6319D6"/>
    <w:rsid w:val="208D6381"/>
    <w:rsid w:val="22E95D32"/>
    <w:rsid w:val="231D7EF5"/>
    <w:rsid w:val="233B1BD3"/>
    <w:rsid w:val="233D3930"/>
    <w:rsid w:val="235553BF"/>
    <w:rsid w:val="23940C5C"/>
    <w:rsid w:val="23F52C20"/>
    <w:rsid w:val="24213A15"/>
    <w:rsid w:val="249F6C02"/>
    <w:rsid w:val="254B6F9C"/>
    <w:rsid w:val="261B438A"/>
    <w:rsid w:val="266F4F92"/>
    <w:rsid w:val="267267AA"/>
    <w:rsid w:val="26F22C55"/>
    <w:rsid w:val="27090EBD"/>
    <w:rsid w:val="279552CC"/>
    <w:rsid w:val="28D92B11"/>
    <w:rsid w:val="28FB17B2"/>
    <w:rsid w:val="29411588"/>
    <w:rsid w:val="294D2BB7"/>
    <w:rsid w:val="2A634844"/>
    <w:rsid w:val="2A790107"/>
    <w:rsid w:val="2A894D3E"/>
    <w:rsid w:val="2A9C7924"/>
    <w:rsid w:val="2AD1624A"/>
    <w:rsid w:val="2B770A0E"/>
    <w:rsid w:val="2B7B7EAF"/>
    <w:rsid w:val="2BAB0277"/>
    <w:rsid w:val="2BD94334"/>
    <w:rsid w:val="2BFB5280"/>
    <w:rsid w:val="2CB46EBD"/>
    <w:rsid w:val="2D0314F6"/>
    <w:rsid w:val="2E051CB2"/>
    <w:rsid w:val="2E0B376C"/>
    <w:rsid w:val="2EC3380C"/>
    <w:rsid w:val="2F05640D"/>
    <w:rsid w:val="2F8E3277"/>
    <w:rsid w:val="2FC71915"/>
    <w:rsid w:val="30390F89"/>
    <w:rsid w:val="309243C0"/>
    <w:rsid w:val="316B2774"/>
    <w:rsid w:val="324B65CD"/>
    <w:rsid w:val="325925CC"/>
    <w:rsid w:val="33613E2E"/>
    <w:rsid w:val="33AE327D"/>
    <w:rsid w:val="33BE6B8B"/>
    <w:rsid w:val="34105487"/>
    <w:rsid w:val="34833825"/>
    <w:rsid w:val="348F22D5"/>
    <w:rsid w:val="35A324DC"/>
    <w:rsid w:val="35E3546D"/>
    <w:rsid w:val="35FC399A"/>
    <w:rsid w:val="363045D4"/>
    <w:rsid w:val="37B7401D"/>
    <w:rsid w:val="37DD09A7"/>
    <w:rsid w:val="37F039D3"/>
    <w:rsid w:val="38A07570"/>
    <w:rsid w:val="39746C56"/>
    <w:rsid w:val="3976087D"/>
    <w:rsid w:val="3996249A"/>
    <w:rsid w:val="39D51E21"/>
    <w:rsid w:val="3A467419"/>
    <w:rsid w:val="3AA80595"/>
    <w:rsid w:val="3B5129DA"/>
    <w:rsid w:val="3B6049CB"/>
    <w:rsid w:val="3D3E0D3C"/>
    <w:rsid w:val="3D42172F"/>
    <w:rsid w:val="3D5B369C"/>
    <w:rsid w:val="3D646C30"/>
    <w:rsid w:val="3D995F73"/>
    <w:rsid w:val="3E1D3D47"/>
    <w:rsid w:val="3E3B4C1F"/>
    <w:rsid w:val="3E815385"/>
    <w:rsid w:val="3EAC495E"/>
    <w:rsid w:val="3F3D5750"/>
    <w:rsid w:val="3F8F1094"/>
    <w:rsid w:val="3F964E60"/>
    <w:rsid w:val="40407072"/>
    <w:rsid w:val="404544F3"/>
    <w:rsid w:val="408251EC"/>
    <w:rsid w:val="40C0200E"/>
    <w:rsid w:val="41263FC1"/>
    <w:rsid w:val="41AB2F2C"/>
    <w:rsid w:val="42766471"/>
    <w:rsid w:val="42AB3B7F"/>
    <w:rsid w:val="4318414A"/>
    <w:rsid w:val="43923B90"/>
    <w:rsid w:val="4416031D"/>
    <w:rsid w:val="4535226F"/>
    <w:rsid w:val="45820089"/>
    <w:rsid w:val="465C6D11"/>
    <w:rsid w:val="472649FE"/>
    <w:rsid w:val="473C62ED"/>
    <w:rsid w:val="479A18A0"/>
    <w:rsid w:val="47A1104B"/>
    <w:rsid w:val="480D386D"/>
    <w:rsid w:val="48B16866"/>
    <w:rsid w:val="49170DBF"/>
    <w:rsid w:val="49E2513A"/>
    <w:rsid w:val="4AC663E7"/>
    <w:rsid w:val="4AEC627C"/>
    <w:rsid w:val="4B1355B6"/>
    <w:rsid w:val="4C453E95"/>
    <w:rsid w:val="4C64223B"/>
    <w:rsid w:val="4E5E1EFF"/>
    <w:rsid w:val="4EEE6235"/>
    <w:rsid w:val="4F425205"/>
    <w:rsid w:val="4F5C3036"/>
    <w:rsid w:val="4F7F2BA1"/>
    <w:rsid w:val="4FD95020"/>
    <w:rsid w:val="500049A1"/>
    <w:rsid w:val="506F7193"/>
    <w:rsid w:val="50992C3D"/>
    <w:rsid w:val="509E6752"/>
    <w:rsid w:val="50BE4216"/>
    <w:rsid w:val="512744B1"/>
    <w:rsid w:val="51295B34"/>
    <w:rsid w:val="51955765"/>
    <w:rsid w:val="51F24178"/>
    <w:rsid w:val="51F80C00"/>
    <w:rsid w:val="526D3F66"/>
    <w:rsid w:val="528A1057"/>
    <w:rsid w:val="528A33F8"/>
    <w:rsid w:val="52B47467"/>
    <w:rsid w:val="540168F4"/>
    <w:rsid w:val="543933C3"/>
    <w:rsid w:val="55314FB7"/>
    <w:rsid w:val="55325E1E"/>
    <w:rsid w:val="556F1F83"/>
    <w:rsid w:val="55A8310A"/>
    <w:rsid w:val="56127BE7"/>
    <w:rsid w:val="56A96C69"/>
    <w:rsid w:val="56BF7A3E"/>
    <w:rsid w:val="57515334"/>
    <w:rsid w:val="576C677A"/>
    <w:rsid w:val="57861C50"/>
    <w:rsid w:val="57B343A9"/>
    <w:rsid w:val="57DE7EB5"/>
    <w:rsid w:val="57E73733"/>
    <w:rsid w:val="587D6765"/>
    <w:rsid w:val="58F509F1"/>
    <w:rsid w:val="59E628EE"/>
    <w:rsid w:val="5A432FB2"/>
    <w:rsid w:val="5A5D684E"/>
    <w:rsid w:val="5A676AF6"/>
    <w:rsid w:val="5A6F3392"/>
    <w:rsid w:val="5A8A1943"/>
    <w:rsid w:val="5AC468B0"/>
    <w:rsid w:val="5AD03FD3"/>
    <w:rsid w:val="5AD47696"/>
    <w:rsid w:val="5AF32D0E"/>
    <w:rsid w:val="5B4718F8"/>
    <w:rsid w:val="5BB65099"/>
    <w:rsid w:val="5BD3501A"/>
    <w:rsid w:val="5D6D056A"/>
    <w:rsid w:val="5DB0123F"/>
    <w:rsid w:val="5DB81D3E"/>
    <w:rsid w:val="5E9C7275"/>
    <w:rsid w:val="5F386364"/>
    <w:rsid w:val="5FA97E40"/>
    <w:rsid w:val="60FF065F"/>
    <w:rsid w:val="61714AEA"/>
    <w:rsid w:val="618172C6"/>
    <w:rsid w:val="61B52776"/>
    <w:rsid w:val="61F63AF6"/>
    <w:rsid w:val="623E4B94"/>
    <w:rsid w:val="634C3904"/>
    <w:rsid w:val="637F71B2"/>
    <w:rsid w:val="63AC0521"/>
    <w:rsid w:val="64CE648F"/>
    <w:rsid w:val="64DF6129"/>
    <w:rsid w:val="64E706E8"/>
    <w:rsid w:val="64E738E4"/>
    <w:rsid w:val="650E589F"/>
    <w:rsid w:val="65410C43"/>
    <w:rsid w:val="660B3602"/>
    <w:rsid w:val="66176B98"/>
    <w:rsid w:val="667967BE"/>
    <w:rsid w:val="6692162D"/>
    <w:rsid w:val="66AF5135"/>
    <w:rsid w:val="66D10089"/>
    <w:rsid w:val="67456568"/>
    <w:rsid w:val="697B3058"/>
    <w:rsid w:val="69981651"/>
    <w:rsid w:val="69C77840"/>
    <w:rsid w:val="6A372C18"/>
    <w:rsid w:val="6B5605DC"/>
    <w:rsid w:val="6B824366"/>
    <w:rsid w:val="6D885538"/>
    <w:rsid w:val="6D8939C4"/>
    <w:rsid w:val="6DE10C13"/>
    <w:rsid w:val="6E1F3BFE"/>
    <w:rsid w:val="700E090B"/>
    <w:rsid w:val="706202C3"/>
    <w:rsid w:val="7089477F"/>
    <w:rsid w:val="70F32E4C"/>
    <w:rsid w:val="711B78B6"/>
    <w:rsid w:val="715912B3"/>
    <w:rsid w:val="71B21877"/>
    <w:rsid w:val="71B95165"/>
    <w:rsid w:val="7241389E"/>
    <w:rsid w:val="7280201C"/>
    <w:rsid w:val="72D64CCA"/>
    <w:rsid w:val="72D727FF"/>
    <w:rsid w:val="738022BD"/>
    <w:rsid w:val="74143FCA"/>
    <w:rsid w:val="74B66E2F"/>
    <w:rsid w:val="74CB389B"/>
    <w:rsid w:val="74FD00F2"/>
    <w:rsid w:val="75045ABA"/>
    <w:rsid w:val="75521FEA"/>
    <w:rsid w:val="761B7239"/>
    <w:rsid w:val="76863E39"/>
    <w:rsid w:val="77965192"/>
    <w:rsid w:val="77AA69AB"/>
    <w:rsid w:val="79450781"/>
    <w:rsid w:val="7A100D8F"/>
    <w:rsid w:val="7A526F79"/>
    <w:rsid w:val="7A610D43"/>
    <w:rsid w:val="7B1F19C0"/>
    <w:rsid w:val="7B786BEC"/>
    <w:rsid w:val="7BD42D14"/>
    <w:rsid w:val="7C106ECB"/>
    <w:rsid w:val="7C490589"/>
    <w:rsid w:val="7C555EFF"/>
    <w:rsid w:val="7C6B1204"/>
    <w:rsid w:val="7CD51F65"/>
    <w:rsid w:val="7D055579"/>
    <w:rsid w:val="7D11343C"/>
    <w:rsid w:val="7D2B563D"/>
    <w:rsid w:val="7D3E79C1"/>
    <w:rsid w:val="7DF115D5"/>
    <w:rsid w:val="7E0150C3"/>
    <w:rsid w:val="7E062BD5"/>
    <w:rsid w:val="7E694F12"/>
    <w:rsid w:val="7E912744"/>
    <w:rsid w:val="7E9B6AC9"/>
    <w:rsid w:val="7F0B7A18"/>
    <w:rsid w:val="7F912972"/>
    <w:rsid w:val="7F987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宋体" w:hAnsi="宋体" w:eastAsia="宋体" w:cs="宋体"/>
      <w:kern w:val="44"/>
      <w:sz w:val="28"/>
      <w:szCs w:val="28"/>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字符"/>
    <w:basedOn w:val="37"/>
    <w:link w:val="4"/>
    <w:qFormat/>
    <w:uiPriority w:val="0"/>
    <w:rPr>
      <w:rFonts w:ascii="宋体" w:hAnsi="宋体" w:eastAsia="宋体" w:cs="宋体"/>
      <w:b/>
      <w:bCs/>
      <w:kern w:val="44"/>
      <w:sz w:val="44"/>
      <w:szCs w:val="44"/>
    </w:rPr>
  </w:style>
  <w:style w:type="character" w:customStyle="1" w:styleId="43">
    <w:name w:val="标题 2 字符"/>
    <w:basedOn w:val="37"/>
    <w:link w:val="5"/>
    <w:qFormat/>
    <w:uiPriority w:val="0"/>
    <w:rPr>
      <w:rFonts w:ascii="Arial" w:hAnsi="Arial" w:eastAsia="黑体" w:cs="Arial"/>
      <w:b/>
      <w:bCs/>
      <w:kern w:val="44"/>
      <w:sz w:val="32"/>
      <w:szCs w:val="32"/>
    </w:rPr>
  </w:style>
  <w:style w:type="character" w:customStyle="1" w:styleId="44">
    <w:name w:val="标题 3 字符"/>
    <w:basedOn w:val="37"/>
    <w:link w:val="6"/>
    <w:qFormat/>
    <w:uiPriority w:val="0"/>
    <w:rPr>
      <w:rFonts w:ascii="宋体" w:hAnsi="宋体" w:eastAsia="宋体" w:cs="宋体"/>
      <w:b/>
      <w:bCs/>
      <w:kern w:val="44"/>
      <w:sz w:val="32"/>
      <w:szCs w:val="32"/>
    </w:rPr>
  </w:style>
  <w:style w:type="character" w:customStyle="1" w:styleId="45">
    <w:name w:val="标题 4 字符"/>
    <w:basedOn w:val="37"/>
    <w:link w:val="7"/>
    <w:qFormat/>
    <w:uiPriority w:val="0"/>
    <w:rPr>
      <w:rFonts w:ascii="Arial" w:hAnsi="Arial" w:eastAsia="黑体" w:cs="Arial"/>
      <w:b/>
      <w:bCs/>
      <w:kern w:val="44"/>
      <w:sz w:val="28"/>
      <w:szCs w:val="28"/>
    </w:rPr>
  </w:style>
  <w:style w:type="character" w:customStyle="1" w:styleId="46">
    <w:name w:val="标题 9 字符"/>
    <w:basedOn w:val="37"/>
    <w:link w:val="8"/>
    <w:qFormat/>
    <w:uiPriority w:val="0"/>
    <w:rPr>
      <w:rFonts w:ascii="Arial" w:hAnsi="Arial" w:eastAsia="黑体" w:cs="Arial"/>
      <w:kern w:val="44"/>
      <w:sz w:val="21"/>
      <w:szCs w:val="21"/>
    </w:rPr>
  </w:style>
  <w:style w:type="character" w:customStyle="1" w:styleId="47">
    <w:name w:val="页眉 字符"/>
    <w:basedOn w:val="37"/>
    <w:link w:val="24"/>
    <w:qFormat/>
    <w:uiPriority w:val="0"/>
    <w:rPr>
      <w:sz w:val="18"/>
      <w:szCs w:val="18"/>
    </w:rPr>
  </w:style>
  <w:style w:type="character" w:customStyle="1" w:styleId="48">
    <w:name w:val="页脚 字符"/>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字符"/>
    <w:basedOn w:val="37"/>
    <w:link w:val="2"/>
    <w:qFormat/>
    <w:locked/>
    <w:uiPriority w:val="0"/>
    <w:rPr>
      <w:rFonts w:ascii="宋体" w:hAnsi="宋体" w:eastAsia="宋体" w:cs="宋体"/>
      <w:kern w:val="44"/>
      <w:sz w:val="28"/>
      <w:szCs w:val="28"/>
    </w:rPr>
  </w:style>
  <w:style w:type="character" w:customStyle="1" w:styleId="52">
    <w:name w:val="日期 字符"/>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字符"/>
    <w:basedOn w:val="37"/>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字符"/>
    <w:basedOn w:val="37"/>
    <w:link w:val="13"/>
    <w:qFormat/>
    <w:locked/>
    <w:uiPriority w:val="0"/>
    <w:rPr>
      <w:rFonts w:ascii="宋体" w:hAnsi="宋体" w:eastAsia="宋体" w:cs="宋体"/>
      <w:kern w:val="44"/>
      <w:sz w:val="32"/>
      <w:szCs w:val="32"/>
    </w:rPr>
  </w:style>
  <w:style w:type="character" w:customStyle="1" w:styleId="58">
    <w:name w:val="批注框文本 字符"/>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字符"/>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字符"/>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字符"/>
    <w:basedOn w:val="37"/>
    <w:link w:val="12"/>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字符"/>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字符"/>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字符"/>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字符"/>
    <w:basedOn w:val="37"/>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字符"/>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文本首行缩进 2 字符"/>
    <w:basedOn w:val="76"/>
    <w:link w:val="34"/>
    <w:qFormat/>
    <w:uiPriority w:val="0"/>
    <w:rPr>
      <w:rFonts w:ascii="Times New Roman" w:hAnsi="Times New Roman" w:eastAsia="宋体" w:cs="Times New Roman"/>
      <w:kern w:val="44"/>
      <w:sz w:val="21"/>
      <w:szCs w:val="22"/>
    </w:rPr>
  </w:style>
  <w:style w:type="paragraph" w:customStyle="1" w:styleId="311">
    <w:name w:val="表格文字 Char"/>
    <w:basedOn w:val="1"/>
    <w:qFormat/>
    <w:uiPriority w:val="0"/>
    <w:pPr>
      <w:keepNext/>
      <w:keepLines/>
      <w:widowControl/>
      <w:adjustRightInd w:val="0"/>
      <w:snapToGrid w:val="0"/>
      <w:spacing w:line="240" w:lineRule="exact"/>
      <w:jc w:val="center"/>
    </w:pPr>
    <w:rPr>
      <w:rFonts w:ascii="宋体" w:hAnsi="Arial"/>
      <w:snapToGrid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223A-A621-427B-8A0A-026AB51276BC}">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33</Pages>
  <Words>16168</Words>
  <Characters>17839</Characters>
  <Lines>92</Lines>
  <Paragraphs>26</Paragraphs>
  <TotalTime>67</TotalTime>
  <ScaleCrop>false</ScaleCrop>
  <LinksUpToDate>false</LinksUpToDate>
  <CharactersWithSpaces>19636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WPS_1680511640</cp:lastModifiedBy>
  <cp:lastPrinted>2020-05-07T01:04:00Z</cp:lastPrinted>
  <dcterms:modified xsi:type="dcterms:W3CDTF">2023-06-07T08:33:40Z</dcterms:modified>
  <dc:title>物资招标标准文本</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D4340E35EEBC42378C3E01B19B77AAB1</vt:lpwstr>
  </property>
</Properties>
</file>