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rPr>
          <w:rFonts w:ascii="宋体" w:hAnsi="宋体"/>
          <w:sz w:val="28"/>
          <w:szCs w:val="28"/>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3094355</wp:posOffset>
                </wp:positionH>
                <wp:positionV relativeFrom="paragraph">
                  <wp:posOffset>7620</wp:posOffset>
                </wp:positionV>
                <wp:extent cx="2170430" cy="286385"/>
                <wp:effectExtent l="4445" t="4445" r="19685" b="13970"/>
                <wp:wrapNone/>
                <wp:docPr id="3" name="Text Box 7"/>
                <wp:cNvGraphicFramePr/>
                <a:graphic xmlns:a="http://schemas.openxmlformats.org/drawingml/2006/main">
                  <a:graphicData uri="http://schemas.microsoft.com/office/word/2010/wordprocessingShape">
                    <wps:wsp>
                      <wps:cNvSpPr txBox="1"/>
                      <wps:spPr>
                        <a:xfrm>
                          <a:off x="0" y="0"/>
                          <a:ext cx="2170430" cy="286385"/>
                        </a:xfrm>
                        <a:prstGeom prst="rect">
                          <a:avLst/>
                        </a:prstGeom>
                        <a:noFill/>
                        <a:ln w="9525" cap="flat" cmpd="sng">
                          <a:solidFill>
                            <a:srgbClr val="000000"/>
                          </a:solidFill>
                          <a:prstDash val="solid"/>
                          <a:miter/>
                          <a:headEnd type="none" w="med" len="med"/>
                          <a:tailEnd type="none" w="med" len="med"/>
                        </a:ln>
                      </wps:spPr>
                      <wps:txbx>
                        <w:txbxContent>
                          <w:p>
                            <w:pPr>
                              <w:rPr>
                                <w:rFonts w:hint="default" w:asciiTheme="minorEastAsia" w:hAnsiTheme="minorEastAsia" w:eastAsiaTheme="minorEastAsia"/>
                                <w:lang w:val="en-US" w:eastAsia="zh-CN"/>
                              </w:rPr>
                            </w:pPr>
                            <w:r>
                              <w:rPr>
                                <w:rFonts w:hint="eastAsia" w:asciiTheme="minorEastAsia" w:hAnsiTheme="minorEastAsia" w:eastAsiaTheme="minorEastAsia"/>
                              </w:rPr>
                              <w:t>合同编号：</w:t>
                            </w:r>
                            <w:r>
                              <w:rPr>
                                <w:rFonts w:asciiTheme="minorEastAsia" w:hAnsiTheme="minorEastAsia" w:eastAsiaTheme="minorEastAsia"/>
                              </w:rPr>
                              <w:t>ZJLQ-FG-</w:t>
                            </w:r>
                            <w:r>
                              <w:rPr>
                                <w:rFonts w:hint="eastAsia" w:asciiTheme="minorEastAsia" w:hAnsiTheme="minorEastAsia" w:eastAsiaTheme="minorEastAsia"/>
                                <w:lang w:val="en-US" w:eastAsia="zh-CN"/>
                              </w:rPr>
                              <w:t>商砼</w:t>
                            </w:r>
                            <w:r>
                              <w:rPr>
                                <w:rFonts w:hint="eastAsia" w:asciiTheme="minorEastAsia" w:hAnsiTheme="minorEastAsia" w:eastAsiaTheme="minorEastAsia"/>
                              </w:rPr>
                              <w:t>-</w:t>
                            </w:r>
                            <w:r>
                              <w:rPr>
                                <w:rFonts w:hint="eastAsia" w:asciiTheme="minorEastAsia" w:hAnsiTheme="minorEastAsia" w:eastAsiaTheme="minorEastAsia"/>
                                <w:lang w:val="en-US" w:eastAsia="zh-CN"/>
                              </w:rPr>
                              <w:t>2023008</w:t>
                            </w:r>
                            <w:r>
                              <w:rPr>
                                <w:rFonts w:hint="eastAsia" w:asciiTheme="minorEastAsia" w:hAnsiTheme="minorEastAsia" w:eastAsiaTheme="minorEastAsia"/>
                                <w:lang w:val="en-US" w:eastAsia="zh-CN"/>
                              </w:rPr>
                              <w:tab/>
                            </w:r>
                          </w:p>
                        </w:txbxContent>
                      </wps:txbx>
                      <wps:bodyPr upright="1"/>
                    </wps:wsp>
                  </a:graphicData>
                </a:graphic>
              </wp:anchor>
            </w:drawing>
          </mc:Choice>
          <mc:Fallback>
            <w:pict>
              <v:shape id="Text Box 7" o:spid="_x0000_s1026" o:spt="202" type="#_x0000_t202" style="position:absolute;left:0pt;margin-left:243.65pt;margin-top:0.6pt;height:22.55pt;width:170.9pt;z-index:251660288;mso-width-relative:page;mso-height-relative:page;" filled="f" stroked="t" coordsize="21600,21600" o:gfxdata="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StWf3VAAAACAEAAA8AAAAAAAAAAQAgAAAAIgAAAGRycy9kb3ducmV2LnhtbFBLAQIU&#10;ABQAAAAIAIdO4kCAEDGG9gEAAAwEAAAOAAAAAAAAAAEAIAAAACQBAABkcnMvZTJvRG9jLnhtbFBL&#10;BQYAAAAABgAGAFkBAACMBQAAAAA=&#10;">
                <v:fill on="f" focussize="0,0"/>
                <v:stroke color="#000000" joinstyle="miter"/>
                <v:imagedata o:title=""/>
                <o:lock v:ext="edit" aspectratio="f"/>
                <v:textbox>
                  <w:txbxContent>
                    <w:p>
                      <w:pPr>
                        <w:rPr>
                          <w:rFonts w:hint="default" w:asciiTheme="minorEastAsia" w:hAnsiTheme="minorEastAsia" w:eastAsiaTheme="minorEastAsia"/>
                          <w:lang w:val="en-US" w:eastAsia="zh-CN"/>
                        </w:rPr>
                      </w:pPr>
                      <w:r>
                        <w:rPr>
                          <w:rFonts w:hint="eastAsia" w:asciiTheme="minorEastAsia" w:hAnsiTheme="minorEastAsia" w:eastAsiaTheme="minorEastAsia"/>
                        </w:rPr>
                        <w:t>合同编号：</w:t>
                      </w:r>
                      <w:r>
                        <w:rPr>
                          <w:rFonts w:asciiTheme="minorEastAsia" w:hAnsiTheme="minorEastAsia" w:eastAsiaTheme="minorEastAsia"/>
                        </w:rPr>
                        <w:t>ZJLQ-FG-</w:t>
                      </w:r>
                      <w:r>
                        <w:rPr>
                          <w:rFonts w:hint="eastAsia" w:asciiTheme="minorEastAsia" w:hAnsiTheme="minorEastAsia" w:eastAsiaTheme="minorEastAsia"/>
                          <w:lang w:val="en-US" w:eastAsia="zh-CN"/>
                        </w:rPr>
                        <w:t>商砼</w:t>
                      </w:r>
                      <w:r>
                        <w:rPr>
                          <w:rFonts w:hint="eastAsia" w:asciiTheme="minorEastAsia" w:hAnsiTheme="minorEastAsia" w:eastAsiaTheme="minorEastAsia"/>
                        </w:rPr>
                        <w:t>-</w:t>
                      </w:r>
                      <w:r>
                        <w:rPr>
                          <w:rFonts w:hint="eastAsia" w:asciiTheme="minorEastAsia" w:hAnsiTheme="minorEastAsia" w:eastAsiaTheme="minorEastAsia"/>
                          <w:lang w:val="en-US" w:eastAsia="zh-CN"/>
                        </w:rPr>
                        <w:t>2023008</w:t>
                      </w:r>
                      <w:r>
                        <w:rPr>
                          <w:rFonts w:hint="eastAsia" w:asciiTheme="minorEastAsia" w:hAnsiTheme="minorEastAsia" w:eastAsiaTheme="minorEastAsia"/>
                          <w:lang w:val="en-US" w:eastAsia="zh-CN"/>
                        </w:rPr>
                        <w:tab/>
                      </w:r>
                    </w:p>
                  </w:txbxContent>
                </v:textbox>
              </v:shape>
            </w:pict>
          </mc:Fallback>
        </mc:AlternateContent>
      </w:r>
    </w:p>
    <w:p>
      <w:pPr>
        <w:tabs>
          <w:tab w:val="left" w:pos="8735"/>
        </w:tabs>
        <w:spacing w:line="360" w:lineRule="auto"/>
        <w:ind w:left="5355" w:leftChars="1250" w:hanging="2730" w:hangingChars="1300"/>
        <w:rPr>
          <w:rFonts w:ascii="宋体" w:hAnsi="宋体"/>
          <w:highlight w:val="none"/>
        </w:rPr>
      </w:pPr>
    </w:p>
    <w:p>
      <w:pPr>
        <w:spacing w:line="220" w:lineRule="atLeast"/>
        <w:jc w:val="center"/>
        <w:rPr>
          <w:rFonts w:ascii="黑体" w:hAnsi="黑体" w:eastAsia="黑体"/>
          <w:b/>
          <w:sz w:val="52"/>
          <w:szCs w:val="52"/>
          <w:highlight w:val="none"/>
        </w:rPr>
      </w:pPr>
    </w:p>
    <w:p>
      <w:pPr>
        <w:spacing w:line="220" w:lineRule="atLeast"/>
        <w:jc w:val="center"/>
        <w:rPr>
          <w:rFonts w:ascii="黑体" w:hAnsi="黑体" w:eastAsia="黑体"/>
          <w:b/>
          <w:sz w:val="52"/>
          <w:szCs w:val="52"/>
          <w:highlight w:val="none"/>
        </w:rPr>
      </w:pPr>
    </w:p>
    <w:p>
      <w:pPr>
        <w:spacing w:line="220" w:lineRule="atLeast"/>
        <w:jc w:val="center"/>
        <w:outlineLvl w:val="0"/>
        <w:rPr>
          <w:rFonts w:ascii="黑体" w:hAnsi="黑体" w:eastAsia="黑体"/>
          <w:b/>
          <w:sz w:val="52"/>
          <w:szCs w:val="52"/>
          <w:highlight w:val="none"/>
        </w:rPr>
      </w:pPr>
      <w:bookmarkStart w:id="0" w:name="_Toc29132"/>
      <w:r>
        <w:rPr>
          <w:rFonts w:hint="eastAsia" w:ascii="黑体" w:hAnsi="黑体" w:eastAsia="黑体"/>
          <w:b/>
          <w:sz w:val="52"/>
          <w:szCs w:val="52"/>
          <w:highlight w:val="none"/>
        </w:rPr>
        <w:t>物资购销合同</w:t>
      </w:r>
      <w:bookmarkEnd w:id="0"/>
    </w:p>
    <w:p>
      <w:pPr>
        <w:spacing w:line="220" w:lineRule="atLeast"/>
        <w:jc w:val="center"/>
        <w:rPr>
          <w:rFonts w:ascii="宋体" w:hAnsi="宋体"/>
          <w:sz w:val="28"/>
          <w:szCs w:val="28"/>
          <w:highlight w:val="none"/>
        </w:rPr>
      </w:pPr>
      <w:r>
        <w:rPr>
          <w:rFonts w:hint="eastAsia" w:ascii="宋体" w:hAnsi="宋体"/>
          <w:sz w:val="28"/>
          <w:szCs w:val="28"/>
          <w:highlight w:val="none"/>
        </w:rPr>
        <w:t xml:space="preserve">                 </w:t>
      </w:r>
    </w:p>
    <w:p>
      <w:pPr>
        <w:spacing w:line="220" w:lineRule="atLeast"/>
        <w:jc w:val="center"/>
        <w:rPr>
          <w:rFonts w:ascii="黑体" w:hAnsi="黑体" w:eastAsia="黑体"/>
          <w:b/>
          <w:sz w:val="52"/>
          <w:szCs w:val="52"/>
          <w:highlight w:val="none"/>
        </w:rPr>
      </w:pPr>
      <w:r>
        <w:rPr>
          <w:rFonts w:hint="eastAsia" w:ascii="宋体" w:hAnsi="宋体"/>
          <w:sz w:val="28"/>
          <w:szCs w:val="28"/>
          <w:highlight w:val="none"/>
        </w:rPr>
        <w:t xml:space="preserve">                物资名称：</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砂石料</w:t>
      </w:r>
      <w:r>
        <w:rPr>
          <w:rFonts w:hint="eastAsia" w:ascii="宋体" w:hAnsi="宋体"/>
          <w:sz w:val="28"/>
          <w:szCs w:val="28"/>
          <w:highlight w:val="none"/>
          <w:u w:val="single"/>
        </w:rPr>
        <w:t xml:space="preserve">       </w:t>
      </w:r>
      <w:r>
        <w:rPr>
          <w:rFonts w:hint="eastAsia" w:ascii="宋体" w:hAnsi="宋体"/>
          <w:highlight w:val="none"/>
        </w:rPr>
        <w:t xml:space="preserve">  </w:t>
      </w:r>
      <w:r>
        <w:rPr>
          <w:rFonts w:ascii="宋体" w:hAnsi="宋体"/>
          <w:highlight w:val="none"/>
        </w:rPr>
        <mc:AlternateContent>
          <mc:Choice Requires="wpg">
            <w:drawing>
              <wp:inline distT="0" distB="0" distL="114300" distR="114300">
                <wp:extent cx="1257300" cy="297180"/>
                <wp:effectExtent l="0" t="0" r="0" b="0"/>
                <wp:docPr id="2"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57300" cy="297180"/>
                          <a:chOff x="0" y="0"/>
                          <a:chExt cx="1721" cy="408203"/>
                        </a:xfrm>
                      </wpg:grpSpPr>
                      <wps:wsp>
                        <wps:cNvPr id="1" name="Picture 6"/>
                        <wps:cNvSpPr>
                          <a:spLocks noChangeAspect="1"/>
                        </wps:cNvSpPr>
                        <wps:spPr>
                          <a:xfrm>
                            <a:off x="0" y="0"/>
                            <a:ext cx="1721" cy="408"/>
                          </a:xfrm>
                          <a:prstGeom prst="rect">
                            <a:avLst/>
                          </a:prstGeom>
                          <a:noFill/>
                          <a:ln>
                            <a:noFill/>
                          </a:ln>
                        </wps:spPr>
                        <wps:bodyPr upright="1"/>
                      </wps:wsp>
                    </wpg:wgp>
                  </a:graphicData>
                </a:graphic>
              </wp:inline>
            </w:drawing>
          </mc:Choice>
          <mc:Fallback>
            <w:pict>
              <v:group id="Group 5" o:spid="_x0000_s1026" o:spt="203" style="height:23.4pt;width:99pt;" coordsize="1721,408203" o:gfxdata="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azBsTVAAAABAEAAA8AAAAAAAAAAQAgAAAAIgAAAGRycy9kb3ducmV2&#10;LnhtbFBLAQIUABQAAAAIAIdO4kC1/co+/wEAALoEAAAOAAAAAAAAAAEAIAAAACQBAABkcnMvZTJv&#10;RG9jLnhtbFBLBQYAAAAABgAGAFkBAACVBQAAAAA=&#10;">
                <o:lock v:ext="edit" aspectratio="t"/>
                <v:rect id="Picture 6" o:spid="_x0000_s1026" o:spt="1" style="position:absolute;left:0;top:0;height:408;width:1721;"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w10:wrap type="none"/>
                <w10:anchorlock/>
              </v:group>
            </w:pict>
          </mc:Fallback>
        </mc:AlternateContent>
      </w:r>
    </w:p>
    <w:p>
      <w:pPr>
        <w:spacing w:line="360" w:lineRule="auto"/>
        <w:jc w:val="center"/>
        <w:outlineLvl w:val="9"/>
        <w:rPr>
          <w:rFonts w:ascii="宋体" w:hAnsi="宋体"/>
          <w:b/>
          <w:spacing w:val="-20"/>
          <w:sz w:val="48"/>
          <w:szCs w:val="48"/>
          <w:highlight w:val="none"/>
        </w:rPr>
      </w:pPr>
    </w:p>
    <w:p>
      <w:pPr>
        <w:spacing w:line="360" w:lineRule="auto"/>
        <w:outlineLvl w:val="9"/>
        <w:rPr>
          <w:rFonts w:ascii="宋体" w:hAnsi="宋体"/>
          <w:b/>
          <w:spacing w:val="-20"/>
          <w:sz w:val="52"/>
          <w:szCs w:val="52"/>
          <w:highlight w:val="none"/>
        </w:rPr>
      </w:pPr>
    </w:p>
    <w:p>
      <w:pPr>
        <w:spacing w:line="360" w:lineRule="auto"/>
        <w:rPr>
          <w:rFonts w:ascii="宋体" w:hAnsi="宋体"/>
          <w:b/>
          <w:sz w:val="24"/>
          <w:highlight w:val="none"/>
          <w:u w:val="single"/>
        </w:rPr>
      </w:pPr>
    </w:p>
    <w:p>
      <w:pPr>
        <w:spacing w:line="360" w:lineRule="auto"/>
        <w:rPr>
          <w:rFonts w:ascii="宋体" w:hAnsi="宋体"/>
          <w:b/>
          <w:sz w:val="24"/>
          <w:highlight w:val="none"/>
          <w:u w:val="single"/>
        </w:rPr>
      </w:pPr>
      <w:r>
        <w:rPr>
          <w:rFonts w:hint="eastAsia" w:ascii="宋体" w:hAnsi="宋体"/>
          <w:b/>
          <w:sz w:val="24"/>
          <w:highlight w:val="none"/>
          <w:u w:val="single"/>
        </w:rPr>
        <w:br w:type="textWrapping"/>
      </w:r>
    </w:p>
    <w:p>
      <w:pPr>
        <w:spacing w:line="360" w:lineRule="auto"/>
        <w:ind w:left="3780" w:leftChars="1200" w:hanging="1260" w:hangingChars="450"/>
        <w:rPr>
          <w:rFonts w:ascii="宋体" w:hAnsi="宋体"/>
          <w:sz w:val="28"/>
          <w:szCs w:val="28"/>
          <w:highlight w:val="none"/>
          <w:u w:val="single"/>
        </w:rPr>
      </w:pPr>
      <w:r>
        <w:rPr>
          <w:rFonts w:hint="eastAsia" w:ascii="宋体" w:hAnsi="宋体"/>
          <w:sz w:val="28"/>
          <w:szCs w:val="28"/>
          <w:highlight w:val="none"/>
        </w:rPr>
        <w:t>甲方：</w:t>
      </w:r>
      <w:r>
        <w:rPr>
          <w:rFonts w:hint="eastAsia" w:ascii="宋体" w:hAnsi="宋体"/>
          <w:sz w:val="28"/>
          <w:szCs w:val="28"/>
          <w:u w:val="single"/>
        </w:rPr>
        <w:t>中建路桥集团装配式建筑有限公司</w:t>
      </w:r>
    </w:p>
    <w:p>
      <w:pPr>
        <w:spacing w:line="360" w:lineRule="auto"/>
        <w:ind w:firstLine="2520" w:firstLineChars="900"/>
        <w:rPr>
          <w:rFonts w:ascii="宋体" w:hAnsi="宋体"/>
          <w:sz w:val="28"/>
          <w:szCs w:val="28"/>
          <w:highlight w:val="none"/>
          <w:u w:val="single"/>
        </w:rPr>
      </w:pPr>
      <w:r>
        <w:rPr>
          <w:rFonts w:hint="eastAsia" w:ascii="宋体" w:hAnsi="宋体"/>
          <w:sz w:val="28"/>
          <w:szCs w:val="28"/>
          <w:highlight w:val="none"/>
        </w:rPr>
        <w:t>乙方：</w:t>
      </w:r>
      <w:r>
        <w:rPr>
          <w:rFonts w:hint="eastAsia" w:ascii="宋体" w:hAnsi="宋体"/>
          <w:sz w:val="28"/>
          <w:szCs w:val="28"/>
          <w:highlight w:val="none"/>
          <w:u w:val="single"/>
        </w:rPr>
        <w:t xml:space="preserve">                    </w:t>
      </w:r>
    </w:p>
    <w:p>
      <w:pPr>
        <w:spacing w:line="360" w:lineRule="auto"/>
        <w:ind w:firstLine="1687" w:firstLineChars="700"/>
        <w:rPr>
          <w:rFonts w:ascii="宋体" w:hAnsi="宋体"/>
          <w:b/>
          <w:sz w:val="24"/>
          <w:highlight w:val="none"/>
          <w:u w:val="single"/>
        </w:rPr>
      </w:pPr>
    </w:p>
    <w:p>
      <w:pPr>
        <w:spacing w:line="360" w:lineRule="auto"/>
        <w:ind w:firstLine="1687" w:firstLineChars="700"/>
        <w:rPr>
          <w:rFonts w:ascii="宋体" w:hAnsi="宋体"/>
          <w:b/>
          <w:sz w:val="24"/>
          <w:highlight w:val="none"/>
          <w:u w:val="single"/>
        </w:rPr>
      </w:pPr>
    </w:p>
    <w:p>
      <w:pPr>
        <w:spacing w:line="360" w:lineRule="auto"/>
        <w:rPr>
          <w:rFonts w:ascii="宋体" w:hAnsi="宋体"/>
          <w:b/>
          <w:sz w:val="24"/>
          <w:highlight w:val="none"/>
          <w:u w:val="single"/>
        </w:rPr>
      </w:pPr>
    </w:p>
    <w:p>
      <w:pPr>
        <w:spacing w:line="360" w:lineRule="auto"/>
        <w:jc w:val="center"/>
        <w:rPr>
          <w:rFonts w:ascii="宋体" w:hAnsi="宋体"/>
          <w:sz w:val="28"/>
          <w:szCs w:val="28"/>
          <w:highlight w:val="none"/>
        </w:rPr>
      </w:pPr>
      <w:r>
        <w:rPr>
          <w:rFonts w:hint="eastAsia" w:ascii="宋体" w:hAnsi="宋体"/>
          <w:sz w:val="28"/>
          <w:szCs w:val="28"/>
          <w:highlight w:val="none"/>
        </w:rPr>
        <w:t>合同订立日期：</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2023</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pPr>
        <w:spacing w:line="360" w:lineRule="auto"/>
        <w:jc w:val="center"/>
        <w:rPr>
          <w:rFonts w:ascii="宋体" w:hAnsi="宋体"/>
          <w:sz w:val="28"/>
          <w:szCs w:val="28"/>
          <w:highlight w:val="none"/>
        </w:rPr>
      </w:pPr>
      <w:r>
        <w:rPr>
          <w:rFonts w:hint="eastAsia" w:ascii="宋体" w:hAnsi="宋体"/>
          <w:sz w:val="28"/>
          <w:szCs w:val="28"/>
          <w:highlight w:val="none"/>
        </w:rPr>
        <w:t>合同订立地点：石家庄市</w:t>
      </w:r>
    </w:p>
    <w:p>
      <w:pPr>
        <w:rPr>
          <w:highlight w:val="none"/>
        </w:rPr>
      </w:pPr>
    </w:p>
    <w:p>
      <w:pPr>
        <w:rPr>
          <w:rFonts w:ascii="宋体" w:hAnsi="宋体"/>
          <w:b/>
          <w:sz w:val="36"/>
          <w:szCs w:val="36"/>
          <w:highlight w:val="none"/>
        </w:rPr>
      </w:pPr>
      <w:r>
        <w:rPr>
          <w:rFonts w:ascii="宋体" w:hAnsi="宋体"/>
          <w:b/>
          <w:sz w:val="36"/>
          <w:szCs w:val="36"/>
          <w:highlight w:val="none"/>
        </w:rPr>
        <w:br w:type="page"/>
      </w:r>
      <w:r>
        <w:rPr>
          <w:rFonts w:hint="eastAsia" w:ascii="宋体" w:hAnsi="宋体"/>
          <w:b/>
          <w:sz w:val="36"/>
          <w:szCs w:val="36"/>
          <w:highlight w:val="none"/>
          <w:lang w:val="en-US" w:eastAsia="zh-CN"/>
        </w:rPr>
        <w:t xml:space="preserve">                 </w:t>
      </w:r>
      <w:r>
        <w:rPr>
          <w:rFonts w:hint="eastAsia" w:ascii="宋体" w:hAnsi="宋体"/>
          <w:b/>
          <w:sz w:val="36"/>
          <w:szCs w:val="36"/>
          <w:highlight w:val="none"/>
        </w:rPr>
        <w:t>物资购销合同</w:t>
      </w:r>
    </w:p>
    <w:p>
      <w:pPr>
        <w:spacing w:before="249" w:beforeLines="80" w:line="220" w:lineRule="atLeast"/>
        <w:jc w:val="center"/>
        <w:outlineLvl w:val="0"/>
        <w:rPr>
          <w:rFonts w:ascii="宋体" w:hAnsi="宋体"/>
          <w:b/>
          <w:sz w:val="30"/>
          <w:szCs w:val="30"/>
          <w:highlight w:val="none"/>
        </w:rPr>
      </w:pPr>
      <w:bookmarkStart w:id="1" w:name="_Toc24315"/>
      <w:r>
        <w:rPr>
          <w:rFonts w:hint="eastAsia" w:ascii="宋体" w:hAnsi="宋体"/>
          <w:b/>
          <w:sz w:val="30"/>
          <w:szCs w:val="30"/>
          <w:highlight w:val="none"/>
        </w:rPr>
        <w:t>第一部分  合同</w:t>
      </w:r>
      <w:r>
        <w:rPr>
          <w:rFonts w:ascii="宋体" w:hAnsi="宋体"/>
          <w:b/>
          <w:sz w:val="30"/>
          <w:szCs w:val="30"/>
          <w:highlight w:val="none"/>
        </w:rPr>
        <w:t>协议书</w:t>
      </w:r>
      <w:bookmarkEnd w:id="1"/>
    </w:p>
    <w:p>
      <w:pPr>
        <w:spacing w:line="400" w:lineRule="exact"/>
        <w:rPr>
          <w:rFonts w:ascii="宋体" w:hAnsi="宋体"/>
          <w:szCs w:val="21"/>
          <w:highlight w:val="none"/>
        </w:rPr>
      </w:pPr>
      <w:r>
        <w:rPr>
          <w:rFonts w:hint="eastAsia" w:ascii="宋体" w:hAnsi="宋体"/>
          <w:szCs w:val="21"/>
          <w:highlight w:val="none"/>
        </w:rPr>
        <w:t>甲方（需方）：</w:t>
      </w:r>
      <w:r>
        <w:rPr>
          <w:rFonts w:hint="eastAsia" w:ascii="宋体" w:hAnsi="宋体" w:eastAsia="宋体" w:cs="宋体"/>
          <w:color w:val="000000"/>
          <w:u w:val="single"/>
        </w:rPr>
        <w:t>中建路桥集团装配式建筑有限公司</w:t>
      </w:r>
    </w:p>
    <w:p>
      <w:pPr>
        <w:tabs>
          <w:tab w:val="center" w:pos="5081"/>
        </w:tabs>
        <w:spacing w:line="400" w:lineRule="exact"/>
        <w:rPr>
          <w:rFonts w:ascii="宋体" w:hAnsi="宋体"/>
          <w:szCs w:val="21"/>
          <w:highlight w:val="none"/>
          <w:u w:val="single"/>
        </w:rPr>
      </w:pPr>
      <w:r>
        <w:rPr>
          <w:rFonts w:hint="eastAsia" w:ascii="宋体" w:hAnsi="宋体"/>
          <w:szCs w:val="21"/>
          <w:highlight w:val="none"/>
        </w:rPr>
        <w:t>乙方（供方）：</w:t>
      </w:r>
      <w:r>
        <w:rPr>
          <w:rFonts w:hint="eastAsia" w:ascii="宋体" w:hAnsi="宋体"/>
          <w:szCs w:val="21"/>
          <w:highlight w:val="none"/>
          <w:u w:val="single"/>
        </w:rPr>
        <w:t xml:space="preserve">                   </w:t>
      </w:r>
    </w:p>
    <w:p>
      <w:pPr>
        <w:pStyle w:val="27"/>
        <w:spacing w:beforeLines="0" w:line="400" w:lineRule="exact"/>
        <w:jc w:val="left"/>
        <w:rPr>
          <w:highlight w:val="none"/>
        </w:rPr>
      </w:pPr>
      <w:r>
        <w:rPr>
          <w:rFonts w:hint="eastAsia"/>
          <w:highlight w:val="none"/>
        </w:rPr>
        <w:t>依据《中华人民共和国民法典》及相关法律、法规，遵循平等、自愿、公平和诚实信用的原则，为明确甲方与乙方的权利和义务，经双方协商就物资采购事宜达成一致意见，特签订本合同，双方共同遵照执行。</w:t>
      </w:r>
    </w:p>
    <w:p>
      <w:pPr>
        <w:spacing w:line="400" w:lineRule="exact"/>
        <w:ind w:firstLine="422" w:firstLineChars="200"/>
        <w:jc w:val="left"/>
        <w:outlineLvl w:val="1"/>
        <w:rPr>
          <w:rFonts w:ascii="宋体" w:hAnsi="宋体"/>
          <w:b/>
          <w:szCs w:val="21"/>
          <w:highlight w:val="none"/>
        </w:rPr>
      </w:pPr>
      <w:bookmarkStart w:id="2" w:name="_Toc26395"/>
      <w:r>
        <w:rPr>
          <w:rFonts w:hint="eastAsia" w:ascii="宋体" w:hAnsi="宋体"/>
          <w:b/>
          <w:szCs w:val="21"/>
          <w:highlight w:val="none"/>
        </w:rPr>
        <w:t>一、项目名称和项目地点</w:t>
      </w:r>
      <w:bookmarkEnd w:id="2"/>
    </w:p>
    <w:p>
      <w:pPr>
        <w:spacing w:line="400" w:lineRule="exact"/>
        <w:ind w:firstLine="420" w:firstLineChars="200"/>
        <w:jc w:val="left"/>
        <w:rPr>
          <w:rFonts w:ascii="宋体" w:hAnsi="宋体"/>
          <w:szCs w:val="21"/>
          <w:highlight w:val="none"/>
        </w:rPr>
      </w:pPr>
      <w:r>
        <w:rPr>
          <w:rFonts w:ascii="宋体" w:hAnsi="宋体"/>
          <w:szCs w:val="21"/>
          <w:highlight w:val="none"/>
        </w:rPr>
        <w:t>(</w:t>
      </w:r>
      <w:r>
        <w:rPr>
          <w:rFonts w:hint="eastAsia" w:ascii="宋体" w:hAnsi="宋体"/>
          <w:szCs w:val="21"/>
          <w:highlight w:val="none"/>
        </w:rPr>
        <w:t>一)项目名称：</w:t>
      </w:r>
      <w:r>
        <w:rPr>
          <w:rFonts w:hint="eastAsia" w:ascii="宋体" w:hAnsi="宋体" w:eastAsia="宋体" w:cs="宋体"/>
          <w:u w:val="single"/>
        </w:rPr>
        <w:t xml:space="preserve">中建路桥集团装配式建筑有限公司商砼运营部 </w:t>
      </w:r>
      <w:r>
        <w:rPr>
          <w:rFonts w:hint="eastAsia" w:ascii="宋体" w:hAnsi="宋体"/>
          <w:szCs w:val="21"/>
          <w:highlight w:val="none"/>
        </w:rPr>
        <w:t>。</w:t>
      </w:r>
    </w:p>
    <w:p>
      <w:pPr>
        <w:spacing w:line="400" w:lineRule="exact"/>
        <w:ind w:firstLine="420" w:firstLineChars="200"/>
        <w:jc w:val="left"/>
        <w:rPr>
          <w:rFonts w:ascii="宋体" w:hAnsi="宋体"/>
          <w:szCs w:val="21"/>
          <w:highlight w:val="none"/>
        </w:rPr>
      </w:pPr>
      <w:r>
        <w:rPr>
          <w:rFonts w:hint="eastAsia" w:ascii="宋体" w:hAnsi="宋体"/>
          <w:szCs w:val="21"/>
          <w:highlight w:val="none"/>
        </w:rPr>
        <w:t>(二)项目地点：</w:t>
      </w:r>
      <w:r>
        <w:rPr>
          <w:rFonts w:hint="eastAsia" w:ascii="宋体" w:hAnsi="宋体" w:eastAsia="宋体" w:cs="宋体"/>
          <w:u w:val="single"/>
        </w:rPr>
        <w:t>河北省沧州市渤海新区建材园</w:t>
      </w:r>
      <w:r>
        <w:rPr>
          <w:rFonts w:hint="eastAsia" w:ascii="宋体" w:hAnsi="宋体"/>
          <w:szCs w:val="21"/>
          <w:highlight w:val="none"/>
          <w:u w:val="single"/>
        </w:rPr>
        <w:t xml:space="preserve"> </w:t>
      </w:r>
      <w:r>
        <w:rPr>
          <w:rFonts w:hint="eastAsia" w:ascii="宋体" w:hAnsi="宋体"/>
          <w:szCs w:val="21"/>
          <w:highlight w:val="none"/>
        </w:rPr>
        <w:t>。</w:t>
      </w:r>
    </w:p>
    <w:p>
      <w:pPr>
        <w:spacing w:line="400" w:lineRule="exact"/>
        <w:ind w:firstLine="422" w:firstLineChars="200"/>
        <w:outlineLvl w:val="1"/>
        <w:rPr>
          <w:rFonts w:ascii="宋体" w:hAnsi="宋体"/>
          <w:color w:val="000000" w:themeColor="text1"/>
          <w:szCs w:val="21"/>
          <w:highlight w:val="none"/>
          <w:u w:val="single"/>
          <w14:textFill>
            <w14:solidFill>
              <w14:schemeClr w14:val="tx1"/>
            </w14:solidFill>
          </w14:textFill>
        </w:rPr>
      </w:pPr>
      <w:bookmarkStart w:id="3" w:name="_Toc16740"/>
      <w:r>
        <w:rPr>
          <w:rFonts w:hint="eastAsia" w:ascii="宋体" w:hAnsi="宋体"/>
          <w:b/>
          <w:color w:val="000000" w:themeColor="text1"/>
          <w:szCs w:val="21"/>
          <w:highlight w:val="none"/>
          <w14:textFill>
            <w14:solidFill>
              <w14:schemeClr w14:val="tx1"/>
            </w14:solidFill>
          </w14:textFill>
        </w:rPr>
        <w:t>二、物资信息</w:t>
      </w:r>
      <w:bookmarkEnd w:id="3"/>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一)综合单价</w:t>
      </w:r>
    </w:p>
    <w:tbl>
      <w:tblPr>
        <w:tblStyle w:val="14"/>
        <w:tblpPr w:leftFromText="180" w:rightFromText="180" w:vertAnchor="text" w:horzAnchor="page" w:tblpX="1659" w:tblpY="15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34"/>
        <w:gridCol w:w="992"/>
        <w:gridCol w:w="709"/>
        <w:gridCol w:w="709"/>
        <w:gridCol w:w="1134"/>
        <w:gridCol w:w="992"/>
        <w:gridCol w:w="709"/>
        <w:gridCol w:w="70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dxa"/>
            <w:vMerge w:val="restart"/>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134" w:type="dxa"/>
            <w:vMerge w:val="restart"/>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物资名称</w:t>
            </w:r>
          </w:p>
        </w:tc>
        <w:tc>
          <w:tcPr>
            <w:tcW w:w="992" w:type="dxa"/>
            <w:vMerge w:val="restart"/>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规格</w:t>
            </w:r>
          </w:p>
        </w:tc>
        <w:tc>
          <w:tcPr>
            <w:tcW w:w="709" w:type="dxa"/>
            <w:vMerge w:val="restart"/>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w:t>
            </w:r>
          </w:p>
        </w:tc>
        <w:tc>
          <w:tcPr>
            <w:tcW w:w="709" w:type="dxa"/>
            <w:vMerge w:val="restart"/>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暂定数量</w:t>
            </w:r>
          </w:p>
        </w:tc>
        <w:tc>
          <w:tcPr>
            <w:tcW w:w="3543" w:type="dxa"/>
            <w:gridSpan w:val="4"/>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综合单价（</w:t>
            </w:r>
            <w:r>
              <w:rPr>
                <w:rFonts w:hint="eastAsia" w:ascii="宋体" w:hAnsi="宋体"/>
                <w:color w:val="000000" w:themeColor="text1"/>
                <w:szCs w:val="21"/>
                <w:highlight w:val="none"/>
                <w:lang w:val="en-US" w:eastAsia="zh-CN"/>
                <w14:textFill>
                  <w14:solidFill>
                    <w14:schemeClr w14:val="tx1"/>
                  </w14:solidFill>
                </w14:textFill>
              </w:rPr>
              <w:t>元/吨</w:t>
            </w:r>
            <w:r>
              <w:rPr>
                <w:rFonts w:hint="eastAsia" w:ascii="宋体" w:hAnsi="宋体"/>
                <w:color w:val="000000" w:themeColor="text1"/>
                <w:szCs w:val="21"/>
                <w:highlight w:val="none"/>
                <w14:textFill>
                  <w14:solidFill>
                    <w14:schemeClr w14:val="tx1"/>
                  </w14:solidFill>
                </w14:textFill>
              </w:rPr>
              <w:t>）</w:t>
            </w:r>
          </w:p>
        </w:tc>
        <w:tc>
          <w:tcPr>
            <w:tcW w:w="1843" w:type="dxa"/>
            <w:vMerge w:val="restart"/>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金额合计（元）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2" w:type="dxa"/>
            <w:vMerge w:val="continue"/>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c>
          <w:tcPr>
            <w:tcW w:w="1134" w:type="dxa"/>
            <w:vMerge w:val="continue"/>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c>
          <w:tcPr>
            <w:tcW w:w="992" w:type="dxa"/>
            <w:vMerge w:val="continue"/>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c>
          <w:tcPr>
            <w:tcW w:w="709" w:type="dxa"/>
            <w:vMerge w:val="continue"/>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c>
          <w:tcPr>
            <w:tcW w:w="709" w:type="dxa"/>
            <w:vMerge w:val="continue"/>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c>
          <w:tcPr>
            <w:tcW w:w="1134" w:type="dxa"/>
            <w:vAlign w:val="center"/>
          </w:tcPr>
          <w:p>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单价（不含税）</w:t>
            </w:r>
          </w:p>
        </w:tc>
        <w:tc>
          <w:tcPr>
            <w:tcW w:w="992" w:type="dxa"/>
            <w:vAlign w:val="center"/>
          </w:tcPr>
          <w:p>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发票票面税率</w:t>
            </w:r>
          </w:p>
        </w:tc>
        <w:tc>
          <w:tcPr>
            <w:tcW w:w="709" w:type="dxa"/>
            <w:vAlign w:val="center"/>
          </w:tcPr>
          <w:p>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税额</w:t>
            </w:r>
          </w:p>
        </w:tc>
        <w:tc>
          <w:tcPr>
            <w:tcW w:w="708" w:type="dxa"/>
            <w:vAlign w:val="center"/>
          </w:tcPr>
          <w:p>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价税合计</w:t>
            </w:r>
          </w:p>
        </w:tc>
        <w:tc>
          <w:tcPr>
            <w:tcW w:w="1843" w:type="dxa"/>
            <w:vMerge w:val="continue"/>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92" w:type="dxa"/>
            <w:shd w:val="clear" w:color="auto" w:fill="auto"/>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shd w:val="clear" w:color="auto" w:fill="auto"/>
            <w:vAlign w:val="center"/>
          </w:tcPr>
          <w:p>
            <w:pPr>
              <w:adjustRightInd w:val="0"/>
              <w:snapToGrid w:val="0"/>
              <w:spacing w:line="360" w:lineRule="auto"/>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碎石</w:t>
            </w:r>
          </w:p>
        </w:tc>
        <w:tc>
          <w:tcPr>
            <w:tcW w:w="992" w:type="dxa"/>
            <w:shd w:val="clear" w:color="auto" w:fill="auto"/>
            <w:vAlign w:val="center"/>
          </w:tcPr>
          <w:p>
            <w:pPr>
              <w:adjustRightInd w:val="0"/>
              <w:snapToGrid w:val="0"/>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5-10</w:t>
            </w:r>
          </w:p>
        </w:tc>
        <w:tc>
          <w:tcPr>
            <w:tcW w:w="709" w:type="dxa"/>
            <w:shd w:val="clear" w:color="auto" w:fill="auto"/>
            <w:vAlign w:val="center"/>
          </w:tcPr>
          <w:p>
            <w:pPr>
              <w:adjustRightInd w:val="0"/>
              <w:snapToGrid w:val="0"/>
              <w:spacing w:line="360" w:lineRule="auto"/>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吨</w:t>
            </w:r>
          </w:p>
        </w:tc>
        <w:tc>
          <w:tcPr>
            <w:tcW w:w="709" w:type="dxa"/>
            <w:shd w:val="clear" w:color="auto" w:fill="auto"/>
            <w:vAlign w:val="center"/>
          </w:tcPr>
          <w:p>
            <w:pPr>
              <w:adjustRightInd w:val="0"/>
              <w:snapToGrid w:val="0"/>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800</w:t>
            </w:r>
          </w:p>
        </w:tc>
        <w:tc>
          <w:tcPr>
            <w:tcW w:w="1134"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992"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709"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708"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843" w:type="dxa"/>
            <w:shd w:val="clear" w:color="auto" w:fill="auto"/>
            <w:vAlign w:val="center"/>
          </w:tcPr>
          <w:p>
            <w:pPr>
              <w:widowControl/>
              <w:spacing w:line="360" w:lineRule="auto"/>
              <w:jc w:val="left"/>
              <w:textAlignment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392" w:type="dxa"/>
            <w:shd w:val="clear" w:color="auto" w:fill="auto"/>
            <w:vAlign w:val="center"/>
          </w:tcPr>
          <w:p>
            <w:pPr>
              <w:adjustRightInd w:val="0"/>
              <w:snapToGrid w:val="0"/>
              <w:spacing w:line="360" w:lineRule="auto"/>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1134" w:type="dxa"/>
            <w:shd w:val="clear" w:color="auto" w:fill="auto"/>
            <w:vAlign w:val="center"/>
          </w:tcPr>
          <w:p>
            <w:pPr>
              <w:adjustRightInd w:val="0"/>
              <w:snapToGrid w:val="0"/>
              <w:spacing w:line="360" w:lineRule="auto"/>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碎石</w:t>
            </w:r>
          </w:p>
        </w:tc>
        <w:tc>
          <w:tcPr>
            <w:tcW w:w="992" w:type="dxa"/>
            <w:shd w:val="clear" w:color="auto" w:fill="auto"/>
            <w:vAlign w:val="center"/>
          </w:tcPr>
          <w:p>
            <w:pPr>
              <w:adjustRightInd w:val="0"/>
              <w:snapToGrid w:val="0"/>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10-20</w:t>
            </w:r>
          </w:p>
        </w:tc>
        <w:tc>
          <w:tcPr>
            <w:tcW w:w="709" w:type="dxa"/>
            <w:shd w:val="clear" w:color="auto" w:fill="auto"/>
            <w:vAlign w:val="center"/>
          </w:tcPr>
          <w:p>
            <w:pPr>
              <w:adjustRightInd w:val="0"/>
              <w:snapToGrid w:val="0"/>
              <w:spacing w:line="360" w:lineRule="auto"/>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吨</w:t>
            </w:r>
          </w:p>
        </w:tc>
        <w:tc>
          <w:tcPr>
            <w:tcW w:w="709" w:type="dxa"/>
            <w:shd w:val="clear" w:color="auto" w:fill="auto"/>
            <w:vAlign w:val="center"/>
          </w:tcPr>
          <w:p>
            <w:pPr>
              <w:adjustRightInd w:val="0"/>
              <w:snapToGrid w:val="0"/>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800</w:t>
            </w:r>
          </w:p>
        </w:tc>
        <w:tc>
          <w:tcPr>
            <w:tcW w:w="1134"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992"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709"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708"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843" w:type="dxa"/>
            <w:shd w:val="clear" w:color="auto" w:fill="auto"/>
            <w:vAlign w:val="center"/>
          </w:tcPr>
          <w:p>
            <w:pPr>
              <w:widowControl/>
              <w:spacing w:line="360" w:lineRule="auto"/>
              <w:jc w:val="left"/>
              <w:textAlignment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392" w:type="dxa"/>
            <w:shd w:val="clear" w:color="auto" w:fill="auto"/>
            <w:vAlign w:val="center"/>
          </w:tcPr>
          <w:p>
            <w:pPr>
              <w:adjustRightInd w:val="0"/>
              <w:snapToGrid w:val="0"/>
              <w:spacing w:line="360" w:lineRule="auto"/>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p>
        </w:tc>
        <w:tc>
          <w:tcPr>
            <w:tcW w:w="1134" w:type="dxa"/>
            <w:shd w:val="clear" w:color="auto" w:fill="auto"/>
            <w:vAlign w:val="center"/>
          </w:tcPr>
          <w:p>
            <w:pPr>
              <w:adjustRightInd w:val="0"/>
              <w:snapToGrid w:val="0"/>
              <w:spacing w:line="360" w:lineRule="auto"/>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碎石</w:t>
            </w:r>
          </w:p>
        </w:tc>
        <w:tc>
          <w:tcPr>
            <w:tcW w:w="992" w:type="dxa"/>
            <w:shd w:val="clear" w:color="auto" w:fill="auto"/>
            <w:vAlign w:val="center"/>
          </w:tcPr>
          <w:p>
            <w:pPr>
              <w:adjustRightInd w:val="0"/>
              <w:snapToGrid w:val="0"/>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10-30</w:t>
            </w:r>
          </w:p>
        </w:tc>
        <w:tc>
          <w:tcPr>
            <w:tcW w:w="709" w:type="dxa"/>
            <w:shd w:val="clear" w:color="auto" w:fill="auto"/>
            <w:vAlign w:val="center"/>
          </w:tcPr>
          <w:p>
            <w:pPr>
              <w:adjustRightInd w:val="0"/>
              <w:snapToGrid w:val="0"/>
              <w:spacing w:line="360" w:lineRule="auto"/>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吨</w:t>
            </w:r>
          </w:p>
        </w:tc>
        <w:tc>
          <w:tcPr>
            <w:tcW w:w="709" w:type="dxa"/>
            <w:shd w:val="clear" w:color="auto" w:fill="auto"/>
            <w:vAlign w:val="center"/>
          </w:tcPr>
          <w:p>
            <w:pPr>
              <w:adjustRightInd w:val="0"/>
              <w:snapToGrid w:val="0"/>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700</w:t>
            </w:r>
          </w:p>
        </w:tc>
        <w:tc>
          <w:tcPr>
            <w:tcW w:w="1134"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992"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709"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708"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843" w:type="dxa"/>
            <w:shd w:val="clear" w:color="auto" w:fill="auto"/>
            <w:vAlign w:val="center"/>
          </w:tcPr>
          <w:p>
            <w:pPr>
              <w:widowControl/>
              <w:spacing w:line="360" w:lineRule="auto"/>
              <w:jc w:val="left"/>
              <w:textAlignment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392" w:type="dxa"/>
            <w:shd w:val="clear" w:color="auto" w:fill="auto"/>
            <w:vAlign w:val="center"/>
          </w:tcPr>
          <w:p>
            <w:pPr>
              <w:adjustRightInd w:val="0"/>
              <w:snapToGrid w:val="0"/>
              <w:spacing w:line="360" w:lineRule="auto"/>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p>
        </w:tc>
        <w:tc>
          <w:tcPr>
            <w:tcW w:w="1134" w:type="dxa"/>
            <w:shd w:val="clear" w:color="auto" w:fill="auto"/>
            <w:vAlign w:val="center"/>
          </w:tcPr>
          <w:p>
            <w:pPr>
              <w:adjustRightInd w:val="0"/>
              <w:snapToGrid w:val="0"/>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机制砂</w:t>
            </w:r>
          </w:p>
        </w:tc>
        <w:tc>
          <w:tcPr>
            <w:tcW w:w="992"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709"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709" w:type="dxa"/>
            <w:shd w:val="clear" w:color="auto" w:fill="auto"/>
            <w:vAlign w:val="center"/>
          </w:tcPr>
          <w:p>
            <w:pPr>
              <w:adjustRightInd w:val="0"/>
              <w:snapToGrid w:val="0"/>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700</w:t>
            </w:r>
          </w:p>
        </w:tc>
        <w:tc>
          <w:tcPr>
            <w:tcW w:w="1134"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992"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709"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708"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843" w:type="dxa"/>
            <w:shd w:val="clear" w:color="auto" w:fill="auto"/>
            <w:vAlign w:val="center"/>
          </w:tcPr>
          <w:p>
            <w:pPr>
              <w:widowControl/>
              <w:spacing w:line="360" w:lineRule="auto"/>
              <w:jc w:val="left"/>
              <w:textAlignment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392" w:type="dxa"/>
            <w:shd w:val="clear" w:color="auto" w:fill="auto"/>
            <w:vAlign w:val="center"/>
          </w:tcPr>
          <w:p>
            <w:pPr>
              <w:adjustRightInd w:val="0"/>
              <w:snapToGrid w:val="0"/>
              <w:spacing w:line="360" w:lineRule="auto"/>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p>
        </w:tc>
        <w:tc>
          <w:tcPr>
            <w:tcW w:w="1134" w:type="dxa"/>
            <w:shd w:val="clear" w:color="auto" w:fill="auto"/>
            <w:vAlign w:val="center"/>
          </w:tcPr>
          <w:p>
            <w:pPr>
              <w:adjustRightInd w:val="0"/>
              <w:snapToGrid w:val="0"/>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尾矿砂</w:t>
            </w:r>
          </w:p>
        </w:tc>
        <w:tc>
          <w:tcPr>
            <w:tcW w:w="992"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709"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709" w:type="dxa"/>
            <w:shd w:val="clear" w:color="auto" w:fill="auto"/>
            <w:vAlign w:val="center"/>
          </w:tcPr>
          <w:p>
            <w:pPr>
              <w:adjustRightInd w:val="0"/>
              <w:snapToGrid w:val="0"/>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800</w:t>
            </w:r>
          </w:p>
        </w:tc>
        <w:tc>
          <w:tcPr>
            <w:tcW w:w="1134"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992"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709"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708"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843" w:type="dxa"/>
            <w:shd w:val="clear" w:color="auto" w:fill="auto"/>
            <w:vAlign w:val="center"/>
          </w:tcPr>
          <w:p>
            <w:pPr>
              <w:widowControl/>
              <w:spacing w:line="360" w:lineRule="auto"/>
              <w:jc w:val="left"/>
              <w:textAlignment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tabs>
                <w:tab w:val="left" w:pos="2857"/>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不含税金额</w:t>
            </w:r>
            <w:r>
              <w:rPr>
                <w:rFonts w:ascii="宋体" w:hAnsi="宋体"/>
                <w:color w:val="000000" w:themeColor="text1"/>
                <w:szCs w:val="21"/>
                <w:highlight w:val="none"/>
                <w14:textFill>
                  <w14:solidFill>
                    <w14:schemeClr w14:val="tx1"/>
                  </w14:solidFill>
                </w14:textFill>
              </w:rPr>
              <w:t>合计</w:t>
            </w:r>
          </w:p>
        </w:tc>
        <w:tc>
          <w:tcPr>
            <w:tcW w:w="6804" w:type="dxa"/>
            <w:gridSpan w:val="7"/>
            <w:vAlign w:val="center"/>
          </w:tcPr>
          <w:p>
            <w:pPr>
              <w:tabs>
                <w:tab w:val="left" w:pos="2857"/>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tabs>
                <w:tab w:val="left" w:pos="2857"/>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税额</w:t>
            </w:r>
            <w:r>
              <w:rPr>
                <w:rFonts w:ascii="宋体" w:hAnsi="宋体"/>
                <w:color w:val="000000" w:themeColor="text1"/>
                <w:szCs w:val="21"/>
                <w:highlight w:val="none"/>
                <w14:textFill>
                  <w14:solidFill>
                    <w14:schemeClr w14:val="tx1"/>
                  </w14:solidFill>
                </w14:textFill>
              </w:rPr>
              <w:t>合计</w:t>
            </w:r>
          </w:p>
        </w:tc>
        <w:tc>
          <w:tcPr>
            <w:tcW w:w="6804" w:type="dxa"/>
            <w:gridSpan w:val="7"/>
            <w:vAlign w:val="center"/>
          </w:tcPr>
          <w:p>
            <w:pPr>
              <w:tabs>
                <w:tab w:val="left" w:pos="2857"/>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tabs>
                <w:tab w:val="left" w:pos="2857"/>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含税</w:t>
            </w:r>
            <w:r>
              <w:rPr>
                <w:rFonts w:ascii="宋体" w:hAnsi="宋体"/>
                <w:color w:val="000000" w:themeColor="text1"/>
                <w:szCs w:val="21"/>
                <w:highlight w:val="none"/>
                <w14:textFill>
                  <w14:solidFill>
                    <w14:schemeClr w14:val="tx1"/>
                  </w14:solidFill>
                </w14:textFill>
              </w:rPr>
              <w:t>金额合计</w:t>
            </w:r>
          </w:p>
        </w:tc>
        <w:tc>
          <w:tcPr>
            <w:tcW w:w="6804" w:type="dxa"/>
            <w:gridSpan w:val="7"/>
            <w:vAlign w:val="center"/>
          </w:tcPr>
          <w:p>
            <w:pPr>
              <w:tabs>
                <w:tab w:val="left" w:pos="2857"/>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9322" w:type="dxa"/>
            <w:gridSpan w:val="10"/>
            <w:vAlign w:val="center"/>
          </w:tcPr>
          <w:p>
            <w:pPr>
              <w:ind w:left="525" w:hanging="525" w:hangingChars="250"/>
              <w:jc w:val="left"/>
              <w:rPr>
                <w:rFonts w:cs="宋体" w:asciiTheme="minorEastAsia" w:hAnsiTheme="minorEastAsia"/>
                <w:color w:val="000000"/>
                <w:szCs w:val="21"/>
                <w:highlight w:val="none"/>
              </w:rPr>
            </w:pPr>
            <w:r>
              <w:rPr>
                <w:rFonts w:hint="eastAsia" w:cs="宋体" w:asciiTheme="minorEastAsia" w:hAnsiTheme="minorEastAsia"/>
                <w:color w:val="000000"/>
                <w:szCs w:val="21"/>
                <w:highlight w:val="none"/>
              </w:rPr>
              <w:t>1.合同所示的货物数量为暂定数量，最终结算数量以甲方通知进场且实际收到的合格产品数量为准。</w:t>
            </w:r>
          </w:p>
          <w:p>
            <w:pPr>
              <w:ind w:left="525" w:hanging="525" w:hangingChars="250"/>
              <w:jc w:val="left"/>
              <w:rPr>
                <w:rFonts w:cs="宋体" w:asciiTheme="minorEastAsia" w:hAnsiTheme="minorEastAsia"/>
                <w:szCs w:val="21"/>
                <w:highlight w:val="none"/>
              </w:rPr>
            </w:pPr>
            <w:r>
              <w:rPr>
                <w:rFonts w:hint="eastAsia" w:cs="宋体" w:asciiTheme="minorEastAsia" w:hAnsiTheme="minorEastAsia"/>
                <w:szCs w:val="21"/>
                <w:highlight w:val="none"/>
              </w:rPr>
              <w:t>甲方负责卸车。</w:t>
            </w:r>
          </w:p>
          <w:p>
            <w:pPr>
              <w:ind w:left="527" w:hanging="525" w:hangingChars="250"/>
              <w:jc w:val="left"/>
              <w:rPr>
                <w:rFonts w:cs="宋体" w:asciiTheme="minorEastAsia" w:hAnsiTheme="minorEastAsia"/>
                <w:color w:val="000000"/>
                <w:szCs w:val="21"/>
                <w:highlight w:val="none"/>
              </w:rPr>
            </w:pPr>
            <w:r>
              <w:rPr>
                <w:rFonts w:hint="eastAsia" w:cs="宋体" w:asciiTheme="minorEastAsia" w:hAnsiTheme="minorEastAsia"/>
                <w:b w:val="0"/>
                <w:bCs/>
                <w:kern w:val="0"/>
                <w:szCs w:val="21"/>
                <w:highlight w:val="none"/>
              </w:rPr>
              <w:t>2.</w:t>
            </w:r>
            <w:r>
              <w:rPr>
                <w:rFonts w:hint="eastAsia" w:cs="宋体" w:asciiTheme="minorEastAsia" w:hAnsiTheme="minorEastAsia"/>
                <w:color w:val="000000"/>
                <w:szCs w:val="21"/>
                <w:highlight w:val="none"/>
              </w:rPr>
              <w:t>物资数量为暂定数量，最终结算数量以甲方通知进场且实际收到的合格产品数量为准。清单所</w:t>
            </w:r>
          </w:p>
          <w:p>
            <w:pPr>
              <w:ind w:left="525" w:hanging="525" w:hangingChars="250"/>
              <w:jc w:val="left"/>
              <w:rPr>
                <w:rFonts w:cs="宋体" w:asciiTheme="minorEastAsia" w:hAnsiTheme="minorEastAsia"/>
                <w:szCs w:val="21"/>
                <w:highlight w:val="none"/>
              </w:rPr>
            </w:pPr>
            <w:r>
              <w:rPr>
                <w:rFonts w:hint="eastAsia" w:cs="宋体" w:asciiTheme="minorEastAsia" w:hAnsiTheme="minorEastAsia"/>
                <w:color w:val="000000"/>
                <w:szCs w:val="21"/>
                <w:highlight w:val="none"/>
              </w:rPr>
              <w:t>示综合费用单价为固定单价</w:t>
            </w:r>
            <w:r>
              <w:rPr>
                <w:rFonts w:hint="eastAsia" w:cs="宋体" w:asciiTheme="minorEastAsia" w:hAnsiTheme="minorEastAsia"/>
                <w:szCs w:val="21"/>
                <w:highlight w:val="none"/>
              </w:rPr>
              <w:t>，材料单价浮动</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%（或</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元）以内不予调价，浮动超过</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%（或</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元）</w:t>
            </w:r>
          </w:p>
          <w:p>
            <w:pPr>
              <w:ind w:left="525" w:hanging="525" w:hangingChars="250"/>
              <w:jc w:val="left"/>
              <w:rPr>
                <w:rFonts w:cs="宋体" w:asciiTheme="minorEastAsia" w:hAnsiTheme="minorEastAsia"/>
                <w:szCs w:val="21"/>
                <w:highlight w:val="none"/>
              </w:rPr>
            </w:pPr>
            <w:r>
              <w:rPr>
                <w:rFonts w:hint="eastAsia" w:cs="宋体" w:asciiTheme="minorEastAsia" w:hAnsiTheme="minorEastAsia"/>
                <w:szCs w:val="21"/>
                <w:highlight w:val="none"/>
              </w:rPr>
              <w:t>只对超出部分予以调价。价格变动参照物为甲方指定网站市场价格及甲方市场调研结果，甲方指定</w:t>
            </w:r>
          </w:p>
          <w:p>
            <w:pPr>
              <w:ind w:left="525" w:hanging="525" w:hangingChars="250"/>
              <w:jc w:val="left"/>
              <w:rPr>
                <w:rFonts w:ascii="宋体" w:hAnsi="宋体" w:cs="宋体"/>
                <w:color w:val="000000" w:themeColor="text1"/>
                <w:kern w:val="0"/>
                <w:szCs w:val="21"/>
                <w:highlight w:val="none"/>
                <w14:textFill>
                  <w14:solidFill>
                    <w14:schemeClr w14:val="tx1"/>
                  </w14:solidFill>
                </w14:textFill>
              </w:rPr>
            </w:pPr>
            <w:r>
              <w:rPr>
                <w:rFonts w:hint="eastAsia" w:cs="宋体" w:asciiTheme="minorEastAsia" w:hAnsiTheme="minorEastAsia"/>
                <w:szCs w:val="21"/>
                <w:highlight w:val="none"/>
              </w:rPr>
              <w:t>价格变动参照网站是</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r>
              <w:rPr>
                <w:rFonts w:hint="eastAsia" w:cs="宋体" w:asciiTheme="minorEastAsia" w:hAnsiTheme="minorEastAsia"/>
                <w:szCs w:val="21"/>
                <w:highlight w:val="none"/>
                <w:u w:val="single"/>
              </w:rPr>
              <w:t>甲</w:t>
            </w:r>
            <w:r>
              <w:rPr>
                <w:rFonts w:hint="eastAsia" w:cs="宋体" w:asciiTheme="minorEastAsia" w:hAnsiTheme="minorEastAsia"/>
                <w:szCs w:val="21"/>
                <w:highlight w:val="none"/>
              </w:rPr>
              <w:t>方负责卸车。</w:t>
            </w:r>
          </w:p>
        </w:tc>
      </w:tr>
    </w:tbl>
    <w:p>
      <w:pPr>
        <w:pStyle w:val="30"/>
        <w:tabs>
          <w:tab w:val="left" w:pos="425"/>
          <w:tab w:val="left" w:pos="720"/>
        </w:tabs>
        <w:snapToGrid w:val="0"/>
        <w:spacing w:before="249" w:beforeLines="80" w:line="400" w:lineRule="exact"/>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二)合同单价所示的“综合单价”为物资运至工地的单价,包括但不限于乙方将物资运至甲方指定地点的货价、出库费、运费、装车费、包装费、</w:t>
      </w:r>
      <w:r>
        <w:rPr>
          <w:rFonts w:hint="eastAsia"/>
          <w:color w:val="000000" w:themeColor="text1"/>
          <w:highlight w:val="none"/>
          <w:lang w:val="en-US" w:eastAsia="zh-CN"/>
          <w14:textFill>
            <w14:solidFill>
              <w14:schemeClr w14:val="tx1"/>
            </w14:solidFill>
          </w14:textFill>
        </w:rPr>
        <w:t>过路过江过桥费、</w:t>
      </w:r>
      <w:r>
        <w:rPr>
          <w:rFonts w:hint="eastAsia"/>
          <w:color w:val="000000" w:themeColor="text1"/>
          <w:highlight w:val="none"/>
          <w14:textFill>
            <w14:solidFill>
              <w14:schemeClr w14:val="tx1"/>
            </w14:solidFill>
          </w14:textFill>
        </w:rPr>
        <w:t>交货前的采保费、检测费（除甲方收货时验收检测外）、资料费、财务费、损耗、管理费、利润、税金、风险费等一切费用，乙方不得以任何理由向甲方另行索要其它费用。</w:t>
      </w:r>
    </w:p>
    <w:p>
      <w:pPr>
        <w:pStyle w:val="30"/>
        <w:tabs>
          <w:tab w:val="left" w:pos="425"/>
          <w:tab w:val="left" w:pos="720"/>
        </w:tabs>
        <w:snapToGrid w:val="0"/>
        <w:spacing w:beforeLines="0" w:line="400" w:lineRule="exact"/>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三)本合同约定的“综合单价”为固定单价，即不受市场变化影响，且无论进场数量多少价格亦不发生变化。</w:t>
      </w:r>
    </w:p>
    <w:p>
      <w:pPr>
        <w:spacing w:line="400" w:lineRule="exact"/>
        <w:ind w:firstLine="49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(四)乙方所供物资必须为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公司生产产品。</w:t>
      </w:r>
    </w:p>
    <w:p>
      <w:pPr>
        <w:spacing w:line="400" w:lineRule="exact"/>
        <w:ind w:firstLine="422" w:firstLineChars="200"/>
        <w:outlineLvl w:val="1"/>
        <w:rPr>
          <w:rFonts w:ascii="宋体" w:hAnsi="宋体"/>
          <w:b/>
          <w:color w:val="000000" w:themeColor="text1"/>
          <w:szCs w:val="21"/>
          <w:highlight w:val="none"/>
          <w14:textFill>
            <w14:solidFill>
              <w14:schemeClr w14:val="tx1"/>
            </w14:solidFill>
          </w14:textFill>
        </w:rPr>
      </w:pPr>
      <w:bookmarkStart w:id="4" w:name="_Toc30075"/>
      <w:r>
        <w:rPr>
          <w:rFonts w:hint="eastAsia" w:ascii="宋体" w:hAnsi="宋体"/>
          <w:b/>
          <w:color w:val="000000" w:themeColor="text1"/>
          <w:szCs w:val="21"/>
          <w:highlight w:val="none"/>
          <w14:textFill>
            <w14:solidFill>
              <w14:schemeClr w14:val="tx1"/>
            </w14:solidFill>
          </w14:textFill>
        </w:rPr>
        <w:t>三、物资供应及</w:t>
      </w:r>
      <w:r>
        <w:rPr>
          <w:rFonts w:ascii="宋体" w:hAnsi="宋体"/>
          <w:b/>
          <w:color w:val="000000" w:themeColor="text1"/>
          <w:szCs w:val="21"/>
          <w:highlight w:val="none"/>
          <w14:textFill>
            <w14:solidFill>
              <w14:schemeClr w14:val="tx1"/>
            </w14:solidFill>
          </w14:textFill>
        </w:rPr>
        <w:t>计量方式</w:t>
      </w:r>
      <w:r>
        <w:rPr>
          <w:rFonts w:hint="eastAsia" w:ascii="宋体" w:hAnsi="宋体"/>
          <w:color w:val="C0C0C0"/>
          <w:szCs w:val="21"/>
          <w:highlight w:val="none"/>
          <w:u w:val="single"/>
        </w:rPr>
        <w:t>（可修改或新增条款）</w:t>
      </w:r>
      <w:bookmarkEnd w:id="4"/>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（一）乙方应严格按照甲方发出的物资供应</w:t>
      </w:r>
      <w:r>
        <w:rPr>
          <w:rFonts w:ascii="宋体" w:hAnsi="宋体" w:cs="宋体"/>
          <w:color w:val="000000" w:themeColor="text1"/>
          <w:szCs w:val="21"/>
          <w:highlight w:val="none"/>
          <w14:textFill>
            <w14:solidFill>
              <w14:schemeClr w14:val="tx1"/>
            </w14:solidFill>
          </w14:textFill>
        </w:rPr>
        <w:t>计划</w:t>
      </w:r>
      <w:r>
        <w:rPr>
          <w:rFonts w:hint="eastAsia" w:ascii="宋体" w:hAnsi="宋体" w:cs="宋体"/>
          <w:color w:val="000000" w:themeColor="text1"/>
          <w:szCs w:val="21"/>
          <w:highlight w:val="none"/>
          <w14:textFill>
            <w14:solidFill>
              <w14:schemeClr w14:val="tx1"/>
            </w14:solidFill>
          </w14:textFill>
        </w:rPr>
        <w:t>中要求的时间将合同约定的物资保质保量地运至交货地。乙方应在甲方发出进场通知后</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5</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个日历天</w:t>
      </w:r>
      <w:r>
        <w:rPr>
          <w:rFonts w:hint="eastAsia" w:ascii="宋体" w:hAnsi="宋体" w:cs="宋体"/>
          <w:color w:val="000000" w:themeColor="text1"/>
          <w:szCs w:val="21"/>
          <w:highlight w:val="none"/>
          <w14:textFill>
            <w14:solidFill>
              <w14:schemeClr w14:val="tx1"/>
            </w14:solidFill>
          </w14:textFill>
        </w:rPr>
        <w:t>内将物资运达交货地点。</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w:t>
      </w:r>
      <w:r>
        <w:rPr>
          <w:rFonts w:hint="eastAsia" w:ascii="宋体" w:hAnsi="宋体"/>
          <w:color w:val="000000" w:themeColor="text1"/>
          <w:szCs w:val="21"/>
          <w:highlight w:val="none"/>
          <w14:textFill>
            <w14:solidFill>
              <w14:schemeClr w14:val="tx1"/>
            </w14:solidFill>
          </w14:textFill>
        </w:rPr>
        <w:t>物资计量方式：过磅</w:t>
      </w:r>
      <w:r>
        <w:rPr>
          <w:rFonts w:hint="eastAsia" w:ascii="宋体" w:hAnsi="宋体"/>
          <w:color w:val="000000" w:themeColor="text1"/>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 xml:space="preserve"> 计件□ 检尺□ 其他计量方式</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pPr>
        <w:spacing w:line="400" w:lineRule="exact"/>
        <w:ind w:firstLine="422" w:firstLineChars="200"/>
        <w:outlineLvl w:val="1"/>
        <w:rPr>
          <w:rFonts w:ascii="宋体" w:hAnsi="宋体"/>
          <w:b/>
          <w:szCs w:val="21"/>
          <w:highlight w:val="none"/>
        </w:rPr>
      </w:pPr>
      <w:bookmarkStart w:id="5" w:name="_Toc32657"/>
      <w:r>
        <w:rPr>
          <w:rFonts w:hint="eastAsia" w:ascii="宋体" w:hAnsi="宋体"/>
          <w:b/>
          <w:szCs w:val="21"/>
          <w:highlight w:val="none"/>
        </w:rPr>
        <w:t>四、支付、结算</w:t>
      </w:r>
      <w:r>
        <w:rPr>
          <w:rFonts w:hint="eastAsia" w:ascii="宋体" w:hAnsi="宋体"/>
          <w:color w:val="C0C0C0"/>
          <w:szCs w:val="21"/>
          <w:highlight w:val="none"/>
          <w:u w:val="single"/>
        </w:rPr>
        <w:t>（可修改或新增条款）</w:t>
      </w:r>
      <w:bookmarkEnd w:id="5"/>
    </w:p>
    <w:p>
      <w:pPr>
        <w:spacing w:line="400" w:lineRule="exact"/>
        <w:ind w:firstLine="420" w:firstLineChars="200"/>
        <w:rPr>
          <w:rFonts w:ascii="宋体" w:hAnsi="宋体"/>
          <w:b/>
          <w:szCs w:val="21"/>
          <w:highlight w:val="none"/>
        </w:rPr>
      </w:pPr>
      <w:r>
        <w:rPr>
          <w:rFonts w:ascii="宋体" w:hAnsi="宋体"/>
          <w:szCs w:val="21"/>
          <w:highlight w:val="none"/>
        </w:rPr>
        <w:t>(</w:t>
      </w:r>
      <w:r>
        <w:rPr>
          <w:rFonts w:hint="eastAsia" w:ascii="宋体" w:hAnsi="宋体"/>
          <w:szCs w:val="21"/>
          <w:highlight w:val="none"/>
        </w:rPr>
        <w:t>一)乙方银行信息：单位名称:</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 ；开户行：</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；账  号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       </w:t>
      </w:r>
    </w:p>
    <w:p>
      <w:pPr>
        <w:tabs>
          <w:tab w:val="left" w:pos="765"/>
        </w:tabs>
        <w:spacing w:line="400" w:lineRule="exact"/>
        <w:ind w:firstLine="420" w:firstLineChars="200"/>
        <w:jc w:val="left"/>
        <w:rPr>
          <w:rFonts w:ascii="宋体" w:hAnsi="宋体"/>
          <w:szCs w:val="21"/>
          <w:highlight w:val="none"/>
          <w:u w:val="single"/>
        </w:rPr>
      </w:pPr>
      <w:r>
        <w:rPr>
          <w:rFonts w:ascii="宋体" w:hAnsi="宋体"/>
          <w:szCs w:val="21"/>
          <w:highlight w:val="none"/>
        </w:rPr>
        <w:t>(</w:t>
      </w:r>
      <w:r>
        <w:rPr>
          <w:rFonts w:hint="eastAsia" w:ascii="宋体" w:hAnsi="宋体"/>
          <w:szCs w:val="21"/>
          <w:highlight w:val="none"/>
        </w:rPr>
        <w:t>二)乙方结算人:</w:t>
      </w:r>
      <w:r>
        <w:rPr>
          <w:rFonts w:hint="eastAsia" w:ascii="宋体" w:hAnsi="宋体"/>
          <w:szCs w:val="21"/>
          <w:highlight w:val="none"/>
          <w:u w:val="single"/>
        </w:rPr>
        <w:t xml:space="preserve">          </w:t>
      </w:r>
      <w:r>
        <w:rPr>
          <w:rFonts w:hint="eastAsia" w:ascii="宋体" w:hAnsi="宋体"/>
          <w:szCs w:val="21"/>
          <w:highlight w:val="none"/>
        </w:rPr>
        <w:t>；身份证:</w:t>
      </w:r>
      <w:r>
        <w:rPr>
          <w:rFonts w:hint="eastAsia" w:ascii="宋体" w:hAnsi="宋体"/>
          <w:szCs w:val="21"/>
          <w:highlight w:val="none"/>
          <w:u w:val="single"/>
        </w:rPr>
        <w:t xml:space="preserve">                   </w:t>
      </w:r>
      <w:r>
        <w:rPr>
          <w:rFonts w:hint="eastAsia" w:ascii="宋体" w:hAnsi="宋体"/>
          <w:szCs w:val="21"/>
          <w:highlight w:val="none"/>
        </w:rPr>
        <w:t>；联系电话:</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pPr>
        <w:tabs>
          <w:tab w:val="left" w:pos="765"/>
        </w:tabs>
        <w:spacing w:line="400" w:lineRule="exact"/>
        <w:ind w:firstLine="420" w:firstLineChars="200"/>
        <w:jc w:val="left"/>
        <w:rPr>
          <w:rFonts w:ascii="宋体" w:hAnsi="宋体"/>
          <w:szCs w:val="21"/>
          <w:highlight w:val="none"/>
          <w:u w:val="single"/>
        </w:rPr>
      </w:pPr>
      <w:r>
        <w:rPr>
          <w:rFonts w:ascii="宋体" w:hAnsi="宋体"/>
          <w:szCs w:val="21"/>
          <w:highlight w:val="none"/>
        </w:rPr>
        <w:t>(</w:t>
      </w:r>
      <w:r>
        <w:rPr>
          <w:rFonts w:hint="eastAsia" w:ascii="宋体" w:hAnsi="宋体"/>
          <w:szCs w:val="21"/>
          <w:highlight w:val="none"/>
        </w:rPr>
        <w:t>三)结算方式</w:t>
      </w:r>
      <w:r>
        <w:rPr>
          <w:rFonts w:hint="eastAsia" w:ascii="宋体" w:hAnsi="宋体" w:cs="宋体"/>
          <w:w w:val="90"/>
          <w:szCs w:val="21"/>
          <w:highlight w:val="none"/>
        </w:rPr>
        <w:t>：</w:t>
      </w:r>
      <w:r>
        <w:rPr>
          <w:rFonts w:hint="eastAsia" w:ascii="宋体" w:hAnsi="宋体" w:cs="宋体"/>
          <w:szCs w:val="21"/>
          <w:highlight w:val="none"/>
        </w:rPr>
        <w:t>本合同约定按月度结算。开始供货后双方每月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15</w:t>
      </w:r>
      <w:r>
        <w:rPr>
          <w:rFonts w:hint="eastAsia" w:ascii="宋体" w:hAnsi="宋体" w:cs="宋体"/>
          <w:szCs w:val="21"/>
          <w:highlight w:val="none"/>
          <w:u w:val="single"/>
        </w:rPr>
        <w:t xml:space="preserve"> </w:t>
      </w:r>
      <w:r>
        <w:rPr>
          <w:rFonts w:hint="eastAsia" w:ascii="宋体" w:hAnsi="宋体" w:cs="宋体"/>
          <w:szCs w:val="21"/>
          <w:highlight w:val="none"/>
        </w:rPr>
        <w:t>日后将上月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16</w:t>
      </w:r>
      <w:r>
        <w:rPr>
          <w:rFonts w:hint="eastAsia" w:ascii="宋体" w:hAnsi="宋体" w:cs="宋体"/>
          <w:szCs w:val="21"/>
          <w:highlight w:val="none"/>
          <w:u w:val="single"/>
        </w:rPr>
        <w:t xml:space="preserve">  </w:t>
      </w:r>
      <w:r>
        <w:rPr>
          <w:rFonts w:hint="eastAsia" w:ascii="宋体" w:hAnsi="宋体" w:cs="宋体"/>
          <w:szCs w:val="21"/>
          <w:highlight w:val="none"/>
        </w:rPr>
        <w:t>日至本月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15</w:t>
      </w:r>
      <w:r>
        <w:rPr>
          <w:rFonts w:hint="eastAsia" w:ascii="宋体" w:hAnsi="宋体"/>
          <w:szCs w:val="21"/>
          <w:highlight w:val="none"/>
          <w:u w:val="single"/>
        </w:rPr>
        <w:t xml:space="preserve">  </w:t>
      </w:r>
      <w:r>
        <w:rPr>
          <w:rFonts w:hint="eastAsia" w:ascii="宋体" w:hAnsi="宋体" w:cs="宋体"/>
          <w:szCs w:val="21"/>
          <w:highlight w:val="none"/>
        </w:rPr>
        <w:t>日的供货数量进行核对并及时办理月结手续，乙方向甲方提交等额的符合甲</w:t>
      </w:r>
      <w:r>
        <w:rPr>
          <w:rFonts w:hint="eastAsia" w:ascii="宋体" w:hAnsi="宋体" w:cs="宋体"/>
          <w:color w:val="000000" w:themeColor="text1"/>
          <w:szCs w:val="21"/>
          <w:highlight w:val="none"/>
          <w14:textFill>
            <w14:solidFill>
              <w14:schemeClr w14:val="tx1"/>
            </w14:solidFill>
          </w14:textFill>
        </w:rPr>
        <w:t>方财务和</w:t>
      </w:r>
      <w:r>
        <w:rPr>
          <w:rFonts w:hint="eastAsia" w:ascii="宋体" w:hAnsi="宋体" w:cs="宋体"/>
          <w:szCs w:val="21"/>
          <w:highlight w:val="none"/>
        </w:rPr>
        <w:t>国家税法要求的</w:t>
      </w:r>
      <w:r>
        <w:rPr>
          <w:rFonts w:hint="eastAsia" w:ascii="宋体" w:hAnsi="宋体" w:cs="宋体"/>
          <w:b/>
          <w:bCs/>
          <w:szCs w:val="21"/>
          <w:highlight w:val="none"/>
        </w:rPr>
        <w:t>增值税专用发票</w:t>
      </w:r>
      <w:r>
        <w:rPr>
          <w:rFonts w:hint="eastAsia" w:ascii="宋体" w:hAnsi="宋体" w:cs="宋体"/>
          <w:b/>
          <w:szCs w:val="21"/>
          <w:highlight w:val="none"/>
        </w:rPr>
        <w:t>，发票票面税率</w:t>
      </w:r>
      <w:r>
        <w:rPr>
          <w:rFonts w:hint="eastAsia" w:ascii="宋体" w:hAnsi="宋体"/>
          <w:szCs w:val="21"/>
          <w:highlight w:val="none"/>
          <w:u w:val="single"/>
        </w:rPr>
        <w:t xml:space="preserve">    </w:t>
      </w:r>
      <w:r>
        <w:rPr>
          <w:rFonts w:hint="eastAsia" w:ascii="宋体" w:hAnsi="宋体" w:cs="宋体"/>
          <w:b/>
          <w:szCs w:val="21"/>
          <w:highlight w:val="none"/>
        </w:rPr>
        <w:t>%</w:t>
      </w:r>
      <w:r>
        <w:rPr>
          <w:rFonts w:hint="eastAsia" w:ascii="宋体" w:hAnsi="宋体" w:cs="宋体"/>
          <w:szCs w:val="21"/>
          <w:highlight w:val="none"/>
        </w:rPr>
        <w:t>，开票信息如下：</w:t>
      </w:r>
    </w:p>
    <w:p>
      <w:pPr>
        <w:tabs>
          <w:tab w:val="left" w:pos="765"/>
        </w:tabs>
        <w:spacing w:line="400" w:lineRule="exact"/>
        <w:ind w:firstLine="420" w:firstLineChars="200"/>
        <w:jc w:val="left"/>
        <w:rPr>
          <w:rFonts w:ascii="宋体" w:hAnsi="宋体"/>
          <w:szCs w:val="21"/>
          <w:highlight w:val="none"/>
        </w:rPr>
      </w:pPr>
      <w:r>
        <w:rPr>
          <w:rFonts w:hint="eastAsia" w:ascii="宋体" w:hAnsi="宋体"/>
          <w:szCs w:val="21"/>
          <w:highlight w:val="none"/>
        </w:rPr>
        <w:t>发票抬头：</w:t>
      </w:r>
      <w:r>
        <w:rPr>
          <w:rFonts w:hint="eastAsia" w:ascii="宋体" w:hAnsi="宋体" w:eastAsia="宋体" w:cs="宋体"/>
        </w:rPr>
        <w:t>中建路桥集团装配式建筑有限公司</w:t>
      </w:r>
      <w:r>
        <w:rPr>
          <w:rFonts w:hint="eastAsia" w:ascii="宋体" w:hAnsi="宋体"/>
          <w:szCs w:val="21"/>
          <w:highlight w:val="none"/>
        </w:rPr>
        <w:t>；税号：</w:t>
      </w:r>
      <w:r>
        <w:rPr>
          <w:rFonts w:hint="eastAsia" w:ascii="宋体" w:hAnsi="宋体" w:eastAsia="宋体" w:cs="宋体"/>
        </w:rPr>
        <w:t>911301005896839319</w:t>
      </w:r>
      <w:r>
        <w:rPr>
          <w:rFonts w:hint="eastAsia" w:ascii="宋体" w:hAnsi="宋体"/>
          <w:szCs w:val="21"/>
          <w:highlight w:val="none"/>
        </w:rPr>
        <w:t>；</w:t>
      </w:r>
    </w:p>
    <w:p>
      <w:pPr>
        <w:tabs>
          <w:tab w:val="left" w:pos="765"/>
        </w:tabs>
        <w:spacing w:line="400" w:lineRule="exact"/>
        <w:ind w:firstLine="420" w:firstLineChars="200"/>
        <w:jc w:val="left"/>
        <w:rPr>
          <w:rFonts w:hint="eastAsia" w:ascii="宋体" w:hAnsi="宋体"/>
          <w:szCs w:val="21"/>
          <w:highlight w:val="none"/>
        </w:rPr>
      </w:pPr>
      <w:r>
        <w:rPr>
          <w:rFonts w:hint="eastAsia" w:ascii="宋体" w:hAnsi="宋体"/>
          <w:szCs w:val="21"/>
          <w:highlight w:val="none"/>
        </w:rPr>
        <w:t>地址：</w:t>
      </w:r>
      <w:r>
        <w:rPr>
          <w:rFonts w:hint="eastAsia" w:ascii="宋体" w:hAnsi="宋体" w:eastAsia="宋体" w:cs="宋体"/>
        </w:rPr>
        <w:t>沧州渤海新区新型建材园内中疏港路与通七路交叉西侧</w:t>
      </w:r>
      <w:r>
        <w:rPr>
          <w:rFonts w:hint="eastAsia" w:ascii="宋体" w:hAnsi="宋体"/>
          <w:szCs w:val="21"/>
          <w:highlight w:val="none"/>
        </w:rPr>
        <w:t>；</w:t>
      </w:r>
    </w:p>
    <w:p>
      <w:pPr>
        <w:tabs>
          <w:tab w:val="left" w:pos="765"/>
        </w:tabs>
        <w:spacing w:line="400" w:lineRule="exact"/>
        <w:ind w:firstLine="420" w:firstLineChars="200"/>
        <w:jc w:val="left"/>
        <w:rPr>
          <w:rFonts w:ascii="宋体" w:hAnsi="宋体"/>
          <w:szCs w:val="21"/>
          <w:highlight w:val="none"/>
        </w:rPr>
      </w:pPr>
      <w:r>
        <w:rPr>
          <w:rFonts w:hint="eastAsia" w:ascii="宋体" w:hAnsi="宋体"/>
          <w:szCs w:val="21"/>
          <w:highlight w:val="none"/>
        </w:rPr>
        <w:t>电话：</w:t>
      </w:r>
      <w:r>
        <w:rPr>
          <w:rFonts w:hint="eastAsia" w:ascii="宋体" w:hAnsi="宋体" w:eastAsia="宋体" w:cs="宋体"/>
        </w:rPr>
        <w:t>0317-5550192</w:t>
      </w:r>
      <w:r>
        <w:rPr>
          <w:rFonts w:hint="eastAsia" w:ascii="宋体" w:hAnsi="宋体"/>
          <w:szCs w:val="21"/>
          <w:highlight w:val="none"/>
        </w:rPr>
        <w:t>；</w:t>
      </w:r>
    </w:p>
    <w:p>
      <w:pPr>
        <w:tabs>
          <w:tab w:val="left" w:pos="765"/>
        </w:tabs>
        <w:spacing w:line="400" w:lineRule="exact"/>
        <w:ind w:firstLine="420" w:firstLineChars="200"/>
        <w:jc w:val="left"/>
        <w:rPr>
          <w:rFonts w:ascii="宋体" w:hAnsi="宋体"/>
          <w:szCs w:val="21"/>
          <w:highlight w:val="none"/>
        </w:rPr>
      </w:pPr>
      <w:r>
        <w:rPr>
          <w:rFonts w:hint="eastAsia" w:ascii="宋体" w:hAnsi="宋体"/>
          <w:szCs w:val="21"/>
          <w:highlight w:val="none"/>
        </w:rPr>
        <w:t>开户行：</w:t>
      </w:r>
      <w:r>
        <w:rPr>
          <w:rFonts w:hint="eastAsia" w:ascii="宋体" w:hAnsi="宋体" w:eastAsia="宋体" w:cs="宋体"/>
        </w:rPr>
        <w:t>沧州银行渤海新区支行</w:t>
      </w:r>
      <w:r>
        <w:rPr>
          <w:rFonts w:hint="eastAsia" w:ascii="宋体" w:hAnsi="宋体"/>
          <w:szCs w:val="21"/>
          <w:highlight w:val="none"/>
        </w:rPr>
        <w:t>；账号：</w:t>
      </w:r>
      <w:r>
        <w:rPr>
          <w:rFonts w:hint="eastAsia" w:ascii="宋体" w:hAnsi="宋体" w:eastAsia="宋体" w:cs="宋体"/>
        </w:rPr>
        <w:t>5440120100000454508</w:t>
      </w:r>
      <w:r>
        <w:rPr>
          <w:rFonts w:hint="eastAsia" w:ascii="宋体" w:hAnsi="宋体"/>
          <w:szCs w:val="21"/>
          <w:highlight w:val="none"/>
        </w:rPr>
        <w:t>；</w:t>
      </w:r>
    </w:p>
    <w:p>
      <w:pPr>
        <w:tabs>
          <w:tab w:val="left" w:pos="765"/>
        </w:tabs>
        <w:spacing w:line="400" w:lineRule="exact"/>
        <w:ind w:firstLine="420" w:firstLineChars="200"/>
        <w:jc w:val="left"/>
        <w:rPr>
          <w:rFonts w:ascii="宋体" w:hAnsi="宋体"/>
          <w:szCs w:val="21"/>
          <w:highlight w:val="none"/>
          <w:u w:val="single"/>
        </w:rPr>
      </w:pPr>
      <w:r>
        <w:rPr>
          <w:rFonts w:hint="eastAsia" w:ascii="宋体" w:hAnsi="宋体"/>
          <w:szCs w:val="21"/>
          <w:highlight w:val="none"/>
        </w:rPr>
        <w:t>备注：</w:t>
      </w:r>
      <w:r>
        <w:rPr>
          <w:rFonts w:hint="eastAsia" w:ascii="宋体" w:hAnsi="宋体"/>
          <w:szCs w:val="21"/>
          <w:highlight w:val="none"/>
          <w:u w:val="single"/>
        </w:rPr>
        <w:t xml:space="preserve">   </w:t>
      </w:r>
      <w:r>
        <w:rPr>
          <w:rFonts w:hint="eastAsia" w:ascii="宋体" w:hAnsi="宋体"/>
          <w:szCs w:val="21"/>
          <w:highlight w:val="none"/>
          <w:u w:val="single"/>
          <w:lang w:val="en-US" w:eastAsia="zh-CN"/>
        </w:rPr>
        <w:t>无</w:t>
      </w:r>
      <w:r>
        <w:rPr>
          <w:rFonts w:hint="eastAsia" w:ascii="宋体" w:hAnsi="宋体"/>
          <w:szCs w:val="21"/>
          <w:highlight w:val="none"/>
          <w:u w:val="single"/>
        </w:rPr>
        <w:t xml:space="preserve"> </w:t>
      </w:r>
      <w:r>
        <w:rPr>
          <w:rFonts w:hint="eastAsia" w:ascii="宋体" w:hAnsi="宋体"/>
          <w:szCs w:val="21"/>
          <w:highlight w:val="none"/>
        </w:rPr>
        <w:t>。</w:t>
      </w:r>
    </w:p>
    <w:p>
      <w:pPr>
        <w:tabs>
          <w:tab w:val="left" w:pos="765"/>
        </w:tabs>
        <w:spacing w:line="480" w:lineRule="exact"/>
        <w:ind w:firstLine="420" w:firstLineChars="200"/>
        <w:jc w:val="left"/>
        <w:rPr>
          <w:rFonts w:ascii="宋体" w:hAnsi="宋体" w:eastAsia="宋体" w:cs="宋体"/>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四) 本合同无预付款，货款来源于项目工程结算款。甲方收到业主支付的工程款后按资金审批计划对货款进行支付，支付比例不超业主支付比例。</w:t>
      </w:r>
      <w:r>
        <w:rPr>
          <w:rFonts w:hint="eastAsia" w:cs="宋体" w:asciiTheme="minorEastAsia" w:hAnsiTheme="minorEastAsia" w:eastAsiaTheme="minorEastAsia"/>
          <w:szCs w:val="21"/>
          <w:highlight w:val="none"/>
        </w:rPr>
        <w:t>付款期限自双方确认结算金额之日起计算，暂定为在甲乙双方完成月度物资结算手续且甲方收到乙方相应全额发票后，</w:t>
      </w:r>
      <w:r>
        <w:rPr>
          <w:rFonts w:hint="eastAsia" w:ascii="宋体" w:hAnsi="宋体" w:eastAsia="宋体" w:cs="宋体"/>
          <w:u w:val="single"/>
        </w:rPr>
        <w:t>1</w:t>
      </w:r>
      <w:r>
        <w:rPr>
          <w:rFonts w:hint="eastAsia" w:ascii="宋体" w:hAnsi="宋体" w:eastAsia="宋体" w:cs="宋体"/>
        </w:rPr>
        <w:t>个月内支付当期应付货款的</w:t>
      </w:r>
      <w:r>
        <w:rPr>
          <w:rFonts w:hint="eastAsia" w:ascii="宋体" w:hAnsi="宋体" w:eastAsia="宋体" w:cs="宋体"/>
          <w:u w:val="single"/>
        </w:rPr>
        <w:t>30%</w:t>
      </w:r>
      <w:r>
        <w:rPr>
          <w:rFonts w:hint="eastAsia" w:ascii="宋体" w:hAnsi="宋体" w:eastAsia="宋体" w:cs="宋体"/>
        </w:rPr>
        <w:t>，</w:t>
      </w:r>
      <w:r>
        <w:rPr>
          <w:rFonts w:hint="eastAsia" w:ascii="宋体" w:hAnsi="宋体" w:eastAsia="宋体" w:cs="宋体"/>
          <w:u w:val="single"/>
        </w:rPr>
        <w:t>2</w:t>
      </w:r>
      <w:r>
        <w:rPr>
          <w:rFonts w:hint="eastAsia" w:ascii="宋体" w:hAnsi="宋体" w:eastAsia="宋体" w:cs="宋体"/>
        </w:rPr>
        <w:t>个月内支付至当期货款的</w:t>
      </w:r>
      <w:r>
        <w:rPr>
          <w:rFonts w:hint="eastAsia" w:ascii="宋体" w:hAnsi="宋体" w:eastAsia="宋体" w:cs="宋体"/>
          <w:u w:val="single"/>
        </w:rPr>
        <w:t>60%</w:t>
      </w:r>
      <w:r>
        <w:rPr>
          <w:rFonts w:hint="eastAsia" w:ascii="宋体" w:hAnsi="宋体" w:eastAsia="宋体" w:cs="宋体"/>
        </w:rPr>
        <w:t>，</w:t>
      </w:r>
      <w:r>
        <w:rPr>
          <w:rFonts w:hint="eastAsia" w:ascii="宋体" w:hAnsi="宋体" w:eastAsia="宋体" w:cs="宋体"/>
          <w:u w:val="single"/>
        </w:rPr>
        <w:t>3</w:t>
      </w:r>
      <w:r>
        <w:rPr>
          <w:rFonts w:hint="eastAsia" w:ascii="宋体" w:hAnsi="宋体" w:eastAsia="宋体" w:cs="宋体"/>
        </w:rPr>
        <w:t>个月内支付至当期货款的</w:t>
      </w:r>
      <w:r>
        <w:rPr>
          <w:rFonts w:hint="eastAsia" w:ascii="宋体" w:hAnsi="宋体" w:eastAsia="宋体" w:cs="宋体"/>
          <w:u w:val="single"/>
        </w:rPr>
        <w:t>100%</w:t>
      </w:r>
      <w:r>
        <w:rPr>
          <w:rFonts w:hint="eastAsia" w:ascii="宋体" w:hAnsi="宋体" w:eastAsia="宋体" w:cs="宋体"/>
        </w:rPr>
        <w:t>。以此类推。</w:t>
      </w:r>
    </w:p>
    <w:p>
      <w:pPr>
        <w:tabs>
          <w:tab w:val="left" w:pos="765"/>
        </w:tabs>
        <w:spacing w:line="400" w:lineRule="exact"/>
        <w:ind w:firstLine="420" w:firstLineChars="200"/>
        <w:jc w:val="left"/>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五)付款方式</w:t>
      </w:r>
      <w:r>
        <w:rPr>
          <w:rFonts w:hint="eastAsia" w:asciiTheme="minorEastAsia" w:hAnsiTheme="minorEastAsia" w:eastAsiaTheme="minorEastAsia"/>
          <w:highlight w:val="none"/>
        </w:rPr>
        <w:t>：</w:t>
      </w:r>
      <w:r>
        <w:rPr>
          <w:rFonts w:hint="eastAsia" w:asciiTheme="minorEastAsia" w:hAnsiTheme="minorEastAsia" w:eastAsiaTheme="minorEastAsia"/>
          <w:szCs w:val="21"/>
          <w:highlight w:val="none"/>
        </w:rPr>
        <w:t>乙方承诺具备使用承兑汇票</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lang w:val="en-US" w:eastAsia="zh-CN"/>
        </w:rPr>
        <w:t>信用证、保理、</w:t>
      </w:r>
      <w:r>
        <w:rPr>
          <w:rFonts w:hint="eastAsia" w:asciiTheme="minorEastAsia" w:hAnsiTheme="minorEastAsia" w:eastAsiaTheme="minorEastAsia"/>
          <w:szCs w:val="21"/>
          <w:highlight w:val="none"/>
        </w:rPr>
        <w:t>供应链金融等非现金业务的能力，乙方接受不低于合同总价</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 xml:space="preserve"> </w:t>
      </w:r>
      <w:bookmarkStart w:id="59" w:name="_GoBack"/>
      <w:bookmarkEnd w:id="59"/>
      <w:r>
        <w:rPr>
          <w:rFonts w:hint="eastAsia" w:asciiTheme="minorEastAsia" w:hAnsiTheme="minorEastAsia" w:eastAsiaTheme="minorEastAsia"/>
          <w:szCs w:val="21"/>
          <w:highlight w:val="none"/>
          <w:u w:val="single"/>
          <w:lang w:val="en-US" w:eastAsia="zh-CN"/>
        </w:rPr>
        <w:t>30</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%的承兑汇票</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lang w:val="en-US" w:eastAsia="zh-CN"/>
        </w:rPr>
        <w:t>信用证、保理、</w:t>
      </w:r>
      <w:r>
        <w:rPr>
          <w:rFonts w:hint="eastAsia" w:asciiTheme="minorEastAsia" w:hAnsiTheme="minorEastAsia" w:eastAsiaTheme="minorEastAsia"/>
          <w:szCs w:val="21"/>
          <w:highlight w:val="none"/>
        </w:rPr>
        <w:t>供应链金融等非现金付款方式，期限为</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6</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个月，因此产生的相关贴现成本由乙方承担。</w:t>
      </w:r>
    </w:p>
    <w:p>
      <w:pPr>
        <w:tabs>
          <w:tab w:val="left" w:pos="765"/>
        </w:tabs>
        <w:spacing w:line="400" w:lineRule="exact"/>
        <w:ind w:firstLine="420" w:firstLineChars="200"/>
        <w:jc w:val="lef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szCs w:val="21"/>
          <w:highlight w:val="none"/>
          <w:lang w:val="en-US" w:eastAsia="zh-CN"/>
        </w:rPr>
        <w:t>甲方向乙方付款采用银行承兑汇票、供应链金融、银行支票或网上银行支付等方式支付。乙方须保证资金往来账户与本合同所</w:t>
      </w:r>
      <w:r>
        <w:rPr>
          <w:rFonts w:hint="eastAsia" w:cs="Times New Roman" w:asciiTheme="minorEastAsia" w:hAnsiTheme="minorEastAsia" w:eastAsiaTheme="minorEastAsia"/>
          <w:color w:val="auto"/>
          <w:kern w:val="2"/>
          <w:sz w:val="21"/>
          <w:szCs w:val="21"/>
          <w:highlight w:val="none"/>
          <w:lang w:val="en-US" w:eastAsia="zh-CN" w:bidi="ar-SA"/>
        </w:rPr>
        <w:t>约定账户一致，开票单位名称与合同约定名称一致。</w:t>
      </w:r>
    </w:p>
    <w:p>
      <w:pPr>
        <w:pStyle w:val="3"/>
        <w:spacing w:line="400" w:lineRule="atLeast"/>
        <w:ind w:firstLine="420" w:firstLineChars="20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未经甲方同意，乙方不得委托任何第三方代为收款，否则甲方有权拒绝付款。当乙方收款银行账号发生变动时，应以函件的形式书面通知甲方，否则甲方有权拒绝付款。若甲方在收到乙方的书面通知之前已按原账号付款，则甲方不再另行支付，由此造成的一切损失均由乙方自行承担。</w:t>
      </w:r>
    </w:p>
    <w:p>
      <w:pPr>
        <w:numPr>
          <w:ilvl w:val="0"/>
          <w:numId w:val="1"/>
        </w:numPr>
        <w:tabs>
          <w:tab w:val="left" w:pos="765"/>
        </w:tabs>
        <w:spacing w:line="400" w:lineRule="exact"/>
        <w:ind w:firstLine="420" w:firstLineChars="20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由于业主方原因造成甲方延迟支付货款，甲方不承担逾期利息。如甲方承担逾期利息时，约定利率为合同订立时1年期贷款市场报价利率。</w:t>
      </w:r>
    </w:p>
    <w:p>
      <w:pPr>
        <w:numPr>
          <w:ilvl w:val="0"/>
          <w:numId w:val="1"/>
        </w:numPr>
        <w:tabs>
          <w:tab w:val="left" w:pos="765"/>
        </w:tabs>
        <w:spacing w:line="400" w:lineRule="exact"/>
        <w:ind w:firstLine="420" w:firstLineChars="200"/>
        <w:jc w:val="left"/>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税率变化：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pPr>
        <w:tabs>
          <w:tab w:val="right" w:pos="8306"/>
        </w:tabs>
        <w:spacing w:line="400" w:lineRule="exact"/>
        <w:ind w:firstLine="422" w:firstLineChars="200"/>
        <w:outlineLvl w:val="1"/>
        <w:rPr>
          <w:rFonts w:ascii="宋体" w:hAnsi="宋体"/>
          <w:color w:val="C0C0C0"/>
          <w:szCs w:val="21"/>
          <w:highlight w:val="none"/>
          <w:u w:val="single"/>
        </w:rPr>
      </w:pPr>
      <w:bookmarkStart w:id="6" w:name="_Toc24754"/>
      <w:r>
        <w:rPr>
          <w:rFonts w:hint="eastAsia" w:ascii="宋体" w:hAnsi="宋体"/>
          <w:b/>
          <w:szCs w:val="21"/>
          <w:highlight w:val="none"/>
        </w:rPr>
        <w:t>五、履约保证金</w:t>
      </w:r>
      <w:r>
        <w:rPr>
          <w:rFonts w:hint="eastAsia" w:ascii="宋体" w:hAnsi="宋体"/>
          <w:color w:val="C0C0C0"/>
          <w:szCs w:val="21"/>
          <w:highlight w:val="none"/>
          <w:u w:val="single"/>
        </w:rPr>
        <w:t>（可修改或新增条款）</w:t>
      </w:r>
      <w:bookmarkEnd w:id="6"/>
      <w:r>
        <w:rPr>
          <w:rFonts w:ascii="宋体" w:hAnsi="宋体"/>
          <w:color w:val="C0C0C0"/>
          <w:szCs w:val="21"/>
          <w:highlight w:val="none"/>
          <w:u w:val="single"/>
        </w:rPr>
        <w:tab/>
      </w:r>
    </w:p>
    <w:p>
      <w:pPr>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一)本合同履约保证金为</w:t>
      </w:r>
      <w:r>
        <w:rPr>
          <w:rFonts w:hint="eastAsia" w:ascii="宋体" w:hAnsi="宋体"/>
          <w:szCs w:val="21"/>
          <w:highlight w:val="none"/>
          <w:u w:val="single"/>
        </w:rPr>
        <w:t xml:space="preserve">  </w:t>
      </w:r>
      <w:r>
        <w:rPr>
          <w:rFonts w:hint="eastAsia" w:ascii="宋体" w:hAnsi="宋体"/>
          <w:szCs w:val="21"/>
          <w:highlight w:val="none"/>
          <w:u w:val="single"/>
          <w:lang w:val="en-US" w:eastAsia="zh-CN"/>
        </w:rPr>
        <w:t>/</w:t>
      </w:r>
      <w:r>
        <w:rPr>
          <w:rFonts w:hint="eastAsia" w:ascii="宋体" w:hAnsi="宋体"/>
          <w:szCs w:val="21"/>
          <w:highlight w:val="none"/>
          <w:u w:val="single"/>
        </w:rPr>
        <w:t xml:space="preserve">  </w:t>
      </w:r>
      <w:r>
        <w:rPr>
          <w:rFonts w:hint="eastAsia" w:ascii="宋体" w:hAnsi="宋体"/>
          <w:szCs w:val="21"/>
          <w:highlight w:val="none"/>
        </w:rPr>
        <w:t>万元。</w:t>
      </w:r>
    </w:p>
    <w:p>
      <w:pPr>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二)</w:t>
      </w:r>
      <w:r>
        <w:rPr>
          <w:rFonts w:hint="eastAsia" w:ascii="仿宋_GB2312" w:eastAsia="仿宋_GB2312" w:cs="宋体" w:hAnsiTheme="minorEastAsia"/>
          <w:color w:val="FF0000"/>
          <w:sz w:val="22"/>
          <w:szCs w:val="21"/>
          <w:highlight w:val="none"/>
        </w:rPr>
        <w:t xml:space="preserve"> </w:t>
      </w:r>
      <w:r>
        <w:rPr>
          <w:rFonts w:hint="eastAsia" w:asciiTheme="minorEastAsia" w:hAnsiTheme="minorEastAsia" w:eastAsiaTheme="minorEastAsia"/>
          <w:szCs w:val="21"/>
          <w:highlight w:val="none"/>
        </w:rPr>
        <w:t>本合同在乙方提供履约担保后，由双方法定代表人或其委托代理人签署并加盖单位章后生效。履约保证金以现金或保函形式缴纳。</w:t>
      </w:r>
    </w:p>
    <w:p>
      <w:pPr>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三)在合同完成后</w:t>
      </w:r>
      <w:r>
        <w:rPr>
          <w:rFonts w:hint="eastAsia" w:ascii="宋体" w:hAnsi="宋体"/>
          <w:szCs w:val="21"/>
          <w:highlight w:val="none"/>
          <w:u w:val="single"/>
        </w:rPr>
        <w:t xml:space="preserve">  </w:t>
      </w:r>
      <w:r>
        <w:rPr>
          <w:rFonts w:hint="eastAsia" w:ascii="宋体" w:hAnsi="宋体"/>
          <w:szCs w:val="21"/>
          <w:highlight w:val="none"/>
          <w:u w:val="single"/>
          <w:lang w:val="en-US" w:eastAsia="zh-CN"/>
        </w:rPr>
        <w:t>60</w:t>
      </w:r>
      <w:r>
        <w:rPr>
          <w:rFonts w:hint="eastAsia" w:ascii="宋体" w:hAnsi="宋体"/>
          <w:szCs w:val="21"/>
          <w:highlight w:val="none"/>
          <w:u w:val="single"/>
        </w:rPr>
        <w:t xml:space="preserve">  </w:t>
      </w:r>
      <w:r>
        <w:rPr>
          <w:rFonts w:hint="eastAsia" w:ascii="宋体" w:hAnsi="宋体"/>
          <w:szCs w:val="21"/>
          <w:highlight w:val="none"/>
        </w:rPr>
        <w:t>工作日</w:t>
      </w:r>
      <w:r>
        <w:rPr>
          <w:rFonts w:ascii="宋体" w:hAnsi="宋体"/>
          <w:szCs w:val="21"/>
          <w:highlight w:val="none"/>
        </w:rPr>
        <w:t>内</w:t>
      </w:r>
      <w:r>
        <w:rPr>
          <w:rFonts w:hint="eastAsia" w:ascii="宋体" w:hAnsi="宋体"/>
          <w:szCs w:val="21"/>
          <w:highlight w:val="none"/>
        </w:rPr>
        <w:t>甲方无息退还乙方履约保证金</w:t>
      </w:r>
      <w:r>
        <w:rPr>
          <w:rFonts w:hint="eastAsia" w:ascii="宋体" w:hAnsi="宋体"/>
          <w:szCs w:val="21"/>
          <w:highlight w:val="none"/>
          <w:lang w:eastAsia="zh-CN"/>
        </w:rPr>
        <w:t>（</w:t>
      </w:r>
      <w:r>
        <w:rPr>
          <w:rFonts w:hint="eastAsia" w:ascii="宋体" w:hAnsi="宋体"/>
          <w:szCs w:val="21"/>
          <w:highlight w:val="none"/>
          <w:lang w:val="en-US" w:eastAsia="zh-CN"/>
        </w:rPr>
        <w:t>扣除违约金及应扣除款项</w:t>
      </w:r>
      <w:r>
        <w:rPr>
          <w:rFonts w:hint="eastAsia" w:ascii="宋体" w:hAnsi="宋体"/>
          <w:szCs w:val="21"/>
          <w:highlight w:val="none"/>
          <w:lang w:eastAsia="zh-CN"/>
        </w:rPr>
        <w:t>）</w:t>
      </w:r>
      <w:r>
        <w:rPr>
          <w:rFonts w:hint="eastAsia" w:ascii="宋体" w:hAnsi="宋体"/>
          <w:szCs w:val="21"/>
          <w:highlight w:val="none"/>
        </w:rPr>
        <w:t>。</w:t>
      </w:r>
    </w:p>
    <w:p>
      <w:pPr>
        <w:spacing w:line="400" w:lineRule="exact"/>
        <w:ind w:firstLine="422" w:firstLineChars="200"/>
        <w:outlineLvl w:val="1"/>
        <w:rPr>
          <w:rFonts w:hint="eastAsia" w:ascii="宋体" w:hAnsi="宋体"/>
          <w:color w:val="C0C0C0"/>
          <w:szCs w:val="21"/>
          <w:highlight w:val="none"/>
          <w:u w:val="single"/>
        </w:rPr>
      </w:pPr>
      <w:bookmarkStart w:id="7" w:name="_Toc10199"/>
      <w:r>
        <w:rPr>
          <w:rFonts w:hint="eastAsia" w:ascii="宋体" w:hAnsi="宋体"/>
          <w:b/>
          <w:szCs w:val="21"/>
          <w:highlight w:val="none"/>
        </w:rPr>
        <w:t>六、违约金</w:t>
      </w:r>
      <w:r>
        <w:rPr>
          <w:rFonts w:hint="eastAsia" w:ascii="宋体" w:hAnsi="宋体"/>
          <w:color w:val="C0C0C0"/>
          <w:szCs w:val="21"/>
          <w:highlight w:val="none"/>
          <w:u w:val="single"/>
        </w:rPr>
        <w:t>（项目根据实际情况自行填写）</w:t>
      </w:r>
      <w:bookmarkEnd w:id="7"/>
    </w:p>
    <w:p>
      <w:pPr>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一)</w:t>
      </w:r>
      <w:r>
        <w:rPr>
          <w:rFonts w:ascii="宋体" w:hAnsi="宋体" w:eastAsia="宋体" w:cs="Times New Roman"/>
          <w:kern w:val="2"/>
          <w:sz w:val="21"/>
          <w:szCs w:val="21"/>
          <w:highlight w:val="none"/>
          <w:lang w:val="en-US" w:eastAsia="zh-CN" w:bidi="ar-SA"/>
        </w:rPr>
        <w:t>如因材料质量问题而造成工期延误，</w:t>
      </w:r>
      <w:r>
        <w:rPr>
          <w:rFonts w:hint="eastAsia" w:ascii="宋体" w:hAnsi="宋体" w:cs="Times New Roman"/>
          <w:kern w:val="2"/>
          <w:sz w:val="21"/>
          <w:szCs w:val="21"/>
          <w:highlight w:val="none"/>
          <w:lang w:val="en-US" w:eastAsia="zh-CN" w:bidi="ar-SA"/>
        </w:rPr>
        <w:t>乙方</w:t>
      </w:r>
      <w:r>
        <w:rPr>
          <w:rFonts w:ascii="宋体" w:hAnsi="宋体" w:eastAsia="宋体" w:cs="Times New Roman"/>
          <w:kern w:val="2"/>
          <w:sz w:val="21"/>
          <w:szCs w:val="21"/>
          <w:highlight w:val="none"/>
          <w:lang w:val="en-US" w:eastAsia="zh-CN" w:bidi="ar-SA"/>
        </w:rPr>
        <w:t>承诺接受每延误一天处以人民币</w:t>
      </w:r>
      <w:r>
        <w:rPr>
          <w:rFonts w:hint="eastAsia" w:ascii="宋体" w:hAnsi="宋体" w:eastAsia="宋体" w:cs="Times New Roman"/>
          <w:kern w:val="2"/>
          <w:sz w:val="21"/>
          <w:szCs w:val="21"/>
          <w:highlight w:val="none"/>
          <w:u w:val="single"/>
          <w:lang w:val="en-US" w:eastAsia="zh-CN" w:bidi="ar-SA"/>
        </w:rPr>
        <w:t xml:space="preserve"> </w:t>
      </w:r>
      <w:r>
        <w:rPr>
          <w:rFonts w:hint="eastAsia" w:ascii="宋体" w:hAnsi="宋体" w:cs="Times New Roman"/>
          <w:kern w:val="2"/>
          <w:sz w:val="21"/>
          <w:szCs w:val="21"/>
          <w:highlight w:val="none"/>
          <w:u w:val="single"/>
          <w:lang w:val="en-US" w:eastAsia="zh-CN" w:bidi="ar-SA"/>
        </w:rPr>
        <w:t>5000</w:t>
      </w:r>
      <w:r>
        <w:rPr>
          <w:rFonts w:hint="eastAsia" w:ascii="宋体" w:hAnsi="宋体" w:eastAsia="宋体" w:cs="Times New Roman"/>
          <w:kern w:val="2"/>
          <w:sz w:val="21"/>
          <w:szCs w:val="21"/>
          <w:highlight w:val="none"/>
          <w:u w:val="single"/>
          <w:lang w:val="en-US" w:eastAsia="zh-CN" w:bidi="ar-SA"/>
        </w:rPr>
        <w:t xml:space="preserve">  </w:t>
      </w:r>
      <w:r>
        <w:rPr>
          <w:rFonts w:ascii="宋体" w:hAnsi="宋体" w:eastAsia="宋体" w:cs="Times New Roman"/>
          <w:kern w:val="2"/>
          <w:sz w:val="21"/>
          <w:szCs w:val="21"/>
          <w:highlight w:val="none"/>
          <w:lang w:val="en-US" w:eastAsia="zh-CN" w:bidi="ar-SA"/>
        </w:rPr>
        <w:t>元的违约金，该违约金从货款</w:t>
      </w:r>
      <w:r>
        <w:rPr>
          <w:rFonts w:hint="eastAsia" w:ascii="宋体" w:hAnsi="宋体" w:cs="Times New Roman"/>
          <w:kern w:val="2"/>
          <w:sz w:val="21"/>
          <w:szCs w:val="21"/>
          <w:highlight w:val="none"/>
          <w:lang w:val="en-US" w:eastAsia="zh-CN" w:bidi="ar-SA"/>
        </w:rPr>
        <w:t>或履约保证金</w:t>
      </w:r>
      <w:r>
        <w:rPr>
          <w:rFonts w:ascii="宋体" w:hAnsi="宋体" w:eastAsia="宋体" w:cs="Times New Roman"/>
          <w:kern w:val="2"/>
          <w:sz w:val="21"/>
          <w:szCs w:val="21"/>
          <w:highlight w:val="none"/>
          <w:lang w:val="en-US" w:eastAsia="zh-CN" w:bidi="ar-SA"/>
        </w:rPr>
        <w:t>中扣除</w:t>
      </w:r>
      <w:r>
        <w:rPr>
          <w:rFonts w:hint="eastAsia" w:ascii="宋体" w:hAnsi="宋体" w:cs="Times New Roman"/>
          <w:kern w:val="2"/>
          <w:sz w:val="21"/>
          <w:szCs w:val="21"/>
          <w:highlight w:val="none"/>
          <w:lang w:val="en-US" w:eastAsia="zh-CN" w:bidi="ar-SA"/>
        </w:rPr>
        <w:t>。</w:t>
      </w:r>
    </w:p>
    <w:p>
      <w:pPr>
        <w:spacing w:line="400" w:lineRule="exact"/>
        <w:ind w:firstLine="420" w:firstLineChars="200"/>
        <w:rPr>
          <w:rFonts w:hint="eastAsia" w:ascii="宋体" w:hAnsi="宋体" w:cs="Times New Roman"/>
          <w:kern w:val="2"/>
          <w:sz w:val="21"/>
          <w:szCs w:val="21"/>
          <w:highlight w:val="none"/>
          <w:lang w:val="en-US" w:eastAsia="zh-CN" w:bidi="ar-SA"/>
        </w:rPr>
      </w:pPr>
      <w:r>
        <w:rPr>
          <w:rFonts w:ascii="宋体" w:hAnsi="宋体"/>
          <w:szCs w:val="21"/>
          <w:highlight w:val="none"/>
        </w:rPr>
        <w:t>(</w:t>
      </w:r>
      <w:r>
        <w:rPr>
          <w:rFonts w:hint="eastAsia" w:ascii="宋体" w:hAnsi="宋体"/>
          <w:szCs w:val="21"/>
          <w:highlight w:val="none"/>
        </w:rPr>
        <w:t>二)</w:t>
      </w:r>
      <w:r>
        <w:rPr>
          <w:rFonts w:ascii="宋体" w:hAnsi="宋体" w:eastAsia="宋体" w:cs="Times New Roman"/>
          <w:kern w:val="2"/>
          <w:sz w:val="21"/>
          <w:szCs w:val="21"/>
          <w:highlight w:val="none"/>
          <w:lang w:val="en-US" w:eastAsia="zh-CN" w:bidi="ar-SA"/>
        </w:rPr>
        <w:t>如因材料进场时间问题而造成工期延误，</w:t>
      </w:r>
      <w:r>
        <w:rPr>
          <w:rFonts w:hint="eastAsia" w:ascii="宋体" w:hAnsi="宋体" w:cs="Times New Roman"/>
          <w:kern w:val="2"/>
          <w:sz w:val="21"/>
          <w:szCs w:val="21"/>
          <w:highlight w:val="none"/>
          <w:lang w:val="en-US" w:eastAsia="zh-CN" w:bidi="ar-SA"/>
        </w:rPr>
        <w:t>乙方</w:t>
      </w:r>
      <w:r>
        <w:rPr>
          <w:rFonts w:ascii="宋体" w:hAnsi="宋体" w:eastAsia="宋体" w:cs="Times New Roman"/>
          <w:kern w:val="2"/>
          <w:sz w:val="21"/>
          <w:szCs w:val="21"/>
          <w:highlight w:val="none"/>
          <w:lang w:val="en-US" w:eastAsia="zh-CN" w:bidi="ar-SA"/>
        </w:rPr>
        <w:t>承诺接受每延误一天处以</w:t>
      </w:r>
      <w:r>
        <w:rPr>
          <w:rFonts w:hint="eastAsia" w:ascii="宋体" w:hAnsi="宋体" w:eastAsia="宋体" w:cs="Times New Roman"/>
          <w:kern w:val="2"/>
          <w:sz w:val="21"/>
          <w:szCs w:val="21"/>
          <w:highlight w:val="none"/>
          <w:u w:val="single"/>
          <w:lang w:val="en-US" w:eastAsia="zh-CN" w:bidi="ar-SA"/>
        </w:rPr>
        <w:t xml:space="preserve"> </w:t>
      </w:r>
      <w:r>
        <w:rPr>
          <w:rFonts w:hint="eastAsia" w:ascii="宋体" w:hAnsi="宋体" w:cs="Times New Roman"/>
          <w:kern w:val="2"/>
          <w:sz w:val="21"/>
          <w:szCs w:val="21"/>
          <w:highlight w:val="none"/>
          <w:u w:val="single"/>
          <w:lang w:val="en-US" w:eastAsia="zh-CN" w:bidi="ar-SA"/>
        </w:rPr>
        <w:t>2000</w:t>
      </w:r>
      <w:r>
        <w:rPr>
          <w:rFonts w:hint="eastAsia" w:ascii="宋体" w:hAnsi="宋体" w:eastAsia="宋体" w:cs="Times New Roman"/>
          <w:kern w:val="2"/>
          <w:sz w:val="21"/>
          <w:szCs w:val="21"/>
          <w:highlight w:val="none"/>
          <w:u w:val="single"/>
          <w:lang w:val="en-US" w:eastAsia="zh-CN" w:bidi="ar-SA"/>
        </w:rPr>
        <w:t xml:space="preserve">   </w:t>
      </w:r>
      <w:r>
        <w:rPr>
          <w:rFonts w:ascii="宋体" w:hAnsi="宋体" w:eastAsia="宋体" w:cs="Times New Roman"/>
          <w:kern w:val="2"/>
          <w:sz w:val="21"/>
          <w:szCs w:val="21"/>
          <w:highlight w:val="none"/>
          <w:lang w:val="en-US" w:eastAsia="zh-CN" w:bidi="ar-SA"/>
        </w:rPr>
        <w:t>元人民币的违约金，该违约金从货款</w:t>
      </w:r>
      <w:r>
        <w:rPr>
          <w:rFonts w:hint="eastAsia" w:ascii="宋体" w:hAnsi="宋体" w:cs="Times New Roman"/>
          <w:kern w:val="2"/>
          <w:sz w:val="21"/>
          <w:szCs w:val="21"/>
          <w:highlight w:val="none"/>
          <w:lang w:val="en-US" w:eastAsia="zh-CN" w:bidi="ar-SA"/>
        </w:rPr>
        <w:t>或履约保障证</w:t>
      </w:r>
      <w:r>
        <w:rPr>
          <w:rFonts w:ascii="宋体" w:hAnsi="宋体" w:eastAsia="宋体" w:cs="Times New Roman"/>
          <w:kern w:val="2"/>
          <w:sz w:val="21"/>
          <w:szCs w:val="21"/>
          <w:highlight w:val="none"/>
          <w:lang w:val="en-US" w:eastAsia="zh-CN" w:bidi="ar-SA"/>
        </w:rPr>
        <w:t>中扣除</w:t>
      </w:r>
      <w:r>
        <w:rPr>
          <w:rFonts w:hint="eastAsia" w:ascii="宋体" w:hAnsi="宋体" w:cs="Times New Roman"/>
          <w:kern w:val="2"/>
          <w:sz w:val="21"/>
          <w:szCs w:val="21"/>
          <w:highlight w:val="none"/>
          <w:lang w:val="en-US" w:eastAsia="zh-CN" w:bidi="ar-SA"/>
        </w:rPr>
        <w:t>。</w:t>
      </w:r>
    </w:p>
    <w:p>
      <w:pPr>
        <w:spacing w:line="400" w:lineRule="exact"/>
        <w:ind w:firstLine="422" w:firstLineChars="200"/>
        <w:rPr>
          <w:rFonts w:hint="eastAsia" w:ascii="宋体" w:hAnsi="宋体"/>
          <w:b/>
          <w:szCs w:val="21"/>
          <w:highlight w:val="none"/>
        </w:rPr>
      </w:pPr>
      <w:r>
        <w:rPr>
          <w:rFonts w:hint="eastAsia" w:ascii="宋体" w:hAnsi="宋体"/>
          <w:b/>
          <w:szCs w:val="21"/>
          <w:highlight w:val="none"/>
          <w:lang w:val="en-US" w:eastAsia="zh-CN"/>
        </w:rPr>
        <w:t>七、</w:t>
      </w:r>
      <w:bookmarkStart w:id="8" w:name="_Toc24250"/>
      <w:r>
        <w:rPr>
          <w:rFonts w:hint="eastAsia" w:ascii="宋体" w:hAnsi="宋体"/>
          <w:b/>
          <w:szCs w:val="21"/>
          <w:highlight w:val="none"/>
        </w:rPr>
        <w:t>合同生效</w:t>
      </w:r>
      <w:bookmarkEnd w:id="8"/>
    </w:p>
    <w:p>
      <w:pPr>
        <w:pStyle w:val="3"/>
        <w:numPr>
          <w:ilvl w:val="255"/>
          <w:numId w:val="0"/>
        </w:numPr>
        <w:spacing w:line="400" w:lineRule="atLeast"/>
        <w:ind w:firstLine="420" w:firstLineChars="200"/>
        <w:jc w:val="both"/>
        <w:rPr>
          <w:rFonts w:ascii="宋体" w:hAnsi="宋体" w:eastAsia="宋体" w:cs="Times New Roman"/>
          <w:color w:val="auto"/>
          <w:kern w:val="2"/>
          <w:sz w:val="21"/>
          <w:szCs w:val="21"/>
          <w:highlight w:val="none"/>
          <w:lang w:val="en-US" w:eastAsia="zh-CN" w:bidi="ar-SA"/>
        </w:rPr>
      </w:pPr>
      <w:bookmarkStart w:id="9" w:name="_Hlk126770615"/>
      <w:bookmarkStart w:id="10" w:name="_Hlk126830534"/>
      <w:r>
        <w:rPr>
          <w:rFonts w:hint="eastAsia" w:ascii="宋体" w:hAnsi="宋体" w:eastAsia="宋体" w:cs="Times New Roman"/>
          <w:color w:val="auto"/>
          <w:kern w:val="2"/>
          <w:sz w:val="21"/>
          <w:szCs w:val="21"/>
          <w:highlight w:val="none"/>
          <w:lang w:val="en-US" w:eastAsia="zh-CN" w:bidi="ar-SA"/>
        </w:rPr>
        <w:t>1、</w:t>
      </w:r>
      <w:bookmarkStart w:id="11" w:name="_Hlk127194968"/>
      <w:bookmarkStart w:id="12" w:name="_Hlk127199024"/>
      <w:r>
        <w:rPr>
          <w:rFonts w:hint="eastAsia" w:ascii="宋体" w:hAnsi="宋体" w:eastAsia="宋体" w:cs="Times New Roman"/>
          <w:color w:val="auto"/>
          <w:kern w:val="2"/>
          <w:sz w:val="21"/>
          <w:szCs w:val="21"/>
          <w:highlight w:val="none"/>
          <w:lang w:val="en-US" w:eastAsia="zh-CN" w:bidi="ar-SA"/>
        </w:rPr>
        <w:t>本合同签约形式适用第</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cs="Times New Roman"/>
          <w:color w:val="auto"/>
          <w:kern w:val="2"/>
          <w:sz w:val="21"/>
          <w:szCs w:val="21"/>
          <w:highlight w:val="none"/>
          <w:u w:val="single"/>
          <w:lang w:val="en-US" w:eastAsia="zh-CN" w:bidi="ar-SA"/>
        </w:rPr>
        <w:t xml:space="preserve">  2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条；</w:t>
      </w:r>
    </w:p>
    <w:p>
      <w:pPr>
        <w:pStyle w:val="3"/>
        <w:numPr>
          <w:ilvl w:val="255"/>
          <w:numId w:val="0"/>
        </w:numPr>
        <w:spacing w:line="400" w:lineRule="atLeast"/>
        <w:ind w:firstLine="420" w:firstLineChars="20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w:t>
      </w:r>
    </w:p>
    <w:p>
      <w:pPr>
        <w:pStyle w:val="3"/>
        <w:numPr>
          <w:ilvl w:val="255"/>
          <w:numId w:val="0"/>
        </w:numPr>
        <w:spacing w:line="400" w:lineRule="atLeast"/>
        <w:ind w:firstLine="420" w:firstLineChars="200"/>
        <w:jc w:val="both"/>
        <w:rPr>
          <w:rFonts w:hint="default"/>
          <w:lang w:val="en-US" w:eastAsia="zh-CN"/>
        </w:rPr>
      </w:pPr>
      <w:r>
        <w:rPr>
          <w:rFonts w:hint="eastAsia" w:ascii="宋体" w:hAnsi="宋体" w:eastAsia="宋体" w:cs="Times New Roman"/>
          <w:color w:val="auto"/>
          <w:kern w:val="2"/>
          <w:sz w:val="21"/>
          <w:szCs w:val="21"/>
          <w:highlight w:val="none"/>
          <w:lang w:val="en-US" w:eastAsia="zh-CN" w:bidi="ar-SA"/>
        </w:rPr>
        <w:t>1.2双方同意通过加盖物理印章的方式签署本合同，合同自双方盖章后生效，完成合同约定的全部内容且保修期满后即告终止。</w:t>
      </w:r>
      <w:bookmarkEnd w:id="9"/>
      <w:bookmarkEnd w:id="10"/>
      <w:bookmarkEnd w:id="11"/>
      <w:bookmarkEnd w:id="12"/>
    </w:p>
    <w:p>
      <w:pPr>
        <w:spacing w:line="400" w:lineRule="exact"/>
        <w:ind w:firstLine="422" w:firstLineChars="200"/>
        <w:rPr>
          <w:rFonts w:ascii="宋体" w:hAnsi="宋体"/>
          <w:szCs w:val="21"/>
          <w:highlight w:val="none"/>
        </w:rPr>
      </w:pPr>
      <w:r>
        <w:rPr>
          <w:rFonts w:hint="eastAsia" w:ascii="宋体" w:hAnsi="宋体"/>
          <w:b/>
          <w:szCs w:val="21"/>
          <w:highlight w:val="none"/>
          <w:lang w:val="en-US" w:eastAsia="zh-CN"/>
        </w:rPr>
        <w:t>八</w:t>
      </w:r>
      <w:r>
        <w:rPr>
          <w:rFonts w:ascii="宋体" w:hAnsi="宋体"/>
          <w:b/>
          <w:szCs w:val="21"/>
          <w:highlight w:val="none"/>
        </w:rPr>
        <w:t>、</w:t>
      </w:r>
      <w:r>
        <w:rPr>
          <w:rFonts w:hint="eastAsia" w:ascii="宋体" w:hAnsi="宋体"/>
          <w:b/>
          <w:szCs w:val="21"/>
          <w:highlight w:val="none"/>
        </w:rPr>
        <w:t>合同份数：</w:t>
      </w:r>
      <w:r>
        <w:rPr>
          <w:rFonts w:hint="eastAsia" w:ascii="宋体" w:hAnsi="宋体"/>
          <w:szCs w:val="21"/>
          <w:highlight w:val="none"/>
        </w:rPr>
        <w:t>本合同一式</w:t>
      </w:r>
      <w:r>
        <w:rPr>
          <w:rFonts w:hint="eastAsia" w:ascii="宋体" w:hAnsi="宋体"/>
          <w:szCs w:val="21"/>
          <w:highlight w:val="none"/>
          <w:u w:val="single"/>
        </w:rPr>
        <w:t xml:space="preserve"> 8 </w:t>
      </w:r>
      <w:r>
        <w:rPr>
          <w:rFonts w:hint="eastAsia" w:ascii="宋体" w:hAnsi="宋体"/>
          <w:szCs w:val="21"/>
          <w:highlight w:val="none"/>
        </w:rPr>
        <w:t>份，甲方执</w:t>
      </w:r>
      <w:r>
        <w:rPr>
          <w:rFonts w:hint="eastAsia" w:ascii="宋体" w:hAnsi="宋体"/>
          <w:szCs w:val="21"/>
          <w:highlight w:val="none"/>
          <w:u w:val="single"/>
        </w:rPr>
        <w:t xml:space="preserve"> 7 </w:t>
      </w:r>
      <w:r>
        <w:rPr>
          <w:rFonts w:hint="eastAsia" w:ascii="宋体" w:hAnsi="宋体"/>
          <w:szCs w:val="21"/>
          <w:highlight w:val="none"/>
        </w:rPr>
        <w:t>份，乙方执</w:t>
      </w:r>
      <w:r>
        <w:rPr>
          <w:rFonts w:hint="eastAsia" w:ascii="宋体" w:hAnsi="宋体"/>
          <w:szCs w:val="21"/>
          <w:highlight w:val="none"/>
          <w:u w:val="single"/>
        </w:rPr>
        <w:t xml:space="preserve"> 1 </w:t>
      </w:r>
      <w:r>
        <w:rPr>
          <w:rFonts w:hint="eastAsia" w:ascii="宋体" w:hAnsi="宋体"/>
          <w:szCs w:val="21"/>
          <w:highlight w:val="none"/>
        </w:rPr>
        <w:t>份。</w:t>
      </w:r>
    </w:p>
    <w:p>
      <w:pPr>
        <w:spacing w:line="400" w:lineRule="exact"/>
        <w:ind w:left="992"/>
        <w:rPr>
          <w:rFonts w:ascii="宋体" w:hAnsi="宋体"/>
          <w:szCs w:val="21"/>
          <w:highlight w:val="none"/>
        </w:rPr>
      </w:pP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 xml:space="preserve">甲方：（盖章）                               乙方：（盖章） </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法定代表人                                   法定代表人 </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或被授权人签字：                             或被授权人签字：</w:t>
      </w:r>
    </w:p>
    <w:p>
      <w:pPr>
        <w:snapToGrid w:val="0"/>
        <w:spacing w:line="400" w:lineRule="exact"/>
        <w:ind w:firstLine="420" w:firstLineChars="200"/>
        <w:rPr>
          <w:rFonts w:hint="eastAsia" w:ascii="仿宋_GB2312" w:hAnsi="宋体" w:eastAsia="宋体"/>
          <w:sz w:val="24"/>
          <w:highlight w:val="none"/>
          <w:lang w:val="en-US" w:eastAsia="zh-CN"/>
        </w:rPr>
      </w:pPr>
      <w:r>
        <w:rPr>
          <w:rFonts w:hint="eastAsia" w:ascii="宋体" w:hAnsi="宋体"/>
          <w:szCs w:val="21"/>
          <w:highlight w:val="none"/>
        </w:rPr>
        <w:t>联系电话：                                   联系电话：</w:t>
      </w:r>
      <w:r>
        <w:rPr>
          <w:rFonts w:hint="eastAsia" w:ascii="宋体" w:hAnsi="宋体"/>
          <w:szCs w:val="21"/>
          <w:highlight w:val="none"/>
          <w:lang w:val="en-US" w:eastAsia="zh-CN"/>
        </w:rPr>
        <w:t xml:space="preserve"> </w:t>
      </w:r>
    </w:p>
    <w:p>
      <w:pPr>
        <w:spacing w:line="400" w:lineRule="exact"/>
        <w:ind w:firstLine="420" w:firstLineChars="200"/>
        <w:rPr>
          <w:rFonts w:ascii="宋体" w:hAnsi="宋体"/>
          <w:color w:val="C0C0C0"/>
          <w:szCs w:val="21"/>
          <w:highlight w:val="none"/>
          <w:u w:val="single"/>
        </w:rPr>
      </w:pPr>
    </w:p>
    <w:p>
      <w:pPr>
        <w:spacing w:before="249" w:beforeLines="80" w:line="360" w:lineRule="exact"/>
        <w:jc w:val="center"/>
        <w:rPr>
          <w:rFonts w:ascii="宋体" w:hAnsi="宋体"/>
          <w:b/>
          <w:sz w:val="30"/>
          <w:szCs w:val="30"/>
          <w:highlight w:val="none"/>
        </w:rPr>
      </w:pPr>
    </w:p>
    <w:p>
      <w:pPr>
        <w:spacing w:before="249" w:beforeLines="80" w:line="360" w:lineRule="exact"/>
        <w:jc w:val="center"/>
        <w:rPr>
          <w:rFonts w:ascii="宋体" w:hAnsi="宋体"/>
          <w:b/>
          <w:sz w:val="30"/>
          <w:szCs w:val="30"/>
          <w:highlight w:val="none"/>
        </w:rPr>
      </w:pPr>
    </w:p>
    <w:p>
      <w:pPr>
        <w:spacing w:before="249" w:beforeLines="80" w:line="360" w:lineRule="exact"/>
        <w:ind w:firstLine="3012" w:firstLineChars="1000"/>
        <w:jc w:val="both"/>
        <w:outlineLvl w:val="0"/>
        <w:rPr>
          <w:rFonts w:ascii="宋体" w:hAnsi="宋体"/>
          <w:b/>
          <w:sz w:val="30"/>
          <w:szCs w:val="30"/>
          <w:highlight w:val="none"/>
        </w:rPr>
      </w:pPr>
      <w:bookmarkStart w:id="13" w:name="_Toc6333"/>
      <w:r>
        <w:rPr>
          <w:rFonts w:hint="eastAsia" w:ascii="宋体" w:hAnsi="宋体"/>
          <w:b/>
          <w:sz w:val="30"/>
          <w:szCs w:val="30"/>
          <w:highlight w:val="none"/>
        </w:rPr>
        <w:t>第二部分 通用合同条款</w:t>
      </w:r>
      <w:bookmarkEnd w:id="13"/>
      <w:bookmarkStart w:id="14" w:name="A3"/>
      <w:bookmarkEnd w:id="14"/>
    </w:p>
    <w:p>
      <w:pPr>
        <w:tabs>
          <w:tab w:val="left" w:pos="425"/>
        </w:tabs>
        <w:spacing w:line="400" w:lineRule="exact"/>
        <w:ind w:firstLine="422" w:firstLineChars="200"/>
        <w:jc w:val="left"/>
        <w:outlineLvl w:val="1"/>
        <w:rPr>
          <w:rFonts w:ascii="宋体" w:hAnsi="宋体"/>
          <w:b/>
          <w:szCs w:val="21"/>
          <w:highlight w:val="none"/>
        </w:rPr>
      </w:pPr>
      <w:bookmarkStart w:id="15" w:name="_Toc8505"/>
      <w:r>
        <w:rPr>
          <w:rFonts w:hint="eastAsia" w:ascii="宋体" w:hAnsi="宋体"/>
          <w:b/>
          <w:szCs w:val="21"/>
          <w:highlight w:val="none"/>
        </w:rPr>
        <w:t>1</w:t>
      </w:r>
      <w:r>
        <w:rPr>
          <w:rFonts w:ascii="宋体" w:hAnsi="宋体"/>
          <w:b/>
          <w:szCs w:val="21"/>
          <w:highlight w:val="none"/>
        </w:rPr>
        <w:t>.</w:t>
      </w:r>
      <w:r>
        <w:rPr>
          <w:rFonts w:hint="eastAsia" w:ascii="宋体" w:hAnsi="宋体"/>
          <w:b/>
          <w:szCs w:val="21"/>
          <w:highlight w:val="none"/>
        </w:rPr>
        <w:t>适用法律法规</w:t>
      </w:r>
      <w:bookmarkEnd w:id="15"/>
    </w:p>
    <w:p>
      <w:pPr>
        <w:tabs>
          <w:tab w:val="left" w:pos="992"/>
        </w:tabs>
        <w:spacing w:line="400" w:lineRule="exact"/>
        <w:ind w:firstLine="420" w:firstLineChars="200"/>
        <w:jc w:val="left"/>
        <w:rPr>
          <w:rFonts w:ascii="宋体" w:hAnsi="宋体"/>
          <w:b/>
          <w:szCs w:val="21"/>
          <w:highlight w:val="none"/>
        </w:rPr>
      </w:pPr>
      <w:bookmarkStart w:id="16" w:name="A2"/>
      <w:bookmarkEnd w:id="16"/>
      <w:r>
        <w:rPr>
          <w:rFonts w:hint="eastAsia" w:ascii="宋体" w:hAnsi="宋体"/>
          <w:szCs w:val="21"/>
          <w:highlight w:val="none"/>
        </w:rPr>
        <w:t>1.</w:t>
      </w:r>
      <w:r>
        <w:rPr>
          <w:rFonts w:ascii="宋体" w:hAnsi="宋体"/>
          <w:szCs w:val="21"/>
          <w:highlight w:val="none"/>
        </w:rPr>
        <w:t>1适用于</w:t>
      </w:r>
      <w:r>
        <w:rPr>
          <w:rFonts w:hint="eastAsia" w:ascii="宋体" w:hAnsi="宋体"/>
          <w:szCs w:val="21"/>
          <w:highlight w:val="none"/>
        </w:rPr>
        <w:t>本</w:t>
      </w:r>
      <w:r>
        <w:rPr>
          <w:rFonts w:ascii="宋体" w:hAnsi="宋体"/>
          <w:szCs w:val="21"/>
          <w:highlight w:val="none"/>
        </w:rPr>
        <w:t>合同的法律包括中华人民共和国</w:t>
      </w:r>
      <w:r>
        <w:rPr>
          <w:rFonts w:hint="eastAsia" w:ascii="宋体" w:hAnsi="宋体"/>
          <w:szCs w:val="21"/>
          <w:highlight w:val="none"/>
        </w:rPr>
        <w:t>正式颁布实施的</w:t>
      </w:r>
      <w:r>
        <w:rPr>
          <w:rFonts w:ascii="宋体" w:hAnsi="宋体"/>
          <w:szCs w:val="21"/>
          <w:highlight w:val="none"/>
        </w:rPr>
        <w:t>法律</w:t>
      </w:r>
      <w:r>
        <w:rPr>
          <w:rFonts w:hint="eastAsia" w:ascii="宋体" w:hAnsi="宋体"/>
          <w:szCs w:val="21"/>
          <w:highlight w:val="none"/>
        </w:rPr>
        <w:t>、</w:t>
      </w:r>
      <w:r>
        <w:rPr>
          <w:rFonts w:ascii="宋体" w:hAnsi="宋体"/>
          <w:szCs w:val="21"/>
          <w:highlight w:val="none"/>
        </w:rPr>
        <w:t>行政法规</w:t>
      </w:r>
      <w:r>
        <w:rPr>
          <w:rFonts w:hint="eastAsia" w:ascii="宋体" w:hAnsi="宋体"/>
          <w:szCs w:val="21"/>
          <w:highlight w:val="none"/>
        </w:rPr>
        <w:t>、</w:t>
      </w:r>
      <w:r>
        <w:rPr>
          <w:rFonts w:ascii="宋体" w:hAnsi="宋体"/>
          <w:szCs w:val="21"/>
          <w:highlight w:val="none"/>
        </w:rPr>
        <w:t>部门规章，以及</w:t>
      </w:r>
      <w:r>
        <w:rPr>
          <w:rFonts w:hint="eastAsia" w:ascii="宋体" w:hAnsi="宋体"/>
          <w:szCs w:val="21"/>
          <w:highlight w:val="none"/>
        </w:rPr>
        <w:t>项目</w:t>
      </w:r>
      <w:r>
        <w:rPr>
          <w:rFonts w:ascii="宋体" w:hAnsi="宋体"/>
          <w:szCs w:val="21"/>
          <w:highlight w:val="none"/>
        </w:rPr>
        <w:t>所在地的地方法规</w:t>
      </w:r>
      <w:r>
        <w:rPr>
          <w:rFonts w:hint="eastAsia" w:ascii="宋体" w:hAnsi="宋体"/>
          <w:szCs w:val="21"/>
          <w:highlight w:val="none"/>
        </w:rPr>
        <w:t>、</w:t>
      </w:r>
      <w:r>
        <w:rPr>
          <w:rFonts w:ascii="宋体" w:hAnsi="宋体"/>
          <w:szCs w:val="21"/>
          <w:highlight w:val="none"/>
        </w:rPr>
        <w:t>自治条例</w:t>
      </w:r>
      <w:r>
        <w:rPr>
          <w:rFonts w:hint="eastAsia" w:ascii="宋体" w:hAnsi="宋体"/>
          <w:szCs w:val="21"/>
          <w:highlight w:val="none"/>
        </w:rPr>
        <w:t>、</w:t>
      </w:r>
      <w:r>
        <w:rPr>
          <w:rFonts w:ascii="宋体" w:hAnsi="宋体"/>
          <w:szCs w:val="21"/>
          <w:highlight w:val="none"/>
        </w:rPr>
        <w:t>单行条例和地方政府规章</w:t>
      </w:r>
      <w:r>
        <w:rPr>
          <w:rFonts w:hint="eastAsia" w:ascii="宋体" w:hAnsi="宋体"/>
          <w:szCs w:val="21"/>
          <w:highlight w:val="none"/>
        </w:rPr>
        <w:t>，包括但不限于</w:t>
      </w:r>
      <w:r>
        <w:rPr>
          <w:rFonts w:hint="eastAsia" w:ascii="宋体" w:hAnsi="宋体"/>
          <w:kern w:val="10"/>
          <w:szCs w:val="21"/>
          <w:highlight w:val="none"/>
        </w:rPr>
        <w:t>《中华人民共和国民法典》《中华人民共和国产品质量法》</w:t>
      </w:r>
      <w:r>
        <w:rPr>
          <w:rFonts w:hint="eastAsia" w:ascii="Arial" w:hAnsi="Arial" w:cs="Arial"/>
          <w:highlight w:val="none"/>
        </w:rPr>
        <w:t>等。</w:t>
      </w:r>
    </w:p>
    <w:p>
      <w:pPr>
        <w:tabs>
          <w:tab w:val="left" w:pos="425"/>
          <w:tab w:val="left" w:pos="992"/>
        </w:tabs>
        <w:spacing w:line="400" w:lineRule="exact"/>
        <w:ind w:firstLine="420" w:firstLineChars="200"/>
        <w:jc w:val="left"/>
        <w:rPr>
          <w:rFonts w:ascii="宋体" w:hAnsi="宋体"/>
          <w:szCs w:val="21"/>
          <w:highlight w:val="none"/>
        </w:rPr>
      </w:pPr>
      <w:r>
        <w:rPr>
          <w:rFonts w:ascii="宋体" w:hAnsi="宋体"/>
          <w:szCs w:val="21"/>
          <w:highlight w:val="none"/>
        </w:rPr>
        <w:t>1.2</w:t>
      </w:r>
      <w:r>
        <w:rPr>
          <w:rFonts w:hint="eastAsia" w:ascii="宋体" w:hAnsi="宋体"/>
          <w:szCs w:val="21"/>
          <w:highlight w:val="none"/>
        </w:rPr>
        <w:t>如在合同有效期内，颁布新的法律法规或修订了原有法律法规，则后继的法律法规将自动适用于本合同。</w:t>
      </w:r>
    </w:p>
    <w:p>
      <w:pPr>
        <w:tabs>
          <w:tab w:val="left" w:pos="425"/>
        </w:tabs>
        <w:spacing w:line="400" w:lineRule="exact"/>
        <w:ind w:firstLine="422" w:firstLineChars="200"/>
        <w:jc w:val="left"/>
        <w:outlineLvl w:val="1"/>
        <w:rPr>
          <w:rFonts w:ascii="宋体" w:hAnsi="宋体"/>
          <w:b/>
          <w:szCs w:val="21"/>
          <w:highlight w:val="none"/>
        </w:rPr>
      </w:pPr>
      <w:bookmarkStart w:id="17" w:name="_Toc11179"/>
      <w:r>
        <w:rPr>
          <w:rFonts w:hint="eastAsia" w:ascii="宋体" w:hAnsi="宋体"/>
          <w:b/>
          <w:szCs w:val="21"/>
          <w:highlight w:val="none"/>
        </w:rPr>
        <w:t>2</w:t>
      </w:r>
      <w:r>
        <w:rPr>
          <w:rFonts w:ascii="宋体" w:hAnsi="宋体"/>
          <w:b/>
          <w:szCs w:val="21"/>
          <w:highlight w:val="none"/>
        </w:rPr>
        <w:t>.</w:t>
      </w:r>
      <w:r>
        <w:rPr>
          <w:rFonts w:hint="eastAsia" w:ascii="宋体" w:hAnsi="宋体"/>
          <w:b/>
          <w:szCs w:val="21"/>
          <w:highlight w:val="none"/>
        </w:rPr>
        <w:t>合同文件组成及解释顺序</w:t>
      </w:r>
      <w:bookmarkEnd w:id="17"/>
    </w:p>
    <w:p>
      <w:pPr>
        <w:tabs>
          <w:tab w:val="left" w:pos="425"/>
          <w:tab w:val="left" w:pos="992"/>
        </w:tabs>
        <w:spacing w:line="400" w:lineRule="exact"/>
        <w:ind w:left="420" w:leftChars="200"/>
        <w:jc w:val="left"/>
        <w:rPr>
          <w:rFonts w:ascii="宋体" w:hAnsi="宋体"/>
          <w:szCs w:val="21"/>
          <w:highlight w:val="none"/>
        </w:rPr>
      </w:pPr>
      <w:r>
        <w:rPr>
          <w:rFonts w:ascii="宋体" w:hAnsi="宋体"/>
          <w:szCs w:val="21"/>
          <w:highlight w:val="none"/>
        </w:rPr>
        <w:t>2.1</w:t>
      </w:r>
      <w:r>
        <w:rPr>
          <w:rFonts w:hint="eastAsia" w:ascii="宋体" w:hAnsi="宋体"/>
          <w:szCs w:val="21"/>
          <w:highlight w:val="none"/>
        </w:rPr>
        <w:t>除专用合同条款另有约定外，组成本合同的文件及优先解释顺序如下：</w:t>
      </w:r>
    </w:p>
    <w:p>
      <w:pPr>
        <w:spacing w:line="400" w:lineRule="exact"/>
        <w:ind w:left="420" w:leftChars="200"/>
        <w:jc w:val="left"/>
        <w:rPr>
          <w:rFonts w:ascii="宋体" w:hAnsi="宋体"/>
          <w:szCs w:val="21"/>
          <w:highlight w:val="none"/>
        </w:rPr>
      </w:pPr>
      <w:r>
        <w:rPr>
          <w:rFonts w:ascii="宋体" w:hAnsi="宋体"/>
          <w:szCs w:val="21"/>
          <w:highlight w:val="none"/>
        </w:rPr>
        <w:t>2.1.1</w:t>
      </w:r>
      <w:r>
        <w:rPr>
          <w:rFonts w:hint="eastAsia" w:ascii="宋体" w:hAnsi="宋体"/>
          <w:szCs w:val="21"/>
          <w:highlight w:val="none"/>
        </w:rPr>
        <w:t>补充协议文件；</w:t>
      </w:r>
    </w:p>
    <w:p>
      <w:pPr>
        <w:spacing w:line="400" w:lineRule="exact"/>
        <w:ind w:left="420" w:leftChars="200"/>
        <w:jc w:val="left"/>
        <w:rPr>
          <w:rFonts w:ascii="宋体" w:hAnsi="宋体"/>
          <w:szCs w:val="21"/>
          <w:highlight w:val="none"/>
        </w:rPr>
      </w:pPr>
      <w:r>
        <w:rPr>
          <w:rFonts w:ascii="宋体" w:hAnsi="宋体"/>
          <w:szCs w:val="21"/>
          <w:highlight w:val="none"/>
        </w:rPr>
        <w:t>2.1.2</w:t>
      </w:r>
      <w:r>
        <w:rPr>
          <w:rFonts w:hint="eastAsia" w:ascii="宋体" w:hAnsi="宋体"/>
          <w:szCs w:val="21"/>
          <w:highlight w:val="none"/>
        </w:rPr>
        <w:t>本</w:t>
      </w:r>
      <w:r>
        <w:rPr>
          <w:rFonts w:ascii="宋体" w:hAnsi="宋体"/>
          <w:szCs w:val="21"/>
          <w:highlight w:val="none"/>
        </w:rPr>
        <w:t>合同</w:t>
      </w:r>
      <w:r>
        <w:rPr>
          <w:rFonts w:hint="eastAsia" w:ascii="宋体" w:hAnsi="宋体"/>
          <w:szCs w:val="21"/>
          <w:highlight w:val="none"/>
        </w:rPr>
        <w:t>；</w:t>
      </w:r>
    </w:p>
    <w:p>
      <w:pPr>
        <w:spacing w:line="400" w:lineRule="exact"/>
        <w:ind w:left="420" w:leftChars="200"/>
        <w:jc w:val="left"/>
        <w:rPr>
          <w:rFonts w:ascii="宋体" w:hAnsi="宋体"/>
          <w:szCs w:val="21"/>
          <w:highlight w:val="none"/>
        </w:rPr>
      </w:pPr>
      <w:r>
        <w:rPr>
          <w:rFonts w:ascii="宋体" w:hAnsi="宋体"/>
          <w:szCs w:val="21"/>
          <w:highlight w:val="none"/>
        </w:rPr>
        <w:t>2.1.3</w:t>
      </w:r>
      <w:r>
        <w:rPr>
          <w:rFonts w:hint="eastAsia" w:ascii="宋体" w:hAnsi="宋体"/>
          <w:szCs w:val="21"/>
          <w:highlight w:val="none"/>
        </w:rPr>
        <w:t>标准、规范及有关</w:t>
      </w:r>
      <w:r>
        <w:rPr>
          <w:rFonts w:ascii="宋体" w:hAnsi="宋体"/>
          <w:szCs w:val="21"/>
          <w:highlight w:val="none"/>
        </w:rPr>
        <w:t>技术标准和要求；</w:t>
      </w:r>
    </w:p>
    <w:p>
      <w:pPr>
        <w:spacing w:line="400" w:lineRule="exact"/>
        <w:ind w:left="420" w:leftChars="200"/>
        <w:jc w:val="left"/>
        <w:rPr>
          <w:rFonts w:ascii="宋体" w:hAnsi="宋体"/>
          <w:szCs w:val="21"/>
          <w:highlight w:val="none"/>
        </w:rPr>
      </w:pPr>
      <w:r>
        <w:rPr>
          <w:rFonts w:ascii="宋体" w:hAnsi="宋体"/>
          <w:szCs w:val="21"/>
          <w:highlight w:val="none"/>
        </w:rPr>
        <w:t>2.1.4</w:t>
      </w:r>
      <w:r>
        <w:rPr>
          <w:rFonts w:hint="eastAsia" w:ascii="宋体" w:hAnsi="宋体"/>
          <w:szCs w:val="21"/>
          <w:highlight w:val="none"/>
        </w:rPr>
        <w:t>招标文件及补遗文件；</w:t>
      </w:r>
    </w:p>
    <w:p>
      <w:pPr>
        <w:spacing w:line="400" w:lineRule="exact"/>
        <w:ind w:left="420" w:leftChars="200"/>
        <w:jc w:val="left"/>
        <w:rPr>
          <w:rFonts w:ascii="宋体" w:hAnsi="宋体"/>
          <w:szCs w:val="21"/>
          <w:highlight w:val="none"/>
        </w:rPr>
      </w:pPr>
      <w:r>
        <w:rPr>
          <w:rFonts w:ascii="宋体" w:hAnsi="宋体"/>
          <w:szCs w:val="21"/>
          <w:highlight w:val="none"/>
        </w:rPr>
        <w:t>2.1.5</w:t>
      </w:r>
      <w:r>
        <w:rPr>
          <w:rFonts w:hint="eastAsia" w:ascii="宋体" w:hAnsi="宋体"/>
          <w:szCs w:val="21"/>
          <w:highlight w:val="none"/>
        </w:rPr>
        <w:t>投标文件；</w:t>
      </w:r>
    </w:p>
    <w:p>
      <w:pPr>
        <w:spacing w:line="400" w:lineRule="exact"/>
        <w:ind w:left="420" w:leftChars="200"/>
        <w:jc w:val="left"/>
        <w:rPr>
          <w:rFonts w:ascii="宋体" w:hAnsi="宋体"/>
          <w:szCs w:val="21"/>
          <w:highlight w:val="none"/>
        </w:rPr>
      </w:pPr>
      <w:r>
        <w:rPr>
          <w:rFonts w:ascii="宋体" w:hAnsi="宋体"/>
          <w:szCs w:val="21"/>
          <w:highlight w:val="none"/>
        </w:rPr>
        <w:t>2.1.6</w:t>
      </w:r>
      <w:r>
        <w:rPr>
          <w:rFonts w:hint="eastAsia" w:ascii="宋体" w:hAnsi="宋体"/>
          <w:szCs w:val="21"/>
          <w:highlight w:val="none"/>
        </w:rPr>
        <w:t>与本合同有关的其他文件。</w:t>
      </w:r>
    </w:p>
    <w:p>
      <w:pPr>
        <w:spacing w:line="400" w:lineRule="exact"/>
        <w:ind w:firstLine="420" w:firstLineChars="200"/>
        <w:rPr>
          <w:rFonts w:ascii="宋体" w:hAnsi="宋体"/>
          <w:szCs w:val="21"/>
          <w:highlight w:val="none"/>
        </w:rPr>
      </w:pPr>
      <w:r>
        <w:rPr>
          <w:rFonts w:ascii="宋体" w:hAnsi="宋体"/>
          <w:szCs w:val="21"/>
          <w:highlight w:val="none"/>
        </w:rPr>
        <w:t>2.2</w:t>
      </w:r>
      <w:r>
        <w:rPr>
          <w:rFonts w:hint="eastAsia" w:ascii="宋体" w:hAnsi="宋体"/>
          <w:szCs w:val="21"/>
          <w:highlight w:val="none"/>
        </w:rPr>
        <w:t>合同文件相互解释、互为补充说明，当合同文件与工程规范、技术要求不一致时，应按要求较高的标准执行；当上述文件出现多义性或不一致解释，应由甲方作出解释和校正。</w:t>
      </w:r>
    </w:p>
    <w:p>
      <w:pPr>
        <w:tabs>
          <w:tab w:val="left" w:pos="425"/>
        </w:tabs>
        <w:spacing w:line="400" w:lineRule="exact"/>
        <w:ind w:firstLine="422" w:firstLineChars="200"/>
        <w:jc w:val="left"/>
        <w:outlineLvl w:val="1"/>
        <w:rPr>
          <w:rFonts w:ascii="宋体" w:hAnsi="宋体"/>
          <w:b/>
          <w:szCs w:val="21"/>
          <w:highlight w:val="none"/>
        </w:rPr>
      </w:pPr>
      <w:bookmarkStart w:id="18" w:name="_Toc16473"/>
      <w:r>
        <w:rPr>
          <w:rFonts w:ascii="宋体" w:hAnsi="宋体"/>
          <w:b/>
          <w:szCs w:val="21"/>
          <w:highlight w:val="none"/>
        </w:rPr>
        <w:t>3.</w:t>
      </w:r>
      <w:r>
        <w:rPr>
          <w:rFonts w:hint="eastAsia" w:ascii="宋体" w:hAnsi="宋体"/>
          <w:b/>
          <w:szCs w:val="21"/>
          <w:highlight w:val="none"/>
        </w:rPr>
        <w:t>物资质量要求及技术标准</w:t>
      </w:r>
      <w:bookmarkEnd w:id="18"/>
    </w:p>
    <w:p>
      <w:pPr>
        <w:spacing w:line="400" w:lineRule="exact"/>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产品必须满足中华人民共和国国家、地方及行业最新颁布的相关标准及技术规范，如果规范、标准、要求适用于同一种情况，则以标准高者为准。</w:t>
      </w:r>
    </w:p>
    <w:p>
      <w:pPr>
        <w:spacing w:line="400" w:lineRule="exact"/>
        <w:ind w:firstLine="420" w:firstLineChars="200"/>
        <w:rPr>
          <w:rFonts w:hint="default" w:ascii="宋体" w:hAnsi="宋体"/>
          <w:szCs w:val="21"/>
          <w:highlight w:val="none"/>
          <w:lang w:val="en-US" w:eastAsia="zh-CN"/>
        </w:rPr>
      </w:pPr>
      <w:r>
        <w:rPr>
          <w:rFonts w:ascii="宋体" w:hAnsi="宋体"/>
          <w:szCs w:val="21"/>
          <w:highlight w:val="none"/>
        </w:rPr>
        <w:t>3</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乙方对质量负责的条件和期限：如甲方在进行质量检验过程中，发现不符合标准要求的物资，乙方必须在</w:t>
      </w:r>
      <w:r>
        <w:rPr>
          <w:rFonts w:hint="eastAsia" w:ascii="宋体" w:hAnsi="宋体"/>
          <w:color w:val="000000" w:themeColor="text1"/>
          <w:szCs w:val="21"/>
          <w:highlight w:val="none"/>
          <w14:textFill>
            <w14:solidFill>
              <w14:schemeClr w14:val="tx1"/>
            </w14:solidFill>
          </w14:textFill>
        </w:rPr>
        <w:t>48小时内</w:t>
      </w:r>
      <w:r>
        <w:rPr>
          <w:rFonts w:hint="eastAsia" w:ascii="宋体" w:hAnsi="宋体"/>
          <w:szCs w:val="21"/>
          <w:highlight w:val="none"/>
        </w:rPr>
        <w:t>将不合格物资无条件清理出场并予以退换，由此造成的一切损失由乙方负担。</w:t>
      </w:r>
    </w:p>
    <w:p>
      <w:pPr>
        <w:spacing w:line="400" w:lineRule="exact"/>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3</w:t>
      </w:r>
      <w:r>
        <w:rPr>
          <w:rFonts w:hint="eastAsia" w:ascii="宋体" w:hAnsi="宋体"/>
          <w:szCs w:val="21"/>
          <w:highlight w:val="none"/>
        </w:rPr>
        <w:t>具体物</w:t>
      </w:r>
      <w:r>
        <w:rPr>
          <w:rFonts w:hint="eastAsia" w:ascii="宋体" w:hAnsi="宋体"/>
          <w:color w:val="000000" w:themeColor="text1"/>
          <w:szCs w:val="21"/>
          <w:highlight w:val="none"/>
          <w14:textFill>
            <w14:solidFill>
              <w14:schemeClr w14:val="tx1"/>
            </w14:solidFill>
          </w14:textFill>
        </w:rPr>
        <w:t>资质量要求及技术标准见专用条款。</w:t>
      </w:r>
    </w:p>
    <w:p>
      <w:pPr>
        <w:spacing w:line="400" w:lineRule="exact"/>
        <w:ind w:firstLine="422" w:firstLineChars="200"/>
        <w:outlineLvl w:val="1"/>
        <w:rPr>
          <w:rFonts w:ascii="宋体" w:hAnsi="宋体"/>
          <w:b/>
          <w:szCs w:val="21"/>
          <w:highlight w:val="none"/>
        </w:rPr>
      </w:pPr>
      <w:bookmarkStart w:id="19" w:name="_Toc18228"/>
      <w:r>
        <w:rPr>
          <w:rFonts w:ascii="宋体" w:hAnsi="宋体"/>
          <w:b/>
          <w:szCs w:val="21"/>
          <w:highlight w:val="none"/>
        </w:rPr>
        <w:t>4.</w:t>
      </w:r>
      <w:r>
        <w:rPr>
          <w:rFonts w:hint="eastAsia" w:ascii="宋体" w:hAnsi="宋体"/>
          <w:b/>
          <w:szCs w:val="21"/>
          <w:highlight w:val="none"/>
        </w:rPr>
        <w:t>物资计量验收方式</w:t>
      </w:r>
      <w:bookmarkEnd w:id="19"/>
    </w:p>
    <w:p>
      <w:pPr>
        <w:spacing w:line="400" w:lineRule="exact"/>
        <w:ind w:firstLine="420" w:firstLineChars="200"/>
        <w:rPr>
          <w:rFonts w:ascii="宋体" w:hAns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4.1</w:t>
      </w:r>
      <w:r>
        <w:rPr>
          <w:rFonts w:hint="eastAsia" w:ascii="宋体" w:hAnsi="宋体"/>
          <w:color w:val="000000" w:themeColor="text1"/>
          <w:szCs w:val="21"/>
          <w:highlight w:val="none"/>
          <w14:textFill>
            <w14:solidFill>
              <w14:schemeClr w14:val="tx1"/>
            </w14:solidFill>
          </w14:textFill>
        </w:rPr>
        <w:t>物资验收地点在甲方指定位置。物资交货时，乙方必须提</w:t>
      </w:r>
      <w:r>
        <w:rPr>
          <w:rFonts w:hint="eastAsia" w:ascii="宋体" w:hAnsi="宋体"/>
          <w:bCs/>
          <w:color w:val="000000" w:themeColor="text1"/>
          <w:szCs w:val="21"/>
          <w:highlight w:val="none"/>
          <w14:textFill>
            <w14:solidFill>
              <w14:schemeClr w14:val="tx1"/>
            </w14:solidFill>
          </w14:textFill>
        </w:rPr>
        <w:t>供质量证明书、出厂检验报告.材质单等甲方为完成计量、竣工资料等所需要的所有资料，并及时交送到甲方指定负责人处，乙方提供资料均需在有效期内。</w:t>
      </w:r>
    </w:p>
    <w:p>
      <w:pPr>
        <w:spacing w:line="400" w:lineRule="exact"/>
        <w:ind w:firstLine="420" w:firstLineChars="200"/>
        <w:rPr>
          <w:rFonts w:ascii="宋体" w:hAnsi="宋体"/>
          <w:bCs/>
          <w:color w:val="000000" w:themeColor="text1"/>
          <w:kern w:val="0"/>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4.2</w:t>
      </w:r>
      <w:r>
        <w:rPr>
          <w:rFonts w:hint="eastAsia" w:ascii="宋体" w:hAnsi="宋体"/>
          <w:bCs/>
          <w:color w:val="000000" w:themeColor="text1"/>
          <w:kern w:val="0"/>
          <w:szCs w:val="21"/>
          <w:highlight w:val="none"/>
          <w14:textFill>
            <w14:solidFill>
              <w14:schemeClr w14:val="tx1"/>
            </w14:solidFill>
          </w14:textFill>
        </w:rPr>
        <w:t>甲方组织验收时乙方不到场，又不及时通知甲方，甲方将自行组织进场验收，并视为乙方认同验收结果。</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4.3</w:t>
      </w:r>
      <w:r>
        <w:rPr>
          <w:rFonts w:hint="eastAsia" w:ascii="宋体" w:hAnsi="宋体"/>
          <w:color w:val="000000" w:themeColor="text1"/>
          <w:szCs w:val="21"/>
          <w:highlight w:val="none"/>
          <w14:textFill>
            <w14:solidFill>
              <w14:schemeClr w14:val="tx1"/>
            </w14:solidFill>
          </w14:textFill>
        </w:rPr>
        <w:t>若物资进场经双倍取样试件不合格，发生相关的试验费用由乙方承担。</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4.4</w:t>
      </w:r>
      <w:r>
        <w:rPr>
          <w:rFonts w:hint="eastAsia" w:ascii="宋体" w:hAnsi="宋体"/>
          <w:color w:val="000000" w:themeColor="text1"/>
          <w:szCs w:val="21"/>
          <w:highlight w:val="none"/>
          <w14:textFill>
            <w14:solidFill>
              <w14:schemeClr w14:val="tx1"/>
            </w14:solidFill>
          </w14:textFill>
        </w:rPr>
        <w:t>乙方执行合同所承担的任何责任不因甲方进行了物资进场验收而解除或减弱。</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4.5</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物资到指定地点后，由甲方物资管理人员进行数量验收，并开具收料单，收料单不作为结算数量的依据，甲方物资管理人员</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不少于2人</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和乙方人员双方在磅单、收料单上签字确认。待结算时，乙方携收料单与甲方结算，并开具物资验收单，物资验收单作为结算数量的依据。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依据，无论该收货凭据上是否载有单价、合价或合计等涉及价款的内容</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且乙方不得以此要求甲方支付任何款项或承担任何责任</w:t>
      </w:r>
      <w:r>
        <w:rPr>
          <w:rFonts w:hint="eastAsia" w:ascii="宋体" w:hAnsi="宋体"/>
          <w:color w:val="000000" w:themeColor="text1"/>
          <w:szCs w:val="21"/>
          <w:highlight w:val="none"/>
          <w14:textFill>
            <w14:solidFill>
              <w14:schemeClr w14:val="tx1"/>
            </w14:solidFill>
          </w14:textFill>
        </w:rPr>
        <w:t>。甲方项目经理部除物资负责人外的其他任何人员签署的任何形式的收货凭据不作为标的物进场的依据</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乙方对甲方签字人员权限负有审查义务</w:t>
      </w:r>
      <w:r>
        <w:rPr>
          <w:rFonts w:hint="eastAsia" w:ascii="宋体" w:hAnsi="宋体"/>
          <w:color w:val="000000" w:themeColor="text1"/>
          <w:szCs w:val="21"/>
          <w:highlight w:val="none"/>
          <w14:textFill>
            <w14:solidFill>
              <w14:schemeClr w14:val="tx1"/>
            </w14:solidFill>
          </w14:textFill>
        </w:rPr>
        <w:t>。</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具体的物资计量验收</w:t>
      </w:r>
      <w:r>
        <w:rPr>
          <w:rFonts w:ascii="宋体" w:hAnsi="宋体"/>
          <w:color w:val="000000" w:themeColor="text1"/>
          <w:szCs w:val="21"/>
          <w:highlight w:val="none"/>
          <w14:textFill>
            <w14:solidFill>
              <w14:schemeClr w14:val="tx1"/>
            </w14:solidFill>
          </w14:textFill>
        </w:rPr>
        <w:t>方式</w:t>
      </w:r>
      <w:r>
        <w:rPr>
          <w:rFonts w:hint="eastAsia" w:ascii="宋体" w:hAnsi="宋体"/>
          <w:color w:val="000000" w:themeColor="text1"/>
          <w:szCs w:val="21"/>
          <w:highlight w:val="none"/>
          <w14:textFill>
            <w14:solidFill>
              <w14:schemeClr w14:val="tx1"/>
            </w14:solidFill>
          </w14:textFill>
        </w:rPr>
        <w:t>见专用条款。</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乙方对验收数量有异议时，可要求甲乙双方共同到有相关资质的第三方处复验，相关费用由过错方承担。最终结算数量以甲方</w:t>
      </w:r>
      <w:r>
        <w:rPr>
          <w:rFonts w:hint="eastAsia" w:ascii="宋体" w:hAnsi="宋体" w:cs="宋体"/>
          <w:color w:val="000000" w:themeColor="text1"/>
          <w:szCs w:val="21"/>
          <w:highlight w:val="none"/>
          <w14:textFill>
            <w14:solidFill>
              <w14:schemeClr w14:val="tx1"/>
            </w14:solidFill>
          </w14:textFill>
        </w:rPr>
        <w:t>物资供应</w:t>
      </w:r>
      <w:r>
        <w:rPr>
          <w:rFonts w:ascii="宋体" w:hAnsi="宋体" w:cs="宋体"/>
          <w:color w:val="000000" w:themeColor="text1"/>
          <w:szCs w:val="21"/>
          <w:highlight w:val="none"/>
          <w14:textFill>
            <w14:solidFill>
              <w14:schemeClr w14:val="tx1"/>
            </w14:solidFill>
          </w14:textFill>
        </w:rPr>
        <w:t>计划</w:t>
      </w:r>
      <w:r>
        <w:rPr>
          <w:rFonts w:hint="eastAsia" w:ascii="宋体" w:hAnsi="宋体" w:cs="宋体"/>
          <w:color w:val="000000" w:themeColor="text1"/>
          <w:szCs w:val="21"/>
          <w:highlight w:val="none"/>
          <w14:textFill>
            <w14:solidFill>
              <w14:schemeClr w14:val="tx1"/>
            </w14:solidFill>
          </w14:textFill>
        </w:rPr>
        <w:t>约定范围内</w:t>
      </w:r>
      <w:r>
        <w:rPr>
          <w:rFonts w:hint="eastAsia" w:ascii="宋体" w:hAnsi="宋体"/>
          <w:color w:val="000000" w:themeColor="text1"/>
          <w:szCs w:val="21"/>
          <w:highlight w:val="none"/>
          <w14:textFill>
            <w14:solidFill>
              <w14:schemeClr w14:val="tx1"/>
            </w14:solidFill>
          </w14:textFill>
        </w:rPr>
        <w:t>且实际收到的合格产品数量为准。</w:t>
      </w:r>
    </w:p>
    <w:p>
      <w:pPr>
        <w:pStyle w:val="3"/>
        <w:spacing w:line="400" w:lineRule="atLeast"/>
        <w:ind w:firstLine="420" w:firstLineChars="200"/>
        <w:jc w:val="both"/>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4.</w:t>
      </w:r>
      <w:r>
        <w:rPr>
          <w:rFonts w:hint="eastAsia" w:cs="Times New Roman"/>
          <w:color w:val="000000" w:themeColor="text1"/>
          <w:kern w:val="2"/>
          <w:sz w:val="21"/>
          <w:szCs w:val="21"/>
          <w:highlight w:val="none"/>
          <w:lang w:val="en-US" w:eastAsia="zh-CN" w:bidi="ar-SA"/>
          <w14:textFill>
            <w14:solidFill>
              <w14:schemeClr w14:val="tx1"/>
            </w14:solidFill>
          </w14:textFill>
        </w:rPr>
        <w:t xml:space="preserve">8 </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验收责任：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所造成的经济损失，甲方可直接从应付款中扣除，乙方对此不持异议。对于由该质量问题引起的工程坍塌、人员伤亡等重大事故，乙方应承担直接经济和法律责任。若由甲方先行承担的，甲方可在任何一笔工程款支付中予以扣除，乙方对此不持异议。</w:t>
      </w:r>
    </w:p>
    <w:p>
      <w:pPr>
        <w:spacing w:line="400" w:lineRule="exact"/>
        <w:ind w:firstLine="422" w:firstLineChars="200"/>
        <w:outlineLvl w:val="1"/>
        <w:rPr>
          <w:rFonts w:ascii="宋体" w:hAnsi="宋体"/>
          <w:b/>
          <w:szCs w:val="21"/>
          <w:highlight w:val="none"/>
        </w:rPr>
      </w:pPr>
      <w:bookmarkStart w:id="20" w:name="_Toc289"/>
      <w:r>
        <w:rPr>
          <w:rFonts w:ascii="宋体" w:hAnsi="宋体"/>
          <w:b/>
          <w:szCs w:val="21"/>
          <w:highlight w:val="none"/>
        </w:rPr>
        <w:t>5.</w:t>
      </w:r>
      <w:r>
        <w:rPr>
          <w:rFonts w:hint="eastAsia" w:ascii="宋体" w:hAnsi="宋体"/>
          <w:b/>
          <w:szCs w:val="21"/>
          <w:highlight w:val="none"/>
        </w:rPr>
        <w:t>包装、运输、卸货</w:t>
      </w:r>
      <w:bookmarkEnd w:id="20"/>
    </w:p>
    <w:p>
      <w:pPr>
        <w:spacing w:line="400" w:lineRule="exact"/>
        <w:ind w:firstLine="420" w:firstLineChars="200"/>
        <w:rPr>
          <w:rFonts w:ascii="宋体" w:hAnsi="宋体"/>
          <w:bCs/>
          <w:szCs w:val="21"/>
          <w:highlight w:val="none"/>
        </w:rPr>
      </w:pPr>
      <w:r>
        <w:rPr>
          <w:rFonts w:ascii="宋体" w:hAnsi="宋体"/>
          <w:bCs/>
          <w:szCs w:val="21"/>
          <w:highlight w:val="none"/>
        </w:rPr>
        <w:t>5.1</w:t>
      </w:r>
      <w:r>
        <w:rPr>
          <w:rFonts w:hint="eastAsia" w:ascii="宋体" w:hAnsi="宋体"/>
          <w:bCs/>
          <w:szCs w:val="21"/>
          <w:highlight w:val="none"/>
        </w:rPr>
        <w:t>物资的装车、运输、车辆返回全过程出现的安全事故或其它任何意外均由乙方承担责任。装车和运输途中的物资品质发生变化或丢失由乙方负责，由此造成的损失由乙方承担。</w:t>
      </w:r>
    </w:p>
    <w:p>
      <w:pPr>
        <w:pStyle w:val="6"/>
        <w:ind w:firstLine="420" w:firstLineChars="200"/>
        <w:rPr>
          <w:rFonts w:hint="eastAsia" w:ascii="宋体" w:hAnsi="宋体" w:eastAsia="宋体" w:cs="Times New Roman"/>
          <w:bCs/>
          <w:kern w:val="2"/>
          <w:sz w:val="21"/>
          <w:szCs w:val="21"/>
          <w:highlight w:val="none"/>
          <w:lang w:val="en-US" w:eastAsia="zh-CN" w:bidi="ar-SA"/>
        </w:rPr>
      </w:pPr>
      <w:r>
        <w:rPr>
          <w:rFonts w:ascii="宋体" w:hAnsi="宋体" w:cs="宋体"/>
          <w:szCs w:val="21"/>
          <w:highlight w:val="none"/>
        </w:rPr>
        <w:t>5.2</w:t>
      </w:r>
      <w:r>
        <w:rPr>
          <w:rFonts w:hint="eastAsia" w:ascii="宋体" w:hAnsi="宋体" w:cs="宋体"/>
          <w:szCs w:val="21"/>
          <w:highlight w:val="none"/>
        </w:rPr>
        <w:t>乙方应对运输人员进行安全管理和安全教育，运输人员遵守交通法规。</w:t>
      </w:r>
      <w:r>
        <w:rPr>
          <w:rFonts w:hint="eastAsia" w:ascii="宋体" w:hAnsi="宋体" w:eastAsia="宋体" w:cs="Times New Roman"/>
          <w:bCs/>
          <w:kern w:val="2"/>
          <w:sz w:val="21"/>
          <w:szCs w:val="21"/>
          <w:highlight w:val="none"/>
          <w:lang w:val="en-US" w:eastAsia="zh-CN" w:bidi="ar-SA"/>
        </w:rPr>
        <w:t>应当给负责运送货物的车辆办理交强险及商业保险。如因运载车辆事故、卸货等原因导致的乙方及任何第三方的人身伤害及经济损失均由乙方负责，并补偿甲方及其他方因此造成的损失。</w:t>
      </w:r>
    </w:p>
    <w:p>
      <w:pPr>
        <w:spacing w:line="400" w:lineRule="exact"/>
        <w:ind w:firstLine="420" w:firstLineChars="200"/>
        <w:rPr>
          <w:rFonts w:ascii="宋体" w:hAnsi="宋体" w:cs="宋体"/>
          <w:szCs w:val="21"/>
          <w:highlight w:val="none"/>
        </w:rPr>
      </w:pPr>
      <w:r>
        <w:rPr>
          <w:rFonts w:ascii="宋体" w:hAnsi="宋体" w:cs="宋体"/>
          <w:szCs w:val="21"/>
          <w:highlight w:val="none"/>
        </w:rPr>
        <w:t>5.3</w:t>
      </w:r>
      <w:r>
        <w:rPr>
          <w:rFonts w:hint="eastAsia" w:ascii="宋体" w:hAnsi="宋体" w:cs="宋体"/>
          <w:szCs w:val="21"/>
          <w:highlight w:val="none"/>
        </w:rPr>
        <w:t>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pPr>
        <w:spacing w:line="400" w:lineRule="exact"/>
        <w:ind w:firstLine="420" w:firstLineChars="200"/>
        <w:rPr>
          <w:rFonts w:ascii="宋体" w:hAnsi="宋体" w:cs="宋体"/>
          <w:szCs w:val="21"/>
          <w:highlight w:val="none"/>
        </w:rPr>
      </w:pPr>
      <w:r>
        <w:rPr>
          <w:rFonts w:ascii="宋体" w:hAnsi="宋体" w:cs="宋体"/>
          <w:szCs w:val="21"/>
          <w:highlight w:val="none"/>
        </w:rPr>
        <w:t>5.4</w:t>
      </w:r>
      <w:r>
        <w:rPr>
          <w:rFonts w:hint="eastAsia" w:ascii="宋体" w:hAnsi="宋体" w:cs="宋体"/>
          <w:szCs w:val="21"/>
          <w:highlight w:val="none"/>
        </w:rPr>
        <w:t>乙方不得利用遥控等科技手段控制磅秤增加物资重量，不得进行</w:t>
      </w:r>
      <w:r>
        <w:rPr>
          <w:rFonts w:ascii="宋体" w:hAnsi="宋体" w:cs="宋体"/>
          <w:szCs w:val="21"/>
          <w:highlight w:val="none"/>
        </w:rPr>
        <w:t>任何形式的弄虚作假行为</w:t>
      </w:r>
      <w:r>
        <w:rPr>
          <w:rFonts w:hint="eastAsia" w:ascii="宋体" w:hAnsi="宋体" w:cs="宋体"/>
          <w:szCs w:val="21"/>
          <w:highlight w:val="none"/>
        </w:rPr>
        <w:t>。一经发现，甲方将按发现作弊或</w:t>
      </w:r>
      <w:r>
        <w:rPr>
          <w:rFonts w:ascii="宋体" w:hAnsi="宋体" w:cs="宋体"/>
          <w:szCs w:val="21"/>
          <w:highlight w:val="none"/>
        </w:rPr>
        <w:t>弄虚作假</w:t>
      </w:r>
      <w:r>
        <w:rPr>
          <w:rFonts w:hint="eastAsia" w:ascii="宋体" w:hAnsi="宋体" w:cs="宋体"/>
          <w:szCs w:val="21"/>
          <w:highlight w:val="none"/>
        </w:rPr>
        <w:t>数量占本批次运输物资百分比扣除发现作弊日前物资进场总数量对应的货款，并</w:t>
      </w:r>
      <w:r>
        <w:rPr>
          <w:rFonts w:hint="eastAsia" w:ascii="宋体" w:hAnsi="宋体" w:cs="宋体"/>
          <w:color w:val="000000" w:themeColor="text1"/>
          <w:szCs w:val="21"/>
          <w:highlight w:val="none"/>
          <w14:textFill>
            <w14:solidFill>
              <w14:schemeClr w14:val="tx1"/>
            </w14:solidFill>
          </w14:textFill>
        </w:rPr>
        <w:t>交由</w:t>
      </w:r>
      <w:r>
        <w:rPr>
          <w:rFonts w:hint="eastAsia" w:ascii="宋体" w:hAnsi="宋体" w:cs="宋体"/>
          <w:szCs w:val="21"/>
          <w:highlight w:val="none"/>
        </w:rPr>
        <w:t>公安机关处理。</w:t>
      </w:r>
    </w:p>
    <w:p>
      <w:pPr>
        <w:spacing w:line="400" w:lineRule="exact"/>
        <w:ind w:firstLine="420" w:firstLineChars="200"/>
        <w:rPr>
          <w:rFonts w:ascii="宋体" w:hAnsi="宋体" w:cs="宋体"/>
          <w:szCs w:val="21"/>
          <w:highlight w:val="none"/>
        </w:rPr>
      </w:pPr>
      <w:r>
        <w:rPr>
          <w:rFonts w:ascii="宋体" w:hAnsi="宋体" w:cs="宋体"/>
          <w:szCs w:val="21"/>
          <w:highlight w:val="none"/>
        </w:rPr>
        <w:t>5.5</w:t>
      </w:r>
      <w:r>
        <w:rPr>
          <w:rFonts w:hint="eastAsia" w:ascii="宋体" w:hAnsi="宋体" w:cs="宋体"/>
          <w:szCs w:val="21"/>
          <w:highlight w:val="none"/>
        </w:rPr>
        <w:t>甲方物资管理人员要为物资进场提供必要的便利，及时验收质量与数量，不得无故拖延时间、扣减物资数量。</w:t>
      </w:r>
    </w:p>
    <w:p>
      <w:pPr>
        <w:spacing w:line="400" w:lineRule="exact"/>
        <w:ind w:firstLine="420" w:firstLineChars="200"/>
        <w:rPr>
          <w:rFonts w:ascii="宋体" w:hAnsi="宋体" w:cs="宋体"/>
          <w:szCs w:val="21"/>
          <w:highlight w:val="none"/>
        </w:rPr>
      </w:pPr>
      <w:r>
        <w:rPr>
          <w:rFonts w:ascii="宋体" w:hAnsi="宋体" w:cs="宋体"/>
          <w:szCs w:val="21"/>
          <w:highlight w:val="none"/>
        </w:rPr>
        <w:t>5.6</w:t>
      </w:r>
      <w:r>
        <w:rPr>
          <w:rFonts w:hint="eastAsia" w:ascii="宋体" w:hAnsi="宋体" w:cs="宋体"/>
          <w:szCs w:val="21"/>
          <w:highlight w:val="none"/>
        </w:rPr>
        <w:t>乙方不得因双方分歧寻衅滋事，否则，甲方有权随时终止合同。</w:t>
      </w:r>
    </w:p>
    <w:p>
      <w:pPr>
        <w:spacing w:line="400" w:lineRule="exact"/>
        <w:ind w:firstLine="420" w:firstLineChars="200"/>
        <w:rPr>
          <w:rFonts w:ascii="宋体" w:hAnsi="宋体" w:cs="宋体"/>
          <w:szCs w:val="21"/>
          <w:highlight w:val="none"/>
        </w:rPr>
      </w:pPr>
      <w:r>
        <w:rPr>
          <w:highlight w:val="none"/>
        </w:rPr>
        <w:t>5.7</w:t>
      </w:r>
      <w:r>
        <w:rPr>
          <w:rFonts w:hint="eastAsia"/>
          <w:highlight w:val="none"/>
        </w:rPr>
        <w:t>乙方必须配合甲方的</w:t>
      </w:r>
      <w:r>
        <w:rPr>
          <w:rFonts w:hint="eastAsia" w:ascii="宋体" w:hAnsi="宋体" w:cs="宋体"/>
          <w:color w:val="000000" w:themeColor="text1"/>
          <w:szCs w:val="21"/>
          <w:highlight w:val="none"/>
          <w14:textFill>
            <w14:solidFill>
              <w14:schemeClr w14:val="tx1"/>
            </w14:solidFill>
          </w14:textFill>
        </w:rPr>
        <w:t>物资供应</w:t>
      </w:r>
      <w:r>
        <w:rPr>
          <w:rFonts w:ascii="宋体" w:hAnsi="宋体" w:cs="宋体"/>
          <w:color w:val="000000" w:themeColor="text1"/>
          <w:szCs w:val="21"/>
          <w:highlight w:val="none"/>
          <w14:textFill>
            <w14:solidFill>
              <w14:schemeClr w14:val="tx1"/>
            </w14:solidFill>
          </w14:textFill>
        </w:rPr>
        <w:t>计划</w:t>
      </w:r>
      <w:r>
        <w:rPr>
          <w:rFonts w:hint="eastAsia"/>
          <w:highlight w:val="none"/>
        </w:rPr>
        <w:t>，虽然此计划会在工程进行中不断修订，乙方仍须在修订后的计划时间内，以甲方可接受的次序方式，根据甲方的要求供应一切合同约定物资。甲方更改工程需用物资计划的行为不作为乙方索赔、延迟供货、合同价格变更等的理由。</w:t>
      </w:r>
    </w:p>
    <w:p>
      <w:pPr>
        <w:tabs>
          <w:tab w:val="left" w:pos="765"/>
        </w:tabs>
        <w:spacing w:line="400" w:lineRule="exact"/>
        <w:ind w:firstLine="422" w:firstLineChars="200"/>
        <w:jc w:val="left"/>
        <w:outlineLvl w:val="1"/>
        <w:rPr>
          <w:rFonts w:ascii="宋体"/>
          <w:b/>
          <w:szCs w:val="21"/>
          <w:highlight w:val="none"/>
        </w:rPr>
      </w:pPr>
      <w:bookmarkStart w:id="21" w:name="_Toc20556"/>
      <w:r>
        <w:rPr>
          <w:rFonts w:ascii="宋体" w:hAnsi="宋体"/>
          <w:b/>
          <w:szCs w:val="21"/>
          <w:highlight w:val="none"/>
        </w:rPr>
        <w:t>6</w:t>
      </w:r>
      <w:r>
        <w:rPr>
          <w:rFonts w:hint="eastAsia" w:ascii="宋体" w:hAnsi="宋体"/>
          <w:b/>
          <w:szCs w:val="21"/>
          <w:highlight w:val="none"/>
        </w:rPr>
        <w:t>．环境﹑安全保护原则</w:t>
      </w:r>
      <w:bookmarkEnd w:id="21"/>
    </w:p>
    <w:p>
      <w:pPr>
        <w:tabs>
          <w:tab w:val="left" w:pos="765"/>
        </w:tabs>
        <w:spacing w:line="400" w:lineRule="exact"/>
        <w:ind w:firstLine="420" w:firstLineChars="200"/>
        <w:jc w:val="left"/>
        <w:rPr>
          <w:highlight w:val="none"/>
        </w:rPr>
      </w:pPr>
      <w:r>
        <w:rPr>
          <w:rFonts w:ascii="宋体" w:hAnsi="宋体"/>
          <w:szCs w:val="21"/>
          <w:highlight w:val="none"/>
        </w:rPr>
        <w:t>6.1</w:t>
      </w:r>
      <w:r>
        <w:rPr>
          <w:rFonts w:hint="eastAsia"/>
          <w:highlight w:val="none"/>
        </w:rPr>
        <w:t>乙方必须遵守环境﹑安全保护的法律法规。</w:t>
      </w:r>
    </w:p>
    <w:p>
      <w:pPr>
        <w:tabs>
          <w:tab w:val="left" w:pos="765"/>
        </w:tabs>
        <w:spacing w:line="400" w:lineRule="exact"/>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6.2</w:t>
      </w:r>
      <w:r>
        <w:rPr>
          <w:rFonts w:hint="eastAsia" w:asciiTheme="minorEastAsia" w:hAnsiTheme="minorEastAsia" w:eastAsiaTheme="minorEastAsia"/>
          <w:highlight w:val="none"/>
        </w:rPr>
        <w:t>乙方所供物资，在保证质量的同时，还应确保材质符合环境﹑安全保护要求。</w:t>
      </w:r>
    </w:p>
    <w:p>
      <w:pPr>
        <w:tabs>
          <w:tab w:val="left" w:pos="765"/>
        </w:tabs>
        <w:spacing w:line="400" w:lineRule="exact"/>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6.3</w:t>
      </w:r>
      <w:r>
        <w:rPr>
          <w:rFonts w:hint="eastAsia" w:asciiTheme="minorEastAsia" w:hAnsiTheme="minorEastAsia" w:eastAsiaTheme="minorEastAsia"/>
          <w:highlight w:val="none"/>
        </w:rPr>
        <w:t>乙方供货时，物资的包装必须满足环境﹑安全管理要求，并在外包装商做标志，以便于物资的验证和保管。</w:t>
      </w:r>
    </w:p>
    <w:p>
      <w:pPr>
        <w:tabs>
          <w:tab w:val="left" w:pos="765"/>
        </w:tabs>
        <w:spacing w:line="400" w:lineRule="exact"/>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6.4</w:t>
      </w:r>
      <w:r>
        <w:rPr>
          <w:rFonts w:hint="eastAsia" w:asciiTheme="minorEastAsia" w:hAnsiTheme="minorEastAsia" w:eastAsiaTheme="minorEastAsia"/>
          <w:highlight w:val="none"/>
        </w:rPr>
        <w:t>在物资运输过程中，粉尘﹑噪声及尾气排放必须满足国家及地方的有关规定</w:t>
      </w:r>
      <w:r>
        <w:rPr>
          <w:rFonts w:hint="eastAsia" w:asciiTheme="minorEastAsia" w:hAnsiTheme="minorEastAsia" w:eastAsiaTheme="minorEastAsia"/>
          <w:szCs w:val="21"/>
          <w:highlight w:val="none"/>
        </w:rPr>
        <w:t>采取必要措施防止运输中发生有害物质泄漏，对周边环境造成污染</w:t>
      </w:r>
      <w:r>
        <w:rPr>
          <w:rFonts w:hint="eastAsia" w:asciiTheme="minorEastAsia" w:hAnsiTheme="minorEastAsia" w:eastAsiaTheme="minorEastAsia"/>
          <w:highlight w:val="none"/>
        </w:rPr>
        <w:t>。如有违反行为发生，按国家有关规定进行处理，责任由乙方承担。</w:t>
      </w:r>
    </w:p>
    <w:p>
      <w:pPr>
        <w:spacing w:line="400" w:lineRule="exact"/>
        <w:ind w:firstLine="480"/>
        <w:rPr>
          <w:highlight w:val="none"/>
        </w:rPr>
      </w:pPr>
      <w:r>
        <w:rPr>
          <w:rFonts w:asciiTheme="minorEastAsia" w:hAnsiTheme="minorEastAsia" w:eastAsiaTheme="minorEastAsia"/>
          <w:highlight w:val="none"/>
        </w:rPr>
        <w:t>6.5</w:t>
      </w:r>
      <w:r>
        <w:rPr>
          <w:rFonts w:hint="eastAsia"/>
          <w:highlight w:val="none"/>
        </w:rPr>
        <w:t>乙方进入施工现场的人员</w:t>
      </w:r>
      <w:r>
        <w:rPr>
          <w:rFonts w:hint="eastAsia" w:ascii="宋体" w:hAnsi="宋体"/>
          <w:szCs w:val="21"/>
          <w:highlight w:val="none"/>
        </w:rPr>
        <w:t>车辆必须听从甲方现场人员的统一指挥和安排、</w:t>
      </w:r>
      <w:r>
        <w:rPr>
          <w:rFonts w:hint="eastAsia"/>
          <w:highlight w:val="none"/>
        </w:rPr>
        <w:t>必须按甲方要求穿戴个人防护物品，做好个人防护。</w:t>
      </w:r>
    </w:p>
    <w:p>
      <w:pPr>
        <w:tabs>
          <w:tab w:val="left" w:pos="765"/>
        </w:tabs>
        <w:spacing w:line="400" w:lineRule="exact"/>
        <w:ind w:firstLine="420" w:firstLineChars="200"/>
        <w:jc w:val="left"/>
        <w:rPr>
          <w:rFonts w:ascii="宋体" w:hAnsi="宋体"/>
          <w:szCs w:val="21"/>
          <w:highlight w:val="none"/>
        </w:rPr>
      </w:pPr>
      <w:r>
        <w:rPr>
          <w:rFonts w:ascii="宋体" w:hAnsi="宋体"/>
          <w:szCs w:val="21"/>
          <w:highlight w:val="none"/>
        </w:rPr>
        <w:t>6.6</w:t>
      </w:r>
      <w:r>
        <w:rPr>
          <w:rFonts w:hint="eastAsia" w:ascii="宋体" w:hAnsi="宋体"/>
          <w:szCs w:val="21"/>
          <w:highlight w:val="none"/>
        </w:rPr>
        <w:t>当乙方违反上述条款</w:t>
      </w:r>
      <w:r>
        <w:rPr>
          <w:rFonts w:ascii="宋体" w:hAnsi="宋体"/>
          <w:szCs w:val="21"/>
          <w:highlight w:val="none"/>
        </w:rPr>
        <w:t>3</w:t>
      </w:r>
      <w:r>
        <w:rPr>
          <w:rFonts w:hint="eastAsia" w:ascii="宋体" w:hAnsi="宋体"/>
          <w:szCs w:val="21"/>
          <w:highlight w:val="none"/>
        </w:rPr>
        <w:t>次以下</w:t>
      </w:r>
      <w:r>
        <w:rPr>
          <w:rFonts w:ascii="宋体" w:hAnsi="宋体"/>
          <w:szCs w:val="21"/>
          <w:highlight w:val="none"/>
        </w:rPr>
        <w:t>1</w:t>
      </w:r>
      <w:r>
        <w:rPr>
          <w:rFonts w:hint="eastAsia" w:ascii="宋体" w:hAnsi="宋体"/>
          <w:szCs w:val="21"/>
          <w:highlight w:val="none"/>
        </w:rPr>
        <w:t>次以上时（含</w:t>
      </w:r>
      <w:r>
        <w:rPr>
          <w:rFonts w:ascii="宋体" w:hAnsi="宋体"/>
          <w:szCs w:val="21"/>
          <w:highlight w:val="none"/>
        </w:rPr>
        <w:t>1</w:t>
      </w:r>
      <w:r>
        <w:rPr>
          <w:rFonts w:hint="eastAsia" w:ascii="宋体" w:hAnsi="宋体"/>
          <w:szCs w:val="21"/>
          <w:highlight w:val="none"/>
        </w:rPr>
        <w:t>次），甲方将向乙方提出警告；</w:t>
      </w:r>
      <w:r>
        <w:rPr>
          <w:rFonts w:ascii="宋体" w:hAnsi="宋体"/>
          <w:szCs w:val="21"/>
          <w:highlight w:val="none"/>
        </w:rPr>
        <w:t>3</w:t>
      </w:r>
      <w:r>
        <w:rPr>
          <w:rFonts w:hint="eastAsia" w:ascii="宋体" w:hAnsi="宋体"/>
          <w:szCs w:val="21"/>
          <w:highlight w:val="none"/>
        </w:rPr>
        <w:t>次以上（含</w:t>
      </w:r>
      <w:r>
        <w:rPr>
          <w:rFonts w:ascii="宋体" w:hAnsi="宋体"/>
          <w:szCs w:val="21"/>
          <w:highlight w:val="none"/>
        </w:rPr>
        <w:t>3</w:t>
      </w:r>
      <w:r>
        <w:rPr>
          <w:rFonts w:hint="eastAsia" w:ascii="宋体" w:hAnsi="宋体"/>
          <w:szCs w:val="21"/>
          <w:highlight w:val="none"/>
        </w:rPr>
        <w:t>次），甲方将有权终止正在执行的合同，一切后果由乙方承担。</w:t>
      </w:r>
    </w:p>
    <w:p>
      <w:pPr>
        <w:spacing w:line="400" w:lineRule="exact"/>
        <w:ind w:firstLine="422" w:firstLineChars="200"/>
        <w:outlineLvl w:val="1"/>
        <w:rPr>
          <w:rFonts w:ascii="宋体" w:hAnsi="宋体"/>
          <w:b/>
          <w:szCs w:val="21"/>
          <w:highlight w:val="none"/>
        </w:rPr>
      </w:pPr>
      <w:bookmarkStart w:id="22" w:name="_Toc29349"/>
      <w:r>
        <w:rPr>
          <w:rFonts w:ascii="宋体" w:hAnsi="宋体"/>
          <w:b/>
          <w:szCs w:val="21"/>
          <w:highlight w:val="none"/>
        </w:rPr>
        <w:t>7.</w:t>
      </w:r>
      <w:r>
        <w:rPr>
          <w:rFonts w:hint="eastAsia" w:ascii="宋体" w:hAnsi="宋体"/>
          <w:b/>
          <w:szCs w:val="21"/>
          <w:highlight w:val="none"/>
        </w:rPr>
        <w:t>甲方的责任和义务</w:t>
      </w:r>
      <w:bookmarkEnd w:id="22"/>
    </w:p>
    <w:p>
      <w:pPr>
        <w:tabs>
          <w:tab w:val="left" w:pos="765"/>
        </w:tabs>
        <w:spacing w:line="400" w:lineRule="exact"/>
        <w:ind w:firstLine="420" w:firstLineChars="200"/>
        <w:jc w:val="left"/>
        <w:rPr>
          <w:rFonts w:ascii="宋体" w:hAnsi="宋体"/>
          <w:szCs w:val="21"/>
          <w:highlight w:val="none"/>
        </w:rPr>
      </w:pPr>
      <w:r>
        <w:rPr>
          <w:rFonts w:ascii="宋体" w:hAnsi="宋体"/>
          <w:szCs w:val="21"/>
          <w:highlight w:val="none"/>
        </w:rPr>
        <w:t>7.1</w:t>
      </w:r>
      <w:r>
        <w:rPr>
          <w:rFonts w:hint="eastAsia" w:ascii="宋体" w:hAnsi="宋体"/>
          <w:color w:val="000000" w:themeColor="text1"/>
          <w:szCs w:val="21"/>
          <w:highlight w:val="none"/>
          <w14:textFill>
            <w14:solidFill>
              <w14:schemeClr w14:val="tx1"/>
            </w14:solidFill>
          </w14:textFill>
        </w:rPr>
        <w:t>提供物资供应计划</w:t>
      </w:r>
      <w:r>
        <w:rPr>
          <w:rFonts w:hint="eastAsia" w:ascii="宋体" w:hAnsi="宋体"/>
          <w:szCs w:val="21"/>
          <w:highlight w:val="none"/>
        </w:rPr>
        <w:t>。</w:t>
      </w:r>
    </w:p>
    <w:p>
      <w:pPr>
        <w:tabs>
          <w:tab w:val="left" w:pos="765"/>
        </w:tabs>
        <w:spacing w:line="400" w:lineRule="exact"/>
        <w:ind w:firstLine="420" w:firstLineChars="200"/>
        <w:jc w:val="left"/>
        <w:rPr>
          <w:rFonts w:ascii="宋体" w:hAnsi="宋体"/>
          <w:szCs w:val="21"/>
          <w:highlight w:val="none"/>
        </w:rPr>
      </w:pPr>
      <w:r>
        <w:rPr>
          <w:rFonts w:ascii="宋体" w:hAnsi="宋体"/>
          <w:szCs w:val="21"/>
          <w:highlight w:val="none"/>
        </w:rPr>
        <w:t>7.</w:t>
      </w:r>
      <w:r>
        <w:rPr>
          <w:rFonts w:hint="eastAsia" w:ascii="宋体" w:hAnsi="宋体"/>
          <w:szCs w:val="21"/>
          <w:highlight w:val="none"/>
        </w:rPr>
        <w:t>2对乙方运抵的物资及时验收并为乙方卸货提供必要的方便。</w:t>
      </w:r>
    </w:p>
    <w:p>
      <w:pPr>
        <w:tabs>
          <w:tab w:val="left" w:pos="765"/>
        </w:tabs>
        <w:spacing w:line="400" w:lineRule="exact"/>
        <w:ind w:firstLine="420" w:firstLineChars="200"/>
        <w:jc w:val="left"/>
        <w:rPr>
          <w:rFonts w:ascii="宋体" w:hAnsi="宋体"/>
          <w:szCs w:val="21"/>
          <w:highlight w:val="none"/>
        </w:rPr>
      </w:pPr>
      <w:r>
        <w:rPr>
          <w:rFonts w:ascii="宋体" w:hAnsi="宋体"/>
          <w:szCs w:val="21"/>
          <w:highlight w:val="none"/>
        </w:rPr>
        <w:t>7.3</w:t>
      </w:r>
      <w:r>
        <w:rPr>
          <w:rFonts w:hint="eastAsia" w:ascii="宋体" w:hAnsi="宋体"/>
          <w:szCs w:val="21"/>
          <w:highlight w:val="none"/>
        </w:rPr>
        <w:t>及时组织物资质量检测，检测合格，及时签收确认；检测不合格，甲方有权拒收,由此产生的费用全部由乙方承担。</w:t>
      </w:r>
    </w:p>
    <w:p>
      <w:pPr>
        <w:tabs>
          <w:tab w:val="left" w:pos="765"/>
        </w:tabs>
        <w:spacing w:line="400" w:lineRule="exact"/>
        <w:ind w:firstLine="420" w:firstLineChars="200"/>
        <w:jc w:val="left"/>
        <w:rPr>
          <w:rFonts w:ascii="宋体" w:hAnsi="宋体"/>
          <w:szCs w:val="21"/>
          <w:highlight w:val="none"/>
        </w:rPr>
      </w:pPr>
      <w:r>
        <w:rPr>
          <w:rFonts w:ascii="宋体" w:hAnsi="宋体"/>
          <w:szCs w:val="21"/>
          <w:highlight w:val="none"/>
        </w:rPr>
        <w:t>7.4</w:t>
      </w:r>
      <w:r>
        <w:rPr>
          <w:rFonts w:hint="eastAsia" w:ascii="宋体" w:hAnsi="宋体"/>
          <w:szCs w:val="21"/>
          <w:highlight w:val="none"/>
        </w:rPr>
        <w:t>按约定支付乙方货款。</w:t>
      </w:r>
    </w:p>
    <w:p>
      <w:pPr>
        <w:tabs>
          <w:tab w:val="left" w:pos="765"/>
        </w:tabs>
        <w:spacing w:line="400" w:lineRule="exact"/>
        <w:ind w:firstLine="422" w:firstLineChars="200"/>
        <w:jc w:val="left"/>
        <w:outlineLvl w:val="1"/>
        <w:rPr>
          <w:rFonts w:ascii="宋体" w:hAnsi="宋体"/>
          <w:b/>
          <w:szCs w:val="21"/>
          <w:highlight w:val="none"/>
        </w:rPr>
      </w:pPr>
      <w:bookmarkStart w:id="23" w:name="_Toc2045"/>
      <w:r>
        <w:rPr>
          <w:rFonts w:ascii="宋体" w:hAnsi="宋体"/>
          <w:b/>
          <w:szCs w:val="21"/>
          <w:highlight w:val="none"/>
        </w:rPr>
        <w:t>8.</w:t>
      </w:r>
      <w:r>
        <w:rPr>
          <w:rFonts w:hint="eastAsia" w:ascii="宋体" w:hAnsi="宋体"/>
          <w:b/>
          <w:szCs w:val="21"/>
          <w:highlight w:val="none"/>
        </w:rPr>
        <w:t>乙方的责任和义务</w:t>
      </w:r>
      <w:bookmarkEnd w:id="23"/>
    </w:p>
    <w:p>
      <w:pPr>
        <w:tabs>
          <w:tab w:val="left" w:pos="765"/>
        </w:tabs>
        <w:spacing w:line="400" w:lineRule="exact"/>
        <w:ind w:firstLine="420" w:firstLineChars="200"/>
        <w:jc w:val="left"/>
        <w:rPr>
          <w:rFonts w:ascii="宋体" w:hAnsi="宋体"/>
          <w:szCs w:val="21"/>
          <w:highlight w:val="none"/>
        </w:rPr>
      </w:pP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.1将物资送至规定地点，</w:t>
      </w:r>
      <w:r>
        <w:rPr>
          <w:rFonts w:hint="eastAsia" w:ascii="宋体" w:hAnsi="宋体"/>
          <w:szCs w:val="21"/>
          <w:highlight w:val="none"/>
        </w:rPr>
        <w:t>配合卸货并码放整齐，保证堆放安全，否则甲方有权不予验收，由此给甲方造成的损失由乙方承担。</w:t>
      </w:r>
    </w:p>
    <w:p>
      <w:pPr>
        <w:tabs>
          <w:tab w:val="left" w:pos="765"/>
        </w:tabs>
        <w:spacing w:line="400" w:lineRule="exact"/>
        <w:ind w:firstLine="420" w:firstLineChars="200"/>
        <w:jc w:val="left"/>
        <w:rPr>
          <w:rFonts w:ascii="宋体" w:hAnsi="宋体" w:cs="宋体"/>
          <w:szCs w:val="21"/>
          <w:highlight w:val="none"/>
        </w:rPr>
      </w:pPr>
      <w:r>
        <w:rPr>
          <w:rFonts w:ascii="宋体" w:hAnsi="宋体" w:cs="宋体"/>
          <w:szCs w:val="21"/>
          <w:highlight w:val="none"/>
        </w:rPr>
        <w:t>8</w:t>
      </w:r>
      <w:r>
        <w:rPr>
          <w:rFonts w:hint="eastAsia" w:ascii="宋体" w:hAnsi="宋体" w:cs="宋体"/>
          <w:szCs w:val="21"/>
          <w:highlight w:val="none"/>
        </w:rPr>
        <w:t>.2发货前应及时通知甲方，以便甲方做好接货准备。乙方不得因甲方要求延期交货而向甲方提出索赔。</w:t>
      </w:r>
    </w:p>
    <w:p>
      <w:pPr>
        <w:tabs>
          <w:tab w:val="left" w:pos="765"/>
        </w:tabs>
        <w:spacing w:line="40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8.3</w:t>
      </w:r>
      <w:r>
        <w:rPr>
          <w:rFonts w:hint="eastAsia" w:asciiTheme="minorEastAsia" w:hAnsiTheme="minorEastAsia" w:eastAsiaTheme="minorEastAsia"/>
          <w:szCs w:val="21"/>
          <w:highlight w:val="none"/>
        </w:rPr>
        <w:t>向甲方提供必要的报检证明和结算证明（账户、开户行相关证件复印件及验收单等）。</w:t>
      </w:r>
    </w:p>
    <w:p>
      <w:pPr>
        <w:tabs>
          <w:tab w:val="left" w:pos="765"/>
        </w:tabs>
        <w:spacing w:line="40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8.4</w:t>
      </w:r>
      <w:r>
        <w:rPr>
          <w:rFonts w:hint="eastAsia" w:asciiTheme="minorEastAsia" w:hAnsiTheme="minorEastAsia" w:eastAsiaTheme="minorEastAsia"/>
          <w:szCs w:val="21"/>
          <w:highlight w:val="none"/>
        </w:rPr>
        <w:t>供应的物资必须符合</w:t>
      </w:r>
      <w:r>
        <w:rPr>
          <w:rFonts w:hint="eastAsia" w:ascii="宋体" w:hAnsi="宋体"/>
          <w:szCs w:val="21"/>
          <w:highlight w:val="none"/>
        </w:rPr>
        <w:t>中华人民共和国国家、地方及行业最新颁布的相关标准及技术规范</w:t>
      </w:r>
      <w:r>
        <w:rPr>
          <w:rFonts w:hint="eastAsia" w:asciiTheme="minorEastAsia" w:hAnsiTheme="minorEastAsia" w:eastAsiaTheme="minorEastAsia"/>
          <w:szCs w:val="21"/>
          <w:highlight w:val="none"/>
        </w:rPr>
        <w:t>和甲方施工要求。</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8.5</w:t>
      </w:r>
      <w:r>
        <w:rPr>
          <w:rFonts w:hint="eastAsia" w:asciiTheme="minorEastAsia" w:hAnsiTheme="minorEastAsia" w:eastAsiaTheme="minorEastAsia"/>
          <w:szCs w:val="21"/>
          <w:highlight w:val="none"/>
        </w:rPr>
        <w:t>保证物资在运输过程中不受污染，做好物资运输过程中的防雨、防潮工作。</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8.6</w:t>
      </w:r>
      <w:r>
        <w:rPr>
          <w:rFonts w:hint="eastAsia" w:asciiTheme="minorEastAsia" w:hAnsiTheme="minorEastAsia" w:eastAsiaTheme="minorEastAsia"/>
          <w:szCs w:val="21"/>
          <w:highlight w:val="none"/>
        </w:rPr>
        <w:t>承担在供货过程中发生的交通事故、人身伤害、通讯或电力线路损害、污染物泄漏等突发事件造成的损失、罚款及其他一切责任。</w:t>
      </w:r>
    </w:p>
    <w:p>
      <w:pPr>
        <w:tabs>
          <w:tab w:val="left" w:pos="765"/>
        </w:tabs>
        <w:spacing w:line="40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8.7</w:t>
      </w:r>
      <w:r>
        <w:rPr>
          <w:rFonts w:hint="eastAsia" w:asciiTheme="minorEastAsia" w:hAnsiTheme="minorEastAsia" w:eastAsiaTheme="minorEastAsia"/>
          <w:szCs w:val="21"/>
          <w:highlight w:val="none"/>
        </w:rPr>
        <w:t>遵守甲方有关的规章制度，并负责己方人员及运输设备的安全。</w:t>
      </w:r>
    </w:p>
    <w:p>
      <w:pPr>
        <w:tabs>
          <w:tab w:val="left" w:pos="765"/>
        </w:tabs>
        <w:spacing w:line="40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8.8</w:t>
      </w:r>
      <w:r>
        <w:rPr>
          <w:rFonts w:hint="eastAsia" w:asciiTheme="minorEastAsia" w:hAnsiTheme="minorEastAsia" w:eastAsiaTheme="minorEastAsia"/>
          <w:szCs w:val="21"/>
          <w:highlight w:val="none"/>
        </w:rPr>
        <w:t>物资供应必须及时并保证满足甲方施工生产需要，如因乙方问题造成甲方停工待料，除不可抗力外，全部损失由乙方承担。</w:t>
      </w:r>
    </w:p>
    <w:p>
      <w:pPr>
        <w:tabs>
          <w:tab w:val="left" w:pos="810"/>
        </w:tabs>
        <w:spacing w:line="40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8.9</w:t>
      </w:r>
      <w:r>
        <w:rPr>
          <w:rFonts w:hint="eastAsia" w:asciiTheme="minorEastAsia" w:hAnsiTheme="minorEastAsia" w:eastAsiaTheme="minorEastAsia"/>
          <w:szCs w:val="21"/>
          <w:highlight w:val="none"/>
        </w:rPr>
        <w:t>必须按甲方提供的</w:t>
      </w:r>
      <w:r>
        <w:rPr>
          <w:rFonts w:hint="eastAsia" w:ascii="宋体" w:hAnsi="宋体"/>
          <w:color w:val="000000" w:themeColor="text1"/>
          <w:szCs w:val="21"/>
          <w:highlight w:val="none"/>
          <w14:textFill>
            <w14:solidFill>
              <w14:schemeClr w14:val="tx1"/>
            </w14:solidFill>
          </w14:textFill>
        </w:rPr>
        <w:t>物资供应计划</w:t>
      </w:r>
      <w:r>
        <w:rPr>
          <w:rFonts w:hint="eastAsia" w:asciiTheme="minorEastAsia" w:hAnsiTheme="minorEastAsia" w:eastAsiaTheme="minorEastAsia"/>
          <w:szCs w:val="21"/>
          <w:highlight w:val="none"/>
        </w:rPr>
        <w:t>的</w:t>
      </w:r>
      <w:r>
        <w:rPr>
          <w:rFonts w:hint="eastAsia" w:ascii="宋体" w:hAnsi="宋体"/>
          <w:szCs w:val="21"/>
          <w:highlight w:val="none"/>
        </w:rPr>
        <w:t>数量、时间供货，</w:t>
      </w:r>
      <w:r>
        <w:rPr>
          <w:rFonts w:hint="eastAsia" w:asciiTheme="minorEastAsia" w:hAnsiTheme="minorEastAsia" w:eastAsiaTheme="minorEastAsia"/>
          <w:szCs w:val="21"/>
          <w:highlight w:val="none"/>
        </w:rPr>
        <w:t>不得擅自改变计划内容。</w:t>
      </w:r>
      <w:r>
        <w:rPr>
          <w:rFonts w:hint="eastAsia" w:ascii="宋体" w:hAnsi="宋体"/>
          <w:szCs w:val="21"/>
          <w:highlight w:val="none"/>
        </w:rPr>
        <w:t>乙方对超出供货需求量供应的物资承担相应费用和责任，包括但不限于物资进场、退场的运输、装车、保管等。</w:t>
      </w:r>
    </w:p>
    <w:p>
      <w:pPr>
        <w:spacing w:line="400" w:lineRule="exact"/>
        <w:ind w:firstLine="420" w:firstLineChars="200"/>
        <w:rPr>
          <w:rFonts w:ascii="宋体" w:hAnsi="宋体" w:cs="宋体"/>
          <w:szCs w:val="21"/>
          <w:highlight w:val="none"/>
        </w:rPr>
      </w:pPr>
      <w:r>
        <w:rPr>
          <w:rFonts w:ascii="宋体" w:hAnsi="宋体" w:cs="宋体"/>
          <w:szCs w:val="21"/>
          <w:highlight w:val="none"/>
        </w:rPr>
        <w:t>8.10</w:t>
      </w:r>
      <w:r>
        <w:rPr>
          <w:rFonts w:hint="eastAsia" w:ascii="宋体" w:hAnsi="宋体" w:cs="宋体"/>
          <w:szCs w:val="21"/>
          <w:highlight w:val="none"/>
        </w:rPr>
        <w:t>应精心组织物资加工，参照甲方</w:t>
      </w:r>
      <w:r>
        <w:rPr>
          <w:rFonts w:hint="eastAsia" w:ascii="宋体" w:hAnsi="宋体"/>
          <w:color w:val="000000" w:themeColor="text1"/>
          <w:szCs w:val="21"/>
          <w:highlight w:val="none"/>
          <w14:textFill>
            <w14:solidFill>
              <w14:schemeClr w14:val="tx1"/>
            </w14:solidFill>
          </w14:textFill>
        </w:rPr>
        <w:t>物资供应计划</w:t>
      </w:r>
      <w:r>
        <w:rPr>
          <w:rFonts w:hint="eastAsia" w:ascii="宋体" w:hAnsi="宋体" w:cs="宋体"/>
          <w:szCs w:val="21"/>
          <w:highlight w:val="none"/>
        </w:rPr>
        <w:t>，做好物资的储备工作，合理安排运输力量。如乙方不能按期完成甲方计划，应提前</w:t>
      </w: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szCs w:val="21"/>
          <w:highlight w:val="none"/>
        </w:rPr>
        <w:t>日历天向甲方说明，甲方将另行组织货源。如由于乙方原因影响甲方工程进度，甲方将扣除乙方相应货款作为违约金。</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8.11</w:t>
      </w:r>
      <w:r>
        <w:rPr>
          <w:rFonts w:hint="eastAsia" w:asciiTheme="minorEastAsia" w:hAnsiTheme="minorEastAsia" w:eastAsiaTheme="minorEastAsia"/>
          <w:szCs w:val="21"/>
          <w:highlight w:val="none"/>
        </w:rPr>
        <w:t>必须无条件满足合同内物资的供应，不得以生产商设备检修停产、未安排生产计划等为由在合同约定供货期内停止供货。</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8.12乙方需正确填写发票，</w:t>
      </w:r>
      <w:r>
        <w:rPr>
          <w:rFonts w:hint="eastAsia" w:ascii="宋体" w:hAnsi="宋体"/>
          <w:color w:val="000000" w:themeColor="text1"/>
          <w:szCs w:val="21"/>
          <w:highlight w:val="none"/>
          <w14:textFill>
            <w14:solidFill>
              <w14:schemeClr w14:val="tx1"/>
            </w14:solidFill>
          </w14:textFill>
        </w:rPr>
        <w:t>因乙方发票填写错误，造成甲方损失的，由乙方进行全额赔偿，并支付“问题发票”等额的违约金给甲方。</w:t>
      </w:r>
      <w:r>
        <w:rPr>
          <w:rFonts w:hint="eastAsia" w:ascii="宋体" w:hAnsi="宋体"/>
          <w:szCs w:val="21"/>
          <w:highlight w:val="none"/>
        </w:rPr>
        <w:t>乙方在申请本合同下的货款和开据发票过程中发生的各种费用由</w:t>
      </w:r>
      <w:r>
        <w:rPr>
          <w:rFonts w:hint="eastAsia" w:ascii="宋体" w:hAnsi="宋体"/>
          <w:color w:val="000000" w:themeColor="text1"/>
          <w:szCs w:val="21"/>
          <w:highlight w:val="none"/>
          <w14:textFill>
            <w14:solidFill>
              <w14:schemeClr w14:val="tx1"/>
            </w14:solidFill>
          </w14:textFill>
        </w:rPr>
        <w:t>己</w:t>
      </w:r>
      <w:r>
        <w:rPr>
          <w:rFonts w:hint="eastAsia" w:ascii="宋体" w:hAnsi="宋体"/>
          <w:szCs w:val="21"/>
          <w:highlight w:val="none"/>
        </w:rPr>
        <w:t>方承担。</w:t>
      </w:r>
    </w:p>
    <w:p>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8.13乙方保证甲方在使用本合同约定物资时不受到第三方关于侵犯专利权、商标权或工业设计权等知识产权的指控。任何第三方提出侵权指控，乙方须与第三方交涉并承担发生的一切责任和费用。本合同综合单价包含知识产权使用费。</w:t>
      </w:r>
    </w:p>
    <w:p>
      <w:pPr>
        <w:pStyle w:val="3"/>
        <w:spacing w:line="400" w:lineRule="atLeast"/>
        <w:ind w:firstLine="420" w:firstLineChars="200"/>
        <w:jc w:val="both"/>
        <w:rPr>
          <w:rFonts w:hint="default" w:eastAsia="黑体"/>
          <w:lang w:val="en-US" w:eastAsia="zh-CN"/>
        </w:rPr>
      </w:pPr>
      <w:bookmarkStart w:id="24" w:name="_Hlk126745438"/>
      <w:r>
        <w:rPr>
          <w:rFonts w:hint="eastAsia" w:cs="Times New Roman"/>
          <w:color w:val="auto"/>
          <w:kern w:val="2"/>
          <w:sz w:val="21"/>
          <w:szCs w:val="21"/>
          <w:highlight w:val="none"/>
          <w:lang w:val="en-US" w:eastAsia="zh-CN" w:bidi="ar-SA"/>
        </w:rPr>
        <w:t xml:space="preserve">8.14 </w:t>
      </w:r>
      <w:r>
        <w:rPr>
          <w:rFonts w:hint="eastAsia" w:ascii="宋体" w:hAnsi="宋体" w:eastAsia="宋体" w:cs="Times New Roman"/>
          <w:color w:val="auto"/>
          <w:kern w:val="2"/>
          <w:sz w:val="21"/>
          <w:szCs w:val="21"/>
          <w:highlight w:val="none"/>
          <w:lang w:val="en-US" w:eastAsia="zh-CN" w:bidi="ar-SA"/>
        </w:rPr>
        <w:t>甲方禁止项目部及任何人员以甲方、甲方子企业或甲方项目部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bookmarkEnd w:id="24"/>
      <w:r>
        <w:rPr>
          <w:rFonts w:hint="eastAsia" w:ascii="宋体" w:hAnsi="宋体" w:eastAsia="宋体" w:cs="Times New Roman"/>
          <w:color w:val="auto"/>
          <w:kern w:val="2"/>
          <w:sz w:val="21"/>
          <w:szCs w:val="21"/>
          <w:highlight w:val="none"/>
          <w:lang w:val="en-US" w:eastAsia="zh-CN" w:bidi="ar-SA"/>
        </w:rPr>
        <w:t>。</w:t>
      </w:r>
    </w:p>
    <w:p>
      <w:pPr>
        <w:spacing w:line="400" w:lineRule="exact"/>
        <w:ind w:firstLine="422" w:firstLineChars="200"/>
        <w:outlineLvl w:val="1"/>
        <w:rPr>
          <w:rFonts w:ascii="宋体" w:hAnsi="宋体"/>
          <w:b/>
          <w:szCs w:val="21"/>
          <w:highlight w:val="none"/>
        </w:rPr>
      </w:pPr>
      <w:bookmarkStart w:id="25" w:name="_Toc3839"/>
      <w:r>
        <w:rPr>
          <w:rFonts w:ascii="宋体" w:hAnsi="宋体"/>
          <w:b/>
          <w:szCs w:val="21"/>
          <w:highlight w:val="none"/>
        </w:rPr>
        <w:t>9.</w:t>
      </w:r>
      <w:r>
        <w:rPr>
          <w:rFonts w:hint="eastAsia" w:ascii="宋体" w:hAnsi="宋体"/>
          <w:b/>
          <w:szCs w:val="21"/>
          <w:highlight w:val="none"/>
        </w:rPr>
        <w:t>违约责任</w:t>
      </w:r>
      <w:bookmarkEnd w:id="25"/>
    </w:p>
    <w:p>
      <w:pPr>
        <w:spacing w:line="400" w:lineRule="exact"/>
        <w:ind w:firstLine="420" w:firstLineChars="200"/>
        <w:rPr>
          <w:rFonts w:ascii="宋体" w:hAnsi="宋体"/>
          <w:szCs w:val="21"/>
          <w:highlight w:val="none"/>
        </w:rPr>
      </w:pPr>
      <w:r>
        <w:rPr>
          <w:rFonts w:ascii="宋体" w:hAnsi="宋体"/>
          <w:szCs w:val="21"/>
          <w:highlight w:val="none"/>
        </w:rPr>
        <w:t>9.1</w:t>
      </w:r>
      <w:r>
        <w:rPr>
          <w:rFonts w:hint="eastAsia" w:ascii="宋体" w:hAnsi="宋体"/>
          <w:szCs w:val="21"/>
          <w:highlight w:val="none"/>
        </w:rPr>
        <w:t>以下情况乙方向甲方支付违约金，具体违约金金额在第一部分合同</w:t>
      </w:r>
      <w:r>
        <w:rPr>
          <w:rFonts w:ascii="宋体" w:hAnsi="宋体"/>
          <w:szCs w:val="21"/>
          <w:highlight w:val="none"/>
        </w:rPr>
        <w:t>协议书</w:t>
      </w:r>
      <w:r>
        <w:rPr>
          <w:rFonts w:hint="eastAsia" w:ascii="宋体" w:hAnsi="宋体"/>
          <w:szCs w:val="21"/>
          <w:highlight w:val="none"/>
        </w:rPr>
        <w:t>中进行约定。此违约金在应付货款中直接扣除，情况严重时甲方有权单方终止合同。</w:t>
      </w:r>
    </w:p>
    <w:p>
      <w:pPr>
        <w:spacing w:line="400" w:lineRule="exact"/>
        <w:ind w:firstLine="420" w:firstLineChars="200"/>
        <w:rPr>
          <w:rFonts w:ascii="宋体" w:hAnsi="宋体"/>
          <w:szCs w:val="21"/>
          <w:highlight w:val="none"/>
        </w:rPr>
      </w:pPr>
      <w:r>
        <w:rPr>
          <w:rFonts w:ascii="宋体" w:hAnsi="宋体"/>
          <w:szCs w:val="21"/>
          <w:highlight w:val="none"/>
        </w:rPr>
        <w:t>9.1.1</w:t>
      </w:r>
      <w:r>
        <w:rPr>
          <w:rFonts w:hint="eastAsia" w:ascii="宋体" w:hAnsi="宋体"/>
          <w:szCs w:val="21"/>
          <w:highlight w:val="none"/>
        </w:rPr>
        <w:t>乙方未按甲方物资供应计划要求供应本合同约定物资</w:t>
      </w:r>
    </w:p>
    <w:p>
      <w:pPr>
        <w:spacing w:line="400" w:lineRule="exact"/>
        <w:ind w:firstLine="420" w:firstLineChars="200"/>
        <w:rPr>
          <w:rFonts w:ascii="宋体" w:hAnsi="宋体"/>
          <w:szCs w:val="21"/>
          <w:highlight w:val="none"/>
        </w:rPr>
      </w:pPr>
      <w:r>
        <w:rPr>
          <w:rFonts w:ascii="宋体" w:hAnsi="宋体"/>
          <w:szCs w:val="21"/>
          <w:highlight w:val="none"/>
        </w:rPr>
        <w:t>9.1.2</w:t>
      </w:r>
      <w:r>
        <w:rPr>
          <w:rFonts w:hint="eastAsia" w:ascii="宋体" w:hAnsi="宋体"/>
          <w:szCs w:val="21"/>
          <w:highlight w:val="none"/>
        </w:rPr>
        <w:t>乙方所供应物资检测不合格，且</w:t>
      </w:r>
      <w:r>
        <w:rPr>
          <w:rFonts w:hint="eastAsia" w:ascii="宋体" w:hAnsi="宋体"/>
          <w:color w:val="000000" w:themeColor="text1"/>
          <w:szCs w:val="21"/>
          <w:highlight w:val="none"/>
          <w14:textFill>
            <w14:solidFill>
              <w14:schemeClr w14:val="tx1"/>
            </w14:solidFill>
          </w14:textFill>
        </w:rPr>
        <w:t>48小时</w:t>
      </w:r>
      <w:r>
        <w:rPr>
          <w:rFonts w:hint="eastAsia" w:ascii="宋体" w:hAnsi="宋体"/>
          <w:bCs/>
          <w:color w:val="000000"/>
          <w:kern w:val="0"/>
          <w:szCs w:val="21"/>
          <w:highlight w:val="none"/>
        </w:rPr>
        <w:t>内未予处理的。</w:t>
      </w:r>
    </w:p>
    <w:p>
      <w:pPr>
        <w:spacing w:line="400" w:lineRule="exact"/>
        <w:ind w:firstLine="420" w:firstLineChars="200"/>
        <w:rPr>
          <w:rFonts w:ascii="宋体" w:hAnsi="宋体"/>
          <w:szCs w:val="21"/>
          <w:highlight w:val="none"/>
        </w:rPr>
      </w:pPr>
      <w:r>
        <w:rPr>
          <w:rFonts w:ascii="宋体" w:hAnsi="宋体"/>
          <w:szCs w:val="21"/>
          <w:highlight w:val="none"/>
        </w:rPr>
        <w:t>9.2</w:t>
      </w:r>
      <w:r>
        <w:rPr>
          <w:rFonts w:hint="eastAsia" w:ascii="宋体" w:hAnsi="宋体"/>
          <w:szCs w:val="21"/>
          <w:highlight w:val="none"/>
        </w:rPr>
        <w:t>由于乙方原因造成甲方人员人身伤害，乙方应立即采取补救措施，并全额赔偿甲方相关人员损失。</w:t>
      </w:r>
    </w:p>
    <w:p>
      <w:pPr>
        <w:spacing w:line="400" w:lineRule="exact"/>
        <w:ind w:firstLine="420" w:firstLineChars="200"/>
        <w:rPr>
          <w:rFonts w:ascii="宋体" w:hAnsi="宋体"/>
          <w:szCs w:val="21"/>
          <w:highlight w:val="none"/>
        </w:rPr>
      </w:pPr>
      <w:r>
        <w:rPr>
          <w:rFonts w:ascii="宋体" w:hAnsi="宋体"/>
          <w:szCs w:val="21"/>
          <w:highlight w:val="none"/>
        </w:rPr>
        <w:t>9.3</w:t>
      </w:r>
      <w:r>
        <w:rPr>
          <w:rFonts w:hint="eastAsia" w:ascii="宋体" w:hAnsi="宋体"/>
          <w:szCs w:val="21"/>
          <w:highlight w:val="none"/>
        </w:rPr>
        <w:t>如果由于物资质量问题，引起工程事故，导致甲方人员或财产损失的，乙方应承担相应的法律责任和经济责任，因此所导致的一切损失由乙方承担，该责任不因合同的终止而减小或解除。</w:t>
      </w:r>
    </w:p>
    <w:p>
      <w:pPr>
        <w:spacing w:line="400" w:lineRule="exact"/>
        <w:ind w:firstLine="420" w:firstLineChars="200"/>
        <w:rPr>
          <w:rFonts w:ascii="宋体" w:hAnsi="宋体"/>
          <w:szCs w:val="21"/>
          <w:highlight w:val="none"/>
        </w:rPr>
      </w:pPr>
      <w:r>
        <w:rPr>
          <w:rFonts w:ascii="宋体" w:hAnsi="宋体"/>
          <w:szCs w:val="21"/>
          <w:highlight w:val="none"/>
        </w:rPr>
        <w:t>9.4</w:t>
      </w:r>
      <w:r>
        <w:rPr>
          <w:rFonts w:hint="eastAsia" w:ascii="宋体" w:hAnsi="宋体"/>
          <w:szCs w:val="21"/>
          <w:highlight w:val="none"/>
        </w:rPr>
        <w:t>甲乙双方明确约定，对于在本合同项下产生的或与本合同相关的事宜产生的乙方对甲方的债权，乙方承诺：不经过甲方的书面同意不将其转让给第三方，否则，乙方须在违约转让债权之日起五日内，按照违约转让债权总额的5%向甲方支付违约金，逾期支付违约金应承担违约付款责任。</w:t>
      </w:r>
    </w:p>
    <w:p>
      <w:pPr>
        <w:spacing w:line="400" w:lineRule="exact"/>
        <w:ind w:firstLine="420" w:firstLineChars="200"/>
        <w:jc w:val="left"/>
        <w:rPr>
          <w:rFonts w:ascii="宋体" w:hAnsi="宋体"/>
          <w:b/>
          <w:szCs w:val="21"/>
          <w:highlight w:val="none"/>
        </w:rPr>
      </w:pPr>
      <w:r>
        <w:rPr>
          <w:rFonts w:ascii="宋体" w:hAnsi="宋体"/>
          <w:szCs w:val="21"/>
          <w:highlight w:val="none"/>
        </w:rPr>
        <w:t>9.5</w:t>
      </w:r>
      <w:r>
        <w:rPr>
          <w:rFonts w:hint="eastAsia" w:ascii="宋体" w:hAnsi="宋体"/>
          <w:szCs w:val="21"/>
          <w:highlight w:val="none"/>
        </w:rPr>
        <w:t>乙方收到甲方的索赔通知后</w:t>
      </w:r>
      <w:r>
        <w:rPr>
          <w:rFonts w:ascii="宋体" w:hAnsi="宋体"/>
          <w:szCs w:val="21"/>
          <w:highlight w:val="none"/>
        </w:rPr>
        <w:t>10</w:t>
      </w:r>
      <w:r>
        <w:rPr>
          <w:rFonts w:hint="eastAsia" w:ascii="宋体" w:hAnsi="宋体"/>
          <w:szCs w:val="21"/>
          <w:highlight w:val="none"/>
        </w:rPr>
        <w:t>日历天内不作出书面答复，视为乙方同意甲方提出的一切索赔要求。</w:t>
      </w:r>
    </w:p>
    <w:p>
      <w:pPr>
        <w:spacing w:line="400" w:lineRule="exact"/>
        <w:ind w:firstLine="420" w:firstLineChars="200"/>
        <w:rPr>
          <w:rFonts w:ascii="宋体" w:hAnsi="宋体"/>
          <w:szCs w:val="21"/>
          <w:highlight w:val="none"/>
        </w:rPr>
      </w:pPr>
      <w:r>
        <w:rPr>
          <w:rFonts w:ascii="宋体" w:hAnsi="宋体"/>
          <w:szCs w:val="21"/>
          <w:highlight w:val="none"/>
        </w:rPr>
        <w:t>9.6</w:t>
      </w:r>
      <w:r>
        <w:rPr>
          <w:rFonts w:hint="eastAsia" w:ascii="宋体" w:hAnsi="宋体"/>
          <w:szCs w:val="21"/>
          <w:highlight w:val="none"/>
        </w:rPr>
        <w:t>甲方发出解除或终止合同通知后10日历天内乙方不作出书面答复，视为乙方同意解除或终止合同。合同解除或终止后乙方仍承担由于乙方原因而产生的违约金和因此给甲方造成的全部直接、间接经济损失。乙方在收到解除或终止合同的通知后应无条件配合甲方处理善后事宜。甲方因行使本条规定的事项权利所发生的合理费用，包括但不限于诉讼费、鉴定费.律师费等全部由乙方承担。</w:t>
      </w:r>
    </w:p>
    <w:p>
      <w:pPr>
        <w:spacing w:line="400" w:lineRule="exact"/>
        <w:ind w:firstLine="420" w:firstLineChars="200"/>
        <w:rPr>
          <w:rFonts w:ascii="宋体" w:hAnsi="宋体"/>
          <w:szCs w:val="21"/>
          <w:highlight w:val="none"/>
        </w:rPr>
      </w:pPr>
      <w:r>
        <w:rPr>
          <w:rFonts w:hint="eastAsia" w:ascii="宋体" w:hAnsi="宋体"/>
          <w:szCs w:val="21"/>
          <w:highlight w:val="none"/>
        </w:rPr>
        <w:t>9.7如发生以下任何一种情况履约保证金不予退还：</w:t>
      </w:r>
    </w:p>
    <w:p>
      <w:pPr>
        <w:spacing w:line="400" w:lineRule="exact"/>
        <w:ind w:firstLine="420" w:firstLineChars="200"/>
        <w:rPr>
          <w:rFonts w:ascii="宋体" w:hAnsi="宋体"/>
          <w:szCs w:val="21"/>
          <w:highlight w:val="none"/>
        </w:rPr>
      </w:pPr>
      <w:r>
        <w:rPr>
          <w:rFonts w:hint="eastAsia" w:ascii="宋体" w:hAnsi="宋体"/>
          <w:szCs w:val="21"/>
          <w:highlight w:val="none"/>
        </w:rPr>
        <w:t>9.7.1无法正常供货的情况，包括任何原因的不供货或连续5日历天未能按甲方要求的数量供货。</w:t>
      </w:r>
    </w:p>
    <w:p>
      <w:pPr>
        <w:spacing w:line="400" w:lineRule="exact"/>
        <w:ind w:firstLine="420" w:firstLineChars="200"/>
        <w:rPr>
          <w:rFonts w:ascii="宋体" w:hAnsi="宋体"/>
          <w:szCs w:val="21"/>
          <w:highlight w:val="none"/>
        </w:rPr>
      </w:pPr>
      <w:r>
        <w:rPr>
          <w:rFonts w:hint="eastAsia" w:ascii="宋体" w:hAnsi="宋体"/>
          <w:szCs w:val="21"/>
          <w:highlight w:val="none"/>
        </w:rPr>
        <w:t>9.7.2供应的物资不符合国家、甲方、业主和监理相关标准和要求，且在规定时间内不予调换、处理的情况。</w:t>
      </w:r>
    </w:p>
    <w:p>
      <w:pPr>
        <w:spacing w:line="400" w:lineRule="exact"/>
        <w:ind w:firstLine="420" w:firstLineChars="200"/>
        <w:rPr>
          <w:rFonts w:ascii="宋体" w:hAnsi="宋体"/>
          <w:szCs w:val="21"/>
          <w:highlight w:val="none"/>
        </w:rPr>
      </w:pPr>
      <w:r>
        <w:rPr>
          <w:rFonts w:hint="eastAsia" w:ascii="宋体" w:hAnsi="宋体"/>
          <w:szCs w:val="21"/>
          <w:highlight w:val="none"/>
        </w:rPr>
        <w:t>9.7.3不服从甲方管理的。</w:t>
      </w:r>
    </w:p>
    <w:p>
      <w:pPr>
        <w:spacing w:line="400" w:lineRule="exact"/>
        <w:ind w:firstLine="420" w:firstLineChars="200"/>
        <w:rPr>
          <w:rFonts w:ascii="宋体" w:hAnsi="宋体"/>
          <w:szCs w:val="21"/>
          <w:highlight w:val="none"/>
        </w:rPr>
      </w:pPr>
      <w:r>
        <w:rPr>
          <w:rFonts w:hint="eastAsia" w:ascii="宋体" w:hAnsi="宋体"/>
          <w:szCs w:val="21"/>
          <w:highlight w:val="none"/>
        </w:rPr>
        <w:t>9.7.4因乙方原因给甲方造成损失的。</w:t>
      </w:r>
    </w:p>
    <w:p>
      <w:pPr>
        <w:spacing w:line="400" w:lineRule="exact"/>
        <w:ind w:firstLine="422" w:firstLineChars="200"/>
        <w:jc w:val="left"/>
        <w:outlineLvl w:val="1"/>
        <w:rPr>
          <w:rFonts w:ascii="宋体" w:hAnsi="宋体"/>
          <w:b/>
          <w:szCs w:val="21"/>
          <w:highlight w:val="none"/>
        </w:rPr>
      </w:pPr>
      <w:bookmarkStart w:id="26" w:name="_Toc12357"/>
      <w:r>
        <w:rPr>
          <w:rFonts w:ascii="宋体" w:hAnsi="宋体"/>
          <w:b/>
          <w:szCs w:val="21"/>
          <w:highlight w:val="none"/>
        </w:rPr>
        <w:t>10.</w:t>
      </w:r>
      <w:r>
        <w:rPr>
          <w:rFonts w:hint="eastAsia" w:ascii="宋体" w:hAnsi="宋体"/>
          <w:b/>
          <w:szCs w:val="21"/>
          <w:highlight w:val="none"/>
        </w:rPr>
        <w:t>通知</w:t>
      </w:r>
      <w:bookmarkEnd w:id="26"/>
    </w:p>
    <w:p>
      <w:pPr>
        <w:spacing w:line="400" w:lineRule="exact"/>
        <w:ind w:firstLine="420" w:firstLineChars="200"/>
        <w:jc w:val="left"/>
        <w:rPr>
          <w:rFonts w:ascii="宋体" w:hAnsi="宋体"/>
          <w:szCs w:val="21"/>
          <w:highlight w:val="none"/>
        </w:rPr>
      </w:pPr>
      <w:r>
        <w:rPr>
          <w:rFonts w:ascii="宋体" w:hAnsi="宋体"/>
          <w:szCs w:val="21"/>
          <w:highlight w:val="none"/>
        </w:rPr>
        <w:t>10.1</w:t>
      </w:r>
      <w:r>
        <w:rPr>
          <w:rFonts w:hint="eastAsia" w:ascii="宋体" w:hAnsi="宋体"/>
          <w:szCs w:val="21"/>
          <w:highlight w:val="none"/>
        </w:rPr>
        <w:t>根据本合同需要发出的双方的往来文件及与本合同有关的通知和要求等，</w:t>
      </w:r>
      <w:r>
        <w:rPr>
          <w:rFonts w:hint="eastAsia" w:ascii="宋体" w:hAnsi="宋体" w:cs="宋体"/>
          <w:szCs w:val="21"/>
          <w:highlight w:val="none"/>
        </w:rPr>
        <w:t>可以选择通过传真、电子邮件、</w:t>
      </w:r>
      <w:r>
        <w:rPr>
          <w:rFonts w:hint="eastAsia" w:ascii="宋体" w:hAnsi="宋体"/>
          <w:szCs w:val="21"/>
          <w:highlight w:val="none"/>
        </w:rPr>
        <w:t>邮寄、当面送交</w:t>
      </w:r>
      <w:r>
        <w:rPr>
          <w:rFonts w:hint="eastAsia" w:ascii="宋体" w:hAnsi="宋体" w:cs="宋体"/>
          <w:szCs w:val="21"/>
          <w:highlight w:val="none"/>
        </w:rPr>
        <w:t>等方式</w:t>
      </w:r>
      <w:r>
        <w:rPr>
          <w:rFonts w:hint="eastAsia" w:ascii="宋体" w:hAnsi="宋体"/>
          <w:szCs w:val="21"/>
          <w:highlight w:val="none"/>
        </w:rPr>
        <w:t>传递。以上方式无法送达的，方可采取公告送达的方式。</w:t>
      </w:r>
    </w:p>
    <w:p>
      <w:pPr>
        <w:spacing w:line="400" w:lineRule="exact"/>
        <w:ind w:firstLine="420" w:firstLineChars="200"/>
        <w:jc w:val="left"/>
        <w:rPr>
          <w:rFonts w:ascii="宋体" w:hAnsi="宋体"/>
          <w:szCs w:val="21"/>
          <w:highlight w:val="none"/>
        </w:rPr>
      </w:pPr>
      <w:r>
        <w:rPr>
          <w:rFonts w:ascii="宋体" w:hAnsi="宋体"/>
          <w:szCs w:val="21"/>
          <w:highlight w:val="none"/>
        </w:rPr>
        <w:t>10.2</w:t>
      </w:r>
      <w:r>
        <w:rPr>
          <w:rFonts w:hint="eastAsia" w:ascii="宋体" w:hAnsi="宋体"/>
          <w:szCs w:val="21"/>
          <w:highlight w:val="none"/>
        </w:rPr>
        <w:t>乙方若要变更通讯方式，应提前5日历天以书面形式通知对甲方，并告知变更生效日期，否则，甲方按照原通讯方式向乙方发出任何书面通知、文件5日历天后即视为有效送达，乙方应承担由此导致的一切法律后果。</w:t>
      </w:r>
    </w:p>
    <w:p>
      <w:pPr>
        <w:spacing w:line="400" w:lineRule="exact"/>
        <w:ind w:firstLine="422" w:firstLineChars="200"/>
        <w:jc w:val="left"/>
        <w:outlineLvl w:val="1"/>
        <w:rPr>
          <w:rFonts w:ascii="宋体" w:hAnsi="宋体"/>
          <w:b/>
          <w:szCs w:val="21"/>
          <w:highlight w:val="none"/>
        </w:rPr>
      </w:pPr>
      <w:bookmarkStart w:id="27" w:name="_Toc18240"/>
      <w:r>
        <w:rPr>
          <w:rFonts w:hint="eastAsia" w:ascii="宋体" w:hAnsi="宋体"/>
          <w:b/>
          <w:szCs w:val="21"/>
          <w:highlight w:val="none"/>
        </w:rPr>
        <w:t>1</w:t>
      </w:r>
      <w:r>
        <w:rPr>
          <w:rFonts w:ascii="宋体" w:hAnsi="宋体"/>
          <w:b/>
          <w:szCs w:val="21"/>
          <w:highlight w:val="none"/>
        </w:rPr>
        <w:t>1.</w:t>
      </w:r>
      <w:r>
        <w:rPr>
          <w:rFonts w:hint="eastAsia" w:ascii="宋体" w:hAnsi="宋体"/>
          <w:b/>
          <w:szCs w:val="21"/>
          <w:highlight w:val="none"/>
        </w:rPr>
        <w:t>争议的处理</w:t>
      </w:r>
      <w:bookmarkEnd w:id="27"/>
    </w:p>
    <w:p>
      <w:pPr>
        <w:spacing w:line="400" w:lineRule="exact"/>
        <w:ind w:firstLine="420" w:firstLineChars="200"/>
        <w:jc w:val="left"/>
        <w:rPr>
          <w:rFonts w:ascii="宋体" w:hAnsi="宋体"/>
          <w:color w:val="C0C0C0"/>
          <w:szCs w:val="21"/>
          <w:highlight w:val="none"/>
          <w:u w:val="single"/>
        </w:rPr>
      </w:pPr>
      <w:r>
        <w:rPr>
          <w:rFonts w:hint="eastAsia" w:ascii="宋体" w:hAnsi="宋体"/>
          <w:szCs w:val="21"/>
          <w:highlight w:val="none"/>
        </w:rPr>
        <w:t>本合同发生的有关争议应通过友好协商解决，经协商未能达成协议时，双方约定向甲方住所地有管辖权的人民法院提起诉讼。</w:t>
      </w:r>
      <w:r>
        <w:rPr>
          <w:rFonts w:hint="eastAsia" w:ascii="宋体" w:hAnsi="宋体"/>
          <w:color w:val="C0C0C0"/>
          <w:szCs w:val="21"/>
          <w:highlight w:val="none"/>
          <w:u w:val="single"/>
        </w:rPr>
        <w:t>（集团公司名义签署）</w:t>
      </w:r>
    </w:p>
    <w:p>
      <w:pPr>
        <w:spacing w:line="400" w:lineRule="exact"/>
        <w:ind w:firstLine="420" w:firstLineChars="200"/>
        <w:jc w:val="left"/>
        <w:rPr>
          <w:rFonts w:ascii="宋体" w:hAnsi="宋体"/>
          <w:szCs w:val="21"/>
          <w:highlight w:val="none"/>
        </w:rPr>
      </w:pPr>
      <w:r>
        <w:rPr>
          <w:rFonts w:hint="eastAsia" w:ascii="宋体" w:hAnsi="宋体"/>
          <w:szCs w:val="21"/>
          <w:highlight w:val="none"/>
        </w:rPr>
        <w:t>本合同发生的有关争议应通过友好协商解决，经协商未能达成协议时，双方约定向</w:t>
      </w:r>
      <w:r>
        <w:rPr>
          <w:highlight w:val="none"/>
        </w:rPr>
        <w:t>合同签订地人民法院</w:t>
      </w:r>
      <w:r>
        <w:rPr>
          <w:rFonts w:hint="eastAsia"/>
          <w:highlight w:val="none"/>
        </w:rPr>
        <w:t>提起诉讼</w:t>
      </w:r>
      <w:r>
        <w:rPr>
          <w:rFonts w:hint="eastAsia" w:ascii="宋体" w:hAnsi="宋体"/>
          <w:szCs w:val="21"/>
          <w:highlight w:val="none"/>
        </w:rPr>
        <w:t>。</w:t>
      </w:r>
      <w:r>
        <w:rPr>
          <w:rFonts w:hint="eastAsia" w:ascii="宋体" w:hAnsi="宋体"/>
          <w:color w:val="C0C0C0"/>
          <w:szCs w:val="21"/>
          <w:highlight w:val="none"/>
          <w:u w:val="single"/>
        </w:rPr>
        <w:t>（</w:t>
      </w:r>
      <w:r>
        <w:rPr>
          <w:rFonts w:ascii="宋体" w:hAnsi="宋体"/>
          <w:color w:val="C0C0C0"/>
          <w:szCs w:val="21"/>
          <w:highlight w:val="none"/>
          <w:u w:val="single"/>
        </w:rPr>
        <w:t>非驻石分子</w:t>
      </w:r>
      <w:r>
        <w:rPr>
          <w:rFonts w:hint="eastAsia" w:ascii="宋体" w:hAnsi="宋体"/>
          <w:color w:val="C0C0C0"/>
          <w:szCs w:val="21"/>
          <w:highlight w:val="none"/>
          <w:u w:val="single"/>
        </w:rPr>
        <w:t>企业</w:t>
      </w:r>
      <w:r>
        <w:rPr>
          <w:rFonts w:ascii="宋体" w:hAnsi="宋体"/>
          <w:color w:val="C0C0C0"/>
          <w:szCs w:val="21"/>
          <w:highlight w:val="none"/>
          <w:u w:val="single"/>
        </w:rPr>
        <w:t>名义签署</w:t>
      </w:r>
      <w:r>
        <w:rPr>
          <w:rFonts w:hint="eastAsia" w:ascii="宋体" w:hAnsi="宋体"/>
          <w:color w:val="C0C0C0"/>
          <w:szCs w:val="21"/>
          <w:highlight w:val="none"/>
          <w:u w:val="single"/>
        </w:rPr>
        <w:t>，在专用条款处修改）同时需将合同封皮处合同签订地修改为石家庄市桥西区</w:t>
      </w:r>
    </w:p>
    <w:p>
      <w:pPr>
        <w:tabs>
          <w:tab w:val="left" w:pos="810"/>
        </w:tabs>
        <w:spacing w:line="400" w:lineRule="exact"/>
        <w:ind w:firstLine="422" w:firstLineChars="200"/>
        <w:jc w:val="left"/>
        <w:outlineLvl w:val="1"/>
        <w:rPr>
          <w:rFonts w:ascii="宋体" w:hAnsi="宋体"/>
          <w:b/>
          <w:szCs w:val="21"/>
          <w:highlight w:val="none"/>
        </w:rPr>
      </w:pPr>
      <w:bookmarkStart w:id="28" w:name="_Toc30936"/>
      <w:r>
        <w:rPr>
          <w:rFonts w:hint="eastAsia" w:ascii="宋体" w:hAnsi="宋体"/>
          <w:b/>
          <w:szCs w:val="21"/>
          <w:highlight w:val="none"/>
        </w:rPr>
        <w:t>1</w:t>
      </w:r>
      <w:r>
        <w:rPr>
          <w:rFonts w:ascii="宋体" w:hAnsi="宋体"/>
          <w:b/>
          <w:szCs w:val="21"/>
          <w:highlight w:val="none"/>
        </w:rPr>
        <w:t>2.</w:t>
      </w:r>
      <w:r>
        <w:rPr>
          <w:rFonts w:hint="eastAsia" w:ascii="宋体" w:hAnsi="宋体"/>
          <w:b/>
          <w:szCs w:val="21"/>
          <w:highlight w:val="none"/>
        </w:rPr>
        <w:t>不可抗力</w:t>
      </w:r>
      <w:bookmarkEnd w:id="28"/>
      <w:r>
        <w:rPr>
          <w:rFonts w:hint="eastAsia" w:ascii="宋体" w:hAnsi="宋体"/>
          <w:b/>
          <w:szCs w:val="21"/>
          <w:highlight w:val="none"/>
        </w:rPr>
        <w:t xml:space="preserve"> </w:t>
      </w:r>
    </w:p>
    <w:p>
      <w:pPr>
        <w:spacing w:line="400" w:lineRule="exact"/>
        <w:ind w:firstLine="420" w:firstLineChars="200"/>
        <w:rPr>
          <w:rFonts w:ascii="宋体" w:hAnsi="宋体"/>
          <w:szCs w:val="21"/>
          <w:highlight w:val="none"/>
        </w:rPr>
      </w:pPr>
      <w:r>
        <w:rPr>
          <w:rFonts w:hint="eastAsia" w:ascii="宋体" w:hAnsi="宋体"/>
          <w:szCs w:val="21"/>
          <w:highlight w:val="none"/>
        </w:rPr>
        <w:t>甲.乙双方的任何一方由于不可抗力的原因不能履行或不能完全履行合同时，应及时向对方通报不能履行或不能完全履行合同的理由，协商延期、变更或者解除合同；根据情况可部分或全部免予承担违约责任。</w:t>
      </w:r>
    </w:p>
    <w:p>
      <w:pPr>
        <w:spacing w:line="400" w:lineRule="exact"/>
        <w:ind w:firstLine="422" w:firstLineChars="200"/>
        <w:outlineLvl w:val="1"/>
        <w:rPr>
          <w:rFonts w:ascii="宋体" w:hAnsi="宋体"/>
          <w:b/>
          <w:szCs w:val="21"/>
          <w:highlight w:val="none"/>
        </w:rPr>
      </w:pPr>
      <w:bookmarkStart w:id="29" w:name="_Toc2982"/>
      <w:r>
        <w:rPr>
          <w:rFonts w:hint="eastAsia" w:ascii="宋体" w:hAnsi="宋体"/>
          <w:b/>
          <w:szCs w:val="21"/>
          <w:highlight w:val="none"/>
        </w:rPr>
        <w:t>1</w:t>
      </w:r>
      <w:r>
        <w:rPr>
          <w:rFonts w:ascii="宋体" w:hAnsi="宋体"/>
          <w:b/>
          <w:szCs w:val="21"/>
          <w:highlight w:val="none"/>
        </w:rPr>
        <w:t>3.</w:t>
      </w:r>
      <w:r>
        <w:rPr>
          <w:rFonts w:hint="eastAsia" w:ascii="宋体" w:hAnsi="宋体"/>
          <w:b/>
          <w:szCs w:val="21"/>
          <w:highlight w:val="none"/>
        </w:rPr>
        <w:t>其他约定事项</w:t>
      </w:r>
      <w:bookmarkEnd w:id="29"/>
    </w:p>
    <w:p>
      <w:pPr>
        <w:widowControl/>
        <w:spacing w:line="360" w:lineRule="exact"/>
        <w:ind w:firstLine="420" w:firstLineChars="200"/>
        <w:jc w:val="left"/>
        <w:rPr>
          <w:rFonts w:ascii="宋体" w:hAnsi="宋体"/>
          <w:szCs w:val="21"/>
          <w:highlight w:val="none"/>
        </w:rPr>
      </w:pPr>
      <w:r>
        <w:rPr>
          <w:rFonts w:ascii="宋体" w:hAnsi="宋体"/>
          <w:szCs w:val="21"/>
          <w:highlight w:val="none"/>
        </w:rPr>
        <w:t>13.1</w:t>
      </w:r>
      <w:r>
        <w:rPr>
          <w:rFonts w:hint="eastAsia" w:ascii="宋体" w:hAnsi="宋体"/>
          <w:szCs w:val="21"/>
          <w:highlight w:val="none"/>
        </w:rPr>
        <w:t>本合同未尽事宜，双方另行协商并签订补充协议。</w:t>
      </w:r>
      <w:r>
        <w:rPr>
          <w:rFonts w:hint="eastAsia" w:ascii="宋体" w:hAnsi="宋体"/>
          <w:color w:val="000000" w:themeColor="text1"/>
          <w:szCs w:val="21"/>
          <w:highlight w:val="none"/>
          <w14:textFill>
            <w14:solidFill>
              <w14:schemeClr w14:val="tx1"/>
            </w14:solidFill>
          </w14:textFill>
        </w:rPr>
        <w:t>当乙方所供</w:t>
      </w:r>
      <w:r>
        <w:rPr>
          <w:rFonts w:ascii="宋体" w:hAnsi="宋体"/>
          <w:color w:val="000000" w:themeColor="text1"/>
          <w:szCs w:val="21"/>
          <w:highlight w:val="none"/>
          <w14:textFill>
            <w14:solidFill>
              <w14:schemeClr w14:val="tx1"/>
            </w14:solidFill>
          </w14:textFill>
        </w:rPr>
        <w:t>物资</w:t>
      </w:r>
      <w:r>
        <w:rPr>
          <w:rFonts w:hint="eastAsia" w:ascii="宋体" w:hAnsi="宋体"/>
          <w:color w:val="000000" w:themeColor="text1"/>
          <w:szCs w:val="21"/>
          <w:highlight w:val="none"/>
          <w14:textFill>
            <w14:solidFill>
              <w14:schemeClr w14:val="tx1"/>
            </w14:solidFill>
          </w14:textFill>
        </w:rPr>
        <w:t>超出</w:t>
      </w:r>
      <w:r>
        <w:rPr>
          <w:rFonts w:hint="eastAsia"/>
          <w:lang w:val="en-US" w:eastAsia="zh-CN"/>
        </w:rPr>
        <w:t>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r>
        <w:rPr>
          <w:rFonts w:hint="eastAsia" w:ascii="宋体" w:hAnsi="宋体"/>
          <w:szCs w:val="21"/>
          <w:highlight w:val="none"/>
        </w:rPr>
        <w:t>补充协议作为本合同附件，与本合同具有同等法律效力。</w:t>
      </w:r>
    </w:p>
    <w:p>
      <w:pPr>
        <w:spacing w:line="400" w:lineRule="exact"/>
        <w:ind w:firstLine="420" w:firstLineChars="200"/>
        <w:rPr>
          <w:rFonts w:ascii="宋体" w:hAnsi="宋体"/>
          <w:szCs w:val="21"/>
          <w:highlight w:val="none"/>
        </w:rPr>
      </w:pPr>
      <w:r>
        <w:rPr>
          <w:rFonts w:ascii="宋体" w:hAnsi="宋体"/>
          <w:szCs w:val="21"/>
          <w:highlight w:val="none"/>
        </w:rPr>
        <w:t>13.2</w:t>
      </w:r>
      <w:r>
        <w:rPr>
          <w:rFonts w:hint="eastAsia" w:ascii="宋体" w:hAnsi="宋体"/>
          <w:szCs w:val="21"/>
          <w:highlight w:val="none"/>
        </w:rPr>
        <w:t>因工程建设单位、监理单位及相关部门出台的相关规定文件、市场准入制度造成合同不能执行，甲方不承担任何责任。</w:t>
      </w:r>
    </w:p>
    <w:p>
      <w:pPr>
        <w:spacing w:line="400" w:lineRule="exact"/>
        <w:ind w:firstLine="420" w:firstLineChars="200"/>
        <w:rPr>
          <w:rFonts w:hint="eastAsia"/>
        </w:rPr>
      </w:pPr>
      <w:r>
        <w:rPr>
          <w:rFonts w:ascii="宋体" w:hAnsi="宋体"/>
          <w:szCs w:val="21"/>
          <w:highlight w:val="none"/>
        </w:rPr>
        <w:t>13.3</w:t>
      </w:r>
      <w:r>
        <w:rPr>
          <w:rFonts w:hint="eastAsia" w:ascii="宋体" w:hAnsi="宋体"/>
          <w:color w:val="000000" w:themeColor="text1"/>
          <w:szCs w:val="21"/>
          <w:highlight w:val="none"/>
          <w14:textFill>
            <w14:solidFill>
              <w14:schemeClr w14:val="tx1"/>
            </w14:solidFill>
          </w14:textFill>
        </w:rPr>
        <w:t>本合同自双方签字盖章之日起生效。</w:t>
      </w:r>
    </w:p>
    <w:p>
      <w:pPr>
        <w:pStyle w:val="7"/>
        <w:numPr>
          <w:ilvl w:val="0"/>
          <w:numId w:val="2"/>
        </w:numPr>
        <w:ind w:left="421" w:leftChars="0" w:firstLine="0" w:firstLineChars="0"/>
        <w:rPr>
          <w:rFonts w:hint="eastAsia" w:ascii="宋体" w:hAnsi="宋体" w:eastAsia="宋体" w:cs="Times New Roman"/>
          <w:b/>
          <w:kern w:val="2"/>
          <w:sz w:val="21"/>
          <w:szCs w:val="21"/>
          <w:highlight w:val="none"/>
          <w:lang w:val="en-US" w:eastAsia="zh-CN" w:bidi="ar-SA"/>
        </w:rPr>
      </w:pPr>
      <w:r>
        <w:rPr>
          <w:rFonts w:hint="eastAsia" w:ascii="宋体" w:hAnsi="宋体" w:eastAsia="宋体" w:cs="Times New Roman"/>
          <w:b/>
          <w:kern w:val="2"/>
          <w:sz w:val="21"/>
          <w:szCs w:val="21"/>
          <w:highlight w:val="none"/>
          <w:lang w:val="en-US" w:eastAsia="zh-CN" w:bidi="ar-SA"/>
        </w:rPr>
        <w:t>保密义务</w:t>
      </w:r>
    </w:p>
    <w:p>
      <w:pPr>
        <w:pStyle w:val="3"/>
        <w:spacing w:line="400" w:lineRule="atLeast"/>
        <w:ind w:firstLine="420" w:firstLineChars="200"/>
        <w:jc w:val="both"/>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14.1</w:t>
      </w:r>
      <w:r>
        <w:rPr>
          <w:rFonts w:hint="eastAsia" w:ascii="Times New Roman" w:hAnsi="Times New Roman" w:cs="Times New Roman"/>
          <w:color w:val="auto"/>
          <w:kern w:val="2"/>
          <w:sz w:val="21"/>
          <w:szCs w:val="24"/>
          <w:lang w:val="en-US" w:eastAsia="zh-CN" w:bidi="ar-SA"/>
        </w:rPr>
        <w:t xml:space="preserve"> </w:t>
      </w:r>
      <w:r>
        <w:rPr>
          <w:rFonts w:hint="eastAsia" w:ascii="Times New Roman" w:hAnsi="Times New Roman" w:eastAsia="宋体" w:cs="Times New Roman"/>
          <w:color w:val="auto"/>
          <w:kern w:val="2"/>
          <w:sz w:val="21"/>
          <w:szCs w:val="24"/>
          <w:lang w:val="en-US" w:eastAsia="zh-CN" w:bidi="ar-SA"/>
        </w:rPr>
        <w:t>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pPr>
        <w:pStyle w:val="3"/>
        <w:spacing w:line="400" w:lineRule="atLeast"/>
        <w:ind w:firstLine="420" w:firstLineChars="200"/>
        <w:jc w:val="both"/>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14.2</w:t>
      </w:r>
      <w:r>
        <w:rPr>
          <w:rFonts w:hint="eastAsia" w:ascii="Times New Roman" w:hAnsi="Times New Roman" w:cs="Times New Roman"/>
          <w:color w:val="auto"/>
          <w:kern w:val="2"/>
          <w:sz w:val="21"/>
          <w:szCs w:val="24"/>
          <w:lang w:val="en-US" w:eastAsia="zh-CN" w:bidi="ar-SA"/>
        </w:rPr>
        <w:t xml:space="preserve"> </w:t>
      </w:r>
      <w:r>
        <w:rPr>
          <w:rFonts w:hint="eastAsia" w:ascii="Times New Roman" w:hAnsi="Times New Roman" w:eastAsia="宋体" w:cs="Times New Roman"/>
          <w:color w:val="auto"/>
          <w:kern w:val="2"/>
          <w:sz w:val="21"/>
          <w:szCs w:val="24"/>
          <w:lang w:val="en-US" w:eastAsia="zh-CN" w:bidi="ar-SA"/>
        </w:rPr>
        <w:t>除合同另有约定以外，本合同列明的所有资料始终为甲方财产，若甲方要求，乙方应于其合同义务履行完毕以后退还甲方相应资料（包括所有副本）。</w:t>
      </w:r>
    </w:p>
    <w:p>
      <w:pPr>
        <w:spacing w:line="360" w:lineRule="exact"/>
        <w:ind w:firstLine="411" w:firstLineChars="195"/>
        <w:jc w:val="left"/>
        <w:outlineLvl w:val="1"/>
        <w:rPr>
          <w:rFonts w:ascii="宋体" w:hAnsi="宋体"/>
          <w:b/>
          <w:szCs w:val="21"/>
          <w:highlight w:val="none"/>
        </w:rPr>
      </w:pPr>
      <w:bookmarkStart w:id="30" w:name="_Toc31470"/>
      <w:r>
        <w:rPr>
          <w:rFonts w:ascii="宋体" w:hAnsi="宋体"/>
          <w:b/>
          <w:szCs w:val="21"/>
          <w:highlight w:val="none"/>
        </w:rPr>
        <w:t>1</w:t>
      </w:r>
      <w:r>
        <w:rPr>
          <w:rFonts w:hint="eastAsia" w:ascii="宋体" w:hAnsi="宋体"/>
          <w:b/>
          <w:szCs w:val="21"/>
          <w:highlight w:val="none"/>
          <w:lang w:val="en-US" w:eastAsia="zh-CN"/>
        </w:rPr>
        <w:t>5</w:t>
      </w:r>
      <w:r>
        <w:rPr>
          <w:rFonts w:hint="eastAsia" w:ascii="宋体" w:hAnsi="宋体"/>
          <w:b/>
          <w:szCs w:val="21"/>
          <w:highlight w:val="none"/>
        </w:rPr>
        <w:t>.附件</w:t>
      </w:r>
      <w:bookmarkEnd w:id="30"/>
    </w:p>
    <w:p>
      <w:pPr>
        <w:pStyle w:val="6"/>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附件一</w:t>
      </w:r>
      <w:r>
        <w:rPr>
          <w:rFonts w:hint="eastAsia" w:ascii="宋体" w:hAnsi="宋体" w:cs="Times New Roman"/>
          <w:kern w:val="2"/>
          <w:sz w:val="21"/>
          <w:szCs w:val="21"/>
          <w:highlight w:val="none"/>
          <w:lang w:val="en-US" w:eastAsia="zh-CN" w:bidi="ar-SA"/>
        </w:rPr>
        <w:t xml:space="preserve">  </w:t>
      </w:r>
      <w:r>
        <w:rPr>
          <w:rFonts w:hint="eastAsia" w:ascii="宋体" w:hAnsi="宋体" w:eastAsia="宋体" w:cs="Times New Roman"/>
          <w:kern w:val="2"/>
          <w:sz w:val="21"/>
          <w:szCs w:val="21"/>
          <w:highlight w:val="none"/>
          <w:lang w:val="en-US" w:eastAsia="zh-CN" w:bidi="ar-SA"/>
        </w:rPr>
        <w:t>项目部合规权限告知书</w:t>
      </w:r>
    </w:p>
    <w:p>
      <w:pPr>
        <w:pStyle w:val="6"/>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附件二</w:t>
      </w:r>
      <w:r>
        <w:rPr>
          <w:rFonts w:hint="eastAsia" w:ascii="宋体" w:hAnsi="宋体" w:cs="Times New Roman"/>
          <w:kern w:val="2"/>
          <w:sz w:val="21"/>
          <w:szCs w:val="21"/>
          <w:highlight w:val="none"/>
          <w:lang w:val="en-US" w:eastAsia="zh-CN" w:bidi="ar-SA"/>
        </w:rPr>
        <w:t xml:space="preserve">  </w:t>
      </w:r>
      <w:r>
        <w:rPr>
          <w:rFonts w:hint="eastAsia" w:ascii="宋体" w:hAnsi="宋体" w:eastAsia="宋体" w:cs="Times New Roman"/>
          <w:kern w:val="2"/>
          <w:sz w:val="21"/>
          <w:szCs w:val="21"/>
          <w:highlight w:val="none"/>
          <w:lang w:val="en-US" w:eastAsia="zh-CN" w:bidi="ar-SA"/>
        </w:rPr>
        <w:t>分供廉政合同</w:t>
      </w:r>
    </w:p>
    <w:p>
      <w:pPr>
        <w:pStyle w:val="6"/>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附件三</w:t>
      </w:r>
      <w:r>
        <w:rPr>
          <w:rFonts w:hint="eastAsia" w:ascii="宋体" w:hAnsi="宋体" w:cs="Times New Roman"/>
          <w:kern w:val="2"/>
          <w:sz w:val="21"/>
          <w:szCs w:val="21"/>
          <w:highlight w:val="none"/>
          <w:lang w:val="en-US" w:eastAsia="zh-CN" w:bidi="ar-SA"/>
        </w:rPr>
        <w:t xml:space="preserve">  </w:t>
      </w:r>
      <w:r>
        <w:rPr>
          <w:rFonts w:hint="eastAsia" w:ascii="宋体" w:hAnsi="宋体" w:eastAsia="宋体" w:cs="Times New Roman"/>
          <w:kern w:val="2"/>
          <w:sz w:val="21"/>
          <w:szCs w:val="21"/>
          <w:highlight w:val="none"/>
          <w:lang w:val="en-US" w:eastAsia="zh-CN" w:bidi="ar-SA"/>
        </w:rPr>
        <w:t>授权委托书</w:t>
      </w:r>
    </w:p>
    <w:p>
      <w:pPr>
        <w:pStyle w:val="6"/>
        <w:ind w:firstLine="420" w:firstLineChars="200"/>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附件四</w:t>
      </w:r>
      <w:r>
        <w:rPr>
          <w:rFonts w:hint="eastAsia" w:ascii="宋体" w:hAnsi="宋体" w:cs="Times New Roman"/>
          <w:kern w:val="2"/>
          <w:sz w:val="21"/>
          <w:szCs w:val="21"/>
          <w:highlight w:val="none"/>
          <w:lang w:val="en-US" w:eastAsia="zh-CN" w:bidi="ar-SA"/>
        </w:rPr>
        <w:t xml:space="preserve">  </w:t>
      </w:r>
      <w:r>
        <w:rPr>
          <w:rFonts w:hint="eastAsia" w:ascii="宋体" w:hAnsi="宋体" w:eastAsia="宋体" w:cs="Times New Roman"/>
          <w:kern w:val="2"/>
          <w:sz w:val="21"/>
          <w:szCs w:val="21"/>
          <w:highlight w:val="none"/>
          <w:lang w:val="en-US" w:eastAsia="zh-CN" w:bidi="ar-SA"/>
        </w:rPr>
        <w:t>乙方资质</w:t>
      </w:r>
    </w:p>
    <w:p>
      <w:pPr>
        <w:spacing w:line="360" w:lineRule="exact"/>
        <w:jc w:val="both"/>
        <w:outlineLvl w:val="0"/>
        <w:rPr>
          <w:rFonts w:hint="eastAsia" w:ascii="宋体" w:hAnsi="宋体"/>
          <w:b/>
          <w:sz w:val="30"/>
          <w:szCs w:val="30"/>
          <w:highlight w:val="none"/>
        </w:rPr>
      </w:pPr>
      <w:bookmarkStart w:id="31" w:name="_Toc6832"/>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ascii="宋体" w:hAnsi="宋体"/>
          <w:b/>
          <w:sz w:val="30"/>
          <w:szCs w:val="30"/>
          <w:highlight w:val="none"/>
        </w:rPr>
      </w:pPr>
      <w:r>
        <w:rPr>
          <w:rFonts w:hint="eastAsia" w:ascii="宋体" w:hAnsi="宋体"/>
          <w:b/>
          <w:sz w:val="30"/>
          <w:szCs w:val="30"/>
          <w:highlight w:val="none"/>
        </w:rPr>
        <w:t>第三部分 专用合同条款</w:t>
      </w:r>
      <w:bookmarkEnd w:id="31"/>
    </w:p>
    <w:p>
      <w:pPr>
        <w:tabs>
          <w:tab w:val="left" w:pos="425"/>
        </w:tabs>
        <w:spacing w:line="400" w:lineRule="exact"/>
        <w:ind w:left="420"/>
        <w:jc w:val="left"/>
        <w:outlineLvl w:val="1"/>
        <w:rPr>
          <w:rFonts w:ascii="宋体" w:hAnsi="宋体"/>
          <w:b/>
          <w:szCs w:val="21"/>
          <w:highlight w:val="none"/>
        </w:rPr>
      </w:pPr>
      <w:bookmarkStart w:id="32" w:name="_Toc1161"/>
      <w:r>
        <w:rPr>
          <w:rFonts w:hint="eastAsia" w:ascii="宋体" w:hAnsi="宋体"/>
          <w:b/>
          <w:szCs w:val="21"/>
          <w:highlight w:val="none"/>
        </w:rPr>
        <w:t>1.适用法律法规</w:t>
      </w:r>
      <w:bookmarkEnd w:id="32"/>
    </w:p>
    <w:p>
      <w:pPr>
        <w:spacing w:line="360" w:lineRule="exact"/>
        <w:ind w:firstLine="420" w:firstLineChars="200"/>
        <w:rPr>
          <w:rFonts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20" w:firstLineChars="200"/>
        <w:rPr>
          <w:rFonts w:ascii="宋体" w:hAnsi="宋体"/>
          <w:szCs w:val="21"/>
          <w:highlight w:val="none"/>
        </w:rPr>
      </w:pPr>
      <w:r>
        <w:rPr>
          <w:rFonts w:hint="eastAsia" w:ascii="宋体" w:hAnsi="宋体"/>
          <w:szCs w:val="21"/>
          <w:highlight w:val="none"/>
        </w:rPr>
        <w:t>需要明示其他的法律、行政法规：</w:t>
      </w:r>
      <w:r>
        <w:rPr>
          <w:rFonts w:hint="eastAsia" w:ascii="宋体" w:hAnsi="宋体"/>
          <w:color w:val="C0C0C0"/>
          <w:szCs w:val="21"/>
          <w:highlight w:val="none"/>
          <w:u w:val="single"/>
        </w:rPr>
        <w:t xml:space="preserve">                             </w:t>
      </w:r>
    </w:p>
    <w:p>
      <w:pPr>
        <w:tabs>
          <w:tab w:val="left" w:pos="425"/>
        </w:tabs>
        <w:spacing w:line="400" w:lineRule="exact"/>
        <w:ind w:left="420" w:leftChars="200"/>
        <w:jc w:val="left"/>
        <w:outlineLvl w:val="1"/>
        <w:rPr>
          <w:rFonts w:ascii="宋体" w:hAnsi="宋体"/>
          <w:b/>
          <w:szCs w:val="21"/>
          <w:highlight w:val="none"/>
        </w:rPr>
      </w:pPr>
      <w:bookmarkStart w:id="33" w:name="_Toc30166"/>
      <w:r>
        <w:rPr>
          <w:rFonts w:hint="eastAsia" w:ascii="宋体" w:hAnsi="宋体"/>
          <w:b/>
          <w:szCs w:val="21"/>
          <w:highlight w:val="none"/>
        </w:rPr>
        <w:t>2.合同文件组成及解释顺序</w:t>
      </w:r>
      <w:bookmarkEnd w:id="33"/>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400" w:lineRule="exact"/>
        <w:ind w:firstLine="422" w:firstLineChars="200"/>
        <w:outlineLvl w:val="1"/>
        <w:rPr>
          <w:rFonts w:ascii="宋体" w:hAnsi="宋体"/>
          <w:b/>
          <w:szCs w:val="21"/>
          <w:highlight w:val="none"/>
        </w:rPr>
      </w:pPr>
      <w:bookmarkStart w:id="34" w:name="_Toc14033"/>
      <w:r>
        <w:rPr>
          <w:rFonts w:ascii="宋体" w:hAnsi="宋体"/>
          <w:b/>
          <w:szCs w:val="21"/>
          <w:highlight w:val="none"/>
        </w:rPr>
        <w:t>3.</w:t>
      </w:r>
      <w:r>
        <w:rPr>
          <w:rFonts w:hint="eastAsia" w:ascii="宋体" w:hAnsi="宋体"/>
          <w:b/>
          <w:szCs w:val="21"/>
          <w:highlight w:val="none"/>
        </w:rPr>
        <w:t>质量要求及技术标准</w:t>
      </w:r>
      <w:bookmarkEnd w:id="34"/>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szCs w:val="21"/>
          <w:highlight w:val="none"/>
        </w:rPr>
        <w:t>3</w:t>
      </w:r>
      <w:r>
        <w:rPr>
          <w:rFonts w:ascii="宋体" w:hAnsi="宋体"/>
          <w:szCs w:val="21"/>
          <w:highlight w:val="none"/>
        </w:rPr>
        <w:t>.1</w:t>
      </w: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400" w:lineRule="exact"/>
        <w:ind w:firstLine="420" w:firstLineChars="200"/>
        <w:rPr>
          <w:rFonts w:hint="eastAsia" w:ascii="宋体" w:hAnsi="宋体"/>
          <w:szCs w:val="21"/>
          <w:highlight w:val="none"/>
        </w:rPr>
      </w:pPr>
      <w:r>
        <w:rPr>
          <w:rFonts w:ascii="宋体" w:hAnsi="宋体"/>
          <w:szCs w:val="21"/>
          <w:highlight w:val="none"/>
        </w:rPr>
        <w:t>3.2</w:t>
      </w:r>
      <w:r>
        <w:rPr>
          <w:rFonts w:hint="eastAsia" w:ascii="宋体" w:hAnsi="宋体"/>
          <w:szCs w:val="21"/>
          <w:highlight w:val="none"/>
        </w:rPr>
        <w:t>物资质量要求及技术标准。</w:t>
      </w:r>
    </w:p>
    <w:p>
      <w:pPr>
        <w:spacing w:line="400" w:lineRule="exact"/>
        <w:ind w:firstLine="840" w:firstLineChars="400"/>
        <w:rPr>
          <w:rFonts w:ascii="宋体" w:hAnsi="宋体"/>
          <w:bCs/>
          <w:szCs w:val="21"/>
        </w:rPr>
      </w:pPr>
      <w:r>
        <w:rPr>
          <w:rFonts w:ascii="宋体" w:hAnsi="宋体"/>
          <w:bCs/>
          <w:szCs w:val="21"/>
        </w:rPr>
        <w:t>以下物资各项指标均必须满足甲方施工技术要求，且满足中华人民共和国国家、地方及行业最新颁布的相关标准及技术规范，如果规范、标准、要求适用于同一种情况，则以标准高着为准，参考标准如下：</w:t>
      </w:r>
    </w:p>
    <w:p>
      <w:pPr>
        <w:pStyle w:val="7"/>
        <w:snapToGrid w:val="0"/>
        <w:spacing w:line="400" w:lineRule="exact"/>
        <w:ind w:firstLine="420" w:firstLineChars="20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3.2.1</w:t>
      </w:r>
      <w:r>
        <w:rPr>
          <w:rFonts w:hint="eastAsia" w:asciiTheme="minorEastAsia" w:hAnsiTheme="minorEastAsia" w:eastAsiaTheme="minorEastAsia" w:cstheme="minorEastAsia"/>
        </w:rPr>
        <w:t>（1）砂必须满足以下标准及要求，且满足中华人民共和国国家、地方及行业最新颁布的相关标准及技术规范，如果规范、标准、要求适用于同一种情况，则以标准高者为准：</w:t>
      </w:r>
    </w:p>
    <w:p>
      <w:pPr>
        <w:pStyle w:val="7"/>
        <w:snapToGrid w:val="0"/>
        <w:spacing w:line="400" w:lineRule="exact"/>
        <w:ind w:firstLine="630" w:firstLineChars="30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《建设用砂》（GB/T 14684-2011）；</w:t>
      </w:r>
    </w:p>
    <w:p>
      <w:pPr>
        <w:pStyle w:val="7"/>
        <w:snapToGrid w:val="0"/>
        <w:spacing w:line="400" w:lineRule="exact"/>
        <w:ind w:firstLine="630" w:firstLineChars="30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《城市道路工程施工及质量验收规范》（CJJ1-2008）；</w:t>
      </w:r>
    </w:p>
    <w:p>
      <w:pPr>
        <w:pStyle w:val="7"/>
        <w:snapToGrid w:val="0"/>
        <w:spacing w:line="400" w:lineRule="exact"/>
        <w:ind w:firstLine="630" w:firstLineChars="30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《给排水管道工程施工及验收规范》（GB50268-2008）</w:t>
      </w:r>
    </w:p>
    <w:p>
      <w:pPr>
        <w:pStyle w:val="7"/>
        <w:snapToGrid w:val="0"/>
        <w:spacing w:line="400" w:lineRule="exact"/>
        <w:ind w:firstLine="420" w:firstLineChars="20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（2）符合施工图纸、技术规范及监理、业主下发的相关文件要求。</w:t>
      </w:r>
    </w:p>
    <w:p>
      <w:pPr>
        <w:pStyle w:val="7"/>
        <w:snapToGrid w:val="0"/>
        <w:spacing w:line="400" w:lineRule="exact"/>
        <w:ind w:firstLine="420" w:firstLineChars="20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rPr>
        <w:t>3.2.2碎石的</w:t>
      </w:r>
      <w:r>
        <w:rPr>
          <w:rFonts w:hint="eastAsia" w:asciiTheme="minorEastAsia" w:hAnsiTheme="minorEastAsia" w:eastAsiaTheme="minorEastAsia" w:cstheme="minorEastAsia"/>
        </w:rPr>
        <w:t>质量要求及技术标准：</w:t>
      </w:r>
    </w:p>
    <w:p>
      <w:pPr>
        <w:pStyle w:val="7"/>
        <w:snapToGrid w:val="0"/>
        <w:spacing w:line="400" w:lineRule="exact"/>
        <w:ind w:firstLine="840" w:firstLineChars="40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碎石必须满足以下标准及要求，且满足中华人民共和国国家、地方及行业最新颁布的相关标准及技术规范，如果规范、标准、要求适用于同一种情况，则以标准高者为准：</w:t>
      </w:r>
    </w:p>
    <w:p>
      <w:pPr>
        <w:pStyle w:val="7"/>
        <w:snapToGrid w:val="0"/>
        <w:spacing w:line="400" w:lineRule="exact"/>
        <w:ind w:firstLine="420" w:firstLineChars="20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《建设用碎石、卵石》（GB/T 14685-2011）；</w:t>
      </w:r>
    </w:p>
    <w:p>
      <w:pPr>
        <w:pStyle w:val="7"/>
        <w:snapToGrid w:val="0"/>
        <w:spacing w:line="400" w:lineRule="exact"/>
        <w:ind w:firstLine="420" w:firstLineChars="20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《城市道路工程施工及质量验收规范》（CJJ1-2008）；</w:t>
      </w:r>
    </w:p>
    <w:p>
      <w:pPr>
        <w:pStyle w:val="7"/>
        <w:snapToGrid w:val="0"/>
        <w:spacing w:line="400" w:lineRule="exact"/>
        <w:ind w:firstLine="420" w:firstLineChars="20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《给排水管道工程施工及验收规范》（GB50268-2008）</w:t>
      </w:r>
    </w:p>
    <w:p>
      <w:pPr>
        <w:pStyle w:val="7"/>
        <w:snapToGrid w:val="0"/>
        <w:spacing w:line="400" w:lineRule="exact"/>
        <w:ind w:firstLine="840" w:firstLineChars="40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施工图纸、技术规范、及业主、监理下发的相关文件要求。</w:t>
      </w:r>
    </w:p>
    <w:p>
      <w:pPr>
        <w:spacing w:line="400" w:lineRule="exact"/>
        <w:ind w:firstLine="420" w:firstLineChars="200"/>
        <w:rPr>
          <w:rFonts w:ascii="宋体" w:hAnsi="宋体"/>
          <w:b w:val="0"/>
          <w:bCs/>
          <w:szCs w:val="21"/>
        </w:rPr>
      </w:pPr>
      <w:r>
        <w:rPr>
          <w:rFonts w:hint="eastAsia" w:ascii="宋体" w:hAnsi="宋体"/>
          <w:b w:val="0"/>
          <w:bCs/>
          <w:szCs w:val="21"/>
          <w:lang w:val="en-US" w:eastAsia="zh-CN"/>
        </w:rPr>
        <w:t>3.3</w:t>
      </w:r>
      <w:r>
        <w:rPr>
          <w:rFonts w:ascii="宋体" w:hAnsi="宋体"/>
          <w:b w:val="0"/>
          <w:bCs/>
          <w:szCs w:val="21"/>
        </w:rPr>
        <w:t>乙方供应材料的质量必须完全符合国家有关技术标准、规范的要求、达到乙方提供的材料资料所述性能，并满足甲方制定的有关技术方案、措施的要求。不合格物资无条件更换、退货，乙方承担所有费用。</w:t>
      </w:r>
    </w:p>
    <w:p>
      <w:pPr>
        <w:spacing w:line="400" w:lineRule="exact"/>
        <w:ind w:firstLine="420" w:firstLineChars="200"/>
        <w:rPr>
          <w:rFonts w:ascii="宋体" w:hAnsi="宋体"/>
          <w:b w:val="0"/>
          <w:bCs/>
          <w:szCs w:val="21"/>
        </w:rPr>
      </w:pPr>
      <w:r>
        <w:rPr>
          <w:rFonts w:hint="eastAsia" w:ascii="宋体" w:hAnsi="宋体"/>
          <w:b w:val="0"/>
          <w:bCs/>
          <w:szCs w:val="21"/>
          <w:lang w:val="en-US" w:eastAsia="zh-CN"/>
        </w:rPr>
        <w:t>3.4</w:t>
      </w:r>
      <w:r>
        <w:rPr>
          <w:rFonts w:ascii="宋体" w:hAnsi="宋体"/>
          <w:b w:val="0"/>
          <w:bCs/>
          <w:szCs w:val="21"/>
        </w:rPr>
        <w:t>乙方所供材料必须具备材质证明、出厂合格证，各种证件以及技术性能合格后方可供货。</w:t>
      </w:r>
    </w:p>
    <w:p>
      <w:pPr>
        <w:spacing w:line="400" w:lineRule="exact"/>
        <w:ind w:firstLine="420" w:firstLineChars="200"/>
        <w:rPr>
          <w:rFonts w:ascii="宋体" w:hAnsi="宋体"/>
          <w:bCs/>
          <w:szCs w:val="21"/>
        </w:rPr>
      </w:pPr>
      <w:r>
        <w:rPr>
          <w:rFonts w:ascii="宋体" w:hAnsi="宋体"/>
          <w:b w:val="0"/>
          <w:bCs/>
          <w:szCs w:val="21"/>
          <w:lang w:val="en-US" w:eastAsia="en-US"/>
        </w:rPr>
        <w:t>3.</w:t>
      </w:r>
      <w:r>
        <w:rPr>
          <w:rFonts w:hint="eastAsia" w:ascii="宋体" w:hAnsi="宋体"/>
          <w:b w:val="0"/>
          <w:bCs/>
          <w:szCs w:val="21"/>
          <w:lang w:val="en-US" w:eastAsia="zh-CN"/>
        </w:rPr>
        <w:t>5</w:t>
      </w:r>
      <w:r>
        <w:rPr>
          <w:rFonts w:ascii="宋体" w:hAnsi="宋体"/>
          <w:b w:val="0"/>
          <w:bCs/>
          <w:szCs w:val="21"/>
        </w:rPr>
        <w:t>乙方须担保此等材料在工程所在地任何工作情况或环境下其质量、性能均令甲方满意。乙方必须承担以劣充优，遗留及掩盖隐患所造成的经济损失和法律责任。</w:t>
      </w:r>
      <w:bookmarkStart w:id="35" w:name="bookmark116"/>
      <w:bookmarkEnd w:id="35"/>
      <w:bookmarkStart w:id="36" w:name="bookmark115"/>
      <w:bookmarkEnd w:id="36"/>
    </w:p>
    <w:p>
      <w:pPr>
        <w:pStyle w:val="7"/>
        <w:snapToGrid w:val="0"/>
        <w:spacing w:line="400" w:lineRule="exact"/>
        <w:ind w:firstLine="630" w:firstLineChars="300"/>
        <w:jc w:val="left"/>
        <w:outlineLvl w:val="2"/>
        <w:rPr>
          <w:rFonts w:hint="eastAsia" w:hAnsi="宋体"/>
          <w:lang w:val="en-US" w:eastAsia="zh-CN"/>
        </w:rPr>
      </w:pPr>
      <w:r>
        <w:rPr>
          <w:rFonts w:hint="eastAsia" w:asciiTheme="minorEastAsia" w:hAnsiTheme="minorEastAsia" w:eastAsiaTheme="minorEastAsia" w:cstheme="minorEastAsia"/>
          <w:lang w:val="en-US" w:eastAsia="zh-CN"/>
        </w:rPr>
        <w:t xml:space="preserve"> </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szCs w:val="21"/>
          <w:highlight w:val="none"/>
        </w:rPr>
        <w:t>3.</w:t>
      </w:r>
      <w:r>
        <w:rPr>
          <w:rFonts w:hint="eastAsia" w:ascii="宋体" w:hAnsi="宋体"/>
          <w:szCs w:val="21"/>
          <w:highlight w:val="none"/>
          <w:lang w:val="en-US" w:eastAsia="zh-CN"/>
        </w:rPr>
        <w:t>6</w:t>
      </w:r>
      <w:r>
        <w:rPr>
          <w:rFonts w:hint="eastAsia" w:ascii="宋体" w:hAnsi="宋体"/>
          <w:color w:val="000000" w:themeColor="text1"/>
          <w:szCs w:val="21"/>
          <w:highlight w:val="none"/>
          <w14:textFill>
            <w14:solidFill>
              <w14:schemeClr w14:val="tx1"/>
            </w14:solidFill>
          </w14:textFill>
        </w:rPr>
        <w:t>其他说明</w:t>
      </w:r>
      <w:r>
        <w:rPr>
          <w:rFonts w:hint="eastAsia" w:ascii="宋体" w:hAnsi="宋体"/>
          <w:color w:val="C0C0C0"/>
          <w:szCs w:val="21"/>
          <w:highlight w:val="none"/>
          <w:u w:val="single"/>
        </w:rPr>
        <w:t>（如果有）</w:t>
      </w:r>
    </w:p>
    <w:p>
      <w:pPr>
        <w:spacing w:line="400" w:lineRule="exact"/>
        <w:ind w:firstLine="422" w:firstLineChars="200"/>
        <w:outlineLvl w:val="1"/>
        <w:rPr>
          <w:rFonts w:ascii="宋体" w:hAnsi="宋体"/>
          <w:b/>
          <w:szCs w:val="21"/>
          <w:highlight w:val="none"/>
        </w:rPr>
      </w:pPr>
      <w:bookmarkStart w:id="37" w:name="_Toc4329"/>
      <w:r>
        <w:rPr>
          <w:rFonts w:ascii="宋体" w:hAnsi="宋体"/>
          <w:b/>
          <w:szCs w:val="21"/>
          <w:highlight w:val="none"/>
        </w:rPr>
        <w:t>4.</w:t>
      </w:r>
      <w:r>
        <w:rPr>
          <w:rFonts w:hint="eastAsia" w:ascii="宋体" w:hAnsi="宋体"/>
          <w:b/>
          <w:szCs w:val="21"/>
          <w:highlight w:val="none"/>
        </w:rPr>
        <w:t>物资计量验收方式</w:t>
      </w:r>
      <w:bookmarkEnd w:id="37"/>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szCs w:val="21"/>
          <w:highlight w:val="none"/>
        </w:rPr>
        <w:t>4.1</w:t>
      </w: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4.2</w:t>
      </w:r>
      <w:r>
        <w:rPr>
          <w:rFonts w:hint="eastAsia" w:ascii="宋体" w:hAnsi="宋体"/>
          <w:color w:val="000000" w:themeColor="text1"/>
          <w:szCs w:val="21"/>
          <w:highlight w:val="none"/>
          <w14:textFill>
            <w14:solidFill>
              <w14:schemeClr w14:val="tx1"/>
            </w14:solidFill>
          </w14:textFill>
        </w:rPr>
        <w:t>物资验收方式。</w:t>
      </w:r>
    </w:p>
    <w:p>
      <w:pPr>
        <w:spacing w:line="400" w:lineRule="exact"/>
        <w:ind w:firstLine="420" w:firstLineChars="200"/>
        <w:rPr>
          <w:rFonts w:ascii="宋体" w:hAnsi="宋体"/>
          <w:bCs/>
          <w:szCs w:val="21"/>
        </w:rPr>
      </w:pPr>
      <w:r>
        <w:rPr>
          <w:rFonts w:ascii="宋体" w:hAnsi="宋体"/>
          <w:bCs/>
          <w:szCs w:val="21"/>
        </w:rPr>
        <w:t>4.2.1计量方式：过磅计量。结算数量以验收合格后甲方书面确认的过磅计重数量为准，实际供货数量有效凭证须现场指定验收人员签字。允许磅差千分之</w:t>
      </w:r>
      <w:r>
        <w:rPr>
          <w:rFonts w:hint="eastAsia" w:ascii="宋体" w:hAnsi="宋体"/>
          <w:bCs/>
          <w:szCs w:val="21"/>
        </w:rPr>
        <w:t>叁</w:t>
      </w:r>
      <w:r>
        <w:rPr>
          <w:rFonts w:ascii="宋体" w:hAnsi="宋体"/>
          <w:bCs/>
          <w:szCs w:val="21"/>
        </w:rPr>
        <w:t>，超过时由乙方承担。</w:t>
      </w:r>
    </w:p>
    <w:p>
      <w:pPr>
        <w:spacing w:line="400" w:lineRule="exact"/>
        <w:ind w:firstLine="630" w:firstLineChars="300"/>
        <w:rPr>
          <w:rFonts w:ascii="宋体" w:hAnsi="宋体"/>
          <w:bCs/>
          <w:szCs w:val="21"/>
        </w:rPr>
      </w:pPr>
      <w:bookmarkStart w:id="38" w:name="bookmark121"/>
      <w:bookmarkEnd w:id="38"/>
      <w:r>
        <w:rPr>
          <w:rFonts w:ascii="宋体" w:hAnsi="宋体"/>
          <w:bCs/>
          <w:szCs w:val="21"/>
        </w:rPr>
        <w:t>2.2材料进场时，按合同约定技术标准及质量要求进行验收。乙方提供材料必须符合本合同技术标准及质量要求，如不符合，乙方应无条件立即更换符合本合同要求的材料给甲方，本合同材料交货日期不变。</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szCs w:val="21"/>
          <w:highlight w:val="none"/>
        </w:rPr>
        <w:t>4</w:t>
      </w:r>
      <w:r>
        <w:rPr>
          <w:rFonts w:hint="eastAsia" w:ascii="宋体" w:hAnsi="宋体"/>
          <w:szCs w:val="21"/>
          <w:highlight w:val="none"/>
        </w:rPr>
        <w:t>.</w:t>
      </w:r>
      <w:r>
        <w:rPr>
          <w:rFonts w:ascii="宋体" w:hAnsi="宋体"/>
          <w:szCs w:val="21"/>
          <w:highlight w:val="none"/>
        </w:rPr>
        <w:t>3</w:t>
      </w:r>
      <w:r>
        <w:rPr>
          <w:rFonts w:hint="eastAsia" w:ascii="宋体" w:hAnsi="宋体"/>
          <w:color w:val="000000" w:themeColor="text1"/>
          <w:szCs w:val="21"/>
          <w:highlight w:val="none"/>
          <w14:textFill>
            <w14:solidFill>
              <w14:schemeClr w14:val="tx1"/>
            </w14:solidFill>
          </w14:textFill>
        </w:rPr>
        <w:t>其他说明</w:t>
      </w:r>
    </w:p>
    <w:p>
      <w:pPr>
        <w:spacing w:line="400" w:lineRule="exact"/>
        <w:ind w:firstLine="420" w:firstLineChars="200"/>
        <w:rPr>
          <w:rFonts w:ascii="宋体" w:hAnsi="宋体"/>
          <w:bCs/>
          <w:szCs w:val="21"/>
        </w:rPr>
      </w:pPr>
      <w:r>
        <w:rPr>
          <w:rFonts w:ascii="宋体" w:hAnsi="宋体"/>
          <w:bCs/>
          <w:szCs w:val="21"/>
        </w:rPr>
        <w:t xml:space="preserve">4. 3. </w:t>
      </w:r>
      <w:r>
        <w:rPr>
          <w:rFonts w:ascii="宋体" w:hAnsi="宋体"/>
          <w:bCs/>
          <w:szCs w:val="21"/>
          <w:lang w:val="zh-CN"/>
        </w:rPr>
        <w:t>1</w:t>
      </w:r>
      <w:r>
        <w:rPr>
          <w:rFonts w:ascii="宋体" w:hAnsi="宋体"/>
          <w:bCs/>
          <w:szCs w:val="21"/>
        </w:rPr>
        <w:t>甲方有权对到货的产品进行各种检验，乙方必须配合；如检验不合格的检验费 用由乙方承担。</w:t>
      </w:r>
    </w:p>
    <w:p>
      <w:pPr>
        <w:spacing w:line="400" w:lineRule="exact"/>
        <w:ind w:firstLine="420" w:firstLineChars="200"/>
        <w:rPr>
          <w:rFonts w:ascii="宋体" w:hAnsi="宋体"/>
          <w:bCs/>
          <w:szCs w:val="21"/>
        </w:rPr>
      </w:pPr>
      <w:r>
        <w:rPr>
          <w:rFonts w:ascii="宋体" w:hAnsi="宋体"/>
          <w:bCs/>
          <w:szCs w:val="21"/>
        </w:rPr>
        <w:t>4. 3. 2乙方应在产品进场至少24小时前通知甲方。</w:t>
      </w:r>
    </w:p>
    <w:p>
      <w:pPr>
        <w:spacing w:line="400" w:lineRule="exact"/>
        <w:ind w:firstLine="420" w:firstLineChars="200"/>
        <w:rPr>
          <w:rFonts w:ascii="宋体" w:hAnsi="宋体"/>
          <w:bCs/>
          <w:szCs w:val="21"/>
        </w:rPr>
      </w:pPr>
      <w:r>
        <w:rPr>
          <w:rFonts w:ascii="宋体" w:hAnsi="宋体"/>
          <w:bCs/>
          <w:szCs w:val="21"/>
        </w:rPr>
        <w:t>4. 3.3产品的种类、规格、质量与甲方要求不符，甲方拒绝接收。由乙方在24小时内自费运岀储存地点，并重新供货，保证工程施工的需要。</w:t>
      </w:r>
    </w:p>
    <w:p>
      <w:pPr>
        <w:spacing w:line="400" w:lineRule="exact"/>
        <w:ind w:firstLine="420" w:firstLineChars="200"/>
        <w:rPr>
          <w:rFonts w:ascii="宋体" w:hAnsi="宋体"/>
          <w:bCs/>
          <w:szCs w:val="21"/>
        </w:rPr>
      </w:pPr>
      <w:r>
        <w:rPr>
          <w:rFonts w:ascii="宋体" w:hAnsi="宋体"/>
          <w:bCs/>
          <w:szCs w:val="21"/>
        </w:rPr>
        <w:t>4.3.4供应时间晚于甲方规定日期，乙方应承担因此造成甲方延误工期的损失。</w:t>
      </w:r>
    </w:p>
    <w:p>
      <w:pPr>
        <w:spacing w:line="400" w:lineRule="exact"/>
        <w:ind w:firstLine="420" w:firstLineChars="200"/>
        <w:rPr>
          <w:rFonts w:ascii="宋体" w:hAnsi="宋体"/>
          <w:bCs/>
          <w:szCs w:val="21"/>
        </w:rPr>
      </w:pPr>
      <w:r>
        <w:rPr>
          <w:rFonts w:ascii="宋体" w:hAnsi="宋体"/>
          <w:bCs/>
          <w:szCs w:val="21"/>
        </w:rPr>
        <w:t>4.3.5乙方应在产品进场至少24小时前通知甲方；</w:t>
      </w:r>
    </w:p>
    <w:p>
      <w:pPr>
        <w:spacing w:line="400" w:lineRule="exact"/>
        <w:ind w:firstLine="420" w:firstLineChars="200"/>
        <w:rPr>
          <w:rFonts w:ascii="宋体" w:hAnsi="宋体"/>
          <w:bCs/>
          <w:szCs w:val="21"/>
        </w:rPr>
      </w:pPr>
      <w:bookmarkStart w:id="39" w:name="bookmark122"/>
      <w:bookmarkEnd w:id="39"/>
      <w:r>
        <w:rPr>
          <w:rFonts w:hint="eastAsia" w:ascii="宋体" w:hAnsi="宋体"/>
          <w:bCs/>
          <w:szCs w:val="21"/>
          <w:lang w:val="en-US" w:eastAsia="zh-CN"/>
        </w:rPr>
        <w:t>4.</w:t>
      </w:r>
      <w:r>
        <w:rPr>
          <w:rFonts w:ascii="宋体" w:hAnsi="宋体"/>
          <w:bCs/>
          <w:szCs w:val="21"/>
        </w:rPr>
        <w:t>3.6经甲方验收不合格的产品，乙方负责退货，并承担由此造成的甲方损失；</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C0C0C0"/>
          <w:szCs w:val="21"/>
          <w:highlight w:val="none"/>
          <w:u w:val="single"/>
        </w:rPr>
        <w:t>（如果有）</w:t>
      </w:r>
    </w:p>
    <w:p>
      <w:pPr>
        <w:spacing w:line="400" w:lineRule="exact"/>
        <w:ind w:firstLine="422" w:firstLineChars="200"/>
        <w:outlineLvl w:val="1"/>
        <w:rPr>
          <w:rFonts w:ascii="宋体" w:hAnsi="宋体"/>
          <w:b/>
          <w:szCs w:val="21"/>
          <w:highlight w:val="none"/>
        </w:rPr>
      </w:pPr>
      <w:bookmarkStart w:id="40" w:name="_Toc22654"/>
      <w:r>
        <w:rPr>
          <w:rFonts w:ascii="宋体" w:hAnsi="宋体"/>
          <w:b/>
          <w:szCs w:val="21"/>
          <w:highlight w:val="none"/>
        </w:rPr>
        <w:t>5.</w:t>
      </w:r>
      <w:r>
        <w:rPr>
          <w:rFonts w:hint="eastAsia" w:ascii="宋体" w:hAnsi="宋体"/>
          <w:b/>
          <w:szCs w:val="21"/>
          <w:highlight w:val="none"/>
        </w:rPr>
        <w:t>包装、运输、卸货</w:t>
      </w:r>
      <w:bookmarkEnd w:id="40"/>
    </w:p>
    <w:p>
      <w:pPr>
        <w:spacing w:line="400" w:lineRule="exact"/>
        <w:ind w:firstLine="420" w:firstLineChars="200"/>
        <w:rPr>
          <w:rFonts w:ascii="宋体" w:hAnsi="宋体"/>
          <w:color w:val="C0C0C0"/>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tabs>
          <w:tab w:val="left" w:pos="765"/>
        </w:tabs>
        <w:spacing w:line="400" w:lineRule="exact"/>
        <w:ind w:firstLine="422" w:firstLineChars="200"/>
        <w:jc w:val="left"/>
        <w:outlineLvl w:val="1"/>
        <w:rPr>
          <w:rFonts w:ascii="宋体"/>
          <w:b/>
          <w:szCs w:val="21"/>
          <w:highlight w:val="none"/>
        </w:rPr>
      </w:pPr>
      <w:bookmarkStart w:id="41" w:name="_Toc14681"/>
      <w:r>
        <w:rPr>
          <w:rFonts w:ascii="宋体" w:hAnsi="宋体"/>
          <w:b/>
          <w:szCs w:val="21"/>
          <w:highlight w:val="none"/>
        </w:rPr>
        <w:t>6</w:t>
      </w:r>
      <w:r>
        <w:rPr>
          <w:rFonts w:hint="eastAsia" w:ascii="宋体" w:hAnsi="宋体"/>
          <w:b/>
          <w:szCs w:val="21"/>
          <w:highlight w:val="none"/>
        </w:rPr>
        <w:t>．环境﹑安全保护原则</w:t>
      </w:r>
      <w:bookmarkEnd w:id="41"/>
    </w:p>
    <w:p>
      <w:pPr>
        <w:spacing w:line="400" w:lineRule="exact"/>
        <w:ind w:firstLine="420" w:firstLineChars="200"/>
        <w:rPr>
          <w:rFonts w:ascii="宋体" w:hAnsi="宋体"/>
          <w:color w:val="C0C0C0"/>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400" w:lineRule="exact"/>
        <w:ind w:firstLine="422" w:firstLineChars="200"/>
        <w:outlineLvl w:val="1"/>
        <w:rPr>
          <w:rFonts w:ascii="宋体" w:hAnsi="宋体"/>
          <w:b/>
          <w:szCs w:val="21"/>
          <w:highlight w:val="none"/>
        </w:rPr>
      </w:pPr>
      <w:bookmarkStart w:id="42" w:name="_Toc1128"/>
      <w:r>
        <w:rPr>
          <w:rFonts w:ascii="宋体" w:hAnsi="宋体"/>
          <w:b/>
          <w:szCs w:val="21"/>
          <w:highlight w:val="none"/>
        </w:rPr>
        <w:t>7.</w:t>
      </w:r>
      <w:r>
        <w:rPr>
          <w:rFonts w:hint="eastAsia" w:ascii="宋体" w:hAnsi="宋体"/>
          <w:b/>
          <w:szCs w:val="21"/>
          <w:highlight w:val="none"/>
        </w:rPr>
        <w:t>甲方的责任和义务</w:t>
      </w:r>
      <w:bookmarkEnd w:id="42"/>
    </w:p>
    <w:p>
      <w:pPr>
        <w:spacing w:line="400" w:lineRule="exact"/>
        <w:ind w:firstLine="420" w:firstLineChars="200"/>
        <w:rPr>
          <w:rFonts w:ascii="宋体" w:hAnsi="宋体"/>
          <w:color w:val="C0C0C0"/>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tabs>
          <w:tab w:val="left" w:pos="765"/>
        </w:tabs>
        <w:spacing w:line="400" w:lineRule="exact"/>
        <w:ind w:firstLine="422" w:firstLineChars="200"/>
        <w:jc w:val="left"/>
        <w:outlineLvl w:val="1"/>
        <w:rPr>
          <w:rFonts w:ascii="宋体" w:hAnsi="宋体"/>
          <w:b/>
          <w:szCs w:val="21"/>
          <w:highlight w:val="none"/>
        </w:rPr>
      </w:pPr>
      <w:bookmarkStart w:id="43" w:name="_Toc23816"/>
      <w:r>
        <w:rPr>
          <w:rFonts w:ascii="宋体" w:hAnsi="宋体"/>
          <w:b/>
          <w:szCs w:val="21"/>
          <w:highlight w:val="none"/>
        </w:rPr>
        <w:t>8.</w:t>
      </w:r>
      <w:r>
        <w:rPr>
          <w:rFonts w:hint="eastAsia" w:ascii="宋体" w:hAnsi="宋体"/>
          <w:b/>
          <w:szCs w:val="21"/>
          <w:highlight w:val="none"/>
        </w:rPr>
        <w:t>乙方的责任和义务</w:t>
      </w:r>
      <w:bookmarkEnd w:id="43"/>
    </w:p>
    <w:p>
      <w:pPr>
        <w:spacing w:line="400" w:lineRule="exact"/>
        <w:ind w:firstLine="420" w:firstLineChars="200"/>
        <w:rPr>
          <w:rFonts w:ascii="宋体" w:hAnsi="宋体"/>
          <w:color w:val="C0C0C0"/>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400" w:lineRule="exact"/>
        <w:ind w:firstLine="422" w:firstLineChars="200"/>
        <w:outlineLvl w:val="1"/>
        <w:rPr>
          <w:rFonts w:ascii="宋体" w:hAnsi="宋体"/>
          <w:b/>
          <w:szCs w:val="21"/>
          <w:highlight w:val="none"/>
        </w:rPr>
      </w:pPr>
      <w:bookmarkStart w:id="44" w:name="_Toc23985"/>
      <w:r>
        <w:rPr>
          <w:rFonts w:ascii="宋体" w:hAnsi="宋体"/>
          <w:b/>
          <w:szCs w:val="21"/>
          <w:highlight w:val="none"/>
        </w:rPr>
        <w:t>9.</w:t>
      </w:r>
      <w:r>
        <w:rPr>
          <w:rFonts w:hint="eastAsia" w:ascii="宋体" w:hAnsi="宋体"/>
          <w:b/>
          <w:szCs w:val="21"/>
          <w:highlight w:val="none"/>
        </w:rPr>
        <w:t>违约责任</w:t>
      </w:r>
      <w:bookmarkEnd w:id="44"/>
    </w:p>
    <w:p>
      <w:pPr>
        <w:spacing w:line="400" w:lineRule="exact"/>
        <w:ind w:firstLine="420" w:firstLineChars="200"/>
        <w:rPr>
          <w:rFonts w:ascii="宋体" w:hAnsi="宋体"/>
          <w:color w:val="C0C0C0"/>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400" w:lineRule="exact"/>
        <w:ind w:firstLine="422" w:firstLineChars="200"/>
        <w:jc w:val="left"/>
        <w:outlineLvl w:val="1"/>
        <w:rPr>
          <w:rFonts w:ascii="宋体" w:hAnsi="宋体"/>
          <w:b/>
          <w:szCs w:val="21"/>
          <w:highlight w:val="none"/>
        </w:rPr>
      </w:pPr>
      <w:bookmarkStart w:id="45" w:name="_Toc21579"/>
      <w:r>
        <w:rPr>
          <w:rFonts w:hint="eastAsia" w:ascii="宋体" w:hAnsi="宋体"/>
          <w:b/>
          <w:szCs w:val="21"/>
          <w:highlight w:val="none"/>
        </w:rPr>
        <w:t>1</w:t>
      </w:r>
      <w:r>
        <w:rPr>
          <w:rFonts w:ascii="宋体" w:hAnsi="宋体"/>
          <w:b/>
          <w:szCs w:val="21"/>
          <w:highlight w:val="none"/>
        </w:rPr>
        <w:t>0.</w:t>
      </w:r>
      <w:r>
        <w:rPr>
          <w:rFonts w:hint="eastAsia" w:ascii="宋体" w:hAnsi="宋体"/>
          <w:b/>
          <w:szCs w:val="21"/>
          <w:highlight w:val="none"/>
        </w:rPr>
        <w:t>通知</w:t>
      </w:r>
      <w:bookmarkEnd w:id="45"/>
    </w:p>
    <w:p>
      <w:pPr>
        <w:spacing w:line="400" w:lineRule="exact"/>
        <w:ind w:firstLine="420" w:firstLineChars="200"/>
        <w:rPr>
          <w:rFonts w:ascii="宋体" w:hAnsi="宋体"/>
          <w:color w:val="C0C0C0"/>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400" w:lineRule="exact"/>
        <w:ind w:firstLine="422" w:firstLineChars="200"/>
        <w:jc w:val="left"/>
        <w:outlineLvl w:val="1"/>
        <w:rPr>
          <w:rFonts w:ascii="宋体" w:hAnsi="宋体"/>
          <w:b/>
          <w:szCs w:val="21"/>
          <w:highlight w:val="none"/>
        </w:rPr>
      </w:pPr>
      <w:bookmarkStart w:id="46" w:name="_Toc32296"/>
      <w:r>
        <w:rPr>
          <w:rFonts w:hint="eastAsia" w:ascii="宋体" w:hAnsi="宋体"/>
          <w:b/>
          <w:szCs w:val="21"/>
          <w:highlight w:val="none"/>
        </w:rPr>
        <w:t>1</w:t>
      </w:r>
      <w:r>
        <w:rPr>
          <w:rFonts w:ascii="宋体" w:hAnsi="宋体"/>
          <w:b/>
          <w:szCs w:val="21"/>
          <w:highlight w:val="none"/>
        </w:rPr>
        <w:t>1.</w:t>
      </w:r>
      <w:r>
        <w:rPr>
          <w:rFonts w:hint="eastAsia" w:ascii="宋体" w:hAnsi="宋体"/>
          <w:b/>
          <w:szCs w:val="21"/>
          <w:highlight w:val="none"/>
        </w:rPr>
        <w:t>争议的处理</w:t>
      </w:r>
      <w:bookmarkEnd w:id="46"/>
    </w:p>
    <w:p>
      <w:pPr>
        <w:spacing w:line="400" w:lineRule="exact"/>
        <w:ind w:firstLine="420" w:firstLineChars="200"/>
        <w:rPr>
          <w:rFonts w:ascii="宋体" w:hAnsi="宋体"/>
          <w:color w:val="C0C0C0"/>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tabs>
          <w:tab w:val="left" w:pos="810"/>
        </w:tabs>
        <w:spacing w:line="400" w:lineRule="exact"/>
        <w:ind w:firstLine="422" w:firstLineChars="200"/>
        <w:jc w:val="left"/>
        <w:outlineLvl w:val="1"/>
        <w:rPr>
          <w:rFonts w:ascii="宋体" w:hAnsi="宋体"/>
          <w:b/>
          <w:szCs w:val="21"/>
          <w:highlight w:val="none"/>
        </w:rPr>
      </w:pPr>
      <w:bookmarkStart w:id="47" w:name="_Toc12611"/>
      <w:r>
        <w:rPr>
          <w:rFonts w:hint="eastAsia" w:ascii="宋体" w:hAnsi="宋体"/>
          <w:b/>
          <w:szCs w:val="21"/>
          <w:highlight w:val="none"/>
        </w:rPr>
        <w:t>1</w:t>
      </w:r>
      <w:r>
        <w:rPr>
          <w:rFonts w:ascii="宋体" w:hAnsi="宋体"/>
          <w:b/>
          <w:szCs w:val="21"/>
          <w:highlight w:val="none"/>
        </w:rPr>
        <w:t>2.</w:t>
      </w:r>
      <w:r>
        <w:rPr>
          <w:rFonts w:hint="eastAsia" w:ascii="宋体" w:hAnsi="宋体"/>
          <w:b/>
          <w:szCs w:val="21"/>
          <w:highlight w:val="none"/>
        </w:rPr>
        <w:t>不可抗力</w:t>
      </w:r>
      <w:bookmarkEnd w:id="47"/>
      <w:r>
        <w:rPr>
          <w:rFonts w:hint="eastAsia" w:ascii="宋体" w:hAnsi="宋体"/>
          <w:b/>
          <w:szCs w:val="21"/>
          <w:highlight w:val="none"/>
        </w:rPr>
        <w:t xml:space="preserve"> </w:t>
      </w:r>
    </w:p>
    <w:p>
      <w:pPr>
        <w:spacing w:line="400" w:lineRule="exact"/>
        <w:ind w:firstLine="420" w:firstLineChars="200"/>
        <w:rPr>
          <w:rFonts w:ascii="宋体" w:hAnsi="宋体"/>
          <w:color w:val="C0C0C0"/>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400" w:lineRule="exact"/>
        <w:ind w:firstLine="422" w:firstLineChars="200"/>
        <w:outlineLvl w:val="1"/>
        <w:rPr>
          <w:rFonts w:ascii="宋体" w:hAnsi="宋体"/>
          <w:b/>
          <w:szCs w:val="21"/>
          <w:highlight w:val="none"/>
        </w:rPr>
      </w:pPr>
      <w:bookmarkStart w:id="48" w:name="_Toc14544"/>
      <w:r>
        <w:rPr>
          <w:rFonts w:hint="eastAsia" w:ascii="宋体" w:hAnsi="宋体"/>
          <w:b/>
          <w:szCs w:val="21"/>
          <w:highlight w:val="none"/>
        </w:rPr>
        <w:t>1</w:t>
      </w:r>
      <w:r>
        <w:rPr>
          <w:rFonts w:ascii="宋体" w:hAnsi="宋体"/>
          <w:b/>
          <w:szCs w:val="21"/>
          <w:highlight w:val="none"/>
        </w:rPr>
        <w:t>3.</w:t>
      </w:r>
      <w:r>
        <w:rPr>
          <w:rFonts w:hint="eastAsia" w:ascii="宋体" w:hAnsi="宋体"/>
          <w:b/>
          <w:szCs w:val="21"/>
          <w:highlight w:val="none"/>
        </w:rPr>
        <w:t>其他约定事项</w:t>
      </w:r>
      <w:bookmarkEnd w:id="48"/>
    </w:p>
    <w:p>
      <w:pPr>
        <w:spacing w:line="400" w:lineRule="exact"/>
        <w:ind w:firstLine="420" w:firstLineChars="200"/>
        <w:rPr>
          <w:rFonts w:ascii="宋体" w:hAnsi="宋体"/>
          <w:color w:val="C0C0C0"/>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numPr>
          <w:ilvl w:val="0"/>
          <w:numId w:val="0"/>
        </w:numPr>
        <w:spacing w:line="360" w:lineRule="exact"/>
        <w:ind w:firstLine="422" w:firstLineChars="200"/>
        <w:jc w:val="left"/>
        <w:outlineLvl w:val="1"/>
        <w:rPr>
          <w:rFonts w:hint="eastAsia" w:ascii="宋体" w:hAnsi="宋体"/>
          <w:color w:val="C0C0C0"/>
          <w:szCs w:val="21"/>
          <w:highlight w:val="none"/>
          <w:u w:val="single"/>
        </w:rPr>
      </w:pPr>
      <w:bookmarkStart w:id="49" w:name="_Toc26298"/>
      <w:r>
        <w:rPr>
          <w:rFonts w:hint="eastAsia" w:ascii="宋体" w:hAnsi="宋体"/>
          <w:b/>
          <w:szCs w:val="21"/>
          <w:highlight w:val="none"/>
          <w:lang w:val="en-US" w:eastAsia="zh-CN"/>
        </w:rPr>
        <w:t>14.</w:t>
      </w:r>
      <w:r>
        <w:rPr>
          <w:rFonts w:hint="eastAsia" w:ascii="宋体" w:hAnsi="宋体"/>
          <w:b/>
          <w:szCs w:val="21"/>
          <w:highlight w:val="none"/>
        </w:rPr>
        <w:t>附件</w:t>
      </w:r>
      <w:r>
        <w:rPr>
          <w:rFonts w:hint="eastAsia" w:ascii="宋体" w:hAnsi="宋体"/>
          <w:color w:val="C0C0C0"/>
          <w:szCs w:val="21"/>
          <w:highlight w:val="none"/>
          <w:u w:val="single"/>
        </w:rPr>
        <w:t>（可修改或新增条款）</w:t>
      </w:r>
      <w:bookmarkEnd w:id="49"/>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r>
        <w:rPr>
          <w:rFonts w:hint="eastAsia" w:ascii="宋体" w:hAnsi="宋体" w:eastAsia="宋体" w:cs="宋体"/>
          <w:b w:val="0"/>
          <w:bCs w:val="0"/>
          <w:color w:val="000000"/>
          <w:sz w:val="30"/>
          <w:szCs w:val="30"/>
          <w:highlight w:val="none"/>
          <w:lang w:val="en-US" w:eastAsia="zh-CN"/>
        </w:rPr>
        <w:t>附件一：</w:t>
      </w:r>
    </w:p>
    <w:p>
      <w:pPr>
        <w:spacing w:line="400" w:lineRule="exact"/>
        <w:jc w:val="center"/>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项目部合规权限告知书</w:t>
      </w:r>
    </w:p>
    <w:p>
      <w:pPr>
        <w:autoSpaceDE w:val="0"/>
        <w:autoSpaceDN w:val="0"/>
        <w:adjustRightInd w:val="0"/>
        <w:spacing w:before="240" w:beforeLines="100"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（乙方全称）</w:t>
      </w:r>
    </w:p>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bookmarkStart w:id="50" w:name="_Hlk126830603"/>
      <w:r>
        <w:rPr>
          <w:rFonts w:hint="eastAsia" w:ascii="宋体" w:hAnsi="宋体" w:eastAsia="宋体" w:cs="宋体"/>
          <w:color w:val="000000"/>
          <w:sz w:val="21"/>
          <w:szCs w:val="21"/>
          <w:highlight w:val="none"/>
          <w:u w:val="single"/>
        </w:rPr>
        <w:t>中建</w:t>
      </w:r>
      <w:r>
        <w:rPr>
          <w:rFonts w:hint="eastAsia" w:ascii="宋体" w:hAnsi="宋体" w:eastAsia="宋体" w:cs="宋体"/>
          <w:color w:val="000000"/>
          <w:sz w:val="21"/>
          <w:szCs w:val="21"/>
          <w:highlight w:val="none"/>
          <w:u w:val="single"/>
          <w:lang w:val="en-US" w:eastAsia="zh-CN"/>
        </w:rPr>
        <w:t>路桥</w:t>
      </w:r>
      <w:r>
        <w:rPr>
          <w:rFonts w:hint="eastAsia" w:ascii="宋体" w:hAnsi="宋体" w:eastAsia="宋体" w:cs="宋体"/>
          <w:color w:val="000000"/>
          <w:sz w:val="21"/>
          <w:szCs w:val="21"/>
          <w:highlight w:val="none"/>
          <w:u w:val="single"/>
        </w:rPr>
        <w:t>集团有限公司</w:t>
      </w:r>
      <w:bookmarkEnd w:id="50"/>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rPr>
        <w:t>采购方</w:t>
      </w:r>
      <w:r>
        <w:rPr>
          <w:rFonts w:hint="eastAsia" w:ascii="宋体" w:hAnsi="宋体" w:eastAsia="宋体" w:cs="宋体"/>
          <w:color w:val="000000"/>
          <w:sz w:val="21"/>
          <w:szCs w:val="21"/>
          <w:highlight w:val="none"/>
          <w:lang w:val="zh-CN"/>
        </w:rPr>
        <w:t>全称，以下简称本公司），系依法成立并有效存续的公司。现向本公司</w:t>
      </w:r>
      <w:bookmarkStart w:id="51" w:name="_Hlk48924784"/>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lang w:val="zh-CN"/>
        </w:rPr>
        <w:t>项目部(以下简称项目部)签发项目部合规权限告知书（以下简称本</w:t>
      </w:r>
      <w:r>
        <w:rPr>
          <w:rFonts w:hint="eastAsia" w:ascii="宋体" w:hAnsi="宋体" w:eastAsia="宋体" w:cs="宋体"/>
          <w:color w:val="000000"/>
          <w:sz w:val="21"/>
          <w:szCs w:val="21"/>
          <w:highlight w:val="none"/>
        </w:rPr>
        <w:t>告知</w:t>
      </w:r>
      <w:r>
        <w:rPr>
          <w:rFonts w:hint="eastAsia" w:ascii="宋体" w:hAnsi="宋体" w:eastAsia="宋体" w:cs="宋体"/>
          <w:color w:val="000000"/>
          <w:sz w:val="21"/>
          <w:szCs w:val="21"/>
          <w:highlight w:val="none"/>
          <w:lang w:val="zh-CN"/>
        </w:rPr>
        <w:t>书），项目经理</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zh-CN"/>
        </w:rPr>
        <w:t xml:space="preserve">代表本公司行使权限。 </w:t>
      </w:r>
    </w:p>
    <w:bookmarkEnd w:id="51"/>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一、</w:t>
      </w:r>
      <w:r>
        <w:rPr>
          <w:rFonts w:hint="eastAsia" w:ascii="宋体" w:hAnsi="宋体" w:eastAsia="宋体" w:cs="宋体"/>
          <w:color w:val="000000"/>
          <w:sz w:val="21"/>
          <w:szCs w:val="21"/>
          <w:highlight w:val="none"/>
          <w:lang w:val="zh-CN"/>
        </w:rPr>
        <w:t>项目部须严格按合同约定行使权利，履行义务。本授权书规定与合同约定相冲突的，以合同约定为准。</w:t>
      </w:r>
    </w:p>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二、项目部行使权限，须由项目经理签字并加盖项目部公章，否则本公司不予认可，亦不承担任何责任。</w:t>
      </w:r>
    </w:p>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三、项目经理</w:t>
      </w:r>
      <w:r>
        <w:rPr>
          <w:rFonts w:hint="eastAsia" w:ascii="宋体" w:hAnsi="宋体" w:eastAsia="宋体" w:cs="宋体"/>
          <w:color w:val="000000"/>
          <w:sz w:val="21"/>
          <w:szCs w:val="21"/>
          <w:highlight w:val="none"/>
        </w:rPr>
        <w:t>不</w:t>
      </w:r>
      <w:r>
        <w:rPr>
          <w:rFonts w:hint="eastAsia" w:ascii="宋体" w:hAnsi="宋体" w:eastAsia="宋体" w:cs="宋体"/>
          <w:color w:val="000000"/>
          <w:sz w:val="21"/>
          <w:szCs w:val="21"/>
          <w:highlight w:val="none"/>
          <w:lang w:val="zh-CN"/>
        </w:rPr>
        <w:t>可将其部分权限以书面形式转授权项目部其他人员，项目部任何内设机构及项目经理</w:t>
      </w:r>
      <w:r>
        <w:rPr>
          <w:rFonts w:hint="eastAsia" w:ascii="宋体" w:hAnsi="宋体" w:eastAsia="宋体" w:cs="宋体"/>
          <w:color w:val="000000"/>
          <w:sz w:val="21"/>
          <w:szCs w:val="21"/>
          <w:highlight w:val="none"/>
        </w:rPr>
        <w:t>擅自</w:t>
      </w:r>
      <w:r>
        <w:rPr>
          <w:rFonts w:hint="eastAsia" w:ascii="宋体" w:hAnsi="宋体" w:eastAsia="宋体" w:cs="宋体"/>
          <w:color w:val="000000"/>
          <w:sz w:val="21"/>
          <w:szCs w:val="21"/>
          <w:highlight w:val="none"/>
          <w:lang w:val="zh-CN"/>
        </w:rPr>
        <w:t>转授权人员以任何形式签字、盖章本公司均不予认可，亦不承担任何责任。</w:t>
      </w:r>
    </w:p>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四、项目部不得对外签约，项目所有合同、协议等具有权利义务性质的文件均需加盖合同专用章，否则本公司不予认可，亦不承担任何责任。</w:t>
      </w:r>
    </w:p>
    <w:p>
      <w:pPr>
        <w:autoSpaceDE w:val="0"/>
        <w:autoSpaceDN w:val="0"/>
        <w:adjustRightInd w:val="0"/>
        <w:spacing w:line="400" w:lineRule="exact"/>
        <w:ind w:firstLine="48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五、凡涉及项目经济性事项，项目部须严格在本授权书规定的权限范围内行使，否则，即使经项目部加盖公章、项目经理签字，本公司亦不予认可，不承担任何责任。</w:t>
      </w:r>
    </w:p>
    <w:p>
      <w:pPr>
        <w:autoSpaceDE w:val="0"/>
        <w:autoSpaceDN w:val="0"/>
        <w:adjustRightInd w:val="0"/>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1.项目部有权审批如下事项：</w:t>
      </w:r>
    </w:p>
    <w:tbl>
      <w:tblPr>
        <w:tblStyle w:val="14"/>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lang w:val="zh-CN"/>
              </w:rPr>
            </w:pPr>
            <w:bookmarkStart w:id="52" w:name="_Hlk127190034"/>
            <w:r>
              <w:rPr>
                <w:rFonts w:hint="eastAsia" w:ascii="宋体" w:hAnsi="宋体" w:eastAsia="宋体" w:cs="宋体"/>
                <w:b/>
                <w:bCs/>
                <w:color w:val="000000"/>
                <w:sz w:val="21"/>
                <w:szCs w:val="21"/>
                <w:highlight w:val="none"/>
                <w:lang w:val="zh-CN"/>
              </w:rPr>
              <w:t>序号</w:t>
            </w:r>
          </w:p>
        </w:tc>
        <w:tc>
          <w:tcPr>
            <w:tcW w:w="8818"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授权性事项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向乙方发送物资进退场联系单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对乙方进场物资进行外观检测，确认进场物资外观检测和进场登记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3</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kern w:val="0"/>
                <w:sz w:val="21"/>
                <w:szCs w:val="21"/>
                <w:highlight w:val="none"/>
              </w:rPr>
              <w:t>办理物资收料单、初步编制物资采购结算单提交甲方公司确认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4</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kern w:val="0"/>
                <w:sz w:val="21"/>
                <w:szCs w:val="21"/>
                <w:highlight w:val="none"/>
              </w:rPr>
              <w:t>对乙方物资进行检验、试验、检测与计量，联系乙方退货或更换，出具进场物资不合格记录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5</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kern w:val="0"/>
                <w:sz w:val="21"/>
                <w:szCs w:val="21"/>
                <w:highlight w:val="none"/>
              </w:rPr>
              <w:t>确认物资领料单、退货单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6</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出具料具进退场签收单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7</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编制、审核料具结算单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8</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kern w:val="0"/>
                <w:sz w:val="21"/>
                <w:szCs w:val="21"/>
                <w:highlight w:val="none"/>
              </w:rPr>
              <w:t>对不服从指挥的材料供应商作出处罚（追究违约责任）的决定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9</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对乙方工程项目的履约情况进行监控和核查；发现问题后，通知要求乙方进行整改或调整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10</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组织实施质量验收工作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11</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向乙方发送维修整改通知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12</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根据合同约定或公司规定扣除乙方质保金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13</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对存在的安全生产隐患，下达《安全隐患整改通知书》，对存在重大安全生产隐患，下达《安全隐患局部停工整改令》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14</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对检查中发现的不符合合同约定或国家规定标准的，要求乙方进行整改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15</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报送或接收工程履约相关的工作联系函</w:t>
            </w:r>
          </w:p>
        </w:tc>
      </w:tr>
      <w:bookmarkEnd w:id="52"/>
    </w:tbl>
    <w:p>
      <w:pPr>
        <w:numPr>
          <w:ilvl w:val="0"/>
          <w:numId w:val="3"/>
        </w:numPr>
        <w:autoSpaceDE w:val="0"/>
        <w:autoSpaceDN w:val="0"/>
        <w:adjustRightInd w:val="0"/>
        <w:spacing w:line="400" w:lineRule="exact"/>
        <w:rPr>
          <w:rFonts w:hint="eastAsia" w:ascii="宋体" w:hAnsi="宋体" w:eastAsia="宋体" w:cs="宋体"/>
          <w:color w:val="000000"/>
          <w:sz w:val="21"/>
          <w:szCs w:val="21"/>
          <w:highlight w:val="none"/>
        </w:rPr>
      </w:pPr>
      <w:bookmarkStart w:id="53" w:name="_Hlk126826460"/>
      <w:r>
        <w:rPr>
          <w:rFonts w:hint="eastAsia" w:ascii="宋体" w:hAnsi="宋体" w:eastAsia="宋体" w:cs="宋体"/>
          <w:color w:val="000000"/>
          <w:sz w:val="21"/>
          <w:szCs w:val="21"/>
          <w:highlight w:val="none"/>
        </w:rPr>
        <w:t>项目部无权审批以下事项：</w:t>
      </w:r>
    </w:p>
    <w:bookmarkEnd w:id="53"/>
    <w:tbl>
      <w:tblPr>
        <w:tblStyle w:val="14"/>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lang w:val="zh-CN"/>
              </w:rPr>
            </w:pPr>
            <w:bookmarkStart w:id="54" w:name="_Hlk127195047"/>
            <w:r>
              <w:rPr>
                <w:rFonts w:hint="eastAsia" w:ascii="宋体" w:hAnsi="宋体" w:eastAsia="宋体" w:cs="宋体"/>
                <w:b/>
                <w:bCs/>
                <w:color w:val="000000"/>
                <w:sz w:val="21"/>
                <w:szCs w:val="21"/>
                <w:highlight w:val="none"/>
                <w:lang w:val="zh-CN"/>
              </w:rPr>
              <w:t>序号</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禁止性事项</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kern w:val="0"/>
                <w:sz w:val="21"/>
                <w:szCs w:val="21"/>
                <w:highlight w:val="none"/>
              </w:rPr>
              <w:t>进行银行贷款等融资活动</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对外提供担保</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3</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对外开立各类保函</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tabs>
                <w:tab w:val="left" w:pos="534"/>
              </w:tabs>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4</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对外拆借资金</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5</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设立或变更劳动关系（包括签订劳动合同、确认劳动关系等）</w:t>
            </w:r>
          </w:p>
        </w:tc>
      </w:tr>
      <w:bookmarkEnd w:id="54"/>
    </w:tbl>
    <w:p>
      <w:pPr>
        <w:numPr>
          <w:ilvl w:val="0"/>
          <w:numId w:val="4"/>
        </w:num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若项目经理发生变更，则由新委任的项目经理承继。</w:t>
      </w:r>
    </w:p>
    <w:p>
      <w:pPr>
        <w:autoSpaceDE w:val="0"/>
        <w:autoSpaceDN w:val="0"/>
        <w:adjustRightInd w:val="0"/>
        <w:spacing w:line="400" w:lineRule="exact"/>
        <w:ind w:firstLine="48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七、本授权书未明确的事项执行本公司有关规章制度。</w:t>
      </w:r>
    </w:p>
    <w:p>
      <w:pPr>
        <w:autoSpaceDE w:val="0"/>
        <w:autoSpaceDN w:val="0"/>
        <w:adjustRightInd w:val="0"/>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八、</w:t>
      </w:r>
      <w:r>
        <w:rPr>
          <w:rFonts w:hint="eastAsia" w:ascii="宋体" w:hAnsi="宋体" w:eastAsia="宋体" w:cs="宋体"/>
          <w:color w:val="000000"/>
          <w:sz w:val="21"/>
          <w:szCs w:val="21"/>
          <w:highlight w:val="none"/>
          <w:lang w:val="zh-CN"/>
        </w:rPr>
        <w:t>本授权书经本公司加盖合同专用章后生效。本公司有权随时变更或撤销本授权书，并书面告知贵司。</w:t>
      </w:r>
      <w:r>
        <w:rPr>
          <w:rFonts w:hint="eastAsia" w:ascii="宋体" w:hAnsi="宋体" w:eastAsia="宋体" w:cs="宋体"/>
          <w:color w:val="000000"/>
          <w:sz w:val="21"/>
          <w:szCs w:val="21"/>
          <w:highlight w:val="none"/>
        </w:rPr>
        <w:t xml:space="preserve">               </w:t>
      </w:r>
    </w:p>
    <w:p>
      <w:pPr>
        <w:autoSpaceDE w:val="0"/>
        <w:autoSpaceDN w:val="0"/>
        <w:adjustRightInd w:val="0"/>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p>
    <w:p>
      <w:pPr>
        <w:autoSpaceDE w:val="0"/>
        <w:autoSpaceDN w:val="0"/>
        <w:adjustRightInd w:val="0"/>
        <w:spacing w:line="400" w:lineRule="exact"/>
        <w:ind w:firstLine="4410" w:firstLineChars="2100"/>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授权单位（盖章）：</w:t>
      </w:r>
      <w:r>
        <w:rPr>
          <w:rFonts w:hint="eastAsia" w:ascii="宋体" w:hAnsi="宋体" w:eastAsia="宋体" w:cs="宋体"/>
          <w:bCs/>
          <w:color w:val="000000"/>
          <w:sz w:val="21"/>
          <w:szCs w:val="21"/>
          <w:highlight w:val="none"/>
        </w:rPr>
        <w:t xml:space="preserve">            </w:t>
      </w:r>
    </w:p>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签署日期：</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年</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月</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日</w:t>
      </w:r>
    </w:p>
    <w:p>
      <w:pPr>
        <w:autoSpaceDE w:val="0"/>
        <w:autoSpaceDN w:val="0"/>
        <w:adjustRightInd w:val="0"/>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w:t>
      </w:r>
      <w:r>
        <w:rPr>
          <w:rFonts w:hint="eastAsia" w:ascii="宋体" w:hAnsi="宋体" w:eastAsia="宋体" w:cs="宋体"/>
          <w:color w:val="000000"/>
          <w:sz w:val="21"/>
          <w:szCs w:val="21"/>
          <w:highlight w:val="none"/>
          <w:lang w:val="zh-CN"/>
        </w:rPr>
        <w:t>确认：我司已完全理解并清楚贵司对</w:t>
      </w:r>
      <w:bookmarkStart w:id="55" w:name="_Hlk48924799"/>
      <w:r>
        <w:rPr>
          <w:rFonts w:hint="eastAsia" w:ascii="宋体" w:hAnsi="宋体" w:eastAsia="宋体" w:cs="宋体"/>
          <w:b/>
          <w:color w:val="000000"/>
          <w:sz w:val="21"/>
          <w:szCs w:val="21"/>
          <w:highlight w:val="none"/>
          <w:u w:val="single"/>
        </w:rPr>
        <w:t xml:space="preserve">         </w:t>
      </w:r>
      <w:r>
        <w:rPr>
          <w:rFonts w:hint="eastAsia" w:ascii="宋体" w:hAnsi="宋体" w:eastAsia="宋体" w:cs="宋体"/>
          <w:color w:val="000000"/>
          <w:sz w:val="21"/>
          <w:szCs w:val="21"/>
          <w:highlight w:val="none"/>
        </w:rPr>
        <w:t>项目部及项目经理</w:t>
      </w:r>
      <w:r>
        <w:rPr>
          <w:rFonts w:hint="eastAsia" w:ascii="宋体" w:hAnsi="宋体" w:eastAsia="宋体" w:cs="宋体"/>
          <w:color w:val="000000"/>
          <w:sz w:val="21"/>
          <w:szCs w:val="21"/>
          <w:highlight w:val="none"/>
          <w:u w:val="single"/>
        </w:rPr>
        <w:t xml:space="preserve"> </w:t>
      </w:r>
      <w:r>
        <w:rPr>
          <w:rFonts w:hint="eastAsia" w:ascii="宋体" w:hAnsi="宋体" w:eastAsia="宋体" w:cs="宋体"/>
          <w:b/>
          <w:bCs/>
          <w:color w:val="000000"/>
          <w:sz w:val="21"/>
          <w:szCs w:val="21"/>
          <w:highlight w:val="none"/>
          <w:u w:val="single"/>
        </w:rPr>
        <w:t xml:space="preserve">     </w:t>
      </w:r>
      <w:r>
        <w:rPr>
          <w:rFonts w:hint="eastAsia" w:ascii="宋体" w:hAnsi="宋体" w:eastAsia="宋体" w:cs="宋体"/>
          <w:color w:val="000000"/>
          <w:sz w:val="21"/>
          <w:szCs w:val="21"/>
          <w:highlight w:val="none"/>
        </w:rPr>
        <w:t>的授权范围，并严格遵照执行。</w:t>
      </w:r>
      <w:bookmarkEnd w:id="55"/>
      <w:r>
        <w:rPr>
          <w:rFonts w:hint="eastAsia" w:ascii="宋体" w:hAnsi="宋体" w:eastAsia="宋体" w:cs="宋体"/>
          <w:color w:val="000000"/>
          <w:sz w:val="21"/>
          <w:szCs w:val="21"/>
          <w:highlight w:val="none"/>
        </w:rPr>
        <w:t xml:space="preserve">      </w:t>
      </w:r>
    </w:p>
    <w:p>
      <w:pPr>
        <w:spacing w:line="400" w:lineRule="exact"/>
        <w:ind w:right="210" w:right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乙方（公章）：           </w:t>
      </w:r>
    </w:p>
    <w:p>
      <w:pPr>
        <w:autoSpaceDE w:val="0"/>
        <w:autoSpaceDN w:val="0"/>
        <w:adjustRightInd w:val="0"/>
        <w:spacing w:line="400" w:lineRule="atLeast"/>
        <w:ind w:firstLine="1470" w:firstLineChars="7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法定代表人</w:t>
      </w:r>
    </w:p>
    <w:p>
      <w:pPr>
        <w:autoSpaceDE w:val="0"/>
        <w:autoSpaceDN w:val="0"/>
        <w:adjustRightInd w:val="0"/>
        <w:spacing w:line="400" w:lineRule="atLeas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w:t>
      </w:r>
      <w:r>
        <w:rPr>
          <w:rFonts w:hint="eastAsia" w:ascii="宋体" w:hAnsi="宋体" w:eastAsia="宋体" w:cs="宋体"/>
          <w:color w:val="000000"/>
          <w:kern w:val="0"/>
          <w:sz w:val="21"/>
          <w:szCs w:val="21"/>
          <w:highlight w:val="none"/>
          <w:lang w:val="en-US" w:eastAsia="zh-CN"/>
        </w:rPr>
        <w:t xml:space="preserve">     或被</w:t>
      </w:r>
      <w:r>
        <w:rPr>
          <w:rFonts w:hint="eastAsia" w:ascii="宋体" w:hAnsi="宋体" w:eastAsia="宋体" w:cs="宋体"/>
          <w:color w:val="000000"/>
          <w:kern w:val="0"/>
          <w:sz w:val="21"/>
          <w:szCs w:val="21"/>
          <w:highlight w:val="none"/>
        </w:rPr>
        <w:t>授权人：</w:t>
      </w:r>
    </w:p>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签署日期：</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年</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月</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日</w:t>
      </w:r>
    </w:p>
    <w:p>
      <w:pPr>
        <w:rPr>
          <w:rFonts w:hint="eastAsia" w:ascii="宋体" w:hAnsi="宋体" w:eastAsia="宋体" w:cs="宋体"/>
          <w:highlight w:val="none"/>
        </w:rPr>
      </w:pPr>
    </w:p>
    <w:p>
      <w:pPr>
        <w:numPr>
          <w:ilvl w:val="0"/>
          <w:numId w:val="0"/>
        </w:numPr>
        <w:spacing w:line="360" w:lineRule="exact"/>
        <w:jc w:val="left"/>
        <w:outlineLvl w:val="1"/>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jc w:val="left"/>
        <w:rPr>
          <w:rFonts w:hint="default" w:ascii="宋体" w:hAnsi="宋体" w:eastAsia="宋体"/>
          <w:b w:val="0"/>
          <w:bCs/>
          <w:sz w:val="30"/>
          <w:szCs w:val="30"/>
          <w:highlight w:val="none"/>
          <w:lang w:val="en-US" w:eastAsia="zh-CN"/>
        </w:rPr>
      </w:pPr>
      <w:r>
        <w:rPr>
          <w:rFonts w:hint="eastAsia" w:ascii="宋体" w:hAnsi="宋体"/>
          <w:b w:val="0"/>
          <w:bCs/>
          <w:sz w:val="30"/>
          <w:szCs w:val="30"/>
          <w:highlight w:val="none"/>
          <w:lang w:val="en-US" w:eastAsia="zh-CN"/>
        </w:rPr>
        <w:t>附件二：</w:t>
      </w:r>
    </w:p>
    <w:p>
      <w:pPr>
        <w:jc w:val="center"/>
        <w:rPr>
          <w:rFonts w:hint="eastAsia" w:ascii="宋体" w:hAnsi="宋体"/>
          <w:b/>
          <w:sz w:val="30"/>
          <w:szCs w:val="30"/>
          <w:highlight w:val="none"/>
        </w:rPr>
      </w:pPr>
      <w:r>
        <w:rPr>
          <w:rFonts w:hint="eastAsia" w:ascii="宋体" w:hAnsi="宋体"/>
          <w:b/>
          <w:sz w:val="30"/>
          <w:szCs w:val="30"/>
          <w:highlight w:val="none"/>
        </w:rPr>
        <w:t>廉 政 合 同</w:t>
      </w:r>
    </w:p>
    <w:p>
      <w:pPr>
        <w:ind w:firstLine="3662" w:firstLineChars="1520"/>
        <w:rPr>
          <w:rFonts w:hint="eastAsia" w:ascii="宋体" w:hAnsi="宋体"/>
          <w:b/>
          <w:bCs/>
          <w:sz w:val="24"/>
          <w:highlight w:val="none"/>
        </w:rPr>
      </w:pPr>
    </w:p>
    <w:p>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采购单位</w:t>
      </w:r>
      <w:r>
        <w:rPr>
          <w:rFonts w:hint="eastAsia" w:ascii="宋体" w:hAnsi="宋体"/>
          <w:szCs w:val="21"/>
          <w:u w:val="single"/>
          <w:lang w:eastAsia="zh-Hans"/>
        </w:rPr>
        <w:t>中建路桥集团装配式建筑有限公司</w:t>
      </w:r>
      <w:r>
        <w:rPr>
          <w:rFonts w:hint="eastAsia" w:ascii="宋体" w:hAnsi="宋体"/>
          <w:szCs w:val="21"/>
          <w:highlight w:val="none"/>
        </w:rPr>
        <w:t>（以下简称“甲方”）与分供单位</w:t>
      </w:r>
      <w:r>
        <w:rPr>
          <w:rFonts w:hint="eastAsia" w:ascii="宋体" w:hAnsi="宋体"/>
          <w:szCs w:val="21"/>
          <w:highlight w:val="none"/>
          <w:u w:val="single"/>
        </w:rPr>
        <w:t xml:space="preserve">                    </w:t>
      </w:r>
      <w:r>
        <w:rPr>
          <w:rFonts w:hint="eastAsia" w:ascii="宋体" w:hAnsi="宋体"/>
          <w:szCs w:val="21"/>
          <w:highlight w:val="none"/>
        </w:rPr>
        <w:t>（以下简称“乙方”），特订立如下廉政合同。</w:t>
      </w:r>
    </w:p>
    <w:p>
      <w:pPr>
        <w:snapToGrid w:val="0"/>
        <w:spacing w:line="400" w:lineRule="exact"/>
        <w:jc w:val="left"/>
        <w:rPr>
          <w:rFonts w:hint="eastAsia" w:ascii="宋体" w:hAnsi="宋体"/>
          <w:b/>
          <w:szCs w:val="21"/>
          <w:highlight w:val="none"/>
        </w:rPr>
      </w:pPr>
      <w:r>
        <w:rPr>
          <w:rFonts w:hint="eastAsia" w:ascii="宋体" w:hAnsi="宋体"/>
          <w:b/>
          <w:szCs w:val="21"/>
          <w:highlight w:val="none"/>
        </w:rPr>
        <w:t>1．甲乙双方的权利和义务</w:t>
      </w:r>
    </w:p>
    <w:p>
      <w:pPr>
        <w:snapToGrid w:val="0"/>
        <w:spacing w:line="400" w:lineRule="exact"/>
        <w:jc w:val="left"/>
        <w:rPr>
          <w:rFonts w:hint="eastAsia" w:ascii="宋体" w:hAnsi="宋体"/>
          <w:szCs w:val="21"/>
          <w:highlight w:val="none"/>
        </w:rPr>
      </w:pPr>
      <w:r>
        <w:rPr>
          <w:rFonts w:hint="eastAsia" w:ascii="宋体" w:hAnsi="宋体"/>
          <w:szCs w:val="21"/>
          <w:highlight w:val="none"/>
        </w:rPr>
        <w:t>1.1严格遵守党的政策和国家有关法律法规及交通部的有关规定。</w:t>
      </w:r>
    </w:p>
    <w:p>
      <w:pPr>
        <w:snapToGrid w:val="0"/>
        <w:spacing w:line="400" w:lineRule="exact"/>
        <w:jc w:val="left"/>
        <w:rPr>
          <w:rFonts w:hint="eastAsia" w:ascii="宋体" w:hAnsi="宋体"/>
          <w:szCs w:val="21"/>
          <w:highlight w:val="none"/>
        </w:rPr>
      </w:pPr>
      <w:r>
        <w:rPr>
          <w:rFonts w:hint="eastAsia" w:ascii="宋体" w:hAnsi="宋体"/>
          <w:szCs w:val="21"/>
          <w:highlight w:val="none"/>
        </w:rPr>
        <w:t>1.2严格执行</w:t>
      </w:r>
      <w:r>
        <w:rPr>
          <w:rFonts w:hint="eastAsia" w:ascii="宋体" w:hAnsi="宋体" w:cs="Arial"/>
          <w:color w:val="333333"/>
          <w:szCs w:val="21"/>
          <w:highlight w:val="none"/>
          <w:u w:val="single"/>
        </w:rPr>
        <w:t xml:space="preserve">    </w:t>
      </w:r>
      <w:r>
        <w:rPr>
          <w:rFonts w:hint="eastAsia" w:ascii="宋体" w:hAnsi="宋体" w:cs="Arial"/>
          <w:color w:val="333333"/>
          <w:szCs w:val="21"/>
          <w:highlight w:val="none"/>
        </w:rPr>
        <w:t>年</w:t>
      </w:r>
      <w:r>
        <w:rPr>
          <w:rFonts w:hint="eastAsia" w:ascii="宋体" w:hAnsi="宋体" w:cs="Arial"/>
          <w:color w:val="333333"/>
          <w:szCs w:val="21"/>
          <w:highlight w:val="none"/>
          <w:u w:val="single"/>
        </w:rPr>
        <w:t xml:space="preserve">   </w:t>
      </w:r>
      <w:r>
        <w:rPr>
          <w:rFonts w:hint="eastAsia" w:ascii="宋体" w:hAnsi="宋体" w:cs="Arial"/>
          <w:color w:val="333333"/>
          <w:szCs w:val="21"/>
          <w:highlight w:val="none"/>
        </w:rPr>
        <w:t>月</w:t>
      </w:r>
      <w:r>
        <w:rPr>
          <w:rFonts w:hint="eastAsia" w:ascii="宋体" w:hAnsi="宋体" w:cs="Arial"/>
          <w:color w:val="333333"/>
          <w:szCs w:val="21"/>
          <w:highlight w:val="none"/>
          <w:u w:val="single"/>
        </w:rPr>
        <w:t xml:space="preserve">    </w:t>
      </w:r>
      <w:r>
        <w:rPr>
          <w:rFonts w:hint="eastAsia" w:ascii="宋体" w:hAnsi="宋体" w:cs="Arial"/>
          <w:color w:val="333333"/>
          <w:szCs w:val="21"/>
          <w:highlight w:val="none"/>
        </w:rPr>
        <w:t>日甲乙方签订的合同文件</w:t>
      </w:r>
      <w:r>
        <w:rPr>
          <w:rFonts w:ascii="宋体" w:hAnsi="宋体" w:cs="Arial"/>
          <w:color w:val="333333"/>
          <w:szCs w:val="21"/>
          <w:highlight w:val="none"/>
        </w:rPr>
        <w:t>(</w:t>
      </w:r>
      <w:r>
        <w:rPr>
          <w:rFonts w:hint="eastAsia" w:ascii="宋体" w:hAnsi="宋体" w:cs="Arial"/>
          <w:color w:val="333333"/>
          <w:szCs w:val="21"/>
          <w:highlight w:val="none"/>
        </w:rPr>
        <w:t>合同号：</w:t>
      </w:r>
      <w:r>
        <w:rPr>
          <w:rFonts w:hint="eastAsia" w:ascii="宋体" w:hAnsi="宋体" w:cs="Arial"/>
          <w:color w:val="333333"/>
          <w:szCs w:val="21"/>
          <w:highlight w:val="none"/>
          <w:u w:val="single"/>
        </w:rPr>
        <w:t xml:space="preserve">       </w:t>
      </w:r>
      <w:r>
        <w:rPr>
          <w:rFonts w:hint="eastAsia" w:ascii="宋体" w:hAnsi="宋体" w:cs="Arial"/>
          <w:color w:val="333333"/>
          <w:szCs w:val="21"/>
          <w:highlight w:val="none"/>
        </w:rPr>
        <w:t>、合同名称；</w:t>
      </w:r>
      <w:r>
        <w:rPr>
          <w:rFonts w:hint="eastAsia" w:ascii="宋体" w:hAnsi="宋体" w:cs="Arial"/>
          <w:color w:val="333333"/>
          <w:szCs w:val="21"/>
          <w:highlight w:val="none"/>
          <w:u w:val="single"/>
        </w:rPr>
        <w:t xml:space="preserve">        </w:t>
      </w:r>
      <w:r>
        <w:rPr>
          <w:rFonts w:ascii="宋体" w:hAnsi="宋体" w:cs="Arial"/>
          <w:color w:val="333333"/>
          <w:szCs w:val="21"/>
          <w:highlight w:val="none"/>
        </w:rPr>
        <w:t>)</w:t>
      </w:r>
      <w:r>
        <w:rPr>
          <w:rFonts w:hint="eastAsia" w:ascii="宋体" w:hAnsi="宋体" w:cs="Arial"/>
          <w:color w:val="333333"/>
          <w:szCs w:val="21"/>
          <w:highlight w:val="none"/>
        </w:rPr>
        <w:t>，</w:t>
      </w:r>
      <w:r>
        <w:rPr>
          <w:rFonts w:hint="eastAsia" w:ascii="宋体" w:hAnsi="宋体"/>
          <w:szCs w:val="21"/>
          <w:highlight w:val="none"/>
          <w:u w:val="single"/>
        </w:rPr>
        <w:t xml:space="preserve">                            </w:t>
      </w:r>
      <w:r>
        <w:rPr>
          <w:rFonts w:hint="eastAsia" w:ascii="宋体" w:hAnsi="宋体"/>
          <w:szCs w:val="21"/>
          <w:highlight w:val="none"/>
        </w:rPr>
        <w:t>自觉按合同办事。</w:t>
      </w:r>
    </w:p>
    <w:p>
      <w:pPr>
        <w:snapToGrid w:val="0"/>
        <w:spacing w:line="400" w:lineRule="exact"/>
        <w:jc w:val="left"/>
        <w:rPr>
          <w:rFonts w:hint="eastAsia" w:ascii="宋体" w:hAnsi="宋体"/>
          <w:szCs w:val="21"/>
          <w:highlight w:val="none"/>
        </w:rPr>
      </w:pPr>
      <w:r>
        <w:rPr>
          <w:rFonts w:hint="eastAsia" w:ascii="宋体" w:hAnsi="宋体"/>
          <w:szCs w:val="21"/>
          <w:highlight w:val="none"/>
        </w:rPr>
        <w:t>1.3双方的业务活动坚持公开、公正、诚信、透明的原则（法律认定的商业秘密和合同文件另有规定 ），不得损害国家和集体利益，违反工程建设管理规章制度。</w:t>
      </w:r>
    </w:p>
    <w:p>
      <w:pPr>
        <w:snapToGrid w:val="0"/>
        <w:spacing w:line="400" w:lineRule="exact"/>
        <w:jc w:val="left"/>
        <w:rPr>
          <w:rFonts w:hint="eastAsia" w:ascii="宋体" w:hAnsi="宋体"/>
          <w:szCs w:val="21"/>
          <w:highlight w:val="none"/>
        </w:rPr>
      </w:pPr>
      <w:r>
        <w:rPr>
          <w:rFonts w:hint="eastAsia" w:ascii="宋体" w:hAnsi="宋体"/>
          <w:szCs w:val="21"/>
          <w:highlight w:val="none"/>
        </w:rPr>
        <w:t>1.4建立健全廉政制度，开展廉政教育，设立廉政告示牌，公布举报电话，监督并认真查处违法违纪行为。</w:t>
      </w:r>
    </w:p>
    <w:p>
      <w:pPr>
        <w:snapToGrid w:val="0"/>
        <w:spacing w:line="400" w:lineRule="exact"/>
        <w:jc w:val="left"/>
        <w:rPr>
          <w:rFonts w:hint="eastAsia" w:ascii="宋体" w:hAnsi="宋体"/>
          <w:szCs w:val="21"/>
          <w:highlight w:val="none"/>
        </w:rPr>
      </w:pPr>
      <w:r>
        <w:rPr>
          <w:rFonts w:hint="eastAsia" w:ascii="宋体" w:hAnsi="宋体"/>
          <w:szCs w:val="21"/>
          <w:highlight w:val="none"/>
        </w:rPr>
        <w:t>1.5发现对方在业务活动中有违反廉政规定的行为，有及时提醒对方纠正的权利和义务。</w:t>
      </w:r>
    </w:p>
    <w:p>
      <w:pPr>
        <w:snapToGrid w:val="0"/>
        <w:spacing w:line="400" w:lineRule="exact"/>
        <w:jc w:val="left"/>
        <w:rPr>
          <w:rFonts w:hint="eastAsia" w:ascii="宋体" w:hAnsi="宋体"/>
          <w:szCs w:val="21"/>
          <w:highlight w:val="none"/>
        </w:rPr>
      </w:pPr>
      <w:r>
        <w:rPr>
          <w:rFonts w:hint="eastAsia" w:ascii="宋体" w:hAnsi="宋体"/>
          <w:szCs w:val="21"/>
          <w:highlight w:val="none"/>
        </w:rPr>
        <w:t>1.6发现对方严重违反合同义务条款的行为，有向其上级有关部门举报、建议给予处理并要求告知处理结果的权利。</w:t>
      </w:r>
    </w:p>
    <w:p>
      <w:pPr>
        <w:snapToGrid w:val="0"/>
        <w:spacing w:line="400" w:lineRule="exact"/>
        <w:jc w:val="left"/>
        <w:rPr>
          <w:rFonts w:hint="eastAsia" w:ascii="宋体" w:hAnsi="宋体"/>
          <w:b/>
          <w:szCs w:val="21"/>
          <w:highlight w:val="none"/>
        </w:rPr>
      </w:pPr>
      <w:r>
        <w:rPr>
          <w:rFonts w:hint="eastAsia" w:ascii="宋体" w:hAnsi="宋体"/>
          <w:b/>
          <w:szCs w:val="21"/>
          <w:highlight w:val="none"/>
        </w:rPr>
        <w:t>2．甲方的义务</w:t>
      </w:r>
    </w:p>
    <w:p>
      <w:pPr>
        <w:snapToGrid w:val="0"/>
        <w:spacing w:line="400" w:lineRule="exact"/>
        <w:jc w:val="left"/>
        <w:rPr>
          <w:rFonts w:hint="eastAsia" w:ascii="宋体" w:hAnsi="宋体"/>
          <w:szCs w:val="21"/>
          <w:highlight w:val="none"/>
        </w:rPr>
      </w:pPr>
      <w:r>
        <w:rPr>
          <w:rFonts w:hint="eastAsia" w:ascii="宋体" w:hAnsi="宋体"/>
          <w:szCs w:val="21"/>
          <w:highlight w:val="none"/>
        </w:rPr>
        <w:t>2.1甲方及其工作人员不得索要或接受乙方的礼金、有价证券和贵重物品，不得在乙方报销任何应由甲方或甲方工作人员个人支付的费用等。</w:t>
      </w:r>
    </w:p>
    <w:p>
      <w:pPr>
        <w:snapToGrid w:val="0"/>
        <w:spacing w:line="400" w:lineRule="exact"/>
        <w:jc w:val="left"/>
        <w:rPr>
          <w:rFonts w:hint="eastAsia" w:ascii="宋体" w:hAnsi="宋体"/>
          <w:szCs w:val="21"/>
          <w:highlight w:val="none"/>
        </w:rPr>
      </w:pPr>
      <w:r>
        <w:rPr>
          <w:rFonts w:hint="eastAsia" w:ascii="宋体" w:hAnsi="宋体"/>
          <w:szCs w:val="21"/>
          <w:highlight w:val="none"/>
        </w:rPr>
        <w:t>2.2甲方工作人员不得参加乙方安排的超标准宴请和娱乐活动；不得接受乙方提供的通讯工具、交通工具和高档办公用品等。</w:t>
      </w:r>
    </w:p>
    <w:p>
      <w:pPr>
        <w:snapToGrid w:val="0"/>
        <w:spacing w:line="400" w:lineRule="exact"/>
        <w:jc w:val="left"/>
        <w:rPr>
          <w:rFonts w:hint="eastAsia" w:ascii="宋体" w:hAnsi="宋体"/>
          <w:szCs w:val="21"/>
          <w:highlight w:val="none"/>
        </w:rPr>
      </w:pPr>
      <w:r>
        <w:rPr>
          <w:rFonts w:hint="eastAsia" w:ascii="宋体" w:hAnsi="宋体"/>
          <w:szCs w:val="21"/>
          <w:highlight w:val="none"/>
        </w:rPr>
        <w:t>2.3甲方及其工作人员不得要求或者接受乙方为其住房装修、婚丧嫁娶活动、配偶子女的工作安排以及出国出境、旅游等提供方便等。</w:t>
      </w:r>
    </w:p>
    <w:p>
      <w:pPr>
        <w:snapToGrid w:val="0"/>
        <w:spacing w:line="400" w:lineRule="exact"/>
        <w:jc w:val="left"/>
        <w:rPr>
          <w:rFonts w:hint="eastAsia" w:ascii="宋体" w:hAnsi="宋体"/>
          <w:szCs w:val="21"/>
          <w:highlight w:val="none"/>
        </w:rPr>
      </w:pPr>
      <w:r>
        <w:rPr>
          <w:rFonts w:hint="eastAsia" w:ascii="宋体" w:hAnsi="宋体"/>
          <w:szCs w:val="21"/>
          <w:highlight w:val="none"/>
        </w:rPr>
        <w:t>2.4甲方及其工作人员不得以任何理由向乙方推荐分包单位或推销材料，不得要求乙方购买合同规定外的材料和设备。</w:t>
      </w:r>
    </w:p>
    <w:p>
      <w:pPr>
        <w:snapToGrid w:val="0"/>
        <w:spacing w:line="400" w:lineRule="exact"/>
        <w:jc w:val="left"/>
        <w:rPr>
          <w:rFonts w:hint="eastAsia" w:ascii="宋体" w:hAnsi="宋体"/>
          <w:szCs w:val="21"/>
          <w:highlight w:val="none"/>
        </w:rPr>
      </w:pPr>
      <w:r>
        <w:rPr>
          <w:rFonts w:hint="eastAsia" w:ascii="宋体" w:hAnsi="宋体"/>
          <w:szCs w:val="21"/>
          <w:highlight w:val="none"/>
        </w:rPr>
        <w:t>2.5甲方工作人员及其配偶、子女不得从事与甲方工程有关的材料设备供应、工程分包、劳务等经济活动等。</w:t>
      </w:r>
    </w:p>
    <w:p>
      <w:pPr>
        <w:snapToGrid w:val="0"/>
        <w:spacing w:line="400" w:lineRule="exact"/>
        <w:jc w:val="left"/>
        <w:rPr>
          <w:rFonts w:hint="eastAsia" w:ascii="宋体" w:hAnsi="宋体"/>
          <w:szCs w:val="21"/>
          <w:highlight w:val="none"/>
        </w:rPr>
      </w:pPr>
      <w:r>
        <w:rPr>
          <w:rFonts w:hint="eastAsia" w:ascii="宋体" w:hAnsi="宋体"/>
          <w:szCs w:val="21"/>
          <w:highlight w:val="none"/>
        </w:rPr>
        <w:t>2.6甲方工作人员要秉公办事，不准营私舞弊，不准利用职权从事各种个人有偿中介活动和安排个人施工队伍及设备。</w:t>
      </w:r>
    </w:p>
    <w:p>
      <w:pPr>
        <w:snapToGrid w:val="0"/>
        <w:spacing w:line="400" w:lineRule="exact"/>
        <w:jc w:val="left"/>
        <w:rPr>
          <w:rFonts w:hint="eastAsia" w:ascii="宋体" w:hAnsi="宋体"/>
          <w:b/>
          <w:szCs w:val="21"/>
          <w:highlight w:val="none"/>
        </w:rPr>
      </w:pPr>
      <w:r>
        <w:rPr>
          <w:rFonts w:hint="eastAsia" w:ascii="宋体" w:hAnsi="宋体"/>
          <w:b/>
          <w:szCs w:val="21"/>
          <w:highlight w:val="none"/>
        </w:rPr>
        <w:t>3．乙方义务</w:t>
      </w:r>
    </w:p>
    <w:p>
      <w:pPr>
        <w:snapToGrid w:val="0"/>
        <w:spacing w:line="400" w:lineRule="exact"/>
        <w:jc w:val="left"/>
        <w:rPr>
          <w:rFonts w:hint="eastAsia" w:ascii="宋体" w:hAnsi="宋体"/>
          <w:szCs w:val="21"/>
          <w:highlight w:val="none"/>
        </w:rPr>
      </w:pPr>
      <w:r>
        <w:rPr>
          <w:rFonts w:hint="eastAsia" w:ascii="宋体" w:hAnsi="宋体"/>
          <w:szCs w:val="21"/>
          <w:highlight w:val="none"/>
        </w:rPr>
        <w:t>3.1乙方不得以任何理由向甲方及其工作人员行贿或馈赠礼金、有价证券、贵重礼品。</w:t>
      </w:r>
    </w:p>
    <w:p>
      <w:pPr>
        <w:snapToGrid w:val="0"/>
        <w:spacing w:line="400" w:lineRule="exact"/>
        <w:jc w:val="left"/>
        <w:rPr>
          <w:rFonts w:hint="eastAsia" w:ascii="宋体" w:hAnsi="宋体"/>
          <w:szCs w:val="21"/>
          <w:highlight w:val="none"/>
        </w:rPr>
      </w:pPr>
      <w:r>
        <w:rPr>
          <w:rFonts w:hint="eastAsia" w:ascii="宋体" w:hAnsi="宋体"/>
          <w:szCs w:val="21"/>
          <w:highlight w:val="none"/>
        </w:rPr>
        <w:t>3.2乙方不得以任何名义为甲方及其工作人员报销应由甲方单位或个人支付的任何费用。</w:t>
      </w:r>
    </w:p>
    <w:p>
      <w:pPr>
        <w:snapToGrid w:val="0"/>
        <w:spacing w:line="400" w:lineRule="exact"/>
        <w:jc w:val="left"/>
        <w:rPr>
          <w:rFonts w:hint="eastAsia" w:ascii="宋体" w:hAnsi="宋体"/>
          <w:szCs w:val="21"/>
          <w:highlight w:val="none"/>
        </w:rPr>
      </w:pPr>
      <w:r>
        <w:rPr>
          <w:rFonts w:hint="eastAsia" w:ascii="宋体" w:hAnsi="宋体"/>
          <w:szCs w:val="21"/>
          <w:highlight w:val="none"/>
        </w:rPr>
        <w:t>3.3乙方不得以任何理由安排甲方工作人员参加超标准宴请及娱乐活动。</w:t>
      </w:r>
    </w:p>
    <w:p>
      <w:pPr>
        <w:snapToGrid w:val="0"/>
        <w:spacing w:line="400" w:lineRule="exact"/>
        <w:jc w:val="left"/>
        <w:rPr>
          <w:rFonts w:hint="eastAsia" w:ascii="宋体" w:hAnsi="宋体"/>
          <w:szCs w:val="21"/>
          <w:highlight w:val="none"/>
        </w:rPr>
      </w:pPr>
      <w:r>
        <w:rPr>
          <w:rFonts w:hint="eastAsia" w:ascii="宋体" w:hAnsi="宋体"/>
          <w:szCs w:val="21"/>
          <w:highlight w:val="none"/>
        </w:rPr>
        <w:t>3.4乙方不得为甲方单位和个人购置或提供通讯工具、交通工具和高档办公用品等。</w:t>
      </w:r>
    </w:p>
    <w:p>
      <w:pPr>
        <w:snapToGrid w:val="0"/>
        <w:spacing w:line="400" w:lineRule="exact"/>
        <w:jc w:val="left"/>
        <w:rPr>
          <w:rFonts w:hint="eastAsia" w:ascii="宋体" w:hAnsi="宋体"/>
          <w:b/>
          <w:szCs w:val="21"/>
          <w:highlight w:val="none"/>
        </w:rPr>
      </w:pPr>
      <w:r>
        <w:rPr>
          <w:rFonts w:hint="eastAsia" w:ascii="宋体" w:hAnsi="宋体"/>
          <w:b/>
          <w:szCs w:val="21"/>
          <w:highlight w:val="none"/>
        </w:rPr>
        <w:t>4．违约责任</w:t>
      </w:r>
    </w:p>
    <w:p>
      <w:pPr>
        <w:snapToGrid w:val="0"/>
        <w:spacing w:line="400" w:lineRule="exact"/>
        <w:jc w:val="left"/>
        <w:rPr>
          <w:rFonts w:hint="eastAsia" w:ascii="宋体" w:hAnsi="宋体"/>
          <w:szCs w:val="21"/>
          <w:highlight w:val="none"/>
        </w:rPr>
      </w:pPr>
      <w:r>
        <w:rPr>
          <w:rFonts w:hint="eastAsia" w:ascii="宋体" w:hAnsi="宋体"/>
          <w:szCs w:val="21"/>
          <w:highlight w:val="none"/>
        </w:rPr>
        <w:t>4.1甲方及其工作人员违反本合同，按管理权限，依据有关规定给予党纪、政纪或组织处理；涉嫌犯罪的，移交司法机关追究刑事责任；给乙方单位造成经济损失的，应予以赔偿。</w:t>
      </w:r>
    </w:p>
    <w:p>
      <w:pPr>
        <w:snapToGrid w:val="0"/>
        <w:spacing w:line="400" w:lineRule="exact"/>
        <w:jc w:val="left"/>
        <w:rPr>
          <w:rFonts w:hint="eastAsia" w:ascii="宋体" w:hAnsi="宋体"/>
          <w:szCs w:val="21"/>
          <w:highlight w:val="none"/>
        </w:rPr>
      </w:pPr>
      <w:r>
        <w:rPr>
          <w:rFonts w:hint="eastAsia" w:ascii="宋体" w:hAnsi="宋体"/>
          <w:szCs w:val="21"/>
          <w:highlight w:val="none"/>
        </w:rPr>
        <w:t>4.2乙方及其工作人员违反本合同，给甲方单位造成经济损失的，应予以赔偿；情节严重的，给予乙方一至三年内不得参与甲方</w:t>
      </w:r>
      <w:r>
        <w:rPr>
          <w:rFonts w:hint="eastAsia" w:ascii="宋体" w:hAnsi="宋体"/>
          <w:szCs w:val="21"/>
          <w:highlight w:val="none"/>
          <w:lang w:val="en-US" w:eastAsia="zh-CN"/>
        </w:rPr>
        <w:t>物资</w:t>
      </w:r>
      <w:r>
        <w:rPr>
          <w:rFonts w:hint="eastAsia" w:ascii="宋体" w:hAnsi="宋体"/>
          <w:szCs w:val="21"/>
          <w:highlight w:val="none"/>
        </w:rPr>
        <w:t>设备采购活动的处罚。</w:t>
      </w:r>
    </w:p>
    <w:p>
      <w:pPr>
        <w:snapToGrid w:val="0"/>
        <w:spacing w:line="400" w:lineRule="exact"/>
        <w:jc w:val="left"/>
        <w:rPr>
          <w:rFonts w:hint="eastAsia" w:ascii="宋体" w:hAnsi="宋体"/>
          <w:szCs w:val="21"/>
          <w:highlight w:val="none"/>
        </w:rPr>
      </w:pPr>
      <w:r>
        <w:rPr>
          <w:rFonts w:hint="eastAsia" w:ascii="宋体" w:hAnsi="宋体"/>
          <w:b/>
          <w:szCs w:val="21"/>
          <w:highlight w:val="none"/>
        </w:rPr>
        <w:t>5．</w:t>
      </w:r>
      <w:r>
        <w:rPr>
          <w:rFonts w:hint="eastAsia" w:ascii="宋体" w:hAnsi="宋体"/>
          <w:szCs w:val="21"/>
          <w:highlight w:val="none"/>
        </w:rPr>
        <w:t>本合同有效期为甲乙双方签署之日起至</w:t>
      </w:r>
      <w:r>
        <w:rPr>
          <w:rFonts w:hint="eastAsia" w:ascii="宋体" w:hAnsi="宋体"/>
          <w:szCs w:val="21"/>
          <w:highlight w:val="none"/>
          <w:u w:val="single"/>
        </w:rPr>
        <w:t xml:space="preserve">                       </w:t>
      </w:r>
      <w:r>
        <w:rPr>
          <w:rFonts w:hint="eastAsia" w:ascii="宋体" w:hAnsi="宋体"/>
          <w:szCs w:val="21"/>
          <w:highlight w:val="none"/>
        </w:rPr>
        <w:t>合同终止后止。</w:t>
      </w:r>
    </w:p>
    <w:p>
      <w:pPr>
        <w:snapToGrid w:val="0"/>
        <w:spacing w:line="400" w:lineRule="exact"/>
        <w:jc w:val="left"/>
        <w:rPr>
          <w:rFonts w:hint="eastAsia" w:ascii="宋体" w:hAnsi="宋体"/>
          <w:szCs w:val="21"/>
          <w:highlight w:val="none"/>
        </w:rPr>
      </w:pPr>
      <w:r>
        <w:rPr>
          <w:rFonts w:hint="eastAsia" w:ascii="宋体" w:hAnsi="宋体"/>
          <w:b/>
          <w:szCs w:val="21"/>
          <w:highlight w:val="none"/>
        </w:rPr>
        <w:t>6．</w:t>
      </w:r>
      <w:r>
        <w:rPr>
          <w:rFonts w:hint="eastAsia" w:ascii="宋体" w:hAnsi="宋体"/>
          <w:szCs w:val="21"/>
          <w:highlight w:val="none"/>
        </w:rPr>
        <w:t>本合同作为</w:t>
      </w:r>
      <w:r>
        <w:rPr>
          <w:rFonts w:hint="eastAsia" w:ascii="宋体" w:hAnsi="宋体"/>
          <w:szCs w:val="21"/>
          <w:highlight w:val="none"/>
          <w:u w:val="single"/>
        </w:rPr>
        <w:t xml:space="preserve">                   </w:t>
      </w:r>
      <w:r>
        <w:rPr>
          <w:rFonts w:hint="eastAsia" w:ascii="宋体" w:hAnsi="宋体"/>
          <w:szCs w:val="21"/>
          <w:highlight w:val="none"/>
        </w:rPr>
        <w:t>合同的附件，与主合同具有同等的法律效力，双方签署立即生效。</w:t>
      </w:r>
    </w:p>
    <w:p>
      <w:pPr>
        <w:snapToGrid w:val="0"/>
        <w:spacing w:line="400" w:lineRule="exact"/>
        <w:jc w:val="left"/>
        <w:rPr>
          <w:rFonts w:hint="eastAsia" w:ascii="宋体" w:hAnsi="宋体"/>
          <w:szCs w:val="21"/>
          <w:highlight w:val="none"/>
        </w:rPr>
      </w:pPr>
      <w:r>
        <w:rPr>
          <w:rFonts w:hint="eastAsia" w:ascii="宋体" w:hAnsi="宋体"/>
          <w:b/>
          <w:bCs/>
          <w:szCs w:val="21"/>
          <w:highlight w:val="none"/>
          <w:lang w:val="en-US" w:eastAsia="zh-CN"/>
        </w:rPr>
        <w:t>7</w:t>
      </w:r>
      <w:r>
        <w:rPr>
          <w:rFonts w:hint="eastAsia" w:ascii="宋体" w:hAnsi="宋体"/>
          <w:b/>
          <w:bCs/>
          <w:szCs w:val="21"/>
          <w:highlight w:val="none"/>
        </w:rPr>
        <w:t>．</w:t>
      </w:r>
      <w:r>
        <w:rPr>
          <w:rFonts w:hint="eastAsia" w:ascii="宋体" w:hAnsi="宋体"/>
          <w:szCs w:val="21"/>
          <w:highlight w:val="none"/>
        </w:rPr>
        <w:t>本合同一式</w:t>
      </w:r>
      <w:r>
        <w:rPr>
          <w:rFonts w:hint="eastAsia" w:ascii="宋体" w:hAnsi="宋体"/>
          <w:szCs w:val="21"/>
          <w:highlight w:val="none"/>
          <w:u w:val="single"/>
        </w:rPr>
        <w:t xml:space="preserve"> 8 </w:t>
      </w:r>
      <w:r>
        <w:rPr>
          <w:rFonts w:hint="eastAsia" w:ascii="宋体" w:hAnsi="宋体"/>
          <w:szCs w:val="21"/>
          <w:highlight w:val="none"/>
        </w:rPr>
        <w:t>份，甲方执</w:t>
      </w:r>
      <w:r>
        <w:rPr>
          <w:rFonts w:hint="eastAsia" w:ascii="宋体" w:hAnsi="宋体"/>
          <w:szCs w:val="21"/>
          <w:highlight w:val="none"/>
          <w:u w:val="single"/>
        </w:rPr>
        <w:t xml:space="preserve"> 7 </w:t>
      </w:r>
      <w:r>
        <w:rPr>
          <w:rFonts w:hint="eastAsia" w:ascii="宋体" w:hAnsi="宋体"/>
          <w:szCs w:val="21"/>
          <w:highlight w:val="none"/>
        </w:rPr>
        <w:t>份，乙方执</w:t>
      </w:r>
      <w:r>
        <w:rPr>
          <w:rFonts w:hint="eastAsia" w:ascii="宋体" w:hAnsi="宋体"/>
          <w:szCs w:val="21"/>
          <w:highlight w:val="none"/>
          <w:u w:val="single"/>
        </w:rPr>
        <w:t xml:space="preserve"> 1 </w:t>
      </w:r>
      <w:r>
        <w:rPr>
          <w:rFonts w:hint="eastAsia" w:ascii="宋体" w:hAnsi="宋体"/>
          <w:szCs w:val="21"/>
          <w:highlight w:val="none"/>
        </w:rPr>
        <w:t>份。</w:t>
      </w:r>
    </w:p>
    <w:p>
      <w:pPr>
        <w:snapToGrid w:val="0"/>
        <w:spacing w:line="400" w:lineRule="exact"/>
        <w:jc w:val="left"/>
        <w:rPr>
          <w:rFonts w:hint="eastAsia" w:ascii="宋体" w:hAnsi="宋体"/>
          <w:szCs w:val="21"/>
          <w:highlight w:val="none"/>
        </w:rPr>
      </w:pP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 xml:space="preserve">甲方：（盖章）                               乙方：（盖章） </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法定代表人                                   法定代表人 </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或被授权人签字：                             或被授权人签字：</w:t>
      </w:r>
    </w:p>
    <w:p>
      <w:pPr>
        <w:snapToGrid w:val="0"/>
        <w:spacing w:line="400" w:lineRule="exact"/>
        <w:ind w:firstLine="420" w:firstLineChars="200"/>
        <w:rPr>
          <w:rFonts w:ascii="仿宋_GB2312" w:hAnsi="宋体" w:eastAsia="仿宋_GB2312"/>
          <w:sz w:val="24"/>
          <w:highlight w:val="none"/>
        </w:rPr>
      </w:pPr>
      <w:r>
        <w:rPr>
          <w:rFonts w:hint="eastAsia" w:ascii="宋体" w:hAnsi="宋体"/>
          <w:szCs w:val="21"/>
          <w:highlight w:val="none"/>
        </w:rPr>
        <w:t>联系电话：                                   联系电话：</w:t>
      </w: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spacing w:line="360" w:lineRule="auto"/>
        <w:jc w:val="left"/>
        <w:rPr>
          <w:rFonts w:hint="eastAsia" w:ascii="宋体" w:hAnsi="宋体" w:eastAsia="宋体" w:cs="宋体"/>
          <w:b/>
          <w:w w:val="90"/>
          <w:highlight w:val="none"/>
        </w:rPr>
      </w:pPr>
      <w:bookmarkStart w:id="56" w:name="_Toc25426"/>
      <w:bookmarkStart w:id="57" w:name="_Toc31445"/>
      <w:bookmarkStart w:id="58" w:name="_Toc7321"/>
      <w:r>
        <w:rPr>
          <w:rFonts w:hint="eastAsia" w:ascii="宋体" w:hAnsi="宋体" w:eastAsia="宋体" w:cs="宋体"/>
          <w:color w:val="000000"/>
          <w:kern w:val="0"/>
          <w:sz w:val="30"/>
          <w:szCs w:val="30"/>
          <w:highlight w:val="none"/>
        </w:rPr>
        <w:t>附件</w:t>
      </w:r>
      <w:r>
        <w:rPr>
          <w:rFonts w:hint="eastAsia" w:ascii="宋体" w:hAnsi="宋体" w:eastAsia="宋体" w:cs="宋体"/>
          <w:color w:val="000000"/>
          <w:kern w:val="0"/>
          <w:sz w:val="30"/>
          <w:szCs w:val="30"/>
          <w:highlight w:val="none"/>
          <w:lang w:val="en-US" w:eastAsia="zh-CN"/>
        </w:rPr>
        <w:t>三</w:t>
      </w:r>
      <w:r>
        <w:rPr>
          <w:rFonts w:hint="eastAsia" w:ascii="宋体" w:hAnsi="宋体" w:eastAsia="宋体" w:cs="宋体"/>
          <w:color w:val="000000"/>
          <w:kern w:val="0"/>
          <w:sz w:val="30"/>
          <w:szCs w:val="30"/>
          <w:highlight w:val="none"/>
        </w:rPr>
        <w:t>：</w:t>
      </w:r>
      <w:bookmarkEnd w:id="56"/>
      <w:bookmarkEnd w:id="57"/>
      <w:bookmarkEnd w:id="58"/>
    </w:p>
    <w:p>
      <w:pPr>
        <w:spacing w:line="40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授权委托书</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中建路桥集团有限公司</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本授权书宣告： </w:t>
      </w:r>
      <w:r>
        <w:rPr>
          <w:rFonts w:hint="eastAsia" w:ascii="宋体" w:hAnsi="宋体" w:eastAsia="宋体" w:cs="宋体"/>
          <w:sz w:val="21"/>
          <w:szCs w:val="21"/>
          <w:highlight w:val="none"/>
          <w:u w:val="single"/>
        </w:rPr>
        <w:t xml:space="preserve"> (投标人全称)  (职务)  (姓名)</w:t>
      </w:r>
      <w:r>
        <w:rPr>
          <w:rFonts w:hint="eastAsia" w:ascii="宋体" w:hAnsi="宋体" w:eastAsia="宋体" w:cs="宋体"/>
          <w:sz w:val="21"/>
          <w:szCs w:val="21"/>
          <w:highlight w:val="none"/>
        </w:rPr>
        <w:t xml:space="preserve">合法地代表本单位，授权 </w:t>
      </w:r>
      <w:r>
        <w:rPr>
          <w:rFonts w:hint="eastAsia" w:ascii="宋体" w:hAnsi="宋体" w:eastAsia="宋体" w:cs="宋体"/>
          <w:sz w:val="21"/>
          <w:szCs w:val="21"/>
          <w:highlight w:val="none"/>
          <w:u w:val="single"/>
        </w:rPr>
        <w:t>(投标人全称)   的  (职务) (姓名)</w:t>
      </w:r>
      <w:r>
        <w:rPr>
          <w:rFonts w:hint="eastAsia" w:ascii="宋体" w:hAnsi="宋体" w:eastAsia="宋体" w:cs="宋体"/>
          <w:sz w:val="21"/>
          <w:szCs w:val="21"/>
          <w:highlight w:val="none"/>
        </w:rPr>
        <w:t>为我单位代理人，该代理人有权在</w:t>
      </w:r>
      <w:r>
        <w:rPr>
          <w:rFonts w:hint="eastAsia" w:ascii="宋体" w:hAnsi="宋体" w:eastAsia="宋体" w:cs="宋体"/>
          <w:sz w:val="21"/>
          <w:szCs w:val="21"/>
          <w:highlight w:val="none"/>
          <w:u w:val="single"/>
        </w:rPr>
        <w:t>中建路桥集团有限公司XX项目XX物资采购招标</w:t>
      </w:r>
      <w:r>
        <w:rPr>
          <w:rFonts w:hint="eastAsia" w:ascii="宋体" w:hAnsi="宋体" w:eastAsia="宋体" w:cs="宋体"/>
          <w:sz w:val="21"/>
          <w:szCs w:val="21"/>
          <w:highlight w:val="none"/>
        </w:rPr>
        <w:t>（招标文件编号：</w:t>
      </w:r>
      <w:r>
        <w:rPr>
          <w:rFonts w:hint="eastAsia" w:ascii="宋体" w:hAnsi="宋体" w:eastAsia="宋体" w:cs="宋体"/>
          <w:sz w:val="21"/>
          <w:szCs w:val="21"/>
          <w:highlight w:val="none"/>
          <w:u w:val="single"/>
        </w:rPr>
        <w:t xml:space="preserve">  云筑网编号  </w:t>
      </w:r>
      <w:r>
        <w:rPr>
          <w:rFonts w:hint="eastAsia" w:ascii="宋体" w:hAnsi="宋体" w:eastAsia="宋体" w:cs="宋体"/>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代理人无转委托权。</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特此授权。</w:t>
      </w: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3780" w:firstLineChars="18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 xml:space="preserve">                     (盖章)</w:t>
      </w: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3780" w:firstLineChars="18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授权人：</w:t>
      </w:r>
      <w:r>
        <w:rPr>
          <w:rFonts w:hint="eastAsia" w:ascii="宋体" w:hAnsi="宋体" w:eastAsia="宋体" w:cs="宋体"/>
          <w:sz w:val="21"/>
          <w:szCs w:val="21"/>
          <w:highlight w:val="none"/>
          <w:u w:val="single"/>
        </w:rPr>
        <w:t xml:space="preserve">                     (签字)</w:t>
      </w: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3780" w:firstLineChars="1800"/>
        <w:jc w:val="left"/>
        <w:outlineLvl w:val="2"/>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授权代理人：</w:t>
      </w:r>
      <w:r>
        <w:rPr>
          <w:rFonts w:hint="eastAsia" w:ascii="宋体" w:hAnsi="宋体" w:eastAsia="宋体" w:cs="宋体"/>
          <w:sz w:val="21"/>
          <w:szCs w:val="21"/>
          <w:highlight w:val="none"/>
          <w:u w:val="single"/>
        </w:rPr>
        <w:t xml:space="preserve">                 (签字)</w:t>
      </w: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3780" w:firstLineChars="18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年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pPr>
        <w:spacing w:line="400" w:lineRule="exact"/>
        <w:jc w:val="both"/>
        <w:rPr>
          <w:rFonts w:hint="eastAsia" w:ascii="宋体" w:hAnsi="宋体" w:eastAsia="宋体" w:cs="宋体"/>
          <w:color w:val="000000"/>
          <w:sz w:val="24"/>
          <w:szCs w:val="24"/>
          <w:highlight w:val="none"/>
        </w:rPr>
      </w:pPr>
    </w:p>
    <w:tbl>
      <w:tblPr>
        <w:tblStyle w:val="14"/>
        <w:tblpPr w:leftFromText="180" w:rightFromText="180" w:vertAnchor="text" w:horzAnchor="page" w:tblpX="1506" w:tblpY="508"/>
        <w:tblOverlap w:val="never"/>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4540" w:type="dxa"/>
            <w:tcBorders>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sz w:val="24"/>
                <w:szCs w:val="24"/>
                <w:highlight w:val="none"/>
              </w:rPr>
            </w:pPr>
          </w:p>
        </w:tc>
        <w:tc>
          <w:tcPr>
            <w:tcW w:w="4584" w:type="dxa"/>
            <w:tcBorders>
              <w:left w:val="single" w:color="000000" w:sz="4" w:space="0"/>
            </w:tcBorders>
            <w:noWrap w:val="0"/>
            <w:vAlign w:val="center"/>
          </w:tcPr>
          <w:p>
            <w:pPr>
              <w:autoSpaceDE w:val="0"/>
              <w:autoSpaceDN w:val="0"/>
              <w:adjustRightInd w:val="0"/>
              <w:spacing w:line="400" w:lineRule="exact"/>
              <w:rPr>
                <w:rFonts w:hint="eastAsia" w:ascii="宋体" w:hAnsi="宋体" w:eastAsia="宋体" w:cs="宋体"/>
                <w:color w:val="000000"/>
                <w:sz w:val="24"/>
                <w:szCs w:val="24"/>
                <w:highlight w:val="none"/>
                <w:lang w:val="zh-CN"/>
              </w:rPr>
            </w:pPr>
          </w:p>
        </w:tc>
      </w:tr>
    </w:tbl>
    <w:p>
      <w:pPr>
        <w:spacing w:line="4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u w:val="dash"/>
        </w:rPr>
        <w:t>代理人身份证复印件粘贴处</w:t>
      </w:r>
      <w:r>
        <w:rPr>
          <w:rFonts w:hint="eastAsia" w:ascii="宋体" w:hAnsi="宋体" w:eastAsia="宋体" w:cs="宋体"/>
          <w:b/>
          <w:color w:val="000000"/>
          <w:sz w:val="21"/>
          <w:szCs w:val="21"/>
          <w:highlight w:val="none"/>
        </w:rPr>
        <w:t>：</w:t>
      </w:r>
    </w:p>
    <w:p>
      <w:pPr>
        <w:spacing w:line="400" w:lineRule="exact"/>
        <w:ind w:firstLine="422" w:firstLineChars="200"/>
        <w:rPr>
          <w:rFonts w:hint="eastAsia" w:ascii="宋体" w:hAnsi="宋体" w:eastAsia="宋体" w:cs="宋体"/>
          <w:b/>
          <w:color w:val="000000"/>
          <w:sz w:val="21"/>
          <w:szCs w:val="21"/>
          <w:highlight w:val="none"/>
          <w:u w:val="dash"/>
          <w:lang w:eastAsia="zh-CN"/>
        </w:rPr>
      </w:pPr>
      <w:r>
        <w:rPr>
          <w:rFonts w:hint="eastAsia" w:ascii="宋体" w:hAnsi="宋体" w:eastAsia="宋体" w:cs="宋体"/>
          <w:b/>
          <w:color w:val="000000"/>
          <w:sz w:val="21"/>
          <w:szCs w:val="21"/>
          <w:highlight w:val="none"/>
          <w:u w:val="dash"/>
        </w:rPr>
        <w:t>法定代表人身份证复印件粘贴</w:t>
      </w:r>
      <w:r>
        <w:rPr>
          <w:rFonts w:hint="eastAsia" w:ascii="宋体" w:hAnsi="宋体" w:eastAsia="宋体" w:cs="宋体"/>
          <w:b/>
          <w:color w:val="000000"/>
          <w:sz w:val="21"/>
          <w:szCs w:val="21"/>
          <w:highlight w:val="none"/>
          <w:u w:val="dash"/>
          <w:lang w:eastAsia="zh-CN"/>
        </w:rPr>
        <w:t>处：</w:t>
      </w:r>
    </w:p>
    <w:tbl>
      <w:tblPr>
        <w:tblStyle w:val="14"/>
        <w:tblpPr w:leftFromText="180" w:rightFromText="180" w:vertAnchor="text" w:horzAnchor="page" w:tblpX="1486" w:tblpY="207"/>
        <w:tblOverlap w:val="never"/>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4536" w:type="dxa"/>
            <w:tcBorders>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sz w:val="24"/>
                <w:szCs w:val="24"/>
                <w:highlight w:val="none"/>
              </w:rPr>
            </w:pPr>
          </w:p>
        </w:tc>
        <w:tc>
          <w:tcPr>
            <w:tcW w:w="4583" w:type="dxa"/>
            <w:tcBorders>
              <w:left w:val="single" w:color="000000" w:sz="4" w:space="0"/>
            </w:tcBorders>
            <w:noWrap w:val="0"/>
            <w:vAlign w:val="center"/>
          </w:tcPr>
          <w:p>
            <w:pPr>
              <w:autoSpaceDE w:val="0"/>
              <w:autoSpaceDN w:val="0"/>
              <w:adjustRightInd w:val="0"/>
              <w:spacing w:line="400" w:lineRule="exact"/>
              <w:rPr>
                <w:rFonts w:hint="eastAsia" w:ascii="宋体" w:hAnsi="宋体" w:eastAsia="宋体" w:cs="宋体"/>
                <w:color w:val="000000"/>
                <w:sz w:val="24"/>
                <w:szCs w:val="24"/>
                <w:highlight w:val="none"/>
                <w:lang w:val="zh-CN"/>
              </w:rPr>
            </w:pPr>
          </w:p>
        </w:tc>
      </w:tr>
    </w:tbl>
    <w:p>
      <w:pP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附件四：营业执照、开户许可证</w:t>
      </w:r>
    </w:p>
    <w:p>
      <w:pPr>
        <w:pStyle w:val="7"/>
        <w:rPr>
          <w:rFonts w:hint="eastAsia"/>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1">
    <w:nsid w:val="273F60FC"/>
    <w:multiLevelType w:val="singleLevel"/>
    <w:tmpl w:val="273F60FC"/>
    <w:lvl w:ilvl="0" w:tentative="0">
      <w:start w:val="14"/>
      <w:numFmt w:val="decimal"/>
      <w:lvlText w:val="%1."/>
      <w:lvlJc w:val="left"/>
      <w:pPr>
        <w:tabs>
          <w:tab w:val="left" w:pos="312"/>
        </w:tabs>
        <w:ind w:left="421" w:leftChars="0" w:firstLine="0" w:firstLineChars="0"/>
      </w:pPr>
    </w:lvl>
  </w:abstractNum>
  <w:abstractNum w:abstractNumId="2">
    <w:nsid w:val="3CE43424"/>
    <w:multiLevelType w:val="singleLevel"/>
    <w:tmpl w:val="3CE43424"/>
    <w:lvl w:ilvl="0" w:tentative="0">
      <w:start w:val="6"/>
      <w:numFmt w:val="chineseCounting"/>
      <w:suff w:val="nothing"/>
      <w:lvlText w:val="(%1）"/>
      <w:lvlJc w:val="left"/>
      <w:rPr>
        <w:rFonts w:hint="eastAsia"/>
      </w:rPr>
    </w:lvl>
  </w:abstractNum>
  <w:abstractNum w:abstractNumId="3">
    <w:nsid w:val="5A99D076"/>
    <w:multiLevelType w:val="singleLevel"/>
    <w:tmpl w:val="5A99D076"/>
    <w:lvl w:ilvl="0" w:tentative="0">
      <w:start w:val="2"/>
      <w:numFmt w:val="decimal"/>
      <w:lvlText w:val="%1."/>
      <w:lvlJc w:val="left"/>
      <w:pPr>
        <w:tabs>
          <w:tab w:val="left" w:pos="312"/>
        </w:tabs>
        <w:ind w:left="480" w:firstLine="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YzQxNTAzYTQ5OGI4NmJjMGNiYWJlMjUxOTEyMWMifQ=="/>
  </w:docVars>
  <w:rsids>
    <w:rsidRoot w:val="00B57500"/>
    <w:rsid w:val="000011EE"/>
    <w:rsid w:val="00001A82"/>
    <w:rsid w:val="000021EB"/>
    <w:rsid w:val="00003995"/>
    <w:rsid w:val="000043CA"/>
    <w:rsid w:val="00004C4C"/>
    <w:rsid w:val="00004E93"/>
    <w:rsid w:val="000058EB"/>
    <w:rsid w:val="00007399"/>
    <w:rsid w:val="00013CE3"/>
    <w:rsid w:val="000215B5"/>
    <w:rsid w:val="00025138"/>
    <w:rsid w:val="000269B7"/>
    <w:rsid w:val="00027F1C"/>
    <w:rsid w:val="0003164B"/>
    <w:rsid w:val="0003244D"/>
    <w:rsid w:val="000324EA"/>
    <w:rsid w:val="00034971"/>
    <w:rsid w:val="00036260"/>
    <w:rsid w:val="000402A7"/>
    <w:rsid w:val="00040C2D"/>
    <w:rsid w:val="00041F38"/>
    <w:rsid w:val="000427AF"/>
    <w:rsid w:val="0004441E"/>
    <w:rsid w:val="0004626E"/>
    <w:rsid w:val="0004699E"/>
    <w:rsid w:val="000546A3"/>
    <w:rsid w:val="00054CC6"/>
    <w:rsid w:val="00054E85"/>
    <w:rsid w:val="00055F67"/>
    <w:rsid w:val="0005621A"/>
    <w:rsid w:val="00060DCA"/>
    <w:rsid w:val="00062293"/>
    <w:rsid w:val="000644DD"/>
    <w:rsid w:val="00065441"/>
    <w:rsid w:val="00066455"/>
    <w:rsid w:val="00070C0F"/>
    <w:rsid w:val="00070C5A"/>
    <w:rsid w:val="0007193D"/>
    <w:rsid w:val="000725D1"/>
    <w:rsid w:val="0007272E"/>
    <w:rsid w:val="00073F42"/>
    <w:rsid w:val="000767D5"/>
    <w:rsid w:val="00083E8F"/>
    <w:rsid w:val="00084422"/>
    <w:rsid w:val="00085357"/>
    <w:rsid w:val="00086B95"/>
    <w:rsid w:val="000871FD"/>
    <w:rsid w:val="00087DE9"/>
    <w:rsid w:val="00087FAD"/>
    <w:rsid w:val="000911CE"/>
    <w:rsid w:val="00091C57"/>
    <w:rsid w:val="00091D57"/>
    <w:rsid w:val="00091F31"/>
    <w:rsid w:val="00094C6E"/>
    <w:rsid w:val="000A1F7C"/>
    <w:rsid w:val="000A1FF4"/>
    <w:rsid w:val="000A2EA2"/>
    <w:rsid w:val="000B167D"/>
    <w:rsid w:val="000B172F"/>
    <w:rsid w:val="000B2897"/>
    <w:rsid w:val="000B4E67"/>
    <w:rsid w:val="000B5281"/>
    <w:rsid w:val="000B556D"/>
    <w:rsid w:val="000B5D41"/>
    <w:rsid w:val="000B67DF"/>
    <w:rsid w:val="000B70F0"/>
    <w:rsid w:val="000C21A9"/>
    <w:rsid w:val="000C34C9"/>
    <w:rsid w:val="000C3F35"/>
    <w:rsid w:val="000C4560"/>
    <w:rsid w:val="000C6D5C"/>
    <w:rsid w:val="000D0C0F"/>
    <w:rsid w:val="000D21F2"/>
    <w:rsid w:val="000D2A58"/>
    <w:rsid w:val="000E10EC"/>
    <w:rsid w:val="000E1167"/>
    <w:rsid w:val="000E132D"/>
    <w:rsid w:val="000E1340"/>
    <w:rsid w:val="000E2FE2"/>
    <w:rsid w:val="000E344E"/>
    <w:rsid w:val="000E7644"/>
    <w:rsid w:val="000E7BCB"/>
    <w:rsid w:val="000F19FD"/>
    <w:rsid w:val="000F1DAE"/>
    <w:rsid w:val="000F457C"/>
    <w:rsid w:val="000F60AF"/>
    <w:rsid w:val="000F680B"/>
    <w:rsid w:val="000F7D93"/>
    <w:rsid w:val="000F7E1B"/>
    <w:rsid w:val="0010012F"/>
    <w:rsid w:val="00100AD8"/>
    <w:rsid w:val="00101F95"/>
    <w:rsid w:val="0010295D"/>
    <w:rsid w:val="0010321C"/>
    <w:rsid w:val="00104BA2"/>
    <w:rsid w:val="00105BA4"/>
    <w:rsid w:val="00110202"/>
    <w:rsid w:val="001107DA"/>
    <w:rsid w:val="00112286"/>
    <w:rsid w:val="0011362E"/>
    <w:rsid w:val="001160CC"/>
    <w:rsid w:val="001208BC"/>
    <w:rsid w:val="00121B43"/>
    <w:rsid w:val="00122E24"/>
    <w:rsid w:val="00123E24"/>
    <w:rsid w:val="001243F3"/>
    <w:rsid w:val="00134AB2"/>
    <w:rsid w:val="0014097A"/>
    <w:rsid w:val="00140A1E"/>
    <w:rsid w:val="00140C93"/>
    <w:rsid w:val="00141D31"/>
    <w:rsid w:val="00142943"/>
    <w:rsid w:val="00142D92"/>
    <w:rsid w:val="00145D1D"/>
    <w:rsid w:val="00147BAB"/>
    <w:rsid w:val="00151A3A"/>
    <w:rsid w:val="00152002"/>
    <w:rsid w:val="0015223E"/>
    <w:rsid w:val="00153D04"/>
    <w:rsid w:val="0015616B"/>
    <w:rsid w:val="001572F9"/>
    <w:rsid w:val="00161995"/>
    <w:rsid w:val="00162D97"/>
    <w:rsid w:val="00162EB8"/>
    <w:rsid w:val="00163FEB"/>
    <w:rsid w:val="00167C93"/>
    <w:rsid w:val="00176FF2"/>
    <w:rsid w:val="001829E9"/>
    <w:rsid w:val="00183871"/>
    <w:rsid w:val="00184347"/>
    <w:rsid w:val="00187BAD"/>
    <w:rsid w:val="001934C5"/>
    <w:rsid w:val="00193A1B"/>
    <w:rsid w:val="001A5835"/>
    <w:rsid w:val="001A5888"/>
    <w:rsid w:val="001A5BE5"/>
    <w:rsid w:val="001B3380"/>
    <w:rsid w:val="001B509A"/>
    <w:rsid w:val="001B51FB"/>
    <w:rsid w:val="001B6BAA"/>
    <w:rsid w:val="001C2803"/>
    <w:rsid w:val="001C3F9F"/>
    <w:rsid w:val="001C4279"/>
    <w:rsid w:val="001C4612"/>
    <w:rsid w:val="001C5322"/>
    <w:rsid w:val="001C66CA"/>
    <w:rsid w:val="001D1005"/>
    <w:rsid w:val="001D190C"/>
    <w:rsid w:val="001D39D5"/>
    <w:rsid w:val="001D3D18"/>
    <w:rsid w:val="001D4350"/>
    <w:rsid w:val="001D4C58"/>
    <w:rsid w:val="001D4F89"/>
    <w:rsid w:val="001D6478"/>
    <w:rsid w:val="001D7456"/>
    <w:rsid w:val="001D7862"/>
    <w:rsid w:val="001E2395"/>
    <w:rsid w:val="001E35A4"/>
    <w:rsid w:val="001E7313"/>
    <w:rsid w:val="001F157E"/>
    <w:rsid w:val="001F1DBB"/>
    <w:rsid w:val="001F2BE8"/>
    <w:rsid w:val="001F2E34"/>
    <w:rsid w:val="001F3124"/>
    <w:rsid w:val="001F48C8"/>
    <w:rsid w:val="0020010A"/>
    <w:rsid w:val="002017E2"/>
    <w:rsid w:val="00201929"/>
    <w:rsid w:val="00202D2E"/>
    <w:rsid w:val="00203139"/>
    <w:rsid w:val="002046DF"/>
    <w:rsid w:val="00205234"/>
    <w:rsid w:val="002056EC"/>
    <w:rsid w:val="00206A15"/>
    <w:rsid w:val="00206F78"/>
    <w:rsid w:val="00206FDF"/>
    <w:rsid w:val="002102BB"/>
    <w:rsid w:val="00214B01"/>
    <w:rsid w:val="002157DF"/>
    <w:rsid w:val="00217029"/>
    <w:rsid w:val="00220EAE"/>
    <w:rsid w:val="00221D39"/>
    <w:rsid w:val="00223EAA"/>
    <w:rsid w:val="002267F1"/>
    <w:rsid w:val="00231C58"/>
    <w:rsid w:val="002325E0"/>
    <w:rsid w:val="002331A2"/>
    <w:rsid w:val="00235AD2"/>
    <w:rsid w:val="002366AC"/>
    <w:rsid w:val="00237E7F"/>
    <w:rsid w:val="00241124"/>
    <w:rsid w:val="00244FE2"/>
    <w:rsid w:val="00246E42"/>
    <w:rsid w:val="00247543"/>
    <w:rsid w:val="002503E0"/>
    <w:rsid w:val="002507BA"/>
    <w:rsid w:val="00255ADA"/>
    <w:rsid w:val="00255E20"/>
    <w:rsid w:val="0025688E"/>
    <w:rsid w:val="00260896"/>
    <w:rsid w:val="00264849"/>
    <w:rsid w:val="00267190"/>
    <w:rsid w:val="0027192D"/>
    <w:rsid w:val="00280E3D"/>
    <w:rsid w:val="002828F3"/>
    <w:rsid w:val="0028318A"/>
    <w:rsid w:val="0028495D"/>
    <w:rsid w:val="0028661E"/>
    <w:rsid w:val="0029139E"/>
    <w:rsid w:val="002923E4"/>
    <w:rsid w:val="00294343"/>
    <w:rsid w:val="00296C1F"/>
    <w:rsid w:val="00297770"/>
    <w:rsid w:val="002A004F"/>
    <w:rsid w:val="002A0279"/>
    <w:rsid w:val="002A03D8"/>
    <w:rsid w:val="002A0C6E"/>
    <w:rsid w:val="002A576D"/>
    <w:rsid w:val="002A7EE4"/>
    <w:rsid w:val="002B1F95"/>
    <w:rsid w:val="002B326E"/>
    <w:rsid w:val="002B49BF"/>
    <w:rsid w:val="002B62E0"/>
    <w:rsid w:val="002C2E33"/>
    <w:rsid w:val="002C4F6D"/>
    <w:rsid w:val="002C6B17"/>
    <w:rsid w:val="002C741F"/>
    <w:rsid w:val="002C77CC"/>
    <w:rsid w:val="002D2CAD"/>
    <w:rsid w:val="002D7606"/>
    <w:rsid w:val="002E16AD"/>
    <w:rsid w:val="002E537A"/>
    <w:rsid w:val="002E5719"/>
    <w:rsid w:val="002E6A68"/>
    <w:rsid w:val="002F2739"/>
    <w:rsid w:val="002F359C"/>
    <w:rsid w:val="002F4062"/>
    <w:rsid w:val="00300F26"/>
    <w:rsid w:val="00303A89"/>
    <w:rsid w:val="00304BFF"/>
    <w:rsid w:val="003054D5"/>
    <w:rsid w:val="0030766D"/>
    <w:rsid w:val="0031126A"/>
    <w:rsid w:val="003161DD"/>
    <w:rsid w:val="00316426"/>
    <w:rsid w:val="00316581"/>
    <w:rsid w:val="0031701F"/>
    <w:rsid w:val="00320227"/>
    <w:rsid w:val="0032234D"/>
    <w:rsid w:val="00322684"/>
    <w:rsid w:val="003233F1"/>
    <w:rsid w:val="0032382F"/>
    <w:rsid w:val="0032599E"/>
    <w:rsid w:val="00330734"/>
    <w:rsid w:val="00332F49"/>
    <w:rsid w:val="0033354B"/>
    <w:rsid w:val="00343CCD"/>
    <w:rsid w:val="00347908"/>
    <w:rsid w:val="00350665"/>
    <w:rsid w:val="00353095"/>
    <w:rsid w:val="00357019"/>
    <w:rsid w:val="00360150"/>
    <w:rsid w:val="00360445"/>
    <w:rsid w:val="00361D21"/>
    <w:rsid w:val="0036201F"/>
    <w:rsid w:val="003621D0"/>
    <w:rsid w:val="00363B37"/>
    <w:rsid w:val="00367337"/>
    <w:rsid w:val="003673F0"/>
    <w:rsid w:val="003716AF"/>
    <w:rsid w:val="003766F8"/>
    <w:rsid w:val="00376AC5"/>
    <w:rsid w:val="003779F0"/>
    <w:rsid w:val="00381978"/>
    <w:rsid w:val="00381B02"/>
    <w:rsid w:val="00383C4D"/>
    <w:rsid w:val="00385CBF"/>
    <w:rsid w:val="00386661"/>
    <w:rsid w:val="00387267"/>
    <w:rsid w:val="00392D07"/>
    <w:rsid w:val="00393C00"/>
    <w:rsid w:val="00394B93"/>
    <w:rsid w:val="00396B76"/>
    <w:rsid w:val="003A242C"/>
    <w:rsid w:val="003A3126"/>
    <w:rsid w:val="003A57A7"/>
    <w:rsid w:val="003A588A"/>
    <w:rsid w:val="003A7FFC"/>
    <w:rsid w:val="003B1A76"/>
    <w:rsid w:val="003B203E"/>
    <w:rsid w:val="003B2BB1"/>
    <w:rsid w:val="003B3B60"/>
    <w:rsid w:val="003B521A"/>
    <w:rsid w:val="003B60FC"/>
    <w:rsid w:val="003B705C"/>
    <w:rsid w:val="003C3185"/>
    <w:rsid w:val="003C3DA7"/>
    <w:rsid w:val="003C6DE5"/>
    <w:rsid w:val="003D06C1"/>
    <w:rsid w:val="003D2768"/>
    <w:rsid w:val="003D7B2A"/>
    <w:rsid w:val="003E0ECC"/>
    <w:rsid w:val="003E1560"/>
    <w:rsid w:val="003E1F08"/>
    <w:rsid w:val="003E31FD"/>
    <w:rsid w:val="003E38D9"/>
    <w:rsid w:val="003E3CA1"/>
    <w:rsid w:val="003F06BA"/>
    <w:rsid w:val="003F595A"/>
    <w:rsid w:val="003F5AAA"/>
    <w:rsid w:val="0040198D"/>
    <w:rsid w:val="00402906"/>
    <w:rsid w:val="004033E7"/>
    <w:rsid w:val="0040388B"/>
    <w:rsid w:val="00403FC4"/>
    <w:rsid w:val="0040412A"/>
    <w:rsid w:val="0041084C"/>
    <w:rsid w:val="00415E38"/>
    <w:rsid w:val="00416C51"/>
    <w:rsid w:val="00421364"/>
    <w:rsid w:val="00422850"/>
    <w:rsid w:val="00425455"/>
    <w:rsid w:val="0042679C"/>
    <w:rsid w:val="00427121"/>
    <w:rsid w:val="0042770C"/>
    <w:rsid w:val="00433BA3"/>
    <w:rsid w:val="00437062"/>
    <w:rsid w:val="00437CCC"/>
    <w:rsid w:val="00440712"/>
    <w:rsid w:val="00440AF2"/>
    <w:rsid w:val="00440F0B"/>
    <w:rsid w:val="00441A14"/>
    <w:rsid w:val="00441BCB"/>
    <w:rsid w:val="00442A19"/>
    <w:rsid w:val="004430A7"/>
    <w:rsid w:val="0045111F"/>
    <w:rsid w:val="00452A53"/>
    <w:rsid w:val="00454975"/>
    <w:rsid w:val="0045668C"/>
    <w:rsid w:val="00457A73"/>
    <w:rsid w:val="00460179"/>
    <w:rsid w:val="004623C9"/>
    <w:rsid w:val="004667F5"/>
    <w:rsid w:val="004733A5"/>
    <w:rsid w:val="00474D47"/>
    <w:rsid w:val="0047655B"/>
    <w:rsid w:val="004773C3"/>
    <w:rsid w:val="0048086F"/>
    <w:rsid w:val="004859B2"/>
    <w:rsid w:val="00486BA1"/>
    <w:rsid w:val="00487A89"/>
    <w:rsid w:val="00495091"/>
    <w:rsid w:val="004958E9"/>
    <w:rsid w:val="0049689E"/>
    <w:rsid w:val="00496B7B"/>
    <w:rsid w:val="004A0870"/>
    <w:rsid w:val="004A5D3B"/>
    <w:rsid w:val="004A6565"/>
    <w:rsid w:val="004A6B7E"/>
    <w:rsid w:val="004A7AEF"/>
    <w:rsid w:val="004B03FC"/>
    <w:rsid w:val="004B72B3"/>
    <w:rsid w:val="004B7DB1"/>
    <w:rsid w:val="004C0849"/>
    <w:rsid w:val="004C24B2"/>
    <w:rsid w:val="004C55F2"/>
    <w:rsid w:val="004C5606"/>
    <w:rsid w:val="004C5630"/>
    <w:rsid w:val="004D0325"/>
    <w:rsid w:val="004D4A25"/>
    <w:rsid w:val="004E128B"/>
    <w:rsid w:val="004E3359"/>
    <w:rsid w:val="004E3CEF"/>
    <w:rsid w:val="004E7315"/>
    <w:rsid w:val="004E7A5B"/>
    <w:rsid w:val="004F1062"/>
    <w:rsid w:val="004F13BC"/>
    <w:rsid w:val="004F36CB"/>
    <w:rsid w:val="004F49AC"/>
    <w:rsid w:val="004F5299"/>
    <w:rsid w:val="004F66BE"/>
    <w:rsid w:val="004F6D39"/>
    <w:rsid w:val="004F6EC3"/>
    <w:rsid w:val="004F6F23"/>
    <w:rsid w:val="00500888"/>
    <w:rsid w:val="005023A1"/>
    <w:rsid w:val="0050592E"/>
    <w:rsid w:val="00506202"/>
    <w:rsid w:val="005112BE"/>
    <w:rsid w:val="0051154B"/>
    <w:rsid w:val="0051590D"/>
    <w:rsid w:val="005163A8"/>
    <w:rsid w:val="005209BD"/>
    <w:rsid w:val="00522643"/>
    <w:rsid w:val="00527A18"/>
    <w:rsid w:val="00527EBA"/>
    <w:rsid w:val="0053137E"/>
    <w:rsid w:val="0053306B"/>
    <w:rsid w:val="00533673"/>
    <w:rsid w:val="00533AB3"/>
    <w:rsid w:val="00534802"/>
    <w:rsid w:val="0053501C"/>
    <w:rsid w:val="00535884"/>
    <w:rsid w:val="0054042F"/>
    <w:rsid w:val="00543B2A"/>
    <w:rsid w:val="005449DE"/>
    <w:rsid w:val="005465AC"/>
    <w:rsid w:val="005504FD"/>
    <w:rsid w:val="00551A9B"/>
    <w:rsid w:val="00552FF4"/>
    <w:rsid w:val="00555759"/>
    <w:rsid w:val="00555FFF"/>
    <w:rsid w:val="00560192"/>
    <w:rsid w:val="00560B8E"/>
    <w:rsid w:val="005632EF"/>
    <w:rsid w:val="00563928"/>
    <w:rsid w:val="0056537A"/>
    <w:rsid w:val="0057382C"/>
    <w:rsid w:val="00575327"/>
    <w:rsid w:val="00577E00"/>
    <w:rsid w:val="00581440"/>
    <w:rsid w:val="00582ABF"/>
    <w:rsid w:val="00585494"/>
    <w:rsid w:val="00585567"/>
    <w:rsid w:val="00586339"/>
    <w:rsid w:val="00590617"/>
    <w:rsid w:val="00590CED"/>
    <w:rsid w:val="00594299"/>
    <w:rsid w:val="00596CE5"/>
    <w:rsid w:val="00597093"/>
    <w:rsid w:val="00597971"/>
    <w:rsid w:val="005A2F49"/>
    <w:rsid w:val="005A3CFC"/>
    <w:rsid w:val="005A4ED5"/>
    <w:rsid w:val="005A6326"/>
    <w:rsid w:val="005A6714"/>
    <w:rsid w:val="005A74B5"/>
    <w:rsid w:val="005A7F0F"/>
    <w:rsid w:val="005B037C"/>
    <w:rsid w:val="005B3336"/>
    <w:rsid w:val="005B5F78"/>
    <w:rsid w:val="005C06EC"/>
    <w:rsid w:val="005C0919"/>
    <w:rsid w:val="005C3E51"/>
    <w:rsid w:val="005C58FE"/>
    <w:rsid w:val="005C714A"/>
    <w:rsid w:val="005C739E"/>
    <w:rsid w:val="005C73C7"/>
    <w:rsid w:val="005D0493"/>
    <w:rsid w:val="005D058F"/>
    <w:rsid w:val="005D0F78"/>
    <w:rsid w:val="005D3372"/>
    <w:rsid w:val="005D51B2"/>
    <w:rsid w:val="005D5265"/>
    <w:rsid w:val="005D6B62"/>
    <w:rsid w:val="005E1222"/>
    <w:rsid w:val="005E2D1F"/>
    <w:rsid w:val="005E5450"/>
    <w:rsid w:val="005F10F0"/>
    <w:rsid w:val="005F3E5D"/>
    <w:rsid w:val="005F4CE1"/>
    <w:rsid w:val="005F603D"/>
    <w:rsid w:val="00600373"/>
    <w:rsid w:val="00600F8D"/>
    <w:rsid w:val="00603DD5"/>
    <w:rsid w:val="00606101"/>
    <w:rsid w:val="006070D5"/>
    <w:rsid w:val="006078B7"/>
    <w:rsid w:val="00610C3B"/>
    <w:rsid w:val="00612483"/>
    <w:rsid w:val="00613A07"/>
    <w:rsid w:val="006173EC"/>
    <w:rsid w:val="006226EC"/>
    <w:rsid w:val="006257F9"/>
    <w:rsid w:val="00625BA8"/>
    <w:rsid w:val="00627402"/>
    <w:rsid w:val="0062756C"/>
    <w:rsid w:val="006331F7"/>
    <w:rsid w:val="006336C5"/>
    <w:rsid w:val="006338A4"/>
    <w:rsid w:val="00633DD0"/>
    <w:rsid w:val="0063572E"/>
    <w:rsid w:val="00635F1D"/>
    <w:rsid w:val="00636E85"/>
    <w:rsid w:val="00637D64"/>
    <w:rsid w:val="006458AD"/>
    <w:rsid w:val="00646005"/>
    <w:rsid w:val="00652F2A"/>
    <w:rsid w:val="00655C8B"/>
    <w:rsid w:val="00655FA1"/>
    <w:rsid w:val="0065713F"/>
    <w:rsid w:val="00660301"/>
    <w:rsid w:val="00665DC8"/>
    <w:rsid w:val="006710A3"/>
    <w:rsid w:val="006723E5"/>
    <w:rsid w:val="00674AC6"/>
    <w:rsid w:val="0067507B"/>
    <w:rsid w:val="00675D43"/>
    <w:rsid w:val="006761C7"/>
    <w:rsid w:val="006778AE"/>
    <w:rsid w:val="00685193"/>
    <w:rsid w:val="006866BF"/>
    <w:rsid w:val="00687C4C"/>
    <w:rsid w:val="006909DE"/>
    <w:rsid w:val="006922E8"/>
    <w:rsid w:val="00697389"/>
    <w:rsid w:val="006A3086"/>
    <w:rsid w:val="006A3580"/>
    <w:rsid w:val="006A41B9"/>
    <w:rsid w:val="006A6962"/>
    <w:rsid w:val="006B1FA9"/>
    <w:rsid w:val="006B242F"/>
    <w:rsid w:val="006B5A85"/>
    <w:rsid w:val="006B6418"/>
    <w:rsid w:val="006B7962"/>
    <w:rsid w:val="006B7D2C"/>
    <w:rsid w:val="006C05C5"/>
    <w:rsid w:val="006C364E"/>
    <w:rsid w:val="006C75D2"/>
    <w:rsid w:val="006D35E6"/>
    <w:rsid w:val="006D619D"/>
    <w:rsid w:val="006D62A5"/>
    <w:rsid w:val="006D6360"/>
    <w:rsid w:val="006D63F9"/>
    <w:rsid w:val="006D7280"/>
    <w:rsid w:val="006E24FC"/>
    <w:rsid w:val="006E33E7"/>
    <w:rsid w:val="006E3439"/>
    <w:rsid w:val="006E4560"/>
    <w:rsid w:val="006E57A9"/>
    <w:rsid w:val="006E6A78"/>
    <w:rsid w:val="006F1F94"/>
    <w:rsid w:val="0070060C"/>
    <w:rsid w:val="0070088C"/>
    <w:rsid w:val="00701FCA"/>
    <w:rsid w:val="00704813"/>
    <w:rsid w:val="00704B7D"/>
    <w:rsid w:val="00704FB6"/>
    <w:rsid w:val="007053F6"/>
    <w:rsid w:val="00707DB9"/>
    <w:rsid w:val="00707FDC"/>
    <w:rsid w:val="00711102"/>
    <w:rsid w:val="00711DFF"/>
    <w:rsid w:val="0071222D"/>
    <w:rsid w:val="007125D3"/>
    <w:rsid w:val="007128BD"/>
    <w:rsid w:val="00714A84"/>
    <w:rsid w:val="00714E0A"/>
    <w:rsid w:val="00716295"/>
    <w:rsid w:val="00716411"/>
    <w:rsid w:val="00721FA4"/>
    <w:rsid w:val="0072329B"/>
    <w:rsid w:val="00724CAB"/>
    <w:rsid w:val="00725096"/>
    <w:rsid w:val="0072651E"/>
    <w:rsid w:val="007305B4"/>
    <w:rsid w:val="00732ECD"/>
    <w:rsid w:val="00733115"/>
    <w:rsid w:val="00740F44"/>
    <w:rsid w:val="00741154"/>
    <w:rsid w:val="00743263"/>
    <w:rsid w:val="007432EC"/>
    <w:rsid w:val="00744052"/>
    <w:rsid w:val="007445F7"/>
    <w:rsid w:val="0074465B"/>
    <w:rsid w:val="00747435"/>
    <w:rsid w:val="007475FD"/>
    <w:rsid w:val="007507C3"/>
    <w:rsid w:val="00752493"/>
    <w:rsid w:val="007549C1"/>
    <w:rsid w:val="00754AB2"/>
    <w:rsid w:val="007623C4"/>
    <w:rsid w:val="00763438"/>
    <w:rsid w:val="00763CB8"/>
    <w:rsid w:val="00766214"/>
    <w:rsid w:val="00766457"/>
    <w:rsid w:val="00766CD1"/>
    <w:rsid w:val="00770A5F"/>
    <w:rsid w:val="00771DE2"/>
    <w:rsid w:val="00772446"/>
    <w:rsid w:val="0077496E"/>
    <w:rsid w:val="00776AD1"/>
    <w:rsid w:val="00776F66"/>
    <w:rsid w:val="007776E6"/>
    <w:rsid w:val="007802AB"/>
    <w:rsid w:val="007802B9"/>
    <w:rsid w:val="00782B17"/>
    <w:rsid w:val="00782E72"/>
    <w:rsid w:val="0078475C"/>
    <w:rsid w:val="00785FBA"/>
    <w:rsid w:val="007872F4"/>
    <w:rsid w:val="00790533"/>
    <w:rsid w:val="00790763"/>
    <w:rsid w:val="0079249F"/>
    <w:rsid w:val="00794812"/>
    <w:rsid w:val="007A04A1"/>
    <w:rsid w:val="007A3346"/>
    <w:rsid w:val="007A6A85"/>
    <w:rsid w:val="007A7714"/>
    <w:rsid w:val="007A7D40"/>
    <w:rsid w:val="007B0B14"/>
    <w:rsid w:val="007B153F"/>
    <w:rsid w:val="007B1CC4"/>
    <w:rsid w:val="007B41FB"/>
    <w:rsid w:val="007C07EA"/>
    <w:rsid w:val="007C0BEE"/>
    <w:rsid w:val="007C2410"/>
    <w:rsid w:val="007C2B16"/>
    <w:rsid w:val="007C2B74"/>
    <w:rsid w:val="007C75ED"/>
    <w:rsid w:val="007D06B7"/>
    <w:rsid w:val="007D0C22"/>
    <w:rsid w:val="007D3B58"/>
    <w:rsid w:val="007D540A"/>
    <w:rsid w:val="007D6498"/>
    <w:rsid w:val="007D671B"/>
    <w:rsid w:val="007E0156"/>
    <w:rsid w:val="007E269A"/>
    <w:rsid w:val="007E2F73"/>
    <w:rsid w:val="007E5590"/>
    <w:rsid w:val="007E6E3A"/>
    <w:rsid w:val="007F1B59"/>
    <w:rsid w:val="007F1E28"/>
    <w:rsid w:val="007F4590"/>
    <w:rsid w:val="007F629B"/>
    <w:rsid w:val="00804E14"/>
    <w:rsid w:val="00805C63"/>
    <w:rsid w:val="008105F1"/>
    <w:rsid w:val="00811022"/>
    <w:rsid w:val="008112F6"/>
    <w:rsid w:val="008170B6"/>
    <w:rsid w:val="008172AE"/>
    <w:rsid w:val="00820583"/>
    <w:rsid w:val="00820CEE"/>
    <w:rsid w:val="0082351C"/>
    <w:rsid w:val="00824955"/>
    <w:rsid w:val="0082514D"/>
    <w:rsid w:val="00826C64"/>
    <w:rsid w:val="008278D4"/>
    <w:rsid w:val="008316AD"/>
    <w:rsid w:val="00833E0D"/>
    <w:rsid w:val="00834639"/>
    <w:rsid w:val="00836343"/>
    <w:rsid w:val="008400DE"/>
    <w:rsid w:val="00841445"/>
    <w:rsid w:val="00841FC1"/>
    <w:rsid w:val="008431DE"/>
    <w:rsid w:val="0084417F"/>
    <w:rsid w:val="0084559D"/>
    <w:rsid w:val="00851537"/>
    <w:rsid w:val="00852363"/>
    <w:rsid w:val="00853AF6"/>
    <w:rsid w:val="00854202"/>
    <w:rsid w:val="0085482D"/>
    <w:rsid w:val="00854C3A"/>
    <w:rsid w:val="00860019"/>
    <w:rsid w:val="00861FF1"/>
    <w:rsid w:val="00862B13"/>
    <w:rsid w:val="00864863"/>
    <w:rsid w:val="00864CEF"/>
    <w:rsid w:val="008650AE"/>
    <w:rsid w:val="008657E1"/>
    <w:rsid w:val="008664D8"/>
    <w:rsid w:val="00867ECB"/>
    <w:rsid w:val="00871874"/>
    <w:rsid w:val="0087233C"/>
    <w:rsid w:val="00873249"/>
    <w:rsid w:val="008760A7"/>
    <w:rsid w:val="00877D4E"/>
    <w:rsid w:val="008803B2"/>
    <w:rsid w:val="00880822"/>
    <w:rsid w:val="00880E66"/>
    <w:rsid w:val="0088165C"/>
    <w:rsid w:val="0088305D"/>
    <w:rsid w:val="00885F5B"/>
    <w:rsid w:val="00886151"/>
    <w:rsid w:val="0088709D"/>
    <w:rsid w:val="0089050E"/>
    <w:rsid w:val="00890F1E"/>
    <w:rsid w:val="00893D15"/>
    <w:rsid w:val="00894434"/>
    <w:rsid w:val="008963C5"/>
    <w:rsid w:val="008A03DE"/>
    <w:rsid w:val="008A1DB1"/>
    <w:rsid w:val="008A220C"/>
    <w:rsid w:val="008A28FD"/>
    <w:rsid w:val="008A2E5F"/>
    <w:rsid w:val="008A617A"/>
    <w:rsid w:val="008A6DDD"/>
    <w:rsid w:val="008B15DA"/>
    <w:rsid w:val="008B2AB0"/>
    <w:rsid w:val="008B43B8"/>
    <w:rsid w:val="008B7286"/>
    <w:rsid w:val="008B7D76"/>
    <w:rsid w:val="008C0DDB"/>
    <w:rsid w:val="008C1FF0"/>
    <w:rsid w:val="008C305C"/>
    <w:rsid w:val="008C3162"/>
    <w:rsid w:val="008C5EF5"/>
    <w:rsid w:val="008D0132"/>
    <w:rsid w:val="008D123F"/>
    <w:rsid w:val="008D1A72"/>
    <w:rsid w:val="008D20C3"/>
    <w:rsid w:val="008D3962"/>
    <w:rsid w:val="008D4B69"/>
    <w:rsid w:val="008D517E"/>
    <w:rsid w:val="008D586F"/>
    <w:rsid w:val="008D729A"/>
    <w:rsid w:val="008D7D08"/>
    <w:rsid w:val="008E1D4C"/>
    <w:rsid w:val="008E1E6B"/>
    <w:rsid w:val="008E37B5"/>
    <w:rsid w:val="008E385A"/>
    <w:rsid w:val="008F0126"/>
    <w:rsid w:val="008F0458"/>
    <w:rsid w:val="008F0B25"/>
    <w:rsid w:val="008F1397"/>
    <w:rsid w:val="008F22B2"/>
    <w:rsid w:val="009006B0"/>
    <w:rsid w:val="009010F7"/>
    <w:rsid w:val="00901C68"/>
    <w:rsid w:val="009025CF"/>
    <w:rsid w:val="00903704"/>
    <w:rsid w:val="00903F1F"/>
    <w:rsid w:val="009048F1"/>
    <w:rsid w:val="0091038C"/>
    <w:rsid w:val="009105D3"/>
    <w:rsid w:val="00912852"/>
    <w:rsid w:val="00913A64"/>
    <w:rsid w:val="00914754"/>
    <w:rsid w:val="00916A64"/>
    <w:rsid w:val="00920F92"/>
    <w:rsid w:val="009231AB"/>
    <w:rsid w:val="00923E72"/>
    <w:rsid w:val="009245D1"/>
    <w:rsid w:val="009253EB"/>
    <w:rsid w:val="00927670"/>
    <w:rsid w:val="0093067A"/>
    <w:rsid w:val="00933406"/>
    <w:rsid w:val="00936EC4"/>
    <w:rsid w:val="00937B36"/>
    <w:rsid w:val="00940998"/>
    <w:rsid w:val="00940DE9"/>
    <w:rsid w:val="00941600"/>
    <w:rsid w:val="00941EC4"/>
    <w:rsid w:val="00943B28"/>
    <w:rsid w:val="00944202"/>
    <w:rsid w:val="00944B8A"/>
    <w:rsid w:val="00945C16"/>
    <w:rsid w:val="00946DD3"/>
    <w:rsid w:val="009521A8"/>
    <w:rsid w:val="00953433"/>
    <w:rsid w:val="00955DAD"/>
    <w:rsid w:val="009601DD"/>
    <w:rsid w:val="00960CBB"/>
    <w:rsid w:val="00961B0B"/>
    <w:rsid w:val="009642A9"/>
    <w:rsid w:val="00965F7E"/>
    <w:rsid w:val="009663CA"/>
    <w:rsid w:val="00970402"/>
    <w:rsid w:val="009731F5"/>
    <w:rsid w:val="009739D9"/>
    <w:rsid w:val="00976239"/>
    <w:rsid w:val="00976A8A"/>
    <w:rsid w:val="00976FE6"/>
    <w:rsid w:val="00977FD0"/>
    <w:rsid w:val="009818BD"/>
    <w:rsid w:val="0098473F"/>
    <w:rsid w:val="009864A0"/>
    <w:rsid w:val="009906D7"/>
    <w:rsid w:val="00992FDB"/>
    <w:rsid w:val="009931B3"/>
    <w:rsid w:val="00994B40"/>
    <w:rsid w:val="00994E66"/>
    <w:rsid w:val="00995B5E"/>
    <w:rsid w:val="009A0812"/>
    <w:rsid w:val="009A0DAB"/>
    <w:rsid w:val="009A1673"/>
    <w:rsid w:val="009A27DD"/>
    <w:rsid w:val="009A44DF"/>
    <w:rsid w:val="009A45D3"/>
    <w:rsid w:val="009A71EE"/>
    <w:rsid w:val="009A7862"/>
    <w:rsid w:val="009B0323"/>
    <w:rsid w:val="009B266D"/>
    <w:rsid w:val="009B5F0C"/>
    <w:rsid w:val="009C51C0"/>
    <w:rsid w:val="009D1739"/>
    <w:rsid w:val="009D2D0A"/>
    <w:rsid w:val="009D67F8"/>
    <w:rsid w:val="009E0478"/>
    <w:rsid w:val="009E0AC2"/>
    <w:rsid w:val="009E54BD"/>
    <w:rsid w:val="009E5CE6"/>
    <w:rsid w:val="009E78AE"/>
    <w:rsid w:val="009F094B"/>
    <w:rsid w:val="009F0A49"/>
    <w:rsid w:val="009F1120"/>
    <w:rsid w:val="009F3420"/>
    <w:rsid w:val="009F4F8A"/>
    <w:rsid w:val="009F562F"/>
    <w:rsid w:val="009F7BA8"/>
    <w:rsid w:val="00A002D2"/>
    <w:rsid w:val="00A02116"/>
    <w:rsid w:val="00A05D6B"/>
    <w:rsid w:val="00A06F6C"/>
    <w:rsid w:val="00A07E10"/>
    <w:rsid w:val="00A1153E"/>
    <w:rsid w:val="00A11B8E"/>
    <w:rsid w:val="00A13432"/>
    <w:rsid w:val="00A145FB"/>
    <w:rsid w:val="00A14ABD"/>
    <w:rsid w:val="00A15C2B"/>
    <w:rsid w:val="00A16EDF"/>
    <w:rsid w:val="00A24426"/>
    <w:rsid w:val="00A278AA"/>
    <w:rsid w:val="00A307B0"/>
    <w:rsid w:val="00A30BCD"/>
    <w:rsid w:val="00A32FB3"/>
    <w:rsid w:val="00A34250"/>
    <w:rsid w:val="00A37ECD"/>
    <w:rsid w:val="00A4038B"/>
    <w:rsid w:val="00A40628"/>
    <w:rsid w:val="00A429D3"/>
    <w:rsid w:val="00A44E15"/>
    <w:rsid w:val="00A46159"/>
    <w:rsid w:val="00A46BE8"/>
    <w:rsid w:val="00A47E05"/>
    <w:rsid w:val="00A5026E"/>
    <w:rsid w:val="00A55F5D"/>
    <w:rsid w:val="00A57637"/>
    <w:rsid w:val="00A60B3B"/>
    <w:rsid w:val="00A61485"/>
    <w:rsid w:val="00A62BE4"/>
    <w:rsid w:val="00A64276"/>
    <w:rsid w:val="00A643FE"/>
    <w:rsid w:val="00A6550D"/>
    <w:rsid w:val="00A665A6"/>
    <w:rsid w:val="00A66D4E"/>
    <w:rsid w:val="00A739D2"/>
    <w:rsid w:val="00A76198"/>
    <w:rsid w:val="00A761A8"/>
    <w:rsid w:val="00A76B05"/>
    <w:rsid w:val="00A819C5"/>
    <w:rsid w:val="00A833D7"/>
    <w:rsid w:val="00A8463B"/>
    <w:rsid w:val="00A91E2B"/>
    <w:rsid w:val="00A925EC"/>
    <w:rsid w:val="00A935BA"/>
    <w:rsid w:val="00A94EB4"/>
    <w:rsid w:val="00A95720"/>
    <w:rsid w:val="00A96DD7"/>
    <w:rsid w:val="00AA0684"/>
    <w:rsid w:val="00AA225B"/>
    <w:rsid w:val="00AA4482"/>
    <w:rsid w:val="00AB1316"/>
    <w:rsid w:val="00AB19DA"/>
    <w:rsid w:val="00AB2A05"/>
    <w:rsid w:val="00AB39E9"/>
    <w:rsid w:val="00AB3DDC"/>
    <w:rsid w:val="00AB3EB6"/>
    <w:rsid w:val="00AB4D3B"/>
    <w:rsid w:val="00AB78AB"/>
    <w:rsid w:val="00AC19F7"/>
    <w:rsid w:val="00AC43C0"/>
    <w:rsid w:val="00AC66C5"/>
    <w:rsid w:val="00AC6D3A"/>
    <w:rsid w:val="00AC6D84"/>
    <w:rsid w:val="00AC7372"/>
    <w:rsid w:val="00AD005E"/>
    <w:rsid w:val="00AD0D40"/>
    <w:rsid w:val="00AD2D0E"/>
    <w:rsid w:val="00AD40AD"/>
    <w:rsid w:val="00AD5A7E"/>
    <w:rsid w:val="00AD5E8F"/>
    <w:rsid w:val="00AD749C"/>
    <w:rsid w:val="00AE4757"/>
    <w:rsid w:val="00AE58B1"/>
    <w:rsid w:val="00AE5B77"/>
    <w:rsid w:val="00AF2680"/>
    <w:rsid w:val="00AF3EDD"/>
    <w:rsid w:val="00B00224"/>
    <w:rsid w:val="00B01B02"/>
    <w:rsid w:val="00B02C7A"/>
    <w:rsid w:val="00B03CBA"/>
    <w:rsid w:val="00B1240D"/>
    <w:rsid w:val="00B12A9D"/>
    <w:rsid w:val="00B14129"/>
    <w:rsid w:val="00B1458E"/>
    <w:rsid w:val="00B1564F"/>
    <w:rsid w:val="00B20D7C"/>
    <w:rsid w:val="00B22281"/>
    <w:rsid w:val="00B24851"/>
    <w:rsid w:val="00B25158"/>
    <w:rsid w:val="00B300A1"/>
    <w:rsid w:val="00B31EF3"/>
    <w:rsid w:val="00B32494"/>
    <w:rsid w:val="00B33BEA"/>
    <w:rsid w:val="00B34988"/>
    <w:rsid w:val="00B35CF5"/>
    <w:rsid w:val="00B367DE"/>
    <w:rsid w:val="00B41EC6"/>
    <w:rsid w:val="00B42772"/>
    <w:rsid w:val="00B444C0"/>
    <w:rsid w:val="00B44FF9"/>
    <w:rsid w:val="00B50913"/>
    <w:rsid w:val="00B527E2"/>
    <w:rsid w:val="00B56A2D"/>
    <w:rsid w:val="00B57500"/>
    <w:rsid w:val="00B57516"/>
    <w:rsid w:val="00B57F31"/>
    <w:rsid w:val="00B61252"/>
    <w:rsid w:val="00B614F8"/>
    <w:rsid w:val="00B62926"/>
    <w:rsid w:val="00B634A7"/>
    <w:rsid w:val="00B65570"/>
    <w:rsid w:val="00B752DA"/>
    <w:rsid w:val="00B763F4"/>
    <w:rsid w:val="00B76E40"/>
    <w:rsid w:val="00B907BF"/>
    <w:rsid w:val="00B92F07"/>
    <w:rsid w:val="00B95951"/>
    <w:rsid w:val="00B964E8"/>
    <w:rsid w:val="00B96AA2"/>
    <w:rsid w:val="00BA0D0F"/>
    <w:rsid w:val="00BA1A30"/>
    <w:rsid w:val="00BA7319"/>
    <w:rsid w:val="00BB003F"/>
    <w:rsid w:val="00BB19E9"/>
    <w:rsid w:val="00BB2488"/>
    <w:rsid w:val="00BB4B6B"/>
    <w:rsid w:val="00BB753B"/>
    <w:rsid w:val="00BB7738"/>
    <w:rsid w:val="00BC500D"/>
    <w:rsid w:val="00BC6E3A"/>
    <w:rsid w:val="00BC71D3"/>
    <w:rsid w:val="00BD053C"/>
    <w:rsid w:val="00BD3103"/>
    <w:rsid w:val="00BD3122"/>
    <w:rsid w:val="00BE1683"/>
    <w:rsid w:val="00BE1E16"/>
    <w:rsid w:val="00BF10C6"/>
    <w:rsid w:val="00BF1E2F"/>
    <w:rsid w:val="00BF42E0"/>
    <w:rsid w:val="00C008CE"/>
    <w:rsid w:val="00C02552"/>
    <w:rsid w:val="00C06EEC"/>
    <w:rsid w:val="00C07CF5"/>
    <w:rsid w:val="00C1135C"/>
    <w:rsid w:val="00C1220F"/>
    <w:rsid w:val="00C126D5"/>
    <w:rsid w:val="00C15EA6"/>
    <w:rsid w:val="00C20E5C"/>
    <w:rsid w:val="00C23294"/>
    <w:rsid w:val="00C236BA"/>
    <w:rsid w:val="00C2561F"/>
    <w:rsid w:val="00C27339"/>
    <w:rsid w:val="00C27428"/>
    <w:rsid w:val="00C31A2E"/>
    <w:rsid w:val="00C41639"/>
    <w:rsid w:val="00C427F0"/>
    <w:rsid w:val="00C466AC"/>
    <w:rsid w:val="00C51CD9"/>
    <w:rsid w:val="00C52CB7"/>
    <w:rsid w:val="00C557DB"/>
    <w:rsid w:val="00C60796"/>
    <w:rsid w:val="00C618C4"/>
    <w:rsid w:val="00C64BE2"/>
    <w:rsid w:val="00C654CC"/>
    <w:rsid w:val="00C6775C"/>
    <w:rsid w:val="00C744A4"/>
    <w:rsid w:val="00C74C8F"/>
    <w:rsid w:val="00C760F0"/>
    <w:rsid w:val="00C831A4"/>
    <w:rsid w:val="00C9198F"/>
    <w:rsid w:val="00C956B3"/>
    <w:rsid w:val="00C95BC0"/>
    <w:rsid w:val="00C96217"/>
    <w:rsid w:val="00C978A2"/>
    <w:rsid w:val="00CA25CD"/>
    <w:rsid w:val="00CA576D"/>
    <w:rsid w:val="00CA627E"/>
    <w:rsid w:val="00CA6793"/>
    <w:rsid w:val="00CA7056"/>
    <w:rsid w:val="00CB4253"/>
    <w:rsid w:val="00CB4380"/>
    <w:rsid w:val="00CC34C1"/>
    <w:rsid w:val="00CC4F90"/>
    <w:rsid w:val="00CC5326"/>
    <w:rsid w:val="00CC5EC6"/>
    <w:rsid w:val="00CD163C"/>
    <w:rsid w:val="00CD28D9"/>
    <w:rsid w:val="00CD527E"/>
    <w:rsid w:val="00CD7D66"/>
    <w:rsid w:val="00CE0731"/>
    <w:rsid w:val="00CE1A5E"/>
    <w:rsid w:val="00CE3A17"/>
    <w:rsid w:val="00CE415F"/>
    <w:rsid w:val="00CE42F3"/>
    <w:rsid w:val="00CE46FC"/>
    <w:rsid w:val="00CE55A0"/>
    <w:rsid w:val="00CE7D50"/>
    <w:rsid w:val="00CF025E"/>
    <w:rsid w:val="00CF10E8"/>
    <w:rsid w:val="00CF2124"/>
    <w:rsid w:val="00CF373F"/>
    <w:rsid w:val="00D005D0"/>
    <w:rsid w:val="00D00AD7"/>
    <w:rsid w:val="00D017E5"/>
    <w:rsid w:val="00D020C5"/>
    <w:rsid w:val="00D0266F"/>
    <w:rsid w:val="00D03702"/>
    <w:rsid w:val="00D055BE"/>
    <w:rsid w:val="00D10B93"/>
    <w:rsid w:val="00D15ADF"/>
    <w:rsid w:val="00D168AB"/>
    <w:rsid w:val="00D17F89"/>
    <w:rsid w:val="00D21D02"/>
    <w:rsid w:val="00D22858"/>
    <w:rsid w:val="00D24EC1"/>
    <w:rsid w:val="00D253F9"/>
    <w:rsid w:val="00D26725"/>
    <w:rsid w:val="00D30605"/>
    <w:rsid w:val="00D320BE"/>
    <w:rsid w:val="00D3458E"/>
    <w:rsid w:val="00D3501A"/>
    <w:rsid w:val="00D35C7B"/>
    <w:rsid w:val="00D362AB"/>
    <w:rsid w:val="00D41F39"/>
    <w:rsid w:val="00D42BD1"/>
    <w:rsid w:val="00D4539F"/>
    <w:rsid w:val="00D46F51"/>
    <w:rsid w:val="00D50763"/>
    <w:rsid w:val="00D5200D"/>
    <w:rsid w:val="00D520D0"/>
    <w:rsid w:val="00D53AE0"/>
    <w:rsid w:val="00D54330"/>
    <w:rsid w:val="00D54863"/>
    <w:rsid w:val="00D54A4C"/>
    <w:rsid w:val="00D55558"/>
    <w:rsid w:val="00D60DE8"/>
    <w:rsid w:val="00D676FB"/>
    <w:rsid w:val="00D735B6"/>
    <w:rsid w:val="00D73B27"/>
    <w:rsid w:val="00D73C91"/>
    <w:rsid w:val="00D75872"/>
    <w:rsid w:val="00D75B45"/>
    <w:rsid w:val="00D76021"/>
    <w:rsid w:val="00D77AB6"/>
    <w:rsid w:val="00D80412"/>
    <w:rsid w:val="00D8048C"/>
    <w:rsid w:val="00D806A4"/>
    <w:rsid w:val="00D80EB0"/>
    <w:rsid w:val="00D814FD"/>
    <w:rsid w:val="00D81F47"/>
    <w:rsid w:val="00D85E58"/>
    <w:rsid w:val="00D87636"/>
    <w:rsid w:val="00D87766"/>
    <w:rsid w:val="00D90693"/>
    <w:rsid w:val="00D92CDA"/>
    <w:rsid w:val="00D94C02"/>
    <w:rsid w:val="00D95279"/>
    <w:rsid w:val="00D95EC8"/>
    <w:rsid w:val="00D96705"/>
    <w:rsid w:val="00DA3EC3"/>
    <w:rsid w:val="00DA3F7F"/>
    <w:rsid w:val="00DA4139"/>
    <w:rsid w:val="00DA79A8"/>
    <w:rsid w:val="00DB0085"/>
    <w:rsid w:val="00DB19CE"/>
    <w:rsid w:val="00DB1BF8"/>
    <w:rsid w:val="00DB65BF"/>
    <w:rsid w:val="00DB6E8D"/>
    <w:rsid w:val="00DB7318"/>
    <w:rsid w:val="00DB7D0E"/>
    <w:rsid w:val="00DC0774"/>
    <w:rsid w:val="00DC2907"/>
    <w:rsid w:val="00DC29F4"/>
    <w:rsid w:val="00DC3233"/>
    <w:rsid w:val="00DC3B3D"/>
    <w:rsid w:val="00DC4862"/>
    <w:rsid w:val="00DD7B37"/>
    <w:rsid w:val="00DD7E74"/>
    <w:rsid w:val="00DE1A67"/>
    <w:rsid w:val="00DE35C5"/>
    <w:rsid w:val="00DE5276"/>
    <w:rsid w:val="00DF0542"/>
    <w:rsid w:val="00DF0879"/>
    <w:rsid w:val="00DF3795"/>
    <w:rsid w:val="00DF6930"/>
    <w:rsid w:val="00DF6935"/>
    <w:rsid w:val="00DF7237"/>
    <w:rsid w:val="00DF7D2C"/>
    <w:rsid w:val="00E0010F"/>
    <w:rsid w:val="00E004DC"/>
    <w:rsid w:val="00E05D40"/>
    <w:rsid w:val="00E06D25"/>
    <w:rsid w:val="00E07AE1"/>
    <w:rsid w:val="00E10CA7"/>
    <w:rsid w:val="00E14BFE"/>
    <w:rsid w:val="00E1691D"/>
    <w:rsid w:val="00E234F9"/>
    <w:rsid w:val="00E24BB9"/>
    <w:rsid w:val="00E25A91"/>
    <w:rsid w:val="00E27B85"/>
    <w:rsid w:val="00E33F67"/>
    <w:rsid w:val="00E3662E"/>
    <w:rsid w:val="00E37DF4"/>
    <w:rsid w:val="00E5183C"/>
    <w:rsid w:val="00E51963"/>
    <w:rsid w:val="00E51FF4"/>
    <w:rsid w:val="00E5201A"/>
    <w:rsid w:val="00E53591"/>
    <w:rsid w:val="00E5362E"/>
    <w:rsid w:val="00E537BC"/>
    <w:rsid w:val="00E537BE"/>
    <w:rsid w:val="00E54326"/>
    <w:rsid w:val="00E5470A"/>
    <w:rsid w:val="00E54FCD"/>
    <w:rsid w:val="00E561FB"/>
    <w:rsid w:val="00E569A6"/>
    <w:rsid w:val="00E62CFB"/>
    <w:rsid w:val="00E6638B"/>
    <w:rsid w:val="00E725B7"/>
    <w:rsid w:val="00E73C22"/>
    <w:rsid w:val="00E763B3"/>
    <w:rsid w:val="00E816F5"/>
    <w:rsid w:val="00E81E82"/>
    <w:rsid w:val="00E82C2A"/>
    <w:rsid w:val="00E82D90"/>
    <w:rsid w:val="00E83D5C"/>
    <w:rsid w:val="00E86C64"/>
    <w:rsid w:val="00E9214B"/>
    <w:rsid w:val="00E95CBD"/>
    <w:rsid w:val="00E96E59"/>
    <w:rsid w:val="00EA545E"/>
    <w:rsid w:val="00EB083D"/>
    <w:rsid w:val="00EB15F2"/>
    <w:rsid w:val="00EB2AB9"/>
    <w:rsid w:val="00EB3134"/>
    <w:rsid w:val="00EC2A12"/>
    <w:rsid w:val="00EC3F9F"/>
    <w:rsid w:val="00ED1453"/>
    <w:rsid w:val="00ED1879"/>
    <w:rsid w:val="00ED2D42"/>
    <w:rsid w:val="00ED4DAB"/>
    <w:rsid w:val="00ED67D3"/>
    <w:rsid w:val="00ED7567"/>
    <w:rsid w:val="00EE1E0E"/>
    <w:rsid w:val="00EE2C9A"/>
    <w:rsid w:val="00EE2D19"/>
    <w:rsid w:val="00EE3FCE"/>
    <w:rsid w:val="00EE57FB"/>
    <w:rsid w:val="00EE6A30"/>
    <w:rsid w:val="00EF375D"/>
    <w:rsid w:val="00EF3C45"/>
    <w:rsid w:val="00EF67FE"/>
    <w:rsid w:val="00F04A5D"/>
    <w:rsid w:val="00F060DA"/>
    <w:rsid w:val="00F10219"/>
    <w:rsid w:val="00F107B1"/>
    <w:rsid w:val="00F1094B"/>
    <w:rsid w:val="00F1119D"/>
    <w:rsid w:val="00F1194A"/>
    <w:rsid w:val="00F15664"/>
    <w:rsid w:val="00F16D5D"/>
    <w:rsid w:val="00F2091E"/>
    <w:rsid w:val="00F23B33"/>
    <w:rsid w:val="00F23C96"/>
    <w:rsid w:val="00F24412"/>
    <w:rsid w:val="00F32310"/>
    <w:rsid w:val="00F335FC"/>
    <w:rsid w:val="00F33DA5"/>
    <w:rsid w:val="00F40205"/>
    <w:rsid w:val="00F468E7"/>
    <w:rsid w:val="00F549CF"/>
    <w:rsid w:val="00F5770C"/>
    <w:rsid w:val="00F5791A"/>
    <w:rsid w:val="00F608B5"/>
    <w:rsid w:val="00F62298"/>
    <w:rsid w:val="00F63AE0"/>
    <w:rsid w:val="00F65EF3"/>
    <w:rsid w:val="00F71BE5"/>
    <w:rsid w:val="00F7622A"/>
    <w:rsid w:val="00F80CFB"/>
    <w:rsid w:val="00F82E23"/>
    <w:rsid w:val="00F8316C"/>
    <w:rsid w:val="00F84B47"/>
    <w:rsid w:val="00F85B8E"/>
    <w:rsid w:val="00F93E9B"/>
    <w:rsid w:val="00FA0EAF"/>
    <w:rsid w:val="00FA1CFC"/>
    <w:rsid w:val="00FA5F58"/>
    <w:rsid w:val="00FA7889"/>
    <w:rsid w:val="00FB05CF"/>
    <w:rsid w:val="00FB2961"/>
    <w:rsid w:val="00FB2F32"/>
    <w:rsid w:val="00FB46D2"/>
    <w:rsid w:val="00FB47E0"/>
    <w:rsid w:val="00FB562A"/>
    <w:rsid w:val="00FB666B"/>
    <w:rsid w:val="00FB74A8"/>
    <w:rsid w:val="00FB79F7"/>
    <w:rsid w:val="00FB7FDC"/>
    <w:rsid w:val="00FC0479"/>
    <w:rsid w:val="00FC070F"/>
    <w:rsid w:val="00FC3323"/>
    <w:rsid w:val="00FC5A3C"/>
    <w:rsid w:val="00FC5DBF"/>
    <w:rsid w:val="00FC728B"/>
    <w:rsid w:val="00FD15FE"/>
    <w:rsid w:val="00FD3B13"/>
    <w:rsid w:val="00FD5BBC"/>
    <w:rsid w:val="00FE0368"/>
    <w:rsid w:val="00FE1DE9"/>
    <w:rsid w:val="00FE3942"/>
    <w:rsid w:val="00FE5BD3"/>
    <w:rsid w:val="00FE6079"/>
    <w:rsid w:val="00FE6EF4"/>
    <w:rsid w:val="00FF299E"/>
    <w:rsid w:val="00FF410B"/>
    <w:rsid w:val="00FF6688"/>
    <w:rsid w:val="01514363"/>
    <w:rsid w:val="027B1020"/>
    <w:rsid w:val="03105DDE"/>
    <w:rsid w:val="049B7560"/>
    <w:rsid w:val="0924148E"/>
    <w:rsid w:val="0B6D4343"/>
    <w:rsid w:val="0C172571"/>
    <w:rsid w:val="0C4017F0"/>
    <w:rsid w:val="0D587888"/>
    <w:rsid w:val="0F87722E"/>
    <w:rsid w:val="115C6E88"/>
    <w:rsid w:val="12EB3A18"/>
    <w:rsid w:val="15B00009"/>
    <w:rsid w:val="16AD48E4"/>
    <w:rsid w:val="16F50DE0"/>
    <w:rsid w:val="17A96F9E"/>
    <w:rsid w:val="17EC74AE"/>
    <w:rsid w:val="194D7716"/>
    <w:rsid w:val="19593C43"/>
    <w:rsid w:val="1CD64AAF"/>
    <w:rsid w:val="1D792D07"/>
    <w:rsid w:val="1E0274C8"/>
    <w:rsid w:val="226815B2"/>
    <w:rsid w:val="242B4B1E"/>
    <w:rsid w:val="245875EF"/>
    <w:rsid w:val="24B07B64"/>
    <w:rsid w:val="2568465F"/>
    <w:rsid w:val="25EF0086"/>
    <w:rsid w:val="267F0062"/>
    <w:rsid w:val="29752813"/>
    <w:rsid w:val="29F245DD"/>
    <w:rsid w:val="2A6D3D79"/>
    <w:rsid w:val="2A782F03"/>
    <w:rsid w:val="2C6F5826"/>
    <w:rsid w:val="2C8E3FB4"/>
    <w:rsid w:val="2CCC25CF"/>
    <w:rsid w:val="2D4D5844"/>
    <w:rsid w:val="2FA379D4"/>
    <w:rsid w:val="34A63CA9"/>
    <w:rsid w:val="376C635F"/>
    <w:rsid w:val="378F6964"/>
    <w:rsid w:val="3A1A1461"/>
    <w:rsid w:val="3A8E7151"/>
    <w:rsid w:val="3AC035F9"/>
    <w:rsid w:val="3B2714FD"/>
    <w:rsid w:val="3BC31082"/>
    <w:rsid w:val="3DF15355"/>
    <w:rsid w:val="3E8A56FC"/>
    <w:rsid w:val="3F0557EC"/>
    <w:rsid w:val="3F48401A"/>
    <w:rsid w:val="41E31027"/>
    <w:rsid w:val="41FF29EE"/>
    <w:rsid w:val="425A4E85"/>
    <w:rsid w:val="48822CD7"/>
    <w:rsid w:val="48C414C7"/>
    <w:rsid w:val="4AB634A1"/>
    <w:rsid w:val="4E362316"/>
    <w:rsid w:val="4E4A30C1"/>
    <w:rsid w:val="4FC67296"/>
    <w:rsid w:val="50211D72"/>
    <w:rsid w:val="51EE3947"/>
    <w:rsid w:val="5337366C"/>
    <w:rsid w:val="5429797E"/>
    <w:rsid w:val="54A25553"/>
    <w:rsid w:val="54BF59FD"/>
    <w:rsid w:val="55070170"/>
    <w:rsid w:val="563F1938"/>
    <w:rsid w:val="568A0608"/>
    <w:rsid w:val="575E4F9B"/>
    <w:rsid w:val="57E15357"/>
    <w:rsid w:val="5A22082E"/>
    <w:rsid w:val="5AC6297D"/>
    <w:rsid w:val="61EB3135"/>
    <w:rsid w:val="62532E89"/>
    <w:rsid w:val="626D1F20"/>
    <w:rsid w:val="631A75E6"/>
    <w:rsid w:val="69B26555"/>
    <w:rsid w:val="6ABD4859"/>
    <w:rsid w:val="6B58494B"/>
    <w:rsid w:val="6BE15C70"/>
    <w:rsid w:val="6CE035D8"/>
    <w:rsid w:val="6D2660D1"/>
    <w:rsid w:val="6E312818"/>
    <w:rsid w:val="70493878"/>
    <w:rsid w:val="73D920D7"/>
    <w:rsid w:val="767E0347"/>
    <w:rsid w:val="76BA0B96"/>
    <w:rsid w:val="773A71C4"/>
    <w:rsid w:val="7806471A"/>
    <w:rsid w:val="78C95E4D"/>
    <w:rsid w:val="7A182DCE"/>
    <w:rsid w:val="7A947737"/>
    <w:rsid w:val="7BDE6F85"/>
    <w:rsid w:val="7E1273A8"/>
    <w:rsid w:val="7F46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宋体" w:hAnsi="宋体" w:eastAsia="宋体" w:cs="宋体"/>
      <w:kern w:val="44"/>
      <w:sz w:val="28"/>
      <w:szCs w:val="28"/>
    </w:r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6">
    <w:name w:val="annotation text"/>
    <w:basedOn w:val="1"/>
    <w:link w:val="23"/>
    <w:qFormat/>
    <w:uiPriority w:val="0"/>
    <w:pPr>
      <w:jc w:val="left"/>
    </w:pPr>
  </w:style>
  <w:style w:type="paragraph" w:styleId="7">
    <w:name w:val="Plain Text"/>
    <w:basedOn w:val="1"/>
    <w:qFormat/>
    <w:uiPriority w:val="0"/>
    <w:rPr>
      <w:rFonts w:ascii="黑体" w:hAnsi="黑体" w:eastAsia="黑体" w:cs="Times New Roman"/>
      <w:szCs w:val="2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0"/>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6"/>
    <w:next w:val="6"/>
    <w:link w:val="22"/>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mphasis"/>
    <w:basedOn w:val="16"/>
    <w:qFormat/>
    <w:uiPriority w:val="20"/>
    <w:rPr>
      <w:color w:val="CC0000"/>
    </w:rPr>
  </w:style>
  <w:style w:type="character" w:styleId="19">
    <w:name w:val="annotation reference"/>
    <w:qFormat/>
    <w:uiPriority w:val="0"/>
    <w:rPr>
      <w:sz w:val="21"/>
      <w:szCs w:val="21"/>
    </w:rPr>
  </w:style>
  <w:style w:type="character" w:customStyle="1" w:styleId="20">
    <w:name w:val="页脚 字符"/>
    <w:link w:val="10"/>
    <w:qFormat/>
    <w:uiPriority w:val="0"/>
    <w:rPr>
      <w:kern w:val="2"/>
      <w:sz w:val="18"/>
      <w:szCs w:val="18"/>
    </w:rPr>
  </w:style>
  <w:style w:type="character" w:customStyle="1" w:styleId="21">
    <w:name w:val="页眉 字符"/>
    <w:link w:val="11"/>
    <w:qFormat/>
    <w:uiPriority w:val="0"/>
    <w:rPr>
      <w:kern w:val="2"/>
      <w:sz w:val="18"/>
      <w:szCs w:val="18"/>
    </w:rPr>
  </w:style>
  <w:style w:type="character" w:customStyle="1" w:styleId="22">
    <w:name w:val="批注主题 字符"/>
    <w:link w:val="13"/>
    <w:qFormat/>
    <w:uiPriority w:val="0"/>
    <w:rPr>
      <w:b/>
      <w:bCs/>
      <w:kern w:val="2"/>
      <w:sz w:val="21"/>
      <w:szCs w:val="24"/>
    </w:rPr>
  </w:style>
  <w:style w:type="character" w:customStyle="1" w:styleId="23">
    <w:name w:val="批注文字 字符"/>
    <w:link w:val="6"/>
    <w:qFormat/>
    <w:uiPriority w:val="0"/>
    <w:rPr>
      <w:kern w:val="2"/>
      <w:sz w:val="21"/>
      <w:szCs w:val="24"/>
    </w:rPr>
  </w:style>
  <w:style w:type="character" w:customStyle="1" w:styleId="24">
    <w:name w:val="a-size-large"/>
    <w:basedOn w:val="16"/>
    <w:qFormat/>
    <w:uiPriority w:val="0"/>
  </w:style>
  <w:style w:type="character" w:customStyle="1" w:styleId="25">
    <w:name w:val="apple-converted-space"/>
    <w:basedOn w:val="16"/>
    <w:qFormat/>
    <w:uiPriority w:val="0"/>
  </w:style>
  <w:style w:type="character" w:customStyle="1" w:styleId="26">
    <w:name w:val="正文 首行缩进 Char"/>
    <w:link w:val="27"/>
    <w:qFormat/>
    <w:uiPriority w:val="0"/>
    <w:rPr>
      <w:rFonts w:ascii="宋体" w:hAnsi="宋体"/>
      <w:color w:val="000000"/>
      <w:sz w:val="21"/>
      <w:szCs w:val="21"/>
      <w:lang w:bidi="ar-SA"/>
    </w:rPr>
  </w:style>
  <w:style w:type="paragraph" w:customStyle="1" w:styleId="27">
    <w:name w:val="正文 首行缩进"/>
    <w:basedOn w:val="1"/>
    <w:link w:val="26"/>
    <w:qFormat/>
    <w:uiPriority w:val="0"/>
    <w:pPr>
      <w:overflowPunct w:val="0"/>
      <w:topLinePunct/>
      <w:adjustRightInd w:val="0"/>
      <w:spacing w:beforeLines="50"/>
      <w:ind w:firstLine="420" w:firstLineChars="200"/>
      <w:textAlignment w:val="baseline"/>
    </w:pPr>
    <w:rPr>
      <w:rFonts w:ascii="宋体" w:hAnsi="宋体"/>
      <w:color w:val="000000"/>
      <w:kern w:val="0"/>
      <w:szCs w:val="21"/>
    </w:rPr>
  </w:style>
  <w:style w:type="paragraph" w:customStyle="1" w:styleId="28">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样式1 Char"/>
    <w:basedOn w:val="26"/>
    <w:link w:val="30"/>
    <w:qFormat/>
    <w:uiPriority w:val="0"/>
    <w:rPr>
      <w:rFonts w:ascii="宋体" w:hAnsi="宋体" w:cs="宋体"/>
      <w:color w:val="000000"/>
      <w:sz w:val="21"/>
      <w:szCs w:val="21"/>
      <w:lang w:bidi="ar-SA"/>
    </w:rPr>
  </w:style>
  <w:style w:type="paragraph" w:customStyle="1" w:styleId="30">
    <w:name w:val="样式1"/>
    <w:basedOn w:val="27"/>
    <w:link w:val="29"/>
    <w:qFormat/>
    <w:uiPriority w:val="0"/>
    <w:rPr>
      <w:rFonts w:cs="宋体"/>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E8278B-8CFE-467A-8776-EF5A487CA708}">
  <ds:schemaRefs/>
</ds:datastoreItem>
</file>

<file path=docProps/app.xml><?xml version="1.0" encoding="utf-8"?>
<Properties xmlns="http://schemas.openxmlformats.org/officeDocument/2006/extended-properties" xmlns:vt="http://schemas.openxmlformats.org/officeDocument/2006/docPropsVTypes">
  <Template>Normal.dotm</Template>
  <Company>PCDIY.China.</Company>
  <Pages>17</Pages>
  <Words>10394</Words>
  <Characters>10740</Characters>
  <Lines>55</Lines>
  <Paragraphs>15</Paragraphs>
  <TotalTime>1</TotalTime>
  <ScaleCrop>false</ScaleCrop>
  <LinksUpToDate>false</LinksUpToDate>
  <CharactersWithSpaces>12131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2017-11-08T01:30:00Z</dcterms:created>
  <dc:creator>王志刚</dc:creator>
  <cp:lastModifiedBy>WPS_1615895735</cp:lastModifiedBy>
  <cp:lastPrinted>2016-10-08T10:41:00Z</cp:lastPrinted>
  <dcterms:modified xsi:type="dcterms:W3CDTF">2023-08-31T01:48:36Z</dcterms:modified>
  <dc:title>中建路桥集团有限公司</dc:title>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36F7D4791FD1462F9CDDFBB71095F3C1_13</vt:lpwstr>
  </property>
</Properties>
</file>