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left" w:pos="8100"/>
        </w:tabs>
        <w:spacing w:line="360" w:lineRule="auto"/>
        <w:rPr>
          <w:rFonts w:cs="Times New Roman" w:asciiTheme="majorEastAsia" w:hAnsiTheme="majorEastAsia" w:eastAsiaTheme="majorEastAsia"/>
          <w:b/>
          <w:color w:val="000000"/>
          <w:kern w:val="2"/>
          <w:sz w:val="28"/>
          <w:szCs w:val="28"/>
          <w:highlight w:val="none"/>
        </w:rPr>
      </w:pPr>
    </w:p>
    <w:p>
      <w:pPr>
        <w:pStyle w:val="28"/>
        <w:tabs>
          <w:tab w:val="left" w:pos="8100"/>
        </w:tabs>
        <w:wordWrap w:val="0"/>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ascii="仿宋_GB2312" w:hAnsi="仿宋" w:eastAsia="仿宋_GB2312" w:cs="宋体"/>
          <w:color w:val="000000"/>
          <w:kern w:val="0"/>
          <w:sz w:val="28"/>
          <w:szCs w:val="28"/>
          <w:u w:val="single"/>
          <w:lang w:val="en-US" w:eastAsia="zh-CN"/>
        </w:rPr>
        <w:t>ZJLQ-FG-石太改扩建3分部-2023001</w:t>
      </w:r>
      <w:r>
        <w:rPr>
          <w:rFonts w:cs="Times New Roman" w:asciiTheme="majorEastAsia" w:hAnsiTheme="majorEastAsia" w:eastAsiaTheme="majorEastAsia"/>
          <w:b/>
          <w:color w:val="000000"/>
          <w:kern w:val="2"/>
          <w:sz w:val="28"/>
          <w:szCs w:val="28"/>
          <w:highlight w:val="none"/>
          <w:u w:val="single"/>
        </w:rPr>
        <w:t xml:space="preserve"> </w:t>
      </w:r>
    </w:p>
    <w:p>
      <w:pPr>
        <w:pStyle w:val="28"/>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28"/>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112" w:name="_GoBack"/>
      <w:bookmarkEnd w:id="112"/>
    </w:p>
    <w:p>
      <w:pPr>
        <w:pStyle w:val="28"/>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28"/>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pPr>
        <w:pStyle w:val="28"/>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（建设发展公司）</w:t>
      </w:r>
    </w:p>
    <w:p>
      <w:pPr>
        <w:pStyle w:val="28"/>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t>（水泥稳定土</w:t>
      </w:r>
      <w:r>
        <w:rPr>
          <w:rFonts w:hint="eastAsia" w:cs="Times New Roman" w:asciiTheme="majorEastAsia" w:hAnsiTheme="majorEastAsia" w:eastAsiaTheme="majorEastAsia"/>
          <w:b/>
          <w:color w:val="000000"/>
          <w:kern w:val="2"/>
          <w:sz w:val="44"/>
          <w:szCs w:val="44"/>
          <w:highlight w:val="none"/>
          <w:u w:val="single"/>
          <w:lang w:val="en-US" w:eastAsia="zh-CN"/>
        </w:rPr>
        <w:t>拌合站</w:t>
      </w:r>
      <w:r>
        <w:rPr>
          <w:rFonts w:hint="eastAsia" w:cs="Times New Roman" w:asciiTheme="majorEastAsia" w:hAnsiTheme="majorEastAsia" w:eastAsiaTheme="majorEastAsia"/>
          <w:b/>
          <w:color w:val="000000"/>
          <w:kern w:val="2"/>
          <w:sz w:val="44"/>
          <w:szCs w:val="44"/>
          <w:highlight w:val="none"/>
          <w:u w:val="single"/>
        </w:rPr>
        <w:t>）采</w:t>
      </w:r>
      <w:r>
        <w:rPr>
          <w:rFonts w:hint="eastAsia" w:cs="Times New Roman" w:asciiTheme="majorEastAsia" w:hAnsiTheme="majorEastAsia" w:eastAsiaTheme="majorEastAsia"/>
          <w:b/>
          <w:color w:val="000000"/>
          <w:kern w:val="2"/>
          <w:sz w:val="44"/>
          <w:szCs w:val="44"/>
          <w:highlight w:val="none"/>
        </w:rPr>
        <w:t>购</w:t>
      </w:r>
    </w:p>
    <w:p>
      <w:pPr>
        <w:pStyle w:val="28"/>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pPr>
        <w:pStyle w:val="28"/>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pStyle w:val="28"/>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pPr>
        <w:pStyle w:val="28"/>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20</w:t>
      </w:r>
      <w:r>
        <w:rPr>
          <w:rFonts w:ascii="Arial" w:hAnsi="Arial" w:cs="Arial" w:eastAsiaTheme="majorEastAsia"/>
          <w:b/>
          <w:color w:val="000000"/>
          <w:kern w:val="2"/>
          <w:sz w:val="28"/>
          <w:szCs w:val="28"/>
          <w:highlight w:val="none"/>
          <w:u w:val="single"/>
        </w:rPr>
        <w:t>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10</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ascii="Arial" w:hAnsi="Arial" w:cs="Arial"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20</w:t>
      </w:r>
      <w:r>
        <w:rPr>
          <w:rFonts w:ascii="Arial" w:hAnsi="Arial" w:cs="Arial"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ascii="仿宋_GB2312" w:eastAsia="仿宋_GB2312" w:hAnsiTheme="minorEastAsia"/>
          <w:sz w:val="21"/>
          <w:szCs w:val="21"/>
          <w:highlight w:val="none"/>
        </w:rPr>
      </w:pPr>
    </w:p>
    <w:p>
      <w:pPr>
        <w:spacing w:line="400" w:lineRule="exact"/>
        <w:ind w:firstLine="420" w:firstLineChars="200"/>
        <w:rPr>
          <w:rFonts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3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1.投标人须知前附表：</w:t>
      </w:r>
    </w:p>
    <w:tbl>
      <w:tblPr>
        <w:tblStyle w:val="31"/>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5"/>
        <w:gridCol w:w="3127"/>
        <w:gridCol w:w="5211"/>
      </w:tblGrid>
      <w:tr>
        <w:tblPrEx>
          <w:tblCellMar>
            <w:top w:w="0" w:type="dxa"/>
            <w:left w:w="108" w:type="dxa"/>
            <w:bottom w:w="0" w:type="dxa"/>
            <w:right w:w="108" w:type="dxa"/>
          </w:tblCellMar>
        </w:tblPrEx>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bookmarkStart w:id="1" w:name="_Toc152045528"/>
            <w:bookmarkStart w:id="2" w:name="_Toc238797549"/>
            <w:bookmarkStart w:id="3" w:name="_Toc287545429"/>
            <w:bookmarkStart w:id="4" w:name="_Toc144974496"/>
            <w:bookmarkStart w:id="5" w:name="_Toc238552194"/>
            <w:bookmarkStart w:id="6" w:name="_Toc152042304"/>
            <w:r>
              <w:rPr>
                <w:rFonts w:hint="eastAsia" w:ascii="仿宋_GB2312" w:eastAsia="仿宋_GB2312" w:cs="宋体" w:hAnsiTheme="minorEastAsia"/>
                <w:sz w:val="21"/>
                <w:szCs w:val="21"/>
                <w:highlight w:val="none"/>
              </w:rPr>
              <w:t>序号</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u w:val="single"/>
              </w:rPr>
              <w:t>水泥稳定土</w:t>
            </w:r>
            <w:r>
              <w:rPr>
                <w:rFonts w:hint="eastAsia" w:ascii="仿宋_GB2312" w:eastAsia="仿宋_GB2312" w:cs="宋体" w:hAnsiTheme="minorEastAsia"/>
                <w:sz w:val="21"/>
                <w:szCs w:val="21"/>
                <w:highlight w:val="none"/>
                <w:u w:val="single"/>
                <w:lang w:val="en-US" w:eastAsia="zh-CN"/>
              </w:rPr>
              <w:t>拌合站</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营业范围要求：在中华人民共和国境内依法注册、具有独立法人资格以及招标设备生产供应经验的生产商或代理商；</w:t>
            </w:r>
          </w:p>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设备各项指标均必须满足招标方施工技术要求，满足中华人民共和国国家、地方及行业最新颁布的相关标准及技术规范，如果规范、标准、要求适用于同一种情况，则以标准高着为准；具有</w:t>
            </w:r>
            <w:r>
              <w:rPr>
                <w:rFonts w:hint="eastAsia" w:ascii="仿宋_GB2312" w:hAnsi="仿宋" w:eastAsia="仿宋_GB2312"/>
                <w:bCs/>
                <w:color w:val="000000" w:themeColor="text1"/>
                <w:sz w:val="21"/>
                <w:szCs w:val="21"/>
                <w:highlight w:val="none"/>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39"/>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761"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本合同无预付款，合同签订且完成设备进场，乙方提供甲方财务认可的增值税专用发票，支付至合同总价款的</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%;设备安装调试完毕，负载验收合格后，支付至合同总价款的</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70 </w:t>
            </w:r>
            <w:r>
              <w:rPr>
                <w:rFonts w:hint="eastAsia" w:ascii="仿宋_GB2312" w:eastAsia="仿宋_GB2312" w:cs="宋体" w:hAnsiTheme="minorEastAsia"/>
                <w:sz w:val="21"/>
                <w:szCs w:val="21"/>
                <w:highlight w:val="none"/>
              </w:rPr>
              <w:t>%;进入质保期后满6个月支付至合同总价款的</w:t>
            </w:r>
            <w:r>
              <w:rPr>
                <w:rFonts w:ascii="仿宋_GB2312" w:eastAsia="仿宋_GB2312" w:cs="宋体" w:hAnsiTheme="minorEastAsia"/>
                <w:sz w:val="21"/>
                <w:szCs w:val="21"/>
                <w:highlight w:val="none"/>
                <w:u w:val="single"/>
              </w:rPr>
              <w:t>90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%；甲方保留合同价款的</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10</w:t>
            </w:r>
            <w:r>
              <w:rPr>
                <w:rFonts w:hint="eastAsia" w:ascii="仿宋_GB2312" w:eastAsia="仿宋_GB2312" w:cs="宋体" w:hAnsiTheme="minorEastAsia"/>
                <w:sz w:val="21"/>
                <w:szCs w:val="21"/>
                <w:highlight w:val="none"/>
              </w:rPr>
              <w:t xml:space="preserve"> %的作为质量保证金，乙方按合同履行其设备质量和服务承诺，负载验收合格后开始计算质保期。质保期满，</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月内甲方无息支付乙方全额质保金。</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5</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761"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乙方承诺具备使用承兑汇票、信用证、保理、供应链金融等非现金业务的的能力，乙方接受不低于合同总价</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%的承兑汇票、信用证、保理、供应链金融等非现金付款方式，期限为</w:t>
            </w:r>
            <w:r>
              <w:rPr>
                <w:rFonts w:ascii="仿宋_GB2312" w:eastAsia="仿宋_GB2312" w:cs="宋体" w:hAnsiTheme="minorEastAsia"/>
                <w:sz w:val="21"/>
                <w:szCs w:val="21"/>
                <w:highlight w:val="none"/>
                <w:u w:val="single"/>
              </w:rPr>
              <w:t>6</w:t>
            </w:r>
            <w:r>
              <w:rPr>
                <w:rFonts w:hint="eastAsia" w:ascii="仿宋_GB2312" w:eastAsia="仿宋_GB2312" w:cs="宋体" w:hAnsiTheme="minorEastAsia"/>
                <w:sz w:val="21"/>
                <w:szCs w:val="21"/>
                <w:highlight w:val="none"/>
              </w:rPr>
              <w:t>个月，因此产生的相关贴现成本由乙方承担。</w:t>
            </w:r>
          </w:p>
          <w:p>
            <w:pPr>
              <w:spacing w:line="360" w:lineRule="exact"/>
              <w:jc w:val="left"/>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sz w:val="21"/>
                <w:szCs w:val="21"/>
                <w:highlight w:val="none"/>
              </w:rPr>
              <w:t>甲方向乙方付款采用银行承兑汇票、供应链金融、银行支票或网上银行支付等方式支付。乙方须保证资金往来账户与本合同所约定账户一致，开票单位名称与合同约定名称一致。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6</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 “招标文件”发布信息为准</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7</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F052"/>
            </w:r>
          </w:p>
          <w:p>
            <w:pPr>
              <w:pStyle w:val="40"/>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8</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9</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计件</w:t>
            </w:r>
            <w:r>
              <w:rPr>
                <w:rFonts w:hint="eastAsia" w:ascii="仿宋_GB2312" w:eastAsia="仿宋_GB2312" w:cs="宋体" w:hAnsiTheme="minorEastAsia"/>
                <w:sz w:val="21"/>
                <w:szCs w:val="21"/>
                <w:highlight w:val="none"/>
              </w:rPr>
              <w:sym w:font="Wingdings 2" w:char="F052"/>
            </w:r>
            <w:r>
              <w:rPr>
                <w:rFonts w:hint="eastAsia" w:ascii="仿宋_GB2312" w:eastAsia="仿宋_GB2312" w:cs="宋体" w:hAnsiTheme="minorEastAsia"/>
                <w:sz w:val="21"/>
                <w:szCs w:val="21"/>
                <w:highlight w:val="none"/>
              </w:rPr>
              <w:t>检尺□其他计量方式</w:t>
            </w:r>
            <w:r>
              <w:rPr>
                <w:rFonts w:hint="eastAsia" w:ascii="仿宋_GB2312" w:eastAsia="仿宋_GB2312" w:cs="宋体" w:hAnsiTheme="minorEastAsia"/>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14:textFill>
                  <w14:solidFill>
                    <w14:schemeClr w14:val="tx1"/>
                  </w14:solidFill>
                </w14:textFill>
              </w:rPr>
              <w:t>90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贰 </w:t>
            </w:r>
            <w:r>
              <w:rPr>
                <w:rFonts w:hint="eastAsia" w:ascii="仿宋_GB2312" w:eastAsia="仿宋_GB2312" w:cs="宋体" w:hAnsiTheme="minorEastAsia"/>
                <w:sz w:val="21"/>
                <w:szCs w:val="21"/>
                <w:highlight w:val="none"/>
              </w:rPr>
              <w:t>万元整，汇款账户详情见总则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r>
              <w:rPr>
                <w:rFonts w:hint="eastAsia" w:ascii="仿宋_GB2312" w:eastAsia="仿宋_GB2312" w:cs="宋体" w:hAnsiTheme="minorEastAsia"/>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657" w:type="pct"/>
            <w:tcBorders>
              <w:top w:val="single" w:color="auto" w:sz="4" w:space="0"/>
              <w:left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761" w:type="pct"/>
            <w:tcBorders>
              <w:top w:val="single" w:color="auto" w:sz="4" w:space="0"/>
              <w:left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657" w:type="pct"/>
            <w:tcBorders>
              <w:top w:val="single" w:color="auto" w:sz="4" w:space="0"/>
              <w:left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2761" w:type="pct"/>
            <w:tcBorders>
              <w:top w:val="single" w:color="auto" w:sz="4" w:space="0"/>
              <w:left w:val="single" w:color="auto" w:sz="4" w:space="0"/>
              <w:right w:val="single" w:color="auto" w:sz="4" w:space="0"/>
            </w:tcBorders>
            <w:vAlign w:val="center"/>
          </w:tcPr>
          <w:p>
            <w:pPr>
              <w:pStyle w:val="39"/>
              <w:keepNext w:val="0"/>
              <w:keepLines w:val="0"/>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pPr>
              <w:pStyle w:val="39"/>
              <w:keepNext w:val="0"/>
              <w:keepLines w:val="0"/>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pPr>
              <w:pStyle w:val="39"/>
              <w:keepNext w:val="0"/>
              <w:keepLines w:val="0"/>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pPr>
              <w:pStyle w:val="39"/>
              <w:keepNext w:val="0"/>
              <w:keepLines w:val="0"/>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pPr>
              <w:pStyle w:val="39"/>
              <w:keepNext w:val="0"/>
              <w:keepLines w:val="0"/>
              <w:rPr>
                <w:rFonts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rPr>
              <w:t>4.</w:t>
            </w:r>
            <w:r>
              <w:rPr>
                <w:rFonts w:hint="eastAsia" w:ascii="仿宋_GB2312" w:hAnsi="仿宋_GB2312" w:eastAsia="仿宋_GB2312" w:cs="仿宋_GB2312"/>
                <w:sz w:val="21"/>
                <w:szCs w:val="21"/>
                <w:highlight w:val="none"/>
                <w:lang w:eastAsia="zh-Hans"/>
              </w:rPr>
              <w:t>报价轮次：共两次</w:t>
            </w:r>
          </w:p>
          <w:p>
            <w:pPr>
              <w:pStyle w:val="39"/>
              <w:keepNext w:val="0"/>
              <w:keepLines w:val="0"/>
              <w:rPr>
                <w:rFonts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rPr>
              <w:t>5.</w:t>
            </w:r>
            <w:r>
              <w:rPr>
                <w:rFonts w:hint="eastAsia" w:ascii="仿宋_GB2312" w:hAnsi="仿宋_GB2312" w:eastAsia="仿宋_GB2312" w:cs="仿宋_GB2312"/>
                <w:sz w:val="21"/>
                <w:szCs w:val="21"/>
                <w:highlight w:val="none"/>
                <w:lang w:eastAsia="zh-Hans"/>
              </w:rPr>
              <w:t>调价方式：</w:t>
            </w:r>
            <w:r>
              <w:rPr>
                <w:rFonts w:hint="eastAsia" w:ascii="仿宋_GB2312" w:hAnsi="仿宋_GB2312" w:eastAsia="仿宋_GB2312" w:cs="仿宋_GB2312"/>
                <w:sz w:val="21"/>
                <w:szCs w:val="21"/>
                <w:highlight w:val="none"/>
              </w:rPr>
              <w:t>线下议标</w:t>
            </w:r>
          </w:p>
          <w:p>
            <w:pPr>
              <w:pStyle w:val="39"/>
              <w:keepNext w:val="0"/>
              <w:keepLines w:val="0"/>
              <w:rPr>
                <w:rFonts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rPr>
              <w:t>6.</w:t>
            </w:r>
            <w:r>
              <w:rPr>
                <w:rFonts w:hint="eastAsia" w:ascii="仿宋_GB2312" w:hAnsi="仿宋_GB2312" w:eastAsia="仿宋_GB2312" w:cs="仿宋_GB2312"/>
                <w:sz w:val="21"/>
                <w:szCs w:val="21"/>
                <w:highlight w:val="none"/>
                <w:lang w:eastAsia="zh-Hans"/>
              </w:rPr>
              <w:t>调价时间：按招标文件公布的调价控制时间。</w:t>
            </w:r>
          </w:p>
          <w:p>
            <w:pPr>
              <w:pStyle w:val="39"/>
              <w:keepNext w:val="0"/>
              <w:keepLines w:val="0"/>
              <w:rPr>
                <w:highlight w:val="none"/>
              </w:rPr>
            </w:pPr>
            <w:r>
              <w:rPr>
                <w:rFonts w:hint="eastAsia" w:ascii="仿宋_GB2312" w:hAnsi="仿宋_GB2312" w:eastAsia="仿宋_GB2312" w:cs="仿宋_GB2312"/>
                <w:sz w:val="21"/>
                <w:szCs w:val="21"/>
                <w:highlight w:val="none"/>
              </w:rPr>
              <w:t>7.</w:t>
            </w:r>
            <w:r>
              <w:rPr>
                <w:rFonts w:hint="eastAsia" w:ascii="仿宋_GB2312" w:hAnsi="仿宋_GB2312" w:eastAsia="仿宋_GB2312" w:cs="仿宋_GB2312"/>
                <w:sz w:val="21"/>
                <w:szCs w:val="21"/>
                <w:highlight w:val="none"/>
                <w:lang w:eastAsia="zh-Hans"/>
              </w:rPr>
              <w:t>入围调价的投标人将收到平台提示，未在规定时间内完成调价的投标人视为不响应招标要求，自动放弃调价机会，并视该投标人第一轮报价为最终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657"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761" w:type="pct"/>
            <w:tcBorders>
              <w:top w:val="single" w:color="auto" w:sz="4" w:space="0"/>
              <w:left w:val="single" w:color="auto" w:sz="4" w:space="0"/>
              <w:bottom w:val="single" w:color="auto" w:sz="4" w:space="0"/>
              <w:right w:val="single" w:color="auto" w:sz="4" w:space="0"/>
            </w:tcBorders>
            <w:vAlign w:val="center"/>
          </w:tcPr>
          <w:p>
            <w:pPr>
              <w:pStyle w:val="39"/>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pPr>
        <w:widowControl/>
        <w:ind w:firstLine="562" w:firstLineChars="200"/>
        <w:jc w:val="left"/>
        <w:rPr>
          <w:rFonts w:ascii="仿宋_GB2312" w:eastAsia="仿宋_GB2312" w:cs="宋体" w:hAnsiTheme="minorEastAsia"/>
          <w:sz w:val="21"/>
          <w:szCs w:val="21"/>
          <w:highlight w:val="none"/>
        </w:rPr>
      </w:pPr>
      <w:bookmarkStart w:id="7" w:name="_Toc31831"/>
      <w:bookmarkStart w:id="8" w:name="_Toc214333205"/>
      <w:bookmarkStart w:id="9" w:name="_Toc214336660"/>
      <w:bookmarkStart w:id="10" w:name="_Toc214339494"/>
      <w:r>
        <w:rPr>
          <w:rFonts w:hint="eastAsia" w:ascii="仿宋_GB2312" w:eastAsia="仿宋_GB2312" w:cs="黑体" w:hAnsiTheme="minorEastAsia"/>
          <w:b/>
          <w:sz w:val="28"/>
          <w:szCs w:val="28"/>
          <w:highlight w:val="none"/>
        </w:rPr>
        <w:t>一、总则</w:t>
      </w:r>
      <w:bookmarkEnd w:id="7"/>
      <w:bookmarkEnd w:id="8"/>
      <w:bookmarkEnd w:id="9"/>
      <w:bookmarkEnd w:id="10"/>
    </w:p>
    <w:p>
      <w:pPr>
        <w:pStyle w:val="39"/>
        <w:keepNext w:val="0"/>
        <w:keepLines w:val="0"/>
        <w:ind w:firstLine="482" w:firstLineChars="200"/>
        <w:jc w:val="left"/>
        <w:rPr>
          <w:rFonts w:ascii="仿宋_GB2312" w:eastAsia="仿宋_GB2312" w:hAnsiTheme="minorEastAsia"/>
          <w:b/>
          <w:bCs/>
          <w:highlight w:val="none"/>
        </w:rPr>
      </w:pPr>
      <w:bookmarkStart w:id="11" w:name="_Toc20775"/>
      <w:r>
        <w:rPr>
          <w:rFonts w:hint="eastAsia" w:ascii="仿宋_GB2312" w:eastAsia="仿宋_GB2312" w:cs="宋体" w:hAnsiTheme="minorEastAsia"/>
          <w:b/>
          <w:bCs/>
          <w:highlight w:val="none"/>
        </w:rPr>
        <w:t>2.招标人</w:t>
      </w:r>
      <w:bookmarkEnd w:id="11"/>
    </w:p>
    <w:p>
      <w:pPr>
        <w:spacing w:line="400" w:lineRule="exact"/>
        <w:ind w:firstLine="420" w:firstLineChars="200"/>
        <w:jc w:val="left"/>
        <w:outlineLvl w:val="2"/>
        <w:rPr>
          <w:rFonts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u w:val="single"/>
        </w:rPr>
        <w:t>中建路桥集团有限公司</w:t>
      </w:r>
    </w:p>
    <w:p>
      <w:pPr>
        <w:pStyle w:val="39"/>
        <w:keepNext w:val="0"/>
        <w:keepLines w:val="0"/>
        <w:ind w:left="480" w:leftChars="200"/>
        <w:jc w:val="left"/>
        <w:rPr>
          <w:highlight w:val="none"/>
        </w:rPr>
      </w:pPr>
      <w:bookmarkStart w:id="12" w:name="_Toc6649"/>
      <w:r>
        <w:rPr>
          <w:rFonts w:hint="eastAsia" w:ascii="仿宋_GB2312" w:eastAsia="仿宋_GB2312" w:cs="宋体" w:hAnsiTheme="minorEastAsia"/>
          <w:b/>
          <w:bCs/>
          <w:highlight w:val="none"/>
        </w:rPr>
        <w:t>3.采购资金来源</w:t>
      </w:r>
      <w:bookmarkEnd w:id="12"/>
    </w:p>
    <w:p>
      <w:pPr>
        <w:pStyle w:val="40"/>
        <w:spacing w:before="0" w:beforeAutospacing="0" w:after="0" w:afterAutospacing="0"/>
        <w:rPr>
          <w:highlight w:val="none"/>
        </w:rPr>
      </w:pPr>
      <w:r>
        <w:rPr>
          <w:rFonts w:hint="eastAsia"/>
          <w:highlight w:val="none"/>
        </w:rPr>
        <w:t xml:space="preserve">     </w:t>
      </w:r>
      <w:r>
        <w:rPr>
          <w:rFonts w:hint="eastAsia" w:ascii="仿宋_GB2312" w:eastAsia="仿宋_GB2312" w:hAnsiTheme="minorEastAsia" w:cstheme="minorBidi"/>
          <w:b w:val="0"/>
          <w:bCs w:val="0"/>
          <w:kern w:val="2"/>
          <w:sz w:val="21"/>
          <w:szCs w:val="21"/>
          <w:highlight w:val="none"/>
          <w:u w:val="single"/>
        </w:rPr>
        <w:t>项目工程结算款</w:t>
      </w:r>
      <w:r>
        <w:rPr>
          <w:rFonts w:hint="eastAsia"/>
          <w:highlight w:val="none"/>
          <w:u w:val="single"/>
        </w:rPr>
        <w:t xml:space="preserve">     </w:t>
      </w:r>
      <w:r>
        <w:rPr>
          <w:rFonts w:hint="eastAsia"/>
          <w:highlight w:val="none"/>
        </w:rPr>
        <w:t xml:space="preserve">   </w:t>
      </w:r>
    </w:p>
    <w:p>
      <w:pPr>
        <w:pStyle w:val="39"/>
        <w:keepNext w:val="0"/>
        <w:keepLines w:val="0"/>
        <w:ind w:firstLine="482" w:firstLineChars="200"/>
        <w:jc w:val="left"/>
        <w:rPr>
          <w:rFonts w:ascii="仿宋_GB2312" w:eastAsia="仿宋_GB2312" w:hAnsiTheme="minorEastAsia"/>
          <w:b/>
          <w:bCs/>
          <w:highlight w:val="none"/>
        </w:rPr>
      </w:pPr>
      <w:bookmarkStart w:id="13" w:name="_Toc30721"/>
      <w:r>
        <w:rPr>
          <w:rFonts w:hint="eastAsia" w:ascii="仿宋_GB2312" w:eastAsia="仿宋_GB2312" w:cs="宋体" w:hAnsiTheme="minorEastAsia"/>
          <w:b/>
          <w:bCs/>
          <w:highlight w:val="none"/>
        </w:rPr>
        <w:t>4.招标设备、包件划分和要求</w:t>
      </w:r>
      <w:bookmarkEnd w:id="1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4.1本次招标采购设备为中建路桥集团有限公司</w:t>
      </w:r>
      <w:r>
        <w:rPr>
          <w:rFonts w:hint="eastAsia" w:ascii="仿宋_GB2312" w:eastAsia="仿宋_GB2312" w:cs="宋体" w:hAnsiTheme="minorEastAsia"/>
          <w:sz w:val="21"/>
          <w:szCs w:val="21"/>
          <w:highlight w:val="none"/>
          <w:u w:val="single"/>
        </w:rPr>
        <w:t xml:space="preserve"> 石太高速公路改扩建工程主体3分部</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（水泥稳定土</w:t>
      </w:r>
      <w:r>
        <w:rPr>
          <w:rFonts w:hint="eastAsia" w:ascii="仿宋_GB2312" w:eastAsia="仿宋_GB2312" w:hAnsiTheme="minorEastAsia"/>
          <w:b/>
          <w:bCs/>
          <w:sz w:val="21"/>
          <w:szCs w:val="21"/>
          <w:highlight w:val="none"/>
          <w:u w:val="single"/>
          <w:lang w:val="en-US" w:eastAsia="zh-CN"/>
        </w:rPr>
        <w:t>拌合站</w:t>
      </w:r>
      <w:r>
        <w:rPr>
          <w:rFonts w:hint="eastAsia" w:ascii="仿宋_GB2312" w:eastAsia="仿宋_GB2312" w:hAnsiTheme="minorEastAsia"/>
          <w:b/>
          <w:bCs/>
          <w:sz w:val="21"/>
          <w:szCs w:val="21"/>
          <w:highlight w:val="none"/>
          <w:u w:val="single"/>
        </w:rPr>
        <w:t>）</w:t>
      </w:r>
      <w:r>
        <w:rPr>
          <w:rFonts w:hint="eastAsia" w:ascii="仿宋_GB2312" w:eastAsia="仿宋_GB2312" w:hAnsiTheme="minorEastAsia"/>
          <w:sz w:val="21"/>
          <w:szCs w:val="21"/>
          <w:highlight w:val="none"/>
        </w:rPr>
        <w:t>。具体数量详见下表。</w:t>
      </w:r>
    </w:p>
    <w:tbl>
      <w:tblPr>
        <w:tblStyle w:val="31"/>
        <w:tblW w:w="7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76"/>
        <w:gridCol w:w="1275"/>
        <w:gridCol w:w="851"/>
        <w:gridCol w:w="992"/>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51"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92"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2165"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8" w:type="dxa"/>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shd w:val="clear" w:color="auto" w:fill="auto"/>
            <w:vAlign w:val="center"/>
          </w:tcPr>
          <w:p>
            <w:pPr>
              <w:widowControl/>
              <w:jc w:val="center"/>
              <w:textAlignment w:val="center"/>
              <w:rPr>
                <w:rFonts w:ascii="仿宋_GB2312" w:eastAsia="仿宋_GB2312"/>
                <w:sz w:val="20"/>
                <w:szCs w:val="20"/>
                <w:highlight w:val="none"/>
              </w:rPr>
            </w:pPr>
            <w:r>
              <w:rPr>
                <w:rFonts w:hint="eastAsia" w:ascii="仿宋_GB2312" w:eastAsia="仿宋_GB2312"/>
                <w:sz w:val="20"/>
                <w:szCs w:val="20"/>
                <w:highlight w:val="none"/>
                <w:u w:val="none"/>
              </w:rPr>
              <w:t>水泥稳定土</w:t>
            </w:r>
            <w:r>
              <w:rPr>
                <w:rFonts w:hint="eastAsia" w:ascii="仿宋_GB2312" w:eastAsia="仿宋_GB2312" w:cs="宋体" w:hAnsiTheme="minorEastAsia"/>
                <w:sz w:val="21"/>
                <w:szCs w:val="21"/>
                <w:highlight w:val="none"/>
                <w:u w:val="none"/>
                <w:lang w:val="en-US" w:eastAsia="zh-CN"/>
              </w:rPr>
              <w:t>拌合站</w:t>
            </w:r>
          </w:p>
        </w:tc>
        <w:tc>
          <w:tcPr>
            <w:tcW w:w="1275" w:type="dxa"/>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sz w:val="20"/>
                <w:szCs w:val="20"/>
                <w:highlight w:val="none"/>
              </w:rPr>
              <w:t>双拌缸800t/h</w:t>
            </w:r>
          </w:p>
        </w:tc>
        <w:tc>
          <w:tcPr>
            <w:tcW w:w="851" w:type="dxa"/>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sz w:val="20"/>
                <w:szCs w:val="20"/>
                <w:highlight w:val="none"/>
              </w:rPr>
              <w:t>台</w:t>
            </w:r>
          </w:p>
        </w:tc>
        <w:tc>
          <w:tcPr>
            <w:tcW w:w="992"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ascii="仿宋_GB2312" w:eastAsia="仿宋_GB2312"/>
                <w:sz w:val="20"/>
                <w:szCs w:val="20"/>
                <w:highlight w:val="none"/>
              </w:rPr>
              <w:t>1</w:t>
            </w:r>
          </w:p>
        </w:tc>
        <w:tc>
          <w:tcPr>
            <w:tcW w:w="2165" w:type="dxa"/>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sz w:val="20"/>
                <w:szCs w:val="20"/>
                <w:highlight w:val="none"/>
              </w:rPr>
              <w:t>6 个上料仓，配</w:t>
            </w:r>
            <w:r>
              <w:rPr>
                <w:rFonts w:hint="eastAsia" w:ascii="仿宋_GB2312" w:eastAsia="仿宋_GB2312"/>
                <w:sz w:val="20"/>
                <w:szCs w:val="20"/>
                <w:highlight w:val="none"/>
                <w:lang w:val="en-US" w:eastAsia="zh-CN"/>
              </w:rPr>
              <w:t>1</w:t>
            </w:r>
            <w:r>
              <w:rPr>
                <w:rFonts w:hint="eastAsia" w:ascii="仿宋_GB2312" w:eastAsia="仿宋_GB2312"/>
                <w:sz w:val="20"/>
                <w:szCs w:val="20"/>
                <w:highlight w:val="none"/>
              </w:rPr>
              <w:t>个100T水泥罐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7" w:type="dxa"/>
            <w:gridSpan w:val="6"/>
            <w:shd w:val="clear" w:color="auto" w:fill="auto"/>
            <w:noWrap/>
            <w:vAlign w:val="center"/>
          </w:tcPr>
          <w:p>
            <w:pPr>
              <w:widowControl/>
              <w:jc w:val="left"/>
              <w:textAlignment w:val="center"/>
              <w:rPr>
                <w:rFonts w:ascii="仿宋_GB2312" w:eastAsia="仿宋_GB2312"/>
                <w:sz w:val="20"/>
                <w:szCs w:val="20"/>
                <w:highlight w:val="none"/>
              </w:rPr>
            </w:pPr>
            <w:r>
              <w:rPr>
                <w:rFonts w:hint="eastAsia" w:ascii="仿宋_GB2312" w:eastAsia="仿宋_GB2312"/>
                <w:sz w:val="20"/>
                <w:szCs w:val="20"/>
                <w:highlight w:val="none"/>
              </w:rPr>
              <w:t>相关配套设施详见机械设备类通用标准要求：水</w:t>
            </w:r>
            <w:r>
              <w:rPr>
                <w:rFonts w:hint="eastAsia" w:ascii="仿宋_GB2312" w:eastAsia="仿宋_GB2312"/>
                <w:sz w:val="20"/>
                <w:szCs w:val="20"/>
                <w:highlight w:val="none"/>
                <w:lang w:val="en-US" w:eastAsia="zh-CN"/>
              </w:rPr>
              <w:t>量</w:t>
            </w:r>
            <w:r>
              <w:rPr>
                <w:rFonts w:hint="eastAsia" w:ascii="仿宋_GB2312" w:eastAsia="仿宋_GB2312"/>
                <w:sz w:val="20"/>
                <w:szCs w:val="20"/>
                <w:highlight w:val="none"/>
              </w:rPr>
              <w:t>变频计量装置、水泥计量装置、水泥仓除尘装置、避雷设施、拌锅维修安全装置。</w:t>
            </w: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cs="宋体" w:hAnsiTheme="minorEastAsia"/>
          <w:sz w:val="21"/>
          <w:szCs w:val="21"/>
          <w:highlight w:val="none"/>
          <w:u w:val="single"/>
        </w:rPr>
        <w:t xml:space="preserve">石太高速公路改扩建工程主体3分部  </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14:textFill>
            <w14:solidFill>
              <w14:schemeClr w14:val="tx1"/>
            </w14:solidFill>
          </w14:textFill>
        </w:rPr>
        <w:t>指定地点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pPr>
        <w:pStyle w:val="39"/>
        <w:keepNext w:val="0"/>
        <w:keepLines w:val="0"/>
        <w:ind w:firstLine="482" w:firstLineChars="200"/>
        <w:jc w:val="left"/>
        <w:rPr>
          <w:rFonts w:ascii="仿宋_GB2312" w:eastAsia="仿宋_GB2312" w:hAnsiTheme="minorEastAsia"/>
          <w:b/>
          <w:bCs/>
          <w:highlight w:val="none"/>
        </w:rPr>
      </w:pPr>
      <w:bookmarkStart w:id="14" w:name="_Toc8674"/>
      <w:r>
        <w:rPr>
          <w:rFonts w:hint="eastAsia" w:ascii="仿宋_GB2312" w:eastAsia="仿宋_GB2312" w:cs="宋体" w:hAnsiTheme="minorEastAsia"/>
          <w:b/>
          <w:bCs/>
          <w:highlight w:val="none"/>
        </w:rPr>
        <w:t>5.投标人</w:t>
      </w:r>
      <w:bookmarkEnd w:id="14"/>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5" w:name="_Toc20481"/>
      <w:r>
        <w:rPr>
          <w:rFonts w:hint="eastAsia" w:ascii="仿宋_GB2312" w:eastAsia="仿宋_GB2312" w:hAnsiTheme="minorEastAsia"/>
          <w:sz w:val="21"/>
          <w:szCs w:val="21"/>
          <w:highlight w:val="none"/>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3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pPr>
        <w:pStyle w:val="39"/>
        <w:keepNext w:val="0"/>
        <w:keepLines w:val="0"/>
        <w:ind w:firstLine="482" w:firstLineChars="200"/>
        <w:jc w:val="left"/>
        <w:rPr>
          <w:rFonts w:ascii="仿宋_GB2312" w:eastAsia="仿宋_GB2312" w:hAnsiTheme="minorEastAsia"/>
          <w:b/>
          <w:bCs/>
          <w:highlight w:val="none"/>
        </w:rPr>
      </w:pPr>
      <w:bookmarkStart w:id="16" w:name="_Toc6990"/>
      <w:r>
        <w:rPr>
          <w:rFonts w:hint="eastAsia" w:ascii="仿宋_GB2312" w:eastAsia="仿宋_GB2312" w:cs="宋体" w:hAnsiTheme="minorEastAsia"/>
          <w:b/>
          <w:bCs/>
          <w:highlight w:val="none"/>
        </w:rPr>
        <w:t>7.投标费用</w:t>
      </w:r>
      <w:bookmarkEnd w:id="16"/>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7.2投标保证金必须从投标人的基本账户以电汇的方式汇出，投标人须保证投标报价结束前将投标保证金支付到达招标文件指定的银行账户，并注明投标设备名称、包件号。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bookmarkStart w:id="17" w:name="_Toc238797563"/>
      <w:bookmarkStart w:id="18" w:name="_Toc287545441"/>
      <w:bookmarkStart w:id="19" w:name="_Toc238552208"/>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sz w:val="21"/>
          <w:szCs w:val="21"/>
          <w:highlight w:val="none"/>
        </w:rPr>
        <w:t>中建路桥集团建设发展有限公司</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ascii="仿宋_GB2312" w:eastAsia="仿宋_GB2312" w:hAnsiTheme="minorEastAsia"/>
          <w:sz w:val="21"/>
          <w:szCs w:val="21"/>
          <w:highlight w:val="none"/>
        </w:rPr>
        <w:t>622012013000000258</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开 户 行： </w:t>
      </w:r>
      <w:r>
        <w:rPr>
          <w:rFonts w:hint="eastAsia" w:ascii="仿宋_GB2312" w:eastAsia="仿宋_GB2312" w:hAnsiTheme="minorEastAsia"/>
          <w:sz w:val="21"/>
          <w:szCs w:val="21"/>
          <w:highlight w:val="none"/>
        </w:rPr>
        <w:t>河北银行槐安路支行</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7"/>
      <w:bookmarkEnd w:id="18"/>
      <w:bookmarkEnd w:id="19"/>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0" w:name="_Toc214339495"/>
      <w:bookmarkStart w:id="21" w:name="_Toc28053"/>
      <w:bookmarkStart w:id="22" w:name="_Toc214336661"/>
      <w:bookmarkStart w:id="23" w:name="_Toc214333206"/>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0"/>
      <w:bookmarkEnd w:id="21"/>
      <w:bookmarkEnd w:id="22"/>
      <w:bookmarkEnd w:id="23"/>
      <w:r>
        <w:rPr>
          <w:rFonts w:hint="eastAsia" w:ascii="仿宋_GB2312" w:eastAsia="仿宋_GB2312" w:cs="黑体" w:hAnsiTheme="minorEastAsia"/>
          <w:bCs w:val="0"/>
          <w:kern w:val="2"/>
          <w:sz w:val="28"/>
          <w:szCs w:val="28"/>
          <w:highlight w:val="none"/>
        </w:rPr>
        <w:t>的澄清和修改</w:t>
      </w:r>
    </w:p>
    <w:p>
      <w:pPr>
        <w:pStyle w:val="39"/>
        <w:keepNext w:val="0"/>
        <w:keepLines w:val="0"/>
        <w:ind w:firstLine="482" w:firstLineChars="200"/>
        <w:jc w:val="left"/>
        <w:rPr>
          <w:rFonts w:ascii="仿宋_GB2312" w:eastAsia="仿宋_GB2312" w:hAnsiTheme="minorEastAsia"/>
          <w:b/>
          <w:bCs/>
          <w:highlight w:val="none"/>
        </w:rPr>
      </w:pPr>
      <w:bookmarkStart w:id="24"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4"/>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39"/>
        <w:keepNext w:val="0"/>
        <w:keepLines w:val="0"/>
        <w:ind w:firstLine="482" w:firstLineChars="200"/>
        <w:jc w:val="left"/>
        <w:rPr>
          <w:rFonts w:ascii="仿宋_GB2312" w:eastAsia="仿宋_GB2312" w:hAnsiTheme="minorEastAsia"/>
          <w:b/>
          <w:bCs/>
          <w:highlight w:val="none"/>
        </w:rPr>
      </w:pPr>
      <w:bookmarkStart w:id="25"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6" w:name="_Toc10683"/>
      <w:bookmarkStart w:id="27" w:name="_Toc214335335"/>
      <w:bookmarkStart w:id="28" w:name="_Toc214336662"/>
      <w:bookmarkStart w:id="29" w:name="_Toc214333207"/>
      <w:bookmarkStart w:id="30" w:name="_Toc214331811"/>
      <w:bookmarkStart w:id="31" w:name="_Toc214339496"/>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6"/>
      <w:bookmarkEnd w:id="27"/>
      <w:bookmarkEnd w:id="28"/>
      <w:bookmarkEnd w:id="29"/>
      <w:bookmarkEnd w:id="30"/>
      <w:bookmarkEnd w:id="31"/>
      <w:r>
        <w:rPr>
          <w:rFonts w:hint="eastAsia" w:ascii="仿宋_GB2312" w:eastAsia="仿宋_GB2312" w:cs="黑体" w:hAnsiTheme="minorEastAsia"/>
          <w:bCs w:val="0"/>
          <w:kern w:val="2"/>
          <w:sz w:val="28"/>
          <w:szCs w:val="28"/>
          <w:highlight w:val="none"/>
        </w:rPr>
        <w:t>及相关事项说明</w:t>
      </w:r>
    </w:p>
    <w:p>
      <w:pPr>
        <w:pStyle w:val="39"/>
        <w:keepNext w:val="0"/>
        <w:keepLines w:val="0"/>
        <w:ind w:firstLine="482" w:firstLineChars="200"/>
        <w:jc w:val="left"/>
        <w:rPr>
          <w:rFonts w:ascii="仿宋_GB2312" w:eastAsia="仿宋_GB2312" w:hAnsiTheme="minorEastAsia"/>
          <w:b/>
          <w:bCs/>
          <w:highlight w:val="none"/>
        </w:rPr>
      </w:pPr>
      <w:bookmarkStart w:id="32"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2"/>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3"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.1投标文件采用纸质版的形式进行投标。</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.2纸质版投标文件的版式用A4纸（附图、附表除外），文字用中文简体。所有文字、图表必须清晰可辨。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.3投标文件纸质版必须按连续页码顺序排版。</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.4每个包件均应单独编制投标文件。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.5“中建路桥集团官网”招标情况下，招标文件送达指定地点。</w:t>
      </w:r>
    </w:p>
    <w:p>
      <w:pPr>
        <w:pStyle w:val="3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12.1.14生产厂商投标人必须具备全国工业设备生产许可证、设备安全鉴定证等资料；经销单位投标人必须具备定点经营证书及生产厂商上述资料，</w:t>
      </w:r>
      <w:r>
        <w:rPr>
          <w:rFonts w:hint="eastAsia" w:ascii="仿宋_GB2312" w:hAnsi="仿宋" w:eastAsia="仿宋_GB2312"/>
          <w:bCs/>
          <w:color w:val="000000" w:themeColor="text1"/>
          <w:sz w:val="21"/>
          <w:szCs w:val="21"/>
          <w:highlight w:val="none"/>
          <w14:textFill>
            <w14:solidFill>
              <w14:schemeClr w14:val="tx1"/>
            </w14:solidFill>
          </w14:textFill>
        </w:rPr>
        <w:t>特种设备须提供特种设备制造许可证；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39"/>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sz w:val="21"/>
          <w:szCs w:val="21"/>
          <w:highlight w:val="none"/>
          <w:u w:val="single"/>
        </w:rPr>
        <w:t>2</w:t>
      </w:r>
      <w:r>
        <w:rPr>
          <w:rFonts w:ascii="仿宋_GB2312" w:eastAsia="仿宋_GB2312" w:hAnsiTheme="minorEastAsia"/>
          <w:sz w:val="21"/>
          <w:szCs w:val="21"/>
          <w:highlight w:val="none"/>
          <w:u w:val="single"/>
        </w:rPr>
        <w:t>0000</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元整；大写</w:t>
      </w:r>
      <w:r>
        <w:rPr>
          <w:rFonts w:hint="eastAsia" w:ascii="仿宋_GB2312" w:eastAsia="仿宋_GB2312" w:hAnsiTheme="minorEastAsia"/>
          <w:sz w:val="21"/>
          <w:szCs w:val="21"/>
          <w:highlight w:val="none"/>
          <w:u w:val="single"/>
        </w:rPr>
        <w:t xml:space="preserve"> 贰万 </w:t>
      </w:r>
      <w:r>
        <w:rPr>
          <w:rFonts w:hint="eastAsia" w:ascii="仿宋_GB2312" w:eastAsia="仿宋_GB2312" w:hAnsiTheme="minorEastAsia"/>
          <w:sz w:val="21"/>
          <w:szCs w:val="21"/>
          <w:highlight w:val="none"/>
        </w:rPr>
        <w:t>元整），并作为投标文件的组成部分。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招标人与中标人签订合同后15个工作日内，向未中标的投标人退还投标保证金。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.6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13.7履约保证金见前附表。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pPr>
        <w:pStyle w:val="3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安装调试工作所发生的一切费用，包括但不限于乙方设备的设备费、包装费（如有）、厂内检测费、装卸费、运输费、税金、技术指导等投标人履行本招标文件所附合同规定义务的全部价款与费税，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固定总价</w:t>
      </w:r>
      <w:r>
        <w:rPr>
          <w:rFonts w:hint="eastAsia" w:ascii="仿宋_GB2312" w:eastAsia="仿宋_GB2312" w:hAnsiTheme="minorEastAsia"/>
          <w:b/>
          <w:sz w:val="21"/>
          <w:szCs w:val="21"/>
          <w:highlight w:val="none"/>
        </w:rPr>
        <w:t>报价方式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39"/>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39"/>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39"/>
        <w:keepNext w:val="0"/>
        <w:keepLines w:val="0"/>
        <w:ind w:firstLine="482" w:firstLineChars="200"/>
        <w:jc w:val="left"/>
        <w:rPr>
          <w:rFonts w:ascii="仿宋_GB2312" w:eastAsia="仿宋_GB2312" w:cs="宋体" w:hAnsiTheme="minorEastAsia"/>
          <w:b/>
          <w:bCs/>
          <w:highlight w:val="none"/>
        </w:rPr>
      </w:pPr>
      <w:bookmarkStart w:id="34" w:name="_Toc16914"/>
      <w:r>
        <w:rPr>
          <w:rFonts w:hint="eastAsia" w:ascii="仿宋_GB2312" w:eastAsia="仿宋_GB2312" w:cs="宋体" w:hAnsiTheme="minorEastAsia"/>
          <w:b/>
          <w:bCs/>
          <w:highlight w:val="none"/>
        </w:rPr>
        <w:t>16.投标文件的签署</w:t>
      </w:r>
      <w:bookmarkEnd w:id="34"/>
    </w:p>
    <w:p>
      <w:pPr>
        <w:adjustRightInd w:val="0"/>
        <w:snapToGrid w:val="0"/>
        <w:spacing w:line="400" w:lineRule="exact"/>
        <w:ind w:firstLine="420" w:firstLineChars="200"/>
        <w:jc w:val="left"/>
        <w:outlineLvl w:val="2"/>
        <w:rPr>
          <w:rFonts w:ascii="仿宋_GB2312" w:eastAsia="仿宋_GB2312" w:hAnsiTheme="minorEastAsia"/>
          <w:color w:val="E7E6E6"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投标人在提供投标文件时，所有的表格、承诺及签署的文件均需壹份正本、壹份副本及一份电子版投标文件，以PDF格式提供。纸质版及U盘电子版招标文件适用非云筑网招标。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39"/>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5" w:name="_Toc16382"/>
    </w:p>
    <w:p>
      <w:pPr>
        <w:pStyle w:val="39"/>
        <w:keepNext w:val="0"/>
        <w:keepLines w:val="0"/>
        <w:ind w:firstLine="420" w:firstLineChars="200"/>
        <w:jc w:val="left"/>
        <w:rPr>
          <w:rFonts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5"/>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6" w:name="_Hlk38441028"/>
      <w:bookmarkStart w:id="37" w:name="_Toc214336663"/>
      <w:bookmarkStart w:id="38" w:name="_Toc214335336"/>
      <w:bookmarkStart w:id="39" w:name="_Toc214339497"/>
      <w:bookmarkStart w:id="40" w:name="_Toc214333208"/>
      <w:bookmarkStart w:id="41" w:name="_Toc214331812"/>
      <w:bookmarkStart w:id="42" w:name="_Toc31618"/>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6"/>
      <w:bookmarkEnd w:id="37"/>
      <w:bookmarkEnd w:id="38"/>
      <w:bookmarkEnd w:id="39"/>
      <w:bookmarkEnd w:id="40"/>
      <w:bookmarkEnd w:id="41"/>
      <w:bookmarkEnd w:id="42"/>
    </w:p>
    <w:p>
      <w:pPr>
        <w:pStyle w:val="39"/>
        <w:keepNext w:val="0"/>
        <w:keepLines w:val="0"/>
        <w:ind w:firstLine="482" w:firstLineChars="200"/>
        <w:jc w:val="left"/>
        <w:rPr>
          <w:rFonts w:eastAsia="仿宋_GB2312"/>
          <w:highlight w:val="none"/>
        </w:rPr>
      </w:pPr>
      <w:bookmarkStart w:id="43" w:name="_Toc2256"/>
      <w:bookmarkStart w:id="44" w:name="_Toc214335337"/>
      <w:bookmarkStart w:id="45" w:name="_Toc214339498"/>
      <w:bookmarkStart w:id="46" w:name="_Toc214333209"/>
      <w:bookmarkStart w:id="47" w:name="_Toc4220"/>
      <w:bookmarkStart w:id="48" w:name="_Toc214331813"/>
      <w:bookmarkStart w:id="49" w:name="_Toc214336664"/>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17.1.1方式一（中建路桥官网）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30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河北省石家庄市建设南大街38号B座408室中建路桥集团有限公司</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4"/>
      <w:bookmarkEnd w:id="45"/>
      <w:bookmarkEnd w:id="46"/>
      <w:bookmarkEnd w:id="47"/>
      <w:bookmarkEnd w:id="48"/>
      <w:bookmarkEnd w:id="49"/>
    </w:p>
    <w:p>
      <w:pPr>
        <w:pStyle w:val="39"/>
        <w:keepNext w:val="0"/>
        <w:keepLines w:val="0"/>
        <w:ind w:firstLine="482" w:firstLineChars="200"/>
        <w:jc w:val="left"/>
        <w:rPr>
          <w:rFonts w:ascii="仿宋_GB2312" w:eastAsia="仿宋_GB2312" w:hAnsiTheme="minorEastAsia"/>
          <w:b/>
          <w:bCs/>
          <w:highlight w:val="none"/>
        </w:rPr>
      </w:pPr>
      <w:bookmarkStart w:id="50"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0"/>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30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中建路桥集团有限公司公开开标</w:t>
      </w:r>
      <w:r>
        <w:rPr>
          <w:rFonts w:hint="eastAsia" w:ascii="仿宋_GB2312" w:eastAsia="仿宋_GB2312" w:hAnsiTheme="minorEastAsia"/>
          <w:kern w:val="2"/>
          <w:highlight w:val="none"/>
        </w:rPr>
        <w:t>，开标时间以</w:t>
      </w:r>
      <w:r>
        <w:rPr>
          <w:rFonts w:hint="eastAsia" w:ascii="仿宋_GB2312" w:eastAsia="仿宋_GB2312" w:hAnsiTheme="minorEastAsia"/>
          <w:kern w:val="2"/>
          <w:highlight w:val="none"/>
          <w:u w:val="single"/>
        </w:rPr>
        <w:t>“中建路桥集团有限公司官网”通知</w:t>
      </w:r>
      <w:r>
        <w:rPr>
          <w:rFonts w:hint="eastAsia" w:ascii="仿宋_GB2312" w:eastAsia="仿宋_GB2312" w:hAnsiTheme="minorEastAsia"/>
          <w:kern w:val="2"/>
          <w:highlight w:val="none"/>
        </w:rPr>
        <w:t>为准。</w:t>
      </w:r>
    </w:p>
    <w:p>
      <w:pPr>
        <w:pStyle w:val="39"/>
        <w:keepNext w:val="0"/>
        <w:keepLines w:val="0"/>
        <w:ind w:firstLine="482" w:firstLineChars="200"/>
        <w:jc w:val="left"/>
        <w:rPr>
          <w:rFonts w:ascii="仿宋_GB2312" w:eastAsia="仿宋_GB2312" w:cs="宋体" w:hAnsiTheme="minorEastAsia"/>
          <w:b/>
          <w:bCs/>
          <w:highlight w:val="none"/>
        </w:rPr>
      </w:pPr>
      <w:bookmarkStart w:id="51"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1"/>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39"/>
        <w:keepNext w:val="0"/>
        <w:keepLines w:val="0"/>
        <w:ind w:firstLine="420" w:firstLineChars="200"/>
        <w:jc w:val="left"/>
        <w:rPr>
          <w:rFonts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评标原则：遵循公平、公正、科学、择优和市场价格调查的原则。本次招标将选取报价较低且合理的分供商进入议标，报价较高或异常的分供商不进入议标，请投标人谨慎报价。</w:t>
      </w:r>
      <w:bookmarkStart w:id="52" w:name="_Toc31000"/>
    </w:p>
    <w:p>
      <w:pPr>
        <w:pStyle w:val="39"/>
        <w:keepNext w:val="0"/>
        <w:keepLines w:val="0"/>
        <w:ind w:firstLine="241" w:firstLineChars="1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 xml:space="preserve"> 19.3评标办法：</w:t>
      </w:r>
      <w:r>
        <w:rPr>
          <w:rFonts w:ascii="仿宋_GB2312" w:eastAsia="仿宋_GB2312" w:hAnsiTheme="minorEastAsia"/>
          <w:highlight w:val="none"/>
          <w:u w:val="single"/>
        </w:rPr>
        <w:t>综合评分办法</w:t>
      </w:r>
      <w:r>
        <w:rPr>
          <w:rFonts w:hint="eastAsia" w:ascii="仿宋_GB2312" w:eastAsia="仿宋_GB2312" w:hAnsiTheme="minorEastAsia"/>
          <w:highlight w:val="none"/>
        </w:rPr>
        <w:t>。</w:t>
      </w:r>
    </w:p>
    <w:p>
      <w:pPr>
        <w:pStyle w:val="39"/>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评标标采用综合评分办法，评标人员按照以下内容进行评价，合理计分，合理低价中标。（总分100分,经济报价40分，技术部分60分） </w:t>
      </w:r>
    </w:p>
    <w:p>
      <w:pPr>
        <w:pStyle w:val="39"/>
        <w:ind w:firstLine="422" w:firstLineChars="200"/>
        <w:jc w:val="left"/>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9.3.1</w:t>
      </w:r>
      <w:r>
        <w:rPr>
          <w:rFonts w:hint="eastAsia" w:ascii="仿宋_GB2312" w:eastAsia="仿宋_GB2312" w:cs="宋体" w:hAnsiTheme="minorEastAsia"/>
          <w:b/>
          <w:sz w:val="21"/>
          <w:szCs w:val="21"/>
          <w:highlight w:val="none"/>
        </w:rPr>
        <w:t>经济报价 40分 </w:t>
      </w:r>
    </w:p>
    <w:p>
      <w:pPr>
        <w:pStyle w:val="39"/>
        <w:ind w:firstLine="420" w:firstLineChars="200"/>
        <w:jc w:val="left"/>
        <w:rPr>
          <w:rFonts w:ascii="仿宋_GB2312" w:eastAsia="仿宋_GB2312" w:cs="宋体" w:hAnsiTheme="minorEastAsia"/>
          <w:b/>
          <w:sz w:val="21"/>
          <w:szCs w:val="21"/>
          <w:highlight w:val="none"/>
        </w:rPr>
      </w:pPr>
      <w:r>
        <w:rPr>
          <w:rFonts w:hint="eastAsia" w:ascii="仿宋_GB2312" w:eastAsia="仿宋_GB2312" w:cs="宋体" w:hAnsiTheme="minorEastAsia"/>
          <w:sz w:val="21"/>
          <w:szCs w:val="21"/>
          <w:highlight w:val="none"/>
        </w:rPr>
        <w:t>招标人根据投标人的投标报价，按以下方法计算报价得分：</w:t>
      </w:r>
    </w:p>
    <w:p>
      <w:pPr>
        <w:pStyle w:val="39"/>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（一）评标基准价：将各投标人的投标报价（含运费）相加后，除以投标人的总数，所得商数即为评标基准价。（投标人超过7家时，应去掉最高价和最低价，最高价和最低价投标人继续参与评标）</w:t>
      </w:r>
    </w:p>
    <w:p>
      <w:pPr>
        <w:pStyle w:val="39"/>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（二）投标报价等于评标基准价时，报价得30分。 </w:t>
      </w:r>
    </w:p>
    <w:p>
      <w:pPr>
        <w:pStyle w:val="39"/>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（三）投标报价低于或高于评标基准价时，以30分为基准数递加或递减。投标报价高于评标基准价时，每高1％减</w:t>
      </w: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rPr>
        <w:t>分（最多减10分），投标报价低于评标基准价时，每低1％加</w:t>
      </w: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rPr>
        <w:t>分。 （最多加10分）</w:t>
      </w:r>
    </w:p>
    <w:p>
      <w:pPr>
        <w:pStyle w:val="39"/>
        <w:ind w:firstLine="422" w:firstLineChars="200"/>
        <w:jc w:val="left"/>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9.3.2</w:t>
      </w:r>
      <w:r>
        <w:rPr>
          <w:rFonts w:hint="eastAsia" w:ascii="仿宋_GB2312" w:eastAsia="仿宋_GB2312" w:cs="宋体" w:hAnsiTheme="minorEastAsia"/>
          <w:b/>
          <w:sz w:val="21"/>
          <w:szCs w:val="21"/>
          <w:highlight w:val="none"/>
        </w:rPr>
        <w:t>技术部分 100分 (权重60％)</w:t>
      </w:r>
    </w:p>
    <w:tbl>
      <w:tblPr>
        <w:tblStyle w:val="31"/>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7"/>
        <w:gridCol w:w="3969"/>
        <w:gridCol w:w="113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序号</w:t>
            </w:r>
          </w:p>
        </w:tc>
        <w:tc>
          <w:tcPr>
            <w:tcW w:w="143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评审因素</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评分要点</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分值</w:t>
            </w:r>
          </w:p>
        </w:tc>
        <w:tc>
          <w:tcPr>
            <w:tcW w:w="1378" w:type="dxa"/>
            <w:tcBorders>
              <w:top w:val="single" w:color="auto" w:sz="4" w:space="0"/>
              <w:left w:val="single" w:color="auto" w:sz="4" w:space="0"/>
              <w:bottom w:val="single" w:color="auto" w:sz="4" w:space="0"/>
              <w:right w:val="single" w:color="auto" w:sz="4" w:space="0"/>
            </w:tcBorders>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p>
        </w:tc>
        <w:tc>
          <w:tcPr>
            <w:tcW w:w="143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标书编写</w:t>
            </w:r>
          </w:p>
          <w:p>
            <w:pPr>
              <w:pStyle w:val="39"/>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w:t>
            </w:r>
            <w:r>
              <w:rPr>
                <w:rFonts w:ascii="仿宋_GB2312" w:eastAsia="仿宋_GB2312" w:cs="宋体" w:hAnsiTheme="minorEastAsia"/>
                <w:sz w:val="21"/>
                <w:szCs w:val="21"/>
                <w:highlight w:val="none"/>
              </w:rPr>
              <w:t>2</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标书格式清晰，内容详实。</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厂商情况（2</w:t>
            </w:r>
            <w:r>
              <w:rPr>
                <w:rFonts w:ascii="仿宋_GB2312" w:eastAsia="仿宋_GB2312" w:cs="宋体" w:hAnsiTheme="minorEastAsia"/>
                <w:sz w:val="21"/>
                <w:szCs w:val="21"/>
                <w:highlight w:val="none"/>
              </w:rPr>
              <w:t>4</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品牌情况（一般、中等、一线）。</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4、8、12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信誉良好、市场评价高。</w:t>
            </w:r>
          </w:p>
        </w:tc>
        <w:tc>
          <w:tcPr>
            <w:tcW w:w="1134"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企业资质。</w:t>
            </w:r>
          </w:p>
        </w:tc>
        <w:tc>
          <w:tcPr>
            <w:tcW w:w="1134"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业绩良好，市场占有率高。</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restart"/>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w:t>
            </w:r>
          </w:p>
        </w:tc>
        <w:tc>
          <w:tcPr>
            <w:tcW w:w="1437" w:type="dxa"/>
            <w:vMerge w:val="restart"/>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企业实力</w:t>
            </w:r>
          </w:p>
          <w:p>
            <w:pPr>
              <w:pStyle w:val="39"/>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w:t>
            </w:r>
            <w:r>
              <w:rPr>
                <w:rFonts w:ascii="仿宋_GB2312" w:eastAsia="仿宋_GB2312" w:cs="宋体" w:hAnsiTheme="minorEastAsia"/>
                <w:sz w:val="21"/>
                <w:szCs w:val="21"/>
                <w:highlight w:val="none"/>
              </w:rPr>
              <w:t>9</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企业实力（注册资金：</w:t>
            </w:r>
            <w:r>
              <w:rPr>
                <w:rFonts w:ascii="仿宋_GB2312" w:eastAsia="仿宋_GB2312" w:cs="宋体" w:hAnsiTheme="minorEastAsia"/>
                <w:sz w:val="21"/>
                <w:szCs w:val="21"/>
                <w:highlight w:val="none"/>
              </w:rPr>
              <w:t>500</w:t>
            </w:r>
            <w:r>
              <w:rPr>
                <w:rFonts w:hint="eastAsia" w:ascii="仿宋_GB2312" w:eastAsia="仿宋_GB2312" w:cs="宋体" w:hAnsiTheme="minorEastAsia"/>
                <w:sz w:val="21"/>
                <w:szCs w:val="21"/>
                <w:highlight w:val="none"/>
              </w:rPr>
              <w:t>万-</w:t>
            </w:r>
            <w:r>
              <w:rPr>
                <w:rFonts w:ascii="仿宋_GB2312" w:eastAsia="仿宋_GB2312" w:cs="宋体" w:hAnsiTheme="minorEastAsia"/>
                <w:sz w:val="21"/>
                <w:szCs w:val="21"/>
                <w:highlight w:val="none"/>
              </w:rPr>
              <w:t>2500</w:t>
            </w:r>
            <w:r>
              <w:rPr>
                <w:rFonts w:hint="eastAsia" w:ascii="仿宋_GB2312" w:eastAsia="仿宋_GB2312" w:cs="宋体" w:hAnsiTheme="minorEastAsia"/>
                <w:sz w:val="21"/>
                <w:szCs w:val="21"/>
                <w:highlight w:val="none"/>
              </w:rPr>
              <w:t>万，最高5分 ）。</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ISO9000质量保证体系完善。</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ISO14000环境管理体系完善。</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ISO18000职业健康安全管理体系完善。</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获奖情况(国优部优)。</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9" w:type="dxa"/>
            <w:vMerge w:val="restart"/>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w:t>
            </w:r>
          </w:p>
        </w:tc>
        <w:tc>
          <w:tcPr>
            <w:tcW w:w="1437" w:type="dxa"/>
            <w:vMerge w:val="restart"/>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设备概况</w:t>
            </w:r>
          </w:p>
          <w:p>
            <w:pPr>
              <w:pStyle w:val="39"/>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w:t>
            </w:r>
            <w:r>
              <w:rPr>
                <w:rFonts w:ascii="仿宋_GB2312" w:eastAsia="仿宋_GB2312" w:cs="宋体" w:hAnsiTheme="minorEastAsia"/>
                <w:sz w:val="21"/>
                <w:szCs w:val="21"/>
                <w:highlight w:val="none"/>
              </w:rPr>
              <w:t>5</w:t>
            </w:r>
            <w:r>
              <w:rPr>
                <w:rFonts w:hint="eastAsia" w:ascii="仿宋_GB2312" w:eastAsia="仿宋_GB2312" w:cs="宋体" w:hAnsiTheme="minorEastAsia"/>
                <w:sz w:val="21"/>
                <w:szCs w:val="21"/>
                <w:highlight w:val="none"/>
              </w:rPr>
              <w:t>分）</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冷料供给系统（容积、品牌、输送能力）。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0-3</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设备防雷装置（主机、水泥罐体）。</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0-7</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除尘装置及供给系统（除尘面积、风机、粉料仓体积）。</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0-8</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拌合站主机（拌缸、料斗震动筛、称重、搅拌装置）。</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0-10</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电器及自动化控制系统（品牌、软件、附件）。</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计量系统（水计量变频装置、传感器、控制阀）。</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主要部件：电机、减速器、电器元件、皮带、输送器（品牌、能力）。</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钢材质量情况、提供厂家出厂材质单或合格证。</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设备各项技术参数的响应情况。</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新技术、新材料、新工艺的应用。</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人机工程设计合理，操作室安全、舒适性。</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随机配件、工具、纸质文件齐全、满足要求。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0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w:t>
            </w:r>
          </w:p>
        </w:tc>
        <w:tc>
          <w:tcPr>
            <w:tcW w:w="143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环境保护</w:t>
            </w:r>
          </w:p>
          <w:p>
            <w:pPr>
              <w:pStyle w:val="39"/>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（4分）</w:t>
            </w:r>
          </w:p>
        </w:tc>
        <w:tc>
          <w:tcPr>
            <w:tcW w:w="396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噪声及排放达到国家和地方标准设备环保方案及优势。</w:t>
            </w:r>
          </w:p>
        </w:tc>
        <w:tc>
          <w:tcPr>
            <w:tcW w:w="1134"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709" w:type="dxa"/>
            <w:vMerge w:val="restart"/>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售后服务</w:t>
            </w:r>
          </w:p>
          <w:p>
            <w:pPr>
              <w:pStyle w:val="39"/>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（6分）</w:t>
            </w:r>
          </w:p>
        </w:tc>
        <w:tc>
          <w:tcPr>
            <w:tcW w:w="396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售后服务体系完善、保证措施可靠、响应迅速、服务队伍成熟、售后技术人员经验丰富。</w:t>
            </w:r>
          </w:p>
        </w:tc>
        <w:tc>
          <w:tcPr>
            <w:tcW w:w="1134"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1378" w:type="dxa"/>
            <w:tcBorders>
              <w:top w:val="single" w:color="auto" w:sz="4" w:space="0"/>
              <w:left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39"/>
              <w:ind w:firstLine="422" w:firstLineChars="200"/>
              <w:jc w:val="center"/>
              <w:rPr>
                <w:rFonts w:ascii="仿宋_GB2312" w:eastAsia="仿宋_GB2312" w:cs="宋体" w:hAnsiTheme="minorEastAsia"/>
                <w:b/>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3969"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培训内容及文件周详、完整且符合招标文件要求。</w:t>
            </w: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ascii="仿宋_GB2312" w:eastAsia="仿宋_GB2312" w:cs="宋体" w:hAnsiTheme="minorEastAsia"/>
                <w:sz w:val="21"/>
                <w:szCs w:val="21"/>
                <w:highlight w:val="none"/>
              </w:rPr>
              <w:t>0-</w:t>
            </w:r>
            <w:r>
              <w:rPr>
                <w:rFonts w:hint="eastAsia" w:ascii="仿宋_GB2312" w:eastAsia="仿宋_GB2312" w:cs="宋体" w:hAnsiTheme="minorEastAsia"/>
                <w:sz w:val="21"/>
                <w:szCs w:val="21"/>
                <w:highlight w:val="none"/>
              </w:rPr>
              <w:t>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9"/>
              <w:ind w:firstLine="422" w:firstLineChars="200"/>
              <w:jc w:val="center"/>
              <w:rPr>
                <w:rFonts w:ascii="仿宋_GB2312" w:eastAsia="仿宋_GB2312" w:cs="宋体" w:hAnsiTheme="minorEastAsia"/>
                <w:b/>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合计</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100</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0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w:t>
            </w:r>
          </w:p>
        </w:tc>
        <w:tc>
          <w:tcPr>
            <w:tcW w:w="1437"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加分项</w:t>
            </w:r>
          </w:p>
        </w:tc>
        <w:tc>
          <w:tcPr>
            <w:tcW w:w="3969"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质量保证期每顺延6个月加1分，12个月加2分。</w:t>
            </w:r>
          </w:p>
        </w:tc>
        <w:tc>
          <w:tcPr>
            <w:tcW w:w="1134" w:type="dxa"/>
            <w:tcBorders>
              <w:top w:val="single" w:color="auto" w:sz="4" w:space="0"/>
              <w:left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最多2分</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left w:val="single" w:color="auto" w:sz="4" w:space="0"/>
              <w:bottom w:val="single" w:color="auto" w:sz="4" w:space="0"/>
              <w:right w:val="single" w:color="auto" w:sz="4" w:space="0"/>
            </w:tcBorders>
            <w:vAlign w:val="center"/>
          </w:tcPr>
          <w:p>
            <w:pPr>
              <w:pStyle w:val="39"/>
              <w:ind w:firstLine="422" w:firstLineChars="200"/>
              <w:jc w:val="center"/>
              <w:rPr>
                <w:rFonts w:ascii="仿宋_GB2312" w:eastAsia="仿宋_GB2312" w:cs="宋体" w:hAnsiTheme="minorEastAsia"/>
                <w:b/>
                <w:sz w:val="21"/>
                <w:szCs w:val="21"/>
                <w:highlight w:val="none"/>
              </w:rPr>
            </w:pPr>
          </w:p>
        </w:tc>
        <w:tc>
          <w:tcPr>
            <w:tcW w:w="1437" w:type="dxa"/>
            <w:tcBorders>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共计</w:t>
            </w:r>
          </w:p>
        </w:tc>
        <w:tc>
          <w:tcPr>
            <w:tcW w:w="3969" w:type="dxa"/>
            <w:tcBorders>
              <w:top w:val="single" w:color="auto" w:sz="4" w:space="0"/>
              <w:left w:val="single" w:color="auto" w:sz="4" w:space="0"/>
              <w:bottom w:val="single" w:color="auto" w:sz="4" w:space="0"/>
              <w:right w:val="single" w:color="auto" w:sz="4" w:space="0"/>
            </w:tcBorders>
            <w:vAlign w:val="center"/>
          </w:tcPr>
          <w:p>
            <w:pPr>
              <w:pStyle w:val="39"/>
              <w:ind w:firstLine="420" w:firstLineChars="200"/>
              <w:jc w:val="center"/>
              <w:rPr>
                <w:rFonts w:ascii="仿宋_GB2312" w:eastAsia="仿宋_GB2312" w:cs="宋体" w:hAnsiTheme="minorEastAsia"/>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39"/>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w:t>
            </w:r>
          </w:p>
        </w:tc>
        <w:tc>
          <w:tcPr>
            <w:tcW w:w="1378" w:type="dxa"/>
            <w:tcBorders>
              <w:top w:val="single" w:color="auto" w:sz="4" w:space="0"/>
              <w:left w:val="single" w:color="auto" w:sz="4" w:space="0"/>
              <w:bottom w:val="single" w:color="auto" w:sz="4" w:space="0"/>
              <w:right w:val="single" w:color="auto" w:sz="4" w:space="0"/>
            </w:tcBorders>
          </w:tcPr>
          <w:p>
            <w:pPr>
              <w:pStyle w:val="39"/>
              <w:ind w:firstLine="420" w:firstLineChars="200"/>
              <w:jc w:val="center"/>
              <w:rPr>
                <w:rFonts w:ascii="仿宋_GB2312" w:eastAsia="仿宋_GB2312" w:cs="宋体" w:hAnsiTheme="minorEastAsia"/>
                <w:sz w:val="21"/>
                <w:szCs w:val="21"/>
                <w:highlight w:val="none"/>
              </w:rPr>
            </w:pPr>
          </w:p>
        </w:tc>
      </w:tr>
    </w:tbl>
    <w:p>
      <w:pPr>
        <w:pStyle w:val="39"/>
        <w:ind w:firstLine="422"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9.3.3</w:t>
      </w:r>
      <w:r>
        <w:rPr>
          <w:rFonts w:hint="eastAsia" w:ascii="仿宋_GB2312" w:eastAsia="仿宋_GB2312" w:cs="宋体" w:hAnsiTheme="minorEastAsia"/>
          <w:sz w:val="21"/>
          <w:szCs w:val="21"/>
          <w:highlight w:val="none"/>
        </w:rPr>
        <w:t xml:space="preserve">评标小组将汇总投标人的商务得分和技术得分，并根据评标总得分推荐前三名者为中标人。出现得分相同的情况，以投标报价低者居先。 </w:t>
      </w:r>
    </w:p>
    <w:p>
      <w:pPr>
        <w:pStyle w:val="39"/>
        <w:keepNext w:val="0"/>
        <w:keepLines w:val="0"/>
        <w:ind w:firstLine="422"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9.3.4</w:t>
      </w:r>
      <w:r>
        <w:rPr>
          <w:rFonts w:hint="eastAsia" w:ascii="仿宋_GB2312" w:eastAsia="仿宋_GB2312" w:cs="宋体" w:hAnsiTheme="minorEastAsia"/>
          <w:bCs/>
          <w:sz w:val="21"/>
          <w:szCs w:val="21"/>
          <w:highlight w:val="none"/>
        </w:rPr>
        <w:t>评标小组将派代表考察中标单位，确定其实力，最终确定其是否中标。</w:t>
      </w:r>
    </w:p>
    <w:p>
      <w:pPr>
        <w:pStyle w:val="39"/>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2"/>
    </w:p>
    <w:p>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39"/>
        <w:keepNext w:val="0"/>
        <w:keepLines w:val="0"/>
        <w:ind w:firstLine="482" w:firstLineChars="200"/>
        <w:jc w:val="left"/>
        <w:rPr>
          <w:rFonts w:ascii="仿宋_GB2312" w:eastAsia="仿宋_GB2312" w:hAnsiTheme="minorEastAsia"/>
          <w:b/>
          <w:bCs/>
          <w:color w:val="0000FF"/>
          <w:highlight w:val="none"/>
        </w:rPr>
      </w:pPr>
      <w:bookmarkStart w:id="53"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.废标处理的条件</w:t>
      </w:r>
      <w:bookmarkEnd w:id="5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4" w:name="_Toc214333210"/>
      <w:bookmarkStart w:id="55" w:name="_Toc4715"/>
      <w:bookmarkStart w:id="56" w:name="_Toc214335338"/>
      <w:bookmarkStart w:id="57" w:name="_Toc214339499"/>
      <w:bookmarkStart w:id="58" w:name="_Toc214336665"/>
      <w:bookmarkStart w:id="59" w:name="_Toc214331814"/>
      <w:r>
        <w:rPr>
          <w:rFonts w:hint="eastAsia" w:ascii="仿宋_GB2312" w:eastAsia="仿宋_GB2312" w:cs="黑体" w:hAnsiTheme="minorEastAsia"/>
          <w:bCs w:val="0"/>
          <w:kern w:val="2"/>
          <w:sz w:val="28"/>
          <w:szCs w:val="28"/>
          <w:highlight w:val="none"/>
        </w:rPr>
        <w:t>六、定标</w:t>
      </w:r>
      <w:bookmarkEnd w:id="54"/>
      <w:bookmarkEnd w:id="55"/>
      <w:bookmarkEnd w:id="56"/>
      <w:bookmarkEnd w:id="57"/>
      <w:bookmarkEnd w:id="58"/>
      <w:bookmarkEnd w:id="59"/>
    </w:p>
    <w:p>
      <w:pPr>
        <w:pStyle w:val="39"/>
        <w:keepNext w:val="0"/>
        <w:keepLines w:val="0"/>
        <w:ind w:firstLine="482" w:firstLineChars="200"/>
        <w:jc w:val="left"/>
        <w:rPr>
          <w:rFonts w:ascii="仿宋_GB2312" w:eastAsia="仿宋_GB2312" w:hAnsiTheme="minorEastAsia"/>
          <w:b/>
          <w:bCs/>
          <w:highlight w:val="none"/>
        </w:rPr>
      </w:pPr>
      <w:bookmarkStart w:id="60"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0"/>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39"/>
        <w:keepNext w:val="0"/>
        <w:keepLines w:val="0"/>
        <w:ind w:firstLine="482" w:firstLineChars="200"/>
        <w:jc w:val="left"/>
        <w:rPr>
          <w:rFonts w:ascii="仿宋_GB2312" w:eastAsia="仿宋_GB2312" w:hAnsiTheme="minorEastAsia"/>
          <w:b/>
          <w:bCs/>
          <w:highlight w:val="none"/>
        </w:rPr>
      </w:pPr>
      <w:bookmarkStart w:id="61"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“集团官网”。纸版或其它方式通知。</w:t>
      </w: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1.质量要求及技术规范</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1.2投标人提供设备的：生产（制造）许可证、产品合格证，及其他需要的证明文件，</w:t>
      </w:r>
      <w:r>
        <w:rPr>
          <w:rFonts w:hint="eastAsia" w:ascii="仿宋_GB2312" w:hAnsi="仿宋" w:eastAsia="仿宋_GB2312" w:cstheme="minorBidi"/>
          <w:bCs/>
          <w:color w:val="000000" w:themeColor="text1"/>
          <w:highlight w:val="none"/>
          <w14:textFill>
            <w14:solidFill>
              <w14:schemeClr w14:val="tx1"/>
            </w14:solidFill>
          </w14:textFill>
        </w:rPr>
        <w:t>特种设备须提供特种设备制造许可证</w:t>
      </w:r>
      <w:r>
        <w:rPr>
          <w:rFonts w:hint="eastAsia" w:ascii="仿宋_GB2312" w:hAnsi="宋体" w:eastAsia="仿宋_GB2312"/>
          <w:kern w:val="2"/>
          <w:highlight w:val="none"/>
        </w:rPr>
        <w:t>。</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pPr>
        <w:pStyle w:val="2"/>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rPr>
        <w:t xml:space="preserve"> （水泥稳定土</w:t>
      </w:r>
      <w:r>
        <w:rPr>
          <w:rFonts w:hint="eastAsia" w:ascii="仿宋_GB2312" w:eastAsia="仿宋_GB2312" w:cs="宋体" w:hAnsiTheme="minorEastAsia"/>
          <w:sz w:val="21"/>
          <w:szCs w:val="21"/>
          <w:highlight w:val="none"/>
          <w:u w:val="single"/>
          <w:lang w:val="en-US" w:eastAsia="zh-CN"/>
        </w:rPr>
        <w:t>拌合站</w:t>
      </w:r>
      <w:r>
        <w:rPr>
          <w:rFonts w:hint="eastAsia" w:ascii="仿宋_GB2312" w:hAnsi="宋体" w:eastAsia="仿宋_GB2312"/>
          <w:kern w:val="2"/>
          <w:highlight w:val="none"/>
          <w:u w:val="single"/>
        </w:rPr>
        <w:t xml:space="preserve">）   </w:t>
      </w:r>
      <w:r>
        <w:rPr>
          <w:rFonts w:hint="eastAsia" w:ascii="仿宋_GB2312" w:hAnsi="宋体" w:eastAsia="仿宋_GB2312"/>
          <w:kern w:val="2"/>
          <w:highlight w:val="none"/>
        </w:rPr>
        <w:t>要求状况良好，生产能力及技术状况符合甲方要求。</w:t>
      </w:r>
    </w:p>
    <w:p>
      <w:pPr>
        <w:pStyle w:val="2"/>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需提供技术人员进行现场培训及技术指导，直至甲方操作人员可熟练操控。</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 xml:space="preserve">1.6 </w:t>
      </w:r>
      <w:r>
        <w:rPr>
          <w:rFonts w:hint="eastAsia" w:ascii="Arial" w:hAnsi="Arial" w:eastAsia="仿宋_GB2312" w:cs="Arial"/>
          <w:kern w:val="2"/>
          <w:highlight w:val="none"/>
        </w:rPr>
        <w:t>河北</w:t>
      </w:r>
      <w:r>
        <w:rPr>
          <w:rFonts w:hint="eastAsia" w:ascii="仿宋_GB2312" w:hAnsi="宋体" w:eastAsia="仿宋_GB2312"/>
          <w:kern w:val="2"/>
          <w:highlight w:val="none"/>
        </w:rPr>
        <w:t>省关于</w:t>
      </w:r>
      <w:r>
        <w:rPr>
          <w:rFonts w:hint="eastAsia" w:ascii="仿宋_GB2312" w:hAnsi="宋体" w:eastAsia="仿宋_GB2312"/>
          <w:kern w:val="2"/>
          <w:highlight w:val="none"/>
          <w:u w:val="single"/>
        </w:rPr>
        <w:t xml:space="preserve"> 水泥稳定土</w:t>
      </w:r>
      <w:r>
        <w:rPr>
          <w:rFonts w:hint="eastAsia" w:ascii="仿宋_GB2312" w:eastAsia="仿宋_GB2312" w:cs="宋体" w:hAnsiTheme="minorEastAsia"/>
          <w:sz w:val="21"/>
          <w:szCs w:val="21"/>
          <w:highlight w:val="none"/>
          <w:u w:val="single"/>
          <w:lang w:val="en-US" w:eastAsia="zh-CN"/>
        </w:rPr>
        <w:t>拌合站</w:t>
      </w:r>
      <w:r>
        <w:rPr>
          <w:rFonts w:hint="eastAsia" w:ascii="仿宋_GB2312" w:hAnsi="宋体" w:eastAsia="仿宋_GB2312"/>
          <w:kern w:val="2"/>
          <w:highlight w:val="none"/>
          <w:u w:val="single"/>
        </w:rPr>
        <w:t xml:space="preserve"> </w:t>
      </w:r>
      <w:r>
        <w:rPr>
          <w:rFonts w:hint="eastAsia" w:ascii="仿宋_GB2312" w:hAnsi="宋体" w:eastAsia="仿宋_GB2312"/>
          <w:kern w:val="2"/>
          <w:highlight w:val="none"/>
        </w:rPr>
        <w:t>使用的规范、标准、规程或规定。</w:t>
      </w:r>
    </w:p>
    <w:p>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1.7其他由业主或监理工程师指定的工程规范和技术说明。</w:t>
      </w:r>
    </w:p>
    <w:p>
      <w:pPr>
        <w:snapToGrid w:val="0"/>
        <w:spacing w:line="320" w:lineRule="exact"/>
        <w:ind w:firstLine="482" w:firstLineChars="200"/>
        <w:jc w:val="left"/>
        <w:rPr>
          <w:rFonts w:ascii="仿宋_GB2312" w:hAnsi="宋体" w:eastAsia="仿宋_GB2312" w:cs="宋体"/>
          <w:b/>
          <w:highlight w:val="none"/>
        </w:rPr>
      </w:pPr>
      <w:r>
        <w:rPr>
          <w:rFonts w:hint="eastAsia" w:ascii="仿宋_GB2312" w:hAnsi="宋体" w:eastAsia="仿宋_GB2312" w:cs="宋体"/>
          <w:b/>
          <w:highlight w:val="none"/>
        </w:rPr>
        <w:t>2.机械设备类通用标准要求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2.1工作环境：以下环境下可正常作业。</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2.1.1海拔高度2500米以下。</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2.1.2环境温度：-25℃~+50℃。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2.1.3相对湿度：＜70%。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2.1.4连续满负荷工作时间：＞24h。</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2</w:t>
      </w:r>
      <w:r>
        <w:rPr>
          <w:rFonts w:hint="eastAsia" w:ascii="仿宋_GB2312" w:hAnsi="宋体" w:eastAsia="仿宋_GB2312" w:cs="宋体"/>
          <w:sz w:val="21"/>
          <w:szCs w:val="21"/>
          <w:highlight w:val="none"/>
        </w:rPr>
        <w:t>设备电拖动部分用电为国家电网标准。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3</w:t>
      </w:r>
      <w:r>
        <w:rPr>
          <w:rFonts w:hint="eastAsia" w:ascii="仿宋_GB2312" w:hAnsi="宋体" w:eastAsia="仿宋_GB2312" w:cs="宋体"/>
          <w:sz w:val="21"/>
          <w:szCs w:val="21"/>
          <w:highlight w:val="none"/>
        </w:rPr>
        <w:t>设备含驾驶室或操作室基本配置：全封闭、全视野、冷暖空调、暖风输送及必备的设备状况及作业信息显示。</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4</w:t>
      </w:r>
      <w:r>
        <w:rPr>
          <w:rFonts w:hint="eastAsia" w:ascii="仿宋_GB2312" w:hAnsi="宋体" w:eastAsia="仿宋_GB2312" w:cs="宋体"/>
          <w:sz w:val="21"/>
          <w:szCs w:val="21"/>
          <w:highlight w:val="none"/>
        </w:rPr>
        <w:t>正常质保期内的免费维修配件、备件清单（包括名称、件号、数量）。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技术服务及文件：</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.1本设备的合格证</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.2设备操作说明书、电路原理图、安装图、维修保养手册、零件手册、备件清单、平面布置图、装箱单、产品合格证等资料；（以上资料一式两份）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.3制造及质量认证标准；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.4提供维护保养的具体参数内容和资料；</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.5质保期为设备运行验收合格后1年。</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6随机工具清单</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.7易损件、备件清单</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5</w:t>
      </w:r>
      <w:r>
        <w:rPr>
          <w:rFonts w:hint="eastAsia" w:ascii="仿宋_GB2312" w:hAnsi="宋体" w:eastAsia="仿宋_GB2312" w:cs="宋体"/>
          <w:sz w:val="21"/>
          <w:szCs w:val="21"/>
          <w:highlight w:val="none"/>
        </w:rPr>
        <w:t>.8其他关键部件的质量证明材料</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3.设备专有技术参数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专有技术参数由投标人根据投标设备据实填写，内容应包括但不限于以下内容:</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3.1投标设备的独特性能介绍</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3.11基本要求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（1）结构形式：双卧轴强制式，整体模块式结构，要求拆装、运输方便。</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（2）工作方式：连续式。</w:t>
      </w:r>
    </w:p>
    <w:p>
      <w:pPr>
        <w:pStyle w:val="14"/>
        <w:ind w:firstLine="420" w:firstLineChars="200"/>
        <w:rPr>
          <w:rFonts w:hint="eastAsia" w:ascii="仿宋_GB2312" w:hAnsi="宋体" w:eastAsia="仿宋_GB2312" w:cs="宋体"/>
          <w:sz w:val="21"/>
          <w:szCs w:val="21"/>
          <w:highlight w:val="none"/>
          <w:lang w:eastAsia="zh-CN"/>
        </w:rPr>
      </w:pPr>
      <w:r>
        <w:rPr>
          <w:rFonts w:hint="eastAsia" w:ascii="仿宋_GB2312" w:hAnsi="宋体" w:eastAsia="仿宋_GB2312" w:cs="宋体"/>
          <w:sz w:val="21"/>
          <w:szCs w:val="21"/>
          <w:highlight w:val="none"/>
        </w:rPr>
        <w:t>（3）基本作业功能：要求设备搅拌出合格的水泥稳定土成品料，</w:t>
      </w:r>
      <w:r>
        <w:rPr>
          <w:rFonts w:hint="eastAsia" w:ascii="仿宋_GB2312" w:hAnsi="宋体" w:eastAsia="仿宋_GB2312" w:cs="宋体"/>
          <w:kern w:val="2"/>
          <w:sz w:val="21"/>
          <w:szCs w:val="21"/>
          <w:highlight w:val="none"/>
          <w:lang w:val="en-US" w:eastAsia="zh-CN" w:bidi="ar-SA"/>
        </w:rPr>
        <w:t>且搅拌均匀成品料能达到</w:t>
      </w:r>
      <w:r>
        <w:rPr>
          <w:rFonts w:hint="eastAsia" w:ascii="仿宋_GB2312" w:hAnsi="宋体" w:eastAsia="仿宋_GB2312" w:cs="宋体"/>
          <w:sz w:val="21"/>
          <w:szCs w:val="21"/>
          <w:highlight w:val="none"/>
        </w:rPr>
        <w:t>国家有关技术标准要求。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（4）使用环境条件：满足国内环境要求。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（5）设备生产能力： 800型每小时出料不低于800</w:t>
      </w:r>
      <w:r>
        <w:rPr>
          <w:rFonts w:hint="eastAsia" w:ascii="仿宋_GB2312" w:hAnsi="宋体" w:eastAsia="仿宋_GB2312" w:cs="宋体"/>
          <w:sz w:val="21"/>
          <w:szCs w:val="21"/>
          <w:highlight w:val="none"/>
          <w:lang w:val="en-US" w:eastAsia="zh-CN"/>
        </w:rPr>
        <w:t>吨</w:t>
      </w:r>
      <w:r>
        <w:rPr>
          <w:rFonts w:hint="eastAsia" w:ascii="仿宋_GB2312" w:hAnsi="宋体" w:eastAsia="仿宋_GB2312" w:cs="宋体"/>
          <w:sz w:val="21"/>
          <w:szCs w:val="21"/>
          <w:highlight w:val="none"/>
        </w:rPr>
        <w:t>。</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（6）计量系统精度，要求不低于下述要求。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1.骨料累积计量误差(最小示值1kg)≤±2 ％ 。</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2.水剂计量误差(最小示值1kg)≤±1 ％ 。</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3.粉料计量误差(最小示值1kg)≤±1 ％ 。</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（7）设备运输尺寸须符合中国公路、铁路的运输标准，提供设备不可拆卸的最大外形尺寸及重量。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w:t>
      </w:r>
      <w:r>
        <w:rPr>
          <w:rFonts w:ascii="仿宋_GB2312" w:hAnsi="宋体" w:eastAsia="仿宋_GB2312" w:cs="宋体"/>
          <w:sz w:val="21"/>
          <w:szCs w:val="21"/>
          <w:highlight w:val="none"/>
        </w:rPr>
        <w:t>.</w:t>
      </w:r>
      <w:r>
        <w:rPr>
          <w:rFonts w:hint="eastAsia" w:ascii="仿宋_GB2312" w:hAnsi="宋体" w:eastAsia="仿宋_GB2312" w:cs="宋体"/>
          <w:sz w:val="21"/>
          <w:szCs w:val="21"/>
          <w:highlight w:val="none"/>
        </w:rPr>
        <w:t>2具体技术要求</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（1）配料机：称重电脑皮带秤，每只料斗独立支撑，钢板为国标钢板，厚度不低于4㎜。单斗容量</w:t>
      </w:r>
      <w:r>
        <w:rPr>
          <w:rFonts w:hint="eastAsia" w:ascii="仿宋_GB2312" w:hAnsi="宋体" w:eastAsia="仿宋_GB2312" w:cs="宋体"/>
          <w:kern w:val="2"/>
          <w:sz w:val="21"/>
          <w:szCs w:val="21"/>
          <w:highlight w:val="none"/>
          <w:lang w:val="en-US" w:eastAsia="zh-CN" w:bidi="ar-SA"/>
        </w:rPr>
        <w:t>800型水稳拌合站不小于15立方米，料</w:t>
      </w:r>
      <w:r>
        <w:rPr>
          <w:rFonts w:hint="eastAsia" w:ascii="仿宋_GB2312" w:hAnsi="宋体" w:eastAsia="仿宋_GB2312" w:cs="宋体"/>
          <w:szCs w:val="21"/>
          <w:highlight w:val="none"/>
        </w:rPr>
        <w:t>斗上设置安全爬梯和操作平台，上料侧设钢板挡料，内置阁筛，外置高频振动器，料斗支腿加大加厚不易变形；挡板高度不低于1M。</w:t>
      </w:r>
    </w:p>
    <w:p>
      <w:pPr>
        <w:pStyle w:val="14"/>
        <w:ind w:firstLine="420" w:firstLineChars="200"/>
        <w:rPr>
          <w:rFonts w:hint="eastAsia" w:ascii="仿宋_GB2312" w:hAnsi="宋体" w:eastAsia="仿宋_GB2312" w:cs="宋体"/>
          <w:szCs w:val="21"/>
          <w:highlight w:val="none"/>
        </w:rPr>
      </w:pPr>
      <w:r>
        <w:rPr>
          <w:rFonts w:hint="eastAsia" w:ascii="仿宋_GB2312" w:hAnsi="宋体" w:eastAsia="仿宋_GB2312" w:cs="宋体"/>
          <w:szCs w:val="21"/>
          <w:highlight w:val="none"/>
        </w:rPr>
        <w:t>（2）上料方式：皮带架槽钢制作，输送能力不小于</w:t>
      </w:r>
      <w:r>
        <w:rPr>
          <w:rFonts w:hint="eastAsia" w:ascii="仿宋_GB2312" w:hAnsi="宋体" w:eastAsia="仿宋_GB2312" w:cs="宋体"/>
          <w:szCs w:val="21"/>
          <w:highlight w:val="none"/>
          <w:lang w:val="en-US" w:eastAsia="zh-CN"/>
        </w:rPr>
        <w:t>拌合站</w:t>
      </w:r>
      <w:r>
        <w:rPr>
          <w:rFonts w:hint="eastAsia" w:ascii="仿宋_GB2312" w:hAnsi="宋体" w:eastAsia="仿宋_GB2312" w:cs="宋体"/>
          <w:szCs w:val="21"/>
          <w:highlight w:val="none"/>
        </w:rPr>
        <w:t>额定生产能力，输送带上料角度45°。</w:t>
      </w:r>
    </w:p>
    <w:p>
      <w:pPr>
        <w:pStyle w:val="14"/>
        <w:ind w:firstLine="420" w:firstLineChars="200"/>
        <w:rPr>
          <w:rFonts w:hint="eastAsia" w:ascii="仿宋_GB2312" w:hAnsi="宋体" w:eastAsia="仿宋_GB2312" w:cs="宋体"/>
          <w:szCs w:val="21"/>
          <w:highlight w:val="none"/>
        </w:rPr>
      </w:pPr>
      <w:r>
        <w:rPr>
          <w:rFonts w:hint="eastAsia" w:ascii="仿宋_GB2312" w:hAnsi="宋体" w:eastAsia="仿宋_GB2312" w:cs="宋体"/>
          <w:szCs w:val="21"/>
          <w:highlight w:val="none"/>
        </w:rPr>
        <w:t>（3）主机</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1.双拌锅搅拌，拌锅长度不低于5M。</w:t>
      </w:r>
    </w:p>
    <w:p>
      <w:pPr>
        <w:pStyle w:val="14"/>
        <w:ind w:firstLine="420" w:firstLineChars="200"/>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2.搅拌叶片</w:t>
      </w:r>
      <w:r>
        <w:rPr>
          <w:rFonts w:hint="eastAsia" w:ascii="仿宋_GB2312" w:hAnsi="宋体" w:eastAsia="仿宋_GB2312" w:cs="宋体"/>
          <w:sz w:val="21"/>
          <w:szCs w:val="21"/>
          <w:highlight w:val="none"/>
          <w:lang w:eastAsia="zh-CN"/>
        </w:rPr>
        <w:t>、</w:t>
      </w:r>
      <w:r>
        <w:rPr>
          <w:rFonts w:hint="eastAsia" w:ascii="仿宋_GB2312" w:hAnsi="宋体" w:eastAsia="仿宋_GB2312" w:cs="宋体"/>
          <w:sz w:val="21"/>
          <w:szCs w:val="21"/>
          <w:highlight w:val="none"/>
          <w:lang w:val="en-US" w:eastAsia="zh-CN"/>
        </w:rPr>
        <w:t>搅拌臂</w:t>
      </w:r>
      <w:r>
        <w:rPr>
          <w:rFonts w:hint="eastAsia" w:ascii="仿宋_GB2312" w:hAnsi="宋体" w:eastAsia="仿宋_GB2312" w:cs="宋体"/>
          <w:sz w:val="21"/>
          <w:szCs w:val="21"/>
          <w:highlight w:val="none"/>
        </w:rPr>
        <w:t>及衬板寿命应不小于30万吨</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3.拌锅清理：便门清理，方便清理搅拌缸。</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4.拌锅上设安全防护盖或网，并具备维修安全锁装置。</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4）水泥罐配备3个,仓储能力不小于100吨.钢板为国标钢板，厚度侧面钢板厚度不低于4㎜,顶面钢板不低于3㎜.装有连续式料位计，能在控制系统连续显示料位，招标方不采购外加剂罐，水泥罐设双保护的防尘罩；设避雷装置；锥体出口设气动破拱装置；</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（5）要求螺旋输送器运转平稳，低噪音，3个300型以上、1个219型。</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（6）上料输送带强度不低于GB7984-2001标准，输送带结构层不低于3+2结构，上料皮带宽度不低于1000㎜。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（7）所有喷漆结构件需进行喷砂或者抛丸处理，喷漆质保期1年，质保期内生锈、掉漆、脱皮由厂家免费重新处理喷漆。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（8）自动控制系统有故障自我诊断和报警提示功能。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（9）监控系统不低于四点监控。</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（10）控制台应配备彩色显示器屏，能够显示级配、电机电流的动态变化、拌合站工作流程及各种数据等。双控制系统，应有全自动和手动操作功能。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（11）标配打印机,自动记录和打印，打印数据齐全。</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（12）各种仪表、指示灯、控制按钮、和开关应齐全且布置合理，利于观察、便于操作和维修，并备有紧急制动或断电操作按钮，增</w:t>
      </w:r>
      <w:r>
        <w:rPr>
          <w:rFonts w:hint="eastAsia" w:ascii="仿宋_GB2312" w:hAnsi="宋体" w:eastAsia="仿宋_GB2312" w:cs="宋体"/>
          <w:sz w:val="21"/>
          <w:szCs w:val="21"/>
          <w:highlight w:val="none"/>
          <w:lang w:val="en-US" w:eastAsia="zh-CN"/>
        </w:rPr>
        <w:t>加</w:t>
      </w:r>
      <w:r>
        <w:rPr>
          <w:rFonts w:hint="eastAsia" w:ascii="仿宋_GB2312" w:hAnsi="宋体" w:eastAsia="仿宋_GB2312" w:cs="宋体"/>
          <w:sz w:val="21"/>
          <w:szCs w:val="21"/>
          <w:highlight w:val="none"/>
        </w:rPr>
        <w:t>拌锅清理专用锁定按钮。</w:t>
      </w:r>
    </w:p>
    <w:p>
      <w:pPr>
        <w:pStyle w:val="14"/>
        <w:ind w:firstLine="420" w:firstLineChars="200"/>
        <w:rPr>
          <w:rFonts w:ascii="仿宋_GB2312" w:hAnsi="宋体" w:eastAsia="仿宋_GB2312" w:cs="宋体"/>
          <w:szCs w:val="21"/>
          <w:highlight w:val="none"/>
        </w:rPr>
      </w:pPr>
      <w:r>
        <w:rPr>
          <w:rFonts w:hint="eastAsia" w:ascii="仿宋_GB2312" w:hAnsi="宋体" w:eastAsia="仿宋_GB2312" w:cs="宋体"/>
          <w:szCs w:val="21"/>
          <w:highlight w:val="none"/>
        </w:rPr>
        <w:t>（13）操作室应采用独立密闭式、隔热、隔燥音、防震、防尘、防潮、防雷击等功能，具有良好的视野。控制室内配备满足调温要求的冷暖空调机，控制柜电器元件为进口品牌或合资品牌，变频器控制，水计量-电脑计量和变频控制，采用高精度变频调速控制流量，成品料仓：（1）大容积（2）净空确保国产大型自卸车平行通过；（3）卸料门每个料门双气缸控制。</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1.操作室面积不低于8平米。</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2.操作室门使用钢制防盗门，窗户为塑钢制品，玻璃为中空玻璃。。</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3.保温层不低于75㎜，中间填充料防火等级不低于B级，彩钢板板厚不低于0.5㎜。</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（14）环境噪声(指在最大噪声源3m处的噪声值)≤80db，操作人员耳边噪声≤60db(有控制室，备注随机的空气压缩机配置)。</w:t>
      </w:r>
    </w:p>
    <w:p>
      <w:pPr>
        <w:pStyle w:val="2"/>
        <w:ind w:firstLine="420"/>
        <w:rPr>
          <w:rFonts w:ascii="仿宋_GB2312" w:hAnsi="宋体" w:eastAsia="仿宋_GB2312"/>
          <w:kern w:val="2"/>
          <w:highlight w:val="none"/>
        </w:rPr>
      </w:pPr>
      <w:r>
        <w:rPr>
          <w:rFonts w:hint="eastAsia" w:ascii="仿宋_GB2312" w:hAnsi="宋体" w:eastAsia="仿宋_GB2312"/>
          <w:kern w:val="2"/>
          <w:highlight w:val="none"/>
        </w:rPr>
        <w:t>（15）料仓隔板高度应符合业主标准化的有关要求。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3.2设备技术参数，标书中应详细介绍投标产品的性能特点、适用范围、技术参数，详细配置、生产厂家等内容，配置列表必须包含但不限于。</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3.2.1设备型号、厂家及概况；</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3.2.2整机自重；</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3.2.3整机外形尺寸（长×宽×高）mm；</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3.2.4；整机主要技术参数及配置；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3.2.5拌合站排放标准、主要技术参数及配置；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6</w:t>
      </w:r>
      <w:r>
        <w:rPr>
          <w:rFonts w:hint="eastAsia" w:ascii="仿宋_GB2312" w:hAnsi="宋体" w:eastAsia="仿宋_GB2312" w:cs="宋体"/>
          <w:sz w:val="21"/>
          <w:szCs w:val="21"/>
          <w:highlight w:val="none"/>
        </w:rPr>
        <w:t>电路系统主要技术参数及配置；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7</w:t>
      </w:r>
      <w:r>
        <w:rPr>
          <w:rFonts w:hint="eastAsia" w:ascii="仿宋_GB2312" w:hAnsi="宋体" w:eastAsia="仿宋_GB2312" w:cs="宋体"/>
          <w:sz w:val="21"/>
          <w:szCs w:val="21"/>
          <w:highlight w:val="none"/>
        </w:rPr>
        <w:t>工作装置技术参数及配置；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8</w:t>
      </w:r>
      <w:r>
        <w:rPr>
          <w:rFonts w:hint="eastAsia" w:ascii="仿宋_GB2312" w:hAnsi="宋体" w:eastAsia="仿宋_GB2312" w:cs="宋体"/>
          <w:sz w:val="21"/>
          <w:szCs w:val="21"/>
          <w:highlight w:val="none"/>
        </w:rPr>
        <w:t>操作室参数及配置；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8</w:t>
      </w:r>
      <w:r>
        <w:rPr>
          <w:rFonts w:hint="eastAsia" w:ascii="仿宋_GB2312" w:hAnsi="宋体" w:eastAsia="仿宋_GB2312" w:cs="宋体"/>
          <w:sz w:val="21"/>
          <w:szCs w:val="21"/>
          <w:highlight w:val="none"/>
        </w:rPr>
        <w:t>设备连续满负荷工作时间；</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3.2.1</w:t>
      </w:r>
      <w:r>
        <w:rPr>
          <w:rFonts w:ascii="仿宋_GB2312" w:hAnsi="宋体" w:eastAsia="仿宋_GB2312" w:cs="宋体"/>
          <w:sz w:val="21"/>
          <w:szCs w:val="21"/>
          <w:highlight w:val="none"/>
        </w:rPr>
        <w:t>0</w:t>
      </w:r>
      <w:r>
        <w:rPr>
          <w:rFonts w:hint="eastAsia" w:ascii="仿宋_GB2312" w:hAnsi="宋体" w:eastAsia="仿宋_GB2312" w:cs="宋体"/>
          <w:sz w:val="21"/>
          <w:szCs w:val="21"/>
          <w:highlight w:val="none"/>
        </w:rPr>
        <w:t>其他需说明的配置及参数。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4.其他要求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4.1材料和机械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4.1.1设备制造所用的材料及主要部件符合国家标准，并具有质保书，尤其是发电机、操作控制系统、电器元件、气动元件、空气压缩机、输送带等主要部件应保证内在质量。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4.1.2机械零部件及电气元件须是国家定点厂家生产或进口产品，产品的质量和性能须卖方确认，并对买方负责。</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4.2结构</w:t>
      </w:r>
    </w:p>
    <w:p>
      <w:pPr>
        <w:pStyle w:val="2"/>
        <w:rPr>
          <w:rFonts w:hint="default" w:ascii="仿宋_GB2312" w:hAnsi="宋体" w:eastAsia="仿宋_GB2312"/>
          <w:kern w:val="2"/>
          <w:highlight w:val="none"/>
          <w:lang w:val="en-US" w:eastAsia="zh-CN"/>
        </w:rPr>
      </w:pPr>
      <w:r>
        <w:rPr>
          <w:rFonts w:hint="eastAsia" w:ascii="仿宋_GB2312" w:hAnsi="宋体" w:eastAsia="仿宋_GB2312"/>
          <w:kern w:val="2"/>
          <w:highlight w:val="none"/>
        </w:rPr>
        <w:t xml:space="preserve"> </w:t>
      </w:r>
      <w:r>
        <w:rPr>
          <w:rFonts w:hint="eastAsia" w:ascii="仿宋_GB2312" w:hAnsi="宋体" w:eastAsia="仿宋_GB2312"/>
          <w:kern w:val="2"/>
          <w:highlight w:val="none"/>
          <w:lang w:val="en-US" w:eastAsia="zh-CN"/>
        </w:rPr>
        <w:t xml:space="preserve">  </w:t>
      </w:r>
      <w:r>
        <w:rPr>
          <w:rFonts w:hint="eastAsia" w:ascii="仿宋_GB2312" w:hAnsi="宋体" w:eastAsia="仿宋_GB2312"/>
          <w:kern w:val="2"/>
          <w:highlight w:val="none"/>
        </w:rPr>
        <w:t>金属结构应具有足够的强度和</w:t>
      </w:r>
      <w:r>
        <w:rPr>
          <w:rFonts w:hint="eastAsia" w:ascii="仿宋_GB2312" w:hAnsi="宋体" w:eastAsia="仿宋_GB2312"/>
          <w:kern w:val="2"/>
          <w:highlight w:val="none"/>
          <w:lang w:val="en-US" w:eastAsia="zh-CN"/>
        </w:rPr>
        <w:t xml:space="preserve">刚度    </w:t>
      </w:r>
    </w:p>
    <w:p>
      <w:pPr>
        <w:pStyle w:val="2"/>
        <w:rPr>
          <w:rFonts w:hint="eastAsia"/>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highlight w:val="none"/>
        </w:rPr>
      </w:pPr>
    </w:p>
    <w:p>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（建设发展公司）   </w:t>
      </w:r>
    </w:p>
    <w:p>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rPr>
        <w:t>（水泥稳定土</w:t>
      </w:r>
      <w:r>
        <w:rPr>
          <w:rFonts w:hint="eastAsia" w:ascii="宋体" w:hAnsi="宋体" w:cs="宋体"/>
          <w:b/>
          <w:color w:val="000000"/>
          <w:sz w:val="28"/>
          <w:szCs w:val="28"/>
          <w:highlight w:val="none"/>
          <w:u w:val="single"/>
          <w:lang w:val="en-US" w:eastAsia="zh-CN"/>
        </w:rPr>
        <w:t>拌合站</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rPr>
      </w:pP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0"/>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560" w:lineRule="exact"/>
        <w:ind w:firstLine="539" w:firstLineChars="257"/>
        <w:rPr>
          <w:rFonts w:ascii="仿宋_GB2312" w:hAnsi="宋体" w:eastAsia="仿宋_GB2312"/>
          <w:bCs/>
          <w:highlight w:val="none"/>
        </w:rPr>
      </w:pPr>
      <w:r>
        <w:rPr>
          <w:rFonts w:hint="eastAsia" w:ascii="仿宋_GB2312" w:eastAsia="仿宋_GB2312" w:cs="宋体" w:hAnsiTheme="minorEastAsia"/>
          <w:sz w:val="21"/>
          <w:szCs w:val="21"/>
          <w:highlight w:val="none"/>
        </w:rPr>
        <w:t>根据已收到招标人招标编号为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的中建路桥集团</w:t>
      </w:r>
      <w:r>
        <w:rPr>
          <w:rFonts w:hint="eastAsia" w:ascii="仿宋_GB2312" w:eastAsia="仿宋_GB2312" w:cs="宋体" w:hAnsiTheme="minorEastAsia"/>
          <w:sz w:val="21"/>
          <w:szCs w:val="21"/>
          <w:highlight w:val="none"/>
          <w:u w:val="single"/>
        </w:rPr>
        <w:t xml:space="preserve"> 水泥稳定土</w:t>
      </w:r>
      <w:r>
        <w:rPr>
          <w:rFonts w:hint="eastAsia" w:ascii="仿宋_GB2312" w:eastAsia="仿宋_GB2312" w:cs="宋体" w:hAnsiTheme="minorEastAsia"/>
          <w:sz w:val="21"/>
          <w:szCs w:val="21"/>
          <w:highlight w:val="none"/>
          <w:u w:val="single"/>
          <w:lang w:val="en-US" w:eastAsia="zh-CN"/>
        </w:rPr>
        <w:t>拌合站</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机械设备采购招标文件，经认真阅读、研究并进行充分的现场考察后，我方结合自身的实际情况，愿以投标文件所述，按招标文件要求承揽招标文件机械设备的供应。同时，我单位如果在本次投标中中标，并进一步承诺如下： </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1、我单位所报的单价，已充分考虑了招标文件及机械设备采购合同要求中标单位（供方）应承担的所有义务及风险，由此造成或可能造成的费用我方已包含在报价中。</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2、若我单位中标，除非贵单位要求，我单位将不主动要求调整供货合同条款。否则，贵单位可以随时取消我单位的中标资格。</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3、我单位承诺不会因贵单位对供货合同中的承包范围的调整而产生异议。</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4、我单位的承诺函，将作为合同的组成部分。</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5、若我单位没有中标，我单位将不要求贵单位做任何解释。</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6、我单位理解贵单位不以最低投标价为中标价的唯一选择。</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7、若我单位中标，我单位同意本承诺函及所有投标文件作为合同的组成部分，与供货合同具有同样的法律效力。</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8、我公司承诺对贵公司及所属单位提供的产品或服务不存在所有权及知识产权方面的瑕疵，我公司承担因所有权或知识产权方面存在的问题给贵公司造成的损失。</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9、在供应时间上将严格按项目要求时间组织材料设备交付，我单位的保证措施是根据进场时间和规格型号要求提前做好生产备货，否则按照合同违约责任条款要求支付违约金。</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10、我公司将接受并配合贵公司为保证产品质量而开展的驻厂监造。对出现质量问题的产品及服务，我公司将及时召回并采取必要的补救措施，承担由此给贵公司造成的经济损失。</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11、我公司对与贵公司交易过程中获取的商业信息承担保密的责任。</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12、若我单位中标，投标保证金可转为履约保证金。</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13、若我单位恶意中标、违规串标、低价中标不签订合同，招标方有权不退还投标保证金。</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14、我公司将遵守国家相关法律法规，诚信守约，不以任何形式、任何理由向贵公司工作人员提供佣金、回扣、礼金礼券和贵重物品，也不为贵公司工作人员安排消费娱乐活动。</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15、我单位同意货款以转账支票、电汇、银行承兑汇票、商业承兑汇票、信用证或保理形式支付。</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在与贵公司及所属任何单位交易活动中出现违反国家法律法规、违反诚信守约原则、贿赂贵公司工作人员及其他不良行为时，贵公司有权在全公司范围内对我公司采取限制交易措施。限制交易措施包括但不限于：取消入围资格；禁止参与新的采购活动、取消成交资格、终止合同等。</w:t>
      </w:r>
    </w:p>
    <w:p>
      <w:pPr>
        <w:spacing w:line="560" w:lineRule="exact"/>
        <w:ind w:firstLine="539" w:firstLineChars="257"/>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17、我单位郑重承诺：我单位对招标文件的合同条款完全接受和遵守，无论对于我单位是否中标，本次投标问题和行为承担一切责任和后果。</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ind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ind w:firstLine="5460" w:firstLineChars="2600"/>
        <w:jc w:val="left"/>
        <w:rPr>
          <w:rFonts w:ascii="仿宋_GB2312" w:eastAsia="仿宋_GB2312" w:cs="宋体" w:hAnsiTheme="minorEastAsia"/>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ascii="仿宋_GB2312" w:eastAsia="仿宋_GB2312" w:cs="宋体" w:hAnsiTheme="minorEastAsia"/>
          <w:b/>
          <w:color w:val="000000" w:themeColor="text1"/>
          <w:w w:val="90"/>
          <w:highlight w:val="none"/>
          <w14:textFill>
            <w14:solidFill>
              <w14:schemeClr w14:val="tx1"/>
            </w14:solidFill>
          </w14:textFill>
        </w:rPr>
        <w:br w:type="page"/>
      </w:r>
      <w:bookmarkStart w:id="62" w:name="_Toc18209295"/>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pPr>
        <w:spacing w:line="360" w:lineRule="auto"/>
        <w:jc w:val="center"/>
        <w:rPr>
          <w:rFonts w:ascii="仿宋_GB2312" w:eastAsia="仿宋_GB2312" w:cs="宋体" w:hAnsiTheme="minorEastAsia"/>
          <w:b/>
          <w:color w:val="000000" w:themeColor="text1"/>
          <w:w w:val="90"/>
          <w:sz w:val="28"/>
          <w:szCs w:val="28"/>
          <w:highlight w:val="none"/>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p>
      <w:pPr>
        <w:spacing w:line="400" w:lineRule="exact"/>
        <w:jc w:val="center"/>
        <w:rPr>
          <w:rFonts w:ascii="仿宋_GB2312" w:eastAsia="仿宋_GB2312" w:cs="宋体" w:hAnsiTheme="minorEastAsia"/>
          <w:w w:val="90"/>
          <w:sz w:val="21"/>
          <w:szCs w:val="21"/>
          <w:highlight w:val="none"/>
        </w:rPr>
      </w:pPr>
      <w:bookmarkStart w:id="63" w:name="_Toc54280344"/>
      <w:bookmarkStart w:id="64" w:name="_Toc54281622"/>
      <w:bookmarkStart w:id="65" w:name="_Toc53949160"/>
      <w:bookmarkStart w:id="66" w:name="_Toc54278961"/>
      <w:bookmarkStart w:id="67" w:name="_Toc54280770"/>
      <w:bookmarkStart w:id="68" w:name="_Toc54281196"/>
      <w:bookmarkStart w:id="69" w:name="_Toc53949581"/>
      <w:bookmarkStart w:id="70" w:name="_Toc53948739"/>
      <w:bookmarkStart w:id="71" w:name="_Toc54291526"/>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tbl>
      <w:tblPr>
        <w:tblStyle w:val="31"/>
        <w:tblpPr w:leftFromText="180" w:rightFromText="180" w:vertAnchor="text" w:horzAnchor="page" w:tblpXSpec="center" w:tblpY="432"/>
        <w:tblOverlap w:val="never"/>
        <w:tblW w:w="11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856"/>
        <w:gridCol w:w="1276"/>
        <w:gridCol w:w="710"/>
        <w:gridCol w:w="1007"/>
        <w:gridCol w:w="1272"/>
        <w:gridCol w:w="840"/>
        <w:gridCol w:w="1152"/>
        <w:gridCol w:w="119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6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设备名称</w:t>
            </w:r>
          </w:p>
        </w:tc>
        <w:tc>
          <w:tcPr>
            <w:tcW w:w="85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品牌</w:t>
            </w:r>
          </w:p>
        </w:tc>
        <w:tc>
          <w:tcPr>
            <w:tcW w:w="127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规格型号</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1007"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61"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元）</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5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07" w:type="dxa"/>
            <w:vMerge w:val="continue"/>
            <w:tcBorders>
              <w:left w:val="single" w:color="auto" w:sz="4" w:space="0"/>
              <w:bottom w:val="single" w:color="auto" w:sz="4" w:space="0"/>
              <w:right w:val="single" w:color="auto" w:sz="4" w:space="0"/>
            </w:tcBorders>
          </w:tcPr>
          <w:p>
            <w:pPr>
              <w:widowControl/>
              <w:jc w:val="left"/>
              <w:rPr>
                <w:rFonts w:ascii="仿宋_GB2312" w:eastAsia="仿宋_GB2312" w:cs="宋体" w:hAnsiTheme="minorEastAsia"/>
                <w:color w:val="000000"/>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465"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水泥稳定土</w:t>
            </w:r>
            <w:r>
              <w:rPr>
                <w:rFonts w:hint="eastAsia" w:ascii="仿宋_GB2312" w:eastAsia="仿宋_GB2312" w:cs="宋体" w:hAnsiTheme="minorEastAsia"/>
                <w:color w:val="000000"/>
                <w:sz w:val="21"/>
                <w:szCs w:val="21"/>
                <w:highlight w:val="none"/>
                <w:lang w:val="en-US" w:eastAsia="zh-CN"/>
              </w:rPr>
              <w:t>拌合站</w:t>
            </w:r>
          </w:p>
        </w:tc>
        <w:tc>
          <w:tcPr>
            <w:tcW w:w="85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双拌缸800t/h</w:t>
            </w:r>
          </w:p>
        </w:tc>
        <w:tc>
          <w:tcPr>
            <w:tcW w:w="710"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套</w:t>
            </w:r>
          </w:p>
        </w:tc>
        <w:tc>
          <w:tcPr>
            <w:tcW w:w="1007" w:type="dxa"/>
            <w:tcBorders>
              <w:top w:val="single" w:color="000000" w:sz="4" w:space="0"/>
              <w:left w:val="single" w:color="000000"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1</w:t>
            </w:r>
          </w:p>
        </w:tc>
        <w:tc>
          <w:tcPr>
            <w:tcW w:w="127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465"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highlight w:val="none"/>
                <w:lang w:val="en-US"/>
              </w:rPr>
            </w:pPr>
            <w:r>
              <w:rPr>
                <w:rFonts w:hint="eastAsia" w:ascii="仿宋_GB2312" w:eastAsia="仿宋_GB2312" w:cs="宋体" w:hAnsiTheme="minorEastAsia"/>
                <w:color w:val="000000"/>
                <w:sz w:val="21"/>
                <w:szCs w:val="21"/>
                <w:highlight w:val="none"/>
                <w:lang w:val="en-US" w:eastAsia="zh-CN"/>
              </w:rPr>
              <w:t>水泥罐 （含计量系统）</w:t>
            </w:r>
          </w:p>
        </w:tc>
        <w:tc>
          <w:tcPr>
            <w:tcW w:w="85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lang w:val="en-US" w:eastAsia="zh-CN"/>
              </w:rPr>
              <w:t>100</w:t>
            </w:r>
            <w:r>
              <w:rPr>
                <w:rFonts w:hint="eastAsia" w:ascii="仿宋_GB2312" w:eastAsia="仿宋_GB2312" w:cs="宋体" w:hAnsiTheme="minorEastAsia"/>
                <w:color w:val="000000"/>
                <w:sz w:val="21"/>
                <w:szCs w:val="21"/>
                <w:highlight w:val="none"/>
              </w:rPr>
              <w:t xml:space="preserve"> 吨</w:t>
            </w:r>
          </w:p>
        </w:tc>
        <w:tc>
          <w:tcPr>
            <w:tcW w:w="710"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lang w:val="en-US" w:eastAsia="zh-CN"/>
              </w:rPr>
              <w:t>个</w:t>
            </w:r>
          </w:p>
        </w:tc>
        <w:tc>
          <w:tcPr>
            <w:tcW w:w="1007" w:type="dxa"/>
            <w:tcBorders>
              <w:top w:val="single" w:color="000000" w:sz="4" w:space="0"/>
              <w:left w:val="single" w:color="000000"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lang w:val="en-US" w:eastAsia="zh-CN"/>
              </w:rPr>
              <w:t>1</w:t>
            </w:r>
          </w:p>
        </w:tc>
        <w:tc>
          <w:tcPr>
            <w:tcW w:w="127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465"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设备运输费</w:t>
            </w:r>
          </w:p>
        </w:tc>
        <w:tc>
          <w:tcPr>
            <w:tcW w:w="85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整套设备</w:t>
            </w:r>
          </w:p>
        </w:tc>
        <w:tc>
          <w:tcPr>
            <w:tcW w:w="710"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套</w:t>
            </w:r>
          </w:p>
        </w:tc>
        <w:tc>
          <w:tcPr>
            <w:tcW w:w="1007" w:type="dxa"/>
            <w:tcBorders>
              <w:top w:val="single" w:color="000000" w:sz="4" w:space="0"/>
              <w:left w:val="single" w:color="000000"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1</w:t>
            </w:r>
          </w:p>
        </w:tc>
        <w:tc>
          <w:tcPr>
            <w:tcW w:w="127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465"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安装调试费</w:t>
            </w:r>
          </w:p>
        </w:tc>
        <w:tc>
          <w:tcPr>
            <w:tcW w:w="85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整套设备</w:t>
            </w:r>
          </w:p>
        </w:tc>
        <w:tc>
          <w:tcPr>
            <w:tcW w:w="710" w:type="dxa"/>
            <w:tcBorders>
              <w:top w:val="single" w:color="000000" w:sz="4" w:space="0"/>
              <w:left w:val="single" w:color="000000" w:sz="4" w:space="0"/>
              <w:bottom w:val="single" w:color="000000" w:sz="4" w:space="0"/>
              <w:right w:val="single" w:color="000000"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套</w:t>
            </w:r>
          </w:p>
        </w:tc>
        <w:tc>
          <w:tcPr>
            <w:tcW w:w="1007" w:type="dxa"/>
            <w:tcBorders>
              <w:top w:val="single" w:color="000000" w:sz="4" w:space="0"/>
              <w:left w:val="single" w:color="000000"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1</w:t>
            </w:r>
          </w:p>
        </w:tc>
        <w:tc>
          <w:tcPr>
            <w:tcW w:w="127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pPr>
              <w:tabs>
                <w:tab w:val="left" w:pos="2857"/>
              </w:tabs>
              <w:spacing w:line="400" w:lineRule="exact"/>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3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上述价格包括但不限于乙方设备的设备原价、进场费、质保期内的技术服务费等一切费用，乙方不得以任何理由向甲方另行索要其它费用。 </w:t>
            </w:r>
          </w:p>
        </w:tc>
      </w:tr>
    </w:tbl>
    <w:p>
      <w:pPr>
        <w:ind w:left="5880" w:hanging="5880" w:hangingChars="2800"/>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3"/>
      <w:bookmarkEnd w:id="64"/>
      <w:bookmarkEnd w:id="65"/>
      <w:bookmarkEnd w:id="66"/>
      <w:bookmarkEnd w:id="67"/>
      <w:bookmarkEnd w:id="68"/>
      <w:bookmarkEnd w:id="69"/>
      <w:bookmarkEnd w:id="70"/>
      <w:bookmarkEnd w:id="71"/>
    </w:p>
    <w:p>
      <w:pPr>
        <w:ind w:left="5880" w:hanging="5880" w:hangingChars="2800"/>
        <w:rPr>
          <w:rFonts w:ascii="仿宋_GB2312" w:eastAsia="仿宋_GB2312" w:cs="宋体" w:hAnsiTheme="minorEastAsia"/>
          <w:kern w:val="0"/>
          <w:sz w:val="21"/>
          <w:szCs w:val="21"/>
          <w:highlight w:val="none"/>
        </w:rPr>
      </w:pPr>
    </w:p>
    <w:p>
      <w:pPr>
        <w:ind w:left="5880" w:hanging="5880" w:hangingChars="2800"/>
        <w:rPr>
          <w:rFonts w:ascii="仿宋_GB2312" w:eastAsia="仿宋_GB2312" w:cs="宋体" w:hAnsiTheme="minorEastAsia"/>
          <w:kern w:val="0"/>
          <w:sz w:val="21"/>
          <w:szCs w:val="21"/>
          <w:highlight w:val="none"/>
        </w:rPr>
      </w:pPr>
    </w:p>
    <w:p>
      <w:pPr>
        <w:ind w:left="5846" w:leftChars="2436"/>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pPr>
        <w:spacing w:line="400" w:lineRule="exact"/>
        <w:jc w:val="left"/>
        <w:rPr>
          <w:rFonts w:hint="eastAsia" w:ascii="仿宋_GB2312" w:eastAsia="仿宋_GB2312" w:cs="宋体" w:hAnsiTheme="minorEastAsia"/>
          <w:w w:val="90"/>
          <w:sz w:val="21"/>
          <w:szCs w:val="21"/>
          <w:highlight w:val="none"/>
        </w:rPr>
      </w:pPr>
    </w:p>
    <w:p>
      <w:pPr>
        <w:spacing w:line="400" w:lineRule="exact"/>
        <w:jc w:val="left"/>
        <w:rPr>
          <w:rFonts w:hint="eastAsia" w:ascii="仿宋_GB2312" w:eastAsia="仿宋_GB2312" w:cs="宋体" w:hAnsiTheme="minorEastAsia"/>
          <w:w w:val="90"/>
          <w:sz w:val="21"/>
          <w:szCs w:val="21"/>
          <w:highlight w:val="none"/>
        </w:rPr>
      </w:pPr>
    </w:p>
    <w:p>
      <w:pPr>
        <w:spacing w:line="400" w:lineRule="exact"/>
        <w:jc w:val="left"/>
        <w:rPr>
          <w:rFonts w:hint="eastAsia" w:ascii="仿宋_GB2312" w:eastAsia="仿宋_GB2312" w:cs="宋体" w:hAnsiTheme="minorEastAsia"/>
          <w:w w:val="90"/>
          <w:sz w:val="21"/>
          <w:szCs w:val="21"/>
          <w:highlight w:val="none"/>
        </w:rPr>
      </w:pPr>
    </w:p>
    <w:p>
      <w:pPr>
        <w:spacing w:line="400" w:lineRule="exact"/>
        <w:jc w:val="left"/>
        <w:rPr>
          <w:rFonts w:hint="eastAsia" w:ascii="仿宋_GB2312" w:eastAsia="仿宋_GB2312" w:cs="宋体" w:hAnsiTheme="minorEastAsia"/>
          <w:w w:val="90"/>
          <w:sz w:val="21"/>
          <w:szCs w:val="21"/>
          <w:highlight w:val="none"/>
        </w:rPr>
      </w:pPr>
    </w:p>
    <w:p>
      <w:pPr>
        <w:spacing w:line="400" w:lineRule="exact"/>
        <w:ind w:firstLine="5460" w:firstLineChars="26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widowControl/>
        <w:jc w:val="left"/>
        <w:rPr>
          <w:rFonts w:ascii="仿宋_GB2312" w:eastAsia="仿宋_GB2312" w:cs="宋体" w:hAnsiTheme="minorEastAsia"/>
          <w:kern w:val="0"/>
          <w:sz w:val="21"/>
          <w:szCs w:val="21"/>
          <w:highlight w:val="none"/>
        </w:rPr>
      </w:pPr>
      <w:r>
        <w:rPr>
          <w:rFonts w:ascii="仿宋_GB2312" w:eastAsia="仿宋_GB2312" w:cs="宋体" w:hAnsiTheme="minorEastAsia"/>
          <w:kern w:val="0"/>
          <w:sz w:val="21"/>
          <w:szCs w:val="21"/>
          <w:highlight w:val="none"/>
        </w:rPr>
        <w:t xml:space="preserve"> </w:t>
      </w:r>
    </w:p>
    <w:p>
      <w:pPr>
        <w:pStyle w:val="38"/>
        <w:rPr>
          <w:rFonts w:ascii="仿宋_GB2312" w:eastAsia="仿宋_GB2312" w:cs="宋体" w:hAnsiTheme="minorEastAsia"/>
          <w:sz w:val="21"/>
          <w:szCs w:val="21"/>
          <w:highlight w:val="none"/>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p>
    <w:p>
      <w:pPr>
        <w:pStyle w:val="38"/>
        <w:rPr>
          <w:rFonts w:ascii="仿宋_GB2312" w:eastAsia="仿宋_GB2312" w:cs="宋体" w:hAnsiTheme="minorEastAsia"/>
          <w:b/>
          <w:color w:val="000000" w:themeColor="text1"/>
          <w:w w:val="90"/>
          <w:kern w:val="2"/>
          <w:sz w:val="28"/>
          <w:szCs w:val="28"/>
          <w:highlight w:val="none"/>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14:textFill>
            <w14:solidFill>
              <w14:schemeClr w14:val="tx1"/>
            </w14:solidFill>
          </w14:textFill>
        </w:rPr>
        <w:t>3.</w:t>
      </w:r>
    </w:p>
    <w:p>
      <w:pPr>
        <w:pStyle w:val="38"/>
        <w:jc w:val="center"/>
        <w:rPr>
          <w:rFonts w:ascii="仿宋_GB2312" w:eastAsia="仿宋_GB2312" w:cs="宋体" w:hAnsiTheme="minorEastAsia"/>
          <w:b/>
          <w:color w:val="000000" w:themeColor="text1"/>
          <w:w w:val="90"/>
          <w:kern w:val="2"/>
          <w:sz w:val="28"/>
          <w:szCs w:val="28"/>
          <w:highlight w:val="none"/>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r>
        <w:rPr>
          <w:rFonts w:hint="eastAsia" w:ascii="仿宋_GB2312" w:eastAsia="仿宋_GB2312" w:cs="宋体" w:hAnsiTheme="minorEastAsia"/>
          <w:b/>
          <w:color w:val="000000" w:themeColor="text1"/>
          <w:w w:val="90"/>
          <w:kern w:val="2"/>
          <w:sz w:val="28"/>
          <w:szCs w:val="28"/>
          <w:highlight w:val="none"/>
          <w14:textFill>
            <w14:solidFill>
              <w14:schemeClr w14:val="tx1"/>
            </w14:solidFill>
          </w14:textFill>
        </w:rPr>
        <w:t>投标报价分析单</w:t>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2"/>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石太高速公路改扩建工程主体3分部</w:t>
      </w:r>
      <w:r>
        <w:rPr>
          <w:rFonts w:hint="eastAsia" w:ascii="仿宋_GB2312" w:eastAsia="仿宋_GB2312" w:cs="宋体" w:hAnsiTheme="minorEastAsia"/>
          <w:sz w:val="21"/>
          <w:szCs w:val="21"/>
          <w:highlight w:val="none"/>
          <w:u w:val="single"/>
        </w:rPr>
        <w:t>）（水泥稳定土</w:t>
      </w:r>
      <w:r>
        <w:rPr>
          <w:rFonts w:hint="eastAsia" w:ascii="仿宋_GB2312" w:eastAsia="仿宋_GB2312" w:cs="宋体" w:hAnsiTheme="minorEastAsia"/>
          <w:sz w:val="21"/>
          <w:szCs w:val="21"/>
          <w:highlight w:val="none"/>
          <w:u w:val="single"/>
          <w:lang w:val="en-US" w:eastAsia="zh-CN"/>
        </w:rPr>
        <w:t>拌合站</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rPr>
        <w:t>机械设备采购招标（招标文件编号：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tbl>
      <w:tblPr>
        <w:tblStyle w:val="31"/>
        <w:tblpPr w:leftFromText="180" w:rightFromText="180" w:vertAnchor="text" w:horzAnchor="page" w:tblpX="1897"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41"/>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41"/>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 xml:space="preserve"> 法人身份证（扫描件）</w:t>
            </w:r>
          </w:p>
        </w:tc>
      </w:tr>
    </w:tbl>
    <w:tbl>
      <w:tblPr>
        <w:tblStyle w:val="31"/>
        <w:tblpPr w:leftFromText="180" w:rightFromText="180" w:vertAnchor="text" w:horzAnchor="page" w:tblpX="6457"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41"/>
              <w:keepNext w:val="0"/>
              <w:keepLines w:val="0"/>
              <w:spacing w:before="240" w:beforeLines="100" w:line="360" w:lineRule="auto"/>
              <w:jc w:val="both"/>
              <w:rPr>
                <w:rFonts w:hAnsiTheme="minorEastAsia"/>
                <w:b w:val="0"/>
                <w:highlight w:val="none"/>
              </w:rPr>
            </w:pPr>
          </w:p>
          <w:p>
            <w:pPr>
              <w:pStyle w:val="41"/>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授权代理人身份证（扫描件）</w:t>
            </w:r>
          </w:p>
        </w:tc>
      </w:tr>
    </w:tbl>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rPr>
          <w:rFonts w:ascii="仿宋_GB2312" w:eastAsia="仿宋_GB2312" w:cs="宋体" w:hAnsiTheme="minorEastAsia"/>
          <w:highlight w:val="none"/>
        </w:rPr>
      </w:pPr>
    </w:p>
    <w:p>
      <w:pPr>
        <w:rPr>
          <w:rFonts w:ascii="仿宋_GB2312" w:eastAsia="仿宋_GB2312" w:cs="Times New Roman" w:hAnsiTheme="minorEastAsia"/>
          <w:vanish/>
          <w:sz w:val="21"/>
          <w:szCs w:val="22"/>
          <w:highlight w:val="none"/>
        </w:rPr>
      </w:pPr>
    </w:p>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500" w:lineRule="exact"/>
        <w:jc w:val="left"/>
        <w:rPr>
          <w:rFonts w:ascii="仿宋_GB2312" w:hAnsi="宋体" w:eastAsia="仿宋_GB2312"/>
          <w:b/>
          <w:bCs/>
          <w:highlight w:val="none"/>
        </w:rPr>
      </w:pPr>
    </w:p>
    <w:p>
      <w:pPr>
        <w:spacing w:line="500" w:lineRule="exact"/>
        <w:jc w:val="left"/>
        <w:rPr>
          <w:rFonts w:ascii="仿宋_GB2312" w:hAnsi="宋体" w:eastAsia="仿宋_GB2312"/>
          <w:b/>
          <w:bCs/>
          <w:highlight w:val="none"/>
        </w:rPr>
      </w:pPr>
      <w:r>
        <w:rPr>
          <w:rFonts w:hint="eastAsia" w:ascii="仿宋_GB2312" w:hAnsi="宋体" w:eastAsia="仿宋_GB2312"/>
          <w:b/>
          <w:bCs/>
          <w:highlight w:val="none"/>
        </w:rPr>
        <w:t>5.</w:t>
      </w:r>
    </w:p>
    <w:p>
      <w:pPr>
        <w:spacing w:line="50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企业基本情况表</w:t>
      </w:r>
    </w:p>
    <w:tbl>
      <w:tblPr>
        <w:tblStyle w:val="31"/>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82"/>
        <w:gridCol w:w="2327"/>
        <w:gridCol w:w="548"/>
        <w:gridCol w:w="1035"/>
        <w:gridCol w:w="21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391"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企业名称(盖章)</w:t>
            </w:r>
          </w:p>
        </w:tc>
        <w:tc>
          <w:tcPr>
            <w:tcW w:w="4357" w:type="dxa"/>
            <w:gridSpan w:val="3"/>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1247"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组织机构代码</w:t>
            </w:r>
          </w:p>
        </w:tc>
        <w:tc>
          <w:tcPr>
            <w:tcW w:w="1626" w:type="dxa"/>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1391"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企业类型</w:t>
            </w:r>
          </w:p>
        </w:tc>
        <w:tc>
          <w:tcPr>
            <w:tcW w:w="4357" w:type="dxa"/>
            <w:gridSpan w:val="3"/>
            <w:vAlign w:val="center"/>
          </w:tcPr>
          <w:p>
            <w:pPr>
              <w:numPr>
                <w:ilvl w:val="0"/>
                <w:numId w:val="1"/>
              </w:numPr>
              <w:shd w:val="clear" w:color="auto" w:fill="FFFFFF"/>
              <w:spacing w:line="48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有限责任公司 □股份有限公司</w:t>
            </w:r>
          </w:p>
          <w:p>
            <w:pPr>
              <w:numPr>
                <w:ilvl w:val="0"/>
                <w:numId w:val="1"/>
              </w:numPr>
              <w:shd w:val="clear" w:color="auto" w:fill="FFFFFF"/>
              <w:spacing w:line="48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中外合资企业</w:t>
            </w:r>
            <w:r>
              <w:rPr>
                <w:rFonts w:hint="eastAsia" w:ascii="仿宋_GB2312" w:hAnsi="仿宋_GB2312" w:eastAsia="仿宋_GB2312" w:cs="仿宋_GB2312"/>
                <w:sz w:val="21"/>
                <w:szCs w:val="21"/>
                <w:highlight w:val="none"/>
              </w:rPr>
              <w:sym w:font="Wingdings 2" w:char="00A3"/>
            </w:r>
            <w:r>
              <w:rPr>
                <w:rFonts w:hint="eastAsia" w:ascii="仿宋_GB2312" w:hAnsi="仿宋_GB2312" w:eastAsia="仿宋_GB2312" w:cs="仿宋_GB2312"/>
                <w:sz w:val="21"/>
                <w:szCs w:val="21"/>
                <w:highlight w:val="none"/>
              </w:rPr>
              <w:t>全民所有制企业</w:t>
            </w:r>
          </w:p>
          <w:p>
            <w:pPr>
              <w:shd w:val="clear" w:color="auto" w:fill="FFFFFF"/>
              <w:spacing w:line="480" w:lineRule="exac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集体所有制企业□独资企业</w:t>
            </w:r>
          </w:p>
        </w:tc>
        <w:tc>
          <w:tcPr>
            <w:tcW w:w="1247"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上年度销售额</w:t>
            </w:r>
          </w:p>
        </w:tc>
        <w:tc>
          <w:tcPr>
            <w:tcW w:w="1626" w:type="dxa"/>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91"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详细地址</w:t>
            </w:r>
          </w:p>
        </w:tc>
        <w:tc>
          <w:tcPr>
            <w:tcW w:w="7230" w:type="dxa"/>
            <w:gridSpan w:val="6"/>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391" w:type="dxa"/>
            <w:vMerge w:val="restart"/>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营业执照</w:t>
            </w:r>
          </w:p>
        </w:tc>
        <w:tc>
          <w:tcPr>
            <w:tcW w:w="1482"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注册号</w:t>
            </w:r>
          </w:p>
        </w:tc>
        <w:tc>
          <w:tcPr>
            <w:tcW w:w="2327" w:type="dxa"/>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1583"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法定代表人</w:t>
            </w:r>
          </w:p>
        </w:tc>
        <w:tc>
          <w:tcPr>
            <w:tcW w:w="1838"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91" w:type="dxa"/>
            <w:vMerge w:val="continue"/>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1482"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经营范围</w:t>
            </w:r>
          </w:p>
        </w:tc>
        <w:tc>
          <w:tcPr>
            <w:tcW w:w="2327" w:type="dxa"/>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1583"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注册资本</w:t>
            </w:r>
          </w:p>
        </w:tc>
        <w:tc>
          <w:tcPr>
            <w:tcW w:w="1838"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91" w:type="dxa"/>
            <w:vMerge w:val="continue"/>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1482"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发证时间</w:t>
            </w:r>
          </w:p>
        </w:tc>
        <w:tc>
          <w:tcPr>
            <w:tcW w:w="2327" w:type="dxa"/>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1583"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营业期限</w:t>
            </w:r>
          </w:p>
        </w:tc>
        <w:tc>
          <w:tcPr>
            <w:tcW w:w="1838" w:type="dxa"/>
            <w:gridSpan w:val="2"/>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391"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人员情况</w:t>
            </w:r>
          </w:p>
        </w:tc>
        <w:tc>
          <w:tcPr>
            <w:tcW w:w="1482" w:type="dxa"/>
            <w:tcBorders>
              <w:bottom w:val="single" w:color="auto" w:sz="4" w:space="0"/>
            </w:tcBorders>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职工人数</w:t>
            </w:r>
          </w:p>
        </w:tc>
        <w:tc>
          <w:tcPr>
            <w:tcW w:w="5748" w:type="dxa"/>
            <w:gridSpan w:val="5"/>
            <w:tcBorders>
              <w:bottom w:val="single" w:color="auto" w:sz="4" w:space="0"/>
            </w:tcBorders>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其中，技术工人XX人，高工XX人，工程师XX人。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391"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银行信誉</w:t>
            </w:r>
          </w:p>
        </w:tc>
        <w:tc>
          <w:tcPr>
            <w:tcW w:w="1482" w:type="dxa"/>
            <w:vAlign w:val="center"/>
          </w:tcPr>
          <w:p>
            <w:pPr>
              <w:shd w:val="clear" w:color="auto" w:fill="FFFFFF"/>
              <w:spacing w:line="480" w:lineRule="exact"/>
              <w:jc w:val="center"/>
              <w:rPr>
                <w:rFonts w:ascii="仿宋_GB2312" w:hAnsi="仿宋_GB2312" w:eastAsia="仿宋_GB2312" w:cs="仿宋_GB2312"/>
                <w:sz w:val="21"/>
                <w:szCs w:val="21"/>
                <w:highlight w:val="none"/>
              </w:rPr>
            </w:pPr>
          </w:p>
        </w:tc>
        <w:tc>
          <w:tcPr>
            <w:tcW w:w="5748" w:type="dxa"/>
            <w:gridSpan w:val="5"/>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9" w:hRule="atLeast"/>
        </w:trPr>
        <w:tc>
          <w:tcPr>
            <w:tcW w:w="1391" w:type="dxa"/>
            <w:vAlign w:val="center"/>
          </w:tcPr>
          <w:p>
            <w:pPr>
              <w:shd w:val="clear" w:color="auto" w:fill="FFFFFF"/>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企业简介</w:t>
            </w:r>
          </w:p>
        </w:tc>
        <w:tc>
          <w:tcPr>
            <w:tcW w:w="7230" w:type="dxa"/>
            <w:gridSpan w:val="6"/>
            <w:vAlign w:val="center"/>
          </w:tcPr>
          <w:p>
            <w:pPr>
              <w:shd w:val="clear" w:color="auto" w:fill="FFFFFF"/>
              <w:spacing w:line="480" w:lineRule="exact"/>
              <w:jc w:val="center"/>
              <w:rPr>
                <w:rFonts w:ascii="仿宋_GB2312" w:hAnsi="仿宋_GB2312" w:eastAsia="仿宋_GB2312" w:cs="仿宋_GB2312"/>
                <w:sz w:val="21"/>
                <w:szCs w:val="21"/>
                <w:highlight w:val="none"/>
              </w:rPr>
            </w:pPr>
          </w:p>
        </w:tc>
      </w:tr>
    </w:tbl>
    <w:p>
      <w:pPr>
        <w:shd w:val="clear" w:color="auto" w:fill="FFFFFF"/>
        <w:snapToGrid w:val="0"/>
        <w:spacing w:line="48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shd w:val="clear" w:color="auto" w:fill="FFFFFF"/>
        <w:snapToGrid w:val="0"/>
        <w:spacing w:line="48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生产商投标的，本表后应附投标人企业法人营业执照副本、基本账户开户许可证以及增值税一般纳税人证明文件的彩色复印件或彩色扫描件(如无法提供增值税一般纳税人证明文件，可提供本企业能够开具增值税专用发票的保证函)。</w:t>
      </w:r>
    </w:p>
    <w:p>
      <w:pPr>
        <w:shd w:val="clear" w:color="auto" w:fill="FFFFFF"/>
        <w:snapToGrid w:val="0"/>
        <w:spacing w:line="48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商投标的，本表后应附投标人企业法人营业执照副本、基本账户开户许可证、增值税一般纳税人证明文件的彩色复印件或彩色扫描件(如无法提供增值税一般纳税人证明文件，可提供本企业能够开具增值税专用发票的保证函)以及所投产品生产商合法授权证书的彩色复印件。代理商还应附所投产品生产商的企业法人营业执照副本彩色复印件或彩色扫描件。</w:t>
      </w:r>
    </w:p>
    <w:p>
      <w:pPr>
        <w:shd w:val="clear" w:color="auto" w:fill="FFFFFF"/>
        <w:snapToGrid w:val="0"/>
        <w:spacing w:line="480" w:lineRule="exact"/>
        <w:jc w:val="left"/>
        <w:rPr>
          <w:rFonts w:ascii="仿宋_GB2312" w:hAnsi="宋体" w:eastAsia="仿宋_GB2312"/>
          <w:sz w:val="18"/>
          <w:szCs w:val="18"/>
          <w:highlight w:val="none"/>
        </w:rPr>
      </w:pPr>
      <w:r>
        <w:rPr>
          <w:rFonts w:hint="eastAsia" w:ascii="仿宋_GB2312" w:hAnsi="仿宋_GB2312" w:eastAsia="仿宋_GB2312" w:cs="仿宋_GB2312"/>
          <w:sz w:val="21"/>
          <w:szCs w:val="21"/>
          <w:highlight w:val="none"/>
        </w:rPr>
        <w:t>3、以上材料均须加盖单位公章。</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6</w:t>
      </w:r>
      <w:r>
        <w:rPr>
          <w:rFonts w:ascii="仿宋_GB2312" w:eastAsia="仿宋_GB2312" w:cs="宋体" w:hAnsiTheme="minorEastAsia"/>
          <w:b/>
          <w:w w:val="90"/>
          <w:highlight w:val="none"/>
        </w:rPr>
        <w:t>.</w:t>
      </w:r>
    </w:p>
    <w:p>
      <w:pPr>
        <w:spacing w:line="50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2"/>
        <w:rPr>
          <w:rFonts w:ascii="仿宋_GB2312" w:eastAsia="仿宋_GB2312" w:hAnsiTheme="minorEastAsia"/>
          <w:b/>
          <w:sz w:val="28"/>
          <w:szCs w:val="28"/>
          <w:highlight w:val="none"/>
        </w:rPr>
      </w:pPr>
    </w:p>
    <w:p>
      <w:pPr>
        <w:pStyle w:val="7"/>
        <w:numPr>
          <w:ilvl w:val="0"/>
          <w:numId w:val="2"/>
        </w:numPr>
        <w:rPr>
          <w:rFonts w:ascii="宋体" w:hAnsi="宋体" w:eastAsia="宋体" w:cs="宋体"/>
          <w:sz w:val="21"/>
          <w:szCs w:val="21"/>
          <w:highlight w:val="none"/>
        </w:rPr>
      </w:pPr>
      <w:r>
        <w:rPr>
          <w:rFonts w:hint="eastAsia" w:ascii="宋体" w:hAnsi="宋体" w:eastAsia="宋体" w:cs="宋体"/>
          <w:sz w:val="21"/>
          <w:szCs w:val="21"/>
          <w:highlight w:val="none"/>
        </w:rPr>
        <w:t xml:space="preserve">                      </w:t>
      </w:r>
    </w:p>
    <w:p>
      <w:pPr>
        <w:pStyle w:val="7"/>
        <w:jc w:val="center"/>
        <w:rPr>
          <w:rFonts w:ascii="仿宋_GB2312" w:hAnsi="宋体" w:eastAsia="仿宋_GB2312"/>
          <w:highlight w:val="none"/>
        </w:rPr>
      </w:pPr>
      <w:r>
        <w:rPr>
          <w:rFonts w:hint="eastAsia" w:ascii="仿宋_GB2312" w:hAnsi="宋体" w:eastAsia="仿宋_GB2312"/>
          <w:highlight w:val="none"/>
        </w:rPr>
        <w:t>制造商授权书（如需）</w:t>
      </w:r>
    </w:p>
    <w:p>
      <w:pPr>
        <w:adjustRightInd w:val="0"/>
        <w:snapToGrid w:val="0"/>
        <w:spacing w:line="480" w:lineRule="auto"/>
        <w:rPr>
          <w:rFonts w:ascii="仿宋_GB2312" w:hAnsi="宋体" w:eastAsia="仿宋_GB2312" w:cs="Times New Roman"/>
          <w:sz w:val="21"/>
          <w:szCs w:val="21"/>
          <w:highlight w:val="none"/>
          <w:u w:val="single"/>
        </w:rPr>
      </w:pPr>
      <w:r>
        <w:rPr>
          <w:rFonts w:hint="eastAsia" w:ascii="仿宋_GB2312" w:hAnsi="宋体" w:eastAsia="仿宋_GB2312" w:cs="Times New Roman"/>
          <w:sz w:val="21"/>
          <w:szCs w:val="21"/>
          <w:highlight w:val="none"/>
        </w:rPr>
        <w:t>致：</w:t>
      </w:r>
      <w:r>
        <w:rPr>
          <w:rFonts w:hint="eastAsia" w:ascii="仿宋_GB2312" w:hAnsi="宋体" w:eastAsia="仿宋_GB2312" w:cs="Times New Roman"/>
          <w:sz w:val="21"/>
          <w:szCs w:val="21"/>
          <w:highlight w:val="none"/>
          <w:u w:val="single"/>
        </w:rPr>
        <w:t xml:space="preserve">                              </w:t>
      </w:r>
    </w:p>
    <w:p>
      <w:pPr>
        <w:adjustRightInd w:val="0"/>
        <w:snapToGrid w:val="0"/>
        <w:spacing w:line="480" w:lineRule="auto"/>
        <w:ind w:firstLine="420" w:firstLineChars="200"/>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我单位</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（制造商名称）是按</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（国家／地区名称）法律成立的一家制造商，主要营业地点设在</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（制造商地址）。兹授权按</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（国家／地区名称）的法律正式成立的，主要营业地点设在</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（投标人的单位地址）的</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（投标人名称）以我单位制造的</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（设备名称）进行</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（项目名称）投标活动。我单位同意按照中标合同供货，并对产品质量承担责任。</w:t>
      </w:r>
    </w:p>
    <w:p>
      <w:pPr>
        <w:adjustRightInd w:val="0"/>
        <w:snapToGrid w:val="0"/>
        <w:spacing w:line="480" w:lineRule="auto"/>
        <w:ind w:firstLine="420" w:firstLineChars="200"/>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授权期限：</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 xml:space="preserve"> 。</w:t>
      </w:r>
    </w:p>
    <w:p>
      <w:pPr>
        <w:adjustRightInd w:val="0"/>
        <w:snapToGrid w:val="0"/>
        <w:spacing w:line="480" w:lineRule="auto"/>
        <w:ind w:firstLine="420" w:firstLineChars="200"/>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电话： </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 xml:space="preserve"> 。</w:t>
      </w:r>
    </w:p>
    <w:p>
      <w:pPr>
        <w:adjustRightInd w:val="0"/>
        <w:snapToGrid w:val="0"/>
        <w:spacing w:line="480" w:lineRule="auto"/>
        <w:ind w:firstLine="420" w:firstLineChars="200"/>
        <w:rPr>
          <w:rFonts w:ascii="仿宋_GB2312" w:hAnsi="宋体" w:eastAsia="仿宋_GB2312" w:cs="Times New Roman"/>
          <w:sz w:val="21"/>
          <w:szCs w:val="21"/>
          <w:highlight w:val="none"/>
        </w:rPr>
      </w:pPr>
    </w:p>
    <w:p>
      <w:pPr>
        <w:adjustRightInd w:val="0"/>
        <w:snapToGrid w:val="0"/>
        <w:spacing w:line="480" w:lineRule="auto"/>
        <w:ind w:firstLine="420" w:firstLineChars="200"/>
        <w:rPr>
          <w:rFonts w:ascii="仿宋_GB2312" w:hAnsi="宋体" w:eastAsia="仿宋_GB2312" w:cs="Times New Roman"/>
          <w:sz w:val="21"/>
          <w:szCs w:val="21"/>
          <w:highlight w:val="none"/>
        </w:rPr>
      </w:pPr>
    </w:p>
    <w:p>
      <w:pPr>
        <w:pStyle w:val="17"/>
        <w:tabs>
          <w:tab w:val="left" w:pos="3040"/>
          <w:tab w:val="left" w:pos="4512"/>
          <w:tab w:val="left" w:pos="7572"/>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投标人名称：                （盖单位章）    制造商名称：                （盖单位章）</w:t>
      </w:r>
    </w:p>
    <w:p>
      <w:pPr>
        <w:pStyle w:val="17"/>
        <w:rPr>
          <w:rFonts w:ascii="仿宋_GB2312" w:hAnsi="宋体" w:eastAsia="仿宋_GB2312" w:cs="Times New Roman"/>
          <w:sz w:val="21"/>
          <w:szCs w:val="21"/>
          <w:highlight w:val="none"/>
        </w:rPr>
      </w:pPr>
    </w:p>
    <w:p>
      <w:pPr>
        <w:pStyle w:val="17"/>
        <w:tabs>
          <w:tab w:val="left" w:pos="4350"/>
          <w:tab w:val="left" w:pos="8758"/>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签字人职务：                                签字人职务：                </w:t>
      </w:r>
    </w:p>
    <w:p>
      <w:pPr>
        <w:pStyle w:val="18"/>
        <w:rPr>
          <w:rFonts w:ascii="仿宋_GB2312" w:hAnsi="宋体" w:eastAsia="仿宋_GB2312" w:cs="Times New Roman"/>
          <w:sz w:val="21"/>
          <w:szCs w:val="21"/>
          <w:highlight w:val="none"/>
        </w:rPr>
      </w:pPr>
    </w:p>
    <w:p>
      <w:pPr>
        <w:pStyle w:val="17"/>
        <w:tabs>
          <w:tab w:val="left" w:pos="4350"/>
          <w:tab w:val="left" w:pos="8758"/>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签字人姓名：                                签字人姓名：                </w:t>
      </w:r>
    </w:p>
    <w:p>
      <w:pPr>
        <w:pStyle w:val="18"/>
        <w:rPr>
          <w:rFonts w:ascii="仿宋_GB2312" w:hAnsi="宋体" w:eastAsia="仿宋_GB2312" w:cs="Times New Roman"/>
          <w:sz w:val="21"/>
          <w:szCs w:val="21"/>
          <w:highlight w:val="none"/>
        </w:rPr>
      </w:pPr>
    </w:p>
    <w:p>
      <w:pPr>
        <w:pStyle w:val="17"/>
        <w:tabs>
          <w:tab w:val="left" w:pos="4350"/>
          <w:tab w:val="left" w:pos="8758"/>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签字人签名：                                签字人签名：                </w:t>
      </w:r>
    </w:p>
    <w:p>
      <w:pPr>
        <w:pStyle w:val="17"/>
        <w:tabs>
          <w:tab w:val="left" w:pos="4350"/>
          <w:tab w:val="left" w:pos="8758"/>
        </w:tabs>
        <w:rPr>
          <w:rFonts w:ascii="仿宋_GB2312" w:hAnsi="宋体" w:eastAsia="仿宋_GB2312" w:cs="Times New Roman"/>
          <w:sz w:val="21"/>
          <w:szCs w:val="21"/>
          <w:highlight w:val="none"/>
        </w:rPr>
      </w:pPr>
    </w:p>
    <w:p>
      <w:pPr>
        <w:spacing w:line="480" w:lineRule="exact"/>
        <w:rPr>
          <w:rFonts w:ascii="仿宋_GB2312" w:hAnsi="宋体" w:eastAsia="仿宋_GB2312" w:cs="Times New Roman"/>
          <w:sz w:val="21"/>
          <w:szCs w:val="21"/>
          <w:highlight w:val="none"/>
        </w:rPr>
      </w:pPr>
    </w:p>
    <w:p>
      <w:pPr>
        <w:spacing w:line="480" w:lineRule="exact"/>
        <w:rPr>
          <w:rFonts w:ascii="仿宋_GB2312" w:hAnsi="宋体" w:eastAsia="仿宋_GB2312" w:cs="Times New Roman"/>
          <w:sz w:val="21"/>
          <w:szCs w:val="21"/>
          <w:highlight w:val="none"/>
        </w:rPr>
      </w:pPr>
    </w:p>
    <w:p>
      <w:pPr>
        <w:spacing w:line="500" w:lineRule="exact"/>
        <w:jc w:val="left"/>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p>
    <w:p>
      <w:pPr>
        <w:spacing w:line="500" w:lineRule="exact"/>
        <w:jc w:val="left"/>
        <w:rPr>
          <w:rFonts w:ascii="仿宋_GB2312" w:eastAsia="仿宋_GB2312" w:cs="宋体" w:hAnsiTheme="minorEastAsia"/>
          <w:b/>
          <w:sz w:val="28"/>
          <w:szCs w:val="28"/>
          <w:highlight w:val="none"/>
        </w:rPr>
      </w:pPr>
    </w:p>
    <w:p>
      <w:pPr>
        <w:spacing w:line="500" w:lineRule="exact"/>
        <w:rPr>
          <w:rFonts w:ascii="宋体" w:hAnsi="宋体" w:eastAsia="宋体" w:cs="宋体"/>
          <w:highlight w:val="none"/>
        </w:rPr>
      </w:pPr>
      <w:bookmarkStart w:id="72" w:name="_Hlk68510144"/>
    </w:p>
    <w:p>
      <w:pPr>
        <w:spacing w:line="500" w:lineRule="exact"/>
        <w:rPr>
          <w:rFonts w:ascii="仿宋_GB2312" w:hAnsi="宋体" w:eastAsia="仿宋_GB2312"/>
          <w:b/>
          <w:bCs/>
          <w:sz w:val="28"/>
          <w:szCs w:val="28"/>
          <w:highlight w:val="none"/>
        </w:rPr>
      </w:pPr>
      <w:r>
        <w:rPr>
          <w:rFonts w:hint="eastAsia" w:ascii="宋体" w:hAnsi="宋体" w:eastAsia="宋体" w:cs="宋体"/>
          <w:highlight w:val="none"/>
        </w:rPr>
        <w:t xml:space="preserve">8. </w:t>
      </w:r>
      <w:r>
        <w:rPr>
          <w:rFonts w:hint="eastAsia" w:ascii="宋体" w:hAnsi="宋体" w:eastAsia="宋体" w:cs="宋体"/>
          <w:sz w:val="30"/>
          <w:szCs w:val="30"/>
          <w:highlight w:val="none"/>
        </w:rPr>
        <w:t xml:space="preserve">      </w:t>
      </w:r>
      <w:bookmarkEnd w:id="72"/>
    </w:p>
    <w:p>
      <w:pPr>
        <w:spacing w:line="500" w:lineRule="exact"/>
        <w:jc w:val="center"/>
        <w:rPr>
          <w:rFonts w:ascii="宋体" w:hAnsi="宋体" w:cs="宋体"/>
          <w:highlight w:val="none"/>
        </w:rPr>
      </w:pPr>
      <w:r>
        <w:rPr>
          <w:rFonts w:hint="eastAsia" w:ascii="仿宋_GB2312" w:hAnsi="宋体" w:eastAsia="仿宋_GB2312"/>
          <w:b/>
          <w:bCs/>
          <w:sz w:val="28"/>
          <w:szCs w:val="28"/>
          <w:highlight w:val="none"/>
        </w:rPr>
        <w:t>投标设备技术性能指标</w:t>
      </w:r>
    </w:p>
    <w:p>
      <w:pPr>
        <w:shd w:val="clear" w:color="auto" w:fill="FFFFFF"/>
        <w:snapToGrid w:val="0"/>
        <w:spacing w:line="480" w:lineRule="exact"/>
        <w:jc w:val="left"/>
        <w:rPr>
          <w:rFonts w:ascii="仿宋_GB2312" w:hAnsi="宋体" w:eastAsia="仿宋_GB2312"/>
          <w:b/>
          <w:bCs/>
          <w:highlight w:val="none"/>
        </w:rPr>
      </w:pPr>
      <w:r>
        <w:rPr>
          <w:rFonts w:hint="eastAsia" w:ascii="仿宋_GB2312" w:hAnsi="宋体" w:eastAsia="仿宋_GB2312"/>
          <w:b/>
          <w:bCs/>
          <w:highlight w:val="none"/>
        </w:rPr>
        <w:t>（1）《设备主要技术参数要求明细》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40"/>
        <w:gridCol w:w="508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3" w:type="dxa"/>
          </w:tcPr>
          <w:p>
            <w:pPr>
              <w:shd w:val="clear" w:color="auto" w:fill="FFFFFF"/>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6525" w:type="dxa"/>
            <w:gridSpan w:val="2"/>
          </w:tcPr>
          <w:p>
            <w:pPr>
              <w:shd w:val="clear" w:color="auto" w:fill="FFFFFF"/>
              <w:snapToGrid w:val="0"/>
              <w:spacing w:line="480" w:lineRule="exact"/>
              <w:jc w:val="center"/>
              <w:rPr>
                <w:rFonts w:ascii="仿宋_GB2312" w:hAnsi="宋体" w:eastAsia="仿宋_GB2312"/>
                <w:color w:val="000000"/>
                <w:sz w:val="21"/>
                <w:szCs w:val="21"/>
                <w:highlight w:val="none"/>
              </w:rPr>
            </w:pPr>
            <w:r>
              <w:rPr>
                <w:rFonts w:hint="eastAsia" w:ascii="仿宋_GB2312" w:hAnsi="宋体" w:eastAsia="仿宋_GB2312"/>
                <w:color w:val="000000"/>
                <w:sz w:val="21"/>
                <w:szCs w:val="21"/>
                <w:highlight w:val="none"/>
              </w:rPr>
              <w:t>技术规格及要求</w:t>
            </w:r>
          </w:p>
        </w:tc>
        <w:tc>
          <w:tcPr>
            <w:tcW w:w="1808" w:type="dxa"/>
          </w:tcPr>
          <w:p>
            <w:pPr>
              <w:shd w:val="clear" w:color="auto" w:fill="FFFFFF"/>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3" w:type="dxa"/>
            <w:vAlign w:val="center"/>
          </w:tcPr>
          <w:p>
            <w:pPr>
              <w:shd w:val="clear" w:color="auto" w:fill="FFFFFF"/>
              <w:snapToGrid w:val="0"/>
              <w:jc w:val="center"/>
              <w:rPr>
                <w:rFonts w:ascii="仿宋_GB2312" w:hAnsi="宋体" w:eastAsia="仿宋_GB2312"/>
                <w:sz w:val="21"/>
                <w:szCs w:val="21"/>
                <w:highlight w:val="none"/>
              </w:rPr>
            </w:pPr>
            <w:r>
              <w:rPr>
                <w:rFonts w:hint="eastAsia" w:ascii="仿宋_GB2312" w:hAnsi="宋体" w:eastAsia="仿宋_GB2312"/>
                <w:sz w:val="21"/>
                <w:szCs w:val="21"/>
                <w:highlight w:val="none"/>
              </w:rPr>
              <w:t xml:space="preserve">1 </w:t>
            </w:r>
          </w:p>
        </w:tc>
        <w:tc>
          <w:tcPr>
            <w:tcW w:w="1440" w:type="dxa"/>
            <w:vAlign w:val="center"/>
          </w:tcPr>
          <w:p>
            <w:pPr>
              <w:shd w:val="clear" w:color="auto" w:fill="FFFFFF"/>
              <w:snapToGrid w:val="0"/>
              <w:jc w:val="center"/>
              <w:rPr>
                <w:rFonts w:ascii="仿宋_GB2312" w:hAnsi="宋体" w:eastAsia="仿宋_GB2312"/>
                <w:sz w:val="21"/>
                <w:szCs w:val="21"/>
                <w:highlight w:val="none"/>
              </w:rPr>
            </w:pPr>
          </w:p>
        </w:tc>
        <w:tc>
          <w:tcPr>
            <w:tcW w:w="5085" w:type="dxa"/>
            <w:vAlign w:val="center"/>
          </w:tcPr>
          <w:p>
            <w:pPr>
              <w:pStyle w:val="27"/>
              <w:shd w:val="clear" w:color="auto" w:fill="FFFFFF"/>
              <w:snapToGrid w:val="0"/>
              <w:rPr>
                <w:rFonts w:ascii="仿宋_GB2312" w:eastAsia="仿宋_GB2312" w:cs="Times New Roman"/>
                <w:kern w:val="2"/>
                <w:sz w:val="21"/>
                <w:szCs w:val="21"/>
                <w:highlight w:val="none"/>
              </w:rPr>
            </w:pPr>
          </w:p>
        </w:tc>
        <w:tc>
          <w:tcPr>
            <w:tcW w:w="1808" w:type="dxa"/>
            <w:vAlign w:val="center"/>
          </w:tcPr>
          <w:p>
            <w:pPr>
              <w:shd w:val="clear" w:color="auto" w:fill="FFFFFF"/>
              <w:snapToGrid w:val="0"/>
              <w:spacing w:line="480" w:lineRule="exact"/>
              <w:jc w:val="center"/>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53" w:type="dxa"/>
            <w:vAlign w:val="center"/>
          </w:tcPr>
          <w:p>
            <w:pPr>
              <w:shd w:val="clear" w:color="auto" w:fill="FFFFFF"/>
              <w:snapToGrid w:val="0"/>
              <w:jc w:val="center"/>
              <w:rPr>
                <w:rFonts w:ascii="仿宋_GB2312" w:hAnsi="宋体" w:eastAsia="仿宋_GB2312"/>
                <w:sz w:val="21"/>
                <w:szCs w:val="21"/>
                <w:highlight w:val="none"/>
              </w:rPr>
            </w:pPr>
            <w:r>
              <w:rPr>
                <w:rFonts w:hint="eastAsia" w:ascii="仿宋_GB2312" w:hAnsi="宋体" w:eastAsia="仿宋_GB2312"/>
                <w:sz w:val="21"/>
                <w:szCs w:val="21"/>
                <w:highlight w:val="none"/>
              </w:rPr>
              <w:t>2</w:t>
            </w:r>
          </w:p>
        </w:tc>
        <w:tc>
          <w:tcPr>
            <w:tcW w:w="1440" w:type="dxa"/>
            <w:vAlign w:val="center"/>
          </w:tcPr>
          <w:p>
            <w:pPr>
              <w:pStyle w:val="28"/>
              <w:shd w:val="clear" w:color="auto" w:fill="FFFFFF"/>
              <w:snapToGrid w:val="0"/>
              <w:spacing w:before="0" w:after="0"/>
              <w:jc w:val="center"/>
              <w:rPr>
                <w:rFonts w:ascii="仿宋_GB2312" w:eastAsia="仿宋_GB2312"/>
                <w:kern w:val="2"/>
                <w:sz w:val="21"/>
                <w:szCs w:val="21"/>
                <w:highlight w:val="none"/>
              </w:rPr>
            </w:pPr>
          </w:p>
        </w:tc>
        <w:tc>
          <w:tcPr>
            <w:tcW w:w="5085" w:type="dxa"/>
            <w:vAlign w:val="center"/>
          </w:tcPr>
          <w:p>
            <w:pPr>
              <w:pStyle w:val="27"/>
              <w:shd w:val="clear" w:color="auto" w:fill="FFFFFF"/>
              <w:snapToGrid w:val="0"/>
              <w:rPr>
                <w:rFonts w:ascii="仿宋_GB2312" w:eastAsia="仿宋_GB2312" w:cs="Times New Roman"/>
                <w:kern w:val="2"/>
                <w:sz w:val="21"/>
                <w:szCs w:val="21"/>
                <w:highlight w:val="none"/>
              </w:rPr>
            </w:pPr>
          </w:p>
        </w:tc>
        <w:tc>
          <w:tcPr>
            <w:tcW w:w="1808" w:type="dxa"/>
            <w:vAlign w:val="center"/>
          </w:tcPr>
          <w:p>
            <w:pPr>
              <w:shd w:val="clear" w:color="auto" w:fill="FFFFFF"/>
              <w:snapToGrid w:val="0"/>
              <w:spacing w:line="480" w:lineRule="exact"/>
              <w:jc w:val="center"/>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53" w:type="dxa"/>
            <w:vAlign w:val="center"/>
          </w:tcPr>
          <w:p>
            <w:pPr>
              <w:shd w:val="clear" w:color="auto" w:fill="FFFFFF"/>
              <w:snapToGrid w:val="0"/>
              <w:jc w:val="center"/>
              <w:rPr>
                <w:rFonts w:ascii="仿宋_GB2312" w:hAnsi="宋体" w:eastAsia="仿宋_GB2312"/>
                <w:sz w:val="21"/>
                <w:szCs w:val="21"/>
                <w:highlight w:val="none"/>
              </w:rPr>
            </w:pPr>
            <w:r>
              <w:rPr>
                <w:rFonts w:hint="eastAsia" w:ascii="仿宋_GB2312" w:hAnsi="宋体" w:eastAsia="仿宋_GB2312"/>
                <w:sz w:val="21"/>
                <w:szCs w:val="21"/>
                <w:highlight w:val="none"/>
              </w:rPr>
              <w:t>3</w:t>
            </w:r>
          </w:p>
        </w:tc>
        <w:tc>
          <w:tcPr>
            <w:tcW w:w="1440" w:type="dxa"/>
            <w:vAlign w:val="center"/>
          </w:tcPr>
          <w:p>
            <w:pPr>
              <w:shd w:val="clear" w:color="auto" w:fill="FFFFFF"/>
              <w:snapToGrid w:val="0"/>
              <w:jc w:val="center"/>
              <w:rPr>
                <w:rFonts w:ascii="仿宋_GB2312" w:hAnsi="宋体" w:eastAsia="仿宋_GB2312"/>
                <w:sz w:val="21"/>
                <w:szCs w:val="21"/>
                <w:highlight w:val="none"/>
              </w:rPr>
            </w:pPr>
          </w:p>
        </w:tc>
        <w:tc>
          <w:tcPr>
            <w:tcW w:w="5085" w:type="dxa"/>
            <w:vAlign w:val="center"/>
          </w:tcPr>
          <w:p>
            <w:pPr>
              <w:pStyle w:val="27"/>
              <w:shd w:val="clear" w:color="auto" w:fill="FFFFFF"/>
              <w:snapToGrid w:val="0"/>
              <w:rPr>
                <w:rFonts w:ascii="仿宋_GB2312" w:eastAsia="仿宋_GB2312" w:cs="Times New Roman"/>
                <w:kern w:val="2"/>
                <w:sz w:val="21"/>
                <w:szCs w:val="21"/>
                <w:highlight w:val="none"/>
              </w:rPr>
            </w:pPr>
          </w:p>
        </w:tc>
        <w:tc>
          <w:tcPr>
            <w:tcW w:w="1808" w:type="dxa"/>
            <w:vAlign w:val="center"/>
          </w:tcPr>
          <w:p>
            <w:pPr>
              <w:shd w:val="clear" w:color="auto" w:fill="FFFFFF"/>
              <w:snapToGrid w:val="0"/>
              <w:spacing w:line="480" w:lineRule="exact"/>
              <w:jc w:val="center"/>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953" w:type="dxa"/>
            <w:vAlign w:val="center"/>
          </w:tcPr>
          <w:p>
            <w:pPr>
              <w:shd w:val="clear" w:color="auto" w:fill="FFFFFF"/>
              <w:snapToGrid w:val="0"/>
              <w:jc w:val="center"/>
              <w:rPr>
                <w:rFonts w:ascii="仿宋_GB2312" w:hAnsi="宋体" w:eastAsia="仿宋_GB2312"/>
                <w:sz w:val="21"/>
                <w:szCs w:val="21"/>
                <w:highlight w:val="none"/>
              </w:rPr>
            </w:pPr>
            <w:r>
              <w:rPr>
                <w:rFonts w:hint="eastAsia" w:ascii="仿宋_GB2312" w:hAnsi="宋体" w:eastAsia="仿宋_GB2312"/>
                <w:sz w:val="21"/>
                <w:szCs w:val="21"/>
                <w:highlight w:val="none"/>
              </w:rPr>
              <w:t>4</w:t>
            </w:r>
          </w:p>
        </w:tc>
        <w:tc>
          <w:tcPr>
            <w:tcW w:w="1440" w:type="dxa"/>
            <w:vAlign w:val="center"/>
          </w:tcPr>
          <w:p>
            <w:pPr>
              <w:pStyle w:val="28"/>
              <w:shd w:val="clear" w:color="auto" w:fill="FFFFFF"/>
              <w:snapToGrid w:val="0"/>
              <w:spacing w:before="0" w:after="0"/>
              <w:jc w:val="center"/>
              <w:rPr>
                <w:rFonts w:ascii="仿宋_GB2312" w:eastAsia="仿宋_GB2312"/>
                <w:kern w:val="2"/>
                <w:sz w:val="21"/>
                <w:szCs w:val="21"/>
                <w:highlight w:val="none"/>
              </w:rPr>
            </w:pPr>
          </w:p>
        </w:tc>
        <w:tc>
          <w:tcPr>
            <w:tcW w:w="5085" w:type="dxa"/>
            <w:vAlign w:val="center"/>
          </w:tcPr>
          <w:p>
            <w:pPr>
              <w:pStyle w:val="27"/>
              <w:shd w:val="clear" w:color="auto" w:fill="FFFFFF"/>
              <w:snapToGrid w:val="0"/>
              <w:rPr>
                <w:rFonts w:ascii="仿宋_GB2312" w:eastAsia="仿宋_GB2312" w:cs="Times New Roman"/>
                <w:kern w:val="2"/>
                <w:sz w:val="21"/>
                <w:szCs w:val="21"/>
                <w:highlight w:val="none"/>
              </w:rPr>
            </w:pPr>
          </w:p>
        </w:tc>
        <w:tc>
          <w:tcPr>
            <w:tcW w:w="1808" w:type="dxa"/>
            <w:vAlign w:val="center"/>
          </w:tcPr>
          <w:p>
            <w:pPr>
              <w:shd w:val="clear" w:color="auto" w:fill="FFFFFF"/>
              <w:snapToGrid w:val="0"/>
              <w:spacing w:line="480" w:lineRule="exact"/>
              <w:jc w:val="center"/>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3" w:type="dxa"/>
            <w:vAlign w:val="center"/>
          </w:tcPr>
          <w:p>
            <w:pPr>
              <w:shd w:val="clear" w:color="auto" w:fill="FFFFFF"/>
              <w:snapToGrid w:val="0"/>
              <w:jc w:val="center"/>
              <w:rPr>
                <w:rFonts w:ascii="仿宋_GB2312" w:hAnsi="宋体" w:eastAsia="仿宋_GB2312"/>
                <w:sz w:val="21"/>
                <w:szCs w:val="21"/>
                <w:highlight w:val="none"/>
              </w:rPr>
            </w:pPr>
            <w:r>
              <w:rPr>
                <w:rFonts w:hint="eastAsia" w:ascii="仿宋_GB2312" w:hAnsi="宋体" w:eastAsia="仿宋_GB2312"/>
                <w:sz w:val="21"/>
                <w:szCs w:val="21"/>
                <w:highlight w:val="none"/>
              </w:rPr>
              <w:t>5</w:t>
            </w:r>
          </w:p>
        </w:tc>
        <w:tc>
          <w:tcPr>
            <w:tcW w:w="1440" w:type="dxa"/>
            <w:vAlign w:val="center"/>
          </w:tcPr>
          <w:p>
            <w:pPr>
              <w:shd w:val="clear" w:color="auto" w:fill="FFFFFF"/>
              <w:snapToGrid w:val="0"/>
              <w:jc w:val="center"/>
              <w:rPr>
                <w:rFonts w:ascii="仿宋_GB2312" w:hAnsi="宋体" w:eastAsia="仿宋_GB2312"/>
                <w:sz w:val="21"/>
                <w:szCs w:val="21"/>
                <w:highlight w:val="none"/>
              </w:rPr>
            </w:pPr>
          </w:p>
        </w:tc>
        <w:tc>
          <w:tcPr>
            <w:tcW w:w="5085" w:type="dxa"/>
            <w:vAlign w:val="center"/>
          </w:tcPr>
          <w:p>
            <w:pPr>
              <w:pStyle w:val="27"/>
              <w:shd w:val="clear" w:color="auto" w:fill="FFFFFF"/>
              <w:snapToGrid w:val="0"/>
              <w:rPr>
                <w:rFonts w:ascii="仿宋_GB2312" w:eastAsia="仿宋_GB2312" w:cs="Times New Roman"/>
                <w:kern w:val="2"/>
                <w:sz w:val="21"/>
                <w:szCs w:val="21"/>
                <w:highlight w:val="none"/>
              </w:rPr>
            </w:pPr>
          </w:p>
        </w:tc>
        <w:tc>
          <w:tcPr>
            <w:tcW w:w="1808" w:type="dxa"/>
            <w:vAlign w:val="center"/>
          </w:tcPr>
          <w:p>
            <w:pPr>
              <w:shd w:val="clear" w:color="auto" w:fill="FFFFFF"/>
              <w:snapToGrid w:val="0"/>
              <w:spacing w:line="480" w:lineRule="exact"/>
              <w:jc w:val="center"/>
              <w:rPr>
                <w:rFonts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highlight w:val="none"/>
        </w:rPr>
      </w:pPr>
      <w:r>
        <w:rPr>
          <w:rFonts w:hint="eastAsia" w:ascii="仿宋_GB2312" w:hAnsi="宋体" w:eastAsia="仿宋_GB2312"/>
          <w:highlight w:val="none"/>
        </w:rPr>
        <w:t>注: 1.本表格为示例，可根据实际招标设备种类进行修改。</w:t>
      </w:r>
    </w:p>
    <w:p>
      <w:pPr>
        <w:shd w:val="clear" w:color="auto" w:fill="FFFFFF"/>
        <w:snapToGrid w:val="0"/>
        <w:spacing w:line="480" w:lineRule="exact"/>
        <w:ind w:firstLine="480" w:firstLineChars="200"/>
        <w:jc w:val="left"/>
        <w:rPr>
          <w:rFonts w:ascii="仿宋_GB2312" w:hAnsi="宋体" w:eastAsia="仿宋_GB2312"/>
          <w:highlight w:val="none"/>
        </w:rPr>
      </w:pPr>
      <w:r>
        <w:rPr>
          <w:rFonts w:hint="eastAsia" w:ascii="仿宋_GB2312" w:hAnsi="宋体" w:eastAsia="仿宋_GB2312"/>
          <w:highlight w:val="none"/>
        </w:rPr>
        <w:t>2.投标人根据各自投标产品设备的实际参数按本表格式及示例逐条填写。</w:t>
      </w:r>
    </w:p>
    <w:p>
      <w:pPr>
        <w:shd w:val="clear" w:color="auto" w:fill="FFFFFF"/>
        <w:snapToGrid w:val="0"/>
        <w:spacing w:line="480" w:lineRule="exact"/>
        <w:ind w:firstLine="480" w:firstLineChars="200"/>
        <w:jc w:val="left"/>
        <w:rPr>
          <w:rFonts w:ascii="仿宋_GB2312" w:hAnsi="宋体" w:eastAsia="仿宋_GB2312"/>
          <w:highlight w:val="none"/>
        </w:rPr>
      </w:pPr>
      <w:r>
        <w:rPr>
          <w:rFonts w:hint="eastAsia" w:ascii="仿宋_GB2312" w:hAnsi="宋体" w:eastAsia="仿宋_GB2312"/>
          <w:highlight w:val="none"/>
        </w:rPr>
        <w:t>3</w:t>
      </w:r>
      <w:r>
        <w:rPr>
          <w:rFonts w:ascii="仿宋_GB2312" w:hAnsi="宋体" w:eastAsia="仿宋_GB2312"/>
          <w:highlight w:val="none"/>
        </w:rPr>
        <w:t>.</w:t>
      </w:r>
      <w:r>
        <w:rPr>
          <w:rFonts w:hint="eastAsia" w:ascii="仿宋_GB2312" w:hAnsi="宋体" w:eastAsia="仿宋_GB2312"/>
          <w:highlight w:val="none"/>
        </w:rPr>
        <w:t>不同型号的设备分别编制《设备主要技术参数要求明细》。</w:t>
      </w:r>
    </w:p>
    <w:p>
      <w:pPr>
        <w:shd w:val="clear" w:color="auto" w:fill="FFFFFF"/>
        <w:snapToGrid w:val="0"/>
        <w:ind w:firstLine="5040" w:firstLineChars="2100"/>
        <w:jc w:val="left"/>
        <w:rPr>
          <w:rFonts w:ascii="仿宋_GB2312" w:hAnsi="宋体" w:eastAsia="仿宋_GB2312"/>
          <w:highlight w:val="none"/>
        </w:rPr>
      </w:pPr>
    </w:p>
    <w:p>
      <w:pPr>
        <w:shd w:val="clear" w:color="auto" w:fill="FFFFFF"/>
        <w:snapToGrid w:val="0"/>
        <w:ind w:firstLine="5040" w:firstLineChars="2100"/>
        <w:jc w:val="left"/>
        <w:rPr>
          <w:rFonts w:ascii="仿宋_GB2312" w:hAnsi="宋体" w:eastAsia="仿宋_GB2312"/>
          <w:highlight w:val="none"/>
        </w:rPr>
      </w:pPr>
      <w:r>
        <w:rPr>
          <w:rFonts w:hint="eastAsia" w:ascii="仿宋_GB2312" w:hAnsi="宋体" w:eastAsia="仿宋_GB2312"/>
          <w:highlight w:val="none"/>
        </w:rPr>
        <w:t xml:space="preserve">投标人名称：（公章）                  </w:t>
      </w:r>
    </w:p>
    <w:p>
      <w:pPr>
        <w:shd w:val="clear" w:color="auto" w:fill="FFFFFF"/>
        <w:snapToGrid w:val="0"/>
        <w:ind w:firstLine="5040" w:firstLineChars="2100"/>
        <w:jc w:val="left"/>
        <w:rPr>
          <w:rFonts w:ascii="仿宋_GB2312" w:hAnsi="宋体" w:eastAsia="仿宋_GB2312"/>
          <w:highlight w:val="none"/>
        </w:rPr>
      </w:pPr>
    </w:p>
    <w:p>
      <w:pPr>
        <w:shd w:val="clear" w:color="auto" w:fill="FFFFFF"/>
        <w:snapToGrid w:val="0"/>
        <w:ind w:firstLine="5040" w:firstLineChars="2100"/>
        <w:jc w:val="left"/>
        <w:rPr>
          <w:rFonts w:ascii="仿宋_GB2312" w:hAnsi="宋体" w:eastAsia="仿宋_GB2312"/>
          <w:highlight w:val="none"/>
        </w:rPr>
      </w:pPr>
      <w:r>
        <w:rPr>
          <w:rFonts w:hint="eastAsia" w:ascii="仿宋_GB2312" w:hAnsi="宋体" w:eastAsia="仿宋_GB2312"/>
          <w:highlight w:val="none"/>
        </w:rPr>
        <w:t xml:space="preserve">授权代表签字：                        </w:t>
      </w:r>
    </w:p>
    <w:p>
      <w:pPr>
        <w:shd w:val="clear" w:color="auto" w:fill="FFFFFF"/>
        <w:snapToGrid w:val="0"/>
        <w:spacing w:line="480" w:lineRule="exact"/>
        <w:ind w:firstLine="5860" w:firstLineChars="2442"/>
        <w:jc w:val="left"/>
        <w:rPr>
          <w:rFonts w:ascii="仿宋_GB2312" w:hAnsi="宋体" w:eastAsia="仿宋_GB2312"/>
          <w:highlight w:val="none"/>
        </w:rPr>
      </w:pPr>
      <w:r>
        <w:rPr>
          <w:rFonts w:hint="eastAsia" w:ascii="仿宋_GB2312" w:hAnsi="宋体" w:eastAsia="仿宋_GB2312"/>
          <w:highlight w:val="none"/>
        </w:rPr>
        <w:t>日 期：   年  月  日</w:t>
      </w:r>
    </w:p>
    <w:p>
      <w:pPr>
        <w:shd w:val="clear" w:color="auto" w:fill="FFFFFF"/>
        <w:snapToGrid w:val="0"/>
        <w:spacing w:line="480" w:lineRule="exact"/>
        <w:jc w:val="left"/>
        <w:rPr>
          <w:rFonts w:ascii="仿宋_GB2312" w:hAnsi="仿宋_GB2312" w:eastAsia="仿宋_GB2312" w:cs="仿宋_GB2312"/>
          <w:sz w:val="21"/>
          <w:szCs w:val="21"/>
          <w:highlight w:val="none"/>
        </w:rPr>
      </w:pPr>
      <w:r>
        <w:rPr>
          <w:rFonts w:ascii="仿宋_GB2312" w:hAnsi="宋体" w:eastAsia="仿宋_GB2312"/>
          <w:highlight w:val="none"/>
        </w:rPr>
        <w:br w:type="page"/>
      </w:r>
      <w:r>
        <w:rPr>
          <w:rFonts w:hint="eastAsia" w:ascii="仿宋_GB2312" w:hAnsi="仿宋_GB2312" w:eastAsia="仿宋_GB2312" w:cs="仿宋_GB2312"/>
          <w:sz w:val="21"/>
          <w:szCs w:val="21"/>
          <w:highlight w:val="none"/>
        </w:rPr>
        <w:t>（2）《设备主要功能配置》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5"/>
        <w:gridCol w:w="501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73" w:type="dxa"/>
          </w:tcPr>
          <w:p>
            <w:pPr>
              <w:spacing w:before="240" w:beforeLines="100" w:after="240" w:afterLines="100"/>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05" w:type="dxa"/>
          </w:tcPr>
          <w:p>
            <w:pPr>
              <w:spacing w:before="240" w:beforeLines="100" w:after="240" w:afterLines="100"/>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功能项</w:t>
            </w:r>
          </w:p>
        </w:tc>
        <w:tc>
          <w:tcPr>
            <w:tcW w:w="5010" w:type="dxa"/>
          </w:tcPr>
          <w:p>
            <w:pPr>
              <w:spacing w:before="240" w:beforeLines="100" w:after="240" w:afterLines="100"/>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描述（示例）</w:t>
            </w:r>
          </w:p>
        </w:tc>
        <w:tc>
          <w:tcPr>
            <w:tcW w:w="2198" w:type="dxa"/>
          </w:tcPr>
          <w:p>
            <w:pPr>
              <w:spacing w:before="240" w:beforeLines="100" w:after="240" w:afterLines="100"/>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3"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1</w:t>
            </w:r>
          </w:p>
        </w:tc>
        <w:tc>
          <w:tcPr>
            <w:tcW w:w="1305"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p>
        </w:tc>
        <w:tc>
          <w:tcPr>
            <w:tcW w:w="5010"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w:t>
            </w:r>
          </w:p>
        </w:tc>
        <w:tc>
          <w:tcPr>
            <w:tcW w:w="2198" w:type="dxa"/>
            <w:vAlign w:val="center"/>
          </w:tcPr>
          <w:p>
            <w:pPr>
              <w:spacing w:before="240" w:beforeLines="100" w:after="240" w:afterLines="100"/>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3"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2</w:t>
            </w:r>
          </w:p>
        </w:tc>
        <w:tc>
          <w:tcPr>
            <w:tcW w:w="1305"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p>
        </w:tc>
        <w:tc>
          <w:tcPr>
            <w:tcW w:w="5010"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p>
        </w:tc>
        <w:tc>
          <w:tcPr>
            <w:tcW w:w="2198" w:type="dxa"/>
            <w:vAlign w:val="center"/>
          </w:tcPr>
          <w:p>
            <w:pPr>
              <w:spacing w:before="240" w:beforeLines="100" w:after="240" w:afterLines="100"/>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3"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3</w:t>
            </w:r>
          </w:p>
        </w:tc>
        <w:tc>
          <w:tcPr>
            <w:tcW w:w="1305"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p>
        </w:tc>
        <w:tc>
          <w:tcPr>
            <w:tcW w:w="5010" w:type="dxa"/>
            <w:vAlign w:val="center"/>
          </w:tcPr>
          <w:p>
            <w:pPr>
              <w:pStyle w:val="27"/>
              <w:shd w:val="clear" w:color="auto" w:fill="FFFFFF"/>
              <w:snapToGrid w:val="0"/>
              <w:spacing w:line="480" w:lineRule="exact"/>
              <w:jc w:val="center"/>
              <w:rPr>
                <w:rFonts w:ascii="仿宋_GB2312" w:hAnsi="仿宋_GB2312" w:eastAsia="仿宋_GB2312" w:cs="仿宋_GB2312"/>
                <w:kern w:val="2"/>
                <w:sz w:val="21"/>
                <w:szCs w:val="21"/>
                <w:highlight w:val="none"/>
              </w:rPr>
            </w:pPr>
          </w:p>
        </w:tc>
        <w:tc>
          <w:tcPr>
            <w:tcW w:w="2198" w:type="dxa"/>
            <w:vAlign w:val="center"/>
          </w:tcPr>
          <w:p>
            <w:pPr>
              <w:spacing w:before="240" w:beforeLines="100" w:after="240" w:afterLines="100"/>
              <w:jc w:val="center"/>
              <w:rPr>
                <w:rFonts w:ascii="仿宋_GB2312" w:hAnsi="仿宋_GB2312" w:eastAsia="仿宋_GB2312" w:cs="仿宋_GB2312"/>
                <w:sz w:val="21"/>
                <w:szCs w:val="21"/>
                <w:highlight w:val="none"/>
              </w:rPr>
            </w:pPr>
          </w:p>
        </w:tc>
      </w:tr>
    </w:tbl>
    <w:p>
      <w:pPr>
        <w:spacing w:line="50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（3）《核心部件配置表》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14"/>
        <w:gridCol w:w="1316"/>
        <w:gridCol w:w="840"/>
        <w:gridCol w:w="931"/>
        <w:gridCol w:w="1029"/>
        <w:gridCol w:w="1029"/>
        <w:gridCol w:w="125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14"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316"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品牌名称</w:t>
            </w:r>
          </w:p>
        </w:tc>
        <w:tc>
          <w:tcPr>
            <w:tcW w:w="840"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2989" w:type="dxa"/>
            <w:gridSpan w:val="3"/>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生产厂家</w:t>
            </w:r>
          </w:p>
        </w:tc>
        <w:tc>
          <w:tcPr>
            <w:tcW w:w="1256"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技术或工艺类型</w:t>
            </w:r>
          </w:p>
        </w:tc>
        <w:tc>
          <w:tcPr>
            <w:tcW w:w="803"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1314"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1316"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840"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931"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029"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产地</w:t>
            </w:r>
          </w:p>
        </w:tc>
        <w:tc>
          <w:tcPr>
            <w:tcW w:w="1029"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电话</w:t>
            </w:r>
          </w:p>
        </w:tc>
        <w:tc>
          <w:tcPr>
            <w:tcW w:w="1256"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803" w:type="dxa"/>
            <w:vMerge w:val="continue"/>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31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整机</w:t>
            </w: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31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电气系统</w:t>
            </w: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31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31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31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bl>
    <w:p>
      <w:pPr>
        <w:shd w:val="clear" w:color="auto" w:fill="FFFFFF"/>
        <w:snapToGrid w:val="0"/>
        <w:spacing w:line="48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shd w:val="clear" w:color="auto" w:fill="FFFFFF"/>
        <w:snapToGrid w:val="0"/>
        <w:spacing w:line="48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1.投标人根据各自投标产品设备的实际参数按本表格式及示例逐条填写。</w:t>
      </w:r>
    </w:p>
    <w:p>
      <w:pPr>
        <w:shd w:val="clear" w:color="auto" w:fill="FFFFFF"/>
        <w:snapToGrid w:val="0"/>
        <w:spacing w:line="480" w:lineRule="exact"/>
        <w:jc w:val="left"/>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2.整机或核心部件为原装进口或进口组装的，需要在本表后附该货物或组装零部件的报关单等相关证明资料。</w:t>
      </w:r>
    </w:p>
    <w:p>
      <w:pPr>
        <w:spacing w:line="360" w:lineRule="auto"/>
        <w:jc w:val="left"/>
        <w:rPr>
          <w:rFonts w:ascii="仿宋_GB2312" w:eastAsia="仿宋_GB2312" w:cs="宋体"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9.</w:t>
      </w:r>
    </w:p>
    <w:p>
      <w:pPr>
        <w:pStyle w:val="2"/>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技术服务及质保期服务响应情况</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（1）技术服务响应情况表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152"/>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152"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089"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45"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152" w:type="dxa"/>
            <w:vAlign w:val="center"/>
          </w:tcPr>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负责合同设备的安装、调试，达到安全运行标准。</w:t>
            </w:r>
          </w:p>
        </w:tc>
        <w:tc>
          <w:tcPr>
            <w:tcW w:w="3089" w:type="dxa"/>
            <w:vAlign w:val="center"/>
          </w:tcPr>
          <w:p>
            <w:pPr>
              <w:snapToGrid w:val="0"/>
              <w:spacing w:line="480" w:lineRule="exact"/>
              <w:jc w:val="left"/>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152" w:type="dxa"/>
            <w:vAlign w:val="center"/>
          </w:tcPr>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对买方操作人员进行理论、操作培训，达到维护设备良好运转及处理小型故障的能力。</w:t>
            </w:r>
          </w:p>
        </w:tc>
        <w:tc>
          <w:tcPr>
            <w:tcW w:w="3089" w:type="dxa"/>
            <w:vAlign w:val="center"/>
          </w:tcPr>
          <w:p>
            <w:pPr>
              <w:snapToGrid w:val="0"/>
              <w:spacing w:line="480" w:lineRule="exact"/>
              <w:jc w:val="left"/>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152" w:type="dxa"/>
            <w:vAlign w:val="center"/>
          </w:tcPr>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按国家及行业规定，提供合同设备完整的技术资料。</w:t>
            </w:r>
          </w:p>
        </w:tc>
        <w:tc>
          <w:tcPr>
            <w:tcW w:w="3089" w:type="dxa"/>
            <w:vAlign w:val="center"/>
          </w:tcPr>
          <w:p>
            <w:pPr>
              <w:snapToGrid w:val="0"/>
              <w:spacing w:line="480" w:lineRule="exact"/>
              <w:jc w:val="left"/>
              <w:rPr>
                <w:rFonts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注:1.根据实际情况按本表格式逐条填写响应情况，不得仅填写“响应”二字。</w:t>
      </w:r>
    </w:p>
    <w:p>
      <w:pPr>
        <w:shd w:val="clear" w:color="auto" w:fill="FFFFFF"/>
        <w:snapToGrid w:val="0"/>
        <w:spacing w:line="480" w:lineRule="exact"/>
        <w:ind w:firstLine="420" w:firstLineChars="200"/>
        <w:jc w:val="left"/>
        <w:rPr>
          <w:rFonts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（2）质保期、保修期服务响应情况表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290"/>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719" w:type="dxa"/>
            <w:vAlign w:val="center"/>
          </w:tcPr>
          <w:p>
            <w:pPr>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340" w:type="dxa"/>
            <w:vAlign w:val="center"/>
          </w:tcPr>
          <w:p>
            <w:pPr>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719" w:type="dxa"/>
          </w:tcPr>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按照“合同通用条款”、“合同专用条款”等相关规定提供质保期服务。</w:t>
            </w:r>
          </w:p>
        </w:tc>
        <w:tc>
          <w:tcPr>
            <w:tcW w:w="3340" w:type="dxa"/>
          </w:tcPr>
          <w:p>
            <w:pPr>
              <w:snapToGrid w:val="0"/>
              <w:spacing w:line="480" w:lineRule="exact"/>
              <w:jc w:val="left"/>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959"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719" w:type="dxa"/>
          </w:tcPr>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相关时间要求:(1)明确专人作为质保期服务联系人，确保24小时服务热线畅通；(2)收到买方通知后，卖方保证在6小时内响应并提出处理措施；(3)需要到设备现场的，卖方应7</w:t>
            </w:r>
            <w:r>
              <w:rPr>
                <w:rFonts w:ascii="仿宋_GB2312" w:eastAsia="仿宋_GB2312"/>
                <w:kern w:val="2"/>
                <w:sz w:val="21"/>
                <w:szCs w:val="21"/>
                <w:highlight w:val="none"/>
              </w:rPr>
              <w:t>2</w:t>
            </w:r>
            <w:r>
              <w:rPr>
                <w:rFonts w:hint="eastAsia" w:ascii="仿宋_GB2312" w:eastAsia="仿宋_GB2312"/>
                <w:kern w:val="2"/>
                <w:sz w:val="21"/>
                <w:szCs w:val="21"/>
                <w:highlight w:val="none"/>
              </w:rPr>
              <w:t>小时内免费派技术人员带配件赶到现场维修并排除故障(重大故障除外)。</w:t>
            </w:r>
          </w:p>
        </w:tc>
        <w:tc>
          <w:tcPr>
            <w:tcW w:w="3340" w:type="dxa"/>
          </w:tcPr>
          <w:p>
            <w:pPr>
              <w:snapToGrid w:val="0"/>
              <w:spacing w:line="480" w:lineRule="exact"/>
              <w:jc w:val="left"/>
              <w:rPr>
                <w:rFonts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480" w:lineRule="exact"/>
              <w:jc w:val="center"/>
              <w:rPr>
                <w:rFonts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719" w:type="dxa"/>
          </w:tcPr>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1、保修期时间:自质保期结束至设备正常使用寿命结束。</w:t>
            </w:r>
          </w:p>
          <w:p>
            <w:pPr>
              <w:pStyle w:val="28"/>
              <w:shd w:val="clear" w:color="auto" w:fill="FFFFFF"/>
              <w:rPr>
                <w:rFonts w:ascii="仿宋_GB2312" w:eastAsia="仿宋_GB2312"/>
                <w:kern w:val="2"/>
                <w:sz w:val="21"/>
                <w:szCs w:val="21"/>
                <w:highlight w:val="none"/>
              </w:rPr>
            </w:pPr>
            <w:r>
              <w:rPr>
                <w:rFonts w:hint="eastAsia" w:ascii="仿宋_GB2312" w:eastAsia="仿宋_GB2312"/>
                <w:kern w:val="2"/>
                <w:sz w:val="21"/>
                <w:szCs w:val="21"/>
                <w:highlight w:val="none"/>
              </w:rPr>
              <w:t>2、保修期内，应按合同规定完成维持合同设备正常运转应提供的相关服务。</w:t>
            </w:r>
          </w:p>
        </w:tc>
        <w:tc>
          <w:tcPr>
            <w:tcW w:w="3340" w:type="dxa"/>
          </w:tcPr>
          <w:p>
            <w:pPr>
              <w:snapToGrid w:val="0"/>
              <w:spacing w:line="480" w:lineRule="exact"/>
              <w:jc w:val="left"/>
              <w:rPr>
                <w:rFonts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1.根据实际情况按本表格式逐条填写响应情况，不得仅填写“响应”二字。</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pPr>
        <w:shd w:val="clear" w:color="auto" w:fill="FFFFFF"/>
        <w:snapToGrid w:val="0"/>
        <w:spacing w:line="480" w:lineRule="exact"/>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10.</w:t>
      </w:r>
    </w:p>
    <w:p>
      <w:pPr>
        <w:pStyle w:val="2"/>
        <w:jc w:val="center"/>
        <w:rPr>
          <w:rFonts w:ascii="仿宋_GB2312" w:eastAsia="仿宋_GB2312" w:hAnsiTheme="minorEastAsia"/>
          <w:b/>
          <w:w w:val="90"/>
          <w:sz w:val="28"/>
          <w:szCs w:val="28"/>
          <w:highlight w:val="none"/>
        </w:rPr>
      </w:pPr>
      <w:r>
        <w:rPr>
          <w:rFonts w:hint="eastAsia" w:ascii="仿宋_GB2312" w:eastAsia="仿宋_GB2312" w:hAnsiTheme="minorEastAsia"/>
          <w:b/>
          <w:w w:val="90"/>
          <w:sz w:val="28"/>
          <w:szCs w:val="28"/>
          <w:highlight w:val="none"/>
        </w:rPr>
        <w:t>随设备备品备件一览表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12"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备品备件名称</w:t>
            </w:r>
          </w:p>
        </w:tc>
        <w:tc>
          <w:tcPr>
            <w:tcW w:w="176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2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12" w:type="dxa"/>
          </w:tcPr>
          <w:p>
            <w:pPr>
              <w:snapToGrid w:val="0"/>
              <w:spacing w:line="480" w:lineRule="exact"/>
              <w:jc w:val="center"/>
              <w:rPr>
                <w:rFonts w:ascii="仿宋_GB2312" w:hAnsi="仿宋_GB2312" w:eastAsia="仿宋_GB2312" w:cs="仿宋_GB2312"/>
                <w:sz w:val="21"/>
                <w:szCs w:val="21"/>
                <w:highlight w:val="none"/>
              </w:rPr>
            </w:pPr>
          </w:p>
        </w:tc>
        <w:tc>
          <w:tcPr>
            <w:tcW w:w="1764"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12" w:type="dxa"/>
          </w:tcPr>
          <w:p>
            <w:pPr>
              <w:snapToGrid w:val="0"/>
              <w:spacing w:line="480" w:lineRule="exact"/>
              <w:jc w:val="center"/>
              <w:rPr>
                <w:rFonts w:ascii="仿宋_GB2312" w:hAnsi="仿宋_GB2312" w:eastAsia="仿宋_GB2312" w:cs="仿宋_GB2312"/>
                <w:sz w:val="21"/>
                <w:szCs w:val="21"/>
                <w:highlight w:val="none"/>
              </w:rPr>
            </w:pPr>
          </w:p>
        </w:tc>
        <w:tc>
          <w:tcPr>
            <w:tcW w:w="1764"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12" w:type="dxa"/>
          </w:tcPr>
          <w:p>
            <w:pPr>
              <w:snapToGrid w:val="0"/>
              <w:spacing w:line="480" w:lineRule="exact"/>
              <w:jc w:val="center"/>
              <w:rPr>
                <w:rFonts w:ascii="仿宋_GB2312" w:hAnsi="仿宋_GB2312" w:eastAsia="仿宋_GB2312" w:cs="仿宋_GB2312"/>
                <w:sz w:val="21"/>
                <w:szCs w:val="21"/>
                <w:highlight w:val="none"/>
              </w:rPr>
            </w:pPr>
          </w:p>
        </w:tc>
        <w:tc>
          <w:tcPr>
            <w:tcW w:w="1764"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合计</w:t>
            </w: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bl>
    <w:p>
      <w:pPr>
        <w:pStyle w:val="2"/>
        <w:jc w:val="center"/>
        <w:rPr>
          <w:rFonts w:ascii="仿宋_GB2312" w:eastAsia="仿宋_GB2312" w:hAnsiTheme="minorEastAsia"/>
          <w:b/>
          <w:w w:val="90"/>
          <w:sz w:val="28"/>
          <w:szCs w:val="28"/>
          <w:highlight w:val="none"/>
        </w:rPr>
      </w:pPr>
    </w:p>
    <w:p>
      <w:pPr>
        <w:pStyle w:val="2"/>
        <w:jc w:val="center"/>
        <w:rPr>
          <w:rFonts w:ascii="仿宋_GB2312" w:eastAsia="仿宋_GB2312" w:hAnsiTheme="minorEastAsia"/>
          <w:b/>
          <w:w w:val="90"/>
          <w:sz w:val="28"/>
          <w:szCs w:val="28"/>
          <w:highlight w:val="none"/>
        </w:rPr>
      </w:pPr>
      <w:r>
        <w:rPr>
          <w:rFonts w:hint="eastAsia" w:ascii="仿宋_GB2312" w:eastAsia="仿宋_GB2312" w:hAnsiTheme="minorEastAsia"/>
          <w:b/>
          <w:w w:val="90"/>
          <w:sz w:val="28"/>
          <w:szCs w:val="28"/>
          <w:highlight w:val="none"/>
        </w:rPr>
        <w:t>随设备专用工具一览表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6"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专用工具名称</w:t>
            </w:r>
          </w:p>
        </w:tc>
        <w:tc>
          <w:tcPr>
            <w:tcW w:w="17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03"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6" w:type="dxa"/>
          </w:tcPr>
          <w:p>
            <w:pPr>
              <w:snapToGrid w:val="0"/>
              <w:spacing w:line="480" w:lineRule="exact"/>
              <w:jc w:val="center"/>
              <w:rPr>
                <w:rFonts w:ascii="仿宋_GB2312" w:hAnsi="仿宋_GB2312" w:eastAsia="仿宋_GB2312" w:cs="仿宋_GB2312"/>
                <w:sz w:val="21"/>
                <w:szCs w:val="21"/>
                <w:highlight w:val="none"/>
              </w:rPr>
            </w:pPr>
          </w:p>
        </w:tc>
        <w:tc>
          <w:tcPr>
            <w:tcW w:w="1728"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6" w:type="dxa"/>
          </w:tcPr>
          <w:p>
            <w:pPr>
              <w:snapToGrid w:val="0"/>
              <w:spacing w:line="480" w:lineRule="exact"/>
              <w:jc w:val="center"/>
              <w:rPr>
                <w:rFonts w:ascii="仿宋_GB2312" w:hAnsi="仿宋_GB2312" w:eastAsia="仿宋_GB2312" w:cs="仿宋_GB2312"/>
                <w:sz w:val="21"/>
                <w:szCs w:val="21"/>
                <w:highlight w:val="none"/>
              </w:rPr>
            </w:pPr>
          </w:p>
        </w:tc>
        <w:tc>
          <w:tcPr>
            <w:tcW w:w="1728"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6" w:type="dxa"/>
          </w:tcPr>
          <w:p>
            <w:pPr>
              <w:snapToGrid w:val="0"/>
              <w:spacing w:line="480" w:lineRule="exact"/>
              <w:jc w:val="center"/>
              <w:rPr>
                <w:rFonts w:ascii="仿宋_GB2312" w:hAnsi="仿宋_GB2312" w:eastAsia="仿宋_GB2312" w:cs="仿宋_GB2312"/>
                <w:sz w:val="21"/>
                <w:szCs w:val="21"/>
                <w:highlight w:val="none"/>
              </w:rPr>
            </w:pPr>
          </w:p>
        </w:tc>
        <w:tc>
          <w:tcPr>
            <w:tcW w:w="1728"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合计</w:t>
            </w: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bl>
    <w:p>
      <w:pPr>
        <w:pStyle w:val="2"/>
        <w:jc w:val="center"/>
        <w:rPr>
          <w:rFonts w:ascii="仿宋_GB2312" w:eastAsia="仿宋_GB2312" w:hAnsiTheme="minorEastAsia"/>
          <w:b/>
          <w:w w:val="90"/>
          <w:sz w:val="28"/>
          <w:szCs w:val="28"/>
          <w:highlight w:val="none"/>
        </w:rPr>
      </w:pPr>
    </w:p>
    <w:p>
      <w:pPr>
        <w:shd w:val="clear" w:color="auto" w:fill="FFFFFF"/>
        <w:snapToGrid w:val="0"/>
        <w:spacing w:line="480" w:lineRule="exact"/>
        <w:jc w:val="center"/>
        <w:rPr>
          <w:rFonts w:ascii="仿宋_GB2312" w:hAnsi="宋体" w:eastAsia="仿宋_GB2312"/>
          <w:highlight w:val="none"/>
        </w:rPr>
      </w:pPr>
      <w:r>
        <w:rPr>
          <w:rFonts w:hint="eastAsia" w:ascii="仿宋_GB2312" w:hAnsi="宋体" w:eastAsia="仿宋_GB2312"/>
          <w:b/>
          <w:bCs/>
          <w:sz w:val="28"/>
          <w:szCs w:val="28"/>
          <w:highlight w:val="none"/>
        </w:rPr>
        <w:t>随设备提供的技术资料或图纸一览表</w:t>
      </w:r>
      <w:r>
        <w:rPr>
          <w:rFonts w:ascii="仿宋_GB2312" w:hAnsi="宋体" w:eastAsia="仿宋_GB2312"/>
          <w:highlight w:val="non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9"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技术图纸</w:t>
            </w:r>
          </w:p>
        </w:tc>
        <w:tc>
          <w:tcPr>
            <w:tcW w:w="1689"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主要内容</w:t>
            </w:r>
          </w:p>
        </w:tc>
        <w:tc>
          <w:tcPr>
            <w:tcW w:w="1689"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69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90"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90"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90" w:type="dxa"/>
          </w:tcPr>
          <w:p>
            <w:pPr>
              <w:snapToGrid w:val="0"/>
              <w:spacing w:line="480" w:lineRule="exact"/>
              <w:jc w:val="center"/>
              <w:rPr>
                <w:rFonts w:ascii="仿宋_GB2312" w:hAnsi="仿宋_GB2312" w:eastAsia="仿宋_GB2312" w:cs="仿宋_GB2312"/>
                <w:sz w:val="21"/>
                <w:szCs w:val="21"/>
                <w:highlight w:val="none"/>
              </w:rPr>
            </w:pPr>
          </w:p>
        </w:tc>
      </w:tr>
    </w:tbl>
    <w:p>
      <w:pPr>
        <w:shd w:val="clear" w:color="auto" w:fill="FFFFFF"/>
        <w:snapToGrid w:val="0"/>
        <w:spacing w:line="480" w:lineRule="exact"/>
        <w:jc w:val="left"/>
        <w:rPr>
          <w:rFonts w:ascii="仿宋_GB2312" w:hAnsi="宋体" w:eastAsia="仿宋_GB2312"/>
          <w:highlight w:val="none"/>
        </w:rPr>
      </w:pPr>
    </w:p>
    <w:p>
      <w:pPr>
        <w:shd w:val="clear" w:color="auto" w:fill="FFFFFF"/>
        <w:snapToGrid w:val="0"/>
        <w:spacing w:line="480" w:lineRule="exact"/>
        <w:jc w:val="left"/>
        <w:rPr>
          <w:rFonts w:ascii="仿宋_GB2312" w:hAnsi="宋体" w:eastAsia="仿宋_GB2312"/>
          <w:highlight w:val="none"/>
        </w:rPr>
      </w:pPr>
    </w:p>
    <w:p>
      <w:pPr>
        <w:shd w:val="clear" w:color="auto" w:fill="FFFFFF"/>
        <w:snapToGrid w:val="0"/>
        <w:spacing w:line="480" w:lineRule="exact"/>
        <w:ind w:firstLine="5548" w:firstLineChars="2642"/>
        <w:jc w:val="left"/>
        <w:rPr>
          <w:rFonts w:ascii="仿宋_GB2312" w:hAnsi="宋体" w:eastAsia="仿宋_GB2312"/>
          <w:sz w:val="21"/>
          <w:szCs w:val="21"/>
          <w:highlight w:val="none"/>
        </w:rPr>
      </w:pPr>
      <w:r>
        <w:rPr>
          <w:rFonts w:hint="eastAsia" w:ascii="仿宋_GB2312" w:hAnsi="宋体" w:eastAsia="仿宋_GB2312"/>
          <w:sz w:val="21"/>
          <w:szCs w:val="21"/>
          <w:highlight w:val="none"/>
        </w:rPr>
        <w:t xml:space="preserve">投标人名称：（公章）                  </w:t>
      </w:r>
    </w:p>
    <w:p>
      <w:pPr>
        <w:shd w:val="clear" w:color="auto" w:fill="FFFFFF"/>
        <w:snapToGrid w:val="0"/>
        <w:spacing w:line="480" w:lineRule="exact"/>
        <w:ind w:firstLine="5548" w:firstLineChars="2642"/>
        <w:jc w:val="left"/>
        <w:rPr>
          <w:rFonts w:ascii="仿宋_GB2312" w:hAnsi="宋体" w:eastAsia="仿宋_GB2312"/>
          <w:sz w:val="21"/>
          <w:szCs w:val="21"/>
          <w:highlight w:val="none"/>
        </w:rPr>
      </w:pPr>
      <w:r>
        <w:rPr>
          <w:rFonts w:hint="eastAsia" w:ascii="仿宋_GB2312" w:hAnsi="宋体" w:eastAsia="仿宋_GB2312"/>
          <w:sz w:val="21"/>
          <w:szCs w:val="21"/>
          <w:highlight w:val="none"/>
        </w:rPr>
        <w:t xml:space="preserve">授权代表签字：                        </w:t>
      </w:r>
    </w:p>
    <w:p>
      <w:pPr>
        <w:shd w:val="clear" w:color="auto" w:fill="FFFFFF"/>
        <w:snapToGrid w:val="0"/>
        <w:spacing w:line="480" w:lineRule="exact"/>
        <w:ind w:firstLine="5548" w:firstLineChars="2642"/>
        <w:jc w:val="left"/>
        <w:rPr>
          <w:rFonts w:ascii="仿宋_GB2312" w:hAnsi="宋体" w:eastAsia="仿宋_GB2312"/>
          <w:sz w:val="21"/>
          <w:szCs w:val="21"/>
          <w:highlight w:val="none"/>
        </w:rPr>
      </w:pPr>
      <w:r>
        <w:rPr>
          <w:rFonts w:hint="eastAsia" w:ascii="仿宋_GB2312" w:hAnsi="宋体" w:eastAsia="仿宋_GB2312"/>
          <w:sz w:val="21"/>
          <w:szCs w:val="21"/>
          <w:highlight w:val="none"/>
        </w:rPr>
        <w:t>日 期：  年  月  日</w:t>
      </w:r>
    </w:p>
    <w:p>
      <w:pPr>
        <w:pStyle w:val="2"/>
        <w:jc w:val="center"/>
        <w:rPr>
          <w:rFonts w:ascii="仿宋_GB2312" w:eastAsia="仿宋_GB2312" w:hAnsiTheme="minorEastAsia"/>
          <w:b/>
          <w:w w:val="90"/>
          <w:sz w:val="28"/>
          <w:szCs w:val="28"/>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br w:type="textWrapping"/>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pStyle w:val="2"/>
        <w:rPr>
          <w:rFonts w:ascii="仿宋_GB2312" w:eastAsia="仿宋_GB2312" w:hAnsiTheme="minorEastAsia"/>
          <w:b/>
          <w:w w:val="90"/>
          <w:sz w:val="24"/>
          <w:szCs w:val="24"/>
          <w:highlight w:val="none"/>
        </w:rPr>
      </w:pPr>
      <w:r>
        <w:rPr>
          <w:rFonts w:hint="eastAsia" w:ascii="仿宋_GB2312" w:eastAsia="仿宋_GB2312" w:hAnsiTheme="minorEastAsia"/>
          <w:b/>
          <w:w w:val="90"/>
          <w:sz w:val="24"/>
          <w:szCs w:val="24"/>
          <w:highlight w:val="none"/>
        </w:rPr>
        <w:t>11.</w:t>
      </w:r>
    </w:p>
    <w:p>
      <w:pPr>
        <w:shd w:val="clear" w:color="auto" w:fill="FFFFFF"/>
        <w:snapToGrid w:val="0"/>
        <w:spacing w:line="48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推荐使用1年易损件清单</w:t>
      </w:r>
    </w:p>
    <w:tbl>
      <w:tblPr>
        <w:tblStyle w:val="31"/>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079"/>
        <w:gridCol w:w="2076"/>
        <w:gridCol w:w="900"/>
        <w:gridCol w:w="183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079"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易损件名称</w:t>
            </w:r>
          </w:p>
        </w:tc>
        <w:tc>
          <w:tcPr>
            <w:tcW w:w="2076"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不含税单价（元）</w:t>
            </w:r>
          </w:p>
        </w:tc>
        <w:tc>
          <w:tcPr>
            <w:tcW w:w="900"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税率</w:t>
            </w:r>
          </w:p>
        </w:tc>
        <w:tc>
          <w:tcPr>
            <w:tcW w:w="1836"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价税合计（</w:t>
            </w:r>
            <w:r>
              <w:rPr>
                <w:rFonts w:hint="eastAsia" w:ascii="仿宋_GB2312" w:hAnsi="仿宋_GB2312" w:eastAsia="仿宋_GB2312" w:cs="仿宋_GB2312"/>
                <w:sz w:val="21"/>
                <w:szCs w:val="21"/>
                <w:highlight w:val="none"/>
              </w:rPr>
              <w:t>元</w:t>
            </w:r>
            <w:r>
              <w:rPr>
                <w:rFonts w:hint="eastAsia" w:ascii="仿宋_GB2312" w:hAnsi="仿宋_GB2312" w:eastAsia="仿宋_GB2312" w:cs="仿宋_GB2312"/>
                <w:color w:val="000000"/>
                <w:sz w:val="21"/>
                <w:szCs w:val="21"/>
                <w:highlight w:val="none"/>
              </w:rPr>
              <w:t>）</w:t>
            </w:r>
          </w:p>
        </w:tc>
        <w:tc>
          <w:tcPr>
            <w:tcW w:w="1356"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079" w:type="dxa"/>
            <w:vAlign w:val="center"/>
          </w:tcPr>
          <w:p>
            <w:pPr>
              <w:tabs>
                <w:tab w:val="left" w:pos="2857"/>
              </w:tabs>
              <w:jc w:val="center"/>
              <w:rPr>
                <w:rFonts w:ascii="仿宋_GB2312" w:hAnsi="仿宋_GB2312" w:eastAsia="仿宋_GB2312" w:cs="仿宋_GB2312"/>
                <w:color w:val="000000"/>
                <w:sz w:val="21"/>
                <w:szCs w:val="21"/>
                <w:highlight w:val="none"/>
              </w:rPr>
            </w:pPr>
          </w:p>
        </w:tc>
        <w:tc>
          <w:tcPr>
            <w:tcW w:w="2076" w:type="dxa"/>
            <w:vAlign w:val="center"/>
          </w:tcPr>
          <w:p>
            <w:pPr>
              <w:tabs>
                <w:tab w:val="left" w:pos="2857"/>
              </w:tabs>
              <w:jc w:val="center"/>
              <w:rPr>
                <w:rFonts w:ascii="仿宋_GB2312" w:hAnsi="仿宋_GB2312" w:eastAsia="仿宋_GB2312" w:cs="仿宋_GB2312"/>
                <w:color w:val="000000"/>
                <w:sz w:val="21"/>
                <w:szCs w:val="21"/>
                <w:highlight w:val="none"/>
              </w:rPr>
            </w:pPr>
          </w:p>
        </w:tc>
        <w:tc>
          <w:tcPr>
            <w:tcW w:w="900" w:type="dxa"/>
            <w:vAlign w:val="center"/>
          </w:tcPr>
          <w:p>
            <w:pPr>
              <w:tabs>
                <w:tab w:val="left" w:pos="2857"/>
              </w:tabs>
              <w:jc w:val="center"/>
              <w:rPr>
                <w:rFonts w:ascii="仿宋_GB2312" w:hAnsi="仿宋_GB2312" w:eastAsia="仿宋_GB2312" w:cs="仿宋_GB2312"/>
                <w:color w:val="000000"/>
                <w:sz w:val="21"/>
                <w:szCs w:val="21"/>
                <w:highlight w:val="none"/>
              </w:rPr>
            </w:pPr>
          </w:p>
        </w:tc>
        <w:tc>
          <w:tcPr>
            <w:tcW w:w="1836" w:type="dxa"/>
            <w:vAlign w:val="center"/>
          </w:tcPr>
          <w:p>
            <w:pPr>
              <w:tabs>
                <w:tab w:val="left" w:pos="2857"/>
              </w:tabs>
              <w:jc w:val="center"/>
              <w:rPr>
                <w:rFonts w:ascii="仿宋_GB2312" w:hAnsi="仿宋_GB2312" w:eastAsia="仿宋_GB2312" w:cs="仿宋_GB2312"/>
                <w:color w:val="000000"/>
                <w:sz w:val="21"/>
                <w:szCs w:val="21"/>
                <w:highlight w:val="none"/>
              </w:rPr>
            </w:pPr>
          </w:p>
        </w:tc>
        <w:tc>
          <w:tcPr>
            <w:tcW w:w="1356" w:type="dxa"/>
            <w:vAlign w:val="center"/>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079"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2076"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900"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1836"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1356" w:type="dxa"/>
            <w:vAlign w:val="center"/>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079"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2076"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900"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1836" w:type="dxa"/>
            <w:vAlign w:val="center"/>
          </w:tcPr>
          <w:p>
            <w:pPr>
              <w:snapToGrid w:val="0"/>
              <w:spacing w:line="480" w:lineRule="exact"/>
              <w:jc w:val="center"/>
              <w:rPr>
                <w:rFonts w:ascii="仿宋_GB2312" w:hAnsi="仿宋_GB2312" w:eastAsia="仿宋_GB2312" w:cs="仿宋_GB2312"/>
                <w:sz w:val="21"/>
                <w:szCs w:val="21"/>
                <w:highlight w:val="none"/>
              </w:rPr>
            </w:pPr>
          </w:p>
        </w:tc>
        <w:tc>
          <w:tcPr>
            <w:tcW w:w="1356" w:type="dxa"/>
            <w:vAlign w:val="center"/>
          </w:tcPr>
          <w:p>
            <w:pPr>
              <w:snapToGrid w:val="0"/>
              <w:spacing w:line="480" w:lineRule="exact"/>
              <w:jc w:val="center"/>
              <w:rPr>
                <w:rFonts w:ascii="仿宋_GB2312" w:hAnsi="仿宋_GB2312" w:eastAsia="仿宋_GB2312" w:cs="仿宋_GB2312"/>
                <w:sz w:val="21"/>
                <w:szCs w:val="21"/>
                <w:highlight w:val="none"/>
              </w:rPr>
            </w:pPr>
          </w:p>
        </w:tc>
      </w:tr>
    </w:tbl>
    <w:p>
      <w:pPr>
        <w:pStyle w:val="2"/>
        <w:rPr>
          <w:rFonts w:ascii="仿宋_GB2312" w:eastAsia="仿宋_GB2312"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pStyle w:val="2"/>
        <w:rPr>
          <w:rFonts w:ascii="仿宋_GB2312" w:eastAsia="仿宋_GB2312"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12</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设备生产许可证、产品合格证，</w:t>
      </w:r>
      <w:r>
        <w:rPr>
          <w:rFonts w:hint="eastAsia" w:ascii="仿宋_GB2312" w:hAnsi="仿宋" w:eastAsia="仿宋_GB2312"/>
          <w:bCs/>
          <w:color w:val="000000" w:themeColor="text1"/>
          <w:sz w:val="21"/>
          <w:szCs w:val="21"/>
          <w:highlight w:val="none"/>
          <w14:textFill>
            <w14:solidFill>
              <w14:schemeClr w14:val="tx1"/>
            </w14:solidFill>
          </w14:textFill>
        </w:rPr>
        <w:t>特种设备须提供特种设备制造许可证</w:t>
      </w:r>
      <w:r>
        <w:rPr>
          <w:rFonts w:hint="eastAsia" w:ascii="仿宋_GB2312" w:eastAsia="仿宋_GB2312" w:hAnsiTheme="minorEastAsia"/>
          <w:sz w:val="21"/>
          <w:szCs w:val="21"/>
          <w:highlight w:val="none"/>
        </w:rPr>
        <w:t xml:space="preserve">；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pStyle w:val="2"/>
        <w:rPr>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pStyle w:val="2"/>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spacing w:line="400" w:lineRule="exact"/>
        <w:jc w:val="center"/>
        <w:rPr>
          <w:b/>
          <w:sz w:val="36"/>
          <w:szCs w:val="36"/>
          <w:highlight w:val="none"/>
        </w:rPr>
      </w:pPr>
    </w:p>
    <w:p>
      <w:pPr>
        <w:spacing w:line="400" w:lineRule="exact"/>
        <w:jc w:val="center"/>
        <w:rPr>
          <w:b/>
          <w:sz w:val="36"/>
          <w:szCs w:val="36"/>
          <w:highlight w:val="none"/>
        </w:rPr>
      </w:pPr>
      <w:r>
        <w:rPr>
          <w:rFonts w:ascii="宋体" w:hAnsi="宋体" w:cs="宋体"/>
          <w:kern w:val="0"/>
          <w:highlight w:val="none"/>
        </w:rPr>
        <mc:AlternateContent>
          <mc:Choice Requires="wps">
            <w:drawing>
              <wp:anchor distT="0" distB="0" distL="114300" distR="114300" simplePos="0" relativeHeight="251659264" behindDoc="0" locked="0" layoutInCell="1" allowOverlap="1">
                <wp:simplePos x="0" y="0"/>
                <wp:positionH relativeFrom="column">
                  <wp:posOffset>3178810</wp:posOffset>
                </wp:positionH>
                <wp:positionV relativeFrom="paragraph">
                  <wp:posOffset>62865</wp:posOffset>
                </wp:positionV>
                <wp:extent cx="2393950" cy="295275"/>
                <wp:effectExtent l="9525" t="9525" r="6350" b="9525"/>
                <wp:wrapNone/>
                <wp:docPr id="33817968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393950" cy="295275"/>
                        </a:xfrm>
                        <a:prstGeom prst="rect">
                          <a:avLst/>
                        </a:prstGeom>
                        <a:noFill/>
                        <a:ln w="9525" cmpd="sng">
                          <a:solidFill>
                            <a:srgbClr val="000000"/>
                          </a:solidFill>
                          <a:miter lim="800000"/>
                        </a:ln>
                      </wps:spPr>
                      <wps:txbx>
                        <w:txbxContent>
                          <w:p>
                            <w:pPr>
                              <w:rPr>
                                <w:szCs w:val="21"/>
                                <w:highlight w:val="yellow"/>
                              </w:rPr>
                            </w:pPr>
                            <w:r>
                              <w:rPr>
                                <w:rFonts w:hint="eastAsia"/>
                                <w:szCs w:val="21"/>
                                <w:highlight w:val="yellow"/>
                              </w:rPr>
                              <w:t>合同编号：</w:t>
                            </w:r>
                            <w:r>
                              <w:rPr>
                                <w:szCs w:val="21"/>
                                <w:highlight w:val="yellow"/>
                              </w:rPr>
                              <w:t>ZJLQ-F</w:t>
                            </w:r>
                            <w:r>
                              <w:rPr>
                                <w:rFonts w:hint="eastAsia"/>
                                <w:szCs w:val="21"/>
                                <w:highlight w:val="yellow"/>
                              </w:rPr>
                              <w:t>G</w:t>
                            </w:r>
                            <w:r>
                              <w:rPr>
                                <w:szCs w:val="21"/>
                                <w:highlight w:val="yellow"/>
                              </w:rPr>
                              <w:t>-</w:t>
                            </w:r>
                            <w:r>
                              <w:rPr>
                                <w:rFonts w:hint="eastAsia"/>
                                <w:szCs w:val="21"/>
                                <w:highlight w:val="yellow"/>
                              </w:rPr>
                              <w:t>SBCG-xxxx</w:t>
                            </w:r>
                            <w:r>
                              <w:rPr>
                                <w:szCs w:val="21"/>
                                <w:highlight w:val="yellow"/>
                              </w:rPr>
                              <w:t xml:space="preserve"> -00</w:t>
                            </w:r>
                            <w:r>
                              <w:rPr>
                                <w:rFonts w:hint="eastAsia"/>
                                <w:szCs w:val="21"/>
                                <w:highlight w:val="yellow"/>
                              </w:rPr>
                              <w:t>1</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250.3pt;margin-top:4.95pt;height:23.25pt;width:188.5pt;z-index:251659264;mso-width-relative:page;mso-height-relative:page;" filled="f" stroked="t" coordsize="21600,21600" o:gfxdata="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pEuO9QAAAAIAQAADwAAAAAAAAABACAA&#10;AAAiAAAAZHJzL2Rvd25yZXYueG1sUEsBAhQAFAAAAAgAh07iQBcRSDBKAgAAcQQAAA4AAAAAAAAA&#10;AQAgAAAAIwEAAGRycy9lMm9Eb2MueG1sUEsFBgAAAAAGAAYAWQEAAN8FAAAAAA==&#10;">
                <v:fill on="f" focussize="0,0"/>
                <v:stroke color="#000000" miterlimit="8" joinstyle="miter"/>
                <v:imagedata o:title=""/>
                <o:lock v:ext="edit" aspectratio="f"/>
                <v:textbox>
                  <w:txbxContent>
                    <w:p>
                      <w:pPr>
                        <w:rPr>
                          <w:szCs w:val="21"/>
                          <w:highlight w:val="yellow"/>
                        </w:rPr>
                      </w:pPr>
                      <w:r>
                        <w:rPr>
                          <w:rFonts w:hint="eastAsia"/>
                          <w:szCs w:val="21"/>
                          <w:highlight w:val="yellow"/>
                        </w:rPr>
                        <w:t>合同编号：</w:t>
                      </w:r>
                      <w:r>
                        <w:rPr>
                          <w:szCs w:val="21"/>
                          <w:highlight w:val="yellow"/>
                        </w:rPr>
                        <w:t>ZJLQ-F</w:t>
                      </w:r>
                      <w:r>
                        <w:rPr>
                          <w:rFonts w:hint="eastAsia"/>
                          <w:szCs w:val="21"/>
                          <w:highlight w:val="yellow"/>
                        </w:rPr>
                        <w:t>G</w:t>
                      </w:r>
                      <w:r>
                        <w:rPr>
                          <w:szCs w:val="21"/>
                          <w:highlight w:val="yellow"/>
                        </w:rPr>
                        <w:t>-</w:t>
                      </w:r>
                      <w:r>
                        <w:rPr>
                          <w:rFonts w:hint="eastAsia"/>
                          <w:szCs w:val="21"/>
                          <w:highlight w:val="yellow"/>
                        </w:rPr>
                        <w:t>SBCG-xxxx</w:t>
                      </w:r>
                      <w:r>
                        <w:rPr>
                          <w:szCs w:val="21"/>
                          <w:highlight w:val="yellow"/>
                        </w:rPr>
                        <w:t xml:space="preserve"> -00</w:t>
                      </w:r>
                      <w:r>
                        <w:rPr>
                          <w:rFonts w:hint="eastAsia"/>
                          <w:szCs w:val="21"/>
                          <w:highlight w:val="yellow"/>
                        </w:rPr>
                        <w:t>1</w:t>
                      </w:r>
                    </w:p>
                  </w:txbxContent>
                </v:textbox>
              </v:shape>
            </w:pict>
          </mc:Fallback>
        </mc:AlternateContent>
      </w: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520" w:lineRule="exact"/>
        <w:jc w:val="left"/>
        <w:rPr>
          <w:b/>
          <w:sz w:val="48"/>
          <w:szCs w:val="48"/>
          <w:highlight w:val="none"/>
        </w:rPr>
      </w:pPr>
    </w:p>
    <w:p>
      <w:pPr>
        <w:spacing w:line="520" w:lineRule="exact"/>
        <w:jc w:val="center"/>
        <w:rPr>
          <w:rFonts w:ascii="黑体" w:hAnsi="黑体" w:eastAsia="黑体"/>
          <w:b/>
          <w:sz w:val="48"/>
          <w:szCs w:val="48"/>
          <w:highlight w:val="none"/>
        </w:rPr>
      </w:pPr>
      <w:r>
        <w:rPr>
          <w:rFonts w:hint="eastAsia" w:ascii="黑体" w:hAnsi="黑体" w:eastAsia="黑体"/>
          <w:b/>
          <w:sz w:val="48"/>
          <w:szCs w:val="48"/>
          <w:highlight w:val="none"/>
        </w:rPr>
        <w:t>机械设备买卖合同</w:t>
      </w:r>
    </w:p>
    <w:p>
      <w:pPr>
        <w:spacing w:line="920" w:lineRule="exact"/>
        <w:jc w:val="center"/>
        <w:rPr>
          <w:b/>
          <w:sz w:val="36"/>
          <w:szCs w:val="36"/>
          <w:highlight w:val="none"/>
        </w:rPr>
      </w:pPr>
    </w:p>
    <w:p>
      <w:pPr>
        <w:spacing w:line="400" w:lineRule="exact"/>
        <w:jc w:val="center"/>
        <w:rPr>
          <w:b/>
          <w:highlight w:val="none"/>
        </w:rPr>
      </w:pPr>
    </w:p>
    <w:p>
      <w:pPr>
        <w:spacing w:line="400" w:lineRule="exact"/>
        <w:jc w:val="center"/>
        <w:rPr>
          <w:b/>
          <w:highlight w:val="none"/>
        </w:rPr>
      </w:pPr>
    </w:p>
    <w:p>
      <w:pPr>
        <w:spacing w:line="400" w:lineRule="exact"/>
        <w:jc w:val="center"/>
        <w:rPr>
          <w:b/>
          <w:highlight w:val="none"/>
        </w:rPr>
      </w:pPr>
    </w:p>
    <w:p>
      <w:pPr>
        <w:spacing w:line="400" w:lineRule="exact"/>
        <w:jc w:val="center"/>
        <w:rPr>
          <w:b/>
          <w:highlight w:val="none"/>
        </w:rPr>
      </w:pPr>
    </w:p>
    <w:p>
      <w:pPr>
        <w:spacing w:line="400" w:lineRule="exact"/>
        <w:jc w:val="center"/>
        <w:rPr>
          <w:b/>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jc w:val="center"/>
        <w:rPr>
          <w:b/>
          <w:sz w:val="36"/>
          <w:szCs w:val="36"/>
          <w:highlight w:val="none"/>
        </w:rPr>
      </w:pPr>
    </w:p>
    <w:p>
      <w:pPr>
        <w:spacing w:line="400" w:lineRule="exact"/>
        <w:rPr>
          <w:b/>
          <w:sz w:val="36"/>
          <w:szCs w:val="36"/>
          <w:highlight w:val="none"/>
        </w:rPr>
      </w:pPr>
    </w:p>
    <w:p>
      <w:pPr>
        <w:spacing w:line="400" w:lineRule="exact"/>
        <w:ind w:firstLine="2226" w:firstLineChars="795"/>
        <w:rPr>
          <w:sz w:val="28"/>
          <w:szCs w:val="28"/>
          <w:highlight w:val="none"/>
          <w:u w:val="single"/>
        </w:rPr>
      </w:pPr>
      <w:r>
        <w:rPr>
          <w:rFonts w:hint="eastAsia"/>
          <w:sz w:val="28"/>
          <w:szCs w:val="28"/>
          <w:highlight w:val="none"/>
        </w:rPr>
        <w:t xml:space="preserve">甲方： </w:t>
      </w:r>
      <w:r>
        <w:rPr>
          <w:rFonts w:hint="eastAsia"/>
          <w:sz w:val="28"/>
          <w:szCs w:val="28"/>
          <w:highlight w:val="none"/>
          <w:u w:val="single"/>
        </w:rPr>
        <w:t>中建路桥集团有限公司</w:t>
      </w:r>
    </w:p>
    <w:p>
      <w:pPr>
        <w:spacing w:line="400" w:lineRule="exact"/>
        <w:ind w:firstLine="1666" w:firstLineChars="595"/>
        <w:rPr>
          <w:sz w:val="28"/>
          <w:szCs w:val="28"/>
          <w:highlight w:val="none"/>
        </w:rPr>
      </w:pPr>
    </w:p>
    <w:p>
      <w:pPr>
        <w:spacing w:line="400" w:lineRule="exact"/>
        <w:ind w:firstLine="2226" w:firstLineChars="795"/>
        <w:rPr>
          <w:sz w:val="28"/>
          <w:szCs w:val="28"/>
          <w:highlight w:val="none"/>
          <w:u w:val="single"/>
        </w:rPr>
      </w:pPr>
      <w:r>
        <w:rPr>
          <w:rFonts w:hint="eastAsia"/>
          <w:sz w:val="28"/>
          <w:szCs w:val="28"/>
          <w:highlight w:val="none"/>
        </w:rPr>
        <w:t>乙方：</w:t>
      </w:r>
      <w:r>
        <w:rPr>
          <w:rFonts w:hint="eastAsia"/>
          <w:sz w:val="28"/>
          <w:szCs w:val="28"/>
          <w:highlight w:val="none"/>
          <w:u w:val="single"/>
        </w:rPr>
        <w:t xml:space="preserve">                     </w:t>
      </w:r>
    </w:p>
    <w:p>
      <w:pPr>
        <w:spacing w:line="400" w:lineRule="exact"/>
        <w:jc w:val="center"/>
        <w:rPr>
          <w:sz w:val="28"/>
          <w:szCs w:val="28"/>
          <w:highlight w:val="none"/>
        </w:rPr>
      </w:pPr>
    </w:p>
    <w:p>
      <w:pPr>
        <w:spacing w:line="400" w:lineRule="exact"/>
        <w:ind w:firstLine="2226" w:firstLineChars="795"/>
        <w:jc w:val="left"/>
        <w:rPr>
          <w:sz w:val="28"/>
          <w:szCs w:val="28"/>
          <w:highlight w:val="none"/>
        </w:rPr>
      </w:pPr>
      <w:r>
        <w:rPr>
          <w:rFonts w:hint="eastAsia"/>
          <w:sz w:val="28"/>
          <w:szCs w:val="28"/>
          <w:highlight w:val="none"/>
        </w:rPr>
        <w:t>签订时间：</w:t>
      </w:r>
      <w:r>
        <w:rPr>
          <w:rFonts w:hint="eastAsia"/>
          <w:sz w:val="28"/>
          <w:szCs w:val="28"/>
          <w:highlight w:val="none"/>
          <w:u w:val="single"/>
        </w:rPr>
        <w:t xml:space="preserve">    </w:t>
      </w:r>
      <w:r>
        <w:rPr>
          <w:rFonts w:hint="eastAsia"/>
          <w:sz w:val="28"/>
          <w:szCs w:val="28"/>
          <w:highlight w:val="none"/>
        </w:rPr>
        <w:t>年</w:t>
      </w:r>
      <w:r>
        <w:rPr>
          <w:rFonts w:hint="eastAsia"/>
          <w:sz w:val="28"/>
          <w:szCs w:val="28"/>
          <w:highlight w:val="none"/>
          <w:u w:val="single"/>
        </w:rPr>
        <w:t xml:space="preserve">    </w:t>
      </w:r>
      <w:r>
        <w:rPr>
          <w:rFonts w:hint="eastAsia"/>
          <w:sz w:val="28"/>
          <w:szCs w:val="28"/>
          <w:highlight w:val="none"/>
        </w:rPr>
        <w:t>月</w:t>
      </w:r>
      <w:r>
        <w:rPr>
          <w:rFonts w:hint="eastAsia"/>
          <w:sz w:val="28"/>
          <w:szCs w:val="28"/>
          <w:highlight w:val="none"/>
          <w:u w:val="single"/>
        </w:rPr>
        <w:t xml:space="preserve">    </w:t>
      </w:r>
      <w:r>
        <w:rPr>
          <w:rFonts w:hint="eastAsia"/>
          <w:sz w:val="28"/>
          <w:szCs w:val="28"/>
          <w:highlight w:val="none"/>
        </w:rPr>
        <w:t>日</w:t>
      </w:r>
    </w:p>
    <w:p>
      <w:pPr>
        <w:spacing w:line="400" w:lineRule="exact"/>
        <w:jc w:val="center"/>
        <w:rPr>
          <w:b/>
          <w:sz w:val="36"/>
          <w:szCs w:val="36"/>
          <w:highlight w:val="none"/>
        </w:rPr>
      </w:pPr>
    </w:p>
    <w:p>
      <w:pPr>
        <w:spacing w:line="400" w:lineRule="exact"/>
        <w:jc w:val="center"/>
        <w:rPr>
          <w:b/>
          <w:sz w:val="36"/>
          <w:szCs w:val="36"/>
          <w:highlight w:val="none"/>
        </w:rPr>
      </w:pPr>
    </w:p>
    <w:p>
      <w:pPr>
        <w:pStyle w:val="2"/>
        <w:rPr>
          <w:highlight w:val="none"/>
        </w:rPr>
      </w:pPr>
    </w:p>
    <w:p>
      <w:pPr>
        <w:spacing w:line="400" w:lineRule="exact"/>
        <w:jc w:val="center"/>
        <w:rPr>
          <w:b/>
          <w:sz w:val="36"/>
          <w:szCs w:val="36"/>
          <w:highlight w:val="none"/>
        </w:rPr>
      </w:pPr>
      <w:r>
        <w:rPr>
          <w:rFonts w:hint="eastAsia"/>
          <w:b/>
          <w:sz w:val="36"/>
          <w:szCs w:val="36"/>
          <w:highlight w:val="none"/>
        </w:rPr>
        <w:t>机械设备采购合同</w:t>
      </w:r>
    </w:p>
    <w:p>
      <w:pPr>
        <w:spacing w:line="360" w:lineRule="exact"/>
        <w:jc w:val="center"/>
        <w:rPr>
          <w:rFonts w:ascii="宋体" w:hAnsi="宋体"/>
          <w:b/>
          <w:sz w:val="32"/>
          <w:szCs w:val="32"/>
          <w:highlight w:val="none"/>
        </w:rPr>
      </w:pPr>
    </w:p>
    <w:p>
      <w:pPr>
        <w:spacing w:after="192" w:afterLines="80" w:line="360" w:lineRule="exact"/>
        <w:jc w:val="center"/>
        <w:rPr>
          <w:rFonts w:ascii="宋体" w:hAnsi="宋体"/>
          <w:b/>
          <w:sz w:val="30"/>
          <w:szCs w:val="30"/>
          <w:highlight w:val="none"/>
        </w:rPr>
      </w:pPr>
      <w:r>
        <w:rPr>
          <w:rFonts w:ascii="宋体" w:hAnsi="宋体"/>
          <w:b/>
          <w:sz w:val="30"/>
          <w:szCs w:val="30"/>
          <w:highlight w:val="none"/>
        </w:rPr>
        <w:t>第一部分</w:t>
      </w:r>
      <w:r>
        <w:rPr>
          <w:rFonts w:hint="eastAsia" w:ascii="宋体" w:hAnsi="宋体"/>
          <w:b/>
          <w:sz w:val="30"/>
          <w:szCs w:val="30"/>
          <w:highlight w:val="none"/>
        </w:rPr>
        <w:t xml:space="preserve"> 合同协议书</w:t>
      </w:r>
    </w:p>
    <w:p>
      <w:pPr>
        <w:spacing w:line="500" w:lineRule="exact"/>
        <w:ind w:firstLine="480" w:firstLineChars="200"/>
        <w:jc w:val="left"/>
        <w:rPr>
          <w:rFonts w:ascii="宋体" w:hAnsi="宋体"/>
          <w:color w:val="FF6600"/>
          <w:szCs w:val="21"/>
          <w:highlight w:val="none"/>
          <w:u w:val="single"/>
        </w:rPr>
      </w:pPr>
      <w:r>
        <w:rPr>
          <w:rFonts w:hint="eastAsia" w:ascii="宋体" w:hAnsi="宋体"/>
          <w:szCs w:val="21"/>
          <w:highlight w:val="none"/>
        </w:rPr>
        <w:t>甲方（需方）：</w:t>
      </w:r>
      <w:r>
        <w:rPr>
          <w:rFonts w:hint="eastAsia" w:ascii="宋体" w:hAnsi="宋体"/>
          <w:szCs w:val="21"/>
          <w:highlight w:val="none"/>
          <w:u w:val="single"/>
        </w:rPr>
        <w:t>中建路桥集团有限公司</w:t>
      </w:r>
    </w:p>
    <w:p>
      <w:pPr>
        <w:spacing w:line="500" w:lineRule="exact"/>
        <w:ind w:firstLine="480" w:firstLineChars="200"/>
        <w:jc w:val="left"/>
        <w:rPr>
          <w:rFonts w:ascii="宋体" w:hAnsi="宋体" w:cs="宋体"/>
          <w:w w:val="90"/>
          <w:szCs w:val="21"/>
          <w:highlight w:val="none"/>
          <w:u w:val="single"/>
        </w:rPr>
      </w:pPr>
      <w:r>
        <w:rPr>
          <w:rFonts w:hint="eastAsia" w:ascii="宋体" w:hAnsi="宋体"/>
          <w:szCs w:val="21"/>
          <w:highlight w:val="none"/>
        </w:rPr>
        <w:t>乙方（供方）</w:t>
      </w:r>
      <w:r>
        <w:rPr>
          <w:rFonts w:hint="eastAsia" w:ascii="宋体" w:hAnsi="宋体"/>
          <w:b/>
          <w:szCs w:val="21"/>
          <w:highlight w:val="none"/>
        </w:rPr>
        <w:t xml:space="preserve">： </w:t>
      </w:r>
      <w:r>
        <w:rPr>
          <w:rFonts w:hint="eastAsia" w:ascii="宋体" w:hAnsi="宋体"/>
          <w:b/>
          <w:szCs w:val="21"/>
          <w:highlight w:val="none"/>
          <w:u w:val="single"/>
        </w:rPr>
        <w:t xml:space="preserve">                   </w:t>
      </w:r>
      <w:r>
        <w:rPr>
          <w:rFonts w:hint="eastAsia" w:ascii="宋体" w:hAnsi="宋体"/>
          <w:b/>
          <w:szCs w:val="21"/>
          <w:highlight w:val="none"/>
        </w:rPr>
        <w:t xml:space="preserve">     </w:t>
      </w:r>
    </w:p>
    <w:p>
      <w:pPr>
        <w:spacing w:line="400" w:lineRule="exact"/>
        <w:ind w:firstLine="480" w:firstLineChars="200"/>
        <w:jc w:val="left"/>
        <w:rPr>
          <w:rFonts w:ascii="宋体" w:hAnsi="宋体"/>
          <w:szCs w:val="21"/>
          <w:highlight w:val="none"/>
        </w:rPr>
      </w:pPr>
      <w:r>
        <w:rPr>
          <w:rFonts w:hint="eastAsia" w:ascii="宋体" w:hAnsi="宋体" w:cs="宋体"/>
          <w:kern w:val="0"/>
          <w:szCs w:val="21"/>
          <w:highlight w:val="none"/>
        </w:rPr>
        <w:t>甲乙</w:t>
      </w:r>
      <w:r>
        <w:rPr>
          <w:rFonts w:hint="eastAsia" w:ascii="宋体" w:hAnsi="宋体"/>
          <w:szCs w:val="21"/>
          <w:highlight w:val="none"/>
        </w:rPr>
        <w:t>双方根据《中华人民共和国民法典》及有关法律法规的规定，遵循公平、自愿、诚实、信用、互利的原则，在充分友好协商的基础上，就本合同内</w:t>
      </w:r>
      <w:r>
        <w:rPr>
          <w:rFonts w:hint="eastAsia" w:ascii="宋体" w:hAnsi="宋体" w:cs="仿宋_GB2312"/>
          <w:szCs w:val="21"/>
          <w:highlight w:val="none"/>
        </w:rPr>
        <w:t>设备</w:t>
      </w:r>
      <w:r>
        <w:rPr>
          <w:rFonts w:hint="eastAsia" w:ascii="宋体" w:hAnsi="宋体"/>
          <w:szCs w:val="21"/>
          <w:highlight w:val="none"/>
        </w:rPr>
        <w:t>买卖的有关事宜达成一致，特订立本合同,双方共同遵照执行。</w:t>
      </w:r>
    </w:p>
    <w:p>
      <w:pPr>
        <w:snapToGrid w:val="0"/>
        <w:spacing w:line="500" w:lineRule="exact"/>
        <w:ind w:firstLine="434" w:firstLineChars="200"/>
        <w:jc w:val="left"/>
        <w:rPr>
          <w:rFonts w:ascii="宋体" w:hAnsi="宋体" w:cs="宋体"/>
          <w:b/>
          <w:w w:val="90"/>
          <w:szCs w:val="21"/>
          <w:highlight w:val="none"/>
        </w:rPr>
      </w:pPr>
      <w:r>
        <w:rPr>
          <w:rFonts w:hint="eastAsia" w:ascii="宋体" w:hAnsi="宋体" w:cs="宋体"/>
          <w:b/>
          <w:w w:val="90"/>
          <w:szCs w:val="21"/>
          <w:highlight w:val="none"/>
        </w:rPr>
        <w:t>一、供货清单及价格</w:t>
      </w:r>
    </w:p>
    <w:p>
      <w:pPr>
        <w:spacing w:line="360" w:lineRule="exact"/>
        <w:ind w:firstLine="480" w:firstLineChars="200"/>
        <w:rPr>
          <w:rFonts w:ascii="宋体" w:hAnsi="宋体"/>
          <w:szCs w:val="21"/>
          <w:highlight w:val="none"/>
        </w:rPr>
      </w:pPr>
      <w:r>
        <w:rPr>
          <w:rFonts w:hint="eastAsia" w:ascii="宋体" w:hAnsi="宋体"/>
          <w:szCs w:val="21"/>
          <w:highlight w:val="none"/>
        </w:rPr>
        <w:t>（一）清单及价格                                          单位：万元</w:t>
      </w:r>
    </w:p>
    <w:tbl>
      <w:tblPr>
        <w:tblStyle w:val="31"/>
        <w:tblW w:w="0" w:type="auto"/>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4"/>
        <w:gridCol w:w="1151"/>
        <w:gridCol w:w="645"/>
        <w:gridCol w:w="675"/>
        <w:gridCol w:w="880"/>
        <w:gridCol w:w="993"/>
        <w:gridCol w:w="708"/>
        <w:gridCol w:w="105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vAlign w:val="center"/>
          </w:tcPr>
          <w:p>
            <w:pPr>
              <w:spacing w:line="360" w:lineRule="exact"/>
              <w:jc w:val="center"/>
              <w:rPr>
                <w:rFonts w:ascii="宋体" w:hAnsi="宋体"/>
                <w:szCs w:val="21"/>
                <w:highlight w:val="none"/>
              </w:rPr>
            </w:pPr>
            <w:r>
              <w:rPr>
                <w:rFonts w:hint="eastAsia" w:ascii="宋体" w:hAnsi="宋体"/>
                <w:szCs w:val="21"/>
                <w:highlight w:val="none"/>
              </w:rPr>
              <w:t>序</w:t>
            </w:r>
          </w:p>
          <w:p>
            <w:pPr>
              <w:spacing w:line="360" w:lineRule="exact"/>
              <w:jc w:val="center"/>
              <w:rPr>
                <w:rFonts w:ascii="宋体" w:hAnsi="宋体"/>
                <w:szCs w:val="21"/>
                <w:highlight w:val="none"/>
              </w:rPr>
            </w:pPr>
            <w:r>
              <w:rPr>
                <w:rFonts w:hint="eastAsia" w:ascii="宋体" w:hAnsi="宋体"/>
                <w:szCs w:val="21"/>
                <w:highlight w:val="none"/>
              </w:rPr>
              <w:t>号</w:t>
            </w:r>
          </w:p>
        </w:tc>
        <w:tc>
          <w:tcPr>
            <w:tcW w:w="1134" w:type="dxa"/>
            <w:vAlign w:val="center"/>
          </w:tcPr>
          <w:p>
            <w:pPr>
              <w:spacing w:line="360" w:lineRule="exact"/>
              <w:jc w:val="center"/>
              <w:rPr>
                <w:rFonts w:ascii="宋体" w:hAnsi="宋体"/>
                <w:szCs w:val="21"/>
                <w:highlight w:val="none"/>
              </w:rPr>
            </w:pPr>
            <w:r>
              <w:rPr>
                <w:rFonts w:hint="eastAsia" w:ascii="宋体" w:hAnsi="宋体"/>
                <w:szCs w:val="21"/>
                <w:highlight w:val="none"/>
              </w:rPr>
              <w:t>设备名称</w:t>
            </w:r>
          </w:p>
        </w:tc>
        <w:tc>
          <w:tcPr>
            <w:tcW w:w="1151" w:type="dxa"/>
            <w:vAlign w:val="center"/>
          </w:tcPr>
          <w:p>
            <w:pPr>
              <w:spacing w:line="360" w:lineRule="exact"/>
              <w:jc w:val="center"/>
              <w:rPr>
                <w:rFonts w:ascii="宋体" w:hAnsi="宋体"/>
                <w:szCs w:val="21"/>
                <w:highlight w:val="none"/>
              </w:rPr>
            </w:pPr>
            <w:r>
              <w:rPr>
                <w:rFonts w:hint="eastAsia" w:ascii="宋体" w:hAnsi="宋体"/>
                <w:szCs w:val="21"/>
                <w:highlight w:val="none"/>
              </w:rPr>
              <w:t>规格型号</w:t>
            </w:r>
          </w:p>
        </w:tc>
        <w:tc>
          <w:tcPr>
            <w:tcW w:w="645" w:type="dxa"/>
            <w:vAlign w:val="center"/>
          </w:tcPr>
          <w:p>
            <w:pPr>
              <w:spacing w:line="360" w:lineRule="exact"/>
              <w:jc w:val="center"/>
              <w:rPr>
                <w:rFonts w:ascii="宋体" w:hAnsi="宋体"/>
                <w:szCs w:val="21"/>
                <w:highlight w:val="none"/>
              </w:rPr>
            </w:pPr>
            <w:r>
              <w:rPr>
                <w:rFonts w:hint="eastAsia" w:ascii="宋体" w:hAnsi="宋体"/>
                <w:szCs w:val="21"/>
                <w:highlight w:val="none"/>
              </w:rPr>
              <w:t>单位</w:t>
            </w:r>
          </w:p>
        </w:tc>
        <w:tc>
          <w:tcPr>
            <w:tcW w:w="675" w:type="dxa"/>
            <w:vAlign w:val="center"/>
          </w:tcPr>
          <w:p>
            <w:pPr>
              <w:spacing w:line="360" w:lineRule="exact"/>
              <w:jc w:val="center"/>
              <w:rPr>
                <w:rFonts w:ascii="宋体" w:hAnsi="宋体"/>
                <w:szCs w:val="21"/>
                <w:highlight w:val="none"/>
              </w:rPr>
            </w:pPr>
            <w:r>
              <w:rPr>
                <w:rFonts w:hint="eastAsia" w:ascii="宋体" w:hAnsi="宋体"/>
                <w:szCs w:val="21"/>
                <w:highlight w:val="none"/>
              </w:rPr>
              <w:t>数量</w:t>
            </w:r>
          </w:p>
        </w:tc>
        <w:tc>
          <w:tcPr>
            <w:tcW w:w="880" w:type="dxa"/>
            <w:vAlign w:val="center"/>
          </w:tcPr>
          <w:p>
            <w:pPr>
              <w:spacing w:line="360" w:lineRule="exact"/>
              <w:jc w:val="center"/>
              <w:rPr>
                <w:rFonts w:ascii="宋体" w:hAnsi="宋体"/>
                <w:szCs w:val="21"/>
                <w:highlight w:val="none"/>
              </w:rPr>
            </w:pPr>
            <w:r>
              <w:rPr>
                <w:rFonts w:hint="eastAsia"/>
                <w:highlight w:val="none"/>
              </w:rPr>
              <w:t>不含税</w:t>
            </w:r>
            <w:r>
              <w:rPr>
                <w:rFonts w:hint="eastAsia" w:ascii="宋体" w:hAnsi="宋体"/>
                <w:szCs w:val="21"/>
                <w:highlight w:val="none"/>
              </w:rPr>
              <w:t>单价</w:t>
            </w:r>
          </w:p>
        </w:tc>
        <w:tc>
          <w:tcPr>
            <w:tcW w:w="993" w:type="dxa"/>
            <w:vAlign w:val="center"/>
          </w:tcPr>
          <w:p>
            <w:pPr>
              <w:spacing w:line="360" w:lineRule="exact"/>
              <w:jc w:val="center"/>
              <w:rPr>
                <w:rFonts w:ascii="宋体" w:hAnsi="宋体"/>
                <w:szCs w:val="21"/>
                <w:highlight w:val="none"/>
              </w:rPr>
            </w:pPr>
            <w:r>
              <w:rPr>
                <w:rFonts w:hint="eastAsia"/>
                <w:highlight w:val="none"/>
              </w:rPr>
              <w:t>不含税</w:t>
            </w:r>
            <w:r>
              <w:rPr>
                <w:rFonts w:hint="eastAsia" w:ascii="宋体" w:hAnsi="宋体"/>
                <w:szCs w:val="21"/>
                <w:highlight w:val="none"/>
              </w:rPr>
              <w:t>金额</w:t>
            </w:r>
          </w:p>
        </w:tc>
        <w:tc>
          <w:tcPr>
            <w:tcW w:w="708" w:type="dxa"/>
            <w:vAlign w:val="center"/>
          </w:tcPr>
          <w:p>
            <w:pPr>
              <w:spacing w:line="360" w:lineRule="exact"/>
              <w:jc w:val="center"/>
              <w:rPr>
                <w:rFonts w:ascii="宋体" w:hAnsi="宋体"/>
                <w:szCs w:val="21"/>
                <w:highlight w:val="none"/>
              </w:rPr>
            </w:pPr>
            <w:r>
              <w:rPr>
                <w:rFonts w:hint="eastAsia" w:ascii="宋体" w:hAnsi="宋体"/>
                <w:szCs w:val="21"/>
                <w:highlight w:val="none"/>
              </w:rPr>
              <w:t>税率</w:t>
            </w:r>
          </w:p>
        </w:tc>
        <w:tc>
          <w:tcPr>
            <w:tcW w:w="1050" w:type="dxa"/>
            <w:vAlign w:val="center"/>
          </w:tcPr>
          <w:p>
            <w:pPr>
              <w:spacing w:line="360" w:lineRule="exact"/>
              <w:jc w:val="center"/>
              <w:rPr>
                <w:rFonts w:ascii="宋体" w:hAnsi="宋体"/>
                <w:szCs w:val="21"/>
                <w:highlight w:val="none"/>
              </w:rPr>
            </w:pPr>
            <w:r>
              <w:rPr>
                <w:rFonts w:hint="eastAsia" w:ascii="宋体" w:hAnsi="宋体"/>
                <w:szCs w:val="21"/>
                <w:highlight w:val="none"/>
              </w:rPr>
              <w:t>税额</w:t>
            </w:r>
          </w:p>
        </w:tc>
        <w:tc>
          <w:tcPr>
            <w:tcW w:w="1077" w:type="dxa"/>
            <w:vAlign w:val="center"/>
          </w:tcPr>
          <w:p>
            <w:pPr>
              <w:widowControl/>
              <w:jc w:val="center"/>
              <w:rPr>
                <w:highlight w:val="none"/>
              </w:rPr>
            </w:pPr>
            <w:r>
              <w:rPr>
                <w:rFonts w:hint="eastAsia"/>
                <w:highlight w:val="none"/>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1134" w:type="dxa"/>
            <w:vAlign w:val="center"/>
          </w:tcPr>
          <w:p>
            <w:pPr>
              <w:spacing w:line="360" w:lineRule="exact"/>
              <w:jc w:val="center"/>
              <w:rPr>
                <w:rFonts w:hint="eastAsia" w:ascii="宋体" w:hAnsi="宋体"/>
                <w:szCs w:val="21"/>
                <w:highlight w:val="none"/>
              </w:rPr>
            </w:pPr>
            <w:r>
              <w:rPr>
                <w:rFonts w:hint="eastAsia" w:ascii="宋体" w:hAnsi="宋体"/>
                <w:szCs w:val="21"/>
                <w:highlight w:val="none"/>
              </w:rPr>
              <w:t>水泥稳定土</w:t>
            </w:r>
            <w:r>
              <w:rPr>
                <w:rFonts w:hint="eastAsia" w:ascii="宋体" w:hAnsi="宋体"/>
                <w:szCs w:val="21"/>
                <w:highlight w:val="none"/>
                <w:lang w:val="en-US" w:eastAsia="zh-CN"/>
              </w:rPr>
              <w:t>拌合站</w:t>
            </w:r>
          </w:p>
        </w:tc>
        <w:tc>
          <w:tcPr>
            <w:tcW w:w="1151" w:type="dxa"/>
            <w:vAlign w:val="center"/>
          </w:tcPr>
          <w:p>
            <w:pPr>
              <w:spacing w:line="360" w:lineRule="exact"/>
              <w:jc w:val="center"/>
              <w:rPr>
                <w:rFonts w:ascii="宋体" w:hAnsi="宋体"/>
                <w:szCs w:val="21"/>
                <w:highlight w:val="none"/>
              </w:rPr>
            </w:pPr>
            <w:r>
              <w:rPr>
                <w:rFonts w:hint="eastAsia" w:ascii="宋体" w:hAnsi="宋体"/>
                <w:szCs w:val="21"/>
                <w:highlight w:val="none"/>
              </w:rPr>
              <w:t>双拌缸800t/h</w:t>
            </w:r>
          </w:p>
        </w:tc>
        <w:tc>
          <w:tcPr>
            <w:tcW w:w="645" w:type="dxa"/>
            <w:vAlign w:val="center"/>
          </w:tcPr>
          <w:p>
            <w:pPr>
              <w:spacing w:line="360" w:lineRule="exact"/>
              <w:jc w:val="center"/>
              <w:rPr>
                <w:rFonts w:ascii="宋体" w:hAnsi="宋体"/>
                <w:szCs w:val="21"/>
                <w:highlight w:val="none"/>
              </w:rPr>
            </w:pPr>
            <w:r>
              <w:rPr>
                <w:rFonts w:hint="eastAsia" w:ascii="宋体" w:hAnsi="宋体"/>
                <w:szCs w:val="21"/>
                <w:highlight w:val="none"/>
              </w:rPr>
              <w:t>台</w:t>
            </w:r>
          </w:p>
        </w:tc>
        <w:tc>
          <w:tcPr>
            <w:tcW w:w="675" w:type="dxa"/>
            <w:vAlign w:val="center"/>
          </w:tcPr>
          <w:p>
            <w:pPr>
              <w:spacing w:line="360" w:lineRule="exact"/>
              <w:jc w:val="center"/>
              <w:rPr>
                <w:rFonts w:ascii="宋体" w:hAnsi="宋体"/>
                <w:szCs w:val="21"/>
                <w:highlight w:val="none"/>
              </w:rPr>
            </w:pPr>
            <w:r>
              <w:rPr>
                <w:rFonts w:hint="eastAsia" w:ascii="宋体" w:hAnsi="宋体"/>
                <w:szCs w:val="21"/>
                <w:highlight w:val="none"/>
              </w:rPr>
              <w:t>1</w:t>
            </w:r>
          </w:p>
        </w:tc>
        <w:tc>
          <w:tcPr>
            <w:tcW w:w="880" w:type="dxa"/>
            <w:vAlign w:val="center"/>
          </w:tcPr>
          <w:p>
            <w:pPr>
              <w:spacing w:line="360" w:lineRule="exact"/>
              <w:ind w:left="992"/>
              <w:jc w:val="center"/>
              <w:rPr>
                <w:rFonts w:ascii="宋体" w:hAnsi="宋体"/>
                <w:szCs w:val="21"/>
                <w:highlight w:val="none"/>
              </w:rPr>
            </w:pPr>
          </w:p>
        </w:tc>
        <w:tc>
          <w:tcPr>
            <w:tcW w:w="993" w:type="dxa"/>
            <w:vAlign w:val="center"/>
          </w:tcPr>
          <w:p>
            <w:pPr>
              <w:spacing w:line="360" w:lineRule="exact"/>
              <w:ind w:left="992"/>
              <w:jc w:val="center"/>
              <w:rPr>
                <w:rFonts w:ascii="宋体" w:hAnsi="宋体"/>
                <w:szCs w:val="21"/>
                <w:highlight w:val="none"/>
              </w:rPr>
            </w:pPr>
          </w:p>
        </w:tc>
        <w:tc>
          <w:tcPr>
            <w:tcW w:w="708" w:type="dxa"/>
            <w:vAlign w:val="center"/>
          </w:tcPr>
          <w:p>
            <w:pPr>
              <w:spacing w:line="360" w:lineRule="exact"/>
              <w:ind w:left="992"/>
              <w:jc w:val="center"/>
              <w:rPr>
                <w:rFonts w:ascii="宋体" w:hAnsi="宋体"/>
                <w:szCs w:val="21"/>
                <w:highlight w:val="none"/>
              </w:rPr>
            </w:pPr>
          </w:p>
        </w:tc>
        <w:tc>
          <w:tcPr>
            <w:tcW w:w="1050" w:type="dxa"/>
            <w:vAlign w:val="center"/>
          </w:tcPr>
          <w:p>
            <w:pPr>
              <w:spacing w:line="360" w:lineRule="exact"/>
              <w:ind w:left="992"/>
              <w:jc w:val="center"/>
              <w:rPr>
                <w:rFonts w:ascii="宋体" w:hAnsi="宋体"/>
                <w:szCs w:val="21"/>
                <w:highlight w:val="none"/>
              </w:rPr>
            </w:pPr>
          </w:p>
        </w:tc>
        <w:tc>
          <w:tcPr>
            <w:tcW w:w="1077" w:type="dxa"/>
            <w:vAlign w:val="center"/>
          </w:tcPr>
          <w:p>
            <w:pPr>
              <w:widowControl/>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5" w:type="dxa"/>
            <w:vAlign w:val="center"/>
          </w:tcPr>
          <w:p>
            <w:pPr>
              <w:spacing w:line="360" w:lineRule="exact"/>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2</w:t>
            </w:r>
          </w:p>
        </w:tc>
        <w:tc>
          <w:tcPr>
            <w:tcW w:w="1134" w:type="dxa"/>
            <w:vAlign w:val="center"/>
          </w:tcPr>
          <w:p>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水泥罐</w:t>
            </w:r>
          </w:p>
        </w:tc>
        <w:tc>
          <w:tcPr>
            <w:tcW w:w="1151" w:type="dxa"/>
            <w:vAlign w:val="center"/>
          </w:tcPr>
          <w:p>
            <w:pPr>
              <w:spacing w:line="360" w:lineRule="exact"/>
              <w:jc w:val="center"/>
              <w:rPr>
                <w:rFonts w:hint="default" w:ascii="宋体" w:hAnsi="宋体" w:eastAsiaTheme="minorEastAsia"/>
                <w:szCs w:val="21"/>
                <w:highlight w:val="none"/>
                <w:lang w:val="en-US" w:eastAsia="zh-CN"/>
              </w:rPr>
            </w:pPr>
            <w:r>
              <w:rPr>
                <w:rFonts w:hint="eastAsia" w:ascii="宋体" w:hAnsi="宋体"/>
                <w:szCs w:val="21"/>
                <w:highlight w:val="none"/>
                <w:lang w:val="en-US" w:eastAsia="zh-CN"/>
              </w:rPr>
              <w:t>100</w:t>
            </w:r>
            <w:r>
              <w:rPr>
                <w:sz w:val="24"/>
                <w:highlight w:val="none"/>
              </w:rPr>
              <w:t xml:space="preserve"> 吨</w:t>
            </w:r>
          </w:p>
        </w:tc>
        <w:tc>
          <w:tcPr>
            <w:tcW w:w="645" w:type="dxa"/>
            <w:vAlign w:val="center"/>
          </w:tcPr>
          <w:p>
            <w:pPr>
              <w:spacing w:line="360" w:lineRule="exact"/>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个</w:t>
            </w:r>
          </w:p>
        </w:tc>
        <w:tc>
          <w:tcPr>
            <w:tcW w:w="675" w:type="dxa"/>
            <w:vAlign w:val="center"/>
          </w:tcPr>
          <w:p>
            <w:pPr>
              <w:spacing w:line="360" w:lineRule="exact"/>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1</w:t>
            </w:r>
          </w:p>
        </w:tc>
        <w:tc>
          <w:tcPr>
            <w:tcW w:w="880" w:type="dxa"/>
            <w:vAlign w:val="center"/>
          </w:tcPr>
          <w:p>
            <w:pPr>
              <w:spacing w:line="360" w:lineRule="exact"/>
              <w:ind w:left="992"/>
              <w:jc w:val="center"/>
              <w:rPr>
                <w:rFonts w:ascii="宋体" w:hAnsi="宋体"/>
                <w:szCs w:val="21"/>
                <w:highlight w:val="none"/>
              </w:rPr>
            </w:pPr>
          </w:p>
        </w:tc>
        <w:tc>
          <w:tcPr>
            <w:tcW w:w="993" w:type="dxa"/>
            <w:vAlign w:val="center"/>
          </w:tcPr>
          <w:p>
            <w:pPr>
              <w:spacing w:line="360" w:lineRule="exact"/>
              <w:ind w:left="992"/>
              <w:jc w:val="center"/>
              <w:rPr>
                <w:rFonts w:ascii="宋体" w:hAnsi="宋体"/>
                <w:szCs w:val="21"/>
                <w:highlight w:val="none"/>
              </w:rPr>
            </w:pPr>
          </w:p>
        </w:tc>
        <w:tc>
          <w:tcPr>
            <w:tcW w:w="708" w:type="dxa"/>
            <w:vAlign w:val="center"/>
          </w:tcPr>
          <w:p>
            <w:pPr>
              <w:spacing w:line="360" w:lineRule="exact"/>
              <w:ind w:left="992"/>
              <w:jc w:val="center"/>
              <w:rPr>
                <w:rFonts w:ascii="宋体" w:hAnsi="宋体"/>
                <w:szCs w:val="21"/>
                <w:highlight w:val="none"/>
              </w:rPr>
            </w:pPr>
          </w:p>
        </w:tc>
        <w:tc>
          <w:tcPr>
            <w:tcW w:w="1050" w:type="dxa"/>
            <w:vAlign w:val="center"/>
          </w:tcPr>
          <w:p>
            <w:pPr>
              <w:spacing w:line="360" w:lineRule="exact"/>
              <w:ind w:left="992"/>
              <w:jc w:val="center"/>
              <w:rPr>
                <w:rFonts w:ascii="宋体" w:hAnsi="宋体"/>
                <w:szCs w:val="21"/>
                <w:highlight w:val="none"/>
              </w:rPr>
            </w:pPr>
          </w:p>
        </w:tc>
        <w:tc>
          <w:tcPr>
            <w:tcW w:w="1077" w:type="dxa"/>
            <w:vAlign w:val="center"/>
          </w:tcPr>
          <w:p>
            <w:pPr>
              <w:widowControl/>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vAlign w:val="center"/>
          </w:tcPr>
          <w:p>
            <w:pPr>
              <w:widowControl/>
              <w:textAlignment w:val="center"/>
              <w:rPr>
                <w:rFonts w:ascii="宋体" w:hAnsi="宋体" w:cs="仿宋"/>
                <w:color w:val="000000"/>
                <w:kern w:val="0"/>
                <w:sz w:val="20"/>
                <w:highlight w:val="none"/>
                <w:lang w:bidi="ar"/>
              </w:rPr>
            </w:pPr>
            <w:r>
              <w:rPr>
                <w:rFonts w:hint="eastAsia" w:ascii="宋体" w:hAnsi="宋体" w:cs="仿宋"/>
                <w:color w:val="000000"/>
                <w:kern w:val="0"/>
                <w:sz w:val="20"/>
                <w:highlight w:val="none"/>
                <w:lang w:bidi="ar"/>
              </w:rPr>
              <w:t>不含税金额合计（大写）：                          （小写）</w:t>
            </w:r>
            <w:r>
              <w:rPr>
                <w:rFonts w:hint="eastAsia" w:ascii="宋体" w:hAnsi="宋体"/>
                <w:color w:val="000000"/>
                <w:szCs w:val="21"/>
                <w:highlight w:val="none"/>
              </w:rPr>
              <w:t>￥：</w:t>
            </w:r>
            <w:r>
              <w:rPr>
                <w:rFonts w:hint="eastAsia" w:ascii="宋体" w:hAnsi="宋体" w:cs="仿宋"/>
                <w:color w:val="000000"/>
                <w:kern w:val="0"/>
                <w:sz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vAlign w:val="center"/>
          </w:tcPr>
          <w:p>
            <w:pPr>
              <w:widowControl/>
              <w:textAlignment w:val="center"/>
              <w:rPr>
                <w:rFonts w:ascii="宋体" w:hAnsi="宋体" w:cs="仿宋"/>
                <w:color w:val="000000"/>
                <w:kern w:val="0"/>
                <w:sz w:val="20"/>
                <w:highlight w:val="none"/>
                <w:lang w:bidi="ar"/>
              </w:rPr>
            </w:pPr>
            <w:r>
              <w:rPr>
                <w:rFonts w:hint="eastAsia" w:ascii="宋体" w:hAnsi="宋体" w:cs="仿宋"/>
                <w:color w:val="000000"/>
                <w:kern w:val="0"/>
                <w:sz w:val="20"/>
                <w:highlight w:val="none"/>
                <w:lang w:bidi="ar"/>
              </w:rPr>
              <w:t xml:space="preserve">税额合计（大写）：                          </w:t>
            </w:r>
            <w:r>
              <w:rPr>
                <w:rFonts w:ascii="宋体" w:hAnsi="宋体" w:cs="仿宋"/>
                <w:color w:val="000000"/>
                <w:kern w:val="0"/>
                <w:sz w:val="20"/>
                <w:highlight w:val="none"/>
                <w:lang w:bidi="ar"/>
              </w:rPr>
              <w:t xml:space="preserve">      </w:t>
            </w:r>
            <w:r>
              <w:rPr>
                <w:rFonts w:hint="eastAsia" w:ascii="宋体" w:hAnsi="宋体" w:cs="仿宋"/>
                <w:color w:val="000000"/>
                <w:kern w:val="0"/>
                <w:sz w:val="20"/>
                <w:highlight w:val="none"/>
                <w:lang w:bidi="ar"/>
              </w:rPr>
              <w:t>（小写）</w:t>
            </w:r>
            <w:r>
              <w:rPr>
                <w:rFonts w:hint="eastAsia" w:ascii="宋体" w:hAnsi="宋体"/>
                <w:color w:val="000000"/>
                <w:szCs w:val="21"/>
                <w:highlight w:val="none"/>
              </w:rPr>
              <w:t>￥：</w:t>
            </w:r>
            <w:r>
              <w:rPr>
                <w:rFonts w:hint="eastAsia" w:ascii="宋体" w:hAnsi="宋体" w:cs="仿宋"/>
                <w:color w:val="000000"/>
                <w:kern w:val="0"/>
                <w:sz w:val="20"/>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38" w:type="dxa"/>
            <w:gridSpan w:val="10"/>
            <w:vAlign w:val="center"/>
          </w:tcPr>
          <w:p>
            <w:pPr>
              <w:widowControl/>
              <w:textAlignment w:val="center"/>
              <w:rPr>
                <w:rFonts w:ascii="宋体" w:hAnsi="宋体" w:cs="仿宋"/>
                <w:color w:val="000000"/>
                <w:kern w:val="0"/>
                <w:sz w:val="20"/>
                <w:highlight w:val="none"/>
                <w:lang w:bidi="ar"/>
              </w:rPr>
            </w:pPr>
            <w:r>
              <w:rPr>
                <w:rFonts w:hint="eastAsia" w:ascii="宋体" w:hAnsi="宋体" w:cs="仿宋"/>
                <w:color w:val="000000"/>
                <w:kern w:val="0"/>
                <w:sz w:val="20"/>
                <w:highlight w:val="none"/>
                <w:lang w:bidi="ar"/>
              </w:rPr>
              <w:t xml:space="preserve">含税金额合计（大写）：                       </w:t>
            </w:r>
            <w:r>
              <w:rPr>
                <w:rFonts w:ascii="宋体" w:hAnsi="宋体" w:cs="仿宋"/>
                <w:color w:val="000000"/>
                <w:kern w:val="0"/>
                <w:sz w:val="20"/>
                <w:highlight w:val="none"/>
                <w:lang w:bidi="ar"/>
              </w:rPr>
              <w:t xml:space="preserve">  </w:t>
            </w:r>
            <w:r>
              <w:rPr>
                <w:rFonts w:hint="eastAsia" w:ascii="宋体" w:hAnsi="宋体" w:cs="仿宋"/>
                <w:color w:val="000000"/>
                <w:kern w:val="0"/>
                <w:sz w:val="20"/>
                <w:highlight w:val="none"/>
                <w:lang w:bidi="ar"/>
              </w:rPr>
              <w:t xml:space="preserve">  </w:t>
            </w:r>
            <w:r>
              <w:rPr>
                <w:rFonts w:ascii="宋体" w:hAnsi="宋体" w:cs="仿宋"/>
                <w:color w:val="000000"/>
                <w:kern w:val="0"/>
                <w:sz w:val="20"/>
                <w:highlight w:val="none"/>
                <w:lang w:bidi="ar"/>
              </w:rPr>
              <w:t xml:space="preserve"> </w:t>
            </w:r>
            <w:r>
              <w:rPr>
                <w:rFonts w:hint="eastAsia" w:ascii="宋体" w:hAnsi="宋体" w:cs="仿宋"/>
                <w:color w:val="000000"/>
                <w:kern w:val="0"/>
                <w:sz w:val="20"/>
                <w:highlight w:val="none"/>
                <w:lang w:bidi="ar"/>
              </w:rPr>
              <w:t>（小写）</w:t>
            </w:r>
            <w:r>
              <w:rPr>
                <w:rFonts w:hint="eastAsia" w:ascii="宋体" w:hAnsi="宋体"/>
                <w:color w:val="000000"/>
                <w:szCs w:val="21"/>
                <w:highlight w:val="none"/>
              </w:rPr>
              <w:t>￥：</w:t>
            </w:r>
            <w:r>
              <w:rPr>
                <w:rFonts w:hint="eastAsia" w:ascii="宋体" w:hAnsi="宋体" w:cs="仿宋"/>
                <w:color w:val="000000"/>
                <w:kern w:val="0"/>
                <w:sz w:val="20"/>
                <w:highlight w:val="none"/>
                <w:lang w:bidi="ar"/>
              </w:rPr>
              <w:t>：</w:t>
            </w:r>
          </w:p>
        </w:tc>
      </w:tr>
    </w:tbl>
    <w:p>
      <w:pPr>
        <w:spacing w:before="192" w:beforeLines="80" w:line="360" w:lineRule="exact"/>
        <w:ind w:firstLine="600" w:firstLineChars="250"/>
        <w:rPr>
          <w:rFonts w:ascii="宋体" w:hAnsi="宋体"/>
          <w:b/>
          <w:szCs w:val="21"/>
          <w:highlight w:val="none"/>
        </w:rPr>
      </w:pPr>
      <w:r>
        <w:rPr>
          <w:rFonts w:hint="eastAsia" w:ascii="宋体" w:hAnsi="宋体"/>
          <w:szCs w:val="21"/>
          <w:highlight w:val="none"/>
        </w:rPr>
        <w:t>（二）</w:t>
      </w:r>
      <w:r>
        <w:rPr>
          <w:rFonts w:hint="eastAsia" w:ascii="宋体" w:hAnsi="宋体"/>
          <w:b/>
          <w:bCs/>
          <w:szCs w:val="21"/>
          <w:highlight w:val="none"/>
        </w:rPr>
        <w:t xml:space="preserve"> </w:t>
      </w:r>
      <w:r>
        <w:rPr>
          <w:rFonts w:ascii="宋体" w:hAnsi="宋体"/>
          <w:szCs w:val="21"/>
          <w:highlight w:val="none"/>
        </w:rPr>
        <w:t>合同价格形式：</w:t>
      </w:r>
      <w:r>
        <w:rPr>
          <w:rFonts w:hint="eastAsia" w:ascii="宋体" w:hAnsi="宋体"/>
          <w:color w:val="000000"/>
          <w:szCs w:val="21"/>
          <w:highlight w:val="none"/>
          <w:u w:val="single"/>
        </w:rPr>
        <w:t>固定总价合同</w:t>
      </w:r>
      <w:r>
        <w:rPr>
          <w:rFonts w:hint="eastAsia" w:ascii="宋体" w:hAnsi="宋体"/>
          <w:szCs w:val="21"/>
          <w:highlight w:val="none"/>
        </w:rPr>
        <w:t>。</w:t>
      </w:r>
    </w:p>
    <w:p>
      <w:pPr>
        <w:tabs>
          <w:tab w:val="left" w:pos="900"/>
          <w:tab w:val="left" w:pos="988"/>
        </w:tabs>
        <w:spacing w:line="360" w:lineRule="exact"/>
        <w:ind w:left="567"/>
        <w:rPr>
          <w:rFonts w:ascii="宋体" w:hAnsi="宋体"/>
          <w:b/>
          <w:szCs w:val="21"/>
          <w:highlight w:val="none"/>
        </w:rPr>
      </w:pPr>
      <w:r>
        <w:rPr>
          <w:rFonts w:hint="eastAsia" w:ascii="宋体" w:hAnsi="宋体"/>
          <w:b/>
          <w:szCs w:val="21"/>
          <w:highlight w:val="none"/>
        </w:rPr>
        <w:t>二、供货周期</w:t>
      </w:r>
    </w:p>
    <w:p>
      <w:pPr>
        <w:spacing w:line="360" w:lineRule="exact"/>
        <w:ind w:firstLine="480" w:firstLineChars="200"/>
        <w:rPr>
          <w:rFonts w:ascii="宋体" w:hAnsi="宋体"/>
          <w:szCs w:val="21"/>
          <w:highlight w:val="none"/>
          <w:u w:val="single"/>
        </w:rPr>
      </w:pPr>
      <w:r>
        <w:rPr>
          <w:rFonts w:hint="eastAsia" w:ascii="宋体" w:hAnsi="宋体"/>
          <w:szCs w:val="21"/>
          <w:highlight w:val="none"/>
        </w:rPr>
        <w:t>供货周期为日历天数</w:t>
      </w:r>
      <w:r>
        <w:rPr>
          <w:rFonts w:hint="eastAsia" w:ascii="宋体" w:hAnsi="宋体"/>
          <w:szCs w:val="21"/>
          <w:highlight w:val="none"/>
          <w:u w:val="single"/>
        </w:rPr>
        <w:t xml:space="preserve">    </w:t>
      </w:r>
      <w:r>
        <w:rPr>
          <w:rFonts w:hint="eastAsia" w:ascii="宋体" w:hAnsi="宋体"/>
          <w:szCs w:val="21"/>
          <w:highlight w:val="none"/>
        </w:rPr>
        <w:t>天，合同签订后开始计算供货周期（或者以甲方通知乙方准备供货时间计算供货周期），要求最迟日历天数</w:t>
      </w:r>
      <w:r>
        <w:rPr>
          <w:rFonts w:hint="eastAsia" w:ascii="宋体" w:hAnsi="宋体"/>
          <w:szCs w:val="21"/>
          <w:highlight w:val="none"/>
          <w:u w:val="single"/>
        </w:rPr>
        <w:t xml:space="preserve">     </w:t>
      </w:r>
      <w:r>
        <w:rPr>
          <w:rFonts w:hint="eastAsia" w:ascii="宋体" w:hAnsi="宋体"/>
          <w:szCs w:val="21"/>
          <w:highlight w:val="none"/>
        </w:rPr>
        <w:t>天内设备须安装调试完毕，达到正常生产能力。</w:t>
      </w:r>
    </w:p>
    <w:p>
      <w:pPr>
        <w:spacing w:line="360" w:lineRule="exact"/>
        <w:ind w:firstLine="602" w:firstLineChars="250"/>
        <w:rPr>
          <w:rFonts w:ascii="宋体" w:hAnsi="宋体"/>
          <w:szCs w:val="21"/>
          <w:highlight w:val="none"/>
        </w:rPr>
      </w:pPr>
      <w:r>
        <w:rPr>
          <w:rFonts w:hint="eastAsia" w:ascii="宋体" w:hAnsi="宋体"/>
          <w:b/>
          <w:szCs w:val="21"/>
          <w:highlight w:val="none"/>
        </w:rPr>
        <w:t>三、设备交货地点：</w:t>
      </w:r>
      <w:r>
        <w:rPr>
          <w:rFonts w:hint="eastAsia" w:ascii="宋体" w:hAnsi="宋体"/>
          <w:szCs w:val="21"/>
          <w:highlight w:val="none"/>
          <w:u w:val="single"/>
        </w:rPr>
        <w:t xml:space="preserve"> 石太高速公路改扩建工程主体3分部项目                    </w:t>
      </w:r>
    </w:p>
    <w:p>
      <w:pPr>
        <w:spacing w:line="360" w:lineRule="exact"/>
        <w:ind w:firstLine="602" w:firstLineChars="250"/>
        <w:rPr>
          <w:rFonts w:ascii="宋体" w:hAnsi="宋体"/>
          <w:b/>
          <w:szCs w:val="21"/>
          <w:highlight w:val="none"/>
        </w:rPr>
      </w:pPr>
      <w:r>
        <w:rPr>
          <w:rFonts w:hint="eastAsia" w:ascii="宋体" w:hAnsi="宋体"/>
          <w:b/>
          <w:szCs w:val="21"/>
          <w:highlight w:val="none"/>
        </w:rPr>
        <w:t>四、设备款的支付</w:t>
      </w:r>
    </w:p>
    <w:p>
      <w:pPr>
        <w:spacing w:line="360" w:lineRule="exact"/>
        <w:ind w:firstLine="600" w:firstLineChars="250"/>
        <w:jc w:val="left"/>
        <w:rPr>
          <w:rFonts w:ascii="宋体" w:hAnsi="宋体"/>
          <w:color w:val="000000"/>
          <w:szCs w:val="21"/>
          <w:highlight w:val="none"/>
        </w:rPr>
      </w:pPr>
      <w:r>
        <w:rPr>
          <w:rFonts w:hint="eastAsia" w:ascii="宋体" w:hAnsi="宋体"/>
          <w:color w:val="000000"/>
          <w:szCs w:val="21"/>
          <w:highlight w:val="none"/>
        </w:rPr>
        <w:t>（一）本合同无预付款，</w:t>
      </w:r>
      <w:r>
        <w:rPr>
          <w:rFonts w:ascii="宋体" w:hAnsi="宋体"/>
          <w:color w:val="000000"/>
          <w:szCs w:val="21"/>
          <w:highlight w:val="none"/>
        </w:rPr>
        <w:t>合同签订</w:t>
      </w:r>
      <w:r>
        <w:rPr>
          <w:rFonts w:hint="eastAsia" w:ascii="宋体" w:hAnsi="宋体"/>
          <w:color w:val="000000"/>
          <w:szCs w:val="21"/>
          <w:highlight w:val="none"/>
        </w:rPr>
        <w:t>且完成设备</w:t>
      </w:r>
      <w:r>
        <w:rPr>
          <w:rFonts w:ascii="宋体" w:hAnsi="宋体"/>
          <w:color w:val="000000"/>
          <w:szCs w:val="21"/>
          <w:highlight w:val="none"/>
        </w:rPr>
        <w:t>进场，</w:t>
      </w:r>
      <w:r>
        <w:rPr>
          <w:rFonts w:hint="eastAsia" w:ascii="宋体" w:hAnsi="宋体"/>
          <w:color w:val="000000"/>
          <w:szCs w:val="21"/>
          <w:highlight w:val="none"/>
        </w:rPr>
        <w:t>乙方提供甲方财务认可的增值税专用发票</w:t>
      </w:r>
      <w:r>
        <w:rPr>
          <w:rFonts w:ascii="宋体" w:hAnsi="宋体"/>
          <w:color w:val="000000"/>
          <w:szCs w:val="21"/>
          <w:highlight w:val="none"/>
        </w:rPr>
        <w:t>，支付</w:t>
      </w:r>
      <w:r>
        <w:rPr>
          <w:rFonts w:hint="eastAsia" w:ascii="宋体" w:hAnsi="宋体"/>
          <w:color w:val="000000"/>
          <w:szCs w:val="21"/>
          <w:highlight w:val="none"/>
        </w:rPr>
        <w:t>至合同</w:t>
      </w:r>
      <w:r>
        <w:rPr>
          <w:rFonts w:ascii="宋体" w:hAnsi="宋体"/>
          <w:color w:val="000000"/>
          <w:szCs w:val="21"/>
          <w:highlight w:val="none"/>
        </w:rPr>
        <w:t>总价款</w:t>
      </w:r>
      <w:r>
        <w:rPr>
          <w:rFonts w:hint="eastAsia" w:ascii="宋体" w:hAnsi="宋体"/>
          <w:color w:val="000000"/>
          <w:szCs w:val="21"/>
          <w:highlight w:val="none"/>
        </w:rPr>
        <w:t>的</w:t>
      </w:r>
      <w:r>
        <w:rPr>
          <w:rFonts w:hint="eastAsia" w:ascii="宋体" w:hAnsi="宋体"/>
          <w:color w:val="000000"/>
          <w:szCs w:val="21"/>
          <w:highlight w:val="none"/>
          <w:u w:val="single"/>
        </w:rPr>
        <w:t xml:space="preserve">  </w:t>
      </w:r>
      <w:r>
        <w:rPr>
          <w:rFonts w:ascii="宋体" w:hAnsi="宋体"/>
          <w:color w:val="000000"/>
          <w:szCs w:val="21"/>
          <w:highlight w:val="none"/>
          <w:u w:val="single"/>
        </w:rPr>
        <w:t>30</w:t>
      </w:r>
      <w:r>
        <w:rPr>
          <w:rFonts w:hint="eastAsia"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w:t>
      </w:r>
    </w:p>
    <w:p>
      <w:pPr>
        <w:spacing w:line="360" w:lineRule="exact"/>
        <w:ind w:firstLine="600" w:firstLineChars="250"/>
        <w:jc w:val="left"/>
        <w:rPr>
          <w:rFonts w:ascii="宋体" w:hAnsi="宋体"/>
          <w:color w:val="000000"/>
          <w:szCs w:val="21"/>
          <w:highlight w:val="none"/>
        </w:rPr>
      </w:pPr>
      <w:r>
        <w:rPr>
          <w:rFonts w:hint="eastAsia" w:ascii="宋体" w:hAnsi="宋体"/>
          <w:color w:val="000000"/>
          <w:szCs w:val="21"/>
          <w:highlight w:val="none"/>
        </w:rPr>
        <w:t>（二）</w:t>
      </w:r>
      <w:r>
        <w:rPr>
          <w:rFonts w:ascii="宋体" w:hAnsi="宋体"/>
          <w:color w:val="000000"/>
          <w:szCs w:val="21"/>
          <w:highlight w:val="none"/>
        </w:rPr>
        <w:t>设备安装调试完毕，</w:t>
      </w:r>
      <w:r>
        <w:rPr>
          <w:rFonts w:hint="eastAsia" w:ascii="宋体" w:hAnsi="宋体"/>
          <w:color w:val="000000"/>
          <w:szCs w:val="21"/>
          <w:highlight w:val="none"/>
        </w:rPr>
        <w:t>负载验收</w:t>
      </w:r>
      <w:r>
        <w:rPr>
          <w:rFonts w:ascii="宋体" w:hAnsi="宋体"/>
          <w:color w:val="000000"/>
          <w:szCs w:val="21"/>
          <w:highlight w:val="none"/>
        </w:rPr>
        <w:t>合格后，</w:t>
      </w:r>
      <w:r>
        <w:rPr>
          <w:rFonts w:hint="eastAsia" w:ascii="宋体" w:hAnsi="宋体"/>
          <w:color w:val="000000"/>
          <w:szCs w:val="21"/>
          <w:highlight w:val="none"/>
        </w:rPr>
        <w:t>支付至</w:t>
      </w:r>
      <w:r>
        <w:rPr>
          <w:rFonts w:ascii="宋体" w:hAnsi="宋体"/>
          <w:color w:val="000000"/>
          <w:szCs w:val="21"/>
          <w:highlight w:val="none"/>
        </w:rPr>
        <w:t>合同</w:t>
      </w:r>
      <w:r>
        <w:rPr>
          <w:rFonts w:hint="eastAsia" w:ascii="宋体" w:hAnsi="宋体"/>
          <w:color w:val="000000"/>
          <w:szCs w:val="21"/>
          <w:highlight w:val="none"/>
        </w:rPr>
        <w:t>总</w:t>
      </w:r>
      <w:r>
        <w:rPr>
          <w:rFonts w:ascii="宋体" w:hAnsi="宋体"/>
          <w:color w:val="000000"/>
          <w:szCs w:val="21"/>
          <w:highlight w:val="none"/>
        </w:rPr>
        <w:t>价款的</w:t>
      </w:r>
      <w:r>
        <w:rPr>
          <w:rFonts w:hint="eastAsia" w:ascii="宋体" w:hAnsi="宋体"/>
          <w:color w:val="000000"/>
          <w:szCs w:val="21"/>
          <w:highlight w:val="none"/>
          <w:u w:val="single"/>
        </w:rPr>
        <w:t xml:space="preserve"> </w:t>
      </w:r>
      <w:r>
        <w:rPr>
          <w:rFonts w:ascii="宋体" w:hAnsi="宋体"/>
          <w:color w:val="000000"/>
          <w:szCs w:val="21"/>
          <w:highlight w:val="none"/>
          <w:u w:val="single"/>
        </w:rPr>
        <w:t>70</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line="360" w:lineRule="exact"/>
        <w:ind w:firstLine="600" w:firstLineChars="250"/>
        <w:jc w:val="left"/>
        <w:rPr>
          <w:rFonts w:ascii="宋体" w:hAnsi="宋体"/>
          <w:color w:val="000000"/>
          <w:szCs w:val="21"/>
          <w:highlight w:val="none"/>
        </w:rPr>
      </w:pPr>
      <w:r>
        <w:rPr>
          <w:rFonts w:hint="eastAsia" w:ascii="宋体" w:hAnsi="宋体"/>
          <w:color w:val="000000"/>
          <w:szCs w:val="21"/>
          <w:highlight w:val="none"/>
        </w:rPr>
        <w:t>（三）进入质保期后</w:t>
      </w:r>
      <w:r>
        <w:rPr>
          <w:rFonts w:ascii="宋体" w:hAnsi="宋体"/>
          <w:color w:val="000000"/>
          <w:szCs w:val="21"/>
          <w:highlight w:val="none"/>
        </w:rPr>
        <w:t>满</w:t>
      </w:r>
      <w:r>
        <w:rPr>
          <w:rFonts w:hint="eastAsia" w:ascii="宋体" w:hAnsi="宋体"/>
          <w:color w:val="000000"/>
          <w:szCs w:val="21"/>
          <w:highlight w:val="none"/>
        </w:rPr>
        <w:t>6个月</w:t>
      </w:r>
      <w:r>
        <w:rPr>
          <w:rFonts w:ascii="宋体" w:hAnsi="宋体"/>
          <w:color w:val="000000"/>
          <w:szCs w:val="21"/>
          <w:highlight w:val="none"/>
        </w:rPr>
        <w:t>支付至合同</w:t>
      </w:r>
      <w:r>
        <w:rPr>
          <w:rFonts w:hint="eastAsia" w:ascii="宋体" w:hAnsi="宋体"/>
          <w:color w:val="000000"/>
          <w:szCs w:val="21"/>
          <w:highlight w:val="none"/>
        </w:rPr>
        <w:t>总</w:t>
      </w:r>
      <w:r>
        <w:rPr>
          <w:rFonts w:ascii="宋体" w:hAnsi="宋体"/>
          <w:color w:val="000000"/>
          <w:szCs w:val="21"/>
          <w:highlight w:val="none"/>
        </w:rPr>
        <w:t>价款的</w:t>
      </w:r>
      <w:r>
        <w:rPr>
          <w:rFonts w:hint="eastAsia" w:ascii="宋体" w:hAnsi="宋体"/>
          <w:color w:val="000000"/>
          <w:szCs w:val="21"/>
          <w:highlight w:val="none"/>
          <w:u w:val="single"/>
        </w:rPr>
        <w:t xml:space="preserve">  </w:t>
      </w:r>
      <w:r>
        <w:rPr>
          <w:rFonts w:ascii="宋体" w:hAnsi="宋体"/>
          <w:color w:val="000000"/>
          <w:szCs w:val="21"/>
          <w:highlight w:val="none"/>
          <w:u w:val="single"/>
        </w:rPr>
        <w:t>90</w:t>
      </w:r>
      <w:r>
        <w:rPr>
          <w:rFonts w:hint="eastAsia" w:ascii="宋体" w:hAnsi="宋体"/>
          <w:color w:val="000000"/>
          <w:szCs w:val="21"/>
          <w:highlight w:val="none"/>
          <w:u w:val="single"/>
        </w:rPr>
        <w:t xml:space="preserve">  </w:t>
      </w:r>
      <w:r>
        <w:rPr>
          <w:rFonts w:ascii="宋体" w:hAnsi="宋体"/>
          <w:color w:val="000000"/>
          <w:szCs w:val="21"/>
          <w:highlight w:val="none"/>
        </w:rPr>
        <w:t>%</w:t>
      </w:r>
      <w:r>
        <w:rPr>
          <w:rFonts w:hint="eastAsia" w:ascii="宋体" w:hAnsi="宋体"/>
          <w:color w:val="000000"/>
          <w:szCs w:val="21"/>
          <w:highlight w:val="none"/>
        </w:rPr>
        <w:t>；</w:t>
      </w:r>
    </w:p>
    <w:p>
      <w:pPr>
        <w:spacing w:line="360" w:lineRule="exact"/>
        <w:ind w:firstLine="600" w:firstLineChars="250"/>
        <w:jc w:val="left"/>
        <w:rPr>
          <w:rFonts w:ascii="宋体" w:hAnsi="宋体" w:eastAsia="宋体" w:cs="Times New Roman"/>
          <w:color w:val="000000"/>
          <w:szCs w:val="21"/>
          <w:highlight w:val="none"/>
        </w:rPr>
      </w:pPr>
      <w:r>
        <w:rPr>
          <w:rFonts w:hint="eastAsia" w:ascii="宋体" w:hAnsi="宋体"/>
          <w:color w:val="000000"/>
          <w:szCs w:val="21"/>
          <w:highlight w:val="none"/>
        </w:rPr>
        <w:t xml:space="preserve">（四）甲方保留合同价款的 </w:t>
      </w:r>
      <w:r>
        <w:rPr>
          <w:rFonts w:hint="eastAsia" w:ascii="宋体" w:hAnsi="宋体"/>
          <w:color w:val="000000"/>
          <w:szCs w:val="21"/>
          <w:highlight w:val="none"/>
          <w:u w:val="single"/>
        </w:rPr>
        <w:t xml:space="preserve">  </w:t>
      </w:r>
      <w:r>
        <w:rPr>
          <w:rFonts w:ascii="宋体" w:hAnsi="宋体"/>
          <w:color w:val="000000"/>
          <w:szCs w:val="21"/>
          <w:highlight w:val="none"/>
          <w:u w:val="single"/>
        </w:rPr>
        <w:t>10</w:t>
      </w:r>
      <w:r>
        <w:rPr>
          <w:rFonts w:hint="eastAsia" w:ascii="宋体" w:hAnsi="宋体"/>
          <w:color w:val="000000"/>
          <w:szCs w:val="21"/>
          <w:highlight w:val="none"/>
          <w:u w:val="single"/>
        </w:rPr>
        <w:t xml:space="preserve">   </w:t>
      </w:r>
      <w:r>
        <w:rPr>
          <w:rFonts w:hint="eastAsia" w:ascii="宋体" w:hAnsi="宋体"/>
          <w:color w:val="000000"/>
          <w:szCs w:val="21"/>
          <w:highlight w:val="none"/>
        </w:rPr>
        <w:t>%的作为质量保证金，乙方按合同履行其设备质量和服务承诺，负载验收合格后开始计算质保期。</w:t>
      </w:r>
      <w:r>
        <w:rPr>
          <w:rFonts w:ascii="宋体" w:hAnsi="宋体"/>
          <w:color w:val="000000"/>
          <w:szCs w:val="21"/>
          <w:highlight w:val="none"/>
        </w:rPr>
        <w:t>质保期满</w:t>
      </w:r>
      <w:r>
        <w:rPr>
          <w:rFonts w:hint="eastAsia" w:ascii="宋体" w:hAnsi="宋体"/>
          <w:color w:val="000000"/>
          <w:szCs w:val="21"/>
          <w:highlight w:val="none"/>
        </w:rPr>
        <w:t xml:space="preserve">， </w:t>
      </w:r>
      <w:r>
        <w:rPr>
          <w:rFonts w:hint="eastAsia" w:ascii="宋体" w:hAnsi="宋体"/>
          <w:color w:val="000000"/>
          <w:szCs w:val="21"/>
          <w:highlight w:val="none"/>
          <w:u w:val="single"/>
        </w:rPr>
        <w:t xml:space="preserve">  </w:t>
      </w:r>
      <w:r>
        <w:rPr>
          <w:rFonts w:ascii="宋体" w:hAnsi="宋体"/>
          <w:color w:val="000000"/>
          <w:szCs w:val="21"/>
          <w:highlight w:val="none"/>
          <w:u w:val="single"/>
        </w:rPr>
        <w:t>1</w:t>
      </w:r>
      <w:r>
        <w:rPr>
          <w:rFonts w:hint="eastAsia" w:ascii="宋体" w:hAnsi="宋体"/>
          <w:color w:val="000000"/>
          <w:szCs w:val="21"/>
          <w:highlight w:val="none"/>
          <w:u w:val="single"/>
        </w:rPr>
        <w:t xml:space="preserve"> </w:t>
      </w:r>
      <w:r>
        <w:rPr>
          <w:rFonts w:hint="eastAsia" w:ascii="宋体" w:hAnsi="宋体"/>
          <w:color w:val="000000"/>
          <w:szCs w:val="21"/>
          <w:highlight w:val="none"/>
        </w:rPr>
        <w:t>月内甲方无息支付乙方全额质保金</w:t>
      </w:r>
      <w:r>
        <w:rPr>
          <w:rFonts w:hint="eastAsia" w:ascii="宋体" w:hAnsi="宋体" w:eastAsia="宋体" w:cs="Times New Roman"/>
          <w:color w:val="000000"/>
          <w:szCs w:val="21"/>
          <w:highlight w:val="none"/>
        </w:rPr>
        <w:t>（扣除违约金及应扣除款项）。</w:t>
      </w:r>
    </w:p>
    <w:p>
      <w:pPr>
        <w:spacing w:line="360" w:lineRule="exact"/>
        <w:ind w:firstLine="600" w:firstLineChars="250"/>
        <w:jc w:val="left"/>
        <w:rPr>
          <w:rFonts w:ascii="宋体" w:hAnsi="宋体" w:eastAsia="宋体" w:cs="Times New Roman"/>
          <w:color w:val="000000"/>
          <w:szCs w:val="21"/>
          <w:highlight w:val="none"/>
        </w:rPr>
      </w:pPr>
      <w:r>
        <w:rPr>
          <w:rFonts w:hint="eastAsia" w:ascii="宋体" w:hAnsi="宋体" w:eastAsia="宋体"/>
          <w:szCs w:val="21"/>
          <w:highlight w:val="none"/>
        </w:rPr>
        <w:t>（</w:t>
      </w:r>
      <w:r>
        <w:rPr>
          <w:rFonts w:hint="eastAsia" w:ascii="宋体" w:hAnsi="宋体" w:eastAsia="宋体" w:cs="Times New Roman"/>
          <w:color w:val="000000"/>
          <w:szCs w:val="21"/>
          <w:highlight w:val="none"/>
        </w:rPr>
        <w:t>五）乙方承诺具备使用承兑汇票、信用证、保理、供应链金融等非现金业务的的能力，乙方接受不低于合同总价</w:t>
      </w:r>
      <w:r>
        <w:rPr>
          <w:rFonts w:hint="eastAsia" w:ascii="宋体" w:hAnsi="宋体" w:eastAsia="宋体" w:cs="Times New Roman"/>
          <w:color w:val="000000"/>
          <w:szCs w:val="21"/>
          <w:highlight w:val="none"/>
          <w:u w:val="single"/>
        </w:rPr>
        <w:t xml:space="preserve">  </w:t>
      </w:r>
      <w:r>
        <w:rPr>
          <w:rFonts w:ascii="宋体" w:hAnsi="宋体" w:eastAsia="宋体" w:cs="Times New Roman"/>
          <w:color w:val="000000"/>
          <w:szCs w:val="21"/>
          <w:highlight w:val="none"/>
          <w:u w:val="single"/>
        </w:rPr>
        <w:t>30</w:t>
      </w:r>
      <w:r>
        <w:rPr>
          <w:rFonts w:hint="eastAsia"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rPr>
        <w:t>%的承兑汇票、信用证、保理、供应链金融等非现金付款方式，期限为</w:t>
      </w:r>
    </w:p>
    <w:p>
      <w:pPr>
        <w:spacing w:line="36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u w:val="single"/>
        </w:rPr>
        <w:t xml:space="preserve">  </w:t>
      </w:r>
      <w:r>
        <w:rPr>
          <w:rFonts w:ascii="宋体" w:hAnsi="宋体" w:eastAsia="宋体" w:cs="Times New Roman"/>
          <w:color w:val="000000"/>
          <w:szCs w:val="21"/>
          <w:highlight w:val="none"/>
          <w:u w:val="single"/>
        </w:rPr>
        <w:t>6</w:t>
      </w:r>
      <w:r>
        <w:rPr>
          <w:rFonts w:hint="eastAsia"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rPr>
        <w:t xml:space="preserve"> 个月，因此产生的相关贴现成本由乙方承担。</w:t>
      </w:r>
    </w:p>
    <w:p>
      <w:pPr>
        <w:spacing w:line="360" w:lineRule="exact"/>
        <w:ind w:firstLine="600" w:firstLineChars="25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（六）甲方向乙方付款采用银行承兑汇票、供应链金融、银行支票或网上银行支付等方式支付。乙方须保证资金往来账户与本合同所约定账户一致，开票单位名称与合同约定名称一致。</w:t>
      </w:r>
    </w:p>
    <w:p>
      <w:pPr>
        <w:spacing w:line="360" w:lineRule="exact"/>
        <w:ind w:firstLine="600" w:firstLineChars="25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七）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spacing w:line="360" w:lineRule="exact"/>
        <w:ind w:firstLine="600" w:firstLineChars="250"/>
        <w:jc w:val="left"/>
        <w:rPr>
          <w:rFonts w:ascii="宋体" w:hAnsi="宋体"/>
          <w:color w:val="000000"/>
          <w:szCs w:val="21"/>
          <w:highlight w:val="none"/>
        </w:rPr>
      </w:pPr>
      <w:r>
        <w:rPr>
          <w:rFonts w:hint="eastAsia" w:ascii="宋体" w:hAnsi="宋体" w:eastAsia="宋体" w:cs="Times New Roman"/>
          <w:color w:val="000000"/>
          <w:szCs w:val="21"/>
          <w:highlight w:val="none"/>
        </w:rPr>
        <w:t>（八）由于业主方原因造成甲方延迟支付货款，甲方不承担逾期利息。如甲方承担逾期利息时，约定利率为合同订立时1年期贷款市场报价利率</w:t>
      </w:r>
      <w:r>
        <w:rPr>
          <w:rFonts w:hint="eastAsia" w:ascii="宋体" w:hAnsi="宋体" w:eastAsia="宋体"/>
          <w:szCs w:val="21"/>
          <w:highlight w:val="none"/>
        </w:rPr>
        <w:t>。</w:t>
      </w:r>
    </w:p>
    <w:p>
      <w:pPr>
        <w:spacing w:line="360" w:lineRule="exact"/>
        <w:ind w:firstLine="600" w:firstLineChars="250"/>
        <w:jc w:val="left"/>
        <w:rPr>
          <w:rFonts w:ascii="宋体" w:hAnsi="宋体"/>
          <w:color w:val="000000"/>
          <w:szCs w:val="21"/>
          <w:highlight w:val="none"/>
        </w:rPr>
      </w:pPr>
      <w:r>
        <w:rPr>
          <w:rFonts w:hint="eastAsia" w:ascii="宋体" w:hAnsi="宋体"/>
          <w:color w:val="000000"/>
          <w:szCs w:val="21"/>
          <w:highlight w:val="none"/>
        </w:rPr>
        <w:t>(九)甲方开票信息</w:t>
      </w:r>
    </w:p>
    <w:p>
      <w:pPr>
        <w:tabs>
          <w:tab w:val="left" w:pos="765"/>
        </w:tabs>
        <w:spacing w:line="46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发票抬头：中建路桥集团建设发展有限公司；税号：</w:t>
      </w:r>
      <w:r>
        <w:rPr>
          <w:rFonts w:ascii="宋体" w:hAnsi="宋体"/>
          <w:color w:val="000000"/>
          <w:szCs w:val="21"/>
          <w:highlight w:val="none"/>
        </w:rPr>
        <w:t>91130100699210510L</w:t>
      </w:r>
      <w:r>
        <w:rPr>
          <w:rFonts w:hint="eastAsia" w:ascii="宋体" w:hAnsi="宋体"/>
          <w:color w:val="000000"/>
          <w:szCs w:val="21"/>
          <w:highlight w:val="none"/>
        </w:rPr>
        <w:t>；</w:t>
      </w:r>
    </w:p>
    <w:p>
      <w:pPr>
        <w:tabs>
          <w:tab w:val="left" w:pos="765"/>
        </w:tabs>
        <w:spacing w:line="46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地址：河北省石家庄市裕华区石栾路2-</w:t>
      </w:r>
      <w:r>
        <w:rPr>
          <w:rFonts w:ascii="宋体" w:hAnsi="宋体"/>
          <w:color w:val="000000"/>
          <w:szCs w:val="21"/>
          <w:highlight w:val="none"/>
        </w:rPr>
        <w:t>1</w:t>
      </w:r>
      <w:r>
        <w:rPr>
          <w:rFonts w:hint="eastAsia" w:ascii="宋体" w:hAnsi="宋体"/>
          <w:color w:val="000000"/>
          <w:szCs w:val="21"/>
          <w:highlight w:val="none"/>
        </w:rPr>
        <w:t>号；电话：0311-</w:t>
      </w:r>
      <w:r>
        <w:rPr>
          <w:rFonts w:ascii="宋体" w:hAnsi="宋体"/>
          <w:color w:val="000000"/>
          <w:szCs w:val="21"/>
          <w:highlight w:val="none"/>
        </w:rPr>
        <w:t>66537383</w:t>
      </w:r>
      <w:r>
        <w:rPr>
          <w:rFonts w:hint="eastAsia" w:ascii="宋体" w:hAnsi="宋体"/>
          <w:color w:val="000000"/>
          <w:szCs w:val="21"/>
          <w:highlight w:val="none"/>
        </w:rPr>
        <w:t>；</w:t>
      </w:r>
    </w:p>
    <w:p>
      <w:pPr>
        <w:spacing w:line="36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开户行：河北银行槐安路支行；账号：</w:t>
      </w:r>
      <w:r>
        <w:rPr>
          <w:rFonts w:ascii="宋体" w:hAnsi="宋体"/>
          <w:color w:val="000000"/>
          <w:szCs w:val="21"/>
          <w:highlight w:val="none"/>
        </w:rPr>
        <w:t>622012013000000258</w:t>
      </w:r>
    </w:p>
    <w:p>
      <w:pPr>
        <w:spacing w:line="36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（十）乙方收款信息及结算联系人</w:t>
      </w:r>
    </w:p>
    <w:p>
      <w:pPr>
        <w:spacing w:line="360" w:lineRule="exact"/>
        <w:ind w:firstLine="600" w:firstLineChars="250"/>
        <w:jc w:val="left"/>
        <w:rPr>
          <w:rFonts w:ascii="宋体" w:hAnsi="宋体"/>
          <w:color w:val="000000"/>
          <w:szCs w:val="21"/>
          <w:highlight w:val="none"/>
        </w:rPr>
      </w:pPr>
      <w:r>
        <w:rPr>
          <w:rFonts w:hint="eastAsia" w:ascii="宋体" w:hAnsi="宋体"/>
          <w:color w:val="000000"/>
          <w:szCs w:val="21"/>
          <w:highlight w:val="none"/>
        </w:rPr>
        <w:t>1.本合同乙方设备款结算人:姓名</w:t>
      </w:r>
      <w:r>
        <w:rPr>
          <w:rFonts w:hint="eastAsia" w:ascii="宋体" w:hAnsi="宋体"/>
          <w:color w:val="000000"/>
          <w:szCs w:val="21"/>
          <w:highlight w:val="none"/>
          <w:u w:val="single"/>
        </w:rPr>
        <w:t xml:space="preserve">             </w:t>
      </w: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p>
    <w:p>
      <w:pPr>
        <w:spacing w:line="360" w:lineRule="exact"/>
        <w:ind w:firstLine="600" w:firstLineChars="250"/>
        <w:jc w:val="left"/>
        <w:rPr>
          <w:rFonts w:ascii="宋体" w:hAnsi="宋体"/>
          <w:color w:val="000000"/>
          <w:szCs w:val="21"/>
          <w:highlight w:val="none"/>
        </w:rPr>
      </w:pPr>
      <w:r>
        <w:rPr>
          <w:rFonts w:hint="eastAsia" w:ascii="宋体" w:hAnsi="宋体"/>
          <w:color w:val="000000"/>
          <w:szCs w:val="21"/>
          <w:highlight w:val="none"/>
        </w:rPr>
        <w:t>2.乙方单位名称：</w:t>
      </w:r>
      <w:r>
        <w:rPr>
          <w:rFonts w:hint="eastAsia" w:ascii="宋体" w:hAnsi="宋体"/>
          <w:color w:val="000000"/>
          <w:szCs w:val="21"/>
          <w:highlight w:val="none"/>
          <w:u w:val="single"/>
        </w:rPr>
        <w:t xml:space="preserve">                          </w:t>
      </w:r>
    </w:p>
    <w:p>
      <w:pPr>
        <w:spacing w:line="360" w:lineRule="exact"/>
        <w:ind w:firstLine="960" w:firstLineChars="400"/>
        <w:jc w:val="left"/>
        <w:rPr>
          <w:rFonts w:ascii="宋体" w:hAnsi="宋体"/>
          <w:color w:val="000000"/>
          <w:szCs w:val="21"/>
          <w:highlight w:val="none"/>
        </w:rPr>
      </w:pPr>
      <w:r>
        <w:rPr>
          <w:rFonts w:hint="eastAsia" w:ascii="宋体" w:hAnsi="宋体"/>
          <w:color w:val="000000"/>
          <w:szCs w:val="21"/>
          <w:highlight w:val="none"/>
        </w:rPr>
        <w:t>开    户   行：</w:t>
      </w:r>
      <w:r>
        <w:rPr>
          <w:rFonts w:hint="eastAsia" w:ascii="宋体" w:hAnsi="宋体"/>
          <w:color w:val="000000"/>
          <w:szCs w:val="21"/>
          <w:highlight w:val="none"/>
          <w:u w:val="single"/>
        </w:rPr>
        <w:t xml:space="preserve">                          </w:t>
      </w:r>
    </w:p>
    <w:p>
      <w:pPr>
        <w:spacing w:line="360" w:lineRule="exact"/>
        <w:ind w:firstLine="960" w:firstLineChars="400"/>
        <w:jc w:val="left"/>
        <w:rPr>
          <w:rFonts w:ascii="宋体" w:hAnsi="宋体"/>
          <w:color w:val="000000"/>
          <w:szCs w:val="21"/>
          <w:highlight w:val="none"/>
          <w:u w:val="single"/>
        </w:rPr>
      </w:pPr>
      <w:r>
        <w:rPr>
          <w:rFonts w:hint="eastAsia" w:ascii="宋体" w:hAnsi="宋体"/>
          <w:color w:val="000000"/>
          <w:szCs w:val="21"/>
          <w:highlight w:val="none"/>
        </w:rPr>
        <w:t>账         号：</w:t>
      </w:r>
      <w:r>
        <w:rPr>
          <w:rFonts w:hint="eastAsia" w:ascii="宋体" w:hAnsi="宋体"/>
          <w:color w:val="000000"/>
          <w:szCs w:val="21"/>
          <w:highlight w:val="none"/>
          <w:u w:val="single"/>
        </w:rPr>
        <w:t xml:space="preserve">                          </w:t>
      </w:r>
    </w:p>
    <w:p>
      <w:pPr>
        <w:spacing w:line="36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（十一）甲方按合同指定乙方银行账户付款，乙方需保证对甲方的资金往来账户与签订合同名称一致，开票单位名称与甲方单位名称一致。</w:t>
      </w:r>
    </w:p>
    <w:p>
      <w:pPr>
        <w:tabs>
          <w:tab w:val="left" w:pos="900"/>
          <w:tab w:val="left" w:pos="988"/>
        </w:tabs>
        <w:spacing w:line="360" w:lineRule="exact"/>
        <w:ind w:firstLine="602" w:firstLineChars="250"/>
        <w:jc w:val="left"/>
        <w:rPr>
          <w:rFonts w:ascii="宋体" w:hAnsi="宋体"/>
          <w:b/>
          <w:color w:val="000000"/>
          <w:szCs w:val="21"/>
          <w:highlight w:val="none"/>
        </w:rPr>
      </w:pPr>
      <w:r>
        <w:rPr>
          <w:rFonts w:hint="eastAsia" w:ascii="宋体" w:hAnsi="宋体"/>
          <w:b/>
          <w:color w:val="000000"/>
          <w:szCs w:val="21"/>
          <w:highlight w:val="none"/>
        </w:rPr>
        <w:t>五、交货联系人</w:t>
      </w:r>
    </w:p>
    <w:p>
      <w:pPr>
        <w:tabs>
          <w:tab w:val="left" w:pos="900"/>
          <w:tab w:val="left" w:pos="988"/>
        </w:tabs>
        <w:spacing w:line="360" w:lineRule="exact"/>
        <w:ind w:firstLine="1080" w:firstLineChars="450"/>
        <w:rPr>
          <w:rFonts w:ascii="宋体" w:hAnsi="宋体"/>
          <w:color w:val="000000"/>
          <w:szCs w:val="21"/>
          <w:highlight w:val="none"/>
          <w:u w:val="single"/>
        </w:rPr>
      </w:pPr>
      <w:r>
        <w:rPr>
          <w:rFonts w:hint="eastAsia" w:ascii="宋体" w:hAnsi="宋体"/>
          <w:color w:val="000000"/>
          <w:szCs w:val="21"/>
          <w:highlight w:val="none"/>
        </w:rPr>
        <w:t>甲方联系人：</w:t>
      </w:r>
      <w:r>
        <w:rPr>
          <w:rFonts w:hint="eastAsia" w:ascii="宋体" w:hAnsi="宋体"/>
          <w:color w:val="000000"/>
          <w:szCs w:val="21"/>
          <w:highlight w:val="none"/>
          <w:u w:val="single"/>
        </w:rPr>
        <w:t xml:space="preserve">         </w:t>
      </w: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spacing w:line="360" w:lineRule="exact"/>
        <w:ind w:firstLine="1080" w:firstLineChars="450"/>
        <w:rPr>
          <w:rFonts w:ascii="宋体" w:hAnsi="宋体"/>
          <w:color w:val="000000"/>
          <w:szCs w:val="21"/>
          <w:highlight w:val="none"/>
        </w:rPr>
      </w:pPr>
      <w:r>
        <w:rPr>
          <w:rFonts w:hint="eastAsia" w:ascii="宋体" w:hAnsi="宋体"/>
          <w:color w:val="000000"/>
          <w:szCs w:val="21"/>
          <w:highlight w:val="none"/>
        </w:rPr>
        <w:t>乙方联系人：</w:t>
      </w:r>
      <w:r>
        <w:rPr>
          <w:rFonts w:hint="eastAsia" w:ascii="宋体" w:hAnsi="宋体"/>
          <w:color w:val="000000"/>
          <w:szCs w:val="21"/>
          <w:highlight w:val="none"/>
          <w:u w:val="single"/>
        </w:rPr>
        <w:t xml:space="preserve">         </w:t>
      </w:r>
      <w:r>
        <w:rPr>
          <w:rFonts w:hint="eastAsia" w:ascii="宋体" w:hAnsi="宋体"/>
          <w:color w:val="000000"/>
          <w:szCs w:val="21"/>
          <w:highlight w:val="none"/>
        </w:rPr>
        <w:t>，身份证号码</w:t>
      </w:r>
      <w:r>
        <w:rPr>
          <w:rFonts w:hint="eastAsia" w:ascii="宋体" w:hAnsi="宋体"/>
          <w:color w:val="000000"/>
          <w:szCs w:val="21"/>
          <w:highlight w:val="none"/>
          <w:u w:val="single"/>
        </w:rPr>
        <w:t xml:space="preserve">              </w:t>
      </w: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spacing w:line="360" w:lineRule="exact"/>
        <w:ind w:firstLine="600" w:firstLineChars="249"/>
        <w:rPr>
          <w:rFonts w:ascii="宋体" w:hAnsi="宋体"/>
          <w:szCs w:val="21"/>
          <w:highlight w:val="none"/>
        </w:rPr>
      </w:pPr>
      <w:bookmarkStart w:id="73" w:name="_Toc351203493"/>
      <w:r>
        <w:rPr>
          <w:rFonts w:hint="eastAsia" w:ascii="宋体" w:hAnsi="宋体"/>
          <w:b/>
          <w:szCs w:val="21"/>
          <w:highlight w:val="none"/>
        </w:rPr>
        <w:t>六、设备运输方式为</w:t>
      </w:r>
      <w:r>
        <w:rPr>
          <w:rFonts w:hint="eastAsia" w:ascii="宋体" w:hAnsi="宋体"/>
          <w:szCs w:val="21"/>
          <w:highlight w:val="none"/>
        </w:rPr>
        <w:t>：</w:t>
      </w:r>
      <w:r>
        <w:rPr>
          <w:rFonts w:hint="eastAsia" w:ascii="宋体" w:hAnsi="宋体"/>
          <w:szCs w:val="21"/>
          <w:highlight w:val="none"/>
          <w:u w:val="single"/>
        </w:rPr>
        <w:t xml:space="preserve">  汽运     </w:t>
      </w:r>
      <w:r>
        <w:rPr>
          <w:rFonts w:hint="eastAsia" w:ascii="宋体" w:hAnsi="宋体"/>
          <w:szCs w:val="21"/>
          <w:highlight w:val="none"/>
        </w:rPr>
        <w:t>。</w:t>
      </w:r>
    </w:p>
    <w:p>
      <w:pPr>
        <w:tabs>
          <w:tab w:val="left" w:pos="900"/>
          <w:tab w:val="left" w:pos="988"/>
        </w:tabs>
        <w:spacing w:line="360" w:lineRule="exact"/>
        <w:ind w:firstLine="590" w:firstLineChars="245"/>
        <w:rPr>
          <w:rFonts w:ascii="宋体" w:hAnsi="宋体"/>
          <w:szCs w:val="21"/>
          <w:highlight w:val="none"/>
        </w:rPr>
      </w:pPr>
      <w:bookmarkStart w:id="74" w:name="_Toc351203489"/>
      <w:r>
        <w:rPr>
          <w:rFonts w:hint="eastAsia" w:ascii="宋体" w:hAnsi="宋体"/>
          <w:b/>
          <w:szCs w:val="21"/>
          <w:highlight w:val="none"/>
        </w:rPr>
        <w:t>七、合同</w:t>
      </w:r>
      <w:r>
        <w:rPr>
          <w:rFonts w:ascii="宋体" w:hAnsi="宋体"/>
          <w:b/>
          <w:szCs w:val="21"/>
          <w:highlight w:val="none"/>
        </w:rPr>
        <w:t>签订时间</w:t>
      </w:r>
      <w:bookmarkEnd w:id="74"/>
      <w:r>
        <w:rPr>
          <w:rFonts w:hint="eastAsia" w:ascii="宋体" w:hAnsi="宋体"/>
          <w:b/>
          <w:szCs w:val="21"/>
          <w:highlight w:val="none"/>
        </w:rPr>
        <w:t>：</w:t>
      </w:r>
      <w:r>
        <w:rPr>
          <w:rFonts w:ascii="宋体" w:hAnsi="宋体"/>
          <w:szCs w:val="21"/>
          <w:highlight w:val="none"/>
        </w:rPr>
        <w:t>本合同于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年月日签订。</w:t>
      </w:r>
    </w:p>
    <w:p>
      <w:pPr>
        <w:tabs>
          <w:tab w:val="left" w:pos="900"/>
          <w:tab w:val="left" w:pos="988"/>
        </w:tabs>
        <w:spacing w:line="360" w:lineRule="exact"/>
        <w:ind w:firstLine="590" w:firstLineChars="245"/>
        <w:rPr>
          <w:rFonts w:ascii="宋体" w:hAnsi="宋体"/>
          <w:b/>
          <w:szCs w:val="21"/>
          <w:highlight w:val="none"/>
        </w:rPr>
      </w:pPr>
      <w:r>
        <w:rPr>
          <w:rFonts w:hint="eastAsia" w:ascii="宋体" w:hAnsi="宋体"/>
          <w:b/>
          <w:szCs w:val="21"/>
          <w:highlight w:val="none"/>
        </w:rPr>
        <w:t>八、合同签订地点：</w:t>
      </w:r>
      <w:r>
        <w:rPr>
          <w:rFonts w:hint="eastAsia" w:ascii="宋体" w:hAnsi="宋体"/>
          <w:szCs w:val="21"/>
          <w:highlight w:val="none"/>
          <w:u w:val="single"/>
        </w:rPr>
        <w:t>河北省石家庄市建设南大街38号</w:t>
      </w:r>
      <w:r>
        <w:rPr>
          <w:rFonts w:hint="eastAsia" w:ascii="宋体" w:hAnsi="宋体"/>
          <w:bCs/>
          <w:szCs w:val="21"/>
          <w:highlight w:val="none"/>
        </w:rPr>
        <w:t>。</w:t>
      </w:r>
    </w:p>
    <w:p>
      <w:pPr>
        <w:spacing w:line="400" w:lineRule="exact"/>
        <w:ind w:left="480" w:leftChars="200" w:firstLine="118" w:firstLineChars="49"/>
        <w:jc w:val="left"/>
        <w:rPr>
          <w:rFonts w:ascii="宋体" w:hAnsi="宋体"/>
          <w:b/>
          <w:szCs w:val="21"/>
          <w:highlight w:val="none"/>
        </w:rPr>
      </w:pPr>
      <w:r>
        <w:rPr>
          <w:rFonts w:hint="eastAsia" w:ascii="宋体" w:hAnsi="宋体"/>
          <w:b/>
          <w:szCs w:val="21"/>
          <w:highlight w:val="none"/>
        </w:rPr>
        <w:t>九、设备颜色约定：</w:t>
      </w:r>
    </w:p>
    <w:p>
      <w:pPr>
        <w:spacing w:line="400" w:lineRule="exact"/>
        <w:ind w:left="480" w:leftChars="200" w:firstLine="117" w:firstLineChars="49"/>
        <w:jc w:val="left"/>
        <w:rPr>
          <w:rFonts w:ascii="宋体" w:hAnsi="宋体"/>
          <w:szCs w:val="21"/>
          <w:highlight w:val="none"/>
        </w:rPr>
      </w:pPr>
      <w:r>
        <w:rPr>
          <w:rFonts w:hint="eastAsia" w:ascii="宋体" w:hAnsi="宋体"/>
          <w:szCs w:val="21"/>
          <w:highlight w:val="none"/>
        </w:rPr>
        <w:t>一、设备外观颜色，设备内饰颜色。</w:t>
      </w:r>
    </w:p>
    <w:p>
      <w:pPr>
        <w:spacing w:line="400" w:lineRule="exact"/>
        <w:ind w:left="480" w:leftChars="200" w:firstLine="117" w:firstLineChars="49"/>
        <w:jc w:val="left"/>
        <w:rPr>
          <w:rFonts w:ascii="宋体" w:hAnsi="宋体"/>
          <w:szCs w:val="21"/>
          <w:highlight w:val="none"/>
        </w:rPr>
      </w:pPr>
      <w:r>
        <w:rPr>
          <w:rFonts w:hint="eastAsia" w:ascii="宋体" w:hAnsi="宋体"/>
          <w:szCs w:val="21"/>
          <w:highlight w:val="none"/>
        </w:rPr>
        <w:t>二、喷涂“中建路桥”及中建LOGO。</w:t>
      </w:r>
    </w:p>
    <w:p>
      <w:pPr>
        <w:spacing w:line="360" w:lineRule="exact"/>
        <w:ind w:firstLine="590" w:firstLineChars="245"/>
        <w:rPr>
          <w:rFonts w:ascii="宋体" w:hAnsi="宋体"/>
          <w:szCs w:val="21"/>
          <w:highlight w:val="none"/>
        </w:rPr>
      </w:pPr>
      <w:r>
        <w:rPr>
          <w:rFonts w:hint="eastAsia" w:ascii="宋体" w:hAnsi="宋体"/>
          <w:b/>
          <w:szCs w:val="21"/>
          <w:highlight w:val="none"/>
        </w:rPr>
        <w:t>十、培训要求</w:t>
      </w:r>
      <w:r>
        <w:rPr>
          <w:rFonts w:hint="eastAsia" w:ascii="宋体" w:hAnsi="宋体"/>
          <w:szCs w:val="21"/>
          <w:highlight w:val="none"/>
        </w:rPr>
        <w:t>：本合同签署后</w:t>
      </w:r>
      <w:r>
        <w:rPr>
          <w:rFonts w:hint="eastAsia" w:ascii="宋体" w:hAnsi="宋体"/>
          <w:szCs w:val="21"/>
          <w:highlight w:val="none"/>
          <w:u w:val="single"/>
        </w:rPr>
        <w:t xml:space="preserve"> 15  </w:t>
      </w:r>
      <w:r>
        <w:rPr>
          <w:rFonts w:hint="eastAsia" w:ascii="宋体" w:hAnsi="宋体"/>
          <w:szCs w:val="21"/>
          <w:highlight w:val="none"/>
        </w:rPr>
        <w:t>个工作日内，乙方应免费为甲方就合同内设备相关的知识技能安排培训，具体内容如下：</w:t>
      </w:r>
    </w:p>
    <w:p>
      <w:pPr>
        <w:spacing w:line="360" w:lineRule="exact"/>
        <w:ind w:firstLine="480" w:firstLineChars="200"/>
        <w:rPr>
          <w:rFonts w:ascii="宋体" w:hAnsi="宋体"/>
          <w:szCs w:val="21"/>
          <w:highlight w:val="none"/>
        </w:rPr>
      </w:pPr>
      <w:r>
        <w:rPr>
          <w:rFonts w:hint="eastAsia" w:ascii="宋体" w:hAnsi="宋体"/>
          <w:szCs w:val="21"/>
          <w:highlight w:val="none"/>
        </w:rPr>
        <w:t>1.培训课时：不低于</w:t>
      </w:r>
      <w:r>
        <w:rPr>
          <w:rFonts w:hint="eastAsia" w:ascii="宋体" w:hAnsi="宋体"/>
          <w:szCs w:val="21"/>
          <w:highlight w:val="none"/>
          <w:u w:val="single"/>
        </w:rPr>
        <w:t xml:space="preserve">  40  课时</w:t>
      </w:r>
      <w:r>
        <w:rPr>
          <w:rFonts w:hint="eastAsia" w:ascii="宋体" w:hAnsi="宋体"/>
          <w:szCs w:val="21"/>
          <w:highlight w:val="none"/>
        </w:rPr>
        <w:t>。</w:t>
      </w:r>
    </w:p>
    <w:p>
      <w:pPr>
        <w:spacing w:line="360" w:lineRule="exact"/>
        <w:ind w:firstLine="480" w:firstLineChars="200"/>
        <w:rPr>
          <w:rFonts w:ascii="宋体" w:hAnsi="宋体"/>
          <w:szCs w:val="21"/>
          <w:highlight w:val="none"/>
        </w:rPr>
      </w:pPr>
      <w:r>
        <w:rPr>
          <w:rFonts w:hint="eastAsia" w:ascii="宋体" w:hAnsi="宋体"/>
          <w:szCs w:val="21"/>
          <w:highlight w:val="none"/>
        </w:rPr>
        <w:t>2.培训地点：</w:t>
      </w:r>
      <w:r>
        <w:rPr>
          <w:rFonts w:hint="eastAsia" w:ascii="宋体" w:hAnsi="宋体"/>
          <w:szCs w:val="21"/>
          <w:highlight w:val="none"/>
          <w:u w:val="single"/>
        </w:rPr>
        <w:t xml:space="preserve">  施工现场   </w:t>
      </w:r>
      <w:r>
        <w:rPr>
          <w:rFonts w:hint="eastAsia" w:ascii="宋体" w:hAnsi="宋体"/>
          <w:szCs w:val="21"/>
          <w:highlight w:val="none"/>
        </w:rPr>
        <w:t>。</w:t>
      </w:r>
    </w:p>
    <w:p>
      <w:pPr>
        <w:spacing w:line="360" w:lineRule="exact"/>
        <w:ind w:firstLine="480" w:firstLineChars="200"/>
        <w:rPr>
          <w:rFonts w:ascii="宋体" w:hAnsi="宋体"/>
          <w:szCs w:val="21"/>
          <w:highlight w:val="none"/>
        </w:rPr>
      </w:pPr>
      <w:r>
        <w:rPr>
          <w:rFonts w:hint="eastAsia" w:ascii="宋体" w:hAnsi="宋体"/>
          <w:szCs w:val="21"/>
          <w:highlight w:val="none"/>
        </w:rPr>
        <w:t>3.培训内容：</w:t>
      </w:r>
      <w:r>
        <w:rPr>
          <w:rFonts w:hint="eastAsia" w:ascii="宋体" w:hAnsi="宋体"/>
          <w:szCs w:val="21"/>
          <w:highlight w:val="none"/>
          <w:u w:val="single"/>
        </w:rPr>
        <w:t xml:space="preserve">  操作、维护保养、故障排除等 </w:t>
      </w:r>
      <w:r>
        <w:rPr>
          <w:rFonts w:hint="eastAsia" w:ascii="宋体" w:hAnsi="宋体"/>
          <w:szCs w:val="21"/>
          <w:highlight w:val="none"/>
        </w:rPr>
        <w:t>。</w:t>
      </w:r>
    </w:p>
    <w:p>
      <w:pPr>
        <w:spacing w:line="360" w:lineRule="exact"/>
        <w:ind w:firstLine="480" w:firstLineChars="200"/>
        <w:rPr>
          <w:rFonts w:ascii="宋体" w:hAnsi="宋体"/>
          <w:szCs w:val="21"/>
          <w:highlight w:val="none"/>
        </w:rPr>
      </w:pPr>
      <w:r>
        <w:rPr>
          <w:rFonts w:hint="eastAsia" w:ascii="宋体" w:hAnsi="宋体"/>
          <w:szCs w:val="21"/>
          <w:highlight w:val="none"/>
        </w:rPr>
        <w:t>4.培训目的：</w:t>
      </w:r>
      <w:r>
        <w:rPr>
          <w:rFonts w:hint="eastAsia" w:ascii="宋体" w:hAnsi="宋体"/>
          <w:szCs w:val="21"/>
          <w:highlight w:val="none"/>
          <w:u w:val="single"/>
        </w:rPr>
        <w:t xml:space="preserve"> 正常使用  </w:t>
      </w:r>
      <w:r>
        <w:rPr>
          <w:rFonts w:hint="eastAsia" w:ascii="宋体" w:hAnsi="宋体"/>
          <w:szCs w:val="21"/>
          <w:highlight w:val="none"/>
        </w:rPr>
        <w:t xml:space="preserve">。 </w:t>
      </w:r>
    </w:p>
    <w:p>
      <w:pPr>
        <w:spacing w:line="360" w:lineRule="exact"/>
        <w:ind w:firstLine="480" w:firstLineChars="200"/>
        <w:rPr>
          <w:rFonts w:ascii="宋体" w:hAnsi="宋体"/>
          <w:szCs w:val="21"/>
          <w:highlight w:val="none"/>
        </w:rPr>
      </w:pPr>
      <w:r>
        <w:rPr>
          <w:rFonts w:hint="eastAsia" w:ascii="宋体" w:hAnsi="宋体"/>
          <w:szCs w:val="21"/>
          <w:highlight w:val="none"/>
        </w:rPr>
        <w:t>5. 培训其他约定：</w:t>
      </w:r>
      <w:r>
        <w:rPr>
          <w:rFonts w:hint="eastAsia" w:ascii="宋体" w:hAnsi="宋体"/>
          <w:szCs w:val="21"/>
          <w:highlight w:val="none"/>
          <w:u w:val="single"/>
        </w:rPr>
        <w:t xml:space="preserve">  无       </w:t>
      </w:r>
      <w:r>
        <w:rPr>
          <w:rFonts w:hint="eastAsia" w:ascii="宋体" w:hAnsi="宋体"/>
          <w:szCs w:val="21"/>
          <w:highlight w:val="none"/>
        </w:rPr>
        <w:t xml:space="preserve">。 </w:t>
      </w:r>
    </w:p>
    <w:p>
      <w:pPr>
        <w:tabs>
          <w:tab w:val="left" w:pos="900"/>
          <w:tab w:val="left" w:pos="988"/>
        </w:tabs>
        <w:spacing w:line="360" w:lineRule="exact"/>
        <w:ind w:firstLine="472" w:firstLineChars="196"/>
        <w:rPr>
          <w:rFonts w:ascii="宋体" w:hAnsi="宋体"/>
          <w:b/>
          <w:szCs w:val="21"/>
          <w:highlight w:val="none"/>
        </w:rPr>
      </w:pPr>
      <w:r>
        <w:rPr>
          <w:rFonts w:hint="eastAsia" w:ascii="宋体" w:hAnsi="宋体"/>
          <w:b/>
          <w:szCs w:val="21"/>
          <w:highlight w:val="none"/>
        </w:rPr>
        <w:t>十一、</w:t>
      </w:r>
      <w:r>
        <w:rPr>
          <w:rFonts w:ascii="宋体" w:hAnsi="宋体"/>
          <w:b/>
          <w:szCs w:val="21"/>
          <w:highlight w:val="none"/>
        </w:rPr>
        <w:t>合同份数</w:t>
      </w:r>
      <w:bookmarkEnd w:id="73"/>
      <w:r>
        <w:rPr>
          <w:rFonts w:hint="eastAsia" w:ascii="宋体" w:hAnsi="宋体"/>
          <w:b/>
          <w:szCs w:val="21"/>
          <w:highlight w:val="none"/>
        </w:rPr>
        <w:t>：</w:t>
      </w:r>
      <w:r>
        <w:rPr>
          <w:rFonts w:hint="eastAsia" w:ascii="宋体" w:hAnsi="宋体"/>
          <w:szCs w:val="21"/>
          <w:highlight w:val="none"/>
        </w:rPr>
        <w:t>本合同一式8份，甲方执6份，乙方执2份。</w:t>
      </w:r>
    </w:p>
    <w:p>
      <w:pPr>
        <w:snapToGrid w:val="0"/>
        <w:spacing w:line="400" w:lineRule="exact"/>
        <w:ind w:firstLine="480" w:firstLineChars="200"/>
        <w:rPr>
          <w:rFonts w:ascii="宋体" w:hAnsi="宋体"/>
          <w:szCs w:val="21"/>
          <w:highlight w:val="none"/>
        </w:rPr>
      </w:pP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 xml:space="preserve">甲方：（盖章）                                乙方：（盖章） </w:t>
      </w:r>
    </w:p>
    <w:p>
      <w:pPr>
        <w:snapToGrid w:val="0"/>
        <w:spacing w:line="400" w:lineRule="exact"/>
        <w:ind w:firstLine="480" w:firstLineChars="200"/>
        <w:jc w:val="left"/>
        <w:rPr>
          <w:rFonts w:ascii="宋体" w:hAnsi="宋体"/>
          <w:szCs w:val="21"/>
          <w:highlight w:val="none"/>
        </w:rPr>
      </w:pPr>
      <w:r>
        <w:rPr>
          <w:rFonts w:hint="eastAsia" w:ascii="宋体" w:hAnsi="宋体"/>
          <w:szCs w:val="21"/>
          <w:highlight w:val="none"/>
        </w:rPr>
        <w:t xml:space="preserve">法定代表人                                   法定代表人 </w:t>
      </w:r>
    </w:p>
    <w:p>
      <w:pPr>
        <w:snapToGrid w:val="0"/>
        <w:spacing w:line="400" w:lineRule="exact"/>
        <w:ind w:firstLine="480" w:firstLineChars="200"/>
        <w:rPr>
          <w:rFonts w:ascii="宋体" w:hAnsi="宋体"/>
          <w:szCs w:val="21"/>
          <w:highlight w:val="none"/>
        </w:rPr>
      </w:pPr>
      <w:r>
        <w:rPr>
          <w:rFonts w:hint="eastAsia" w:ascii="宋体" w:hAnsi="宋体"/>
          <w:szCs w:val="21"/>
          <w:highlight w:val="none"/>
        </w:rPr>
        <w:t>或被授权人签字：                             或被授权人签字：</w:t>
      </w:r>
    </w:p>
    <w:p>
      <w:pPr>
        <w:snapToGrid w:val="0"/>
        <w:spacing w:line="400" w:lineRule="exact"/>
        <w:ind w:firstLine="480" w:firstLineChars="200"/>
        <w:rPr>
          <w:rFonts w:ascii="仿宋_GB2312" w:hAnsi="宋体" w:eastAsia="仿宋_GB2312"/>
          <w:highlight w:val="none"/>
        </w:rPr>
      </w:pPr>
      <w:r>
        <w:rPr>
          <w:rFonts w:hint="eastAsia" w:ascii="宋体" w:hAnsi="宋体"/>
          <w:szCs w:val="21"/>
          <w:highlight w:val="none"/>
        </w:rPr>
        <w:t>联系电话：                                   联系电话：</w:t>
      </w:r>
    </w:p>
    <w:p>
      <w:pPr>
        <w:spacing w:line="360" w:lineRule="exact"/>
        <w:ind w:left="5213" w:leftChars="472" w:hanging="4080" w:hangingChars="1700"/>
        <w:jc w:val="left"/>
        <w:rPr>
          <w:rFonts w:ascii="宋体" w:hAnsi="宋体"/>
          <w:szCs w:val="21"/>
          <w:highlight w:val="none"/>
        </w:rPr>
      </w:pPr>
      <w:r>
        <w:rPr>
          <w:rFonts w:hint="eastAsia" w:ascii="宋体" w:hAnsi="宋体"/>
          <w:szCs w:val="21"/>
          <w:highlight w:val="none"/>
        </w:rPr>
        <w:t xml:space="preserve">                                                                                              </w:t>
      </w: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spacing w:line="360" w:lineRule="exact"/>
        <w:jc w:val="center"/>
        <w:rPr>
          <w:rFonts w:ascii="宋体" w:hAnsi="宋体"/>
          <w:b/>
          <w:sz w:val="30"/>
          <w:szCs w:val="30"/>
          <w:highlight w:val="none"/>
        </w:rPr>
      </w:pPr>
    </w:p>
    <w:p>
      <w:pPr>
        <w:pStyle w:val="2"/>
        <w:rPr>
          <w:rFonts w:hAnsi="宋体"/>
          <w:b/>
          <w:sz w:val="30"/>
          <w:szCs w:val="30"/>
          <w:highlight w:val="none"/>
        </w:rPr>
      </w:pPr>
    </w:p>
    <w:p>
      <w:pPr>
        <w:pStyle w:val="2"/>
        <w:rPr>
          <w:rFonts w:hAnsi="宋体"/>
          <w:b/>
          <w:sz w:val="30"/>
          <w:szCs w:val="30"/>
          <w:highlight w:val="none"/>
        </w:rPr>
      </w:pPr>
    </w:p>
    <w:p>
      <w:pPr>
        <w:pStyle w:val="2"/>
        <w:rPr>
          <w:rFonts w:hAnsi="宋体"/>
          <w:b/>
          <w:sz w:val="30"/>
          <w:szCs w:val="30"/>
          <w:highlight w:val="none"/>
        </w:rPr>
      </w:pPr>
    </w:p>
    <w:p>
      <w:pPr>
        <w:pStyle w:val="2"/>
        <w:rPr>
          <w:rFonts w:hAnsi="宋体"/>
          <w:b/>
          <w:sz w:val="30"/>
          <w:szCs w:val="30"/>
          <w:highlight w:val="none"/>
        </w:rPr>
      </w:pPr>
    </w:p>
    <w:p>
      <w:pPr>
        <w:pStyle w:val="2"/>
        <w:rPr>
          <w:rFonts w:hAnsi="宋体"/>
          <w:b/>
          <w:sz w:val="30"/>
          <w:szCs w:val="30"/>
          <w:highlight w:val="none"/>
        </w:rPr>
      </w:pPr>
    </w:p>
    <w:p>
      <w:pPr>
        <w:pStyle w:val="2"/>
        <w:rPr>
          <w:rFonts w:hAnsi="宋体"/>
          <w:b/>
          <w:sz w:val="30"/>
          <w:szCs w:val="30"/>
          <w:highlight w:val="none"/>
        </w:rPr>
      </w:pPr>
    </w:p>
    <w:p>
      <w:pPr>
        <w:spacing w:line="360" w:lineRule="exact"/>
        <w:jc w:val="center"/>
        <w:rPr>
          <w:rFonts w:ascii="宋体" w:hAnsi="宋体"/>
          <w:b/>
          <w:sz w:val="30"/>
          <w:szCs w:val="30"/>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360" w:lineRule="exact"/>
        <w:jc w:val="center"/>
        <w:rPr>
          <w:rFonts w:ascii="宋体" w:hAnsi="宋体"/>
          <w:b/>
          <w:sz w:val="30"/>
          <w:szCs w:val="30"/>
          <w:highlight w:val="none"/>
        </w:rPr>
      </w:pPr>
    </w:p>
    <w:p>
      <w:pPr>
        <w:spacing w:line="360" w:lineRule="exact"/>
        <w:rPr>
          <w:rFonts w:ascii="宋体" w:hAnsi="宋体"/>
          <w:b/>
          <w:sz w:val="30"/>
          <w:szCs w:val="30"/>
          <w:highlight w:val="none"/>
        </w:rPr>
      </w:pPr>
    </w:p>
    <w:p>
      <w:pPr>
        <w:spacing w:line="360" w:lineRule="exact"/>
        <w:jc w:val="center"/>
        <w:rPr>
          <w:rFonts w:ascii="宋体" w:hAnsi="宋体"/>
          <w:b/>
          <w:sz w:val="30"/>
          <w:szCs w:val="30"/>
          <w:highlight w:val="none"/>
        </w:rPr>
      </w:pPr>
      <w:r>
        <w:rPr>
          <w:rFonts w:hint="eastAsia" w:ascii="宋体" w:hAnsi="宋体"/>
          <w:b/>
          <w:sz w:val="30"/>
          <w:szCs w:val="30"/>
          <w:highlight w:val="none"/>
        </w:rPr>
        <w:t>第二部分 通用合同条款</w:t>
      </w:r>
    </w:p>
    <w:p>
      <w:pPr>
        <w:tabs>
          <w:tab w:val="left" w:pos="425"/>
        </w:tabs>
        <w:spacing w:line="400" w:lineRule="exact"/>
        <w:ind w:left="480" w:leftChars="200"/>
        <w:jc w:val="left"/>
        <w:rPr>
          <w:rFonts w:ascii="宋体" w:hAnsi="宋体"/>
          <w:b/>
          <w:szCs w:val="21"/>
          <w:highlight w:val="none"/>
        </w:rPr>
      </w:pPr>
      <w:bookmarkStart w:id="75" w:name="_Toc303538976"/>
      <w:bookmarkEnd w:id="75"/>
      <w:bookmarkStart w:id="76" w:name="_Toc303538973"/>
      <w:bookmarkEnd w:id="76"/>
      <w:bookmarkStart w:id="77" w:name="_Toc303538972"/>
      <w:bookmarkEnd w:id="77"/>
      <w:bookmarkStart w:id="78" w:name="_Toc303538975"/>
      <w:bookmarkEnd w:id="78"/>
      <w:bookmarkStart w:id="79" w:name="_Toc303538974"/>
      <w:bookmarkEnd w:id="79"/>
      <w:r>
        <w:rPr>
          <w:rFonts w:hint="eastAsia" w:ascii="宋体" w:hAnsi="宋体"/>
          <w:b/>
          <w:szCs w:val="21"/>
          <w:highlight w:val="none"/>
        </w:rPr>
        <w:t>1.适用法律法规</w:t>
      </w:r>
    </w:p>
    <w:p>
      <w:pPr>
        <w:tabs>
          <w:tab w:val="left" w:pos="992"/>
        </w:tabs>
        <w:spacing w:line="400" w:lineRule="exact"/>
        <w:ind w:left="480" w:leftChars="200"/>
        <w:jc w:val="left"/>
        <w:rPr>
          <w:rFonts w:ascii="宋体" w:hAnsi="宋体"/>
          <w:szCs w:val="21"/>
          <w:highlight w:val="none"/>
        </w:rPr>
      </w:pPr>
      <w:bookmarkStart w:id="80" w:name="A2"/>
      <w:bookmarkEnd w:id="80"/>
      <w:r>
        <w:rPr>
          <w:rFonts w:hint="eastAsia" w:ascii="宋体" w:hAnsi="宋体"/>
          <w:szCs w:val="21"/>
          <w:highlight w:val="none"/>
        </w:rPr>
        <w:t>1.1</w:t>
      </w:r>
      <w:r>
        <w:rPr>
          <w:rFonts w:ascii="宋体" w:hAnsi="宋体"/>
          <w:szCs w:val="21"/>
          <w:highlight w:val="none"/>
        </w:rPr>
        <w:t>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法律、行政法规、部门规章，以及</w:t>
      </w:r>
      <w:r>
        <w:rPr>
          <w:rFonts w:hint="eastAsia" w:ascii="宋体" w:hAnsi="宋体"/>
          <w:szCs w:val="21"/>
          <w:highlight w:val="none"/>
        </w:rPr>
        <w:t>设备</w:t>
      </w:r>
      <w:r>
        <w:rPr>
          <w:rFonts w:ascii="宋体" w:hAnsi="宋体"/>
          <w:szCs w:val="21"/>
          <w:highlight w:val="none"/>
        </w:rPr>
        <w:t>所在地的地方法规、自治条例、单行条例和地方政府规章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《中华人民共和国民法典》、《中华人民共和国产品质量法》、</w:t>
      </w:r>
      <w:r>
        <w:rPr>
          <w:rFonts w:ascii="Arial" w:hAnsi="Arial" w:cs="Arial"/>
          <w:highlight w:val="none"/>
        </w:rPr>
        <w:t>《</w:t>
      </w:r>
      <w:r>
        <w:rPr>
          <w:rStyle w:val="35"/>
          <w:rFonts w:cs="Arial"/>
          <w:highlight w:val="none"/>
        </w:rPr>
        <w:t>特种设备安全监察条例</w:t>
      </w:r>
      <w:r>
        <w:rPr>
          <w:rFonts w:ascii="Arial" w:hAnsi="Arial" w:cs="Arial"/>
          <w:highlight w:val="none"/>
        </w:rPr>
        <w:t>》</w:t>
      </w:r>
      <w:r>
        <w:rPr>
          <w:rFonts w:hint="eastAsia" w:ascii="Arial" w:hAnsi="Arial" w:cs="Arial"/>
          <w:highlight w:val="none"/>
        </w:rPr>
        <w:t>等。</w:t>
      </w:r>
    </w:p>
    <w:p>
      <w:pPr>
        <w:tabs>
          <w:tab w:val="left" w:pos="425"/>
          <w:tab w:val="left" w:pos="992"/>
        </w:tabs>
        <w:spacing w:line="400" w:lineRule="exact"/>
        <w:ind w:left="480" w:leftChars="200"/>
        <w:jc w:val="left"/>
        <w:rPr>
          <w:rFonts w:ascii="宋体" w:hAnsi="宋体"/>
          <w:szCs w:val="21"/>
          <w:highlight w:val="none"/>
        </w:rPr>
      </w:pPr>
      <w:r>
        <w:rPr>
          <w:rFonts w:hint="eastAsia" w:ascii="宋体" w:hAnsi="宋体"/>
          <w:szCs w:val="21"/>
          <w:highlight w:val="none"/>
        </w:rPr>
        <w:t>1.2如在合同有效期内，颁布新的法律法规或修订了原有法律法规，则此后继的法律法规将自</w:t>
      </w:r>
    </w:p>
    <w:p>
      <w:pPr>
        <w:tabs>
          <w:tab w:val="left" w:pos="425"/>
          <w:tab w:val="left" w:pos="992"/>
        </w:tabs>
        <w:spacing w:line="400" w:lineRule="exact"/>
        <w:jc w:val="left"/>
        <w:rPr>
          <w:rFonts w:ascii="宋体" w:hAnsi="宋体"/>
          <w:szCs w:val="21"/>
          <w:highlight w:val="none"/>
        </w:rPr>
      </w:pPr>
      <w:r>
        <w:rPr>
          <w:rFonts w:hint="eastAsia" w:ascii="宋体" w:hAnsi="宋体"/>
          <w:szCs w:val="21"/>
          <w:highlight w:val="none"/>
        </w:rPr>
        <w:t>动适用于本合同。</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tabs>
          <w:tab w:val="left" w:pos="425"/>
          <w:tab w:val="left" w:pos="992"/>
        </w:tabs>
        <w:spacing w:line="400" w:lineRule="exact"/>
        <w:ind w:left="480" w:leftChars="200"/>
        <w:jc w:val="left"/>
        <w:rPr>
          <w:rFonts w:ascii="宋体" w:hAnsi="宋体"/>
          <w:szCs w:val="21"/>
          <w:highlight w:val="none"/>
        </w:rPr>
      </w:pPr>
      <w:r>
        <w:rPr>
          <w:rFonts w:hint="eastAsia" w:ascii="宋体" w:hAnsi="宋体"/>
          <w:szCs w:val="21"/>
          <w:highlight w:val="none"/>
        </w:rPr>
        <w:t>2.1除专用合同条款另有约定外，组成本合同的文件及优先解释顺序如下：</w:t>
      </w:r>
    </w:p>
    <w:p>
      <w:pPr>
        <w:spacing w:line="400" w:lineRule="exact"/>
        <w:ind w:left="480" w:leftChars="200"/>
        <w:jc w:val="left"/>
        <w:rPr>
          <w:rFonts w:ascii="宋体" w:hAnsi="宋体"/>
          <w:szCs w:val="21"/>
          <w:highlight w:val="none"/>
        </w:rPr>
      </w:pPr>
      <w:r>
        <w:rPr>
          <w:rFonts w:hint="eastAsia" w:ascii="宋体" w:hAnsi="宋体"/>
          <w:szCs w:val="21"/>
          <w:highlight w:val="none"/>
        </w:rPr>
        <w:t>2.1.1.补充协议文件；</w:t>
      </w:r>
    </w:p>
    <w:p>
      <w:pPr>
        <w:spacing w:line="400" w:lineRule="exact"/>
        <w:ind w:left="480" w:leftChars="200"/>
        <w:jc w:val="left"/>
        <w:rPr>
          <w:rFonts w:ascii="宋体" w:hAnsi="宋体"/>
          <w:szCs w:val="21"/>
          <w:highlight w:val="none"/>
        </w:rPr>
      </w:pPr>
      <w:r>
        <w:rPr>
          <w:rFonts w:hint="eastAsia" w:ascii="宋体" w:hAnsi="宋体"/>
          <w:szCs w:val="21"/>
          <w:highlight w:val="none"/>
        </w:rPr>
        <w:t>2.1.2.本合同；</w:t>
      </w:r>
    </w:p>
    <w:p>
      <w:pPr>
        <w:spacing w:line="400" w:lineRule="exact"/>
        <w:ind w:left="480" w:leftChars="200"/>
        <w:jc w:val="left"/>
        <w:rPr>
          <w:rFonts w:ascii="宋体" w:hAnsi="宋体"/>
          <w:szCs w:val="21"/>
          <w:highlight w:val="none"/>
        </w:rPr>
      </w:pPr>
      <w:r>
        <w:rPr>
          <w:rFonts w:hint="eastAsia" w:ascii="宋体" w:hAnsi="宋体"/>
          <w:szCs w:val="21"/>
          <w:highlight w:val="none"/>
        </w:rPr>
        <w:t>2.1.3.标准、规范及有关</w:t>
      </w:r>
      <w:r>
        <w:rPr>
          <w:rFonts w:ascii="宋体" w:hAnsi="宋体"/>
          <w:szCs w:val="21"/>
          <w:highlight w:val="none"/>
        </w:rPr>
        <w:t>技术标准和要求；</w:t>
      </w:r>
    </w:p>
    <w:p>
      <w:pPr>
        <w:spacing w:line="400" w:lineRule="exact"/>
        <w:ind w:left="480" w:leftChars="200"/>
        <w:jc w:val="left"/>
        <w:rPr>
          <w:rFonts w:ascii="宋体" w:hAnsi="宋体"/>
          <w:szCs w:val="21"/>
          <w:highlight w:val="none"/>
        </w:rPr>
      </w:pPr>
      <w:r>
        <w:rPr>
          <w:rFonts w:hint="eastAsia" w:ascii="宋体" w:hAnsi="宋体"/>
          <w:szCs w:val="21"/>
          <w:highlight w:val="none"/>
        </w:rPr>
        <w:t>2.1.4.招标文件及补遗文件；</w:t>
      </w:r>
    </w:p>
    <w:p>
      <w:pPr>
        <w:spacing w:line="400" w:lineRule="exact"/>
        <w:ind w:left="480" w:leftChars="200"/>
        <w:jc w:val="left"/>
        <w:rPr>
          <w:rFonts w:ascii="宋体" w:hAnsi="宋体"/>
          <w:szCs w:val="21"/>
          <w:highlight w:val="none"/>
        </w:rPr>
      </w:pPr>
      <w:r>
        <w:rPr>
          <w:rFonts w:hint="eastAsia" w:ascii="宋体" w:hAnsi="宋体"/>
          <w:szCs w:val="21"/>
          <w:highlight w:val="none"/>
        </w:rPr>
        <w:t>2.1.5.投标文件；</w:t>
      </w:r>
    </w:p>
    <w:p>
      <w:pPr>
        <w:spacing w:line="400" w:lineRule="exact"/>
        <w:ind w:left="480" w:leftChars="200"/>
        <w:jc w:val="left"/>
        <w:rPr>
          <w:rFonts w:ascii="宋体" w:hAnsi="宋体"/>
          <w:szCs w:val="21"/>
          <w:highlight w:val="none"/>
        </w:rPr>
      </w:pPr>
      <w:r>
        <w:rPr>
          <w:rFonts w:hint="eastAsia" w:ascii="宋体" w:hAnsi="宋体"/>
          <w:szCs w:val="21"/>
          <w:highlight w:val="none"/>
        </w:rPr>
        <w:t>2.1.6.与本合同有关的其他文件。</w:t>
      </w:r>
    </w:p>
    <w:p>
      <w:pPr>
        <w:tabs>
          <w:tab w:val="left" w:pos="425"/>
          <w:tab w:val="left" w:pos="992"/>
        </w:tabs>
        <w:spacing w:line="400" w:lineRule="exact"/>
        <w:ind w:left="480" w:leftChars="200"/>
        <w:jc w:val="left"/>
        <w:rPr>
          <w:rFonts w:ascii="宋体" w:hAnsi="宋体"/>
          <w:szCs w:val="21"/>
          <w:highlight w:val="none"/>
        </w:rPr>
      </w:pPr>
      <w:r>
        <w:rPr>
          <w:rFonts w:hint="eastAsia" w:ascii="宋体" w:hAnsi="宋体"/>
          <w:szCs w:val="21"/>
          <w:highlight w:val="none"/>
        </w:rPr>
        <w:t>2.2合同文件相互解释、互为补充说明，当合同文件与工程规范、技术要求不一致时，应按要求较高的标准执行；当上述文件出现多义性或不一致解释，应由甲方作出解释和校正。</w:t>
      </w:r>
    </w:p>
    <w:p>
      <w:pPr>
        <w:snapToGrid w:val="0"/>
        <w:spacing w:line="400" w:lineRule="exact"/>
        <w:ind w:left="480" w:leftChars="200"/>
        <w:jc w:val="left"/>
        <w:rPr>
          <w:rFonts w:ascii="宋体" w:hAnsi="宋体" w:cs="宋体"/>
          <w:b/>
          <w:w w:val="90"/>
          <w:szCs w:val="21"/>
          <w:highlight w:val="none"/>
        </w:rPr>
      </w:pPr>
      <w:bookmarkStart w:id="81" w:name="_Toc351203491"/>
      <w:r>
        <w:rPr>
          <w:rFonts w:hint="eastAsia" w:ascii="宋体" w:hAnsi="宋体" w:cs="宋体"/>
          <w:b/>
          <w:w w:val="90"/>
          <w:szCs w:val="21"/>
          <w:highlight w:val="none"/>
        </w:rPr>
        <w:t>3.</w:t>
      </w:r>
      <w:r>
        <w:rPr>
          <w:rFonts w:hint="eastAsia" w:ascii="宋体" w:hAnsi="宋体"/>
          <w:b/>
          <w:szCs w:val="21"/>
          <w:highlight w:val="none"/>
        </w:rPr>
        <w:t xml:space="preserve"> 本合同所用名词</w:t>
      </w:r>
      <w:r>
        <w:rPr>
          <w:rFonts w:hint="eastAsia" w:ascii="宋体" w:hAnsi="宋体" w:cs="宋体"/>
          <w:b/>
          <w:w w:val="90"/>
          <w:szCs w:val="21"/>
          <w:highlight w:val="none"/>
        </w:rPr>
        <w:t>定义</w:t>
      </w:r>
    </w:p>
    <w:p>
      <w:pPr>
        <w:spacing w:line="400" w:lineRule="exact"/>
        <w:ind w:left="480" w:leftChars="200"/>
        <w:jc w:val="left"/>
        <w:rPr>
          <w:rFonts w:ascii="宋体" w:hAnsi="宋体"/>
          <w:szCs w:val="21"/>
          <w:highlight w:val="none"/>
        </w:rPr>
      </w:pPr>
      <w:r>
        <w:rPr>
          <w:rFonts w:hint="eastAsia" w:ascii="宋体" w:hAnsi="宋体"/>
          <w:szCs w:val="21"/>
          <w:highlight w:val="none"/>
        </w:rPr>
        <w:t>3.1“合同价格”指甲方应付给乙方的因履行其全部义务的合同总价。</w:t>
      </w:r>
    </w:p>
    <w:p>
      <w:pPr>
        <w:spacing w:line="400" w:lineRule="exact"/>
        <w:ind w:left="480" w:leftChars="200"/>
        <w:jc w:val="left"/>
        <w:rPr>
          <w:rFonts w:ascii="宋体" w:hAnsi="宋体"/>
          <w:szCs w:val="21"/>
          <w:highlight w:val="none"/>
        </w:rPr>
      </w:pPr>
      <w:r>
        <w:rPr>
          <w:rFonts w:hint="eastAsia" w:ascii="宋体" w:hAnsi="宋体"/>
          <w:szCs w:val="21"/>
          <w:highlight w:val="none"/>
        </w:rPr>
        <w:t>3.2“合同生效期”指合同签订之日至合同结束的期间。</w:t>
      </w:r>
    </w:p>
    <w:p>
      <w:pPr>
        <w:spacing w:line="400" w:lineRule="exact"/>
        <w:ind w:left="480" w:leftChars="200"/>
        <w:jc w:val="left"/>
        <w:rPr>
          <w:rFonts w:ascii="宋体" w:hAnsi="宋体"/>
          <w:szCs w:val="21"/>
          <w:highlight w:val="none"/>
        </w:rPr>
      </w:pPr>
      <w:r>
        <w:rPr>
          <w:rFonts w:hint="eastAsia" w:ascii="宋体" w:hAnsi="宋体"/>
          <w:szCs w:val="21"/>
          <w:highlight w:val="none"/>
        </w:rPr>
        <w:t>3.3“交货地”指合同约定机械设备到达甲方指定地点。</w:t>
      </w:r>
    </w:p>
    <w:p>
      <w:pPr>
        <w:spacing w:line="400" w:lineRule="exact"/>
        <w:ind w:left="480" w:leftChars="200"/>
        <w:jc w:val="left"/>
        <w:rPr>
          <w:rFonts w:ascii="宋体" w:hAnsi="宋体"/>
          <w:szCs w:val="21"/>
          <w:highlight w:val="none"/>
        </w:rPr>
      </w:pPr>
      <w:r>
        <w:rPr>
          <w:rFonts w:hint="eastAsia" w:ascii="宋体" w:hAnsi="宋体"/>
          <w:szCs w:val="21"/>
          <w:highlight w:val="none"/>
        </w:rPr>
        <w:t>3.4“工厂验收”指设备在工厂组装及测试完成后,甲方在工厂对设备的验收。</w:t>
      </w:r>
    </w:p>
    <w:p>
      <w:pPr>
        <w:spacing w:line="360" w:lineRule="exact"/>
        <w:ind w:firstLine="480" w:firstLineChars="200"/>
        <w:rPr>
          <w:rFonts w:ascii="宋体" w:hAnsi="宋体"/>
          <w:color w:val="000000"/>
          <w:szCs w:val="21"/>
          <w:highlight w:val="none"/>
        </w:rPr>
      </w:pPr>
      <w:r>
        <w:rPr>
          <w:rFonts w:hint="eastAsia" w:ascii="宋体" w:hAnsi="宋体"/>
          <w:color w:val="000000"/>
          <w:szCs w:val="21"/>
          <w:highlight w:val="none"/>
        </w:rPr>
        <w:t>3.5“空载验收”设备在施工现场安装调试后，在非工作状态下，对设备外观、重要部件、空载参数的验收。</w:t>
      </w:r>
    </w:p>
    <w:p>
      <w:pPr>
        <w:spacing w:line="360" w:lineRule="exact"/>
        <w:ind w:firstLine="480" w:firstLineChars="200"/>
        <w:rPr>
          <w:rFonts w:ascii="宋体" w:hAnsi="宋体"/>
          <w:color w:val="000000"/>
          <w:szCs w:val="21"/>
          <w:highlight w:val="none"/>
        </w:rPr>
      </w:pPr>
      <w:r>
        <w:rPr>
          <w:rFonts w:hint="eastAsia" w:ascii="宋体" w:hAnsi="宋体"/>
          <w:color w:val="000000"/>
          <w:szCs w:val="21"/>
          <w:highlight w:val="none"/>
        </w:rPr>
        <w:t>3.6“负载验收”指设备在施工现场运行一段时间后，在负载工况下对设备工作参数、工作能力、工作精度等设备性能的验收。</w:t>
      </w:r>
    </w:p>
    <w:p>
      <w:pPr>
        <w:spacing w:line="360" w:lineRule="exact"/>
        <w:ind w:firstLine="480" w:firstLineChars="200"/>
        <w:rPr>
          <w:rFonts w:ascii="宋体" w:hAnsi="宋体"/>
          <w:color w:val="000000"/>
          <w:szCs w:val="21"/>
          <w:highlight w:val="none"/>
        </w:rPr>
      </w:pPr>
      <w:r>
        <w:rPr>
          <w:rFonts w:hint="eastAsia" w:ascii="宋体" w:hAnsi="宋体"/>
          <w:color w:val="000000"/>
          <w:szCs w:val="21"/>
          <w:highlight w:val="none"/>
        </w:rPr>
        <w:t>3.7“质保期满验收”按合同约定，产品使用过程中出现质量缺陷而免费维修时间到期后的验收。</w:t>
      </w:r>
    </w:p>
    <w:p>
      <w:pPr>
        <w:spacing w:line="400" w:lineRule="exact"/>
        <w:ind w:left="480" w:leftChars="200"/>
        <w:jc w:val="left"/>
        <w:rPr>
          <w:rFonts w:ascii="宋体" w:hAnsi="宋体"/>
          <w:szCs w:val="21"/>
          <w:highlight w:val="none"/>
        </w:rPr>
      </w:pPr>
      <w:r>
        <w:rPr>
          <w:rFonts w:hint="eastAsia" w:ascii="宋体" w:hAnsi="宋体"/>
          <w:color w:val="000000"/>
          <w:szCs w:val="21"/>
          <w:highlight w:val="none"/>
        </w:rPr>
        <w:t>3.8“技术资料”指合同设备及其与设备有关的技术参数、制造、监造、检验、安装、调试、开箱验收、空载验收、负载</w:t>
      </w:r>
      <w:r>
        <w:rPr>
          <w:rFonts w:hint="eastAsia" w:ascii="宋体" w:hAnsi="宋体"/>
          <w:szCs w:val="21"/>
          <w:highlight w:val="none"/>
        </w:rPr>
        <w:t>验收测试报告、操作及维修使用说明书和有关的所有文件(包括图纸、各种文字说明、标准、各种软件等)。</w:t>
      </w:r>
    </w:p>
    <w:p>
      <w:pPr>
        <w:spacing w:line="400" w:lineRule="exact"/>
        <w:ind w:left="480" w:leftChars="200"/>
        <w:jc w:val="left"/>
        <w:rPr>
          <w:rFonts w:ascii="宋体" w:hAnsi="宋体"/>
          <w:szCs w:val="21"/>
          <w:highlight w:val="none"/>
        </w:rPr>
      </w:pPr>
      <w:r>
        <w:rPr>
          <w:rFonts w:hint="eastAsia" w:ascii="宋体" w:hAnsi="宋体"/>
          <w:szCs w:val="21"/>
          <w:highlight w:val="none"/>
        </w:rPr>
        <w:t>3.8“技术培训”指乙方向甲方提供的有关设备安装、使用、性能测试、操作、保养维修及其它有关的培训。</w:t>
      </w:r>
    </w:p>
    <w:p>
      <w:pPr>
        <w:spacing w:line="400" w:lineRule="exact"/>
        <w:ind w:left="480" w:leftChars="200"/>
        <w:jc w:val="left"/>
        <w:rPr>
          <w:rFonts w:ascii="宋体" w:hAnsi="宋体" w:eastAsia="宋体" w:cs="Times New Roman"/>
          <w:szCs w:val="21"/>
          <w:highlight w:val="none"/>
        </w:rPr>
      </w:pPr>
      <w:r>
        <w:rPr>
          <w:rFonts w:hint="eastAsia" w:ascii="宋体" w:hAnsi="宋体" w:eastAsia="宋体" w:cs="Times New Roman"/>
          <w:szCs w:val="21"/>
          <w:highlight w:val="none"/>
        </w:rPr>
        <w:t>3.9“技术服务”指由乙方提供的与本合同设备有关的设计、生产、监造、检验、安装、调试验收、运行、检修时相应的技术指导、技术配合、技术培训、售后等全过程的服务。</w:t>
      </w:r>
    </w:p>
    <w:p>
      <w:pPr>
        <w:spacing w:line="400" w:lineRule="exact"/>
        <w:ind w:left="480" w:leftChars="200"/>
        <w:jc w:val="left"/>
        <w:rPr>
          <w:rFonts w:ascii="宋体" w:hAnsi="宋体" w:eastAsia="宋体" w:cs="Times New Roman"/>
          <w:szCs w:val="21"/>
          <w:highlight w:val="none"/>
        </w:rPr>
      </w:pPr>
      <w:r>
        <w:rPr>
          <w:rFonts w:hint="eastAsia" w:ascii="宋体" w:hAnsi="宋体" w:eastAsia="宋体" w:cs="Times New Roman"/>
          <w:szCs w:val="21"/>
          <w:highlight w:val="none"/>
        </w:rPr>
        <w:t>3.10“备品备件”指根据本合同提供的合同设备所需的备用部件，包括随机备品备件和满足在保修期限内正常运行所使用的全部备品备件。</w:t>
      </w:r>
    </w:p>
    <w:p>
      <w:pPr>
        <w:spacing w:line="400" w:lineRule="exact"/>
        <w:ind w:left="480" w:leftChars="200"/>
        <w:jc w:val="left"/>
        <w:rPr>
          <w:rFonts w:ascii="宋体" w:hAnsi="宋体"/>
          <w:szCs w:val="21"/>
          <w:highlight w:val="none"/>
        </w:rPr>
      </w:pPr>
      <w:r>
        <w:rPr>
          <w:rFonts w:hint="eastAsia" w:ascii="宋体" w:hAnsi="宋体" w:eastAsia="宋体" w:cs="Times New Roman"/>
          <w:szCs w:val="21"/>
          <w:highlight w:val="none"/>
        </w:rPr>
        <w:t>3.11“质量保证期限”指从设备负载验收验收合格之日起乙方保证设备的正常、稳定运行并负</w:t>
      </w:r>
      <w:r>
        <w:rPr>
          <w:rFonts w:hint="eastAsia" w:ascii="宋体" w:hAnsi="宋体"/>
          <w:szCs w:val="21"/>
          <w:highlight w:val="none"/>
        </w:rPr>
        <w:t>责解决设备可能出现有关自身缺陷问题的期限。</w:t>
      </w:r>
    </w:p>
    <w:p>
      <w:pPr>
        <w:spacing w:line="400" w:lineRule="exact"/>
        <w:ind w:left="480" w:leftChars="200"/>
        <w:jc w:val="left"/>
        <w:rPr>
          <w:rFonts w:ascii="宋体" w:hAnsi="宋体"/>
          <w:szCs w:val="21"/>
          <w:highlight w:val="none"/>
        </w:rPr>
      </w:pPr>
      <w:r>
        <w:rPr>
          <w:rFonts w:hint="eastAsia" w:ascii="宋体" w:hAnsi="宋体"/>
          <w:szCs w:val="21"/>
          <w:highlight w:val="none"/>
        </w:rPr>
        <w:t>3.12“设备缺陷”指乙方因设计、制造错误或疏忽所引起的本合同设备(包括所有部件、原材料、铸锻件、原器件等)达不到本合同规定的性能、质量标准要求的情形。</w:t>
      </w:r>
    </w:p>
    <w:p>
      <w:pPr>
        <w:spacing w:line="400" w:lineRule="exact"/>
        <w:ind w:left="480" w:leftChars="200"/>
        <w:jc w:val="left"/>
        <w:rPr>
          <w:rFonts w:ascii="宋体" w:hAnsi="宋体"/>
          <w:szCs w:val="21"/>
          <w:highlight w:val="none"/>
        </w:rPr>
      </w:pPr>
      <w:r>
        <w:rPr>
          <w:rFonts w:hint="eastAsia" w:ascii="宋体" w:hAnsi="宋体"/>
          <w:szCs w:val="21"/>
          <w:highlight w:val="none"/>
        </w:rPr>
        <w:t>3.13“书面文件”指对本合同文件有签署权的代理人书写或打印的与本合同有关的任何文稿加盖印章或签名的文件。</w:t>
      </w:r>
    </w:p>
    <w:p>
      <w:pPr>
        <w:spacing w:line="400" w:lineRule="exact"/>
        <w:ind w:left="480" w:leftChars="200"/>
        <w:jc w:val="left"/>
        <w:rPr>
          <w:rFonts w:ascii="宋体" w:hAnsi="宋体"/>
          <w:b/>
          <w:szCs w:val="21"/>
          <w:highlight w:val="none"/>
        </w:rPr>
      </w:pPr>
      <w:r>
        <w:rPr>
          <w:rFonts w:hint="eastAsia" w:ascii="宋体" w:hAnsi="宋体"/>
          <w:b/>
          <w:szCs w:val="21"/>
          <w:highlight w:val="none"/>
        </w:rPr>
        <w:t>4．质量保证与索赔</w:t>
      </w:r>
    </w:p>
    <w:p>
      <w:pPr>
        <w:spacing w:line="400" w:lineRule="exact"/>
        <w:ind w:left="480" w:leftChars="200"/>
        <w:jc w:val="left"/>
        <w:rPr>
          <w:rFonts w:ascii="宋体" w:hAnsi="宋体"/>
          <w:szCs w:val="21"/>
          <w:highlight w:val="none"/>
        </w:rPr>
      </w:pPr>
      <w:r>
        <w:rPr>
          <w:rFonts w:hint="eastAsia" w:ascii="宋体" w:hAnsi="宋体"/>
          <w:szCs w:val="21"/>
          <w:highlight w:val="none"/>
        </w:rPr>
        <w:t>4.1质量性能要求</w:t>
      </w:r>
    </w:p>
    <w:p>
      <w:pPr>
        <w:spacing w:line="400" w:lineRule="exact"/>
        <w:ind w:left="480" w:leftChars="200"/>
        <w:jc w:val="left"/>
        <w:rPr>
          <w:rFonts w:ascii="宋体" w:hAnsi="宋体"/>
          <w:szCs w:val="21"/>
          <w:highlight w:val="none"/>
        </w:rPr>
      </w:pPr>
      <w:r>
        <w:rPr>
          <w:rFonts w:hint="eastAsia" w:ascii="宋体" w:hAnsi="宋体"/>
          <w:szCs w:val="21"/>
          <w:highlight w:val="none"/>
        </w:rPr>
        <w:t>4.1.1乙方供应的设备应满足全新、技术先进、设计合理、性能稳定、质量优良、安全可靠、经济运行和易于维护的要求。</w:t>
      </w:r>
    </w:p>
    <w:p>
      <w:pPr>
        <w:spacing w:line="400" w:lineRule="exact"/>
        <w:ind w:left="480" w:leftChars="200"/>
        <w:jc w:val="left"/>
        <w:rPr>
          <w:rFonts w:ascii="宋体" w:hAnsi="宋体"/>
          <w:szCs w:val="21"/>
          <w:highlight w:val="none"/>
        </w:rPr>
      </w:pPr>
      <w:r>
        <w:rPr>
          <w:rFonts w:hint="eastAsia" w:ascii="宋体" w:hAnsi="宋体"/>
          <w:szCs w:val="21"/>
          <w:highlight w:val="none"/>
        </w:rPr>
        <w:t>4.1.2合同供货范围包</w:t>
      </w:r>
      <w:r>
        <w:rPr>
          <w:rFonts w:hint="eastAsia" w:ascii="宋体" w:hAnsi="宋体"/>
          <w:color w:val="000000"/>
          <w:szCs w:val="21"/>
          <w:highlight w:val="none"/>
        </w:rPr>
        <w:t>括了所有设备及配套设备设施、完整技</w:t>
      </w:r>
      <w:r>
        <w:rPr>
          <w:rFonts w:hint="eastAsia" w:ascii="宋体" w:hAnsi="宋体"/>
          <w:szCs w:val="21"/>
          <w:highlight w:val="none"/>
        </w:rPr>
        <w:t>术资料、专用工具、备品备件，在执行合同过程中如发现有任何漏项和短缺，虽未列入发货清单中但确实是乙方供货范围中应该有的，《招标文件》中对合同设备的性能要求所必须的，均应由乙方负责将所缺的设备、技术资料、专用工具、备品备件等补上，且甲方不再另外支付费用。</w:t>
      </w:r>
    </w:p>
    <w:p>
      <w:pPr>
        <w:spacing w:line="400" w:lineRule="exact"/>
        <w:ind w:left="480" w:leftChars="200"/>
        <w:jc w:val="left"/>
        <w:rPr>
          <w:rFonts w:ascii="宋体" w:hAnsi="宋体"/>
          <w:szCs w:val="21"/>
          <w:highlight w:val="none"/>
        </w:rPr>
      </w:pPr>
      <w:r>
        <w:rPr>
          <w:rFonts w:hint="eastAsia" w:ascii="宋体" w:hAnsi="宋体"/>
          <w:szCs w:val="21"/>
          <w:highlight w:val="none"/>
        </w:rPr>
        <w:t>4.1.3合同内机械设备必须满足补充协议、本合同、标准及规范、招标文件、投标文件对设备生产能力、质量、技术参数、结构形式、环保、安全的要求。</w:t>
      </w:r>
    </w:p>
    <w:p>
      <w:pPr>
        <w:spacing w:line="360" w:lineRule="exact"/>
        <w:ind w:firstLine="480" w:firstLineChars="200"/>
        <w:rPr>
          <w:rFonts w:ascii="宋体" w:hAnsi="宋体"/>
          <w:bCs/>
          <w:color w:val="FF0000"/>
          <w:szCs w:val="21"/>
          <w:highlight w:val="none"/>
        </w:rPr>
      </w:pPr>
      <w:r>
        <w:rPr>
          <w:rFonts w:hint="eastAsia" w:ascii="宋体" w:hAnsi="宋体"/>
          <w:szCs w:val="21"/>
          <w:highlight w:val="none"/>
        </w:rPr>
        <w:t>4.2质量保证期限：设备安装调试完毕，</w:t>
      </w:r>
      <w:r>
        <w:rPr>
          <w:rFonts w:hint="eastAsia" w:ascii="宋体" w:hAnsi="宋体"/>
          <w:color w:val="000000"/>
          <w:szCs w:val="21"/>
          <w:highlight w:val="none"/>
        </w:rPr>
        <w:t>对设备在负载工况下进行验收，双方确认设备合格具备生产能力之日起</w:t>
      </w:r>
      <w:r>
        <w:rPr>
          <w:rFonts w:hint="eastAsia" w:ascii="宋体" w:hAnsi="宋体"/>
          <w:bCs/>
          <w:color w:val="000000"/>
          <w:szCs w:val="21"/>
          <w:highlight w:val="none"/>
        </w:rPr>
        <w:t>开始计算质保期，本合同内设备</w:t>
      </w:r>
      <w:r>
        <w:rPr>
          <w:rFonts w:hint="eastAsia" w:ascii="宋体" w:hAnsi="宋体"/>
          <w:color w:val="000000"/>
          <w:szCs w:val="21"/>
          <w:highlight w:val="none"/>
        </w:rPr>
        <w:t>质保期12个月，质保期内乙方提供免费维修及服务，并提供终身服务。如乙方未提交相关证照等附</w:t>
      </w:r>
      <w:r>
        <w:rPr>
          <w:rFonts w:hint="eastAsia" w:ascii="宋体" w:hAnsi="宋体"/>
          <w:szCs w:val="21"/>
          <w:highlight w:val="none"/>
        </w:rPr>
        <w:t>随资料，则质保期限自乙方提交全部相关证照等资料之日起计算。</w:t>
      </w:r>
    </w:p>
    <w:p>
      <w:pPr>
        <w:spacing w:line="400" w:lineRule="exact"/>
        <w:ind w:left="480" w:leftChars="200"/>
        <w:jc w:val="left"/>
        <w:rPr>
          <w:rFonts w:ascii="宋体" w:hAnsi="宋体"/>
          <w:color w:val="000000"/>
          <w:szCs w:val="21"/>
          <w:highlight w:val="none"/>
        </w:rPr>
      </w:pPr>
      <w:r>
        <w:rPr>
          <w:rFonts w:hint="eastAsia" w:ascii="宋体" w:hAnsi="宋体"/>
          <w:szCs w:val="21"/>
          <w:highlight w:val="none"/>
        </w:rPr>
        <w:t>4.3在质量保证期内，如发现乙方提供的设备有缺陷或不符合合同规定时，则甲方有权向乙方提出更换、维修、违约和索赔。乙方有权就甲方提出的质量问题提出异议，</w:t>
      </w:r>
      <w:r>
        <w:rPr>
          <w:rFonts w:hint="eastAsia" w:ascii="宋体" w:hAnsi="宋体"/>
          <w:color w:val="000000"/>
          <w:szCs w:val="21"/>
          <w:highlight w:val="none"/>
        </w:rPr>
        <w:t>但应在48小时内派人到设备所在地查明产品缺陷原因，如确属产品自身问题的，乙方应按照甲方的要求立即采取补偿措施，并负担由此产生的全部费用和风险；如乙方派员查明原因后仍有异议，甲乙双方应对设备进行商检，商检确属乙方责任的，乙方应承担本条约定的质量缺陷责任，交货期不予顺延。</w:t>
      </w:r>
    </w:p>
    <w:p>
      <w:pPr>
        <w:spacing w:line="400" w:lineRule="exact"/>
        <w:ind w:left="480" w:leftChars="200"/>
        <w:jc w:val="left"/>
        <w:rPr>
          <w:rFonts w:ascii="宋体" w:hAnsi="宋体"/>
          <w:szCs w:val="21"/>
          <w:highlight w:val="none"/>
        </w:rPr>
      </w:pPr>
      <w:r>
        <w:rPr>
          <w:rFonts w:hint="eastAsia" w:ascii="宋体" w:hAnsi="宋体"/>
          <w:color w:val="000000"/>
          <w:szCs w:val="21"/>
          <w:highlight w:val="none"/>
        </w:rPr>
        <w:t>4.4如乙方未在甲方提出质量问题后48小时内提</w:t>
      </w:r>
      <w:r>
        <w:rPr>
          <w:rFonts w:hint="eastAsia" w:ascii="宋体" w:hAnsi="宋体"/>
          <w:szCs w:val="21"/>
          <w:highlight w:val="none"/>
        </w:rPr>
        <w:t>出异议或未采取补救措施的，即认为乙方认可该质量问题，应立即对甲方无偿换货或降低货价或直接无偿退货，并负担由此产生的全部费用和风险，交货期不予顺延。乙方进行换货应不迟于收到甲方索赔文件之日起7日内完成。</w:t>
      </w:r>
    </w:p>
    <w:p>
      <w:pPr>
        <w:spacing w:line="400" w:lineRule="exact"/>
        <w:ind w:left="480" w:leftChars="200"/>
        <w:jc w:val="left"/>
        <w:rPr>
          <w:rFonts w:ascii="宋体" w:hAnsi="宋体"/>
          <w:szCs w:val="21"/>
          <w:highlight w:val="none"/>
        </w:rPr>
      </w:pPr>
      <w:r>
        <w:rPr>
          <w:rFonts w:hint="eastAsia" w:ascii="宋体" w:hAnsi="宋体"/>
          <w:szCs w:val="21"/>
          <w:highlight w:val="none"/>
        </w:rPr>
        <w:t>4.5质量保证金：质量保证金见第一部分第四条（4），质保期满无质量问题后质量保证金无息返还乙方（扣除违约金应扣除的款项）。</w:t>
      </w:r>
    </w:p>
    <w:p>
      <w:pPr>
        <w:spacing w:line="400" w:lineRule="exact"/>
        <w:ind w:left="480" w:leftChars="200"/>
        <w:jc w:val="left"/>
        <w:rPr>
          <w:rFonts w:ascii="宋体" w:hAnsi="宋体"/>
          <w:szCs w:val="21"/>
          <w:highlight w:val="none"/>
        </w:rPr>
      </w:pPr>
      <w:r>
        <w:rPr>
          <w:rFonts w:hint="eastAsia" w:ascii="宋体" w:hAnsi="宋体"/>
          <w:szCs w:val="21"/>
          <w:highlight w:val="none"/>
        </w:rPr>
        <w:t>4.6如乙方提供的设备由于质量问题或乙方的其他原因导致甲方或任何第三方人身或财产遭受损失的，乙方应负责赔偿。</w:t>
      </w:r>
    </w:p>
    <w:p>
      <w:pPr>
        <w:spacing w:line="400" w:lineRule="exact"/>
        <w:ind w:left="480" w:leftChars="200"/>
        <w:jc w:val="left"/>
        <w:rPr>
          <w:rFonts w:ascii="宋体" w:hAnsi="宋体"/>
          <w:szCs w:val="21"/>
          <w:highlight w:val="none"/>
        </w:rPr>
      </w:pPr>
      <w:r>
        <w:rPr>
          <w:rFonts w:hint="eastAsia" w:ascii="宋体" w:hAnsi="宋体"/>
          <w:szCs w:val="21"/>
          <w:highlight w:val="none"/>
        </w:rPr>
        <w:t>4.7由于乙方所供设备的主要技术参数的保证值低于技术规范的要求,应向甲方支付不超过本合同设备总价值的30%的违约金。</w:t>
      </w:r>
    </w:p>
    <w:p>
      <w:pPr>
        <w:spacing w:line="400" w:lineRule="exact"/>
        <w:ind w:left="480" w:leftChars="200"/>
        <w:jc w:val="left"/>
        <w:rPr>
          <w:rFonts w:ascii="宋体" w:hAnsi="宋体"/>
          <w:szCs w:val="21"/>
          <w:highlight w:val="none"/>
        </w:rPr>
      </w:pPr>
      <w:r>
        <w:rPr>
          <w:rFonts w:hint="eastAsia" w:ascii="宋体" w:hAnsi="宋体"/>
          <w:szCs w:val="21"/>
          <w:highlight w:val="none"/>
        </w:rPr>
        <w:t>4.8除甲方原因及不可抗力外，乙方未能按本合同交货期交货时，乙方承担因交货迟交所造成的一切经济损失，另外甲方有权按下列比例向乙方收取违约金:</w:t>
      </w:r>
    </w:p>
    <w:p>
      <w:pPr>
        <w:spacing w:line="400" w:lineRule="exact"/>
        <w:ind w:left="480" w:leftChars="200"/>
        <w:jc w:val="left"/>
        <w:rPr>
          <w:rFonts w:ascii="宋体" w:hAnsi="宋体"/>
          <w:szCs w:val="21"/>
          <w:highlight w:val="none"/>
        </w:rPr>
      </w:pPr>
      <w:r>
        <w:rPr>
          <w:rFonts w:hint="eastAsia" w:ascii="宋体" w:hAnsi="宋体"/>
          <w:szCs w:val="21"/>
          <w:highlight w:val="none"/>
        </w:rPr>
        <w:t>4.8.1.迟交l周,违约金金额为迟交货物金额的1%,不满1周按1周计算；</w:t>
      </w:r>
    </w:p>
    <w:p>
      <w:pPr>
        <w:spacing w:line="400" w:lineRule="exact"/>
        <w:ind w:left="480" w:leftChars="200"/>
        <w:jc w:val="left"/>
        <w:rPr>
          <w:rFonts w:ascii="宋体" w:hAnsi="宋体"/>
          <w:szCs w:val="21"/>
          <w:highlight w:val="none"/>
        </w:rPr>
      </w:pPr>
      <w:r>
        <w:rPr>
          <w:rFonts w:hint="eastAsia" w:ascii="宋体" w:hAnsi="宋体"/>
          <w:szCs w:val="21"/>
          <w:highlight w:val="none"/>
        </w:rPr>
        <w:t>4.8.2.迟交2-3周，每周违约金金额为迟交货物金额的2%；</w:t>
      </w:r>
    </w:p>
    <w:p>
      <w:pPr>
        <w:spacing w:line="400" w:lineRule="exact"/>
        <w:ind w:left="480" w:leftChars="200"/>
        <w:jc w:val="left"/>
        <w:rPr>
          <w:rFonts w:ascii="宋体" w:hAnsi="宋体"/>
          <w:szCs w:val="21"/>
          <w:highlight w:val="none"/>
        </w:rPr>
      </w:pPr>
      <w:r>
        <w:rPr>
          <w:rFonts w:hint="eastAsia" w:ascii="宋体" w:hAnsi="宋体"/>
          <w:szCs w:val="21"/>
          <w:highlight w:val="none"/>
        </w:rPr>
        <w:t>4.8.3.迟交4</w:t>
      </w:r>
      <w:r>
        <w:rPr>
          <w:rFonts w:hint="eastAsia" w:ascii="宋体" w:hAnsi="宋体"/>
          <w:color w:val="000000"/>
          <w:szCs w:val="21"/>
          <w:highlight w:val="none"/>
        </w:rPr>
        <w:t>周及以上，</w:t>
      </w:r>
      <w:r>
        <w:rPr>
          <w:rFonts w:hint="eastAsia" w:ascii="宋体" w:hAnsi="宋体"/>
          <w:szCs w:val="21"/>
          <w:highlight w:val="none"/>
        </w:rPr>
        <w:t>每周违约金金额为迟交货物金额的3%；</w:t>
      </w:r>
    </w:p>
    <w:p>
      <w:pPr>
        <w:spacing w:line="400" w:lineRule="exact"/>
        <w:ind w:left="480" w:leftChars="200"/>
        <w:jc w:val="left"/>
        <w:rPr>
          <w:rFonts w:ascii="宋体" w:hAnsi="宋体"/>
          <w:szCs w:val="21"/>
          <w:highlight w:val="none"/>
        </w:rPr>
      </w:pPr>
      <w:r>
        <w:rPr>
          <w:rFonts w:hint="eastAsia" w:ascii="宋体" w:hAnsi="宋体"/>
          <w:szCs w:val="21"/>
          <w:highlight w:val="none"/>
        </w:rPr>
        <w:t>4.8.4.合同设备迟交货物的违约金总金额不超过合同设备总价的20%。</w:t>
      </w:r>
    </w:p>
    <w:p>
      <w:pPr>
        <w:spacing w:line="400" w:lineRule="exact"/>
        <w:ind w:left="480" w:leftChars="200"/>
        <w:jc w:val="left"/>
        <w:rPr>
          <w:rFonts w:ascii="宋体" w:hAnsi="宋体"/>
          <w:szCs w:val="21"/>
          <w:highlight w:val="none"/>
        </w:rPr>
      </w:pPr>
      <w:r>
        <w:rPr>
          <w:rFonts w:hint="eastAsia" w:ascii="宋体" w:hAnsi="宋体"/>
          <w:szCs w:val="21"/>
          <w:highlight w:val="none"/>
        </w:rPr>
        <w:t>4.9乙方支付违约金,并不解除乙方履行合同的义务。</w:t>
      </w:r>
    </w:p>
    <w:p>
      <w:pPr>
        <w:snapToGrid w:val="0"/>
        <w:spacing w:line="500" w:lineRule="exact"/>
        <w:ind w:firstLine="480" w:firstLineChars="200"/>
        <w:jc w:val="left"/>
        <w:rPr>
          <w:rFonts w:ascii="宋体" w:hAnsi="宋体" w:cs="宋体"/>
          <w:w w:val="90"/>
          <w:sz w:val="28"/>
          <w:szCs w:val="28"/>
          <w:highlight w:val="none"/>
        </w:rPr>
      </w:pPr>
      <w:r>
        <w:rPr>
          <w:rFonts w:hint="eastAsia" w:ascii="宋体" w:hAnsi="宋体"/>
          <w:szCs w:val="21"/>
          <w:highlight w:val="none"/>
        </w:rPr>
        <w:t>4.10乙方免费提供设备正常使用一年的维修配件和备件。</w:t>
      </w:r>
    </w:p>
    <w:p>
      <w:pPr>
        <w:spacing w:line="400" w:lineRule="exact"/>
        <w:ind w:left="480" w:leftChars="200"/>
        <w:jc w:val="left"/>
        <w:rPr>
          <w:rFonts w:ascii="宋体" w:hAnsi="宋体"/>
          <w:b/>
          <w:szCs w:val="21"/>
          <w:highlight w:val="none"/>
        </w:rPr>
      </w:pPr>
      <w:r>
        <w:rPr>
          <w:rFonts w:hint="eastAsia" w:ascii="宋体" w:hAnsi="宋体"/>
          <w:b/>
          <w:szCs w:val="21"/>
          <w:highlight w:val="none"/>
        </w:rPr>
        <w:t>5. 资料提供</w:t>
      </w:r>
    </w:p>
    <w:p>
      <w:pPr>
        <w:spacing w:line="400" w:lineRule="exact"/>
        <w:ind w:left="480" w:leftChars="200"/>
        <w:jc w:val="left"/>
        <w:rPr>
          <w:rFonts w:ascii="宋体" w:hAnsi="宋体"/>
          <w:szCs w:val="21"/>
          <w:highlight w:val="none"/>
        </w:rPr>
      </w:pPr>
      <w:r>
        <w:rPr>
          <w:rFonts w:hint="eastAsia" w:ascii="宋体" w:hAnsi="宋体"/>
          <w:szCs w:val="21"/>
          <w:highlight w:val="none"/>
        </w:rPr>
        <w:t>5.1乙方须提供设备的技术规范、技术资料以及备品备件（包括易损件）详细清单（包括名称、</w:t>
      </w:r>
    </w:p>
    <w:p>
      <w:pPr>
        <w:spacing w:line="400" w:lineRule="exact"/>
        <w:jc w:val="left"/>
        <w:rPr>
          <w:rFonts w:ascii="宋体" w:hAnsi="宋体"/>
          <w:szCs w:val="21"/>
          <w:highlight w:val="none"/>
        </w:rPr>
      </w:pPr>
      <w:r>
        <w:rPr>
          <w:rFonts w:hint="eastAsia" w:ascii="宋体" w:hAnsi="宋体"/>
          <w:szCs w:val="21"/>
          <w:highlight w:val="none"/>
        </w:rPr>
        <w:t>件号、数量）。</w:t>
      </w:r>
    </w:p>
    <w:p>
      <w:pPr>
        <w:spacing w:line="400" w:lineRule="exact"/>
        <w:ind w:left="480" w:leftChars="200"/>
        <w:jc w:val="left"/>
        <w:rPr>
          <w:rFonts w:ascii="宋体" w:hAnsi="宋体"/>
          <w:szCs w:val="21"/>
          <w:highlight w:val="none"/>
        </w:rPr>
      </w:pPr>
      <w:r>
        <w:rPr>
          <w:rFonts w:hint="eastAsia" w:ascii="宋体" w:hAnsi="宋体"/>
          <w:szCs w:val="21"/>
          <w:highlight w:val="none"/>
        </w:rPr>
        <w:t>5.2乙方须免费提供纸质资料：设备说明书、操作手册、维修手册、零件目录、易损零件图册、</w:t>
      </w:r>
    </w:p>
    <w:p>
      <w:pPr>
        <w:spacing w:line="400" w:lineRule="exact"/>
        <w:jc w:val="left"/>
        <w:rPr>
          <w:rFonts w:ascii="宋体" w:hAnsi="宋体"/>
          <w:szCs w:val="21"/>
          <w:highlight w:val="none"/>
        </w:rPr>
      </w:pPr>
      <w:r>
        <w:rPr>
          <w:rFonts w:hint="eastAsia" w:ascii="宋体" w:hAnsi="宋体"/>
          <w:szCs w:val="21"/>
          <w:highlight w:val="none"/>
        </w:rPr>
        <w:t>电气系统原理图、底座图纸和线路布置图、</w:t>
      </w:r>
      <w:r>
        <w:rPr>
          <w:rFonts w:hint="eastAsia"/>
          <w:highlight w:val="none"/>
        </w:rPr>
        <w:t>产品合格证、质量保证书、特种设备相关资料</w:t>
      </w:r>
      <w:r>
        <w:rPr>
          <w:rFonts w:hint="eastAsia" w:ascii="宋体" w:hAnsi="宋体"/>
          <w:szCs w:val="21"/>
          <w:highlight w:val="none"/>
        </w:rPr>
        <w:t>各2套。</w:t>
      </w:r>
      <w:bookmarkStart w:id="82" w:name="12f83e15d6f440f3b428011dc786e473"/>
      <w:bookmarkEnd w:id="82"/>
    </w:p>
    <w:p>
      <w:pPr>
        <w:spacing w:line="400" w:lineRule="exact"/>
        <w:ind w:left="480" w:leftChars="200"/>
        <w:jc w:val="left"/>
        <w:rPr>
          <w:rFonts w:ascii="宋体" w:hAnsi="宋体"/>
          <w:b/>
          <w:szCs w:val="21"/>
          <w:highlight w:val="none"/>
        </w:rPr>
      </w:pPr>
      <w:r>
        <w:rPr>
          <w:rFonts w:hint="eastAsia" w:ascii="宋体" w:hAnsi="宋体"/>
          <w:b/>
          <w:szCs w:val="21"/>
          <w:highlight w:val="none"/>
        </w:rPr>
        <w:t>6.合同价格</w:t>
      </w:r>
    </w:p>
    <w:p>
      <w:pPr>
        <w:spacing w:line="400" w:lineRule="exact"/>
        <w:ind w:left="480" w:leftChars="200"/>
        <w:jc w:val="left"/>
        <w:rPr>
          <w:rFonts w:ascii="宋体" w:hAnsi="宋体"/>
          <w:szCs w:val="21"/>
          <w:highlight w:val="none"/>
        </w:rPr>
      </w:pPr>
      <w:r>
        <w:rPr>
          <w:rFonts w:hint="eastAsia" w:ascii="宋体" w:hAnsi="宋体"/>
          <w:szCs w:val="21"/>
          <w:highlight w:val="none"/>
        </w:rPr>
        <w:t>6.1本合同内设备价格见第一部分中第一条。</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6.2本合同价格包括但不限于本合同设备及辅助设备设施的制造(含备品备件、专用工具及易损件等)、包装、安装调试、关税、商检、取证、技术资料、技术服务、设备的税费、运输费、保险、主机外封装、装车费、包装回收费、安装指导费、培训费、政府规费（如有）、利润、风险费、财务费、增值税以外其他税费等乙方因履行本合同所需的全部费用。</w:t>
      </w:r>
    </w:p>
    <w:p>
      <w:pPr>
        <w:spacing w:line="400" w:lineRule="exact"/>
        <w:ind w:left="480" w:leftChars="200"/>
        <w:jc w:val="left"/>
        <w:rPr>
          <w:rFonts w:ascii="宋体" w:hAnsi="宋体"/>
          <w:szCs w:val="21"/>
          <w:highlight w:val="none"/>
        </w:rPr>
      </w:pPr>
      <w:r>
        <w:rPr>
          <w:rFonts w:hint="eastAsia" w:ascii="宋体" w:hAnsi="宋体"/>
          <w:szCs w:val="21"/>
          <w:highlight w:val="none"/>
        </w:rPr>
        <w:t>6.3合同履行期间，若设备、材料、人工等价格和政府有关税费标准发生变化时，乙方自愿承担相应的风险，并不得请求调整合同单价或主张索赔，也不减少或免除乙方应承担本合同的义务和责任。</w:t>
      </w:r>
    </w:p>
    <w:p>
      <w:pPr>
        <w:spacing w:line="400" w:lineRule="exact"/>
        <w:ind w:left="480" w:leftChars="200"/>
        <w:jc w:val="left"/>
        <w:rPr>
          <w:rFonts w:ascii="宋体" w:hAnsi="宋体"/>
          <w:b/>
          <w:szCs w:val="21"/>
          <w:highlight w:val="none"/>
        </w:rPr>
      </w:pPr>
      <w:r>
        <w:rPr>
          <w:rFonts w:hint="eastAsia" w:ascii="宋体" w:hAnsi="宋体"/>
          <w:b/>
          <w:szCs w:val="21"/>
          <w:highlight w:val="none"/>
        </w:rPr>
        <w:t>7.结算及货款支付</w:t>
      </w:r>
    </w:p>
    <w:p>
      <w:pPr>
        <w:spacing w:line="400" w:lineRule="exact"/>
        <w:ind w:left="480" w:leftChars="200"/>
        <w:jc w:val="left"/>
        <w:rPr>
          <w:rFonts w:ascii="宋体" w:hAnsi="宋体"/>
          <w:color w:val="000000"/>
          <w:szCs w:val="21"/>
          <w:highlight w:val="none"/>
        </w:rPr>
      </w:pPr>
      <w:r>
        <w:rPr>
          <w:rFonts w:hint="eastAsia" w:ascii="宋体" w:hAnsi="宋体"/>
          <w:szCs w:val="21"/>
          <w:highlight w:val="none"/>
        </w:rPr>
        <w:t>7.1</w:t>
      </w:r>
      <w:r>
        <w:rPr>
          <w:rFonts w:hint="eastAsia" w:ascii="宋体" w:hAnsi="宋体"/>
          <w:color w:val="000000"/>
          <w:szCs w:val="21"/>
          <w:highlight w:val="none"/>
        </w:rPr>
        <w:t>本合同结算货币为人民币。</w:t>
      </w:r>
    </w:p>
    <w:p>
      <w:pPr>
        <w:spacing w:line="400" w:lineRule="exact"/>
        <w:ind w:left="480" w:leftChars="200"/>
        <w:jc w:val="left"/>
        <w:rPr>
          <w:rFonts w:ascii="宋体" w:hAnsi="宋体"/>
          <w:szCs w:val="21"/>
          <w:highlight w:val="none"/>
        </w:rPr>
      </w:pPr>
      <w:r>
        <w:rPr>
          <w:rFonts w:hint="eastAsia" w:ascii="宋体" w:hAnsi="宋体"/>
          <w:color w:val="000000"/>
          <w:szCs w:val="21"/>
          <w:highlight w:val="none"/>
        </w:rPr>
        <w:t>7.2付款方式：</w:t>
      </w:r>
      <w:r>
        <w:rPr>
          <w:rFonts w:hint="eastAsia" w:ascii="宋体" w:hAnsi="宋体"/>
          <w:szCs w:val="21"/>
          <w:highlight w:val="none"/>
        </w:rPr>
        <w:t>乙</w:t>
      </w:r>
      <w:r>
        <w:rPr>
          <w:rFonts w:hint="eastAsia" w:ascii="宋体" w:hAnsi="宋体" w:cs="宋体"/>
          <w:szCs w:val="21"/>
          <w:highlight w:val="none"/>
        </w:rPr>
        <w:t>方具备使用</w:t>
      </w:r>
      <w:r>
        <w:rPr>
          <w:rFonts w:hint="eastAsia" w:ascii="宋体" w:hAnsi="宋体" w:cs="宋体"/>
          <w:highlight w:val="none"/>
        </w:rPr>
        <w:t>银行</w:t>
      </w:r>
      <w:r>
        <w:rPr>
          <w:rFonts w:hint="eastAsia" w:ascii="宋体" w:hAnsi="宋体" w:cs="宋体"/>
          <w:szCs w:val="21"/>
          <w:highlight w:val="none"/>
        </w:rPr>
        <w:t>承兑汇票</w:t>
      </w:r>
      <w:r>
        <w:rPr>
          <w:rFonts w:hint="eastAsia" w:ascii="宋体" w:hAnsi="宋体" w:cs="宋体"/>
          <w:highlight w:val="none"/>
        </w:rPr>
        <w:t>或</w:t>
      </w:r>
      <w:r>
        <w:rPr>
          <w:rFonts w:hint="eastAsia" w:ascii="宋体" w:hAnsi="宋体" w:cs="宋体"/>
          <w:szCs w:val="21"/>
          <w:highlight w:val="none"/>
        </w:rPr>
        <w:t>供应链金融等非现金</w:t>
      </w:r>
      <w:r>
        <w:rPr>
          <w:rFonts w:hint="eastAsia" w:ascii="宋体" w:hAnsi="宋体" w:cs="宋体"/>
          <w:highlight w:val="none"/>
        </w:rPr>
        <w:t>业务</w:t>
      </w:r>
      <w:r>
        <w:rPr>
          <w:rFonts w:hint="eastAsia" w:ascii="宋体" w:hAnsi="宋体" w:cs="宋体"/>
          <w:szCs w:val="21"/>
          <w:highlight w:val="none"/>
        </w:rPr>
        <w:t>的能力，</w:t>
      </w:r>
      <w:r>
        <w:rPr>
          <w:rFonts w:hint="eastAsia" w:ascii="宋体" w:hAnsi="宋体" w:cs="宋体"/>
          <w:highlight w:val="none"/>
        </w:rPr>
        <w:t>甲方根据自己实际情况，选择银行承兑汇票、</w:t>
      </w:r>
      <w:r>
        <w:rPr>
          <w:rFonts w:hint="eastAsia" w:ascii="宋体" w:hAnsi="宋体" w:cs="宋体"/>
          <w:szCs w:val="21"/>
          <w:highlight w:val="none"/>
        </w:rPr>
        <w:t>供应链金融</w:t>
      </w:r>
      <w:r>
        <w:rPr>
          <w:rFonts w:hint="eastAsia" w:ascii="宋体" w:hAnsi="宋体" w:cs="宋体"/>
          <w:highlight w:val="none"/>
        </w:rPr>
        <w:t>、银行支票或网上银行支付，乙方负责贴现费用。</w:t>
      </w:r>
    </w:p>
    <w:p>
      <w:pPr>
        <w:spacing w:line="400" w:lineRule="exact"/>
        <w:ind w:left="480" w:leftChars="200"/>
        <w:jc w:val="left"/>
        <w:rPr>
          <w:rFonts w:ascii="宋体" w:hAnsi="宋体"/>
          <w:szCs w:val="21"/>
          <w:highlight w:val="none"/>
        </w:rPr>
      </w:pPr>
      <w:r>
        <w:rPr>
          <w:rFonts w:hint="eastAsia" w:ascii="宋体" w:hAnsi="宋体"/>
          <w:color w:val="000000"/>
          <w:szCs w:val="21"/>
          <w:highlight w:val="none"/>
        </w:rPr>
        <w:t>7.3结算依据：双方设备交货记录、新购机械设备开箱验收单、负载验收单、质保期满验收单。</w:t>
      </w:r>
    </w:p>
    <w:p>
      <w:pPr>
        <w:spacing w:line="400" w:lineRule="exact"/>
        <w:ind w:left="480" w:leftChars="200"/>
        <w:jc w:val="left"/>
        <w:rPr>
          <w:rFonts w:ascii="宋体" w:hAnsi="宋体"/>
          <w:szCs w:val="21"/>
          <w:highlight w:val="none"/>
        </w:rPr>
      </w:pPr>
      <w:r>
        <w:rPr>
          <w:rFonts w:hint="eastAsia" w:ascii="宋体" w:hAnsi="宋体"/>
          <w:szCs w:val="21"/>
          <w:highlight w:val="none"/>
        </w:rPr>
        <w:t>7.4货款支付方式：见第一部分第四条。</w:t>
      </w:r>
    </w:p>
    <w:p>
      <w:pPr>
        <w:spacing w:line="400" w:lineRule="exact"/>
        <w:ind w:left="480" w:leftChars="200"/>
        <w:jc w:val="left"/>
        <w:rPr>
          <w:rFonts w:ascii="宋体" w:hAnsi="宋体"/>
          <w:szCs w:val="21"/>
          <w:highlight w:val="none"/>
        </w:rPr>
      </w:pPr>
      <w:r>
        <w:rPr>
          <w:rFonts w:hint="eastAsia" w:ascii="宋体" w:hAnsi="宋体"/>
          <w:szCs w:val="21"/>
          <w:highlight w:val="none"/>
        </w:rPr>
        <w:t>7.5乙方提供甲方财务认可的增值税专用发票。</w:t>
      </w:r>
    </w:p>
    <w:p>
      <w:pPr>
        <w:spacing w:line="400" w:lineRule="exact"/>
        <w:ind w:left="480" w:leftChars="200"/>
        <w:jc w:val="left"/>
        <w:rPr>
          <w:rFonts w:ascii="宋体" w:hAnsi="宋体"/>
          <w:b/>
          <w:szCs w:val="21"/>
          <w:highlight w:val="none"/>
        </w:rPr>
      </w:pPr>
      <w:r>
        <w:rPr>
          <w:rFonts w:hint="eastAsia" w:ascii="宋体" w:hAnsi="宋体"/>
          <w:b/>
          <w:szCs w:val="21"/>
          <w:highlight w:val="none"/>
        </w:rPr>
        <w:t>8.运输及保险</w:t>
      </w:r>
    </w:p>
    <w:p>
      <w:pPr>
        <w:pStyle w:val="14"/>
        <w:ind w:left="480" w:firstLine="420" w:firstLineChars="200"/>
        <w:rPr>
          <w:rFonts w:ascii="宋体" w:hAnsi="宋体"/>
          <w:szCs w:val="21"/>
          <w:highlight w:val="none"/>
        </w:rPr>
      </w:pPr>
      <w:r>
        <w:rPr>
          <w:rFonts w:hint="eastAsia" w:ascii="宋体" w:hAnsi="宋体"/>
          <w:szCs w:val="21"/>
          <w:highlight w:val="none"/>
        </w:rPr>
        <w:t>乙方负责设备运输并承担</w:t>
      </w:r>
      <w:r>
        <w:rPr>
          <w:rFonts w:hint="eastAsia"/>
          <w:highlight w:val="none"/>
        </w:rPr>
        <w:t>装车费用、</w:t>
      </w:r>
      <w:r>
        <w:rPr>
          <w:rFonts w:hint="eastAsia" w:ascii="宋体" w:hAnsi="宋体"/>
          <w:szCs w:val="21"/>
          <w:highlight w:val="none"/>
        </w:rPr>
        <w:t>运输费用及保险费用。</w:t>
      </w:r>
    </w:p>
    <w:p>
      <w:pPr>
        <w:spacing w:line="400" w:lineRule="exact"/>
        <w:ind w:left="480" w:leftChars="200"/>
        <w:jc w:val="left"/>
        <w:rPr>
          <w:rFonts w:ascii="宋体" w:hAnsi="宋体"/>
          <w:b/>
          <w:szCs w:val="21"/>
          <w:highlight w:val="none"/>
        </w:rPr>
      </w:pPr>
      <w:r>
        <w:rPr>
          <w:rFonts w:hint="eastAsia" w:ascii="宋体" w:hAnsi="宋体"/>
          <w:b/>
          <w:szCs w:val="21"/>
          <w:highlight w:val="none"/>
        </w:rPr>
        <w:t>9.包装与标记</w:t>
      </w:r>
    </w:p>
    <w:p>
      <w:pPr>
        <w:spacing w:line="400" w:lineRule="exact"/>
        <w:ind w:left="480" w:leftChars="200"/>
        <w:jc w:val="left"/>
        <w:rPr>
          <w:rFonts w:ascii="宋体" w:hAnsi="宋体"/>
          <w:szCs w:val="21"/>
          <w:highlight w:val="none"/>
        </w:rPr>
      </w:pPr>
      <w:r>
        <w:rPr>
          <w:rFonts w:hint="eastAsia" w:ascii="宋体" w:hAnsi="宋体"/>
          <w:szCs w:val="21"/>
          <w:highlight w:val="none"/>
        </w:rPr>
        <w:t>9.1乙方交付的所有货物要符合铁路、公路、航空包装储运指示标志的规定及国家主管机关的规定，具有适合长途运输、多次搬运和装卸的坚固包装且能保证二次运输。保证货物在没有任何损坏和腐蚀的情况下安全运输到施工现场。产品包装前,乙方负责对设备进行检查清理,不留异物,并保证零部件齐全。</w:t>
      </w:r>
    </w:p>
    <w:p>
      <w:pPr>
        <w:spacing w:line="400" w:lineRule="exact"/>
        <w:ind w:left="480" w:leftChars="200"/>
        <w:jc w:val="left"/>
        <w:rPr>
          <w:rFonts w:ascii="宋体" w:hAnsi="宋体"/>
          <w:szCs w:val="21"/>
          <w:highlight w:val="none"/>
        </w:rPr>
      </w:pPr>
      <w:r>
        <w:rPr>
          <w:rFonts w:hint="eastAsia" w:ascii="宋体" w:hAnsi="宋体"/>
          <w:szCs w:val="21"/>
          <w:highlight w:val="none"/>
        </w:rPr>
        <w:t>9.2乙方对包装箱内的各散装部件在装配图中的部件号、零件号应标记清楚。</w:t>
      </w:r>
    </w:p>
    <w:p>
      <w:pPr>
        <w:spacing w:line="400" w:lineRule="exact"/>
        <w:ind w:left="480" w:leftChars="200"/>
        <w:jc w:val="left"/>
        <w:rPr>
          <w:rFonts w:ascii="宋体" w:hAnsi="宋体"/>
          <w:szCs w:val="21"/>
          <w:highlight w:val="none"/>
        </w:rPr>
      </w:pPr>
      <w:r>
        <w:rPr>
          <w:rFonts w:hint="eastAsia" w:ascii="宋体" w:hAnsi="宋体"/>
          <w:szCs w:val="21"/>
          <w:highlight w:val="none"/>
        </w:rPr>
        <w:t>9.3每件包装箱内，应附有包括部件名称、数量、价格、机组号、图号的详细装箱单、合格证。外购件包装箱内应有产品出厂质量合格证明书、技术说明各一份。</w:t>
      </w:r>
    </w:p>
    <w:p>
      <w:pPr>
        <w:spacing w:line="400" w:lineRule="exact"/>
        <w:ind w:left="480" w:leftChars="200"/>
        <w:jc w:val="left"/>
        <w:rPr>
          <w:rFonts w:ascii="宋体" w:hAnsi="宋体"/>
          <w:szCs w:val="21"/>
          <w:highlight w:val="none"/>
        </w:rPr>
      </w:pPr>
      <w:r>
        <w:rPr>
          <w:rFonts w:hint="eastAsia" w:ascii="宋体" w:hAnsi="宋体"/>
          <w:szCs w:val="21"/>
          <w:highlight w:val="none"/>
        </w:rPr>
        <w:t>9.4乙方要提供必需的备品备件，备品备件应分别包装并注明上述内容，专用工具也应分别包</w:t>
      </w:r>
    </w:p>
    <w:p>
      <w:pPr>
        <w:spacing w:line="400" w:lineRule="exact"/>
        <w:jc w:val="left"/>
        <w:rPr>
          <w:rFonts w:ascii="宋体" w:hAnsi="宋体"/>
          <w:szCs w:val="21"/>
          <w:highlight w:val="none"/>
        </w:rPr>
      </w:pPr>
      <w:r>
        <w:rPr>
          <w:rFonts w:hint="eastAsia" w:ascii="宋体" w:hAnsi="宋体"/>
          <w:szCs w:val="21"/>
          <w:highlight w:val="none"/>
        </w:rPr>
        <w:t>装。</w:t>
      </w:r>
    </w:p>
    <w:p>
      <w:pPr>
        <w:spacing w:line="400" w:lineRule="exact"/>
        <w:ind w:left="480" w:leftChars="200"/>
        <w:jc w:val="left"/>
        <w:rPr>
          <w:rFonts w:ascii="宋体" w:hAnsi="宋体"/>
          <w:szCs w:val="21"/>
          <w:highlight w:val="none"/>
        </w:rPr>
      </w:pPr>
      <w:r>
        <w:rPr>
          <w:rFonts w:hint="eastAsia" w:ascii="宋体" w:hAnsi="宋体"/>
          <w:szCs w:val="21"/>
          <w:highlight w:val="none"/>
        </w:rPr>
        <w:t>9.5凡由于乙方包装或保管不善致使货物遭到损坏或丢失时，不论在何时何地发现，一经证实，乙方均应负责及时修理、更换或赔偿。在运输中如发生货物损坏和丢失时，乙方负责与承运部门及保险公司交涉，同时乙方应尽快向甲方补供货物以满足工期需要。货物甲方保管时如有丢失，甲方承担责任。</w:t>
      </w:r>
    </w:p>
    <w:p>
      <w:pPr>
        <w:spacing w:line="400" w:lineRule="exact"/>
        <w:ind w:left="480" w:leftChars="200"/>
        <w:jc w:val="left"/>
        <w:rPr>
          <w:rFonts w:ascii="宋体" w:hAnsi="宋体"/>
          <w:szCs w:val="21"/>
          <w:highlight w:val="none"/>
        </w:rPr>
      </w:pPr>
      <w:r>
        <w:rPr>
          <w:rFonts w:hint="eastAsia" w:ascii="宋体" w:hAnsi="宋体"/>
          <w:szCs w:val="21"/>
          <w:highlight w:val="none"/>
        </w:rPr>
        <w:t>9.6装箱清单1份应在交货前提前交给甲方。</w:t>
      </w:r>
    </w:p>
    <w:p>
      <w:pPr>
        <w:spacing w:line="400" w:lineRule="exact"/>
        <w:ind w:left="480" w:leftChars="200"/>
        <w:jc w:val="left"/>
        <w:rPr>
          <w:rFonts w:ascii="宋体" w:hAnsi="宋体"/>
          <w:b/>
          <w:szCs w:val="21"/>
          <w:highlight w:val="none"/>
        </w:rPr>
      </w:pPr>
      <w:r>
        <w:rPr>
          <w:rFonts w:hint="eastAsia" w:ascii="宋体" w:hAnsi="宋体"/>
          <w:b/>
          <w:szCs w:val="21"/>
          <w:highlight w:val="none"/>
        </w:rPr>
        <w:t>10.技术服务和培训</w:t>
      </w:r>
    </w:p>
    <w:p>
      <w:pPr>
        <w:spacing w:line="400" w:lineRule="exact"/>
        <w:ind w:left="480" w:leftChars="200"/>
        <w:jc w:val="left"/>
        <w:rPr>
          <w:rFonts w:ascii="宋体" w:hAnsi="宋体"/>
          <w:szCs w:val="21"/>
          <w:highlight w:val="none"/>
        </w:rPr>
      </w:pPr>
      <w:r>
        <w:rPr>
          <w:rFonts w:hint="eastAsia" w:ascii="宋体" w:hAnsi="宋体"/>
          <w:szCs w:val="21"/>
          <w:highlight w:val="none"/>
        </w:rPr>
        <w:t>10.1乙方应及时提供与本合同设备有关的设备生产、检验、安装、调试、验收、运行、检修等相应的技术资料、技术指导、技术交底、技术培训等全过程的服务。</w:t>
      </w:r>
    </w:p>
    <w:p>
      <w:pPr>
        <w:spacing w:line="400" w:lineRule="exact"/>
        <w:ind w:left="480" w:leftChars="200"/>
        <w:jc w:val="left"/>
        <w:rPr>
          <w:rFonts w:ascii="宋体" w:hAnsi="宋体"/>
          <w:szCs w:val="21"/>
          <w:highlight w:val="none"/>
        </w:rPr>
      </w:pPr>
      <w:r>
        <w:rPr>
          <w:rFonts w:hint="eastAsia" w:ascii="宋体" w:hAnsi="宋体"/>
          <w:szCs w:val="21"/>
          <w:highlight w:val="none"/>
        </w:rPr>
        <w:t>10.2乙方需派代表到现场进行技术服务，负责解决合同设备在安装调试、试运行中发现的制造质量及性能等有关问题。</w:t>
      </w:r>
    </w:p>
    <w:p>
      <w:pPr>
        <w:spacing w:line="400" w:lineRule="exact"/>
        <w:ind w:left="480" w:leftChars="200"/>
        <w:jc w:val="left"/>
        <w:rPr>
          <w:rFonts w:ascii="宋体" w:hAnsi="宋体"/>
          <w:szCs w:val="21"/>
          <w:highlight w:val="none"/>
        </w:rPr>
      </w:pPr>
      <w:r>
        <w:rPr>
          <w:rFonts w:hint="eastAsia" w:ascii="宋体" w:hAnsi="宋体"/>
          <w:szCs w:val="21"/>
          <w:highlight w:val="none"/>
        </w:rPr>
        <w:t>10.3乙方有义务在必要时邀请甲方参与乙方的技术设计，并向甲方解释技术设计。</w:t>
      </w:r>
    </w:p>
    <w:p>
      <w:pPr>
        <w:spacing w:line="400" w:lineRule="exact"/>
        <w:ind w:left="480" w:leftChars="200"/>
        <w:jc w:val="left"/>
        <w:rPr>
          <w:rFonts w:ascii="宋体" w:hAnsi="宋体"/>
          <w:szCs w:val="21"/>
          <w:highlight w:val="none"/>
        </w:rPr>
      </w:pPr>
      <w:r>
        <w:rPr>
          <w:rFonts w:hint="eastAsia" w:ascii="宋体" w:hAnsi="宋体"/>
          <w:szCs w:val="21"/>
          <w:highlight w:val="none"/>
        </w:rPr>
        <w:t>10.4如遇有重大问题需要双方研究协商时，任何一方均可建议召开会议，另一方必须参加。</w:t>
      </w:r>
    </w:p>
    <w:p>
      <w:pPr>
        <w:spacing w:line="400" w:lineRule="exact"/>
        <w:ind w:left="480" w:leftChars="200"/>
        <w:jc w:val="left"/>
        <w:rPr>
          <w:rFonts w:ascii="宋体" w:hAnsi="宋体"/>
          <w:szCs w:val="21"/>
          <w:highlight w:val="none"/>
        </w:rPr>
      </w:pPr>
      <w:r>
        <w:rPr>
          <w:rFonts w:hint="eastAsia" w:ascii="宋体" w:hAnsi="宋体"/>
          <w:szCs w:val="21"/>
          <w:highlight w:val="none"/>
        </w:rPr>
        <w:t>10.5甲乙双方有权将对方所提供的一切与本合同设备有关的资料分发给与本合同设备需求项目有关的各方，并不由此而构成任何侵权，但不得向任何与本工程无关的第三方提供。</w:t>
      </w:r>
    </w:p>
    <w:p>
      <w:pPr>
        <w:spacing w:line="400" w:lineRule="exact"/>
        <w:ind w:left="480" w:leftChars="200"/>
        <w:jc w:val="left"/>
        <w:rPr>
          <w:rFonts w:ascii="宋体" w:hAnsi="宋体"/>
          <w:szCs w:val="21"/>
          <w:highlight w:val="none"/>
        </w:rPr>
      </w:pPr>
      <w:r>
        <w:rPr>
          <w:rFonts w:hint="eastAsia" w:ascii="宋体" w:hAnsi="宋体"/>
          <w:szCs w:val="21"/>
          <w:highlight w:val="none"/>
        </w:rPr>
        <w:t>10.6乙方派到现场服务的技术人员应是具有实践经验、可胜任此项工作的人员。甲方有权提出更换不符合要求的乙方现场服务人员，乙方须重新选派服务人员。</w:t>
      </w:r>
    </w:p>
    <w:p>
      <w:pPr>
        <w:spacing w:line="400" w:lineRule="exact"/>
        <w:ind w:left="480" w:leftChars="200"/>
        <w:jc w:val="left"/>
        <w:rPr>
          <w:rFonts w:ascii="宋体" w:hAnsi="宋体"/>
          <w:szCs w:val="21"/>
          <w:highlight w:val="none"/>
        </w:rPr>
      </w:pPr>
      <w:r>
        <w:rPr>
          <w:rFonts w:hint="eastAsia" w:ascii="宋体" w:hAnsi="宋体"/>
          <w:szCs w:val="21"/>
          <w:highlight w:val="none"/>
        </w:rPr>
        <w:t>10.7乙方须对一切与本合同有关的供货、设备及技术接口、技术服务等问题负全部责任。</w:t>
      </w:r>
    </w:p>
    <w:p>
      <w:pPr>
        <w:spacing w:line="400" w:lineRule="exact"/>
        <w:ind w:left="480" w:leftChars="200"/>
        <w:jc w:val="left"/>
        <w:rPr>
          <w:rFonts w:ascii="宋体" w:hAnsi="宋体"/>
          <w:szCs w:val="21"/>
          <w:highlight w:val="none"/>
        </w:rPr>
      </w:pPr>
      <w:r>
        <w:rPr>
          <w:rFonts w:hint="eastAsia" w:ascii="宋体" w:hAnsi="宋体"/>
          <w:szCs w:val="21"/>
          <w:highlight w:val="none"/>
        </w:rPr>
        <w:t>10.8凡与本合同设备相连接的其它设备装置，乙方有提供接口和技术配合的义务，并不由此而发生合同价格以外的任何费用。</w:t>
      </w:r>
    </w:p>
    <w:p>
      <w:pPr>
        <w:spacing w:line="400" w:lineRule="exact"/>
        <w:ind w:left="480" w:leftChars="200"/>
        <w:jc w:val="left"/>
        <w:rPr>
          <w:rFonts w:ascii="宋体" w:hAnsi="宋体"/>
          <w:szCs w:val="21"/>
          <w:highlight w:val="none"/>
        </w:rPr>
      </w:pPr>
      <w:r>
        <w:rPr>
          <w:rFonts w:hint="eastAsia" w:ascii="宋体" w:hAnsi="宋体"/>
          <w:szCs w:val="21"/>
          <w:highlight w:val="none"/>
        </w:rPr>
        <w:t>10.9由于乙方技术服务人员对安装、调试、试运的工作的疏忽或错误以及乙方未按要求派人对甲方指定的检验、验收及操作作业人员进行指导而造成的损失应由乙方负责。</w:t>
      </w:r>
    </w:p>
    <w:p>
      <w:pPr>
        <w:spacing w:line="400" w:lineRule="exact"/>
        <w:ind w:left="480" w:leftChars="200"/>
        <w:jc w:val="left"/>
        <w:rPr>
          <w:rFonts w:ascii="宋体" w:hAnsi="宋体"/>
          <w:szCs w:val="21"/>
          <w:highlight w:val="none"/>
        </w:rPr>
      </w:pPr>
      <w:r>
        <w:rPr>
          <w:rFonts w:hint="eastAsia" w:ascii="宋体" w:hAnsi="宋体"/>
          <w:szCs w:val="21"/>
          <w:highlight w:val="none"/>
        </w:rPr>
        <w:t>10.10乙方对其设计方案和设备应当达到的技术性能指标负责。乙方承担因工程设计方案和设备技术指标不达标造成的损失和责任。</w:t>
      </w:r>
    </w:p>
    <w:p>
      <w:pPr>
        <w:spacing w:line="400" w:lineRule="exact"/>
        <w:ind w:left="480" w:leftChars="200"/>
        <w:jc w:val="left"/>
        <w:rPr>
          <w:rFonts w:ascii="宋体" w:hAnsi="宋体"/>
          <w:b/>
          <w:szCs w:val="21"/>
          <w:highlight w:val="none"/>
        </w:rPr>
      </w:pPr>
      <w:r>
        <w:rPr>
          <w:rFonts w:hint="eastAsia" w:ascii="宋体" w:hAnsi="宋体"/>
          <w:b/>
          <w:szCs w:val="21"/>
          <w:highlight w:val="none"/>
        </w:rPr>
        <w:t>11.监造</w:t>
      </w:r>
    </w:p>
    <w:p>
      <w:pPr>
        <w:spacing w:line="400" w:lineRule="exact"/>
        <w:ind w:left="480" w:leftChars="200"/>
        <w:jc w:val="left"/>
        <w:rPr>
          <w:rFonts w:ascii="宋体" w:hAnsi="宋体"/>
          <w:szCs w:val="21"/>
          <w:highlight w:val="none"/>
        </w:rPr>
      </w:pPr>
      <w:r>
        <w:rPr>
          <w:rFonts w:hint="eastAsia" w:ascii="宋体" w:hAnsi="宋体"/>
          <w:szCs w:val="21"/>
          <w:highlight w:val="none"/>
        </w:rPr>
        <w:t>11.1甲方认为必要时可进行设备监造。乙方有配合监造的义务，在监造中及时提供相应资料和标准，并不由此而发生任何费用。</w:t>
      </w:r>
    </w:p>
    <w:p>
      <w:pPr>
        <w:spacing w:line="400" w:lineRule="exact"/>
        <w:ind w:left="480" w:leftChars="200"/>
        <w:jc w:val="left"/>
        <w:rPr>
          <w:rFonts w:ascii="宋体" w:hAnsi="宋体"/>
          <w:szCs w:val="21"/>
          <w:highlight w:val="none"/>
        </w:rPr>
      </w:pPr>
      <w:r>
        <w:rPr>
          <w:rFonts w:hint="eastAsia" w:ascii="宋体" w:hAnsi="宋体"/>
          <w:szCs w:val="21"/>
          <w:highlight w:val="none"/>
        </w:rPr>
        <w:t>11.2乙方须为甲方驻厂代表和监造代表提供下列内容：</w:t>
      </w:r>
    </w:p>
    <w:p>
      <w:pPr>
        <w:spacing w:line="400" w:lineRule="exact"/>
        <w:ind w:left="480" w:leftChars="200"/>
        <w:jc w:val="left"/>
        <w:rPr>
          <w:rFonts w:ascii="宋体" w:hAnsi="宋体"/>
          <w:szCs w:val="21"/>
          <w:highlight w:val="none"/>
        </w:rPr>
      </w:pPr>
      <w:r>
        <w:rPr>
          <w:rFonts w:hint="eastAsia" w:ascii="宋体" w:hAnsi="宋体"/>
          <w:szCs w:val="21"/>
          <w:highlight w:val="none"/>
        </w:rPr>
        <w:t>11.2.1与本合同设备监造有关的标准〈包括工厂标准〉、图纸、资料、工艺及实际工艺过程和检验记录(包括中间检验记录或不一致性报告)及有关文件以及复印件。</w:t>
      </w:r>
    </w:p>
    <w:p>
      <w:pPr>
        <w:spacing w:line="400" w:lineRule="exact"/>
        <w:ind w:left="480" w:leftChars="200"/>
        <w:jc w:val="left"/>
        <w:rPr>
          <w:rFonts w:ascii="宋体" w:hAnsi="宋体"/>
          <w:szCs w:val="21"/>
          <w:highlight w:val="none"/>
        </w:rPr>
      </w:pPr>
      <w:r>
        <w:rPr>
          <w:rFonts w:hint="eastAsia" w:ascii="宋体" w:hAnsi="宋体"/>
          <w:szCs w:val="21"/>
          <w:highlight w:val="none"/>
        </w:rPr>
        <w:t>11.2.2向监造代表提供工作、生活便利。</w:t>
      </w:r>
    </w:p>
    <w:p>
      <w:pPr>
        <w:spacing w:line="400" w:lineRule="exact"/>
        <w:ind w:left="480" w:leftChars="200"/>
        <w:jc w:val="left"/>
        <w:rPr>
          <w:rFonts w:ascii="宋体" w:hAnsi="宋体"/>
          <w:szCs w:val="21"/>
          <w:highlight w:val="none"/>
        </w:rPr>
      </w:pPr>
      <w:r>
        <w:rPr>
          <w:rFonts w:hint="eastAsia" w:ascii="宋体" w:hAnsi="宋体"/>
          <w:szCs w:val="21"/>
          <w:highlight w:val="none"/>
        </w:rPr>
        <w:t>11.2.3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擅自处理。</w:t>
      </w:r>
    </w:p>
    <w:p>
      <w:pPr>
        <w:spacing w:line="400" w:lineRule="exact"/>
        <w:ind w:left="480" w:leftChars="200"/>
        <w:jc w:val="left"/>
        <w:rPr>
          <w:rFonts w:ascii="宋体" w:hAnsi="宋体"/>
          <w:b/>
          <w:szCs w:val="21"/>
          <w:highlight w:val="none"/>
        </w:rPr>
      </w:pPr>
      <w:r>
        <w:rPr>
          <w:rFonts w:hint="eastAsia" w:ascii="宋体" w:hAnsi="宋体"/>
          <w:b/>
          <w:szCs w:val="21"/>
          <w:highlight w:val="none"/>
        </w:rPr>
        <w:t>12.安装调试及检验验收</w:t>
      </w:r>
    </w:p>
    <w:p>
      <w:pPr>
        <w:spacing w:line="400" w:lineRule="exact"/>
        <w:ind w:left="480" w:leftChars="200"/>
        <w:jc w:val="left"/>
        <w:rPr>
          <w:rFonts w:ascii="宋体" w:hAnsi="宋体"/>
          <w:szCs w:val="21"/>
          <w:highlight w:val="none"/>
        </w:rPr>
      </w:pPr>
      <w:r>
        <w:rPr>
          <w:rFonts w:hint="eastAsia" w:ascii="宋体" w:hAnsi="宋体"/>
          <w:szCs w:val="21"/>
          <w:highlight w:val="none"/>
        </w:rPr>
        <w:t>12.1合同设备在甲方的配合下，由乙方根据相关的技术资料、检验标准、图纸及说明书进行安装、调试、试运行和现场检修。甲方负责设备卸车、安装、吊装和焊接等设备及必要的人力支持。整个安装、调试过程须在有甲方指定人员在场的情况下由乙方现场技术服务人员完成。</w:t>
      </w:r>
    </w:p>
    <w:p>
      <w:pPr>
        <w:spacing w:line="400" w:lineRule="exact"/>
        <w:ind w:left="480" w:leftChars="200"/>
        <w:jc w:val="left"/>
        <w:rPr>
          <w:rFonts w:ascii="宋体" w:hAnsi="宋体"/>
          <w:szCs w:val="21"/>
          <w:highlight w:val="none"/>
        </w:rPr>
      </w:pPr>
      <w:r>
        <w:rPr>
          <w:rFonts w:hint="eastAsia" w:ascii="宋体" w:hAnsi="宋体"/>
          <w:szCs w:val="21"/>
          <w:highlight w:val="none"/>
        </w:rPr>
        <w:t>12.2合同设备安装完毕后，应有甲方指定人员参与，由乙方人员进行调试工作，并对甲方人员进行指导，乙方尽快解决调试中出现的设备问题。</w:t>
      </w:r>
    </w:p>
    <w:p>
      <w:pPr>
        <w:spacing w:line="400" w:lineRule="exact"/>
        <w:ind w:left="480" w:leftChars="200"/>
        <w:jc w:val="left"/>
        <w:rPr>
          <w:rFonts w:ascii="宋体" w:hAnsi="宋体"/>
          <w:szCs w:val="21"/>
          <w:highlight w:val="none"/>
        </w:rPr>
      </w:pPr>
      <w:r>
        <w:rPr>
          <w:rFonts w:hint="eastAsia" w:ascii="宋体" w:hAnsi="宋体"/>
          <w:szCs w:val="21"/>
          <w:highlight w:val="none"/>
        </w:rPr>
        <w:t>12.3工厂检验与现场开箱验收</w:t>
      </w:r>
    </w:p>
    <w:p>
      <w:pPr>
        <w:spacing w:line="400" w:lineRule="exact"/>
        <w:ind w:left="480" w:leftChars="200"/>
        <w:jc w:val="left"/>
        <w:rPr>
          <w:rFonts w:ascii="宋体" w:hAnsi="宋体"/>
          <w:szCs w:val="21"/>
          <w:highlight w:val="none"/>
        </w:rPr>
      </w:pPr>
      <w:r>
        <w:rPr>
          <w:rFonts w:hint="eastAsia" w:ascii="宋体" w:hAnsi="宋体"/>
          <w:szCs w:val="21"/>
          <w:highlight w:val="none"/>
        </w:rPr>
        <w:t>12.3.1由乙方供应的所有合同设备部件（包括分包与外购），在生产过程中都须进行严格的检验和试验，合格者才能出厂发运。乙方还应在随机文件中提供合格证和质量证明文件。</w:t>
      </w:r>
    </w:p>
    <w:p>
      <w:pPr>
        <w:spacing w:line="400" w:lineRule="exact"/>
        <w:ind w:left="480" w:leftChars="200"/>
        <w:jc w:val="left"/>
        <w:rPr>
          <w:rFonts w:ascii="宋体" w:hAnsi="宋体"/>
          <w:szCs w:val="21"/>
          <w:highlight w:val="none"/>
        </w:rPr>
      </w:pPr>
      <w:r>
        <w:rPr>
          <w:rFonts w:hint="eastAsia" w:ascii="宋体" w:hAnsi="宋体"/>
          <w:szCs w:val="21"/>
          <w:highlight w:val="none"/>
        </w:rPr>
        <w:t>12.3.2设备到达目的地后进行开箱验收：甲乙方双方共同根据运单和装箱单对对设备的包装、外观及数量进行清点检验。如发现有任何不符之处经双方代表确认属乙方责任后，由乙方解决处理。</w:t>
      </w:r>
    </w:p>
    <w:p>
      <w:pPr>
        <w:spacing w:line="400" w:lineRule="exact"/>
        <w:ind w:left="480" w:leftChars="200"/>
        <w:jc w:val="left"/>
        <w:rPr>
          <w:rFonts w:ascii="宋体" w:hAnsi="宋体"/>
          <w:szCs w:val="21"/>
          <w:highlight w:val="none"/>
        </w:rPr>
      </w:pPr>
      <w:r>
        <w:rPr>
          <w:rFonts w:hint="eastAsia" w:ascii="宋体" w:hAnsi="宋体"/>
          <w:szCs w:val="21"/>
          <w:highlight w:val="none"/>
        </w:rPr>
        <w:t>12.3.3现场检验时，如发现设备由于乙方原因(包括运输)有任何损坏、缺陷、短少或不符合合同中规定的质量标准和规范时，应做好记录，并由双方代表签字，各执一份，作为甲方向乙方提出修理或更换、索赔的依据；如果乙方委托甲方修理损坏的设备，所有修理设备的费用由乙方承担；如果由于甲方原因，发现损坏或短缺，乙方在接到甲方通知后，应无条件提供或替换相应的部件，但费用由甲方自负。</w:t>
      </w:r>
    </w:p>
    <w:p>
      <w:pPr>
        <w:spacing w:line="400" w:lineRule="exact"/>
        <w:ind w:left="480" w:leftChars="200"/>
        <w:jc w:val="left"/>
        <w:rPr>
          <w:rFonts w:ascii="宋体" w:hAnsi="宋体"/>
          <w:szCs w:val="21"/>
          <w:highlight w:val="none"/>
        </w:rPr>
      </w:pPr>
      <w:r>
        <w:rPr>
          <w:rFonts w:hint="eastAsia" w:ascii="宋体" w:hAnsi="宋体"/>
          <w:szCs w:val="21"/>
          <w:highlight w:val="none"/>
        </w:rPr>
        <w:t>12.4安装检验：乙方按照本合同约定完成设备的安装调试后，甲方应对安装调试结果进行检验，并确定是否能够正常运转。如在安装调试过程中出现任何问题或故障的，乙方应负责维修、更换，如在安装调试后7日内仍无法正常使用，甲方有权要求退货，乙方应承担违约责任。</w:t>
      </w:r>
    </w:p>
    <w:p>
      <w:pPr>
        <w:spacing w:line="400" w:lineRule="exact"/>
        <w:ind w:left="480" w:leftChars="200"/>
        <w:jc w:val="left"/>
        <w:rPr>
          <w:rFonts w:ascii="宋体" w:hAnsi="宋体"/>
          <w:szCs w:val="21"/>
          <w:highlight w:val="none"/>
        </w:rPr>
      </w:pPr>
      <w:r>
        <w:rPr>
          <w:rFonts w:hint="eastAsia" w:ascii="宋体" w:hAnsi="宋体"/>
          <w:szCs w:val="21"/>
          <w:highlight w:val="none"/>
        </w:rPr>
        <w:t>12.4.1乙方如对上述甲方提出修理、更换、索赔的要求有异议，应在接到甲方书面通知后2天内提出，否则上述要求即告成立。且乙方在接到通知后5天内，自费派代表赴现场同甲方代表共同复验。</w:t>
      </w:r>
    </w:p>
    <w:p>
      <w:pPr>
        <w:spacing w:line="400" w:lineRule="exact"/>
        <w:ind w:left="480" w:leftChars="200"/>
        <w:jc w:val="left"/>
        <w:rPr>
          <w:rFonts w:ascii="宋体" w:hAnsi="宋体"/>
          <w:szCs w:val="21"/>
          <w:highlight w:val="none"/>
        </w:rPr>
      </w:pPr>
      <w:r>
        <w:rPr>
          <w:rFonts w:hint="eastAsia" w:ascii="宋体" w:hAnsi="宋体"/>
          <w:szCs w:val="21"/>
          <w:highlight w:val="none"/>
        </w:rPr>
        <w:t>12.4.2如双方代表在会同检验中对检验记录不能取得一致意见时，可由双方委托权威的第三方检验机构并甲乙双方派员一起联合进行检验。检验结果对双方都有约束力，检验费用由责任方负担。</w:t>
      </w:r>
    </w:p>
    <w:p>
      <w:pPr>
        <w:spacing w:line="400" w:lineRule="exact"/>
        <w:ind w:left="480" w:leftChars="200"/>
        <w:jc w:val="left"/>
        <w:rPr>
          <w:rFonts w:ascii="宋体" w:hAnsi="宋体"/>
          <w:szCs w:val="21"/>
          <w:highlight w:val="none"/>
        </w:rPr>
      </w:pPr>
      <w:r>
        <w:rPr>
          <w:rFonts w:hint="eastAsia" w:ascii="宋体" w:hAnsi="宋体"/>
          <w:szCs w:val="21"/>
          <w:highlight w:val="none"/>
        </w:rPr>
        <w:t>12.4.3甲方对到货检验的货物提出索赔的时间，不迟于货物抵达现场之日起的6个月。</w:t>
      </w:r>
    </w:p>
    <w:p>
      <w:pPr>
        <w:spacing w:line="400" w:lineRule="exact"/>
        <w:ind w:left="480" w:leftChars="200"/>
        <w:jc w:val="left"/>
        <w:rPr>
          <w:rFonts w:ascii="宋体" w:hAnsi="宋体"/>
          <w:szCs w:val="21"/>
          <w:highlight w:val="none"/>
        </w:rPr>
      </w:pPr>
      <w:r>
        <w:rPr>
          <w:rFonts w:hint="eastAsia" w:ascii="宋体" w:hAnsi="宋体"/>
          <w:szCs w:val="21"/>
          <w:highlight w:val="none"/>
        </w:rPr>
        <w:t>12.4.4上述各项检验仅是现场的到货检验,尽管没有发现问题,或乙方已按索赔要求予以更换、修理,均不能被视为乙方按合同规定应承担的质量保证责任的解除。</w:t>
      </w:r>
    </w:p>
    <w:p>
      <w:pPr>
        <w:spacing w:line="400" w:lineRule="exact"/>
        <w:ind w:left="480" w:leftChars="200"/>
        <w:jc w:val="left"/>
        <w:rPr>
          <w:rFonts w:ascii="宋体" w:hAnsi="宋体"/>
          <w:szCs w:val="21"/>
          <w:highlight w:val="none"/>
        </w:rPr>
      </w:pPr>
      <w:r>
        <w:rPr>
          <w:rFonts w:hint="eastAsia" w:ascii="宋体" w:hAnsi="宋体"/>
          <w:szCs w:val="21"/>
          <w:highlight w:val="none"/>
        </w:rPr>
        <w:t>12.4.5甲方按照本合同约定进行的上述开箱验收和安装检验均不作为甲方对本合同项下机械设备质量合格的最终确认，亦不减轻或免除乙方应承担的质量保证责任。</w:t>
      </w:r>
    </w:p>
    <w:p>
      <w:pPr>
        <w:spacing w:line="400" w:lineRule="exact"/>
        <w:ind w:left="480" w:leftChars="200"/>
        <w:jc w:val="left"/>
        <w:rPr>
          <w:rFonts w:ascii="宋体" w:hAnsi="宋体"/>
          <w:szCs w:val="21"/>
          <w:highlight w:val="none"/>
        </w:rPr>
      </w:pPr>
      <w:r>
        <w:rPr>
          <w:rFonts w:hint="eastAsia" w:ascii="宋体" w:hAnsi="宋体"/>
          <w:szCs w:val="21"/>
          <w:highlight w:val="none"/>
        </w:rPr>
        <w:t>12.5在开箱验收和安装验收和空载验收满足要求的情况下，进行负载验收。负载验收应在额定工况下设备达到连续稳定的运行。此验收试验由甲方负责，乙方参加。</w:t>
      </w:r>
    </w:p>
    <w:p>
      <w:pPr>
        <w:spacing w:line="400" w:lineRule="exact"/>
        <w:ind w:left="480" w:leftChars="200"/>
        <w:jc w:val="left"/>
        <w:rPr>
          <w:rFonts w:ascii="宋体" w:hAnsi="宋体"/>
          <w:szCs w:val="21"/>
          <w:highlight w:val="none"/>
        </w:rPr>
      </w:pPr>
      <w:r>
        <w:rPr>
          <w:rFonts w:hint="eastAsia" w:ascii="宋体" w:hAnsi="宋体"/>
          <w:szCs w:val="21"/>
          <w:highlight w:val="none"/>
        </w:rPr>
        <w:t>12.6负载验收通过后 , 甲方和乙方应该在 7 天内签署负载验收文件。</w:t>
      </w:r>
    </w:p>
    <w:p>
      <w:pPr>
        <w:spacing w:line="400" w:lineRule="exact"/>
        <w:ind w:left="480" w:leftChars="200"/>
        <w:jc w:val="left"/>
        <w:rPr>
          <w:rFonts w:ascii="宋体" w:hAnsi="宋体"/>
          <w:szCs w:val="21"/>
          <w:highlight w:val="none"/>
        </w:rPr>
      </w:pPr>
      <w:r>
        <w:rPr>
          <w:rFonts w:hint="eastAsia" w:ascii="宋体" w:hAnsi="宋体"/>
          <w:szCs w:val="21"/>
          <w:highlight w:val="none"/>
        </w:rPr>
        <w:t>12.7无论任何原因 , 如果设备在质量保证期满前发现有缺陷 , 包括但不限于质量缺陷、潜在质量缺陷或使用了不合适的材料 , 甲方有权要求乙方赔偿。</w:t>
      </w:r>
    </w:p>
    <w:p>
      <w:pPr>
        <w:spacing w:line="400" w:lineRule="exact"/>
        <w:ind w:left="480" w:leftChars="200"/>
        <w:jc w:val="left"/>
        <w:rPr>
          <w:rFonts w:ascii="宋体" w:hAnsi="宋体"/>
          <w:szCs w:val="21"/>
          <w:highlight w:val="none"/>
        </w:rPr>
      </w:pPr>
      <w:r>
        <w:rPr>
          <w:rFonts w:hint="eastAsia" w:ascii="宋体" w:hAnsi="宋体"/>
          <w:szCs w:val="21"/>
          <w:highlight w:val="none"/>
        </w:rPr>
        <w:t>12.8乙方负责与设备使用地的技术监督部门联系，办理特种设备使用许可证并承担取证费，甲方给予协助。</w:t>
      </w:r>
    </w:p>
    <w:p>
      <w:pPr>
        <w:spacing w:line="400" w:lineRule="exact"/>
        <w:ind w:left="480" w:leftChars="200"/>
        <w:jc w:val="left"/>
        <w:rPr>
          <w:rFonts w:ascii="宋体" w:hAnsi="宋体"/>
          <w:szCs w:val="21"/>
          <w:highlight w:val="none"/>
        </w:rPr>
      </w:pPr>
      <w:r>
        <w:rPr>
          <w:rFonts w:hint="eastAsia" w:ascii="宋体" w:hAnsi="宋体"/>
          <w:szCs w:val="21"/>
          <w:highlight w:val="none"/>
        </w:rPr>
        <w:t>12.9乙方技术人员在甲方现场服务期间，甲方提供工作餐，其余费用由乙方自理。</w:t>
      </w:r>
    </w:p>
    <w:p>
      <w:pPr>
        <w:spacing w:line="400" w:lineRule="exact"/>
        <w:ind w:left="480" w:leftChars="200"/>
        <w:jc w:val="left"/>
        <w:rPr>
          <w:rFonts w:ascii="宋体" w:hAnsi="宋体"/>
          <w:color w:val="000000"/>
          <w:szCs w:val="21"/>
          <w:highlight w:val="none"/>
        </w:rPr>
      </w:pPr>
      <w:r>
        <w:rPr>
          <w:rFonts w:hint="eastAsia" w:ascii="宋体" w:hAnsi="宋体"/>
          <w:color w:val="000000"/>
          <w:szCs w:val="21"/>
          <w:highlight w:val="none"/>
        </w:rPr>
        <w:t>12.10空载验收对设备运行时间的要求</w:t>
      </w:r>
    </w:p>
    <w:p>
      <w:pPr>
        <w:spacing w:line="400" w:lineRule="exact"/>
        <w:ind w:left="480" w:leftChars="200"/>
        <w:jc w:val="left"/>
        <w:rPr>
          <w:rFonts w:ascii="宋体" w:hAnsi="宋体" w:eastAsia="宋体"/>
          <w:color w:val="000000"/>
          <w:szCs w:val="21"/>
          <w:highlight w:val="none"/>
        </w:rPr>
      </w:pPr>
      <w:r>
        <w:rPr>
          <w:rFonts w:hint="eastAsia" w:ascii="宋体" w:hAnsi="宋体"/>
          <w:color w:val="000000"/>
          <w:szCs w:val="21"/>
          <w:highlight w:val="none"/>
        </w:rPr>
        <w:t>12.10.1自行式单机类设备空载运行验收时间不低于2小时。</w:t>
      </w:r>
    </w:p>
    <w:p>
      <w:pPr>
        <w:spacing w:line="400" w:lineRule="exact"/>
        <w:ind w:left="480" w:leftChars="200"/>
        <w:jc w:val="left"/>
        <w:rPr>
          <w:rFonts w:ascii="宋体" w:hAnsi="宋体"/>
          <w:color w:val="000000"/>
          <w:szCs w:val="21"/>
          <w:highlight w:val="none"/>
        </w:rPr>
      </w:pPr>
      <w:r>
        <w:rPr>
          <w:rFonts w:hint="eastAsia" w:ascii="宋体" w:hAnsi="宋体"/>
          <w:color w:val="000000"/>
          <w:szCs w:val="21"/>
          <w:highlight w:val="none"/>
        </w:rPr>
        <w:t>12.10.2固定式成套类设备空载运行验收工作动作不低于30次。</w:t>
      </w:r>
    </w:p>
    <w:p>
      <w:pPr>
        <w:spacing w:line="360" w:lineRule="exact"/>
        <w:ind w:firstLine="480" w:firstLineChars="200"/>
        <w:rPr>
          <w:rFonts w:ascii="宋体" w:hAnsi="宋体"/>
          <w:bCs/>
          <w:color w:val="000000"/>
          <w:szCs w:val="21"/>
          <w:highlight w:val="none"/>
        </w:rPr>
      </w:pPr>
      <w:r>
        <w:rPr>
          <w:rFonts w:hint="eastAsia" w:ascii="宋体" w:hAnsi="宋体"/>
          <w:bCs/>
          <w:color w:val="000000"/>
          <w:szCs w:val="21"/>
          <w:highlight w:val="none"/>
        </w:rPr>
        <w:t>12.10.3负载验收时间要求。设备在额定工况下正常生产7个工作日后进行设备负载验收。</w:t>
      </w:r>
    </w:p>
    <w:p>
      <w:pPr>
        <w:spacing w:line="400" w:lineRule="exact"/>
        <w:ind w:left="480" w:leftChars="200"/>
        <w:jc w:val="left"/>
        <w:rPr>
          <w:rFonts w:ascii="宋体" w:hAnsi="宋体"/>
          <w:b/>
          <w:szCs w:val="21"/>
          <w:highlight w:val="none"/>
        </w:rPr>
      </w:pPr>
      <w:r>
        <w:rPr>
          <w:rFonts w:hint="eastAsia" w:ascii="宋体" w:hAnsi="宋体"/>
          <w:b/>
          <w:szCs w:val="21"/>
          <w:highlight w:val="none"/>
        </w:rPr>
        <w:t>13. 风险</w:t>
      </w:r>
      <w:bookmarkStart w:id="83" w:name="0bb6d3d3f38a4d4f8e50ad39c832e6a0"/>
      <w:bookmarkEnd w:id="83"/>
      <w:r>
        <w:rPr>
          <w:rFonts w:hint="eastAsia" w:ascii="宋体" w:hAnsi="宋体"/>
          <w:b/>
          <w:szCs w:val="21"/>
          <w:highlight w:val="none"/>
        </w:rPr>
        <w:t>及所有权转移</w:t>
      </w:r>
    </w:p>
    <w:p>
      <w:pPr>
        <w:spacing w:line="400" w:lineRule="exact"/>
        <w:ind w:left="480" w:leftChars="200"/>
        <w:jc w:val="left"/>
        <w:rPr>
          <w:rFonts w:ascii="宋体" w:hAnsi="宋体"/>
          <w:szCs w:val="21"/>
          <w:highlight w:val="none"/>
        </w:rPr>
      </w:pPr>
      <w:r>
        <w:rPr>
          <w:rFonts w:hint="eastAsia" w:ascii="宋体" w:hAnsi="宋体"/>
          <w:szCs w:val="21"/>
          <w:highlight w:val="none"/>
        </w:rPr>
        <w:t>13.1设备毁损、灭失的风险，在设备交付前由乙方承担，交付后由甲方承担。</w:t>
      </w:r>
      <w:bookmarkStart w:id="84" w:name="387ec781cabc4a3b87942c9e6a9f56d9"/>
      <w:bookmarkEnd w:id="84"/>
      <w:r>
        <w:rPr>
          <w:rFonts w:hint="eastAsia" w:ascii="宋体" w:hAnsi="宋体"/>
          <w:szCs w:val="21"/>
          <w:highlight w:val="none"/>
        </w:rPr>
        <w:t>本合同中的“交付”是指乙方将甲方所采购的设备运至甲方指定地点并经甲方验收合格后，对验收合格的设备视作已经交付。</w:t>
      </w:r>
    </w:p>
    <w:p>
      <w:pPr>
        <w:spacing w:line="400" w:lineRule="exact"/>
        <w:ind w:left="480" w:leftChars="200"/>
        <w:jc w:val="left"/>
        <w:rPr>
          <w:rFonts w:ascii="宋体" w:hAnsi="宋体"/>
          <w:szCs w:val="21"/>
          <w:highlight w:val="none"/>
        </w:rPr>
      </w:pPr>
      <w:r>
        <w:rPr>
          <w:rFonts w:hint="eastAsia" w:ascii="宋体" w:hAnsi="宋体"/>
          <w:szCs w:val="21"/>
          <w:highlight w:val="none"/>
        </w:rPr>
        <w:t>13.2即使设备已经移交甲方，如乙方未按照约定交付有关设备的单证和资料等，设备毁损、灭失的风险仍应由乙方承担。</w:t>
      </w:r>
      <w:bookmarkStart w:id="85" w:name="72aa968445a9495b81c1ef6d3998a488"/>
      <w:bookmarkEnd w:id="85"/>
    </w:p>
    <w:p>
      <w:pPr>
        <w:spacing w:line="400" w:lineRule="exact"/>
        <w:ind w:left="480" w:leftChars="200"/>
        <w:jc w:val="left"/>
        <w:rPr>
          <w:rFonts w:ascii="宋体" w:hAnsi="宋体"/>
          <w:szCs w:val="21"/>
          <w:highlight w:val="none"/>
        </w:rPr>
      </w:pPr>
      <w:r>
        <w:rPr>
          <w:rFonts w:hint="eastAsia" w:ascii="宋体" w:hAnsi="宋体"/>
          <w:szCs w:val="21"/>
          <w:highlight w:val="none"/>
        </w:rPr>
        <w:t xml:space="preserve">13.3因设备质量不符合质量要求，致使不能实现合同目的的，甲方可以拒绝接受设备或者解除合同。甲方拒绝接受设备或者解除合同的，设备毁损、灭失的风险由乙方承担。 </w:t>
      </w:r>
      <w:bookmarkStart w:id="86" w:name="535af186621d440ab343348a3d2f8d97"/>
      <w:bookmarkEnd w:id="86"/>
    </w:p>
    <w:p>
      <w:pPr>
        <w:spacing w:line="400" w:lineRule="exact"/>
        <w:ind w:left="480" w:leftChars="200"/>
        <w:jc w:val="left"/>
        <w:rPr>
          <w:rFonts w:ascii="宋体" w:hAnsi="宋体"/>
          <w:szCs w:val="21"/>
          <w:highlight w:val="none"/>
        </w:rPr>
      </w:pPr>
      <w:r>
        <w:rPr>
          <w:rFonts w:hint="eastAsia" w:ascii="宋体" w:hAnsi="宋体"/>
          <w:szCs w:val="21"/>
          <w:highlight w:val="none"/>
        </w:rPr>
        <w:t>13.4设备风险的转移，不影响违约、赔偿责任和产品侵权责任的主张。</w:t>
      </w:r>
      <w:bookmarkStart w:id="87" w:name="234c601035da4b849245b1edcb9b4d2a"/>
      <w:bookmarkEnd w:id="87"/>
    </w:p>
    <w:p>
      <w:pPr>
        <w:spacing w:line="400" w:lineRule="exact"/>
        <w:ind w:left="480" w:leftChars="200"/>
        <w:jc w:val="left"/>
        <w:rPr>
          <w:rFonts w:ascii="宋体" w:hAnsi="宋体"/>
          <w:szCs w:val="21"/>
          <w:highlight w:val="none"/>
        </w:rPr>
      </w:pPr>
      <w:r>
        <w:rPr>
          <w:rFonts w:hint="eastAsia" w:ascii="宋体" w:hAnsi="宋体"/>
          <w:szCs w:val="21"/>
          <w:highlight w:val="none"/>
        </w:rPr>
        <w:t>13.5设备交付后所有权即转移至甲方</w:t>
      </w:r>
      <w:bookmarkStart w:id="88" w:name="7ecdc4125c574e2cb24dc1d3dc33645c"/>
      <w:bookmarkEnd w:id="88"/>
      <w:r>
        <w:rPr>
          <w:rFonts w:hint="eastAsia" w:ascii="宋体" w:hAnsi="宋体"/>
          <w:szCs w:val="21"/>
          <w:highlight w:val="none"/>
        </w:rPr>
        <w:t>。</w:t>
      </w:r>
    </w:p>
    <w:p>
      <w:pPr>
        <w:spacing w:line="400" w:lineRule="exact"/>
        <w:ind w:left="480" w:leftChars="200"/>
        <w:jc w:val="left"/>
        <w:rPr>
          <w:rFonts w:ascii="宋体" w:hAnsi="宋体"/>
          <w:b/>
          <w:szCs w:val="21"/>
          <w:highlight w:val="none"/>
        </w:rPr>
      </w:pPr>
      <w:r>
        <w:rPr>
          <w:rFonts w:hint="eastAsia" w:ascii="宋体" w:hAnsi="宋体"/>
          <w:b/>
          <w:szCs w:val="21"/>
          <w:highlight w:val="none"/>
        </w:rPr>
        <w:t>14.合同的生效、变更和终止</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14.1</w:t>
      </w:r>
      <w:bookmarkStart w:id="89" w:name="_Hlk127194968"/>
      <w:bookmarkStart w:id="90" w:name="_Hlk127199024"/>
      <w:bookmarkStart w:id="91" w:name="_Hlk126770615"/>
      <w:bookmarkStart w:id="92" w:name="_Hlk126830534"/>
      <w:r>
        <w:rPr>
          <w:rFonts w:hint="eastAsia" w:ascii="宋体" w:hAnsi="宋体"/>
          <w:szCs w:val="21"/>
          <w:highlight w:val="none"/>
        </w:rPr>
        <w:t>本合同签约形式适用第14.1.2 条；</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14.1.1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14.1.2双方同意通过加盖物理印章的方式签署本合同，合同自双方盖章后生效，完成合同约定的全部内容且保修期满后即告终止。</w:t>
      </w:r>
      <w:bookmarkEnd w:id="89"/>
      <w:bookmarkEnd w:id="90"/>
      <w:bookmarkEnd w:id="91"/>
      <w:bookmarkEnd w:id="92"/>
    </w:p>
    <w:p>
      <w:pPr>
        <w:spacing w:line="400" w:lineRule="exact"/>
        <w:ind w:left="480" w:leftChars="200"/>
        <w:jc w:val="left"/>
        <w:rPr>
          <w:rFonts w:ascii="宋体" w:hAnsi="宋体"/>
          <w:szCs w:val="21"/>
          <w:highlight w:val="none"/>
        </w:rPr>
      </w:pPr>
      <w:r>
        <w:rPr>
          <w:rFonts w:hint="eastAsia" w:ascii="宋体" w:hAnsi="宋体"/>
          <w:szCs w:val="21"/>
          <w:highlight w:val="none"/>
        </w:rPr>
        <w:t>14.2本合同有效期：从合同生效之日起到设备质量保证期满止。</w:t>
      </w:r>
    </w:p>
    <w:p>
      <w:pPr>
        <w:spacing w:line="400" w:lineRule="exact"/>
        <w:ind w:left="480" w:leftChars="200"/>
        <w:jc w:val="left"/>
        <w:rPr>
          <w:rFonts w:ascii="宋体" w:hAnsi="宋体"/>
          <w:szCs w:val="21"/>
          <w:highlight w:val="none"/>
        </w:rPr>
      </w:pPr>
      <w:r>
        <w:rPr>
          <w:rFonts w:hint="eastAsia" w:ascii="宋体" w:hAnsi="宋体"/>
          <w:szCs w:val="21"/>
          <w:highlight w:val="none"/>
        </w:rPr>
        <w:t>14.3本合同一经生效，合同双方均不得擅自对本合同的内容(包括附件)作任何单方面的修改，但任何一方均可以对合同内容以书面形式提出变更、修改、取消或补充的建议；该项建议应以书面形式通知对方并经双方签字确认。如果该项修改改变了合同价格和交货进度，应在收到上述修改通知书后的5个工作日内，提出影响合同价格或交货期的详细说明。双方同意后经双方法人或被授权人(须经法定代表人书面授权委托)签字，将修改后的有关部分抄送原合同有关单位。</w:t>
      </w:r>
    </w:p>
    <w:p>
      <w:pPr>
        <w:spacing w:line="400" w:lineRule="exact"/>
        <w:ind w:left="480" w:leftChars="200"/>
        <w:jc w:val="left"/>
        <w:rPr>
          <w:rFonts w:ascii="宋体" w:hAnsi="宋体"/>
          <w:szCs w:val="21"/>
          <w:highlight w:val="none"/>
        </w:rPr>
      </w:pPr>
      <w:r>
        <w:rPr>
          <w:rFonts w:hint="eastAsia" w:ascii="宋体" w:hAnsi="宋体"/>
          <w:szCs w:val="21"/>
          <w:highlight w:val="none"/>
        </w:rPr>
        <w:t>14.4如果乙方有违反或拒绝执行本合同规定的行为时，甲方书面通知乙方，乙方在接到通知后5天内确认无误后应对违反或拒绝做出修正，如果认为在5天内来不及纠正时，应提出修正计划。如果得不到纠正或提不出修正计划，甲方将保留中止本合同的全部的权利。对于这种中止，甲方将不出具变更通知书，由此而发生的一切费用、损失和索赔将由乙方负担。</w:t>
      </w:r>
    </w:p>
    <w:p>
      <w:pPr>
        <w:spacing w:line="400" w:lineRule="exact"/>
        <w:ind w:left="480" w:leftChars="200"/>
        <w:jc w:val="left"/>
        <w:rPr>
          <w:rFonts w:ascii="宋体" w:hAnsi="宋体"/>
          <w:szCs w:val="21"/>
          <w:highlight w:val="none"/>
        </w:rPr>
      </w:pPr>
      <w:r>
        <w:rPr>
          <w:rFonts w:hint="eastAsia" w:ascii="宋体" w:hAnsi="宋体"/>
          <w:szCs w:val="21"/>
          <w:highlight w:val="none"/>
        </w:rPr>
        <w:t>14.5如果甲方行使中止权利，甲方有权停付到期应向乙方支付中止部分的款项。</w:t>
      </w:r>
    </w:p>
    <w:p>
      <w:pPr>
        <w:spacing w:line="400" w:lineRule="exact"/>
        <w:ind w:left="480" w:leftChars="200"/>
        <w:jc w:val="left"/>
        <w:rPr>
          <w:rFonts w:ascii="宋体" w:hAnsi="宋体"/>
          <w:szCs w:val="21"/>
          <w:highlight w:val="none"/>
        </w:rPr>
      </w:pPr>
      <w:r>
        <w:rPr>
          <w:rFonts w:hint="eastAsia" w:ascii="宋体" w:hAnsi="宋体"/>
          <w:szCs w:val="21"/>
          <w:highlight w:val="none"/>
        </w:rPr>
        <w:t>14.6在合同执行过程中，若因国家计划调整而引起本合同无法正常执行时，乙方或甲方可以向对方提出中止执行合同或修改合同有关条款的建议，与之有关事宜双方协商办理。</w:t>
      </w:r>
    </w:p>
    <w:p>
      <w:pPr>
        <w:spacing w:line="400" w:lineRule="exact"/>
        <w:ind w:left="480" w:leftChars="200"/>
        <w:jc w:val="left"/>
        <w:rPr>
          <w:rFonts w:ascii="宋体" w:hAnsi="宋体"/>
          <w:szCs w:val="21"/>
          <w:highlight w:val="none"/>
        </w:rPr>
      </w:pPr>
      <w:r>
        <w:rPr>
          <w:rFonts w:hint="eastAsia" w:ascii="宋体" w:hAnsi="宋体"/>
          <w:szCs w:val="21"/>
          <w:highlight w:val="none"/>
        </w:rPr>
        <w:t>14.7因甲方原因要求中途退货，甲方应向乙方偿付违约金，违约金为退货部分设备价格的10%。</w:t>
      </w:r>
    </w:p>
    <w:p>
      <w:pPr>
        <w:spacing w:line="400" w:lineRule="exact"/>
        <w:ind w:left="480" w:leftChars="200"/>
        <w:jc w:val="left"/>
        <w:rPr>
          <w:rFonts w:ascii="宋体" w:hAnsi="宋体"/>
          <w:szCs w:val="21"/>
          <w:highlight w:val="none"/>
        </w:rPr>
      </w:pPr>
      <w:r>
        <w:rPr>
          <w:rFonts w:hint="eastAsia" w:ascii="宋体" w:hAnsi="宋体"/>
          <w:szCs w:val="21"/>
          <w:highlight w:val="none"/>
        </w:rPr>
        <w:t>14.8因乙方原因而不能交货，乙方应返还甲方已经支付的购货款，并向甲方偿付违约金，违约金为设备总价的50%。</w:t>
      </w:r>
    </w:p>
    <w:p>
      <w:pPr>
        <w:spacing w:line="400" w:lineRule="exact"/>
        <w:ind w:left="480" w:leftChars="200"/>
        <w:jc w:val="left"/>
        <w:rPr>
          <w:rFonts w:ascii="宋体" w:hAnsi="宋体"/>
          <w:szCs w:val="21"/>
          <w:highlight w:val="none"/>
        </w:rPr>
      </w:pPr>
      <w:r>
        <w:rPr>
          <w:rFonts w:hint="eastAsia" w:ascii="宋体" w:hAnsi="宋体"/>
          <w:szCs w:val="21"/>
          <w:highlight w:val="none"/>
        </w:rPr>
        <w:t>14.9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spacing w:line="400" w:lineRule="exact"/>
        <w:ind w:left="480" w:leftChars="200"/>
        <w:jc w:val="left"/>
        <w:rPr>
          <w:rFonts w:ascii="宋体" w:hAnsi="宋体"/>
          <w:b/>
          <w:szCs w:val="21"/>
          <w:highlight w:val="none"/>
        </w:rPr>
      </w:pPr>
      <w:r>
        <w:rPr>
          <w:rFonts w:hint="eastAsia" w:ascii="宋体" w:hAnsi="宋体"/>
          <w:b/>
          <w:szCs w:val="21"/>
          <w:highlight w:val="none"/>
        </w:rPr>
        <w:t>15.知识产权保护</w:t>
      </w:r>
    </w:p>
    <w:p>
      <w:pPr>
        <w:spacing w:line="400" w:lineRule="exact"/>
        <w:ind w:left="480" w:leftChars="200"/>
        <w:jc w:val="left"/>
        <w:rPr>
          <w:rFonts w:ascii="宋体" w:hAnsi="宋体"/>
          <w:szCs w:val="21"/>
          <w:highlight w:val="none"/>
        </w:rPr>
      </w:pPr>
      <w:r>
        <w:rPr>
          <w:rFonts w:hint="eastAsia" w:ascii="宋体" w:hAnsi="宋体"/>
          <w:szCs w:val="21"/>
          <w:highlight w:val="none"/>
        </w:rPr>
        <w:t>乙方承诺本合同项下的机械设备未侵犯任何国家或企业、个人的知识产权等任何权益，并保障甲方免予承受因侵犯任何知识产权或其他第三方权益而遭受的诉讼、仲裁、索赔或其它经济损失，否则，乙方应赔偿甲方因此遭受的所有直接和间接损失。</w:t>
      </w:r>
    </w:p>
    <w:p>
      <w:pPr>
        <w:pStyle w:val="2"/>
        <w:ind w:firstLine="422" w:firstLineChars="200"/>
        <w:rPr>
          <w:rFonts w:hAnsi="宋体" w:cs="Times New Roman"/>
          <w:b/>
          <w:kern w:val="2"/>
          <w:highlight w:val="none"/>
        </w:rPr>
      </w:pPr>
      <w:r>
        <w:rPr>
          <w:rFonts w:hint="eastAsia" w:hAnsi="宋体" w:cs="Times New Roman"/>
          <w:b/>
          <w:kern w:val="2"/>
          <w:highlight w:val="none"/>
        </w:rPr>
        <w:t>16.保密义务</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16.1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16.2 除合同另有约定以外，本合同列明的所有资料始终为甲方财产，若甲方要求，乙方应于其合同义务履行完毕以后退还甲方相应资料（包括所有副本）。</w:t>
      </w:r>
    </w:p>
    <w:p>
      <w:pPr>
        <w:spacing w:line="400" w:lineRule="exact"/>
        <w:ind w:left="480" w:leftChars="200"/>
        <w:jc w:val="left"/>
        <w:rPr>
          <w:rFonts w:hint="eastAsia" w:ascii="宋体" w:hAnsi="宋体"/>
          <w:szCs w:val="21"/>
          <w:highlight w:val="none"/>
        </w:rPr>
      </w:pPr>
      <w:r>
        <w:rPr>
          <w:rFonts w:hint="eastAsia" w:ascii="宋体" w:hAnsi="宋体"/>
          <w:szCs w:val="21"/>
          <w:highlight w:val="none"/>
        </w:rPr>
        <w:t>16.3在未经甲方书面许可的情况下，乙方不得把设备中存储的信息向第三方披露。</w:t>
      </w:r>
    </w:p>
    <w:p>
      <w:pPr>
        <w:spacing w:line="400" w:lineRule="exact"/>
        <w:ind w:left="480" w:leftChars="200"/>
        <w:jc w:val="left"/>
        <w:rPr>
          <w:rFonts w:ascii="宋体" w:hAnsi="宋体"/>
          <w:b/>
          <w:szCs w:val="21"/>
          <w:highlight w:val="none"/>
        </w:rPr>
      </w:pPr>
      <w:r>
        <w:rPr>
          <w:rFonts w:hint="eastAsia" w:ascii="宋体" w:hAnsi="宋体"/>
          <w:b/>
          <w:szCs w:val="21"/>
          <w:highlight w:val="none"/>
        </w:rPr>
        <w:t>17.不可抗力</w:t>
      </w:r>
    </w:p>
    <w:p>
      <w:pPr>
        <w:spacing w:line="400" w:lineRule="exact"/>
        <w:ind w:left="480" w:leftChars="200"/>
        <w:jc w:val="left"/>
        <w:rPr>
          <w:rFonts w:ascii="宋体" w:hAnsi="宋体"/>
          <w:szCs w:val="21"/>
          <w:highlight w:val="none"/>
        </w:rPr>
      </w:pPr>
      <w:r>
        <w:rPr>
          <w:rFonts w:hint="eastAsia" w:ascii="宋体" w:hAnsi="宋体"/>
          <w:szCs w:val="21"/>
          <w:highlight w:val="none"/>
        </w:rPr>
        <w:t>17.1合同双方中的任何一方，由于不可抗力事件而影响合同义务的执行时，则延迟履行合同义务的期限相当于不可抗力事件影响的时间，但是不能因为不可抗力的延迟而调整合同价格。</w:t>
      </w:r>
    </w:p>
    <w:p>
      <w:pPr>
        <w:spacing w:line="400" w:lineRule="exact"/>
        <w:ind w:left="480" w:leftChars="200"/>
        <w:jc w:val="left"/>
        <w:rPr>
          <w:rFonts w:ascii="宋体" w:hAnsi="宋体"/>
          <w:szCs w:val="21"/>
          <w:highlight w:val="none"/>
        </w:rPr>
      </w:pPr>
      <w:r>
        <w:rPr>
          <w:rFonts w:hint="eastAsia" w:ascii="宋体" w:hAnsi="宋体"/>
          <w:szCs w:val="21"/>
          <w:highlight w:val="none"/>
        </w:rPr>
        <w:t>17.2受到不可抗力影响一方应在不可抗力事故发生后，尽快将所发生的不可抗力事件的情况书面通知另一方，并在10天内将有关部门出具的证明文件提交给另一方审阅确认，受影响的一方同时应尽量设法缩小这种影响和由此而引起的延误，一旦不可抗力的影响消除后，应将此情况立即通知对方。</w:t>
      </w:r>
    </w:p>
    <w:p>
      <w:pPr>
        <w:spacing w:line="400" w:lineRule="exact"/>
        <w:ind w:left="480" w:leftChars="200"/>
        <w:jc w:val="left"/>
        <w:rPr>
          <w:rFonts w:ascii="宋体" w:hAnsi="宋体"/>
          <w:szCs w:val="21"/>
          <w:highlight w:val="none"/>
        </w:rPr>
      </w:pPr>
      <w:r>
        <w:rPr>
          <w:rFonts w:hint="eastAsia" w:ascii="宋体" w:hAnsi="宋体"/>
          <w:szCs w:val="21"/>
          <w:highlight w:val="none"/>
        </w:rPr>
        <w:t>17.3如双方对不可抗力事件的影响估计将延续到30天以上时，双方应通过友好协商解决本合同的执行问题(包括交货、试运行和验收等问题)。</w:t>
      </w:r>
    </w:p>
    <w:p>
      <w:pPr>
        <w:tabs>
          <w:tab w:val="left" w:pos="900"/>
          <w:tab w:val="left" w:pos="988"/>
        </w:tabs>
        <w:spacing w:line="400" w:lineRule="exact"/>
        <w:ind w:left="480" w:leftChars="200"/>
        <w:jc w:val="left"/>
        <w:rPr>
          <w:rFonts w:ascii="宋体" w:hAnsi="宋体"/>
          <w:b/>
          <w:szCs w:val="21"/>
          <w:highlight w:val="none"/>
        </w:rPr>
      </w:pPr>
      <w:r>
        <w:rPr>
          <w:rFonts w:hint="eastAsia" w:ascii="宋体" w:hAnsi="宋体"/>
          <w:b/>
          <w:szCs w:val="21"/>
          <w:highlight w:val="none"/>
        </w:rPr>
        <w:t>18.</w:t>
      </w:r>
      <w:r>
        <w:rPr>
          <w:rFonts w:ascii="宋体" w:hAnsi="宋体"/>
          <w:b/>
          <w:szCs w:val="21"/>
          <w:highlight w:val="none"/>
        </w:rPr>
        <w:t>补充协议</w:t>
      </w:r>
      <w:bookmarkEnd w:id="81"/>
    </w:p>
    <w:p>
      <w:pPr>
        <w:spacing w:line="400" w:lineRule="exact"/>
        <w:ind w:left="480" w:leftChars="200"/>
        <w:jc w:val="left"/>
        <w:rPr>
          <w:rFonts w:ascii="宋体" w:hAnsi="宋体"/>
          <w:szCs w:val="21"/>
          <w:highlight w:val="none"/>
        </w:rPr>
      </w:pPr>
      <w:r>
        <w:rPr>
          <w:rFonts w:hint="eastAsia" w:ascii="宋体" w:hAnsi="宋体"/>
          <w:szCs w:val="21"/>
          <w:highlight w:val="none"/>
        </w:rPr>
        <w:t>18.1本合同未尽事宜，经双方协商一致，可订立补充协议，补充协议法律效力见本合同第二部分第2条。</w:t>
      </w:r>
    </w:p>
    <w:p>
      <w:pPr>
        <w:spacing w:line="400" w:lineRule="exact"/>
        <w:ind w:left="480" w:leftChars="200"/>
        <w:jc w:val="left"/>
        <w:rPr>
          <w:rFonts w:ascii="宋体" w:hAnsi="宋体"/>
          <w:b/>
          <w:szCs w:val="21"/>
          <w:highlight w:val="none"/>
        </w:rPr>
      </w:pPr>
      <w:r>
        <w:rPr>
          <w:rFonts w:hint="eastAsia" w:ascii="宋体" w:hAnsi="宋体"/>
          <w:b/>
          <w:szCs w:val="21"/>
          <w:highlight w:val="none"/>
        </w:rPr>
        <w:t>19.合同争议的解决</w:t>
      </w:r>
    </w:p>
    <w:p>
      <w:pPr>
        <w:spacing w:line="400" w:lineRule="exact"/>
        <w:ind w:left="600" w:leftChars="200" w:hanging="120" w:hangingChars="50"/>
        <w:rPr>
          <w:rFonts w:ascii="仿宋_GB2312" w:hAnsi="宋体" w:eastAsia="仿宋_GB2312"/>
          <w:color w:val="FF0000"/>
          <w:highlight w:val="none"/>
        </w:rPr>
      </w:pPr>
      <w:r>
        <w:rPr>
          <w:rFonts w:hint="eastAsia" w:ascii="宋体" w:hAnsi="宋体"/>
          <w:szCs w:val="21"/>
          <w:highlight w:val="none"/>
        </w:rPr>
        <w:t>19.1本合同发生的有关争议应通过友好协商解决，经协商未能达成协议时，双方约定向甲方住所地有管辖权的人民法院提起诉讼。</w:t>
      </w:r>
    </w:p>
    <w:p>
      <w:pPr>
        <w:spacing w:line="400" w:lineRule="exact"/>
        <w:ind w:left="480" w:leftChars="200"/>
        <w:jc w:val="left"/>
        <w:rPr>
          <w:rFonts w:ascii="宋体" w:hAnsi="宋体"/>
          <w:szCs w:val="21"/>
          <w:highlight w:val="none"/>
        </w:rPr>
      </w:pPr>
      <w:r>
        <w:rPr>
          <w:rFonts w:hint="eastAsia" w:ascii="宋体" w:hAnsi="宋体"/>
          <w:szCs w:val="21"/>
          <w:highlight w:val="none"/>
        </w:rPr>
        <w:t>19.2在仲裁期间，除提交仲裁的事项外，合同其他项仍应继续履行。</w:t>
      </w:r>
    </w:p>
    <w:p>
      <w:pPr>
        <w:spacing w:line="360" w:lineRule="exact"/>
        <w:ind w:firstLine="470" w:firstLineChars="195"/>
        <w:jc w:val="left"/>
        <w:rPr>
          <w:rFonts w:ascii="宋体" w:hAnsi="宋体"/>
          <w:b/>
          <w:szCs w:val="21"/>
          <w:highlight w:val="none"/>
        </w:rPr>
      </w:pPr>
      <w:r>
        <w:rPr>
          <w:rFonts w:hint="eastAsia" w:ascii="宋体" w:hAnsi="宋体"/>
          <w:b/>
          <w:szCs w:val="21"/>
          <w:highlight w:val="none"/>
        </w:rPr>
        <w:t>20.附件</w:t>
      </w:r>
    </w:p>
    <w:p>
      <w:pPr>
        <w:spacing w:line="360" w:lineRule="exact"/>
        <w:ind w:firstLine="468" w:firstLineChars="195"/>
        <w:jc w:val="left"/>
        <w:rPr>
          <w:rFonts w:ascii="宋体" w:hAnsi="宋体" w:eastAsia="宋体" w:cs="Times New Roman"/>
          <w:szCs w:val="21"/>
          <w:highlight w:val="none"/>
        </w:rPr>
      </w:pPr>
      <w:r>
        <w:rPr>
          <w:rFonts w:hint="eastAsia" w:ascii="宋体" w:hAnsi="宋体"/>
          <w:szCs w:val="21"/>
          <w:highlight w:val="none"/>
        </w:rPr>
        <w:t>附件1：</w:t>
      </w:r>
      <w:r>
        <w:rPr>
          <w:rFonts w:hint="eastAsia" w:ascii="宋体" w:hAnsi="宋体" w:eastAsia="宋体" w:cs="Times New Roman"/>
          <w:szCs w:val="21"/>
          <w:highlight w:val="none"/>
        </w:rPr>
        <w:t>授权委托书</w:t>
      </w:r>
    </w:p>
    <w:p>
      <w:pPr>
        <w:spacing w:line="360" w:lineRule="exact"/>
        <w:ind w:firstLine="468" w:firstLineChars="195"/>
        <w:jc w:val="left"/>
        <w:rPr>
          <w:rFonts w:ascii="宋体" w:hAnsi="宋体" w:eastAsia="宋体" w:cs="Times New Roman"/>
          <w:szCs w:val="21"/>
          <w:highlight w:val="none"/>
        </w:rPr>
      </w:pPr>
      <w:r>
        <w:rPr>
          <w:rFonts w:hint="eastAsia" w:ascii="宋体" w:hAnsi="宋体"/>
          <w:szCs w:val="21"/>
          <w:highlight w:val="none"/>
        </w:rPr>
        <w:t>附件2：</w:t>
      </w:r>
      <w:r>
        <w:rPr>
          <w:rFonts w:hint="eastAsia" w:ascii="宋体" w:hAnsi="宋体" w:eastAsia="宋体" w:cs="Times New Roman"/>
          <w:szCs w:val="21"/>
          <w:highlight w:val="none"/>
        </w:rPr>
        <w:t>安全管理协议书</w:t>
      </w:r>
    </w:p>
    <w:p>
      <w:pPr>
        <w:spacing w:line="360" w:lineRule="exact"/>
        <w:ind w:firstLine="468" w:firstLineChars="195"/>
        <w:jc w:val="left"/>
        <w:rPr>
          <w:rFonts w:ascii="宋体" w:hAnsi="宋体" w:eastAsia="宋体" w:cs="Times New Roman"/>
          <w:szCs w:val="21"/>
          <w:highlight w:val="none"/>
        </w:rPr>
      </w:pPr>
      <w:r>
        <w:rPr>
          <w:rFonts w:hint="eastAsia" w:ascii="宋体" w:hAnsi="宋体" w:eastAsia="宋体" w:cs="Times New Roman"/>
          <w:szCs w:val="21"/>
          <w:highlight w:val="none"/>
        </w:rPr>
        <w:t>附件3：廉洁从业共建协议</w:t>
      </w:r>
    </w:p>
    <w:p>
      <w:pPr>
        <w:spacing w:line="360" w:lineRule="exact"/>
        <w:ind w:firstLine="468" w:firstLineChars="195"/>
        <w:jc w:val="left"/>
        <w:rPr>
          <w:rFonts w:ascii="宋体" w:hAnsi="宋体" w:eastAsia="宋体" w:cs="Times New Roman"/>
          <w:szCs w:val="21"/>
          <w:highlight w:val="none"/>
        </w:rPr>
      </w:pPr>
      <w:r>
        <w:rPr>
          <w:rFonts w:hint="eastAsia" w:ascii="宋体" w:hAnsi="宋体" w:eastAsia="宋体" w:cs="Times New Roman"/>
          <w:szCs w:val="21"/>
          <w:highlight w:val="none"/>
        </w:rPr>
        <w:t>附件4：制造商授权书（如需）</w:t>
      </w:r>
    </w:p>
    <w:p>
      <w:pPr>
        <w:spacing w:line="360" w:lineRule="exact"/>
        <w:ind w:firstLine="468" w:firstLineChars="195"/>
        <w:jc w:val="left"/>
        <w:rPr>
          <w:rFonts w:ascii="宋体" w:hAnsi="宋体" w:eastAsia="宋体" w:cs="Times New Roman"/>
          <w:szCs w:val="21"/>
          <w:highlight w:val="none"/>
        </w:rPr>
      </w:pPr>
      <w:r>
        <w:rPr>
          <w:rFonts w:hint="eastAsia" w:ascii="宋体" w:hAnsi="宋体" w:eastAsia="宋体" w:cs="Times New Roman"/>
          <w:szCs w:val="21"/>
          <w:highlight w:val="none"/>
        </w:rPr>
        <w:t>附件5：设备配置清单</w:t>
      </w:r>
    </w:p>
    <w:p>
      <w:pPr>
        <w:spacing w:line="360" w:lineRule="exact"/>
        <w:ind w:firstLine="48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附件6：核心部件配置表</w:t>
      </w:r>
    </w:p>
    <w:p>
      <w:pPr>
        <w:spacing w:line="360" w:lineRule="exact"/>
        <w:ind w:firstLine="48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附件7：设备主要零部件明细表</w:t>
      </w:r>
    </w:p>
    <w:p>
      <w:pPr>
        <w:spacing w:line="360" w:lineRule="exact"/>
        <w:ind w:firstLine="48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 xml:space="preserve">附件8：随设备备品备件一览表  </w:t>
      </w:r>
    </w:p>
    <w:p>
      <w:pPr>
        <w:spacing w:line="360" w:lineRule="exact"/>
        <w:ind w:firstLine="48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附件9：随设备专用工具一览表</w:t>
      </w:r>
    </w:p>
    <w:p>
      <w:pPr>
        <w:spacing w:line="360" w:lineRule="exact"/>
        <w:ind w:firstLine="480" w:firstLineChars="200"/>
        <w:jc w:val="left"/>
        <w:rPr>
          <w:rFonts w:ascii="宋体" w:hAnsi="宋体"/>
          <w:b/>
          <w:sz w:val="32"/>
          <w:szCs w:val="32"/>
          <w:highlight w:val="none"/>
        </w:rPr>
      </w:pPr>
      <w:r>
        <w:rPr>
          <w:rFonts w:hint="eastAsia" w:ascii="宋体" w:hAnsi="宋体" w:eastAsia="宋体" w:cs="Times New Roman"/>
          <w:szCs w:val="21"/>
          <w:highlight w:val="none"/>
        </w:rPr>
        <w:t xml:space="preserve">附件10：随设备提供的技术资料或图纸一览表 </w:t>
      </w:r>
      <w:bookmarkStart w:id="93" w:name="_Toc7321"/>
      <w:bookmarkStart w:id="94" w:name="_Toc31445"/>
      <w:bookmarkStart w:id="95" w:name="_Toc25426"/>
    </w:p>
    <w:p>
      <w:pPr>
        <w:spacing w:after="192" w:afterLines="80" w:line="360" w:lineRule="exact"/>
        <w:jc w:val="center"/>
        <w:rPr>
          <w:rFonts w:ascii="宋体" w:hAnsi="宋体"/>
          <w:b/>
          <w:sz w:val="32"/>
          <w:szCs w:val="32"/>
          <w:highlight w:val="none"/>
        </w:rPr>
      </w:pPr>
    </w:p>
    <w:p>
      <w:pPr>
        <w:spacing w:after="192" w:afterLines="80" w:line="360" w:lineRule="exact"/>
        <w:jc w:val="center"/>
        <w:rPr>
          <w:rFonts w:ascii="宋体" w:hAnsi="宋体"/>
          <w:b/>
          <w:sz w:val="32"/>
          <w:szCs w:val="32"/>
          <w:highlight w:val="none"/>
        </w:rPr>
      </w:pPr>
    </w:p>
    <w:p>
      <w:pPr>
        <w:spacing w:after="192" w:afterLines="80" w:line="360" w:lineRule="exact"/>
        <w:jc w:val="center"/>
        <w:rPr>
          <w:rFonts w:ascii="宋体" w:hAnsi="宋体"/>
          <w:b/>
          <w:sz w:val="32"/>
          <w:szCs w:val="32"/>
          <w:highlight w:val="none"/>
        </w:rPr>
      </w:pPr>
    </w:p>
    <w:p>
      <w:pPr>
        <w:spacing w:after="192" w:afterLines="80" w:line="360" w:lineRule="exact"/>
        <w:jc w:val="center"/>
        <w:rPr>
          <w:rFonts w:ascii="宋体" w:hAnsi="宋体"/>
          <w:b/>
          <w:sz w:val="32"/>
          <w:szCs w:val="32"/>
          <w:highlight w:val="none"/>
        </w:rPr>
      </w:pPr>
    </w:p>
    <w:p>
      <w:pPr>
        <w:spacing w:after="192" w:afterLines="80" w:line="360" w:lineRule="exact"/>
        <w:jc w:val="center"/>
        <w:rPr>
          <w:rFonts w:ascii="宋体" w:hAnsi="宋体"/>
          <w:b/>
          <w:sz w:val="32"/>
          <w:szCs w:val="32"/>
          <w:highlight w:val="none"/>
        </w:rPr>
      </w:pPr>
    </w:p>
    <w:p>
      <w:pPr>
        <w:spacing w:after="192" w:afterLines="80" w:line="360" w:lineRule="exact"/>
        <w:jc w:val="center"/>
        <w:rPr>
          <w:rFonts w:ascii="宋体" w:hAnsi="宋体"/>
          <w:b/>
          <w:sz w:val="32"/>
          <w:szCs w:val="32"/>
          <w:highlight w:val="none"/>
        </w:rPr>
      </w:pPr>
      <w:r>
        <w:rPr>
          <w:rFonts w:hint="eastAsia" w:ascii="宋体" w:hAnsi="宋体"/>
          <w:b/>
          <w:sz w:val="32"/>
          <w:szCs w:val="32"/>
          <w:highlight w:val="none"/>
        </w:rPr>
        <w:t>第三部分 专用合同条款</w:t>
      </w:r>
      <w:bookmarkStart w:id="96" w:name="A3"/>
      <w:bookmarkEnd w:id="96"/>
    </w:p>
    <w:p>
      <w:pPr>
        <w:tabs>
          <w:tab w:val="left" w:pos="425"/>
        </w:tabs>
        <w:spacing w:line="400" w:lineRule="exact"/>
        <w:ind w:left="420"/>
        <w:jc w:val="left"/>
        <w:rPr>
          <w:rFonts w:ascii="宋体" w:hAnsi="宋体"/>
          <w:b/>
          <w:szCs w:val="21"/>
          <w:highlight w:val="none"/>
        </w:rPr>
      </w:pPr>
      <w:r>
        <w:rPr>
          <w:rFonts w:hint="eastAsia" w:ascii="宋体" w:hAnsi="宋体"/>
          <w:b/>
          <w:szCs w:val="21"/>
          <w:highlight w:val="none"/>
        </w:rPr>
        <w:t>1.适用法律法规</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0" w:firstLineChars="200"/>
        <w:rPr>
          <w:rFonts w:ascii="宋体" w:hAnsi="宋体"/>
          <w:szCs w:val="21"/>
          <w:highlight w:val="none"/>
        </w:rPr>
      </w:pPr>
      <w:r>
        <w:rPr>
          <w:rFonts w:hint="eastAsia" w:ascii="宋体" w:hAnsi="宋体"/>
          <w:szCs w:val="21"/>
          <w:highlight w:val="none"/>
        </w:rPr>
        <w:t>需要明示其他的法律、行政法规：</w:t>
      </w:r>
      <w:r>
        <w:rPr>
          <w:rFonts w:hint="eastAsia" w:ascii="宋体" w:hAnsi="宋体"/>
          <w:color w:val="C0C0C0"/>
          <w:szCs w:val="21"/>
          <w:highlight w:val="none"/>
          <w:u w:val="single"/>
        </w:rPr>
        <w:t xml:space="preserve">                             </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34" w:firstLineChars="200"/>
        <w:rPr>
          <w:rFonts w:ascii="宋体" w:hAnsi="宋体" w:cs="宋体"/>
          <w:b/>
          <w:w w:val="90"/>
          <w:szCs w:val="21"/>
          <w:highlight w:val="none"/>
        </w:rPr>
      </w:pPr>
      <w:r>
        <w:rPr>
          <w:rFonts w:hint="eastAsia" w:ascii="宋体" w:hAnsi="宋体" w:cs="宋体"/>
          <w:b/>
          <w:w w:val="90"/>
          <w:szCs w:val="21"/>
          <w:highlight w:val="none"/>
        </w:rPr>
        <w:t>3.</w:t>
      </w:r>
      <w:r>
        <w:rPr>
          <w:rFonts w:hint="eastAsia" w:ascii="宋体" w:hAnsi="宋体"/>
          <w:b/>
          <w:szCs w:val="21"/>
          <w:highlight w:val="none"/>
        </w:rPr>
        <w:t xml:space="preserve"> 本合同所用名词</w:t>
      </w:r>
      <w:r>
        <w:rPr>
          <w:rFonts w:hint="eastAsia" w:ascii="宋体" w:hAnsi="宋体" w:cs="宋体"/>
          <w:b/>
          <w:w w:val="90"/>
          <w:szCs w:val="21"/>
          <w:highlight w:val="none"/>
        </w:rPr>
        <w:t>定义</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增加条款：</w:t>
      </w:r>
    </w:p>
    <w:p>
      <w:pPr>
        <w:spacing w:line="360" w:lineRule="exact"/>
        <w:ind w:firstLine="480" w:firstLineChars="200"/>
        <w:rPr>
          <w:rFonts w:ascii="宋体" w:hAnsi="宋体"/>
          <w:szCs w:val="21"/>
          <w:highlight w:val="none"/>
        </w:rPr>
      </w:pPr>
      <w:r>
        <w:rPr>
          <w:rFonts w:hint="eastAsia" w:ascii="宋体" w:hAnsi="宋体"/>
          <w:szCs w:val="21"/>
          <w:highlight w:val="none"/>
        </w:rPr>
        <w:t>3.13“空载验收”设备在施工现场安装调试后，在非工作状态下，对设备外观、重要部件、空载参数的验收。</w:t>
      </w:r>
    </w:p>
    <w:p>
      <w:pPr>
        <w:spacing w:line="360" w:lineRule="exact"/>
        <w:ind w:firstLine="480" w:firstLineChars="200"/>
        <w:rPr>
          <w:rFonts w:ascii="宋体" w:hAnsi="宋体"/>
          <w:szCs w:val="21"/>
          <w:highlight w:val="none"/>
        </w:rPr>
      </w:pPr>
      <w:r>
        <w:rPr>
          <w:rFonts w:hint="eastAsia" w:ascii="宋体" w:hAnsi="宋体"/>
          <w:szCs w:val="21"/>
          <w:highlight w:val="none"/>
        </w:rPr>
        <w:t>3.14：“负载验收”指设备在施工现场运行一段时间后，对设备工作参数、工作能力、工作精度等设备性能的验收；</w:t>
      </w:r>
    </w:p>
    <w:p>
      <w:pPr>
        <w:spacing w:line="360" w:lineRule="exact"/>
        <w:ind w:firstLine="480" w:firstLineChars="200"/>
        <w:rPr>
          <w:rFonts w:ascii="宋体" w:hAnsi="宋体"/>
          <w:szCs w:val="21"/>
          <w:highlight w:val="none"/>
        </w:rPr>
      </w:pPr>
      <w:r>
        <w:rPr>
          <w:rFonts w:hint="eastAsia" w:ascii="宋体" w:hAnsi="宋体"/>
          <w:szCs w:val="21"/>
          <w:highlight w:val="none"/>
        </w:rPr>
        <w:t>3.15：“质保期满验收”按合同约定，产品使用过程中出现质量缺陷而免费维修时间到期后的验收。</w:t>
      </w:r>
    </w:p>
    <w:p>
      <w:pPr>
        <w:spacing w:line="360" w:lineRule="exact"/>
        <w:ind w:firstLine="482" w:firstLineChars="200"/>
        <w:rPr>
          <w:rFonts w:ascii="宋体" w:hAnsi="宋体"/>
          <w:b/>
          <w:szCs w:val="21"/>
          <w:highlight w:val="none"/>
        </w:rPr>
      </w:pPr>
      <w:r>
        <w:rPr>
          <w:rFonts w:hint="eastAsia" w:ascii="宋体" w:hAnsi="宋体"/>
          <w:b/>
          <w:szCs w:val="21"/>
          <w:highlight w:val="none"/>
        </w:rPr>
        <w:t>4．质量保证与索赔</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5. 资料提供</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6.合同价格</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7.结算及货款支付</w:t>
      </w:r>
    </w:p>
    <w:p>
      <w:pPr>
        <w:spacing w:line="360" w:lineRule="exact"/>
        <w:ind w:firstLine="480" w:firstLineChars="200"/>
        <w:rPr>
          <w:rFonts w:ascii="宋体" w:hAnsi="宋体"/>
          <w:szCs w:val="21"/>
          <w:highlight w:val="none"/>
        </w:rPr>
      </w:pPr>
      <w:r>
        <w:rPr>
          <w:rFonts w:hint="eastAsia" w:ascii="宋体" w:hAnsi="宋体"/>
          <w:szCs w:val="21"/>
          <w:highlight w:val="none"/>
        </w:rPr>
        <w:t>7.2修改为：结算、付款方式：</w:t>
      </w:r>
    </w:p>
    <w:p>
      <w:pPr>
        <w:spacing w:line="360" w:lineRule="exact"/>
        <w:ind w:firstLine="480" w:firstLineChars="200"/>
        <w:rPr>
          <w:rFonts w:ascii="宋体" w:hAnsi="宋体"/>
          <w:szCs w:val="21"/>
          <w:highlight w:val="none"/>
        </w:rPr>
      </w:pPr>
      <w:r>
        <w:rPr>
          <w:rFonts w:hint="eastAsia" w:ascii="宋体" w:hAnsi="宋体"/>
          <w:szCs w:val="21"/>
          <w:highlight w:val="none"/>
        </w:rPr>
        <w:t>1、结算：甲方设备结算付款人：</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乙方设备款结算人为本合同指定结算办理人，身份证号码：，联系电话</w:t>
      </w:r>
      <w:r>
        <w:rPr>
          <w:rFonts w:hint="eastAsia" w:ascii="宋体" w:hAnsi="宋体"/>
          <w:szCs w:val="21"/>
          <w:highlight w:val="none"/>
          <w:u w:val="single"/>
        </w:rPr>
        <w:t>：               。</w:t>
      </w:r>
      <w:r>
        <w:rPr>
          <w:rFonts w:hint="eastAsia" w:ascii="宋体" w:hAnsi="宋体"/>
          <w:szCs w:val="21"/>
          <w:highlight w:val="none"/>
        </w:rPr>
        <w:t>结算收款人为，开户行：，账号。非合同指定结算人办理设备款结算时，须由合同当事人或持合同当事人签发的授权委托书。</w:t>
      </w:r>
    </w:p>
    <w:p>
      <w:pPr>
        <w:spacing w:line="360" w:lineRule="exact"/>
        <w:ind w:firstLine="480" w:firstLineChars="200"/>
        <w:rPr>
          <w:rFonts w:ascii="宋体" w:hAnsi="宋体"/>
          <w:szCs w:val="21"/>
          <w:highlight w:val="none"/>
        </w:rPr>
      </w:pPr>
      <w:r>
        <w:rPr>
          <w:rFonts w:hint="eastAsia" w:ascii="宋体" w:hAnsi="宋体"/>
          <w:szCs w:val="21"/>
          <w:highlight w:val="none"/>
        </w:rPr>
        <w:t>2、按合同指定银行账户转账。甲方向乙方付款采用电汇形式，乙方需保证对甲方的资金往来账户与签订合同名称一致，开票单位名称与签订合同名称一致。</w:t>
      </w:r>
    </w:p>
    <w:p>
      <w:pPr>
        <w:spacing w:line="360" w:lineRule="exact"/>
        <w:ind w:firstLine="480" w:firstLineChars="200"/>
        <w:rPr>
          <w:rFonts w:ascii="宋体" w:hAnsi="宋体"/>
          <w:szCs w:val="21"/>
          <w:highlight w:val="none"/>
        </w:rPr>
      </w:pPr>
      <w:r>
        <w:rPr>
          <w:rFonts w:hint="eastAsia" w:ascii="宋体" w:hAnsi="宋体"/>
          <w:szCs w:val="21"/>
          <w:highlight w:val="none"/>
        </w:rPr>
        <w:t>7.5修改为:乙方提供甲方财务认可的增值税专用发票（税率1</w:t>
      </w:r>
      <w:r>
        <w:rPr>
          <w:rFonts w:ascii="宋体" w:hAnsi="宋体"/>
          <w:szCs w:val="21"/>
          <w:highlight w:val="none"/>
        </w:rPr>
        <w:t>3</w:t>
      </w:r>
      <w:r>
        <w:rPr>
          <w:rFonts w:hint="eastAsia" w:ascii="宋体" w:hAnsi="宋体"/>
          <w:szCs w:val="21"/>
          <w:highlight w:val="none"/>
        </w:rPr>
        <w:t>%）。</w:t>
      </w:r>
    </w:p>
    <w:p>
      <w:pPr>
        <w:spacing w:line="360" w:lineRule="exact"/>
        <w:ind w:firstLine="482" w:firstLineChars="200"/>
        <w:rPr>
          <w:rFonts w:ascii="宋体" w:hAnsi="宋体"/>
          <w:b/>
          <w:szCs w:val="21"/>
          <w:highlight w:val="none"/>
        </w:rPr>
      </w:pPr>
      <w:r>
        <w:rPr>
          <w:rFonts w:hint="eastAsia" w:ascii="宋体" w:hAnsi="宋体"/>
          <w:b/>
          <w:szCs w:val="21"/>
          <w:highlight w:val="none"/>
        </w:rPr>
        <w:t>8.运输及保险</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9.包装与标记</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10.技术服务和培训</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11.监造</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12.安装调试及检验验收</w:t>
      </w:r>
    </w:p>
    <w:p>
      <w:pPr>
        <w:spacing w:line="360" w:lineRule="exact"/>
        <w:ind w:firstLine="480" w:firstLineChars="200"/>
        <w:rPr>
          <w:rFonts w:ascii="宋体" w:hAnsi="宋体"/>
          <w:bCs/>
          <w:szCs w:val="21"/>
          <w:highlight w:val="none"/>
        </w:rPr>
      </w:pPr>
      <w:r>
        <w:rPr>
          <w:rFonts w:hint="eastAsia" w:ascii="宋体" w:hAnsi="宋体"/>
          <w:bCs/>
          <w:szCs w:val="21"/>
          <w:highlight w:val="none"/>
        </w:rPr>
        <w:t>增加以下条款：</w:t>
      </w:r>
    </w:p>
    <w:p>
      <w:pPr>
        <w:spacing w:line="360" w:lineRule="exact"/>
        <w:ind w:firstLine="480" w:firstLineChars="200"/>
        <w:rPr>
          <w:rFonts w:ascii="宋体" w:hAnsi="宋体"/>
          <w:bCs/>
          <w:szCs w:val="21"/>
          <w:highlight w:val="none"/>
        </w:rPr>
      </w:pPr>
      <w:r>
        <w:rPr>
          <w:rFonts w:hint="eastAsia" w:ascii="宋体" w:hAnsi="宋体"/>
          <w:bCs/>
          <w:szCs w:val="21"/>
          <w:highlight w:val="none"/>
        </w:rPr>
        <w:t>12.11固定式成套设备，水泥站等空载运行验收工作动作不低于30次。</w:t>
      </w:r>
    </w:p>
    <w:p>
      <w:pPr>
        <w:spacing w:line="360" w:lineRule="exact"/>
        <w:ind w:firstLine="480" w:firstLineChars="200"/>
        <w:rPr>
          <w:rFonts w:ascii="宋体" w:hAnsi="宋体"/>
          <w:bCs/>
          <w:szCs w:val="21"/>
          <w:highlight w:val="none"/>
        </w:rPr>
      </w:pPr>
      <w:r>
        <w:rPr>
          <w:rFonts w:hint="eastAsia" w:ascii="宋体" w:hAnsi="宋体"/>
          <w:bCs/>
          <w:szCs w:val="21"/>
          <w:highlight w:val="none"/>
        </w:rPr>
        <w:t>12.12设备正常生产7个工作日后进行设备负载验收。</w:t>
      </w:r>
    </w:p>
    <w:p>
      <w:pPr>
        <w:spacing w:line="360" w:lineRule="exact"/>
        <w:ind w:firstLine="480" w:firstLineChars="200"/>
        <w:rPr>
          <w:rFonts w:ascii="宋体" w:hAnsi="宋体"/>
          <w:bCs/>
          <w:szCs w:val="21"/>
          <w:highlight w:val="none"/>
        </w:rPr>
      </w:pPr>
      <w:r>
        <w:rPr>
          <w:rFonts w:hint="eastAsia" w:ascii="宋体" w:hAnsi="宋体"/>
          <w:bCs/>
          <w:szCs w:val="21"/>
          <w:highlight w:val="none"/>
        </w:rPr>
        <w:t>12.13负载验收合格后开始计算质保期。</w:t>
      </w:r>
    </w:p>
    <w:p>
      <w:pPr>
        <w:spacing w:line="360" w:lineRule="exact"/>
        <w:ind w:firstLine="482" w:firstLineChars="200"/>
        <w:rPr>
          <w:rFonts w:ascii="宋体" w:hAnsi="宋体"/>
          <w:b/>
          <w:szCs w:val="21"/>
          <w:highlight w:val="none"/>
        </w:rPr>
      </w:pPr>
      <w:r>
        <w:rPr>
          <w:rFonts w:hint="eastAsia" w:ascii="宋体" w:hAnsi="宋体"/>
          <w:b/>
          <w:szCs w:val="21"/>
          <w:highlight w:val="none"/>
        </w:rPr>
        <w:t>13. 风险及所有权转移</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14.合同的生效、变更和终止</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15.知识产权保护</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16.不可抗力</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17.</w:t>
      </w:r>
      <w:r>
        <w:rPr>
          <w:rFonts w:ascii="宋体" w:hAnsi="宋体"/>
          <w:b/>
          <w:szCs w:val="21"/>
          <w:highlight w:val="none"/>
        </w:rPr>
        <w:t>补充协议</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ascii="宋体" w:hAnsi="宋体"/>
          <w:b/>
          <w:szCs w:val="21"/>
          <w:highlight w:val="none"/>
        </w:rPr>
      </w:pPr>
      <w:r>
        <w:rPr>
          <w:rFonts w:hint="eastAsia" w:ascii="宋体" w:hAnsi="宋体"/>
          <w:b/>
          <w:szCs w:val="21"/>
          <w:highlight w:val="none"/>
        </w:rPr>
        <w:t>18.合同争议的解决</w:t>
      </w:r>
    </w:p>
    <w:p>
      <w:pPr>
        <w:spacing w:line="360" w:lineRule="exact"/>
        <w:ind w:firstLine="480" w:firstLineChars="200"/>
        <w:rPr>
          <w:rFonts w:ascii="宋体" w:hAnsi="宋体"/>
          <w:color w:val="C0C0C0"/>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70" w:firstLineChars="195"/>
        <w:jc w:val="left"/>
        <w:rPr>
          <w:rFonts w:ascii="宋体" w:hAnsi="宋体"/>
          <w:b/>
          <w:szCs w:val="21"/>
          <w:highlight w:val="none"/>
        </w:rPr>
      </w:pPr>
      <w:r>
        <w:rPr>
          <w:rFonts w:hint="eastAsia" w:ascii="宋体" w:hAnsi="宋体"/>
          <w:b/>
          <w:szCs w:val="21"/>
          <w:highlight w:val="none"/>
        </w:rPr>
        <w:t>19.附件</w:t>
      </w:r>
      <w:r>
        <w:rPr>
          <w:rFonts w:hint="eastAsia" w:ascii="宋体" w:hAnsi="宋体"/>
          <w:color w:val="C0C0C0"/>
          <w:szCs w:val="21"/>
          <w:highlight w:val="none"/>
          <w:u w:val="single"/>
        </w:rPr>
        <w:t>（可修改或新增条款）</w:t>
      </w: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附件1：</w:t>
      </w:r>
      <w:bookmarkEnd w:id="93"/>
      <w:bookmarkEnd w:id="94"/>
      <w:bookmarkEnd w:id="95"/>
    </w:p>
    <w:p>
      <w:pPr>
        <w:autoSpaceDE w:val="0"/>
        <w:autoSpaceDN w:val="0"/>
        <w:adjustRightInd w:val="0"/>
        <w:spacing w:line="4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授权委托书</w:t>
      </w:r>
    </w:p>
    <w:p>
      <w:pPr>
        <w:autoSpaceDE w:val="0"/>
        <w:autoSpaceDN w:val="0"/>
        <w:adjustRightInd w:val="0"/>
        <w:spacing w:line="400" w:lineRule="exact"/>
        <w:rPr>
          <w:rFonts w:ascii="仿宋_GB2312" w:hAnsi="仿宋_GB2312" w:eastAsia="仿宋_GB2312" w:cs="仿宋_GB2312"/>
          <w:b/>
          <w:color w:val="000000"/>
          <w:highlight w:val="none"/>
        </w:rPr>
      </w:pPr>
    </w:p>
    <w:p>
      <w:pPr>
        <w:autoSpaceDE w:val="0"/>
        <w:autoSpaceDN w:val="0"/>
        <w:adjustRightInd w:val="0"/>
        <w:spacing w:line="400" w:lineRule="exact"/>
        <w:ind w:firstLine="482" w:firstLineChars="200"/>
        <w:jc w:val="left"/>
        <w:rPr>
          <w:rFonts w:ascii="仿宋_GB2312" w:hAnsi="仿宋_GB2312" w:eastAsia="仿宋_GB2312" w:cs="仿宋_GB2312"/>
          <w:color w:val="000000"/>
          <w:highlight w:val="none"/>
        </w:rPr>
      </w:pPr>
      <w:r>
        <w:rPr>
          <w:rFonts w:hint="eastAsia" w:ascii="仿宋_GB2312" w:hAnsi="仿宋_GB2312" w:eastAsia="仿宋_GB2312" w:cs="仿宋_GB2312"/>
          <w:b/>
          <w:color w:val="000000"/>
          <w:highlight w:val="none"/>
        </w:rPr>
        <w:t>本授权委托书声明：</w:t>
      </w:r>
      <w:r>
        <w:rPr>
          <w:rFonts w:hint="eastAsia" w:ascii="仿宋_GB2312" w:hAnsi="仿宋_GB2312" w:eastAsia="仿宋_GB2312" w:cs="仿宋_GB2312"/>
          <w:color w:val="000000"/>
          <w:highlight w:val="none"/>
        </w:rPr>
        <w:t>我</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（身份证号：</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）系</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公司（乙方）的法定代表人，现授权委托</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（身份证号：</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）为我公司合法的代理人。以本公司的名义负责</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代理人在合同履行过程中所签署的一切文件和处理与之有关的一切事务，包括但不限于签署往来函件、签署会议纪要、货物供应、结算办理、工程款的收取、发票开具等均具有法律效力，授权人均予以认可。</w:t>
      </w:r>
    </w:p>
    <w:p>
      <w:pPr>
        <w:keepNext/>
        <w:keepLines/>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本授权委托的期限为自</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年</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月</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日至</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年</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月</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日。</w:t>
      </w:r>
    </w:p>
    <w:p>
      <w:pPr>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代理人无转委托权。</w:t>
      </w:r>
    </w:p>
    <w:p>
      <w:pPr>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特此授权。</w:t>
      </w:r>
    </w:p>
    <w:p>
      <w:pPr>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委托单位全称（乙方公章）：     </w:t>
      </w:r>
    </w:p>
    <w:p>
      <w:pPr>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法定代表人：</w:t>
      </w:r>
    </w:p>
    <w:p>
      <w:pPr>
        <w:spacing w:line="400" w:lineRule="exact"/>
        <w:ind w:firstLine="480" w:firstLineChars="200"/>
        <w:jc w:val="right"/>
        <w:rPr>
          <w:rFonts w:ascii="仿宋_GB2312" w:hAnsi="仿宋_GB2312" w:eastAsia="仿宋_GB2312" w:cs="仿宋_GB2312"/>
          <w:b/>
          <w:color w:val="000000"/>
          <w:highlight w:val="none"/>
        </w:rPr>
      </w:pP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年</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月</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 xml:space="preserve">日     </w:t>
      </w:r>
      <w:r>
        <w:rPr>
          <w:rFonts w:hint="eastAsia" w:ascii="仿宋_GB2312" w:hAnsi="仿宋_GB2312" w:eastAsia="仿宋_GB2312" w:cs="仿宋_GB2312"/>
          <w:b/>
          <w:color w:val="000000"/>
          <w:highlight w:val="none"/>
        </w:rPr>
        <w:t xml:space="preserve"> </w:t>
      </w:r>
    </w:p>
    <w:p>
      <w:pPr>
        <w:spacing w:before="120" w:beforeLines="50" w:after="120" w:afterLines="50" w:line="400" w:lineRule="exact"/>
        <w:ind w:firstLine="482" w:firstLineChars="200"/>
        <w:rPr>
          <w:rFonts w:ascii="仿宋_GB2312" w:hAnsi="仿宋_GB2312" w:eastAsia="仿宋_GB2312" w:cs="仿宋_GB2312"/>
          <w:color w:val="000000"/>
          <w:highlight w:val="none"/>
        </w:rPr>
      </w:pPr>
      <w:r>
        <w:rPr>
          <w:rFonts w:hint="eastAsia" w:ascii="仿宋_GB2312" w:hAnsi="仿宋_GB2312" w:eastAsia="仿宋_GB2312" w:cs="仿宋_GB2312"/>
          <w:b/>
          <w:color w:val="000000"/>
          <w:highlight w:val="none"/>
        </w:rPr>
        <w:t>代理人声明</w:t>
      </w:r>
      <w:r>
        <w:rPr>
          <w:rFonts w:hint="eastAsia" w:ascii="仿宋_GB2312" w:hAnsi="仿宋_GB2312" w:eastAsia="仿宋_GB2312" w:cs="仿宋_GB2312"/>
          <w:color w:val="000000"/>
          <w:highlight w:val="none"/>
        </w:rPr>
        <w:t>：我对以上授权委托事项完全接受，自愿履行。</w:t>
      </w:r>
    </w:p>
    <w:p>
      <w:pPr>
        <w:spacing w:line="400" w:lineRule="exact"/>
        <w:ind w:firstLine="480" w:firstLineChars="200"/>
        <w:jc w:val="center"/>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代理人（本人签字）：</w:t>
      </w:r>
    </w:p>
    <w:p>
      <w:pPr>
        <w:spacing w:line="400" w:lineRule="exact"/>
        <w:ind w:firstLine="480" w:firstLineChars="200"/>
        <w:jc w:val="righ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年</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月</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日</w:t>
      </w:r>
    </w:p>
    <w:tbl>
      <w:tblPr>
        <w:tblStyle w:val="31"/>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highlight w:val="none"/>
              </w:rPr>
            </w:pPr>
          </w:p>
        </w:tc>
        <w:tc>
          <w:tcPr>
            <w:tcW w:w="4560"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highlight w:val="none"/>
                <w:lang w:val="zh-CN"/>
              </w:rPr>
            </w:pPr>
          </w:p>
        </w:tc>
      </w:tr>
    </w:tbl>
    <w:p>
      <w:pPr>
        <w:spacing w:line="400" w:lineRule="exact"/>
        <w:ind w:firstLine="482" w:firstLineChars="200"/>
        <w:rPr>
          <w:rFonts w:ascii="仿宋_GB2312" w:hAnsi="仿宋_GB2312" w:eastAsia="仿宋_GB2312" w:cs="仿宋_GB2312"/>
          <w:b/>
          <w:color w:val="000000"/>
          <w:highlight w:val="none"/>
        </w:rPr>
      </w:pPr>
      <w:r>
        <w:rPr>
          <w:rFonts w:hint="eastAsia" w:ascii="仿宋_GB2312" w:hAnsi="仿宋_GB2312" w:eastAsia="仿宋_GB2312" w:cs="仿宋_GB2312"/>
          <w:b/>
          <w:color w:val="000000"/>
          <w:highlight w:val="none"/>
          <w:u w:val="dash"/>
        </w:rPr>
        <w:t>代理人身份证复印件粘贴处</w:t>
      </w:r>
      <w:r>
        <w:rPr>
          <w:rFonts w:hint="eastAsia" w:ascii="仿宋_GB2312" w:hAnsi="仿宋_GB2312" w:eastAsia="仿宋_GB2312" w:cs="仿宋_GB2312"/>
          <w:b/>
          <w:color w:val="000000"/>
          <w:highlight w:val="none"/>
        </w:rPr>
        <w:t>：</w:t>
      </w:r>
    </w:p>
    <w:tbl>
      <w:tblPr>
        <w:tblStyle w:val="31"/>
        <w:tblpPr w:leftFromText="180" w:rightFromText="180" w:vertAnchor="text" w:horzAnchor="page" w:tblpX="1551" w:tblpY="3249"/>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4517" w:type="dxa"/>
            <w:tcBorders>
              <w:right w:val="single" w:color="000000" w:sz="4" w:space="0"/>
            </w:tcBorders>
            <w:vAlign w:val="center"/>
          </w:tcPr>
          <w:p>
            <w:pPr>
              <w:autoSpaceDE w:val="0"/>
              <w:autoSpaceDN w:val="0"/>
              <w:adjustRightInd w:val="0"/>
              <w:spacing w:line="400" w:lineRule="exact"/>
              <w:jc w:val="center"/>
              <w:rPr>
                <w:rFonts w:ascii="仿宋_GB2312" w:hAnsi="仿宋_GB2312" w:eastAsia="仿宋_GB2312" w:cs="仿宋_GB2312"/>
                <w:color w:val="000000"/>
                <w:highlight w:val="none"/>
              </w:rPr>
            </w:pPr>
          </w:p>
        </w:tc>
        <w:tc>
          <w:tcPr>
            <w:tcW w:w="4562" w:type="dxa"/>
            <w:tcBorders>
              <w:left w:val="single" w:color="000000" w:sz="4" w:space="0"/>
            </w:tcBorders>
            <w:vAlign w:val="center"/>
          </w:tcPr>
          <w:p>
            <w:pPr>
              <w:autoSpaceDE w:val="0"/>
              <w:autoSpaceDN w:val="0"/>
              <w:adjustRightInd w:val="0"/>
              <w:spacing w:line="400" w:lineRule="exact"/>
              <w:rPr>
                <w:rFonts w:ascii="仿宋_GB2312" w:hAnsi="仿宋_GB2312" w:eastAsia="仿宋_GB2312" w:cs="仿宋_GB2312"/>
                <w:color w:val="000000"/>
                <w:highlight w:val="none"/>
                <w:lang w:val="zh-CN"/>
              </w:rPr>
            </w:pPr>
          </w:p>
        </w:tc>
      </w:tr>
    </w:tbl>
    <w:p>
      <w:pPr>
        <w:spacing w:after="192" w:afterLines="80" w:line="360" w:lineRule="exact"/>
        <w:ind w:firstLine="482" w:firstLineChars="200"/>
        <w:rPr>
          <w:rFonts w:ascii="宋体" w:hAnsi="宋体" w:eastAsia="仿宋_GB2312"/>
          <w:b/>
          <w:sz w:val="32"/>
          <w:szCs w:val="32"/>
          <w:highlight w:val="none"/>
        </w:rPr>
      </w:pPr>
      <w:r>
        <w:rPr>
          <w:rFonts w:hint="eastAsia" w:ascii="仿宋_GB2312" w:hAnsi="仿宋_GB2312" w:eastAsia="仿宋_GB2312" w:cs="仿宋_GB2312"/>
          <w:b/>
          <w:color w:val="000000"/>
          <w:highlight w:val="none"/>
          <w:u w:val="dash"/>
        </w:rPr>
        <w:t>法定代表人身份证复印件粘贴处：</w:t>
      </w:r>
    </w:p>
    <w:p>
      <w:pPr>
        <w:spacing w:line="400" w:lineRule="exact"/>
        <w:ind w:right="240" w:rightChars="100"/>
        <w:outlineLvl w:val="0"/>
        <w:rPr>
          <w:rFonts w:ascii="仿宋_GB2312" w:hAnsi="仿宋_GB2312" w:eastAsia="仿宋_GB2312" w:cs="仿宋_GB2312"/>
          <w:color w:val="000000"/>
          <w:sz w:val="30"/>
          <w:szCs w:val="30"/>
          <w:highlight w:val="none"/>
        </w:rPr>
      </w:pPr>
      <w:bookmarkStart w:id="97" w:name="_Toc20069"/>
      <w:bookmarkStart w:id="98" w:name="_Toc11293"/>
      <w:bookmarkStart w:id="99" w:name="_Toc15118"/>
      <w:r>
        <w:rPr>
          <w:rFonts w:hint="eastAsia" w:ascii="仿宋_GB2312" w:hAnsi="仿宋_GB2312" w:eastAsia="仿宋_GB2312" w:cs="仿宋_GB2312"/>
          <w:color w:val="000000"/>
          <w:sz w:val="30"/>
          <w:szCs w:val="30"/>
          <w:highlight w:val="none"/>
        </w:rPr>
        <w:t>附件2：</w:t>
      </w:r>
      <w:bookmarkEnd w:id="97"/>
      <w:bookmarkEnd w:id="98"/>
      <w:bookmarkEnd w:id="99"/>
    </w:p>
    <w:p>
      <w:pPr>
        <w:spacing w:line="4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安全管理协议书</w:t>
      </w:r>
    </w:p>
    <w:p>
      <w:pPr>
        <w:wordWrap w:val="0"/>
        <w:spacing w:line="400" w:lineRule="exact"/>
        <w:jc w:val="righ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w:t>
      </w:r>
    </w:p>
    <w:p>
      <w:pPr>
        <w:spacing w:line="400" w:lineRule="exact"/>
        <w:rPr>
          <w:rFonts w:ascii="仿宋_GB2312" w:hAnsi="仿宋_GB2312" w:eastAsia="仿宋_GB2312" w:cs="仿宋_GB2312"/>
          <w:b/>
          <w:color w:val="000000"/>
          <w:highlight w:val="none"/>
        </w:rPr>
      </w:pPr>
      <w:r>
        <w:rPr>
          <w:rFonts w:hint="eastAsia" w:ascii="仿宋_GB2312" w:hAnsi="仿宋_GB2312" w:eastAsia="仿宋_GB2312" w:cs="仿宋_GB2312"/>
          <w:color w:val="000000"/>
          <w:highlight w:val="none"/>
        </w:rPr>
        <w:t>甲方：</w:t>
      </w:r>
      <w:bookmarkStart w:id="100" w:name="_Hlk126826529"/>
      <w:r>
        <w:rPr>
          <w:rFonts w:hint="eastAsia" w:ascii="仿宋_GB2312" w:hAnsi="仿宋_GB2312" w:eastAsia="仿宋_GB2312" w:cs="仿宋_GB2312"/>
          <w:color w:val="000000"/>
          <w:highlight w:val="none"/>
          <w:u w:val="single"/>
        </w:rPr>
        <w:t>中建路桥集团有限公司</w:t>
      </w:r>
      <w:bookmarkEnd w:id="100"/>
      <w:r>
        <w:rPr>
          <w:rFonts w:hint="eastAsia" w:ascii="仿宋_GB2312" w:hAnsi="仿宋_GB2312" w:eastAsia="仿宋_GB2312" w:cs="仿宋_GB2312"/>
          <w:b/>
          <w:color w:val="000000"/>
          <w:highlight w:val="none"/>
        </w:rPr>
        <w:t xml:space="preserve"> </w:t>
      </w:r>
    </w:p>
    <w:p>
      <w:pPr>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乙方：</w:t>
      </w:r>
      <w:r>
        <w:rPr>
          <w:rFonts w:hint="eastAsia" w:ascii="仿宋_GB2312" w:hAnsi="仿宋_GB2312" w:eastAsia="仿宋_GB2312" w:cs="仿宋_GB2312"/>
          <w:b/>
          <w:color w:val="000000"/>
          <w:highlight w:val="none"/>
          <w:u w:val="single"/>
        </w:rPr>
        <w:t xml:space="preserve">                        </w:t>
      </w:r>
    </w:p>
    <w:p>
      <w:pPr>
        <w:pStyle w:val="22"/>
        <w:tabs>
          <w:tab w:val="left" w:pos="2100"/>
        </w:tabs>
        <w:spacing w:line="400" w:lineRule="exact"/>
        <w:ind w:left="480" w:right="240" w:rightChars="100" w:firstLine="432"/>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根据《中华人民共和国民法典》、《安全生产法》及有关法律规定，遵循平等、</w:t>
      </w:r>
    </w:p>
    <w:p>
      <w:pPr>
        <w:pStyle w:val="22"/>
        <w:tabs>
          <w:tab w:val="left" w:pos="2100"/>
        </w:tabs>
        <w:spacing w:line="400" w:lineRule="exact"/>
        <w:ind w:left="0" w:leftChars="0" w:right="240" w:rightChars="100"/>
        <w:rPr>
          <w:rFonts w:hAnsi="仿宋_GB2312" w:cs="仿宋_GB2312"/>
          <w:color w:val="000000"/>
          <w:highlight w:val="none"/>
        </w:rPr>
      </w:pPr>
      <w:r>
        <w:rPr>
          <w:rFonts w:hint="eastAsia" w:ascii="仿宋_GB2312" w:hAnsi="仿宋_GB2312" w:eastAsia="仿宋_GB2312" w:cs="仿宋_GB2312"/>
          <w:color w:val="000000"/>
          <w:highlight w:val="none"/>
        </w:rPr>
        <w:t>自愿、公平和诚实信用的原则，双方就合同范围内且在项目部施工现场范围内安全事项协商一致，订立本合同并共同遵守。</w:t>
      </w:r>
      <w:r>
        <w:rPr>
          <w:rFonts w:hint="eastAsia" w:hAnsi="仿宋_GB2312" w:cs="仿宋_GB2312"/>
          <w:color w:val="000000"/>
          <w:highlight w:val="none"/>
        </w:rPr>
        <w:t xml:space="preserve"> </w:t>
      </w:r>
    </w:p>
    <w:p>
      <w:pPr>
        <w:snapToGrid w:val="0"/>
        <w:spacing w:line="400" w:lineRule="exact"/>
        <w:ind w:firstLine="555"/>
        <w:rPr>
          <w:rFonts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 xml:space="preserve">第一条 共同约定  </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highlight w:val="none"/>
          <w:u w:val="single"/>
        </w:rPr>
        <w:t xml:space="preserve">      </w:t>
      </w:r>
      <w:r>
        <w:rPr>
          <w:rFonts w:hint="eastAsia" w:ascii="仿宋_GB2312" w:hAnsi="仿宋_GB2312" w:eastAsia="仿宋_GB2312" w:cs="仿宋_GB2312"/>
          <w:color w:val="000000"/>
          <w:highlight w:val="none"/>
        </w:rPr>
        <w:t>市有关安全生产的规章制度。</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2、双方应共同遵守</w:t>
      </w:r>
      <w:r>
        <w:rPr>
          <w:rFonts w:hint="eastAsia" w:ascii="仿宋_GB2312" w:hAnsi="仿宋_GB2312" w:eastAsia="仿宋_GB2312" w:cs="仿宋_GB2312"/>
          <w:color w:val="000000"/>
          <w:highlight w:val="none"/>
          <w:u w:val="single"/>
        </w:rPr>
        <w:t>中建总公司、中建路桥</w:t>
      </w:r>
      <w:r>
        <w:rPr>
          <w:rFonts w:hint="eastAsia" w:ascii="仿宋_GB2312" w:hAnsi="仿宋_GB2312" w:eastAsia="仿宋_GB2312" w:cs="仿宋_GB2312"/>
          <w:color w:val="000000"/>
          <w:highlight w:val="none"/>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4、在甲方施工区域以外场所安全工作及发生的不良后果由乙方自行承担。</w:t>
      </w:r>
    </w:p>
    <w:p>
      <w:pPr>
        <w:pStyle w:val="42"/>
        <w:spacing w:line="400" w:lineRule="exact"/>
        <w:ind w:firstLine="482" w:firstLineChars="200"/>
        <w:rPr>
          <w:rFonts w:ascii="仿宋_GB2312" w:hAnsi="仿宋_GB2312" w:eastAsia="仿宋_GB2312" w:cs="仿宋_GB2312"/>
          <w:b/>
          <w:bCs/>
          <w:kern w:val="2"/>
          <w:highlight w:val="none"/>
        </w:rPr>
      </w:pPr>
      <w:r>
        <w:rPr>
          <w:rFonts w:hint="eastAsia" w:ascii="仿宋_GB2312" w:hAnsi="仿宋_GB2312" w:eastAsia="仿宋_GB2312" w:cs="仿宋_GB2312"/>
          <w:b/>
          <w:bCs/>
          <w:kern w:val="2"/>
          <w:highlight w:val="none"/>
        </w:rPr>
        <w:t>第二条 环境与职业健康安全</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 xml:space="preserve">    第三条 甲方的安全责任、权利和义务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7、按照规定要求对乙方自有的材料和自带（含租赁）施工机具、起重 吊装设备、运输车辆等进行安全生产监督检查，有权拒绝乙方不合格产品进场（已进场的限期退场）。</w:t>
      </w:r>
    </w:p>
    <w:p>
      <w:pPr>
        <w:spacing w:line="400" w:lineRule="exact"/>
        <w:jc w:val="left"/>
        <w:rPr>
          <w:rFonts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8、乙方自备的设备及工具必须保证环保、性能良好、各安全装置齐全灵敏有效。进工地前必须报项目监督试机，验收并填写验收表，达不到环保和《JGJ59—2011》标准的设备及工具严禁在工地使用。</w:t>
      </w:r>
    </w:p>
    <w:p>
      <w:pPr>
        <w:spacing w:line="400" w:lineRule="exact"/>
        <w:ind w:firstLine="480" w:firstLineChars="200"/>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highlight w:val="none"/>
          <w:shd w:val="clear" w:color="auto" w:fill="FF0000"/>
        </w:rPr>
      </w:pPr>
      <w:r>
        <w:rPr>
          <w:rFonts w:hint="eastAsia" w:ascii="仿宋_GB2312" w:hAnsi="仿宋_GB2312" w:eastAsia="仿宋_GB2312" w:cs="仿宋_GB2312"/>
          <w:color w:val="000000"/>
          <w:highlight w:val="none"/>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 xml:space="preserve">    第五条 事故处理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1、若发生事故应立即启动事故应急预案，采取有效措施组织抢救，防止事故扩大，减少人员伤亡和财产损失，同时应按《生产安全事故报告和处理条例》（493号令）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第六条</w:t>
      </w:r>
      <w:r>
        <w:rPr>
          <w:rFonts w:hint="eastAsia" w:ascii="仿宋_GB2312" w:hAnsi="仿宋_GB2312" w:eastAsia="仿宋_GB2312" w:cs="仿宋_GB2312"/>
          <w:color w:val="000000"/>
          <w:highlight w:val="none"/>
        </w:rPr>
        <w:t xml:space="preserve"> 本合同生效条件与主合同相同。</w:t>
      </w:r>
    </w:p>
    <w:p>
      <w:pPr>
        <w:spacing w:line="400" w:lineRule="exact"/>
        <w:rPr>
          <w:rFonts w:ascii="仿宋_GB2312" w:hAnsi="仿宋_GB2312" w:eastAsia="仿宋_GB2312" w:cs="仿宋_GB2312"/>
          <w:color w:val="000000"/>
          <w:highlight w:val="none"/>
        </w:rPr>
      </w:pPr>
    </w:p>
    <w:p>
      <w:pPr>
        <w:spacing w:line="400" w:lineRule="exact"/>
        <w:ind w:firstLine="57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w:t>
      </w:r>
      <w:bookmarkStart w:id="101" w:name="_Hlk127203185"/>
      <w:r>
        <w:rPr>
          <w:rFonts w:hint="eastAsia" w:ascii="仿宋_GB2312" w:hAnsi="仿宋_GB2312" w:eastAsia="仿宋_GB2312" w:cs="仿宋_GB2312"/>
          <w:color w:val="000000"/>
          <w:highlight w:val="none"/>
        </w:rPr>
        <w:t xml:space="preserve">甲方（盖章）：                        乙方（公章）：       </w:t>
      </w:r>
    </w:p>
    <w:p>
      <w:pPr>
        <w:autoSpaceDE w:val="0"/>
        <w:autoSpaceDN w:val="0"/>
        <w:adjustRightInd w:val="0"/>
        <w:spacing w:line="400" w:lineRule="atLeast"/>
        <w:ind w:firstLine="1680" w:firstLineChars="700"/>
        <w:rPr>
          <w:rFonts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 xml:space="preserve">                           授权委托人：</w:t>
      </w:r>
    </w:p>
    <w:p>
      <w:pPr>
        <w:spacing w:line="40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年  月  日 </w:t>
      </w:r>
      <w:bookmarkEnd w:id="101"/>
      <w:r>
        <w:rPr>
          <w:rFonts w:hint="eastAsia" w:ascii="仿宋_GB2312" w:hAnsi="仿宋_GB2312" w:eastAsia="仿宋_GB2312" w:cs="仿宋_GB2312"/>
          <w:color w:val="000000"/>
          <w:highlight w:val="none"/>
        </w:rPr>
        <w:t xml:space="preserve">                             年  月  日 </w:t>
      </w:r>
    </w:p>
    <w:p>
      <w:pPr>
        <w:spacing w:line="400" w:lineRule="exact"/>
        <w:rPr>
          <w:rFonts w:ascii="仿宋_GB2312" w:hAnsi="仿宋_GB2312" w:eastAsia="仿宋_GB2312" w:cs="仿宋_GB2312"/>
          <w:color w:val="000000"/>
          <w:highlight w:val="none"/>
        </w:rPr>
      </w:pPr>
    </w:p>
    <w:p>
      <w:pPr>
        <w:spacing w:line="400" w:lineRule="exact"/>
        <w:ind w:right="240" w:rightChars="100"/>
        <w:outlineLvl w:val="0"/>
        <w:rPr>
          <w:rFonts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highlight w:val="none"/>
        </w:rPr>
        <w:br w:type="page"/>
      </w:r>
      <w:bookmarkStart w:id="102" w:name="_Toc9726"/>
      <w:bookmarkStart w:id="103" w:name="_Toc776"/>
      <w:bookmarkStart w:id="104" w:name="_Toc24322"/>
      <w:r>
        <w:rPr>
          <w:rFonts w:hint="eastAsia" w:ascii="仿宋_GB2312" w:hAnsi="仿宋_GB2312" w:eastAsia="仿宋_GB2312" w:cs="仿宋_GB2312"/>
          <w:color w:val="000000"/>
          <w:sz w:val="30"/>
          <w:szCs w:val="30"/>
          <w:highlight w:val="none"/>
        </w:rPr>
        <w:t>附件3：</w:t>
      </w:r>
      <w:bookmarkEnd w:id="102"/>
      <w:bookmarkEnd w:id="103"/>
      <w:bookmarkEnd w:id="104"/>
    </w:p>
    <w:p>
      <w:pPr>
        <w:spacing w:line="400" w:lineRule="exact"/>
        <w:jc w:val="center"/>
        <w:rPr>
          <w:rFonts w:ascii="仿宋_GB2312" w:hAnsi="仿宋_GB2312" w:eastAsia="仿宋_GB2312" w:cs="仿宋_GB2312"/>
          <w:color w:val="000000"/>
          <w:sz w:val="30"/>
          <w:szCs w:val="30"/>
          <w:highlight w:val="none"/>
        </w:rPr>
      </w:pPr>
      <w:bookmarkStart w:id="105" w:name="_Toc16461"/>
      <w:r>
        <w:rPr>
          <w:rFonts w:hint="eastAsia" w:ascii="仿宋_GB2312" w:hAnsi="仿宋_GB2312" w:eastAsia="仿宋_GB2312" w:cs="仿宋_GB2312"/>
          <w:b/>
          <w:color w:val="000000"/>
          <w:sz w:val="30"/>
          <w:szCs w:val="30"/>
          <w:highlight w:val="none"/>
        </w:rPr>
        <w:t>廉洁从业共建协议</w:t>
      </w:r>
      <w:bookmarkEnd w:id="105"/>
    </w:p>
    <w:p>
      <w:pPr>
        <w:spacing w:line="46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甲方：</w:t>
      </w:r>
      <w:bookmarkStart w:id="106" w:name="_Hlk127190139"/>
      <w:r>
        <w:rPr>
          <w:rFonts w:hint="eastAsia" w:ascii="仿宋_GB2312" w:hAnsi="宋体" w:eastAsia="仿宋_GB2312"/>
          <w:color w:val="000000"/>
          <w:highlight w:val="none"/>
          <w:u w:val="single"/>
        </w:rPr>
        <w:t>中建路桥集团有限公司</w:t>
      </w:r>
      <w:bookmarkEnd w:id="106"/>
      <w:r>
        <w:rPr>
          <w:rFonts w:hint="eastAsia" w:ascii="仿宋_GB2312" w:hAnsi="宋体" w:eastAsia="仿宋_GB2312"/>
          <w:color w:val="000000"/>
          <w:highlight w:val="none"/>
          <w:u w:val="single"/>
        </w:rPr>
        <w:t xml:space="preserve">     </w:t>
      </w:r>
    </w:p>
    <w:p>
      <w:pPr>
        <w:spacing w:line="46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乙方：</w:t>
      </w:r>
      <w:r>
        <w:rPr>
          <w:rFonts w:hint="eastAsia" w:ascii="仿宋_GB2312" w:hAnsi="宋体" w:eastAsia="仿宋_GB2312"/>
          <w:color w:val="000000"/>
          <w:highlight w:val="none"/>
          <w:u w:val="single"/>
        </w:rPr>
        <w:t xml:space="preserve">            </w:t>
      </w:r>
      <w:r>
        <w:rPr>
          <w:rFonts w:ascii="仿宋_GB2312" w:hAnsi="宋体" w:eastAsia="仿宋_GB2312"/>
          <w:color w:val="000000"/>
          <w:highlight w:val="none"/>
          <w:u w:val="single"/>
        </w:rPr>
        <w:t xml:space="preserve">   </w:t>
      </w:r>
      <w:r>
        <w:rPr>
          <w:rFonts w:hint="eastAsia" w:ascii="仿宋_GB2312" w:hAnsi="宋体" w:eastAsia="仿宋_GB2312"/>
          <w:color w:val="000000"/>
          <w:highlight w:val="none"/>
          <w:u w:val="single"/>
        </w:rPr>
        <w:t xml:space="preserve">          </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kern w:val="0"/>
          <w:highlight w:val="none"/>
        </w:rPr>
      </w:pPr>
      <w:bookmarkStart w:id="107" w:name="_Toc300671949"/>
      <w:r>
        <w:rPr>
          <w:rFonts w:hint="eastAsia" w:ascii="仿宋_GB2312" w:hAnsi="宋体" w:eastAsia="仿宋_GB2312" w:cs="宋体"/>
          <w:color w:val="000000"/>
          <w:kern w:val="0"/>
          <w:highlight w:val="none"/>
        </w:rPr>
        <w:t>一、双方的责任</w:t>
      </w:r>
      <w:bookmarkEnd w:id="107"/>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1.2严格执行建设工程合同文件，自觉按合同办事。</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kern w:val="0"/>
          <w:highlight w:val="none"/>
        </w:rPr>
      </w:pPr>
      <w:bookmarkStart w:id="108" w:name="_Hlk127535665"/>
      <w:r>
        <w:rPr>
          <w:rFonts w:hint="eastAsia" w:ascii="仿宋_GB2312" w:hAnsi="宋体" w:eastAsia="仿宋_GB2312" w:cs="宋体"/>
          <w:color w:val="000000"/>
          <w:kern w:val="0"/>
          <w:highlight w:val="none"/>
        </w:rPr>
        <w:t>1.4发现甲方在业务活动中有违规、违纪、违法行为的，应及时提醒对方，情节严重的，请通过中建交通官网公布的监督举报方式或项目上公开的监督举报二维码如实进行举报，一经查实，将严肃处理。</w:t>
      </w:r>
    </w:p>
    <w:bookmarkEnd w:id="108"/>
    <w:p>
      <w:pPr>
        <w:widowControl/>
        <w:spacing w:line="400" w:lineRule="exact"/>
        <w:ind w:firstLine="480" w:firstLineChars="200"/>
        <w:rPr>
          <w:rFonts w:ascii="仿宋_GB2312" w:hAnsi="宋体" w:eastAsia="仿宋_GB2312" w:cs="宋体"/>
          <w:color w:val="000000"/>
          <w:kern w:val="0"/>
          <w:highlight w:val="none"/>
        </w:rPr>
      </w:pPr>
      <w:bookmarkStart w:id="109" w:name="_Toc300671950"/>
      <w:r>
        <w:rPr>
          <w:rFonts w:hint="eastAsia" w:ascii="仿宋_GB2312" w:hAnsi="宋体" w:eastAsia="仿宋_GB2312" w:cs="宋体"/>
          <w:color w:val="000000"/>
          <w:kern w:val="0"/>
          <w:highlight w:val="none"/>
        </w:rPr>
        <w:t>二、甲方责任</w:t>
      </w:r>
      <w:bookmarkEnd w:id="109"/>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2.2</w:t>
      </w:r>
      <w:r>
        <w:rPr>
          <w:rFonts w:hint="eastAsia" w:ascii="仿宋_GB2312" w:hAnsi="宋体" w:eastAsia="仿宋_GB2312"/>
          <w:color w:val="000000"/>
          <w:highlight w:val="none"/>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highlight w:val="none"/>
        </w:rPr>
      </w:pPr>
      <w:r>
        <w:rPr>
          <w:rFonts w:hint="eastAsia" w:ascii="仿宋_GB2312" w:hAnsi="宋体" w:eastAsia="仿宋_GB2312" w:cs="宋体"/>
          <w:color w:val="000000"/>
          <w:kern w:val="0"/>
          <w:highlight w:val="none"/>
        </w:rPr>
        <w:t>2.3</w:t>
      </w:r>
      <w:r>
        <w:rPr>
          <w:rFonts w:hint="eastAsia" w:ascii="仿宋_GB2312" w:hAnsi="宋体" w:eastAsia="仿宋_GB2312"/>
          <w:color w:val="000000"/>
          <w:highlight w:val="none"/>
        </w:rPr>
        <w:t>不安排己方员工的亲友在乙方工作；</w:t>
      </w:r>
    </w:p>
    <w:p>
      <w:pPr>
        <w:widowControl/>
        <w:spacing w:line="400" w:lineRule="exact"/>
        <w:ind w:firstLine="480" w:firstLineChars="200"/>
        <w:rPr>
          <w:color w:val="000000"/>
          <w:highlight w:val="none"/>
        </w:rPr>
      </w:pPr>
      <w:r>
        <w:rPr>
          <w:rFonts w:hint="eastAsia" w:ascii="仿宋_GB2312" w:hAnsi="宋体" w:eastAsia="仿宋_GB2312" w:cs="宋体"/>
          <w:color w:val="000000"/>
          <w:kern w:val="0"/>
          <w:highlight w:val="none"/>
        </w:rPr>
        <w:t>2.4</w:t>
      </w:r>
      <w:r>
        <w:rPr>
          <w:rFonts w:hint="eastAsia" w:ascii="仿宋_GB2312" w:hAnsi="宋体" w:eastAsia="仿宋_GB2312"/>
          <w:color w:val="000000"/>
          <w:highlight w:val="none"/>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kern w:val="0"/>
          <w:highlight w:val="none"/>
        </w:rPr>
      </w:pPr>
      <w:bookmarkStart w:id="110" w:name="_Toc300671951"/>
      <w:r>
        <w:rPr>
          <w:rFonts w:hint="eastAsia" w:ascii="仿宋_GB2312" w:hAnsi="宋体" w:eastAsia="仿宋_GB2312" w:cs="宋体"/>
          <w:color w:val="000000"/>
          <w:kern w:val="0"/>
          <w:highlight w:val="none"/>
        </w:rPr>
        <w:t>三、乙方责任</w:t>
      </w:r>
      <w:bookmarkEnd w:id="110"/>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highlight w:val="none"/>
        </w:rPr>
      </w:pPr>
      <w:r>
        <w:rPr>
          <w:rFonts w:hint="eastAsia" w:ascii="仿宋_GB2312" w:eastAsia="仿宋_GB2312" w:cs="宋体"/>
          <w:color w:val="000000"/>
          <w:kern w:val="0"/>
          <w:highlight w:val="none"/>
        </w:rPr>
        <w:t>3.1</w:t>
      </w:r>
      <w:r>
        <w:rPr>
          <w:rFonts w:hint="eastAsia" w:ascii="仿宋_GB2312" w:hAnsi="宋体" w:eastAsia="仿宋_GB2312"/>
          <w:color w:val="000000"/>
          <w:highlight w:val="none"/>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kern w:val="0"/>
          <w:highlight w:val="none"/>
        </w:rPr>
      </w:pPr>
      <w:r>
        <w:rPr>
          <w:rFonts w:hint="eastAsia" w:ascii="仿宋_GB2312" w:eastAsia="仿宋_GB2312" w:cs="宋体"/>
          <w:color w:val="000000"/>
          <w:kern w:val="0"/>
          <w:highlight w:val="none"/>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kern w:val="0"/>
          <w:highlight w:val="none"/>
        </w:rPr>
      </w:pPr>
      <w:r>
        <w:rPr>
          <w:rFonts w:hint="eastAsia" w:ascii="仿宋_GB2312" w:eastAsia="仿宋_GB2312" w:cs="宋体"/>
          <w:color w:val="000000"/>
          <w:kern w:val="0"/>
          <w:highlight w:val="none"/>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kern w:val="0"/>
          <w:highlight w:val="none"/>
        </w:rPr>
      </w:pPr>
      <w:r>
        <w:rPr>
          <w:rFonts w:hint="eastAsia" w:ascii="仿宋_GB2312" w:eastAsia="仿宋_GB2312" w:cs="宋体"/>
          <w:color w:val="000000"/>
          <w:kern w:val="0"/>
          <w:highlight w:val="none"/>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kern w:val="0"/>
          <w:highlight w:val="none"/>
        </w:rPr>
      </w:pPr>
      <w:r>
        <w:rPr>
          <w:rFonts w:ascii="仿宋_GB2312" w:eastAsia="仿宋_GB2312" w:cs="宋体"/>
          <w:color w:val="000000"/>
          <w:kern w:val="0"/>
          <w:highlight w:val="none"/>
        </w:rPr>
        <w:t>3.5</w:t>
      </w:r>
      <w:r>
        <w:rPr>
          <w:rFonts w:hint="eastAsia" w:ascii="仿宋_GB2312" w:eastAsia="仿宋_GB2312" w:cs="宋体"/>
          <w:color w:val="000000"/>
          <w:kern w:val="0"/>
          <w:highlight w:val="none"/>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kern w:val="0"/>
          <w:highlight w:val="none"/>
        </w:rPr>
      </w:pPr>
      <w:r>
        <w:rPr>
          <w:rFonts w:hint="eastAsia" w:ascii="仿宋_GB2312" w:eastAsia="仿宋_GB2312" w:cs="宋体"/>
          <w:color w:val="000000"/>
          <w:kern w:val="0"/>
          <w:highlight w:val="none"/>
        </w:rPr>
        <w:t>3.</w:t>
      </w:r>
      <w:r>
        <w:rPr>
          <w:rFonts w:ascii="仿宋_GB2312" w:eastAsia="仿宋_GB2312" w:cs="宋体"/>
          <w:color w:val="000000"/>
          <w:kern w:val="0"/>
          <w:highlight w:val="none"/>
        </w:rPr>
        <w:t>6</w:t>
      </w:r>
      <w:r>
        <w:rPr>
          <w:rFonts w:hint="eastAsia" w:ascii="仿宋_GB2312" w:eastAsia="仿宋_GB2312" w:cs="宋体"/>
          <w:color w:val="000000"/>
          <w:kern w:val="0"/>
          <w:highlight w:val="none"/>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kern w:val="0"/>
          <w:highlight w:val="none"/>
        </w:rPr>
      </w:pPr>
      <w:r>
        <w:rPr>
          <w:rFonts w:ascii="仿宋_GB2312" w:eastAsia="仿宋_GB2312" w:cs="宋体"/>
          <w:color w:val="000000"/>
          <w:kern w:val="0"/>
          <w:highlight w:val="none"/>
        </w:rPr>
        <w:t>3.7</w:t>
      </w:r>
      <w:r>
        <w:rPr>
          <w:rFonts w:hint="eastAsia" w:ascii="仿宋_GB2312" w:eastAsia="仿宋_GB2312" w:cs="宋体"/>
          <w:color w:val="000000"/>
          <w:kern w:val="0"/>
          <w:highlight w:val="none"/>
        </w:rPr>
        <w:t>不得与甲方员工就标书合同条款中的利益条款进行私下协商或达成默契。</w:t>
      </w:r>
    </w:p>
    <w:p>
      <w:pPr>
        <w:spacing w:line="400" w:lineRule="exact"/>
        <w:ind w:firstLine="480" w:firstLineChars="200"/>
        <w:rPr>
          <w:rFonts w:ascii="仿宋_GB2312" w:eastAsia="仿宋_GB2312" w:cs="宋体"/>
          <w:color w:val="000000"/>
          <w:kern w:val="0"/>
          <w:highlight w:val="none"/>
        </w:rPr>
      </w:pPr>
      <w:r>
        <w:rPr>
          <w:rFonts w:hint="eastAsia" w:ascii="仿宋_GB2312" w:eastAsia="仿宋_GB2312" w:cs="宋体"/>
          <w:color w:val="000000"/>
          <w:kern w:val="0"/>
          <w:highlight w:val="none"/>
        </w:rPr>
        <w:t>3</w:t>
      </w:r>
      <w:r>
        <w:rPr>
          <w:rFonts w:ascii="仿宋_GB2312" w:eastAsia="仿宋_GB2312" w:cs="宋体"/>
          <w:color w:val="000000"/>
          <w:kern w:val="0"/>
          <w:highlight w:val="none"/>
        </w:rPr>
        <w:t>.8</w:t>
      </w:r>
      <w:r>
        <w:rPr>
          <w:rFonts w:hint="eastAsia" w:ascii="仿宋_GB2312" w:eastAsia="仿宋_GB2312" w:cs="宋体"/>
          <w:color w:val="000000"/>
          <w:kern w:val="0"/>
          <w:highlight w:val="none"/>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kern w:val="0"/>
          <w:highlight w:val="none"/>
        </w:rPr>
      </w:pPr>
      <w:r>
        <w:rPr>
          <w:rFonts w:ascii="仿宋_GB2312" w:eastAsia="仿宋_GB2312" w:cs="宋体"/>
          <w:color w:val="000000"/>
          <w:kern w:val="0"/>
          <w:highlight w:val="none"/>
        </w:rPr>
        <w:t>3.9</w:t>
      </w:r>
      <w:r>
        <w:rPr>
          <w:rFonts w:hint="eastAsia" w:ascii="仿宋_GB2312" w:eastAsia="仿宋_GB2312" w:cs="宋体"/>
          <w:color w:val="000000"/>
          <w:kern w:val="0"/>
          <w:highlight w:val="none"/>
        </w:rPr>
        <w:t>不在甲方人员进行市场调研、商务洽谈等期间违规提供公务接待。</w:t>
      </w:r>
    </w:p>
    <w:p>
      <w:pPr>
        <w:spacing w:line="400" w:lineRule="exact"/>
        <w:ind w:firstLine="480" w:firstLineChars="200"/>
        <w:rPr>
          <w:rFonts w:ascii="仿宋_GB2312" w:eastAsia="仿宋_GB2312" w:cs="宋体"/>
          <w:color w:val="000000"/>
          <w:kern w:val="0"/>
          <w:highlight w:val="none"/>
        </w:rPr>
      </w:pPr>
      <w:r>
        <w:rPr>
          <w:rFonts w:ascii="仿宋_GB2312" w:eastAsia="仿宋_GB2312" w:cs="宋体"/>
          <w:color w:val="000000"/>
          <w:kern w:val="0"/>
          <w:highlight w:val="none"/>
        </w:rPr>
        <w:t>3.10</w:t>
      </w:r>
      <w:r>
        <w:rPr>
          <w:rFonts w:hint="eastAsia" w:ascii="仿宋_GB2312" w:eastAsia="仿宋_GB2312" w:cs="宋体"/>
          <w:color w:val="000000"/>
          <w:kern w:val="0"/>
          <w:highlight w:val="none"/>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kern w:val="0"/>
          <w:highlight w:val="none"/>
        </w:rPr>
      </w:pPr>
      <w:bookmarkStart w:id="111" w:name="_Toc300671952"/>
      <w:r>
        <w:rPr>
          <w:rFonts w:hint="eastAsia" w:ascii="仿宋_GB2312" w:hAnsi="宋体" w:eastAsia="仿宋_GB2312" w:cs="宋体"/>
          <w:color w:val="000000"/>
          <w:kern w:val="0"/>
          <w:highlight w:val="none"/>
        </w:rPr>
        <w:t>四、违约责任</w:t>
      </w:r>
      <w:bookmarkEnd w:id="111"/>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highlight w:val="none"/>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highlight w:val="none"/>
        </w:rPr>
        <w:t>罚款。</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4.3甲方不得接受可能影响公正执行公务的礼金（包括各种有价证券）、礼品馈赠。因各种原因未能拒收的，一律上交所属部门并登记。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4.4</w:t>
      </w:r>
      <w:r>
        <w:rPr>
          <w:rFonts w:hint="eastAsia" w:ascii="仿宋_GB2312" w:hAnsi="宋体" w:eastAsia="仿宋_GB2312" w:cs="宋体"/>
          <w:color w:val="000000"/>
          <w:kern w:val="0"/>
          <w:highlight w:val="none"/>
        </w:rPr>
        <w:t>甲乙双方必须认真履行本协议，遵纪守法，相互监督，密切配合，共同搞好廉政建设。双方</w:t>
      </w:r>
      <w:r>
        <w:rPr>
          <w:rFonts w:hint="eastAsia" w:ascii="仿宋_GB2312" w:hAnsi="宋体" w:eastAsia="仿宋_GB2312"/>
          <w:color w:val="000000"/>
          <w:highlight w:val="none"/>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kern w:val="0"/>
          <w:highlight w:val="none"/>
        </w:rPr>
        <w:t>触犯刑律的，移交司法机关处理。</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kern w:val="0"/>
          <w:highlight w:val="none"/>
        </w:rPr>
      </w:pPr>
      <w:r>
        <w:rPr>
          <w:rFonts w:hint="eastAsia" w:ascii="仿宋_GB2312" w:hAnsi="宋体" w:eastAsia="仿宋_GB2312" w:cs="宋体"/>
          <w:color w:val="000000"/>
          <w:kern w:val="0"/>
          <w:highlight w:val="none"/>
        </w:rPr>
        <w:t>五、责任书有效期</w:t>
      </w:r>
    </w:p>
    <w:p>
      <w:pPr>
        <w:widowControl/>
        <w:spacing w:line="400" w:lineRule="exact"/>
        <w:ind w:firstLine="480" w:firstLineChars="200"/>
        <w:rPr>
          <w:rFonts w:ascii="仿宋_GB2312" w:hAnsi="仿宋_GB2312" w:eastAsia="仿宋_GB2312" w:cs="仿宋_GB2312"/>
          <w:bCs/>
          <w:color w:val="000000"/>
          <w:highlight w:val="none"/>
        </w:rPr>
      </w:pPr>
      <w:r>
        <w:rPr>
          <w:rFonts w:hint="eastAsia" w:ascii="仿宋_GB2312" w:hAnsi="宋体" w:eastAsia="仿宋_GB2312" w:cs="宋体"/>
          <w:color w:val="000000"/>
          <w:kern w:val="0"/>
          <w:highlight w:val="none"/>
        </w:rPr>
        <w:t>本责任书的有效期为双方签署之日起至该工程项目竣工验收合格时止。</w:t>
      </w:r>
    </w:p>
    <w:p>
      <w:pPr>
        <w:pStyle w:val="42"/>
        <w:spacing w:line="400" w:lineRule="exact"/>
        <w:rPr>
          <w:rFonts w:ascii="仿宋_GB2312" w:hAnsi="仿宋_GB2312" w:eastAsia="仿宋_GB2312" w:cs="仿宋_GB2312"/>
          <w:bCs/>
          <w:highlight w:val="none"/>
        </w:rPr>
      </w:pPr>
    </w:p>
    <w:p>
      <w:pPr>
        <w:spacing w:line="400" w:lineRule="atLeast"/>
        <w:ind w:left="5" w:leftChars="2" w:right="240" w:rightChars="100" w:firstLine="448" w:firstLineChars="187"/>
        <w:rPr>
          <w:rFonts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 xml:space="preserve">甲方（盖章）：                       乙方（公章）：        </w:t>
      </w:r>
    </w:p>
    <w:p>
      <w:pPr>
        <w:autoSpaceDE w:val="0"/>
        <w:autoSpaceDN w:val="0"/>
        <w:adjustRightInd w:val="0"/>
        <w:spacing w:line="400" w:lineRule="atLeast"/>
        <w:ind w:firstLine="1680" w:firstLineChars="700"/>
        <w:rPr>
          <w:rFonts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highlight w:val="none"/>
        </w:rPr>
      </w:pPr>
      <w:r>
        <w:rPr>
          <w:rFonts w:hint="eastAsia" w:ascii="仿宋_GB2312" w:hAnsi="仿宋_GB2312" w:eastAsia="仿宋_GB2312" w:cs="仿宋_GB2312"/>
          <w:color w:val="000000"/>
          <w:kern w:val="0"/>
          <w:highlight w:val="none"/>
        </w:rPr>
        <w:t xml:space="preserve">                        授权委托人：</w:t>
      </w:r>
    </w:p>
    <w:p>
      <w:pPr>
        <w:spacing w:line="400" w:lineRule="atLeast"/>
        <w:ind w:right="240" w:rightChars="100" w:firstLine="720" w:firstLineChars="300"/>
        <w:rPr>
          <w:rFonts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年  月  日                           年  月  日</w:t>
      </w: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spacing w:line="360" w:lineRule="exact"/>
        <w:jc w:val="left"/>
        <w:rPr>
          <w:rFonts w:ascii="宋体" w:hAnsi="宋体"/>
          <w:b/>
          <w:szCs w:val="21"/>
          <w:highlight w:val="none"/>
        </w:rPr>
      </w:pPr>
    </w:p>
    <w:p>
      <w:pPr>
        <w:pStyle w:val="2"/>
        <w:rPr>
          <w:highlight w:val="none"/>
        </w:rPr>
      </w:pPr>
    </w:p>
    <w:p>
      <w:pPr>
        <w:pStyle w:val="2"/>
        <w:rPr>
          <w:highlight w:val="none"/>
        </w:rPr>
      </w:pPr>
    </w:p>
    <w:p>
      <w:pPr>
        <w:pStyle w:val="7"/>
        <w:tabs>
          <w:tab w:val="left" w:pos="2976"/>
        </w:tabs>
        <w:rPr>
          <w:rFonts w:ascii="仿宋_GB2312" w:hAnsi="仿宋_GB2312" w:eastAsia="仿宋_GB2312" w:cs="仿宋_GB2312"/>
          <w:bCs w:val="0"/>
          <w:color w:val="000000"/>
          <w:sz w:val="30"/>
          <w:szCs w:val="30"/>
          <w:highlight w:val="none"/>
        </w:rPr>
      </w:pPr>
      <w:r>
        <w:rPr>
          <w:rFonts w:hint="eastAsia" w:ascii="宋体" w:hAnsi="宋体" w:eastAsia="宋体" w:cs="宋体"/>
          <w:bCs w:val="0"/>
          <w:sz w:val="21"/>
          <w:szCs w:val="21"/>
          <w:highlight w:val="none"/>
        </w:rPr>
        <w:t xml:space="preserve"> </w:t>
      </w:r>
      <w:r>
        <w:rPr>
          <w:rFonts w:hint="eastAsia" w:ascii="仿宋_GB2312" w:hAnsi="仿宋_GB2312" w:eastAsia="仿宋_GB2312" w:cs="仿宋_GB2312"/>
          <w:bCs w:val="0"/>
          <w:color w:val="000000"/>
          <w:sz w:val="30"/>
          <w:szCs w:val="30"/>
          <w:highlight w:val="none"/>
        </w:rPr>
        <w:t>附件4：</w:t>
      </w:r>
    </w:p>
    <w:p>
      <w:pPr>
        <w:pStyle w:val="7"/>
        <w:tabs>
          <w:tab w:val="left" w:pos="2976"/>
        </w:tabs>
        <w:rPr>
          <w:rFonts w:ascii="仿宋_GB2312" w:hAnsi="宋体" w:eastAsia="仿宋_GB2312" w:cs="Times New Roman"/>
          <w:highlight w:val="none"/>
        </w:rPr>
      </w:pPr>
      <w:r>
        <w:rPr>
          <w:rFonts w:hint="eastAsia" w:ascii="宋体" w:hAnsi="宋体" w:eastAsia="宋体" w:cs="宋体"/>
          <w:sz w:val="21"/>
          <w:szCs w:val="21"/>
          <w:highlight w:val="none"/>
        </w:rPr>
        <w:t xml:space="preserve">                        </w:t>
      </w:r>
      <w:r>
        <w:rPr>
          <w:rFonts w:hint="eastAsia" w:ascii="仿宋_GB2312" w:hAnsi="宋体" w:eastAsia="仿宋_GB2312" w:cs="Times New Roman"/>
          <w:highlight w:val="none"/>
        </w:rPr>
        <w:t>制造商授权书（如需）</w:t>
      </w:r>
    </w:p>
    <w:p>
      <w:pPr>
        <w:adjustRightInd w:val="0"/>
        <w:snapToGrid w:val="0"/>
        <w:spacing w:line="480" w:lineRule="auto"/>
        <w:rPr>
          <w:rFonts w:ascii="仿宋_GB2312" w:hAnsi="宋体" w:eastAsia="仿宋_GB2312" w:cs="Times New Roman"/>
          <w:sz w:val="21"/>
          <w:szCs w:val="21"/>
          <w:highlight w:val="none"/>
          <w:u w:val="single"/>
        </w:rPr>
      </w:pPr>
      <w:r>
        <w:rPr>
          <w:rFonts w:hint="eastAsia" w:ascii="仿宋_GB2312" w:hAnsi="宋体" w:eastAsia="仿宋_GB2312" w:cs="Times New Roman"/>
          <w:sz w:val="21"/>
          <w:szCs w:val="21"/>
          <w:highlight w:val="none"/>
        </w:rPr>
        <w:t>致：</w:t>
      </w:r>
      <w:r>
        <w:rPr>
          <w:rFonts w:hint="eastAsia" w:ascii="仿宋_GB2312" w:hAnsi="宋体" w:eastAsia="仿宋_GB2312" w:cs="Times New Roman"/>
          <w:sz w:val="21"/>
          <w:szCs w:val="21"/>
          <w:highlight w:val="none"/>
          <w:u w:val="single"/>
        </w:rPr>
        <w:t xml:space="preserve">                              </w:t>
      </w:r>
    </w:p>
    <w:p>
      <w:pPr>
        <w:adjustRightInd w:val="0"/>
        <w:snapToGrid w:val="0"/>
        <w:spacing w:line="480" w:lineRule="auto"/>
        <w:ind w:firstLine="420" w:firstLineChars="200"/>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我单位</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（制造商名称）是按</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（国家／地区名称）法律成立的一家制造商，主要营业地点设在</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（制造商地址）。兹授权按</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（国家／地区名称）的法律正式成立的，主要营业地点设在</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（投标人的单位地址）的</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（投标人名称）以我单位制造的</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（设备名称）进行</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（项目名称）投标活动。我单位同意按照中标合同供货，并对产品质量承担责任。</w:t>
      </w:r>
    </w:p>
    <w:p>
      <w:pPr>
        <w:adjustRightInd w:val="0"/>
        <w:snapToGrid w:val="0"/>
        <w:spacing w:line="480" w:lineRule="auto"/>
        <w:ind w:firstLine="420" w:firstLineChars="200"/>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授权期限：</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 xml:space="preserve"> 。</w:t>
      </w:r>
    </w:p>
    <w:p>
      <w:pPr>
        <w:adjustRightInd w:val="0"/>
        <w:snapToGrid w:val="0"/>
        <w:spacing w:line="480" w:lineRule="auto"/>
        <w:ind w:firstLine="420" w:firstLineChars="200"/>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电话： </w:t>
      </w:r>
      <w:r>
        <w:rPr>
          <w:rFonts w:hint="eastAsia" w:ascii="仿宋_GB2312" w:hAnsi="宋体" w:eastAsia="仿宋_GB2312" w:cs="Times New Roman"/>
          <w:sz w:val="21"/>
          <w:szCs w:val="21"/>
          <w:highlight w:val="none"/>
          <w:u w:val="single"/>
        </w:rPr>
        <w:t xml:space="preserve">                  </w:t>
      </w:r>
      <w:r>
        <w:rPr>
          <w:rFonts w:hint="eastAsia" w:ascii="仿宋_GB2312" w:hAnsi="宋体" w:eastAsia="仿宋_GB2312" w:cs="Times New Roman"/>
          <w:sz w:val="21"/>
          <w:szCs w:val="21"/>
          <w:highlight w:val="none"/>
        </w:rPr>
        <w:t xml:space="preserve"> 。</w:t>
      </w:r>
    </w:p>
    <w:p>
      <w:pPr>
        <w:adjustRightInd w:val="0"/>
        <w:snapToGrid w:val="0"/>
        <w:spacing w:line="480" w:lineRule="auto"/>
        <w:ind w:firstLine="420" w:firstLineChars="200"/>
        <w:rPr>
          <w:rFonts w:ascii="仿宋_GB2312" w:hAnsi="宋体" w:eastAsia="仿宋_GB2312" w:cs="Times New Roman"/>
          <w:sz w:val="21"/>
          <w:szCs w:val="21"/>
          <w:highlight w:val="none"/>
        </w:rPr>
      </w:pPr>
    </w:p>
    <w:p>
      <w:pPr>
        <w:adjustRightInd w:val="0"/>
        <w:snapToGrid w:val="0"/>
        <w:spacing w:line="480" w:lineRule="auto"/>
        <w:ind w:firstLine="420" w:firstLineChars="200"/>
        <w:rPr>
          <w:rFonts w:ascii="仿宋_GB2312" w:hAnsi="宋体" w:eastAsia="仿宋_GB2312" w:cs="Times New Roman"/>
          <w:sz w:val="21"/>
          <w:szCs w:val="21"/>
          <w:highlight w:val="none"/>
        </w:rPr>
      </w:pPr>
    </w:p>
    <w:p>
      <w:pPr>
        <w:pStyle w:val="17"/>
        <w:tabs>
          <w:tab w:val="left" w:pos="3040"/>
          <w:tab w:val="left" w:pos="4512"/>
          <w:tab w:val="left" w:pos="7572"/>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投标人名称：                （盖单位章）    制造商名称：                （盖单位章）</w:t>
      </w:r>
    </w:p>
    <w:p>
      <w:pPr>
        <w:pStyle w:val="17"/>
        <w:rPr>
          <w:rFonts w:ascii="仿宋_GB2312" w:hAnsi="宋体" w:eastAsia="仿宋_GB2312" w:cs="Times New Roman"/>
          <w:sz w:val="21"/>
          <w:szCs w:val="21"/>
          <w:highlight w:val="none"/>
        </w:rPr>
      </w:pPr>
    </w:p>
    <w:p>
      <w:pPr>
        <w:pStyle w:val="17"/>
        <w:tabs>
          <w:tab w:val="left" w:pos="4350"/>
          <w:tab w:val="left" w:pos="8758"/>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签字人职务：                                签字人职务：                </w:t>
      </w:r>
    </w:p>
    <w:p>
      <w:pPr>
        <w:pStyle w:val="18"/>
        <w:ind w:left="480"/>
        <w:rPr>
          <w:rFonts w:ascii="仿宋_GB2312" w:hAnsi="宋体" w:eastAsia="仿宋_GB2312" w:cs="Times New Roman"/>
          <w:sz w:val="21"/>
          <w:szCs w:val="21"/>
          <w:highlight w:val="none"/>
        </w:rPr>
      </w:pPr>
    </w:p>
    <w:p>
      <w:pPr>
        <w:pStyle w:val="17"/>
        <w:tabs>
          <w:tab w:val="left" w:pos="4350"/>
          <w:tab w:val="left" w:pos="8758"/>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签字人姓名：                                签字人姓名：                </w:t>
      </w:r>
    </w:p>
    <w:p>
      <w:pPr>
        <w:pStyle w:val="18"/>
        <w:ind w:left="480"/>
        <w:rPr>
          <w:rFonts w:ascii="仿宋_GB2312" w:hAnsi="宋体" w:eastAsia="仿宋_GB2312" w:cs="Times New Roman"/>
          <w:sz w:val="21"/>
          <w:szCs w:val="21"/>
          <w:highlight w:val="none"/>
        </w:rPr>
      </w:pPr>
    </w:p>
    <w:p>
      <w:pPr>
        <w:pStyle w:val="17"/>
        <w:tabs>
          <w:tab w:val="left" w:pos="4350"/>
          <w:tab w:val="left" w:pos="8758"/>
        </w:tabs>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 xml:space="preserve">签字人签名：                                签字人签名：                </w:t>
      </w:r>
    </w:p>
    <w:p>
      <w:pPr>
        <w:pStyle w:val="17"/>
        <w:tabs>
          <w:tab w:val="left" w:pos="4350"/>
          <w:tab w:val="left" w:pos="8758"/>
        </w:tabs>
        <w:rPr>
          <w:rFonts w:ascii="仿宋_GB2312" w:hAnsi="宋体" w:eastAsia="仿宋_GB2312" w:cs="Times New Roman"/>
          <w:sz w:val="21"/>
          <w:szCs w:val="21"/>
          <w:highlight w:val="none"/>
        </w:rPr>
      </w:pPr>
    </w:p>
    <w:p>
      <w:pPr>
        <w:spacing w:line="480" w:lineRule="exact"/>
        <w:rPr>
          <w:rFonts w:ascii="仿宋_GB2312" w:hAnsi="宋体" w:eastAsia="仿宋_GB2312" w:cs="Times New Roman"/>
          <w:sz w:val="21"/>
          <w:szCs w:val="21"/>
          <w:highlight w:val="none"/>
        </w:rPr>
      </w:pPr>
    </w:p>
    <w:p>
      <w:pPr>
        <w:spacing w:line="500" w:lineRule="exact"/>
        <w:jc w:val="left"/>
        <w:rPr>
          <w:rFonts w:ascii="仿宋_GB2312" w:hAnsi="宋体" w:eastAsia="仿宋_GB2312" w:cs="Times New Roman"/>
          <w:sz w:val="21"/>
          <w:szCs w:val="21"/>
          <w:highlight w:val="none"/>
        </w:rPr>
      </w:pPr>
      <w:r>
        <w:rPr>
          <w:rFonts w:hint="eastAsia" w:ascii="仿宋_GB2312" w:hAnsi="宋体" w:eastAsia="仿宋_GB2312" w:cs="Times New Roman"/>
          <w:sz w:val="21"/>
          <w:szCs w:val="21"/>
          <w:highlight w:val="none"/>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附件5：</w:t>
      </w:r>
    </w:p>
    <w:p>
      <w:pPr>
        <w:spacing w:line="5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设备配置清单</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20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Pr>
          <w:p>
            <w:pPr>
              <w:spacing w:line="5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序号</w:t>
            </w:r>
          </w:p>
        </w:tc>
        <w:tc>
          <w:tcPr>
            <w:tcW w:w="2205" w:type="dxa"/>
          </w:tcPr>
          <w:p>
            <w:pPr>
              <w:spacing w:line="5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项目</w:t>
            </w:r>
          </w:p>
        </w:tc>
        <w:tc>
          <w:tcPr>
            <w:tcW w:w="5880" w:type="dxa"/>
          </w:tcPr>
          <w:p>
            <w:pPr>
              <w:spacing w:line="5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主要技术参数及配置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040" w:type="dxa"/>
          </w:tcPr>
          <w:p>
            <w:pPr>
              <w:spacing w:line="500" w:lineRule="exact"/>
              <w:jc w:val="left"/>
              <w:rPr>
                <w:rFonts w:ascii="仿宋_GB2312" w:hAnsi="仿宋_GB2312" w:eastAsia="仿宋_GB2312" w:cs="仿宋_GB2312"/>
                <w:b/>
                <w:color w:val="000000"/>
                <w:sz w:val="30"/>
                <w:szCs w:val="30"/>
                <w:highlight w:val="none"/>
              </w:rPr>
            </w:pPr>
          </w:p>
        </w:tc>
        <w:tc>
          <w:tcPr>
            <w:tcW w:w="2205" w:type="dxa"/>
          </w:tcPr>
          <w:p>
            <w:pPr>
              <w:spacing w:line="500" w:lineRule="exact"/>
              <w:jc w:val="left"/>
              <w:rPr>
                <w:rFonts w:ascii="仿宋_GB2312" w:hAnsi="仿宋_GB2312" w:eastAsia="仿宋_GB2312" w:cs="仿宋_GB2312"/>
                <w:b/>
                <w:color w:val="000000"/>
                <w:sz w:val="30"/>
                <w:szCs w:val="30"/>
                <w:highlight w:val="none"/>
              </w:rPr>
            </w:pPr>
          </w:p>
        </w:tc>
        <w:tc>
          <w:tcPr>
            <w:tcW w:w="5880" w:type="dxa"/>
          </w:tcPr>
          <w:p>
            <w:pPr>
              <w:spacing w:line="500" w:lineRule="exact"/>
              <w:jc w:val="left"/>
              <w:rPr>
                <w:rFonts w:ascii="仿宋_GB2312" w:hAnsi="仿宋_GB2312" w:eastAsia="仿宋_GB2312" w:cs="仿宋_GB2312"/>
                <w:b/>
                <w:color w:val="000000"/>
                <w:sz w:val="30"/>
                <w:szCs w:val="30"/>
                <w:highlight w:val="none"/>
              </w:rPr>
            </w:pPr>
          </w:p>
        </w:tc>
      </w:tr>
    </w:tbl>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附件6：</w:t>
      </w:r>
    </w:p>
    <w:p>
      <w:pPr>
        <w:spacing w:line="500" w:lineRule="exact"/>
        <w:jc w:val="center"/>
        <w:rPr>
          <w:rFonts w:ascii="仿宋_GB2312" w:hAnsi="宋体" w:eastAsia="仿宋_GB2312" w:cs="Times New Roman"/>
          <w:b/>
          <w:bCs/>
          <w:sz w:val="28"/>
          <w:szCs w:val="28"/>
          <w:highlight w:val="none"/>
        </w:rPr>
      </w:pPr>
      <w:r>
        <w:rPr>
          <w:rFonts w:hint="eastAsia" w:ascii="仿宋_GB2312" w:hAnsi="宋体" w:eastAsia="仿宋_GB2312" w:cs="Times New Roman"/>
          <w:b/>
          <w:bCs/>
          <w:sz w:val="28"/>
          <w:szCs w:val="28"/>
          <w:highlight w:val="none"/>
        </w:rPr>
        <w:t>核心部件配置表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14"/>
        <w:gridCol w:w="1316"/>
        <w:gridCol w:w="840"/>
        <w:gridCol w:w="931"/>
        <w:gridCol w:w="1029"/>
        <w:gridCol w:w="1029"/>
        <w:gridCol w:w="125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14"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316"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品牌名称</w:t>
            </w:r>
          </w:p>
        </w:tc>
        <w:tc>
          <w:tcPr>
            <w:tcW w:w="840"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2989" w:type="dxa"/>
            <w:gridSpan w:val="3"/>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生产厂家</w:t>
            </w:r>
          </w:p>
        </w:tc>
        <w:tc>
          <w:tcPr>
            <w:tcW w:w="1256"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技术或工艺类型</w:t>
            </w:r>
          </w:p>
        </w:tc>
        <w:tc>
          <w:tcPr>
            <w:tcW w:w="803" w:type="dxa"/>
            <w:vMerge w:val="restart"/>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1314"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1316"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840"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931"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029"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产地</w:t>
            </w:r>
          </w:p>
        </w:tc>
        <w:tc>
          <w:tcPr>
            <w:tcW w:w="1029" w:type="dxa"/>
            <w:vAlign w:val="center"/>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电话</w:t>
            </w:r>
          </w:p>
        </w:tc>
        <w:tc>
          <w:tcPr>
            <w:tcW w:w="1256" w:type="dxa"/>
            <w:vMerge w:val="continue"/>
          </w:tcPr>
          <w:p>
            <w:pPr>
              <w:snapToGrid w:val="0"/>
              <w:spacing w:line="480" w:lineRule="exact"/>
              <w:jc w:val="center"/>
              <w:rPr>
                <w:rFonts w:ascii="仿宋_GB2312" w:hAnsi="仿宋_GB2312" w:eastAsia="仿宋_GB2312" w:cs="仿宋_GB2312"/>
                <w:sz w:val="21"/>
                <w:szCs w:val="21"/>
                <w:highlight w:val="none"/>
              </w:rPr>
            </w:pPr>
          </w:p>
        </w:tc>
        <w:tc>
          <w:tcPr>
            <w:tcW w:w="803" w:type="dxa"/>
            <w:vMerge w:val="continue"/>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314" w:type="dxa"/>
          </w:tcPr>
          <w:p>
            <w:pPr>
              <w:snapToGrid w:val="0"/>
              <w:spacing w:line="480" w:lineRule="exact"/>
              <w:jc w:val="center"/>
              <w:rPr>
                <w:rFonts w:ascii="仿宋_GB2312" w:hAnsi="仿宋_GB2312" w:eastAsia="仿宋_GB2312" w:cs="仿宋_GB2312"/>
                <w:sz w:val="21"/>
                <w:szCs w:val="21"/>
                <w:highlight w:val="none"/>
              </w:rPr>
            </w:pP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314" w:type="dxa"/>
          </w:tcPr>
          <w:p>
            <w:pPr>
              <w:snapToGrid w:val="0"/>
              <w:spacing w:line="480" w:lineRule="exact"/>
              <w:jc w:val="center"/>
              <w:rPr>
                <w:rFonts w:ascii="仿宋_GB2312" w:hAnsi="仿宋_GB2312" w:eastAsia="仿宋_GB2312" w:cs="仿宋_GB2312"/>
                <w:sz w:val="21"/>
                <w:szCs w:val="21"/>
                <w:highlight w:val="none"/>
              </w:rPr>
            </w:pP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314" w:type="dxa"/>
          </w:tcPr>
          <w:p>
            <w:pPr>
              <w:snapToGrid w:val="0"/>
              <w:spacing w:line="480" w:lineRule="exact"/>
              <w:jc w:val="center"/>
              <w:rPr>
                <w:rFonts w:ascii="仿宋_GB2312" w:hAnsi="仿宋_GB2312" w:eastAsia="仿宋_GB2312" w:cs="仿宋_GB2312"/>
                <w:sz w:val="21"/>
                <w:szCs w:val="21"/>
                <w:highlight w:val="none"/>
              </w:rPr>
            </w:pP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314" w:type="dxa"/>
          </w:tcPr>
          <w:p>
            <w:pPr>
              <w:snapToGrid w:val="0"/>
              <w:spacing w:line="480" w:lineRule="exact"/>
              <w:jc w:val="center"/>
              <w:rPr>
                <w:rFonts w:ascii="仿宋_GB2312" w:hAnsi="仿宋_GB2312" w:eastAsia="仿宋_GB2312" w:cs="仿宋_GB2312"/>
                <w:sz w:val="21"/>
                <w:szCs w:val="21"/>
                <w:highlight w:val="none"/>
              </w:rPr>
            </w:pP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31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tcPr>
          <w:p>
            <w:pPr>
              <w:snapToGrid w:val="0"/>
              <w:spacing w:line="480" w:lineRule="exact"/>
              <w:jc w:val="center"/>
              <w:rPr>
                <w:rFonts w:ascii="仿宋_GB2312" w:hAnsi="仿宋_GB2312" w:eastAsia="仿宋_GB2312" w:cs="仿宋_GB2312"/>
                <w:sz w:val="21"/>
                <w:szCs w:val="21"/>
                <w:highlight w:val="none"/>
              </w:rPr>
            </w:pPr>
          </w:p>
        </w:tc>
        <w:tc>
          <w:tcPr>
            <w:tcW w:w="840" w:type="dxa"/>
          </w:tcPr>
          <w:p>
            <w:pPr>
              <w:snapToGrid w:val="0"/>
              <w:spacing w:line="480" w:lineRule="exact"/>
              <w:jc w:val="center"/>
              <w:rPr>
                <w:rFonts w:ascii="仿宋_GB2312" w:hAnsi="仿宋_GB2312" w:eastAsia="仿宋_GB2312" w:cs="仿宋_GB2312"/>
                <w:sz w:val="21"/>
                <w:szCs w:val="21"/>
                <w:highlight w:val="none"/>
              </w:rPr>
            </w:pPr>
          </w:p>
        </w:tc>
        <w:tc>
          <w:tcPr>
            <w:tcW w:w="931"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029" w:type="dxa"/>
          </w:tcPr>
          <w:p>
            <w:pPr>
              <w:snapToGrid w:val="0"/>
              <w:spacing w:line="480" w:lineRule="exact"/>
              <w:jc w:val="center"/>
              <w:rPr>
                <w:rFonts w:ascii="仿宋_GB2312" w:hAnsi="仿宋_GB2312" w:eastAsia="仿宋_GB2312" w:cs="仿宋_GB2312"/>
                <w:sz w:val="21"/>
                <w:szCs w:val="21"/>
                <w:highlight w:val="none"/>
              </w:rPr>
            </w:pPr>
          </w:p>
        </w:tc>
        <w:tc>
          <w:tcPr>
            <w:tcW w:w="1256" w:type="dxa"/>
          </w:tcPr>
          <w:p>
            <w:pPr>
              <w:snapToGrid w:val="0"/>
              <w:spacing w:line="480" w:lineRule="exact"/>
              <w:jc w:val="center"/>
              <w:rPr>
                <w:rFonts w:ascii="仿宋_GB2312" w:hAnsi="仿宋_GB2312" w:eastAsia="仿宋_GB2312" w:cs="仿宋_GB2312"/>
                <w:sz w:val="21"/>
                <w:szCs w:val="21"/>
                <w:highlight w:val="none"/>
              </w:rPr>
            </w:pPr>
          </w:p>
        </w:tc>
        <w:tc>
          <w:tcPr>
            <w:tcW w:w="803" w:type="dxa"/>
          </w:tcPr>
          <w:p>
            <w:pPr>
              <w:snapToGrid w:val="0"/>
              <w:spacing w:line="480" w:lineRule="exact"/>
              <w:jc w:val="center"/>
              <w:rPr>
                <w:rFonts w:ascii="仿宋_GB2312" w:hAnsi="仿宋_GB2312" w:eastAsia="仿宋_GB2312" w:cs="仿宋_GB2312"/>
                <w:sz w:val="21"/>
                <w:szCs w:val="21"/>
                <w:highlight w:val="none"/>
              </w:rPr>
            </w:pPr>
          </w:p>
        </w:tc>
      </w:tr>
    </w:tbl>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附件7：</w:t>
      </w:r>
    </w:p>
    <w:p>
      <w:pPr>
        <w:spacing w:line="500" w:lineRule="exact"/>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设备主要零部件明细表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55"/>
        <w:gridCol w:w="1320"/>
        <w:gridCol w:w="810"/>
        <w:gridCol w:w="1155"/>
        <w:gridCol w:w="1110"/>
        <w:gridCol w:w="1050"/>
        <w:gridCol w:w="116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85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部位</w:t>
            </w:r>
          </w:p>
        </w:tc>
        <w:tc>
          <w:tcPr>
            <w:tcW w:w="132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零部件名称</w:t>
            </w:r>
          </w:p>
        </w:tc>
        <w:tc>
          <w:tcPr>
            <w:tcW w:w="81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品牌</w:t>
            </w:r>
          </w:p>
        </w:tc>
        <w:tc>
          <w:tcPr>
            <w:tcW w:w="115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型号</w:t>
            </w:r>
          </w:p>
        </w:tc>
        <w:tc>
          <w:tcPr>
            <w:tcW w:w="111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零部件号</w:t>
            </w:r>
          </w:p>
        </w:tc>
        <w:tc>
          <w:tcPr>
            <w:tcW w:w="105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166"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产地</w:t>
            </w:r>
          </w:p>
        </w:tc>
        <w:tc>
          <w:tcPr>
            <w:tcW w:w="1026"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Merge w:val="restart"/>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restart"/>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Merge w:val="continue"/>
          </w:tcPr>
          <w:p>
            <w:pPr>
              <w:spacing w:line="500" w:lineRule="exact"/>
              <w:jc w:val="left"/>
              <w:rPr>
                <w:rFonts w:ascii="仿宋_GB2312" w:hAnsi="仿宋_GB2312" w:eastAsia="仿宋_GB2312" w:cs="仿宋_GB2312"/>
                <w:b/>
                <w:color w:val="000000"/>
                <w:sz w:val="30"/>
                <w:szCs w:val="30"/>
                <w:highlight w:val="none"/>
              </w:rPr>
            </w:pPr>
          </w:p>
        </w:tc>
        <w:tc>
          <w:tcPr>
            <w:tcW w:w="855" w:type="dxa"/>
          </w:tcPr>
          <w:p>
            <w:pPr>
              <w:spacing w:line="500" w:lineRule="exact"/>
              <w:jc w:val="left"/>
              <w:rPr>
                <w:rFonts w:ascii="仿宋_GB2312" w:hAnsi="仿宋_GB2312" w:eastAsia="仿宋_GB2312" w:cs="仿宋_GB2312"/>
                <w:b/>
                <w:color w:val="000000"/>
                <w:sz w:val="30"/>
                <w:szCs w:val="30"/>
                <w:highlight w:val="none"/>
              </w:rPr>
            </w:pPr>
          </w:p>
        </w:tc>
        <w:tc>
          <w:tcPr>
            <w:tcW w:w="1320" w:type="dxa"/>
          </w:tcPr>
          <w:p>
            <w:pPr>
              <w:spacing w:line="500" w:lineRule="exact"/>
              <w:jc w:val="left"/>
              <w:rPr>
                <w:rFonts w:ascii="仿宋_GB2312" w:hAnsi="仿宋_GB2312" w:eastAsia="仿宋_GB2312" w:cs="仿宋_GB2312"/>
                <w:b/>
                <w:color w:val="000000"/>
                <w:sz w:val="30"/>
                <w:szCs w:val="30"/>
                <w:highlight w:val="none"/>
              </w:rPr>
            </w:pPr>
          </w:p>
        </w:tc>
        <w:tc>
          <w:tcPr>
            <w:tcW w:w="810" w:type="dxa"/>
          </w:tcPr>
          <w:p>
            <w:pPr>
              <w:spacing w:line="500" w:lineRule="exact"/>
              <w:jc w:val="left"/>
              <w:rPr>
                <w:rFonts w:ascii="仿宋_GB2312" w:hAnsi="仿宋_GB2312" w:eastAsia="仿宋_GB2312" w:cs="仿宋_GB2312"/>
                <w:b/>
                <w:color w:val="000000"/>
                <w:sz w:val="30"/>
                <w:szCs w:val="30"/>
                <w:highlight w:val="none"/>
              </w:rPr>
            </w:pPr>
          </w:p>
        </w:tc>
        <w:tc>
          <w:tcPr>
            <w:tcW w:w="1155" w:type="dxa"/>
          </w:tcPr>
          <w:p>
            <w:pPr>
              <w:spacing w:line="500" w:lineRule="exact"/>
              <w:jc w:val="left"/>
              <w:rPr>
                <w:rFonts w:ascii="仿宋_GB2312" w:hAnsi="仿宋_GB2312" w:eastAsia="仿宋_GB2312" w:cs="仿宋_GB2312"/>
                <w:b/>
                <w:color w:val="000000"/>
                <w:sz w:val="30"/>
                <w:szCs w:val="30"/>
                <w:highlight w:val="none"/>
              </w:rPr>
            </w:pPr>
          </w:p>
        </w:tc>
        <w:tc>
          <w:tcPr>
            <w:tcW w:w="1110" w:type="dxa"/>
          </w:tcPr>
          <w:p>
            <w:pPr>
              <w:spacing w:line="500" w:lineRule="exact"/>
              <w:jc w:val="left"/>
              <w:rPr>
                <w:rFonts w:ascii="仿宋_GB2312" w:hAnsi="仿宋_GB2312" w:eastAsia="仿宋_GB2312" w:cs="仿宋_GB2312"/>
                <w:b/>
                <w:color w:val="000000"/>
                <w:sz w:val="30"/>
                <w:szCs w:val="30"/>
                <w:highlight w:val="none"/>
              </w:rPr>
            </w:pPr>
          </w:p>
        </w:tc>
        <w:tc>
          <w:tcPr>
            <w:tcW w:w="1050" w:type="dxa"/>
          </w:tcPr>
          <w:p>
            <w:pPr>
              <w:spacing w:line="500" w:lineRule="exact"/>
              <w:jc w:val="left"/>
              <w:rPr>
                <w:rFonts w:ascii="仿宋_GB2312" w:hAnsi="仿宋_GB2312" w:eastAsia="仿宋_GB2312" w:cs="仿宋_GB2312"/>
                <w:b/>
                <w:color w:val="000000"/>
                <w:sz w:val="30"/>
                <w:szCs w:val="30"/>
                <w:highlight w:val="none"/>
              </w:rPr>
            </w:pPr>
          </w:p>
        </w:tc>
        <w:tc>
          <w:tcPr>
            <w:tcW w:w="1166" w:type="dxa"/>
          </w:tcPr>
          <w:p>
            <w:pPr>
              <w:spacing w:line="500" w:lineRule="exact"/>
              <w:jc w:val="left"/>
              <w:rPr>
                <w:rFonts w:ascii="仿宋_GB2312" w:hAnsi="仿宋_GB2312" w:eastAsia="仿宋_GB2312" w:cs="仿宋_GB2312"/>
                <w:b/>
                <w:color w:val="000000"/>
                <w:sz w:val="30"/>
                <w:szCs w:val="30"/>
                <w:highlight w:val="none"/>
              </w:rPr>
            </w:pPr>
          </w:p>
        </w:tc>
        <w:tc>
          <w:tcPr>
            <w:tcW w:w="1026" w:type="dxa"/>
          </w:tcPr>
          <w:p>
            <w:pPr>
              <w:spacing w:line="500" w:lineRule="exact"/>
              <w:jc w:val="left"/>
              <w:rPr>
                <w:rFonts w:ascii="仿宋_GB2312" w:hAnsi="仿宋_GB2312" w:eastAsia="仿宋_GB2312" w:cs="仿宋_GB2312"/>
                <w:b/>
                <w:color w:val="000000"/>
                <w:sz w:val="30"/>
                <w:szCs w:val="30"/>
                <w:highlight w:val="none"/>
              </w:rPr>
            </w:pPr>
          </w:p>
        </w:tc>
      </w:tr>
    </w:tbl>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宋体" w:eastAsia="仿宋_GB2312" w:cs="宋体"/>
          <w:b/>
          <w:w w:val="90"/>
          <w:highlight w:val="none"/>
        </w:rPr>
      </w:pPr>
      <w:r>
        <w:rPr>
          <w:rFonts w:hint="eastAsia" w:ascii="仿宋_GB2312" w:hAnsi="仿宋_GB2312" w:eastAsia="仿宋_GB2312" w:cs="仿宋_GB2312"/>
          <w:b/>
          <w:color w:val="000000"/>
          <w:sz w:val="30"/>
          <w:szCs w:val="30"/>
          <w:highlight w:val="none"/>
        </w:rPr>
        <w:t>附件8：</w:t>
      </w:r>
    </w:p>
    <w:p>
      <w:pPr>
        <w:pStyle w:val="2"/>
        <w:jc w:val="center"/>
        <w:rPr>
          <w:rFonts w:ascii="仿宋_GB2312" w:hAnsi="宋体" w:eastAsia="仿宋_GB2312"/>
          <w:b/>
          <w:w w:val="90"/>
          <w:sz w:val="28"/>
          <w:szCs w:val="28"/>
          <w:highlight w:val="none"/>
        </w:rPr>
      </w:pPr>
      <w:r>
        <w:rPr>
          <w:rFonts w:hint="eastAsia" w:ascii="仿宋_GB2312" w:hAnsi="宋体" w:eastAsia="仿宋_GB2312"/>
          <w:b/>
          <w:w w:val="90"/>
          <w:sz w:val="28"/>
          <w:szCs w:val="28"/>
          <w:highlight w:val="none"/>
        </w:rPr>
        <w:t>随设备备品备件一览表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12"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备品备件名称</w:t>
            </w:r>
          </w:p>
        </w:tc>
        <w:tc>
          <w:tcPr>
            <w:tcW w:w="176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2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12" w:type="dxa"/>
          </w:tcPr>
          <w:p>
            <w:pPr>
              <w:snapToGrid w:val="0"/>
              <w:spacing w:line="480" w:lineRule="exact"/>
              <w:jc w:val="center"/>
              <w:rPr>
                <w:rFonts w:ascii="仿宋_GB2312" w:hAnsi="仿宋_GB2312" w:eastAsia="仿宋_GB2312" w:cs="仿宋_GB2312"/>
                <w:sz w:val="21"/>
                <w:szCs w:val="21"/>
                <w:highlight w:val="none"/>
              </w:rPr>
            </w:pPr>
          </w:p>
        </w:tc>
        <w:tc>
          <w:tcPr>
            <w:tcW w:w="1764"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12" w:type="dxa"/>
          </w:tcPr>
          <w:p>
            <w:pPr>
              <w:snapToGrid w:val="0"/>
              <w:spacing w:line="480" w:lineRule="exact"/>
              <w:jc w:val="center"/>
              <w:rPr>
                <w:rFonts w:ascii="仿宋_GB2312" w:hAnsi="仿宋_GB2312" w:eastAsia="仿宋_GB2312" w:cs="仿宋_GB2312"/>
                <w:sz w:val="21"/>
                <w:szCs w:val="21"/>
                <w:highlight w:val="none"/>
              </w:rPr>
            </w:pPr>
          </w:p>
        </w:tc>
        <w:tc>
          <w:tcPr>
            <w:tcW w:w="1764"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12" w:type="dxa"/>
          </w:tcPr>
          <w:p>
            <w:pPr>
              <w:snapToGrid w:val="0"/>
              <w:spacing w:line="480" w:lineRule="exact"/>
              <w:jc w:val="center"/>
              <w:rPr>
                <w:rFonts w:ascii="仿宋_GB2312" w:hAnsi="仿宋_GB2312" w:eastAsia="仿宋_GB2312" w:cs="仿宋_GB2312"/>
                <w:sz w:val="21"/>
                <w:szCs w:val="21"/>
                <w:highlight w:val="none"/>
              </w:rPr>
            </w:pPr>
          </w:p>
        </w:tc>
        <w:tc>
          <w:tcPr>
            <w:tcW w:w="1764"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合计</w:t>
            </w: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24" w:type="dxa"/>
          </w:tcPr>
          <w:p>
            <w:pPr>
              <w:snapToGrid w:val="0"/>
              <w:spacing w:line="480" w:lineRule="exact"/>
              <w:jc w:val="left"/>
              <w:rPr>
                <w:rFonts w:ascii="仿宋_GB2312" w:hAnsi="仿宋_GB2312" w:eastAsia="仿宋_GB2312" w:cs="仿宋_GB2312"/>
                <w:sz w:val="21"/>
                <w:szCs w:val="21"/>
                <w:highlight w:val="none"/>
              </w:rPr>
            </w:pPr>
          </w:p>
        </w:tc>
      </w:tr>
    </w:tbl>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宋体" w:eastAsia="仿宋_GB2312" w:cs="宋体"/>
          <w:b/>
          <w:w w:val="90"/>
          <w:sz w:val="28"/>
          <w:szCs w:val="28"/>
          <w:highlight w:val="none"/>
        </w:rPr>
      </w:pPr>
      <w:r>
        <w:rPr>
          <w:rFonts w:hint="eastAsia" w:ascii="仿宋_GB2312" w:hAnsi="仿宋_GB2312" w:eastAsia="仿宋_GB2312" w:cs="仿宋_GB2312"/>
          <w:b/>
          <w:color w:val="000000"/>
          <w:sz w:val="30"/>
          <w:szCs w:val="30"/>
          <w:highlight w:val="none"/>
        </w:rPr>
        <w:t>附件9：</w:t>
      </w:r>
    </w:p>
    <w:p>
      <w:pPr>
        <w:pStyle w:val="2"/>
        <w:jc w:val="center"/>
        <w:rPr>
          <w:rFonts w:ascii="仿宋_GB2312" w:hAnsi="宋体" w:eastAsia="仿宋_GB2312"/>
          <w:b/>
          <w:w w:val="90"/>
          <w:sz w:val="28"/>
          <w:szCs w:val="28"/>
          <w:highlight w:val="none"/>
        </w:rPr>
      </w:pPr>
      <w:r>
        <w:rPr>
          <w:rFonts w:hint="eastAsia" w:ascii="仿宋_GB2312" w:hAnsi="宋体" w:eastAsia="仿宋_GB2312"/>
          <w:b/>
          <w:w w:val="90"/>
          <w:sz w:val="28"/>
          <w:szCs w:val="28"/>
          <w:highlight w:val="none"/>
        </w:rPr>
        <w:t>随设备专用工具一览表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6"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专用工具名称</w:t>
            </w:r>
          </w:p>
        </w:tc>
        <w:tc>
          <w:tcPr>
            <w:tcW w:w="172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03"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6" w:type="dxa"/>
          </w:tcPr>
          <w:p>
            <w:pPr>
              <w:snapToGrid w:val="0"/>
              <w:spacing w:line="480" w:lineRule="exact"/>
              <w:jc w:val="center"/>
              <w:rPr>
                <w:rFonts w:ascii="仿宋_GB2312" w:hAnsi="仿宋_GB2312" w:eastAsia="仿宋_GB2312" w:cs="仿宋_GB2312"/>
                <w:sz w:val="21"/>
                <w:szCs w:val="21"/>
                <w:highlight w:val="none"/>
              </w:rPr>
            </w:pPr>
          </w:p>
        </w:tc>
        <w:tc>
          <w:tcPr>
            <w:tcW w:w="1728"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6" w:type="dxa"/>
          </w:tcPr>
          <w:p>
            <w:pPr>
              <w:snapToGrid w:val="0"/>
              <w:spacing w:line="480" w:lineRule="exact"/>
              <w:jc w:val="center"/>
              <w:rPr>
                <w:rFonts w:ascii="仿宋_GB2312" w:hAnsi="仿宋_GB2312" w:eastAsia="仿宋_GB2312" w:cs="仿宋_GB2312"/>
                <w:sz w:val="21"/>
                <w:szCs w:val="21"/>
                <w:highlight w:val="none"/>
              </w:rPr>
            </w:pPr>
          </w:p>
        </w:tc>
        <w:tc>
          <w:tcPr>
            <w:tcW w:w="1728"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6" w:type="dxa"/>
          </w:tcPr>
          <w:p>
            <w:pPr>
              <w:snapToGrid w:val="0"/>
              <w:spacing w:line="480" w:lineRule="exact"/>
              <w:jc w:val="center"/>
              <w:rPr>
                <w:rFonts w:ascii="仿宋_GB2312" w:hAnsi="仿宋_GB2312" w:eastAsia="仿宋_GB2312" w:cs="仿宋_GB2312"/>
                <w:sz w:val="21"/>
                <w:szCs w:val="21"/>
                <w:highlight w:val="none"/>
              </w:rPr>
            </w:pPr>
          </w:p>
        </w:tc>
        <w:tc>
          <w:tcPr>
            <w:tcW w:w="1728" w:type="dxa"/>
          </w:tcPr>
          <w:p>
            <w:pPr>
              <w:snapToGrid w:val="0"/>
              <w:spacing w:line="480" w:lineRule="exact"/>
              <w:jc w:val="center"/>
              <w:rPr>
                <w:rFonts w:ascii="仿宋_GB2312" w:hAnsi="仿宋_GB2312" w:eastAsia="仿宋_GB2312" w:cs="仿宋_GB2312"/>
                <w:sz w:val="21"/>
                <w:szCs w:val="21"/>
                <w:highlight w:val="none"/>
              </w:rPr>
            </w:pP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合计</w:t>
            </w:r>
          </w:p>
        </w:tc>
        <w:tc>
          <w:tcPr>
            <w:tcW w:w="1644" w:type="dxa"/>
          </w:tcPr>
          <w:p>
            <w:pPr>
              <w:snapToGrid w:val="0"/>
              <w:spacing w:line="480" w:lineRule="exact"/>
              <w:jc w:val="center"/>
              <w:rPr>
                <w:rFonts w:ascii="仿宋_GB2312" w:hAnsi="仿宋_GB2312" w:eastAsia="仿宋_GB2312" w:cs="仿宋_GB2312"/>
                <w:sz w:val="21"/>
                <w:szCs w:val="21"/>
                <w:highlight w:val="none"/>
              </w:rPr>
            </w:pPr>
          </w:p>
        </w:tc>
        <w:tc>
          <w:tcPr>
            <w:tcW w:w="1703" w:type="dxa"/>
          </w:tcPr>
          <w:p>
            <w:pPr>
              <w:snapToGrid w:val="0"/>
              <w:spacing w:line="480" w:lineRule="exact"/>
              <w:jc w:val="center"/>
              <w:rPr>
                <w:rFonts w:ascii="仿宋_GB2312" w:hAnsi="仿宋_GB2312" w:eastAsia="仿宋_GB2312" w:cs="仿宋_GB2312"/>
                <w:sz w:val="21"/>
                <w:szCs w:val="21"/>
                <w:highlight w:val="none"/>
              </w:rPr>
            </w:pPr>
          </w:p>
        </w:tc>
      </w:tr>
    </w:tbl>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仿宋_GB2312" w:eastAsia="仿宋_GB2312" w:cs="仿宋_GB2312"/>
          <w:b/>
          <w:color w:val="000000"/>
          <w:sz w:val="30"/>
          <w:szCs w:val="30"/>
          <w:highlight w:val="none"/>
        </w:rPr>
      </w:pPr>
    </w:p>
    <w:p>
      <w:pPr>
        <w:spacing w:line="500" w:lineRule="exact"/>
        <w:jc w:val="left"/>
        <w:rPr>
          <w:rFonts w:ascii="仿宋_GB2312" w:hAnsi="宋体" w:eastAsia="仿宋_GB2312" w:cs="宋体"/>
          <w:b/>
          <w:w w:val="90"/>
          <w:sz w:val="28"/>
          <w:szCs w:val="28"/>
          <w:highlight w:val="none"/>
        </w:rPr>
      </w:pPr>
      <w:r>
        <w:rPr>
          <w:rFonts w:hint="eastAsia" w:ascii="仿宋_GB2312" w:hAnsi="仿宋_GB2312" w:eastAsia="仿宋_GB2312" w:cs="仿宋_GB2312"/>
          <w:b/>
          <w:color w:val="000000"/>
          <w:sz w:val="30"/>
          <w:szCs w:val="30"/>
          <w:highlight w:val="none"/>
        </w:rPr>
        <w:t>附件10：</w:t>
      </w:r>
    </w:p>
    <w:p>
      <w:pPr>
        <w:shd w:val="clear" w:color="auto" w:fill="FFFFFF"/>
        <w:snapToGrid w:val="0"/>
        <w:spacing w:line="480" w:lineRule="exact"/>
        <w:jc w:val="center"/>
        <w:rPr>
          <w:rFonts w:ascii="仿宋_GB2312" w:hAnsi="宋体" w:eastAsia="仿宋_GB2312"/>
          <w:highlight w:val="none"/>
        </w:rPr>
      </w:pPr>
      <w:r>
        <w:rPr>
          <w:rFonts w:hint="eastAsia" w:ascii="仿宋_GB2312" w:hAnsi="宋体" w:eastAsia="仿宋_GB2312"/>
          <w:b/>
          <w:bCs/>
          <w:sz w:val="28"/>
          <w:szCs w:val="28"/>
          <w:highlight w:val="none"/>
        </w:rPr>
        <w:t>随设备提供的技术资料或图纸一览表</w:t>
      </w:r>
      <w:r>
        <w:rPr>
          <w:rFonts w:ascii="仿宋_GB2312" w:hAnsi="宋体" w:eastAsia="仿宋_GB2312"/>
          <w:highlight w:val="non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9"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技术图纸</w:t>
            </w:r>
          </w:p>
        </w:tc>
        <w:tc>
          <w:tcPr>
            <w:tcW w:w="1689"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主要内容</w:t>
            </w:r>
          </w:p>
        </w:tc>
        <w:tc>
          <w:tcPr>
            <w:tcW w:w="1689"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690"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90"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90" w:type="dxa"/>
          </w:tcPr>
          <w:p>
            <w:pPr>
              <w:snapToGrid w:val="0"/>
              <w:spacing w:line="480" w:lineRule="exact"/>
              <w:jc w:val="center"/>
              <w:rPr>
                <w:rFonts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tcPr>
          <w:p>
            <w:pPr>
              <w:snapToGrid w:val="0"/>
              <w:spacing w:line="48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89" w:type="dxa"/>
          </w:tcPr>
          <w:p>
            <w:pPr>
              <w:snapToGrid w:val="0"/>
              <w:spacing w:line="480" w:lineRule="exact"/>
              <w:jc w:val="center"/>
              <w:rPr>
                <w:rFonts w:ascii="仿宋_GB2312" w:hAnsi="仿宋_GB2312" w:eastAsia="仿宋_GB2312" w:cs="仿宋_GB2312"/>
                <w:sz w:val="21"/>
                <w:szCs w:val="21"/>
                <w:highlight w:val="none"/>
              </w:rPr>
            </w:pPr>
          </w:p>
        </w:tc>
        <w:tc>
          <w:tcPr>
            <w:tcW w:w="1690" w:type="dxa"/>
          </w:tcPr>
          <w:p>
            <w:pPr>
              <w:snapToGrid w:val="0"/>
              <w:spacing w:line="480" w:lineRule="exact"/>
              <w:jc w:val="center"/>
              <w:rPr>
                <w:rFonts w:ascii="仿宋_GB2312" w:hAnsi="仿宋_GB2312" w:eastAsia="仿宋_GB2312" w:cs="仿宋_GB2312"/>
                <w:sz w:val="21"/>
                <w:szCs w:val="21"/>
                <w:highlight w:val="none"/>
              </w:rPr>
            </w:pPr>
          </w:p>
        </w:tc>
      </w:tr>
    </w:tbl>
    <w:p>
      <w:pPr>
        <w:spacing w:line="500" w:lineRule="exact"/>
        <w:jc w:val="left"/>
        <w:rPr>
          <w:rFonts w:ascii="仿宋_GB2312" w:hAnsi="宋体" w:eastAsia="仿宋_GB2312" w:cs="宋体"/>
          <w:b/>
          <w:sz w:val="28"/>
          <w:szCs w:val="28"/>
          <w:highlight w:val="none"/>
        </w:rPr>
      </w:pPr>
    </w:p>
    <w:p>
      <w:pPr>
        <w:spacing w:line="500" w:lineRule="exact"/>
        <w:jc w:val="left"/>
        <w:rPr>
          <w:rFonts w:ascii="仿宋_GB2312" w:hAnsi="宋体" w:eastAsia="仿宋_GB2312" w:cs="宋体"/>
          <w:b/>
          <w:sz w:val="28"/>
          <w:szCs w:val="28"/>
          <w:highlight w:val="none"/>
        </w:rPr>
      </w:pPr>
    </w:p>
    <w:p>
      <w:pPr>
        <w:spacing w:line="360" w:lineRule="exact"/>
        <w:jc w:val="left"/>
        <w:rPr>
          <w:rFonts w:ascii="宋体" w:hAnsi="宋体"/>
          <w:b/>
          <w:szCs w:val="21"/>
          <w:highlight w:val="none"/>
        </w:rPr>
      </w:pPr>
    </w:p>
    <w:p>
      <w:pPr>
        <w:rPr>
          <w:highlight w:val="none"/>
        </w:rPr>
      </w:pPr>
    </w:p>
    <w:p>
      <w:pPr>
        <w:rPr>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749A150"/>
    <w:multiLevelType w:val="singleLevel"/>
    <w:tmpl w:val="1749A150"/>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TMzMWRiM2JkODFhODE1NjdkZjEwNGRhYWFmODIifQ=="/>
  </w:docVars>
  <w:rsids>
    <w:rsidRoot w:val="00172A27"/>
    <w:rsid w:val="000E173D"/>
    <w:rsid w:val="001605F2"/>
    <w:rsid w:val="00161603"/>
    <w:rsid w:val="00171583"/>
    <w:rsid w:val="00172A27"/>
    <w:rsid w:val="001730E6"/>
    <w:rsid w:val="001D4DCC"/>
    <w:rsid w:val="00256D16"/>
    <w:rsid w:val="002C04FA"/>
    <w:rsid w:val="002D4BDF"/>
    <w:rsid w:val="003077A0"/>
    <w:rsid w:val="003757A4"/>
    <w:rsid w:val="00376424"/>
    <w:rsid w:val="00382E2D"/>
    <w:rsid w:val="0038439B"/>
    <w:rsid w:val="003D4EFB"/>
    <w:rsid w:val="003F7510"/>
    <w:rsid w:val="004B7870"/>
    <w:rsid w:val="004C523F"/>
    <w:rsid w:val="00545EB9"/>
    <w:rsid w:val="005819E7"/>
    <w:rsid w:val="005A307B"/>
    <w:rsid w:val="005F6BCD"/>
    <w:rsid w:val="0061604E"/>
    <w:rsid w:val="006302F4"/>
    <w:rsid w:val="0075752D"/>
    <w:rsid w:val="007A6FBC"/>
    <w:rsid w:val="007E14C8"/>
    <w:rsid w:val="00852193"/>
    <w:rsid w:val="00853EE7"/>
    <w:rsid w:val="008D7C4D"/>
    <w:rsid w:val="00922436"/>
    <w:rsid w:val="009B04CE"/>
    <w:rsid w:val="00A41182"/>
    <w:rsid w:val="00A763A3"/>
    <w:rsid w:val="00A96235"/>
    <w:rsid w:val="00AA523E"/>
    <w:rsid w:val="00AE28D2"/>
    <w:rsid w:val="00B156F4"/>
    <w:rsid w:val="00B266A5"/>
    <w:rsid w:val="00B272ED"/>
    <w:rsid w:val="00B70FD7"/>
    <w:rsid w:val="00B83162"/>
    <w:rsid w:val="00C15F48"/>
    <w:rsid w:val="00C54FE8"/>
    <w:rsid w:val="00C71788"/>
    <w:rsid w:val="00C7426B"/>
    <w:rsid w:val="00C742FB"/>
    <w:rsid w:val="00C75AE1"/>
    <w:rsid w:val="00CB6C36"/>
    <w:rsid w:val="00CC1660"/>
    <w:rsid w:val="00CF0028"/>
    <w:rsid w:val="00D54851"/>
    <w:rsid w:val="00DA3D3D"/>
    <w:rsid w:val="00F94EF2"/>
    <w:rsid w:val="012924DB"/>
    <w:rsid w:val="056664AF"/>
    <w:rsid w:val="095154A5"/>
    <w:rsid w:val="0D1F2997"/>
    <w:rsid w:val="101A2510"/>
    <w:rsid w:val="11A32618"/>
    <w:rsid w:val="12F01208"/>
    <w:rsid w:val="14791F88"/>
    <w:rsid w:val="19E30AF9"/>
    <w:rsid w:val="20E856CD"/>
    <w:rsid w:val="27FA0805"/>
    <w:rsid w:val="28985172"/>
    <w:rsid w:val="291674C1"/>
    <w:rsid w:val="2A3F7737"/>
    <w:rsid w:val="2BD55F43"/>
    <w:rsid w:val="2CF943AA"/>
    <w:rsid w:val="2D261C54"/>
    <w:rsid w:val="2D82374E"/>
    <w:rsid w:val="2FDB2478"/>
    <w:rsid w:val="31E92C6D"/>
    <w:rsid w:val="352170DE"/>
    <w:rsid w:val="35E9781B"/>
    <w:rsid w:val="365A4EFF"/>
    <w:rsid w:val="3BE95A3B"/>
    <w:rsid w:val="3DB650EC"/>
    <w:rsid w:val="3F626064"/>
    <w:rsid w:val="3F6A5456"/>
    <w:rsid w:val="462A3522"/>
    <w:rsid w:val="46B06807"/>
    <w:rsid w:val="471B48D4"/>
    <w:rsid w:val="47502D96"/>
    <w:rsid w:val="479B71B8"/>
    <w:rsid w:val="4AA002BD"/>
    <w:rsid w:val="4D1163FA"/>
    <w:rsid w:val="4D6C0FAE"/>
    <w:rsid w:val="4D916A71"/>
    <w:rsid w:val="4E3C2676"/>
    <w:rsid w:val="51A6338C"/>
    <w:rsid w:val="54F03155"/>
    <w:rsid w:val="55FF082E"/>
    <w:rsid w:val="5643459C"/>
    <w:rsid w:val="576B681E"/>
    <w:rsid w:val="5A1F1F8B"/>
    <w:rsid w:val="5A321D46"/>
    <w:rsid w:val="5AA00849"/>
    <w:rsid w:val="5D266D2E"/>
    <w:rsid w:val="60B97EFA"/>
    <w:rsid w:val="66A971B9"/>
    <w:rsid w:val="66EB3570"/>
    <w:rsid w:val="6A9A1E13"/>
    <w:rsid w:val="6D291554"/>
    <w:rsid w:val="6D4A0A0D"/>
    <w:rsid w:val="702F4447"/>
    <w:rsid w:val="71405E63"/>
    <w:rsid w:val="729900F3"/>
    <w:rsid w:val="73B37B09"/>
    <w:rsid w:val="73D80BF9"/>
    <w:rsid w:val="73E22BBD"/>
    <w:rsid w:val="749809E1"/>
    <w:rsid w:val="74C70477"/>
    <w:rsid w:val="75E2505E"/>
    <w:rsid w:val="7A3732F7"/>
    <w:rsid w:val="7E9A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5"/>
    <w:link w:val="44"/>
    <w:qFormat/>
    <w:uiPriority w:val="0"/>
    <w:pPr>
      <w:keepNext/>
      <w:keepLines/>
      <w:tabs>
        <w:tab w:val="left" w:pos="840"/>
        <w:tab w:val="left" w:pos="2291"/>
      </w:tabs>
      <w:spacing w:before="260" w:after="260" w:line="416" w:lineRule="auto"/>
      <w:ind w:left="840" w:hanging="420"/>
      <w:outlineLvl w:val="1"/>
    </w:pPr>
    <w:rPr>
      <w:rFonts w:ascii="Arial" w:hAnsi="Arial" w:eastAsia="黑体" w:cs="Times New Roman"/>
      <w:b/>
      <w:sz w:val="32"/>
      <w:szCs w:val="20"/>
    </w:rPr>
  </w:style>
  <w:style w:type="paragraph" w:styleId="6">
    <w:name w:val="heading 3"/>
    <w:basedOn w:val="1"/>
    <w:next w:val="1"/>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5"/>
    <w:link w:val="45"/>
    <w:qFormat/>
    <w:uiPriority w:val="0"/>
    <w:pPr>
      <w:keepNext/>
      <w:keepLines/>
      <w:tabs>
        <w:tab w:val="left" w:pos="2100"/>
        <w:tab w:val="left" w:pos="3827"/>
      </w:tabs>
      <w:spacing w:before="280" w:after="290" w:line="376" w:lineRule="auto"/>
      <w:ind w:left="2100" w:hanging="420"/>
      <w:outlineLvl w:val="4"/>
    </w:pPr>
    <w:rPr>
      <w:rFonts w:ascii="Times New Roman" w:hAnsi="Times New Roman" w:eastAsia="宋体" w:cs="Times New Roman"/>
      <w:b/>
      <w:sz w:val="28"/>
      <w:szCs w:val="20"/>
    </w:rPr>
  </w:style>
  <w:style w:type="paragraph" w:styleId="9">
    <w:name w:val="heading 6"/>
    <w:basedOn w:val="1"/>
    <w:next w:val="5"/>
    <w:link w:val="46"/>
    <w:qFormat/>
    <w:uiPriority w:val="0"/>
    <w:pPr>
      <w:keepNext/>
      <w:keepLines/>
      <w:tabs>
        <w:tab w:val="left" w:pos="2520"/>
        <w:tab w:val="left" w:pos="4677"/>
      </w:tabs>
      <w:spacing w:before="240" w:after="64" w:line="320" w:lineRule="auto"/>
      <w:ind w:left="2520" w:hanging="420"/>
      <w:outlineLvl w:val="5"/>
    </w:pPr>
    <w:rPr>
      <w:rFonts w:ascii="Arial" w:hAnsi="Arial" w:eastAsia="黑体" w:cs="Times New Roman"/>
      <w:b/>
      <w:szCs w:val="20"/>
    </w:rPr>
  </w:style>
  <w:style w:type="paragraph" w:styleId="10">
    <w:name w:val="heading 7"/>
    <w:basedOn w:val="1"/>
    <w:next w:val="5"/>
    <w:link w:val="47"/>
    <w:qFormat/>
    <w:uiPriority w:val="0"/>
    <w:pPr>
      <w:keepNext/>
      <w:keepLines/>
      <w:tabs>
        <w:tab w:val="left" w:pos="2940"/>
        <w:tab w:val="left" w:pos="5528"/>
      </w:tabs>
      <w:spacing w:before="240" w:after="64" w:line="320" w:lineRule="auto"/>
      <w:ind w:left="2940" w:hanging="420"/>
      <w:outlineLvl w:val="6"/>
    </w:pPr>
    <w:rPr>
      <w:rFonts w:ascii="Times New Roman" w:hAnsi="Times New Roman" w:eastAsia="宋体" w:cs="Times New Roman"/>
      <w:b/>
      <w:szCs w:val="20"/>
    </w:rPr>
  </w:style>
  <w:style w:type="paragraph" w:styleId="11">
    <w:name w:val="heading 8"/>
    <w:basedOn w:val="1"/>
    <w:next w:val="5"/>
    <w:link w:val="48"/>
    <w:qFormat/>
    <w:uiPriority w:val="0"/>
    <w:pPr>
      <w:keepNext/>
      <w:keepLines/>
      <w:tabs>
        <w:tab w:val="left" w:pos="3360"/>
        <w:tab w:val="left" w:pos="6378"/>
      </w:tabs>
      <w:spacing w:before="240" w:after="64" w:line="320" w:lineRule="auto"/>
      <w:ind w:left="3360" w:hanging="420"/>
      <w:outlineLvl w:val="7"/>
    </w:pPr>
    <w:rPr>
      <w:rFonts w:ascii="Arial" w:hAnsi="Arial" w:eastAsia="黑体" w:cs="Times New Roman"/>
      <w:szCs w:val="20"/>
    </w:rPr>
  </w:style>
  <w:style w:type="paragraph" w:styleId="12">
    <w:name w:val="heading 9"/>
    <w:basedOn w:val="1"/>
    <w:next w:val="5"/>
    <w:link w:val="49"/>
    <w:qFormat/>
    <w:uiPriority w:val="0"/>
    <w:pPr>
      <w:keepNext/>
      <w:keepLines/>
      <w:tabs>
        <w:tab w:val="left" w:pos="3780"/>
        <w:tab w:val="left" w:pos="7228"/>
      </w:tabs>
      <w:spacing w:before="240" w:after="64" w:line="320" w:lineRule="auto"/>
      <w:ind w:left="3780" w:hanging="420"/>
      <w:outlineLvl w:val="8"/>
    </w:pPr>
    <w:rPr>
      <w:rFonts w:ascii="Arial" w:hAnsi="Arial" w:eastAsia="黑体" w:cs="Times New Roman"/>
      <w:sz w:val="21"/>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3"/>
    <w:qFormat/>
    <w:uiPriority w:val="99"/>
    <w:rPr>
      <w:rFonts w:ascii="宋体" w:hAnsi="Courier New" w:eastAsia="宋体" w:cs="宋体"/>
      <w:kern w:val="44"/>
      <w:sz w:val="21"/>
      <w:szCs w:val="21"/>
    </w:rPr>
  </w:style>
  <w:style w:type="paragraph" w:styleId="5">
    <w:name w:val="Normal Indent"/>
    <w:basedOn w:val="1"/>
    <w:qFormat/>
    <w:uiPriority w:val="0"/>
    <w:pPr>
      <w:ind w:firstLine="420"/>
    </w:pPr>
    <w:rPr>
      <w:rFonts w:ascii="Times New Roman" w:hAnsi="Times New Roman" w:eastAsia="宋体" w:cs="Times New Roman"/>
      <w:sz w:val="21"/>
      <w:szCs w:val="20"/>
    </w:rPr>
  </w:style>
  <w:style w:type="paragraph" w:styleId="13">
    <w:name w:val="toc 7"/>
    <w:basedOn w:val="1"/>
    <w:next w:val="1"/>
    <w:qFormat/>
    <w:uiPriority w:val="0"/>
    <w:pPr>
      <w:ind w:left="1680"/>
      <w:jc w:val="left"/>
    </w:pPr>
    <w:rPr>
      <w:rFonts w:ascii="宋体" w:hAnsi="宋体" w:eastAsia="宋体" w:cs="宋体"/>
      <w:kern w:val="44"/>
      <w:sz w:val="18"/>
      <w:szCs w:val="18"/>
    </w:rPr>
  </w:style>
  <w:style w:type="paragraph" w:styleId="14">
    <w:name w:val="annotation text"/>
    <w:basedOn w:val="1"/>
    <w:link w:val="51"/>
    <w:unhideWhenUsed/>
    <w:qFormat/>
    <w:uiPriority w:val="99"/>
    <w:pPr>
      <w:jc w:val="left"/>
    </w:pPr>
    <w:rPr>
      <w:rFonts w:ascii="Times New Roman" w:hAnsi="Times New Roman" w:eastAsia="宋体" w:cs="Times New Roman"/>
      <w:sz w:val="21"/>
    </w:rPr>
  </w:style>
  <w:style w:type="paragraph" w:styleId="15">
    <w:name w:val="Salutation"/>
    <w:basedOn w:val="1"/>
    <w:next w:val="1"/>
    <w:link w:val="52"/>
    <w:qFormat/>
    <w:uiPriority w:val="99"/>
    <w:pPr>
      <w:spacing w:before="100" w:after="100"/>
    </w:pPr>
    <w:rPr>
      <w:rFonts w:ascii="Times New Roman" w:hAnsi="Times New Roman" w:eastAsia="宋体" w:cs="Times New Roman"/>
      <w:kern w:val="0"/>
    </w:rPr>
  </w:style>
  <w:style w:type="paragraph" w:styleId="16">
    <w:name w:val="Body Text 3"/>
    <w:basedOn w:val="1"/>
    <w:link w:val="53"/>
    <w:qFormat/>
    <w:uiPriority w:val="0"/>
    <w:pPr>
      <w:jc w:val="left"/>
    </w:pPr>
    <w:rPr>
      <w:rFonts w:ascii="宋体" w:hAnsi="宋体" w:eastAsia="宋体" w:cs="Times New Roman"/>
      <w:sz w:val="21"/>
    </w:rPr>
  </w:style>
  <w:style w:type="paragraph" w:styleId="17">
    <w:name w:val="Body Text"/>
    <w:basedOn w:val="1"/>
    <w:next w:val="18"/>
    <w:unhideWhenUsed/>
    <w:qFormat/>
    <w:uiPriority w:val="0"/>
    <w:pPr>
      <w:spacing w:after="120"/>
    </w:pPr>
    <w:rPr>
      <w:rFonts w:ascii="Times New Roman" w:hAnsi="Times New Roman"/>
      <w:szCs w:val="20"/>
    </w:rPr>
  </w:style>
  <w:style w:type="paragraph" w:styleId="18">
    <w:name w:val="Body Text 2"/>
    <w:basedOn w:val="1"/>
    <w:next w:val="1"/>
    <w:qFormat/>
    <w:uiPriority w:val="0"/>
    <w:rPr>
      <w:sz w:val="28"/>
      <w:szCs w:val="20"/>
    </w:rPr>
  </w:style>
  <w:style w:type="paragraph" w:styleId="19">
    <w:name w:val="Body Text Indent"/>
    <w:basedOn w:val="1"/>
    <w:qFormat/>
    <w:uiPriority w:val="0"/>
    <w:pPr>
      <w:spacing w:after="120"/>
      <w:ind w:left="420" w:leftChars="200"/>
    </w:pPr>
    <w:rPr>
      <w:rFonts w:ascii="宋体" w:hAnsi="宋体" w:eastAsia="宋体" w:cs="宋体"/>
      <w:kern w:val="44"/>
      <w:sz w:val="28"/>
      <w:szCs w:val="28"/>
    </w:rPr>
  </w:style>
  <w:style w:type="paragraph" w:styleId="20">
    <w:name w:val="Block Text"/>
    <w:basedOn w:val="1"/>
    <w:qFormat/>
    <w:uiPriority w:val="0"/>
    <w:pPr>
      <w:spacing w:line="360" w:lineRule="auto"/>
      <w:ind w:left="-340" w:leftChars="-162" w:right="27" w:rightChars="13" w:firstLine="480" w:firstLineChars="200"/>
    </w:pPr>
    <w:rPr>
      <w:rFonts w:ascii="宋体" w:hAnsi="宋体"/>
    </w:rPr>
  </w:style>
  <w:style w:type="paragraph" w:styleId="21">
    <w:name w:val="Date"/>
    <w:basedOn w:val="1"/>
    <w:next w:val="1"/>
    <w:link w:val="54"/>
    <w:qFormat/>
    <w:uiPriority w:val="0"/>
    <w:pPr>
      <w:ind w:left="100" w:leftChars="2500"/>
    </w:pPr>
    <w:rPr>
      <w:rFonts w:ascii="Times New Roman" w:hAnsi="Times New Roman" w:eastAsia="宋体" w:cs="Times New Roman"/>
      <w:sz w:val="21"/>
      <w:szCs w:val="20"/>
    </w:rPr>
  </w:style>
  <w:style w:type="paragraph" w:styleId="22">
    <w:name w:val="Body Text Indent 2"/>
    <w:basedOn w:val="1"/>
    <w:link w:val="50"/>
    <w:qFormat/>
    <w:uiPriority w:val="0"/>
    <w:pPr>
      <w:spacing w:after="120" w:line="480" w:lineRule="auto"/>
      <w:ind w:left="420" w:leftChars="200"/>
    </w:pPr>
  </w:style>
  <w:style w:type="paragraph" w:styleId="23">
    <w:name w:val="Balloon Text"/>
    <w:basedOn w:val="1"/>
    <w:link w:val="55"/>
    <w:unhideWhenUsed/>
    <w:qFormat/>
    <w:uiPriority w:val="99"/>
    <w:rPr>
      <w:rFonts w:ascii="Times New Roman" w:hAnsi="Times New Roman" w:eastAsia="宋体" w:cs="Times New Roman"/>
      <w:sz w:val="18"/>
      <w:szCs w:val="18"/>
    </w:rPr>
  </w:style>
  <w:style w:type="paragraph" w:styleId="24">
    <w:name w:val="footer"/>
    <w:basedOn w:val="1"/>
    <w:unhideWhenUsed/>
    <w:qFormat/>
    <w:uiPriority w:val="0"/>
    <w:pPr>
      <w:tabs>
        <w:tab w:val="center" w:pos="4153"/>
        <w:tab w:val="right" w:pos="8306"/>
      </w:tabs>
      <w:snapToGrid w:val="0"/>
      <w:jc w:val="left"/>
    </w:pPr>
    <w:rPr>
      <w:sz w:val="18"/>
      <w:szCs w:val="18"/>
    </w:rPr>
  </w:style>
  <w:style w:type="paragraph" w:styleId="25">
    <w:name w:val="header"/>
    <w:basedOn w:val="1"/>
    <w:link w:val="56"/>
    <w:qFormat/>
    <w:uiPriority w:val="99"/>
    <w:pPr>
      <w:tabs>
        <w:tab w:val="center" w:pos="4153"/>
        <w:tab w:val="right" w:pos="8306"/>
      </w:tabs>
      <w:snapToGrid w:val="0"/>
    </w:pPr>
    <w:rPr>
      <w:rFonts w:ascii="Times New Roman" w:hAnsi="Times New Roman"/>
      <w:sz w:val="18"/>
      <w:szCs w:val="20"/>
    </w:rPr>
  </w:style>
  <w:style w:type="paragraph" w:styleId="26">
    <w:name w:val="Body Text Indent 3"/>
    <w:basedOn w:val="1"/>
    <w:link w:val="57"/>
    <w:qFormat/>
    <w:uiPriority w:val="0"/>
    <w:pPr>
      <w:ind w:left="735"/>
    </w:pPr>
    <w:rPr>
      <w:rFonts w:ascii="宋体" w:hAnsi="Times New Roman" w:eastAsia="宋体" w:cs="Times New Roman"/>
      <w:szCs w:val="20"/>
    </w:rPr>
  </w:style>
  <w:style w:type="paragraph" w:styleId="2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28">
    <w:name w:val="Normal (Web)"/>
    <w:basedOn w:val="1"/>
    <w:qFormat/>
    <w:uiPriority w:val="99"/>
    <w:pPr>
      <w:widowControl/>
      <w:spacing w:before="300" w:after="300"/>
      <w:jc w:val="left"/>
    </w:pPr>
    <w:rPr>
      <w:rFonts w:ascii="宋体" w:hAnsi="宋体" w:eastAsia="宋体" w:cs="宋体"/>
      <w:kern w:val="0"/>
    </w:rPr>
  </w:style>
  <w:style w:type="paragraph" w:styleId="29">
    <w:name w:val="annotation subject"/>
    <w:basedOn w:val="14"/>
    <w:next w:val="14"/>
    <w:link w:val="58"/>
    <w:unhideWhenUsed/>
    <w:qFormat/>
    <w:uiPriority w:val="99"/>
    <w:rPr>
      <w:b/>
      <w:bCs/>
    </w:rPr>
  </w:style>
  <w:style w:type="paragraph" w:styleId="30">
    <w:name w:val="Body Text First Indent 2"/>
    <w:basedOn w:val="19"/>
    <w:unhideWhenUsed/>
    <w:qFormat/>
    <w:uiPriority w:val="0"/>
    <w:pPr>
      <w:ind w:firstLine="420" w:firstLineChars="200"/>
    </w:pPr>
    <w:rPr>
      <w:rFonts w:ascii="Times New Roman" w:hAnsi="Times New Roman" w:cs="Times New Roman"/>
      <w:kern w:val="2"/>
      <w:sz w:val="21"/>
      <w:szCs w:val="2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99"/>
    <w:rPr>
      <w:rFonts w:cs="Times New Roman"/>
    </w:rPr>
  </w:style>
  <w:style w:type="character" w:styleId="35">
    <w:name w:val="Emphasis"/>
    <w:qFormat/>
    <w:uiPriority w:val="20"/>
    <w:rPr>
      <w:color w:val="CC0000"/>
    </w:rPr>
  </w:style>
  <w:style w:type="character" w:styleId="36">
    <w:name w:val="Hyperlink"/>
    <w:qFormat/>
    <w:uiPriority w:val="0"/>
    <w:rPr>
      <w:color w:val="0000FF"/>
      <w:u w:val="single"/>
    </w:rPr>
  </w:style>
  <w:style w:type="character" w:styleId="37">
    <w:name w:val="annotation reference"/>
    <w:qFormat/>
    <w:uiPriority w:val="0"/>
    <w:rPr>
      <w:sz w:val="21"/>
    </w:rPr>
  </w:style>
  <w:style w:type="paragraph" w:customStyle="1" w:styleId="3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39">
    <w:name w:val="样式 标题 3 + (中文) 黑体 小四 非加粗 段前: 7.8 磅 段后: 0 磅 行距: 固定值 20 磅"/>
    <w:basedOn w:val="6"/>
    <w:next w:val="40"/>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40">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41">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paragraph" w:customStyle="1" w:styleId="42">
    <w:name w:val="Default"/>
    <w:next w:val="1"/>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character" w:customStyle="1" w:styleId="43">
    <w:name w:val="纯文本 字符"/>
    <w:basedOn w:val="33"/>
    <w:link w:val="2"/>
    <w:qFormat/>
    <w:locked/>
    <w:uiPriority w:val="99"/>
    <w:rPr>
      <w:rFonts w:ascii="宋体" w:hAnsi="Courier New" w:eastAsia="宋体" w:cs="宋体"/>
      <w:kern w:val="44"/>
      <w:sz w:val="21"/>
      <w:szCs w:val="21"/>
    </w:rPr>
  </w:style>
  <w:style w:type="character" w:customStyle="1" w:styleId="44">
    <w:name w:val="标题 2 字符"/>
    <w:basedOn w:val="33"/>
    <w:link w:val="4"/>
    <w:qFormat/>
    <w:uiPriority w:val="0"/>
    <w:rPr>
      <w:rFonts w:ascii="Arial" w:hAnsi="Arial" w:eastAsia="黑体" w:cs="Times New Roman"/>
      <w:b/>
      <w:kern w:val="2"/>
      <w:sz w:val="32"/>
    </w:rPr>
  </w:style>
  <w:style w:type="character" w:customStyle="1" w:styleId="45">
    <w:name w:val="标题 5 字符"/>
    <w:basedOn w:val="33"/>
    <w:link w:val="8"/>
    <w:qFormat/>
    <w:uiPriority w:val="0"/>
    <w:rPr>
      <w:rFonts w:ascii="Times New Roman" w:hAnsi="Times New Roman" w:eastAsia="宋体" w:cs="Times New Roman"/>
      <w:b/>
      <w:kern w:val="2"/>
      <w:sz w:val="28"/>
    </w:rPr>
  </w:style>
  <w:style w:type="character" w:customStyle="1" w:styleId="46">
    <w:name w:val="标题 6 字符"/>
    <w:basedOn w:val="33"/>
    <w:link w:val="9"/>
    <w:qFormat/>
    <w:uiPriority w:val="0"/>
    <w:rPr>
      <w:rFonts w:ascii="Arial" w:hAnsi="Arial" w:eastAsia="黑体" w:cs="Times New Roman"/>
      <w:b/>
      <w:kern w:val="2"/>
      <w:sz w:val="24"/>
    </w:rPr>
  </w:style>
  <w:style w:type="character" w:customStyle="1" w:styleId="47">
    <w:name w:val="标题 7 字符"/>
    <w:basedOn w:val="33"/>
    <w:link w:val="10"/>
    <w:qFormat/>
    <w:uiPriority w:val="0"/>
    <w:rPr>
      <w:rFonts w:ascii="Times New Roman" w:hAnsi="Times New Roman" w:eastAsia="宋体" w:cs="Times New Roman"/>
      <w:b/>
      <w:kern w:val="2"/>
      <w:sz w:val="24"/>
    </w:rPr>
  </w:style>
  <w:style w:type="character" w:customStyle="1" w:styleId="48">
    <w:name w:val="标题 8 字符"/>
    <w:basedOn w:val="33"/>
    <w:link w:val="11"/>
    <w:qFormat/>
    <w:uiPriority w:val="0"/>
    <w:rPr>
      <w:rFonts w:ascii="Arial" w:hAnsi="Arial" w:eastAsia="黑体" w:cs="Times New Roman"/>
      <w:kern w:val="2"/>
      <w:sz w:val="24"/>
    </w:rPr>
  </w:style>
  <w:style w:type="character" w:customStyle="1" w:styleId="49">
    <w:name w:val="标题 9 字符"/>
    <w:basedOn w:val="33"/>
    <w:link w:val="12"/>
    <w:qFormat/>
    <w:uiPriority w:val="0"/>
    <w:rPr>
      <w:rFonts w:ascii="Arial" w:hAnsi="Arial" w:eastAsia="黑体" w:cs="Times New Roman"/>
      <w:kern w:val="2"/>
      <w:sz w:val="21"/>
    </w:rPr>
  </w:style>
  <w:style w:type="character" w:customStyle="1" w:styleId="50">
    <w:name w:val="正文文本缩进 2 字符"/>
    <w:basedOn w:val="33"/>
    <w:link w:val="22"/>
    <w:qFormat/>
    <w:uiPriority w:val="0"/>
    <w:rPr>
      <w:kern w:val="2"/>
      <w:sz w:val="24"/>
      <w:szCs w:val="24"/>
    </w:rPr>
  </w:style>
  <w:style w:type="character" w:customStyle="1" w:styleId="51">
    <w:name w:val="批注文字 字符"/>
    <w:basedOn w:val="33"/>
    <w:link w:val="14"/>
    <w:qFormat/>
    <w:uiPriority w:val="99"/>
    <w:rPr>
      <w:rFonts w:ascii="Times New Roman" w:hAnsi="Times New Roman" w:eastAsia="宋体" w:cs="Times New Roman"/>
      <w:kern w:val="2"/>
      <w:sz w:val="21"/>
      <w:szCs w:val="24"/>
    </w:rPr>
  </w:style>
  <w:style w:type="character" w:customStyle="1" w:styleId="52">
    <w:name w:val="称呼 字符"/>
    <w:basedOn w:val="33"/>
    <w:link w:val="15"/>
    <w:qFormat/>
    <w:uiPriority w:val="99"/>
    <w:rPr>
      <w:rFonts w:ascii="Times New Roman" w:hAnsi="Times New Roman" w:eastAsia="宋体" w:cs="Times New Roman"/>
      <w:sz w:val="24"/>
      <w:szCs w:val="24"/>
    </w:rPr>
  </w:style>
  <w:style w:type="character" w:customStyle="1" w:styleId="53">
    <w:name w:val="正文文本 3 字符"/>
    <w:basedOn w:val="33"/>
    <w:link w:val="16"/>
    <w:qFormat/>
    <w:uiPriority w:val="0"/>
    <w:rPr>
      <w:rFonts w:ascii="宋体" w:hAnsi="宋体" w:eastAsia="宋体" w:cs="Times New Roman"/>
      <w:kern w:val="2"/>
      <w:sz w:val="21"/>
      <w:szCs w:val="24"/>
    </w:rPr>
  </w:style>
  <w:style w:type="character" w:customStyle="1" w:styleId="54">
    <w:name w:val="日期 字符"/>
    <w:basedOn w:val="33"/>
    <w:link w:val="21"/>
    <w:qFormat/>
    <w:uiPriority w:val="0"/>
    <w:rPr>
      <w:rFonts w:ascii="Times New Roman" w:hAnsi="Times New Roman" w:eastAsia="宋体" w:cs="Times New Roman"/>
      <w:kern w:val="2"/>
      <w:sz w:val="21"/>
    </w:rPr>
  </w:style>
  <w:style w:type="character" w:customStyle="1" w:styleId="55">
    <w:name w:val="批注框文本 字符"/>
    <w:basedOn w:val="33"/>
    <w:link w:val="23"/>
    <w:qFormat/>
    <w:uiPriority w:val="99"/>
    <w:rPr>
      <w:rFonts w:ascii="Times New Roman" w:hAnsi="Times New Roman" w:eastAsia="宋体" w:cs="Times New Roman"/>
      <w:kern w:val="2"/>
      <w:sz w:val="18"/>
      <w:szCs w:val="18"/>
    </w:rPr>
  </w:style>
  <w:style w:type="character" w:customStyle="1" w:styleId="56">
    <w:name w:val="页眉 字符"/>
    <w:link w:val="25"/>
    <w:qFormat/>
    <w:uiPriority w:val="99"/>
    <w:rPr>
      <w:rFonts w:ascii="Times New Roman" w:hAnsi="Times New Roman"/>
      <w:kern w:val="2"/>
      <w:sz w:val="18"/>
    </w:rPr>
  </w:style>
  <w:style w:type="character" w:customStyle="1" w:styleId="57">
    <w:name w:val="正文文本缩进 3 字符"/>
    <w:basedOn w:val="33"/>
    <w:link w:val="26"/>
    <w:qFormat/>
    <w:uiPriority w:val="0"/>
    <w:rPr>
      <w:rFonts w:ascii="宋体" w:hAnsi="Times New Roman" w:eastAsia="宋体" w:cs="Times New Roman"/>
      <w:kern w:val="2"/>
      <w:sz w:val="24"/>
    </w:rPr>
  </w:style>
  <w:style w:type="character" w:customStyle="1" w:styleId="58">
    <w:name w:val="批注主题 字符"/>
    <w:basedOn w:val="51"/>
    <w:link w:val="29"/>
    <w:qFormat/>
    <w:uiPriority w:val="99"/>
    <w:rPr>
      <w:rFonts w:ascii="Times New Roman" w:hAnsi="Times New Roman" w:eastAsia="宋体" w:cs="Times New Roman"/>
      <w:b/>
      <w:bCs/>
      <w:kern w:val="2"/>
      <w:sz w:val="21"/>
      <w:szCs w:val="24"/>
    </w:rPr>
  </w:style>
  <w:style w:type="character" w:customStyle="1" w:styleId="59">
    <w:name w:val="font81"/>
    <w:qFormat/>
    <w:uiPriority w:val="0"/>
    <w:rPr>
      <w:rFonts w:hint="default" w:ascii="Times New Roman" w:hAnsi="Times New Roman" w:cs="Times New Roman"/>
      <w:b/>
      <w:color w:val="000000"/>
      <w:sz w:val="22"/>
      <w:szCs w:val="22"/>
      <w:u w:val="none"/>
    </w:rPr>
  </w:style>
  <w:style w:type="character" w:customStyle="1" w:styleId="60">
    <w:name w:val="无间隔 字符"/>
    <w:link w:val="61"/>
    <w:qFormat/>
    <w:uiPriority w:val="0"/>
    <w:rPr>
      <w:rFonts w:ascii="Calibri" w:hAnsi="Calibri"/>
      <w:sz w:val="22"/>
      <w:szCs w:val="22"/>
    </w:rPr>
  </w:style>
  <w:style w:type="paragraph" w:styleId="61">
    <w:name w:val="No Spacing"/>
    <w:link w:val="60"/>
    <w:qFormat/>
    <w:uiPriority w:val="0"/>
    <w:rPr>
      <w:rFonts w:ascii="Calibri" w:hAnsi="Calibri" w:eastAsiaTheme="minorEastAsia" w:cstheme="minorBidi"/>
      <w:sz w:val="22"/>
      <w:szCs w:val="22"/>
      <w:lang w:val="en-US" w:eastAsia="zh-CN" w:bidi="ar-SA"/>
    </w:rPr>
  </w:style>
  <w:style w:type="character" w:customStyle="1" w:styleId="62">
    <w:name w:val="font61"/>
    <w:qFormat/>
    <w:uiPriority w:val="0"/>
    <w:rPr>
      <w:rFonts w:hint="default" w:ascii="Times New Roman" w:hAnsi="Times New Roman" w:cs="Times New Roman"/>
      <w:b/>
      <w:color w:val="000000"/>
      <w:sz w:val="20"/>
      <w:szCs w:val="20"/>
      <w:u w:val="none"/>
    </w:rPr>
  </w:style>
  <w:style w:type="character" w:customStyle="1" w:styleId="63">
    <w:name w:val="font11"/>
    <w:qFormat/>
    <w:uiPriority w:val="0"/>
    <w:rPr>
      <w:rFonts w:hint="eastAsia" w:ascii="宋体" w:hAnsi="宋体" w:eastAsia="宋体" w:cs="宋体"/>
      <w:color w:val="000000"/>
      <w:sz w:val="22"/>
      <w:szCs w:val="22"/>
      <w:u w:val="none"/>
      <w:vertAlign w:val="superscript"/>
    </w:rPr>
  </w:style>
  <w:style w:type="character" w:customStyle="1" w:styleId="64">
    <w:name w:val="称呼 Char1"/>
    <w:semiHidden/>
    <w:qFormat/>
    <w:uiPriority w:val="99"/>
    <w:rPr>
      <w:kern w:val="2"/>
      <w:sz w:val="21"/>
      <w:szCs w:val="24"/>
    </w:rPr>
  </w:style>
  <w:style w:type="character" w:customStyle="1" w:styleId="65">
    <w:name w:val="页眉 Char Char"/>
    <w:qFormat/>
    <w:uiPriority w:val="0"/>
    <w:rPr>
      <w:kern w:val="2"/>
      <w:sz w:val="18"/>
      <w:szCs w:val="18"/>
    </w:rPr>
  </w:style>
  <w:style w:type="paragraph" w:customStyle="1" w:styleId="66">
    <w:name w:val="。"/>
    <w:basedOn w:val="1"/>
    <w:qFormat/>
    <w:uiPriority w:val="0"/>
    <w:pPr>
      <w:adjustRightInd w:val="0"/>
      <w:spacing w:line="312" w:lineRule="atLeast"/>
      <w:ind w:right="679"/>
      <w:textAlignment w:val="baseline"/>
    </w:pPr>
    <w:rPr>
      <w:rFonts w:ascii="宋体" w:hAnsi="Times New Roman" w:eastAsia="宋体" w:cs="Times New Roman"/>
      <w:kern w:val="0"/>
      <w:sz w:val="20"/>
    </w:rPr>
  </w:style>
  <w:style w:type="paragraph" w:customStyle="1" w:styleId="67">
    <w:name w:val="样式1"/>
    <w:basedOn w:val="1"/>
    <w:qFormat/>
    <w:uiPriority w:val="0"/>
    <w:pPr>
      <w:tabs>
        <w:tab w:val="left" w:pos="720"/>
      </w:tabs>
      <w:overflowPunct w:val="0"/>
    </w:pPr>
    <w:rPr>
      <w:rFonts w:ascii="仿宋_GB2312" w:hAnsi="Garamond" w:eastAsia="仿宋_GB2312" w:cs="Times New Roman"/>
    </w:rPr>
  </w:style>
  <w:style w:type="paragraph" w:styleId="68">
    <w:name w:val="List Paragraph"/>
    <w:basedOn w:val="1"/>
    <w:qFormat/>
    <w:uiPriority w:val="34"/>
    <w:pPr>
      <w:ind w:firstLine="420" w:firstLineChars="20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5376</Words>
  <Characters>30644</Characters>
  <Lines>255</Lines>
  <Paragraphs>71</Paragraphs>
  <TotalTime>49</TotalTime>
  <ScaleCrop>false</ScaleCrop>
  <LinksUpToDate>false</LinksUpToDate>
  <CharactersWithSpaces>35949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2023-05-24T02:01:00Z</dcterms:created>
  <dc:creator>Administrator</dc:creator>
  <cp:lastModifiedBy>112</cp:lastModifiedBy>
  <dcterms:modified xsi:type="dcterms:W3CDTF">2023-10-23T09:31:43Z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57DB63A68C85423F8C4062A469D72449_12</vt:lpwstr>
  </property>
</Properties>
</file>