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tabs>
          <w:tab w:val="left" w:pos="8100"/>
        </w:tabs>
        <w:spacing w:line="360" w:lineRule="auto"/>
        <w:ind w:firstLine="4779" w:firstLineChars="1700"/>
        <w:jc w:val="both"/>
        <w:rPr>
          <w:rFonts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 xml:space="preserve"> 招标编号：</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 xml:space="preserve">     </w:t>
      </w:r>
      <w:r>
        <w:rPr>
          <w:rFonts w:hint="eastAsia" w:cs="Times New Roman" w:asciiTheme="majorEastAsia" w:hAnsiTheme="majorEastAsia" w:eastAsiaTheme="majorEastAsia"/>
          <w:b/>
          <w:color w:val="000000"/>
          <w:kern w:val="2"/>
          <w:sz w:val="28"/>
          <w:szCs w:val="28"/>
          <w:highlight w:val="none"/>
          <w:u w:val="single"/>
        </w:rPr>
        <w:t>招标编号</w:t>
      </w:r>
    </w:p>
    <w:p>
      <w:pPr>
        <w:pStyle w:val="30"/>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0"/>
        <w:tabs>
          <w:tab w:val="left" w:pos="8100"/>
        </w:tabs>
        <w:spacing w:line="360" w:lineRule="auto"/>
        <w:jc w:val="both"/>
        <w:rPr>
          <w:rFonts w:cs="Times New Roman" w:asciiTheme="majorEastAsia" w:hAnsiTheme="majorEastAsia" w:eastAsiaTheme="majorEastAsia"/>
          <w:b/>
          <w:color w:val="000000"/>
          <w:kern w:val="2"/>
          <w:sz w:val="48"/>
          <w:szCs w:val="48"/>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中建路桥集团有限公司</w:t>
      </w:r>
    </w:p>
    <w:p>
      <w:pPr>
        <w:pStyle w:val="30"/>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u w:val="single"/>
        </w:rPr>
        <w:t>G680塔克什肯至恰库尔图（含G680-青河）公路建设</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天然砂砾</w:t>
      </w:r>
      <w:r>
        <w:rPr>
          <w:rFonts w:hint="eastAsia" w:cs="Times New Roman" w:asciiTheme="majorEastAsia" w:hAnsiTheme="majorEastAsia" w:eastAsiaTheme="majorEastAsia"/>
          <w:b/>
          <w:color w:val="000000"/>
          <w:kern w:val="2"/>
          <w:sz w:val="44"/>
          <w:szCs w:val="44"/>
          <w:highlight w:val="none"/>
          <w:u w:val="single"/>
        </w:rPr>
        <w:t xml:space="preserve"> </w:t>
      </w:r>
      <w:r>
        <w:rPr>
          <w:rFonts w:hint="eastAsia" w:cs="Times New Roman" w:asciiTheme="majorEastAsia" w:hAnsiTheme="majorEastAsia" w:eastAsiaTheme="majorEastAsia"/>
          <w:b/>
          <w:color w:val="000000"/>
          <w:kern w:val="2"/>
          <w:sz w:val="44"/>
          <w:szCs w:val="44"/>
          <w:highlight w:val="none"/>
        </w:rPr>
        <w:t>采购</w:t>
      </w:r>
    </w:p>
    <w:p>
      <w:pPr>
        <w:pStyle w:val="30"/>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pStyle w:val="2"/>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pPr>
        <w:jc w:val="center"/>
        <w:rPr>
          <w:highlight w:val="none"/>
        </w:rPr>
      </w:pPr>
    </w:p>
    <w:p>
      <w:pPr>
        <w:pStyle w:val="30"/>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pPr>
        <w:pStyle w:val="30"/>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中建路桥集团有限公司</w:t>
      </w:r>
    </w:p>
    <w:p>
      <w:pPr>
        <w:pStyle w:val="30"/>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4</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4"/>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bookmarkStart w:id="1" w:name="_Toc238552194"/>
            <w:bookmarkStart w:id="2" w:name="_Toc144974496"/>
            <w:bookmarkStart w:id="3" w:name="_Toc287545429"/>
            <w:bookmarkStart w:id="4" w:name="_Toc152045528"/>
            <w:bookmarkStart w:id="5" w:name="_Toc238797549"/>
            <w:bookmarkStart w:id="6" w:name="_Toc152042304"/>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天然砂砾</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u w:val="single"/>
              </w:rPr>
              <w:t>满足项目生产需求</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14:textFill>
                  <w14:solidFill>
                    <w14:schemeClr w14:val="tx1"/>
                  </w14:solidFill>
                </w14:textFill>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u w:val="single"/>
              </w:rPr>
              <w:t xml:space="preserve"> 15 </w:t>
            </w:r>
            <w:r>
              <w:rPr>
                <w:rFonts w:hint="eastAsia" w:ascii="仿宋_GB2312" w:eastAsia="仿宋_GB2312" w:cs="宋体" w:hAnsiTheme="minorEastAsia"/>
                <w:sz w:val="21"/>
                <w:szCs w:val="21"/>
              </w:rPr>
              <w:t>日对上月</w:t>
            </w:r>
            <w:r>
              <w:rPr>
                <w:rFonts w:hint="eastAsia" w:ascii="仿宋_GB2312" w:eastAsia="仿宋_GB2312" w:cs="宋体" w:hAnsiTheme="minorEastAsia"/>
                <w:sz w:val="21"/>
                <w:szCs w:val="21"/>
                <w:u w:val="single"/>
              </w:rPr>
              <w:t xml:space="preserve"> 16  </w:t>
            </w:r>
            <w:r>
              <w:rPr>
                <w:rFonts w:hint="eastAsia" w:ascii="仿宋_GB2312" w:eastAsia="仿宋_GB2312" w:cs="宋体" w:hAnsiTheme="minorEastAsia"/>
                <w:sz w:val="21"/>
                <w:szCs w:val="21"/>
              </w:rPr>
              <w:t>日到本月</w:t>
            </w:r>
            <w:r>
              <w:rPr>
                <w:rFonts w:hint="eastAsia" w:ascii="仿宋_GB2312" w:eastAsia="仿宋_GB2312" w:cs="宋体" w:hAnsiTheme="minorEastAsia"/>
                <w:sz w:val="21"/>
                <w:szCs w:val="21"/>
                <w:u w:val="single"/>
              </w:rPr>
              <w:t xml:space="preserve"> 15 </w:t>
            </w:r>
            <w:r>
              <w:rPr>
                <w:rFonts w:hint="eastAsia" w:ascii="仿宋_GB2312" w:eastAsia="仿宋_GB2312" w:cs="宋体" w:hAnsiTheme="minorEastAsia"/>
                <w:sz w:val="21"/>
                <w:szCs w:val="21"/>
                <w:highlight w:val="none"/>
              </w:rPr>
              <w:t>日所供应的物资办理月结手续</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A1A1A" w:themeColor="background1" w:themeShade="1A"/>
                <w:sz w:val="21"/>
                <w:szCs w:val="21"/>
                <w:highlight w:val="none"/>
              </w:rPr>
              <w:t>方相应全额发票后</w:t>
            </w:r>
            <w:r>
              <w:rPr>
                <w:rFonts w:hint="eastAsia" w:ascii="仿宋_GB2312" w:eastAsia="仿宋_GB2312" w:cs="宋体" w:hAnsiTheme="minorEastAsia"/>
                <w:color w:val="1A1A1A" w:themeColor="background1" w:themeShade="1A"/>
                <w:sz w:val="21"/>
                <w:szCs w:val="21"/>
                <w:highlight w:val="none"/>
                <w:u w:val="single"/>
                <w:lang w:val="en-US" w:eastAsia="zh-CN"/>
              </w:rPr>
              <w:t>当月</w:t>
            </w:r>
            <w:r>
              <w:rPr>
                <w:rFonts w:hint="eastAsia" w:ascii="仿宋_GB2312" w:eastAsia="仿宋_GB2312" w:cs="宋体" w:hAnsiTheme="minorEastAsia"/>
                <w:sz w:val="21"/>
                <w:szCs w:val="21"/>
                <w:u w:val="single"/>
                <w:lang w:val="en-US" w:eastAsia="zh-CN"/>
              </w:rPr>
              <w:t>末</w:t>
            </w:r>
            <w:r>
              <w:rPr>
                <w:rFonts w:hint="eastAsia" w:ascii="仿宋_GB2312" w:eastAsia="仿宋_GB2312" w:cs="宋体" w:hAnsiTheme="minorEastAsia"/>
                <w:sz w:val="21"/>
                <w:szCs w:val="21"/>
              </w:rPr>
              <w:t>支付当期应付货款的</w:t>
            </w:r>
            <w:r>
              <w:rPr>
                <w:rFonts w:hint="eastAsia" w:ascii="仿宋_GB2312" w:eastAsia="仿宋_GB2312" w:cs="宋体" w:hAnsiTheme="minorEastAsia"/>
                <w:sz w:val="21"/>
                <w:szCs w:val="21"/>
                <w:u w:val="single"/>
              </w:rPr>
              <w:t xml:space="preserve"> 70 </w:t>
            </w:r>
            <w:r>
              <w:rPr>
                <w:rFonts w:hint="eastAsia" w:ascii="仿宋_GB2312" w:eastAsia="仿宋_GB2312" w:cs="宋体" w:hAnsiTheme="minorEastAsia"/>
                <w:sz w:val="21"/>
                <w:szCs w:val="21"/>
              </w:rPr>
              <w:t>%，</w:t>
            </w:r>
            <w:r>
              <w:rPr>
                <w:rFonts w:hint="eastAsia" w:ascii="仿宋_GB2312" w:hAnsi="仿宋_GB2312" w:eastAsia="仿宋_GB2312" w:cs="仿宋_GB2312"/>
                <w:color w:val="000000" w:themeColor="text1"/>
                <w:sz w:val="21"/>
                <w:szCs w:val="21"/>
                <w14:textFill>
                  <w14:solidFill>
                    <w14:schemeClr w14:val="tx1"/>
                  </w14:solidFill>
                </w14:textFill>
              </w:rPr>
              <w:t>余下</w:t>
            </w:r>
            <w:r>
              <w:rPr>
                <w:rFonts w:hint="eastAsia" w:ascii="仿宋_GB2312" w:hAnsi="仿宋_GB2312" w:eastAsia="仿宋_GB2312" w:cs="仿宋_GB2312"/>
                <w:color w:val="000000" w:themeColor="text1"/>
                <w:sz w:val="21"/>
                <w:szCs w:val="21"/>
                <w:u w:val="single"/>
                <w14:textFill>
                  <w14:solidFill>
                    <w14:schemeClr w14:val="tx1"/>
                  </w14:solidFill>
                </w14:textFill>
              </w:rPr>
              <w:t xml:space="preserve">30 </w:t>
            </w:r>
            <w:r>
              <w:rPr>
                <w:rFonts w:hint="eastAsia" w:ascii="仿宋_GB2312" w:hAnsi="仿宋_GB2312" w:eastAsia="仿宋_GB2312" w:cs="仿宋_GB2312"/>
                <w:color w:val="000000" w:themeColor="text1"/>
                <w:sz w:val="21"/>
                <w:szCs w:val="21"/>
                <w14:textFill>
                  <w14:solidFill>
                    <w14:schemeClr w14:val="tx1"/>
                  </w14:solidFill>
                </w14:textFill>
              </w:rPr>
              <w:t>%结算货款在乙方供货完毕、办理完最终结算后</w:t>
            </w:r>
            <w:r>
              <w:rPr>
                <w:rFonts w:hint="eastAsia" w:ascii="仿宋_GB2312" w:hAnsi="仿宋_GB2312" w:eastAsia="仿宋_GB2312" w:cs="仿宋_GB2312"/>
                <w:color w:val="000000" w:themeColor="text1"/>
                <w:sz w:val="21"/>
                <w:szCs w:val="21"/>
                <w:u w:val="single"/>
                <w14:textFill>
                  <w14:solidFill>
                    <w14:schemeClr w14:val="tx1"/>
                  </w14:solidFill>
                </w14:textFill>
              </w:rPr>
              <w:t xml:space="preserve"> 90 </w:t>
            </w:r>
            <w:r>
              <w:rPr>
                <w:rFonts w:hint="eastAsia" w:ascii="仿宋_GB2312" w:hAnsi="仿宋_GB2312" w:eastAsia="仿宋_GB2312" w:cs="仿宋_GB2312"/>
                <w:color w:val="000000" w:themeColor="text1"/>
                <w:sz w:val="21"/>
                <w:szCs w:val="21"/>
                <w14:textFill>
                  <w14:solidFill>
                    <w14:schemeClr w14:val="tx1"/>
                  </w14:solidFill>
                </w14:textFill>
              </w:rPr>
              <w:t>日内付清（无息）</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eastAsia="仿宋_GB2312" w:cs="宋体" w:hAnsiTheme="minorEastAsia"/>
                <w:sz w:val="21"/>
                <w:szCs w:val="21"/>
                <w:highlight w:val="none"/>
              </w:rPr>
              <w:t>以此类推。</w:t>
            </w:r>
          </w:p>
        </w:tc>
      </w:tr>
      <w:tr>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14:textFill>
                  <w14:solidFill>
                    <w14:schemeClr w14:val="tx1"/>
                  </w14:solidFill>
                </w14:textFill>
              </w:rPr>
              <w:t>具备使用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采用</w:t>
            </w:r>
            <w:r>
              <w:rPr>
                <w:rFonts w:hint="eastAsia" w:ascii="仿宋_GB2312" w:eastAsia="仿宋_GB2312" w:cs="宋体" w:hAnsiTheme="minorEastAsia"/>
                <w:color w:val="000000" w:themeColor="text1"/>
                <w:sz w:val="21"/>
                <w:szCs w:val="21"/>
                <w:highlight w:val="none"/>
                <w14:textFill>
                  <w14:solidFill>
                    <w14:schemeClr w14:val="tx1"/>
                  </w14:solidFill>
                </w14:textFill>
              </w:rPr>
              <w:t>承兑汇票</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color w:val="000000" w:themeColor="text1"/>
                <w:sz w:val="21"/>
                <w:szCs w:val="21"/>
                <w:highlight w:val="none"/>
                <w14:textFill>
                  <w14:solidFill>
                    <w14:schemeClr w14:val="tx1"/>
                  </w14:solidFill>
                </w14:textFill>
              </w:rPr>
              <w:t>供应链金融</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等</w:t>
            </w:r>
            <w:r>
              <w:rPr>
                <w:rFonts w:hint="eastAsia" w:ascii="仿宋_GB2312" w:eastAsia="仿宋_GB2312" w:cs="宋体" w:hAnsiTheme="minorEastAsia"/>
                <w:color w:val="000000" w:themeColor="text1"/>
                <w:sz w:val="21"/>
                <w:szCs w:val="21"/>
                <w:highlight w:val="none"/>
                <w14:textFill>
                  <w14:solidFill>
                    <w14:schemeClr w14:val="tx1"/>
                  </w14:solidFill>
                </w14:textFill>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的</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u w:val="single"/>
                <w:lang w:val="en-US" w:eastAsia="zh-CN"/>
                <w14:textFill>
                  <w14:solidFill>
                    <w14:schemeClr w14:val="tx1"/>
                  </w14:solidFill>
                </w14:textFill>
              </w:rPr>
              <w:t>30</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14:textFill>
                  <w14:solidFill>
                    <w14:schemeClr w14:val="tx1"/>
                  </w14:solidFill>
                </w14:textFill>
              </w:rPr>
              <w:t>%，期限</w:t>
            </w:r>
            <w:r>
              <w:rPr>
                <w:rFonts w:hint="eastAsia" w:ascii="仿宋_GB2312" w:hAnsi="宋体" w:eastAsia="仿宋_GB2312" w:cs="宋体"/>
                <w:color w:val="000000" w:themeColor="text1"/>
                <w:sz w:val="21"/>
                <w:szCs w:val="21"/>
                <w:highlight w:val="none"/>
                <w14:textFill>
                  <w14:solidFill>
                    <w14:schemeClr w14:val="tx1"/>
                  </w14:solidFill>
                </w14:textFill>
              </w:rPr>
              <w:t>为</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hAnsi="宋体" w:eastAsia="仿宋_GB2312" w:cs="宋体"/>
                <w:color w:val="000000" w:themeColor="text1"/>
                <w:sz w:val="21"/>
                <w:szCs w:val="21"/>
                <w:highlight w:val="none"/>
                <w14:textFill>
                  <w14:solidFill>
                    <w14:schemeClr w14:val="tx1"/>
                  </w14:solidFill>
                </w14:textFill>
              </w:rPr>
              <w:t>个</w:t>
            </w:r>
            <w:r>
              <w:rPr>
                <w:rFonts w:hint="eastAsia" w:ascii="仿宋_GB2312" w:eastAsia="仿宋_GB2312" w:cs="宋体" w:hAnsiTheme="minorEastAsia"/>
                <w:color w:val="000000" w:themeColor="text1"/>
                <w:sz w:val="21"/>
                <w:szCs w:val="21"/>
                <w:highlight w:val="none"/>
                <w14:textFill>
                  <w14:solidFill>
                    <w14:schemeClr w14:val="tx1"/>
                  </w14:solidFill>
                </w14:textFill>
              </w:rPr>
              <w:t>月，因此产生的相关贴现成本由乙方承担。乙方须保证资金往来账户与约定账户一致，开票单位名称与合同约定名称一致。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t>☑</w:t>
            </w:r>
          </w:p>
          <w:p>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10</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14:textFill>
                  <w14:solidFill>
                    <w14:schemeClr w14:val="tx1"/>
                  </w14:solidFill>
                </w14:textFill>
              </w:rPr>
              <w:t>9</w:t>
            </w:r>
            <w:r>
              <w:rPr>
                <w:rFonts w:hint="eastAsia" w:ascii="仿宋_GB2312" w:eastAsia="仿宋_GB2312" w:cs="宋体" w:hAnsiTheme="minorEastAsia"/>
                <w:color w:val="000000" w:themeColor="text1"/>
                <w:sz w:val="21"/>
                <w:szCs w:val="21"/>
                <w:highlight w:val="none"/>
                <w14:textFill>
                  <w14:solidFill>
                    <w14:schemeClr w14:val="tx1"/>
                  </w14:solidFill>
                </w14:textFill>
              </w:rPr>
              <w:t>0</w:t>
            </w:r>
            <w:r>
              <w:rPr>
                <w:rFonts w:hint="eastAsia" w:ascii="仿宋_GB2312" w:eastAsia="仿宋_GB2312" w:cs="宋体" w:hAnsiTheme="minorEastAsia"/>
                <w:sz w:val="21"/>
                <w:szCs w:val="21"/>
                <w:highlight w:val="none"/>
              </w:rPr>
              <w:t>天</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11</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10</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14:textFill>
                  <w14:solidFill>
                    <w14:schemeClr w14:val="tx1"/>
                  </w14:solidFill>
                </w14:textFill>
              </w:rPr>
              <w:t>7.2。其他相关事项见总则</w:t>
            </w:r>
            <w:r>
              <w:rPr>
                <w:rFonts w:ascii="仿宋_GB2312" w:eastAsia="仿宋_GB2312" w:cs="宋体" w:hAnsiTheme="minorEastAsia"/>
                <w:color w:val="000000" w:themeColor="text1"/>
                <w:sz w:val="21"/>
                <w:szCs w:val="21"/>
                <w:highlight w:val="none"/>
                <w14:textFill>
                  <w14:solidFill>
                    <w14:schemeClr w14:val="tx1"/>
                  </w14:solidFill>
                </w14:textFill>
              </w:rPr>
              <w:t>13</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12</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13</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注明招标项目名称、招标编号/包件号和投标人全称，注明“在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分前不得开启”字样，密封处应有密封章</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default"/>
                <w:lang w:val="en-US" w:eastAsia="zh-CN"/>
              </w:rPr>
            </w:pPr>
            <w:r>
              <w:rPr>
                <w:rFonts w:hint="eastAsia" w:ascii="仿宋_GB2312" w:eastAsia="仿宋_GB2312" w:cs="宋体" w:hAnsiTheme="minorEastAsia"/>
                <w:sz w:val="21"/>
                <w:szCs w:val="21"/>
                <w:highlight w:val="none"/>
              </w:rPr>
              <w:t>履约保证金：</w:t>
            </w:r>
            <w:r>
              <w:rPr>
                <w:rFonts w:hint="eastAsia" w:ascii="仿宋_GB2312" w:eastAsia="仿宋_GB2312" w:cs="宋体" w:hAnsiTheme="minorEastAsia"/>
                <w:sz w:val="21"/>
                <w:szCs w:val="21"/>
                <w:highlight w:val="none"/>
                <w:lang w:val="en-US" w:eastAsia="zh-CN"/>
              </w:rPr>
              <w:t>小写：</w:t>
            </w:r>
            <w:r>
              <w:rPr>
                <w:rFonts w:hint="eastAsia" w:ascii="仿宋_GB2312" w:eastAsia="仿宋_GB2312" w:cs="宋体" w:hAnsiTheme="minorEastAsia"/>
                <w:sz w:val="21"/>
                <w:szCs w:val="21"/>
                <w:highlight w:val="none"/>
                <w:u w:val="single"/>
                <w:lang w:val="en-US" w:eastAsia="zh-CN"/>
              </w:rPr>
              <w:t>100000</w:t>
            </w:r>
            <w:r>
              <w:rPr>
                <w:rFonts w:hint="eastAsia" w:ascii="仿宋_GB2312" w:eastAsia="仿宋_GB2312" w:cs="宋体" w:hAnsiTheme="minorEastAsia"/>
                <w:sz w:val="21"/>
                <w:szCs w:val="21"/>
                <w:highlight w:val="none"/>
                <w:lang w:val="en-US" w:eastAsia="zh-CN"/>
              </w:rPr>
              <w:t xml:space="preserve">元    </w:t>
            </w:r>
            <w:r>
              <w:rPr>
                <w:rFonts w:hint="eastAsia" w:ascii="仿宋_GB2312" w:eastAsia="仿宋_GB2312" w:cs="宋体" w:hAnsiTheme="minorEastAsia"/>
                <w:sz w:val="21"/>
                <w:szCs w:val="21"/>
              </w:rPr>
              <w:t>大写：</w:t>
            </w:r>
            <w:r>
              <w:rPr>
                <w:rFonts w:hint="eastAsia" w:ascii="仿宋_GB2312" w:eastAsia="仿宋_GB2312" w:cs="宋体" w:hAnsiTheme="minorEastAsia"/>
                <w:sz w:val="21"/>
                <w:szCs w:val="21"/>
                <w:u w:val="single"/>
                <w:lang w:val="en-US" w:eastAsia="zh-CN"/>
              </w:rPr>
              <w:t>壹拾万元整</w:t>
            </w:r>
          </w:p>
        </w:tc>
      </w:tr>
      <w:bookmarkEnd w:id="0"/>
      <w:bookmarkEnd w:id="1"/>
      <w:bookmarkEnd w:id="2"/>
      <w:bookmarkEnd w:id="3"/>
      <w:bookmarkEnd w:id="4"/>
      <w:bookmarkEnd w:id="5"/>
      <w:bookmarkEnd w:id="6"/>
    </w:tbl>
    <w:p>
      <w:pPr>
        <w:widowControl/>
        <w:jc w:val="left"/>
        <w:rPr>
          <w:rFonts w:hint="eastAsia" w:ascii="仿宋_GB2312" w:eastAsia="仿宋_GB2312" w:cs="黑体" w:hAnsiTheme="minorEastAsia"/>
          <w:b/>
          <w:sz w:val="28"/>
          <w:szCs w:val="28"/>
          <w:highlight w:val="none"/>
        </w:rPr>
      </w:pPr>
      <w:bookmarkStart w:id="7" w:name="_Toc214336660"/>
      <w:bookmarkStart w:id="8" w:name="_Toc214339494"/>
      <w:bookmarkStart w:id="9" w:name="_Toc214333205"/>
      <w:bookmarkStart w:id="10" w:name="_Toc31831"/>
    </w:p>
    <w:p>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 xml:space="preserve"> 集团官网编号  </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hAnsi="仿宋" w:eastAsia="仿宋_GB2312"/>
          <w:bCs/>
          <w:color w:val="000000" w:themeColor="text1"/>
          <w:sz w:val="21"/>
          <w:szCs w:val="21"/>
          <w:u w:val="single"/>
          <w14:textFill>
            <w14:solidFill>
              <w14:schemeClr w14:val="tx1"/>
            </w14:solidFill>
          </w14:textFill>
        </w:rPr>
        <w:t>G680塔克什肯至恰库尔图（含G680-青河）公路建设项目</w:t>
      </w:r>
      <w:r>
        <w:rPr>
          <w:rFonts w:hint="eastAsia" w:ascii="仿宋_GB2312" w:eastAsia="仿宋_GB2312" w:cs="宋体" w:hAnsiTheme="minorEastAsia"/>
          <w:sz w:val="21"/>
          <w:szCs w:val="21"/>
          <w:highlight w:val="none"/>
          <w:u w:val="single"/>
        </w:rPr>
        <w:t xml:space="preserve"> </w:t>
      </w:r>
      <w:r>
        <w:rPr>
          <w:rFonts w:ascii="仿宋_GB2312" w:eastAsia="仿宋_GB2312" w:cs="宋体" w:hAnsiTheme="minorEastAsia"/>
          <w:sz w:val="21"/>
          <w:szCs w:val="21"/>
          <w:highlight w:val="non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eastAsia="仿宋_GB2312" w:cs="宋体" w:hAnsiTheme="minorEastAsia"/>
          <w:sz w:val="21"/>
          <w:szCs w:val="21"/>
          <w:u w:val="single"/>
        </w:rPr>
        <w:t>新疆阿勒泰地区青河县阿格达拉镇</w:t>
      </w:r>
    </w:p>
    <w:p>
      <w:pPr>
        <w:pStyle w:val="181"/>
        <w:keepNext w:val="0"/>
        <w:keepLines w:val="0"/>
        <w:ind w:firstLine="420" w:firstLineChars="200"/>
        <w:jc w:val="left"/>
        <w:rPr>
          <w:rFonts w:hint="eastAsia" w:ascii="仿宋_GB2312" w:eastAsia="仿宋_GB2312" w:cs="宋体" w:hAnsiTheme="minorEastAsia"/>
          <w:sz w:val="21"/>
          <w:szCs w:val="21"/>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lang w:val="en-US" w:eastAsia="zh-CN"/>
        </w:rPr>
        <w:t xml:space="preserve">     </w:t>
      </w:r>
      <w:r>
        <w:rPr>
          <w:rFonts w:hint="eastAsia" w:ascii="仿宋_GB2312" w:eastAsia="仿宋_GB2312" w:cs="宋体" w:hAnsiTheme="minorEastAsia"/>
          <w:sz w:val="21"/>
          <w:szCs w:val="21"/>
          <w:u w:val="single"/>
        </w:rPr>
        <w:t>赵岭</w:t>
      </w:r>
      <w:r>
        <w:rPr>
          <w:rFonts w:hint="eastAsia" w:ascii="仿宋_GB2312" w:eastAsia="仿宋_GB2312" w:cs="宋体" w:hAnsiTheme="minorEastAsia"/>
          <w:sz w:val="21"/>
          <w:szCs w:val="21"/>
        </w:rPr>
        <w:t>，电话：</w:t>
      </w:r>
      <w:r>
        <w:rPr>
          <w:rFonts w:hint="eastAsia" w:ascii="仿宋_GB2312" w:eastAsia="仿宋_GB2312" w:cs="宋体" w:hAnsiTheme="minorEastAsia"/>
          <w:sz w:val="21"/>
          <w:szCs w:val="21"/>
          <w:u w:val="single"/>
        </w:rPr>
        <w:t xml:space="preserve"> </w:t>
      </w:r>
      <w:r>
        <w:rPr>
          <w:rFonts w:hint="eastAsia" w:ascii="仿宋_GB2312" w:hAnsi="仿宋" w:eastAsia="仿宋_GB2312"/>
          <w:bCs/>
          <w:color w:val="000000" w:themeColor="text1"/>
          <w:sz w:val="21"/>
          <w:szCs w:val="21"/>
          <w:u w:val="single"/>
          <w14:textFill>
            <w14:solidFill>
              <w14:schemeClr w14:val="tx1"/>
            </w14:solidFill>
          </w14:textFill>
        </w:rPr>
        <w:t>18931959285</w:t>
      </w:r>
      <w:r>
        <w:rPr>
          <w:rFonts w:hint="eastAsia" w:ascii="仿宋_GB2312" w:eastAsia="仿宋_GB2312" w:cs="宋体" w:hAnsiTheme="minorEastAsia"/>
          <w:sz w:val="21"/>
          <w:szCs w:val="21"/>
          <w:u w:val="single"/>
        </w:rPr>
        <w:t xml:space="preserve"> </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中建路桥集团有限公司</w:t>
      </w:r>
    </w:p>
    <w:p>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4.1本次招标采购物资为中建路桥集团有限公司</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u w:val="single"/>
        </w:rPr>
        <w:t>G680塔克什肯至恰库尔图（含G680-青河）公路建设</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rPr>
        <w:t>项目所需</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b/>
          <w:bCs/>
          <w:sz w:val="21"/>
          <w:szCs w:val="21"/>
          <w:highlight w:val="none"/>
          <w:u w:val="single"/>
          <w:lang w:val="en-US" w:eastAsia="zh-CN"/>
        </w:rPr>
        <w:t>天然砂砾</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sz w:val="21"/>
          <w:szCs w:val="21"/>
          <w:highlight w:val="none"/>
        </w:rPr>
        <w:t>。具体数量详见下表。</w:t>
      </w:r>
    </w:p>
    <w:tbl>
      <w:tblPr>
        <w:tblStyle w:val="34"/>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384" w:firstLineChars="183"/>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天然砂砾</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戈壁料</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m³</w:t>
            </w:r>
          </w:p>
        </w:tc>
        <w:tc>
          <w:tcPr>
            <w:tcW w:w="2076" w:type="dxa"/>
            <w:tcBorders>
              <w:top w:val="single" w:color="000000" w:sz="4" w:space="0"/>
              <w:left w:val="single" w:color="000000" w:sz="4" w:space="0"/>
              <w:bottom w:val="single" w:color="000000" w:sz="4" w:space="0"/>
              <w:right w:val="single" w:color="auto" w:sz="4" w:space="0"/>
            </w:tcBorders>
            <w:vAlign w:val="center"/>
          </w:tcPr>
          <w:p>
            <w:pPr>
              <w:spacing w:line="500" w:lineRule="exact"/>
              <w:ind w:firstLine="420" w:firstLineChars="200"/>
              <w:jc w:val="left"/>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923500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eastAsia="仿宋_GB2312" w:hAnsiTheme="minorEastAsia"/>
                <w:sz w:val="21"/>
                <w:szCs w:val="21"/>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left"/>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pPr>
              <w:spacing w:line="500" w:lineRule="exact"/>
              <w:ind w:firstLine="420" w:firstLineChars="200"/>
              <w:jc w:val="left"/>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923500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bl>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4.2交货地点：中建路桥集团有限公司</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u w:val="single"/>
        </w:rPr>
        <w:t>G680塔克什肯至恰库尔图（含G680-青河）公路建设</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highlight w:val="none"/>
        </w:rPr>
        <w:t>项目部</w:t>
      </w:r>
      <w:r>
        <w:rPr>
          <w:rFonts w:hint="eastAsia" w:ascii="仿宋_GB2312" w:eastAsia="仿宋_GB2312" w:hAnsiTheme="minorEastAsia"/>
          <w:sz w:val="21"/>
          <w:szCs w:val="21"/>
          <w:highlight w:val="none"/>
          <w:u w:val="single"/>
        </w:rPr>
        <w:t xml:space="preserve"> </w:t>
      </w:r>
      <w:r>
        <w:rPr>
          <w:rFonts w:hint="eastAsia" w:ascii="仿宋_GB2312" w:eastAsia="仿宋_GB2312" w:hAnsiTheme="minorEastAsia"/>
          <w:sz w:val="21"/>
          <w:szCs w:val="21"/>
          <w:u w:val="single"/>
        </w:rPr>
        <w:t>施工现场</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账号信息：</w:t>
      </w:r>
    </w:p>
    <w:p>
      <w:pPr>
        <w:spacing w:line="400" w:lineRule="exact"/>
        <w:ind w:firstLine="422" w:firstLineChars="200"/>
        <w:jc w:val="left"/>
        <w:outlineLvl w:val="2"/>
        <w:rPr>
          <w:rFonts w:ascii="仿宋_GB2312" w:eastAsia="仿宋_GB2312" w:hAnsiTheme="minorEastAsia"/>
          <w:b/>
          <w:sz w:val="21"/>
          <w:szCs w:val="21"/>
          <w:u w:val="single"/>
        </w:rPr>
      </w:pPr>
      <w:bookmarkStart w:id="19" w:name="_Toc287545441"/>
      <w:bookmarkStart w:id="20" w:name="_Toc238552208"/>
      <w:bookmarkStart w:id="21" w:name="_Toc238797563"/>
      <w:r>
        <w:rPr>
          <w:rFonts w:hint="eastAsia" w:ascii="仿宋_GB2312" w:eastAsia="仿宋_GB2312" w:hAnsiTheme="minorEastAsia"/>
          <w:b/>
          <w:sz w:val="21"/>
          <w:szCs w:val="21"/>
        </w:rPr>
        <w:t>户    名：</w:t>
      </w:r>
      <w:r>
        <w:rPr>
          <w:rFonts w:hint="eastAsia" w:ascii="仿宋_GB2312" w:eastAsia="仿宋_GB2312" w:hAnsiTheme="minorEastAsia"/>
          <w:sz w:val="21"/>
          <w:szCs w:val="21"/>
          <w:u w:val="single"/>
        </w:rPr>
        <w:t>中建路桥集团有限公司G680线塔克什肯至恰库尔图（含G680-青河）公路项目TQSG-3标段项目经理部</w:t>
      </w:r>
    </w:p>
    <w:p>
      <w:pPr>
        <w:spacing w:line="400" w:lineRule="exact"/>
        <w:ind w:firstLine="422" w:firstLineChars="200"/>
        <w:jc w:val="left"/>
        <w:outlineLvl w:val="2"/>
        <w:rPr>
          <w:rFonts w:ascii="仿宋_GB2312" w:eastAsia="仿宋_GB2312" w:hAnsiTheme="minorEastAsia"/>
          <w:b/>
          <w:sz w:val="21"/>
          <w:szCs w:val="21"/>
          <w:u w:val="single"/>
        </w:rPr>
      </w:pPr>
      <w:r>
        <w:rPr>
          <w:rFonts w:hint="eastAsia" w:ascii="仿宋_GB2312" w:eastAsia="仿宋_GB2312" w:hAnsiTheme="minorEastAsia"/>
          <w:b/>
          <w:sz w:val="21"/>
          <w:szCs w:val="21"/>
        </w:rPr>
        <w:t>账    号：</w:t>
      </w:r>
      <w:r>
        <w:rPr>
          <w:rFonts w:hint="eastAsia" w:ascii="仿宋_GB2312" w:eastAsia="仿宋_GB2312" w:hAnsiTheme="minorEastAsia"/>
          <w:bCs/>
          <w:sz w:val="21"/>
          <w:szCs w:val="21"/>
          <w:u w:val="single"/>
        </w:rPr>
        <w:t>827050012010101735669</w:t>
      </w:r>
    </w:p>
    <w:p>
      <w:pPr>
        <w:spacing w:line="400" w:lineRule="exact"/>
        <w:ind w:firstLine="422" w:firstLineChars="200"/>
        <w:jc w:val="left"/>
        <w:outlineLvl w:val="2"/>
        <w:rPr>
          <w:rFonts w:ascii="仿宋_GB2312" w:eastAsia="仿宋_GB2312" w:hAnsiTheme="minorEastAsia"/>
          <w:bCs/>
          <w:sz w:val="21"/>
          <w:szCs w:val="21"/>
          <w:u w:val="single"/>
        </w:rPr>
      </w:pPr>
      <w:r>
        <w:rPr>
          <w:rFonts w:hint="eastAsia" w:ascii="仿宋_GB2312" w:eastAsia="仿宋_GB2312" w:hAnsiTheme="minorEastAsia"/>
          <w:b/>
          <w:sz w:val="21"/>
          <w:szCs w:val="21"/>
        </w:rPr>
        <w:t>开 户 行：</w:t>
      </w:r>
      <w:r>
        <w:rPr>
          <w:rFonts w:hint="eastAsia" w:ascii="仿宋_GB2312" w:eastAsia="仿宋_GB2312" w:hAnsiTheme="minorEastAsia"/>
          <w:bCs/>
          <w:sz w:val="21"/>
          <w:szCs w:val="21"/>
          <w:u w:val="single"/>
        </w:rPr>
        <w:t>青河县农村信用合作联社萨尔托海信用社</w:t>
      </w:r>
    </w:p>
    <w:p>
      <w:pPr>
        <w:spacing w:line="400" w:lineRule="exact"/>
        <w:ind w:firstLine="420" w:firstLineChars="200"/>
        <w:jc w:val="left"/>
        <w:outlineLvl w:val="2"/>
        <w:rPr>
          <w:rFonts w:hint="eastAsia" w:ascii="仿宋_GB2312" w:eastAsia="仿宋_GB2312" w:hAnsiTheme="minorEastAsia"/>
          <w:sz w:val="21"/>
          <w:szCs w:val="21"/>
        </w:rPr>
      </w:pPr>
      <w:r>
        <w:rPr>
          <w:rFonts w:hint="eastAsia" w:ascii="仿宋_GB2312" w:eastAsia="仿宋_GB2312" w:hAnsiTheme="minorEastAsia"/>
          <w:sz w:val="21"/>
          <w:szCs w:val="21"/>
        </w:rPr>
        <w:t>重要说明：以投标人基本账户汇入，请注明“中建路桥集团有限公司G680塔克什肯至恰库尔图（含G680-青河）公路建设项目</w:t>
      </w:r>
      <w:r>
        <w:rPr>
          <w:rFonts w:hint="eastAsia" w:ascii="仿宋_GB2312" w:eastAsia="仿宋_GB2312" w:hAnsiTheme="minorEastAsia"/>
          <w:sz w:val="21"/>
          <w:szCs w:val="21"/>
          <w:lang w:val="en-US" w:eastAsia="zh-CN"/>
        </w:rPr>
        <w:t>天然砂砾</w:t>
      </w:r>
      <w:r>
        <w:rPr>
          <w:rFonts w:hint="eastAsia" w:ascii="仿宋_GB2312" w:eastAsia="仿宋_GB2312" w:hAnsiTheme="minorEastAsia"/>
          <w:sz w:val="21"/>
          <w:szCs w:val="21"/>
        </w:rPr>
        <w:t>投标保证金”。</w:t>
      </w:r>
    </w:p>
    <w:p>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14339495"/>
      <w:bookmarkStart w:id="23" w:name="_Toc214333206"/>
      <w:bookmarkStart w:id="24" w:name="_Toc28053"/>
      <w:bookmarkStart w:id="25" w:name="_Toc214336661"/>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1811"/>
      <w:bookmarkStart w:id="29" w:name="_Toc214335335"/>
      <w:bookmarkStart w:id="30" w:name="_Toc214339496"/>
      <w:bookmarkStart w:id="31" w:name="_Toc10683"/>
      <w:bookmarkStart w:id="32" w:name="_Toc214336662"/>
      <w:bookmarkStart w:id="33" w:name="_Toc214333207"/>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14:textFill>
            <w14:solidFill>
              <w14:schemeClr w14:val="tx1"/>
            </w14:solidFill>
          </w14:textFill>
        </w:rPr>
        <w:t>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.1、1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.2、1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.3</w:t>
      </w:r>
      <w:r>
        <w:rPr>
          <w:rFonts w:hint="eastAsia" w:ascii="仿宋_GB2312" w:eastAsia="仿宋_GB2312" w:hAnsiTheme="minorEastAsia"/>
          <w:sz w:val="21"/>
          <w:szCs w:val="21"/>
          <w:highlight w:val="none"/>
        </w:rPr>
        <w:t>款的顺序和要求编制投标文件。</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14:textFill>
            <w14:solidFill>
              <w14:schemeClr w14:val="tx1"/>
            </w14:solidFill>
          </w14:textFill>
        </w:rPr>
      </w:pPr>
      <w:r>
        <w:rPr>
          <w:rFonts w:hint="eastAsia" w:ascii="仿宋_GB2312" w:hAnsi="华文仿宋" w:eastAsia="仿宋_GB2312"/>
          <w:color w:val="000000" w:themeColor="text1"/>
          <w:sz w:val="21"/>
          <w:szCs w:val="21"/>
          <w:highlight w:val="none"/>
          <w14:textFill>
            <w14:solidFill>
              <w14:schemeClr w14:val="tx1"/>
            </w14:solidFill>
          </w14:textFill>
        </w:rPr>
        <w:t>具体内容如下：</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10</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壹拾万元整</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pPr>
        <w:spacing w:line="400" w:lineRule="exact"/>
        <w:ind w:firstLine="420" w:firstLineChars="200"/>
        <w:jc w:val="left"/>
        <w:outlineLvl w:val="2"/>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分供</w:t>
      </w:r>
      <w:r>
        <w:rPr>
          <w:rFonts w:hint="eastAsia" w:ascii="仿宋_GB2312" w:eastAsia="仿宋_GB2312" w:cs="宋体" w:hAnsiTheme="minorEastAsia"/>
          <w:color w:val="000000" w:themeColor="text1"/>
          <w:sz w:val="21"/>
          <w:szCs w:val="21"/>
          <w:highlight w:val="none"/>
          <w14:textFill>
            <w14:solidFill>
              <w14:schemeClr w14:val="tx1"/>
            </w14:solidFill>
          </w14:textFill>
        </w:rPr>
        <w:t>商可免交投标保证金。</w:t>
      </w:r>
    </w:p>
    <w:p>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上一年度中建路桥集团有限公司优质供应商免交履约保证金。</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固定价格</w:t>
      </w:r>
      <w:r>
        <w:rPr>
          <w:rFonts w:hint="eastAsia" w:ascii="仿宋_GB2312" w:eastAsia="仿宋_GB2312" w:hAnsiTheme="minorEastAsia"/>
          <w:b/>
          <w:sz w:val="21"/>
          <w:szCs w:val="21"/>
          <w:highlight w:val="none"/>
          <w:u w:val="single"/>
          <w:lang w:val="en-US" w:eastAsia="zh-CN"/>
        </w:rPr>
        <w:t xml:space="preserve"> </w:t>
      </w:r>
      <w:r>
        <w:rPr>
          <w:rFonts w:hint="eastAsia" w:ascii="仿宋_GB2312" w:eastAsia="仿宋_GB2312" w:hAnsiTheme="minorEastAsia"/>
          <w:b/>
          <w:sz w:val="21"/>
          <w:szCs w:val="21"/>
          <w:highlight w:val="none"/>
        </w:rPr>
        <w:t>报价方式</w:t>
      </w:r>
    </w:p>
    <w:p>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14:textFill>
            <w14:solidFill>
              <w14:schemeClr w14:val="tx1"/>
            </w14:solidFill>
          </w14:textFill>
        </w:rPr>
        <w:t>9</w:t>
      </w:r>
      <w:r>
        <w:rPr>
          <w:rFonts w:hint="eastAsia" w:ascii="仿宋_GB2312" w:eastAsia="仿宋_GB2312" w:hAnsiTheme="minorEastAsia"/>
          <w:color w:val="000000" w:themeColor="text1"/>
          <w:sz w:val="21"/>
          <w:szCs w:val="21"/>
          <w:highlight w:val="none"/>
          <w14:textFill>
            <w14:solidFill>
              <w14:schemeClr w14:val="tx1"/>
            </w14:solidFill>
          </w14:textFill>
        </w:rPr>
        <w:t>0</w:t>
      </w:r>
      <w:r>
        <w:rPr>
          <w:rFonts w:hint="eastAsia" w:ascii="仿宋_GB2312" w:eastAsia="仿宋_GB2312" w:hAnsiTheme="minorEastAsia"/>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14:textFill>
            <w14:solidFill>
              <w14:schemeClr w14:val="bg2"/>
            </w14:solidFill>
          </w14:textFill>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Toc214331812"/>
      <w:bookmarkStart w:id="39" w:name="_Toc214333208"/>
      <w:bookmarkStart w:id="40" w:name="_Toc214336663"/>
      <w:bookmarkStart w:id="41" w:name="_Toc214335336"/>
      <w:bookmarkStart w:id="42" w:name="_Toc31618"/>
      <w:bookmarkStart w:id="43" w:name="_Hlk38441028"/>
      <w:bookmarkStart w:id="44" w:name="_Toc214339497"/>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eastAsia="仿宋_GB2312" w:cs="Times New Roman" w:hAnsiTheme="minorEastAsia"/>
          <w:sz w:val="21"/>
          <w:szCs w:val="21"/>
          <w:highlight w:val="none"/>
        </w:rPr>
        <w:t xml:space="preserve"> </w:t>
      </w:r>
      <w:r>
        <w:rPr>
          <w:rFonts w:hint="eastAsia" w:ascii="仿宋_GB2312" w:eastAsia="仿宋_GB2312" w:cs="Times New Roman" w:hAnsiTheme="minorEastAsia"/>
          <w:sz w:val="21"/>
          <w:szCs w:val="21"/>
          <w:highlight w:val="none"/>
          <w:u w:val="single"/>
        </w:rPr>
        <w:t xml:space="preserve">  集团官网  </w:t>
      </w:r>
    </w:p>
    <w:p>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214336664"/>
      <w:bookmarkStart w:id="47" w:name="_Toc4220"/>
      <w:bookmarkStart w:id="48" w:name="_Toc214331813"/>
      <w:bookmarkStart w:id="49" w:name="_Toc214339498"/>
      <w:bookmarkStart w:id="50" w:name="_Toc214335337"/>
      <w:bookmarkStart w:id="51" w:name="_Toc214333209"/>
    </w:p>
    <w:p>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pPr>
        <w:pStyle w:val="17"/>
        <w:adjustRightInd w:val="0"/>
        <w:snapToGrid w:val="0"/>
        <w:spacing w:line="400" w:lineRule="exact"/>
        <w:ind w:firstLine="420" w:firstLineChars="200"/>
        <w:jc w:val="left"/>
        <w:outlineLvl w:val="2"/>
        <w:rPr>
          <w:rFonts w:hint="eastAsia" w:ascii="仿宋_GB2312" w:eastAsia="仿宋_GB2312" w:cs="Times New Roman" w:hAnsiTheme="minorEastAsia"/>
          <w:kern w:val="2"/>
          <w:highlight w:val="none"/>
          <w:lang w:eastAsia="zh-CN"/>
        </w:rPr>
      </w:pPr>
      <w:r>
        <w:rPr>
          <w:rFonts w:hint="eastAsia" w:ascii="仿宋_GB2312" w:eastAsia="仿宋_GB2312" w:hAnsiTheme="minorEastAsia"/>
          <w:kern w:val="2"/>
          <w:highlight w:val="none"/>
        </w:rPr>
        <w:t>招标人在中建路桥集团有限公司</w:t>
      </w:r>
      <w:r>
        <w:rPr>
          <w:rFonts w:hint="eastAsia" w:ascii="仿宋_GB2312" w:eastAsia="仿宋_GB2312" w:hAnsiTheme="minorEastAsia"/>
          <w:kern w:val="2"/>
          <w:highlight w:val="none"/>
          <w:u w:val="single"/>
          <w:lang w:val="en-US" w:eastAsia="zh-CN"/>
        </w:rPr>
        <w:t xml:space="preserve"> 集团官网 </w:t>
      </w:r>
      <w:r>
        <w:rPr>
          <w:rFonts w:hint="eastAsia" w:ascii="仿宋_GB2312" w:eastAsia="仿宋_GB2312" w:hAnsiTheme="minorEastAsia"/>
          <w:kern w:val="2"/>
          <w:highlight w:val="none"/>
        </w:rPr>
        <w:t>公开开标</w:t>
      </w:r>
      <w:r>
        <w:rPr>
          <w:rFonts w:hint="eastAsia" w:ascii="仿宋_GB2312" w:eastAsia="仿宋_GB2312" w:hAnsiTheme="minorEastAsia"/>
          <w:kern w:val="2"/>
          <w:highlight w:val="none"/>
          <w:lang w:eastAsia="zh-CN"/>
        </w:rPr>
        <w:t>，</w:t>
      </w:r>
      <w:r>
        <w:rPr>
          <w:rFonts w:hint="eastAsia" w:ascii="仿宋_GB2312" w:hAnsi="仿宋_GB2312" w:eastAsia="仿宋_GB2312" w:cs="仿宋_GB2312"/>
          <w:sz w:val="21"/>
          <w:szCs w:val="21"/>
        </w:rPr>
        <w:t>开标时间以“</w:t>
      </w:r>
      <w:r>
        <w:rPr>
          <w:rFonts w:hint="eastAsia" w:ascii="仿宋_GB2312" w:eastAsia="仿宋_GB2312" w:hAnsiTheme="minorEastAsia"/>
          <w:kern w:val="2"/>
          <w:highlight w:val="none"/>
          <w:u w:val="single"/>
          <w:lang w:val="en-US" w:eastAsia="zh-CN"/>
        </w:rPr>
        <w:t>集团官网</w:t>
      </w:r>
      <w:r>
        <w:rPr>
          <w:rFonts w:hint="eastAsia" w:ascii="仿宋_GB2312" w:hAnsi="仿宋_GB2312" w:eastAsia="仿宋_GB2312" w:cs="仿宋_GB2312"/>
          <w:sz w:val="21"/>
          <w:szCs w:val="21"/>
        </w:rPr>
        <w:t>”为准</w:t>
      </w:r>
    </w:p>
    <w:p>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拟中标供应商公示：拟确定的中标供应商通过云筑网公示，公示期为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pPr>
        <w:pStyle w:val="17"/>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pPr>
        <w:pStyle w:val="17"/>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214331814"/>
      <w:bookmarkStart w:id="57" w:name="_Toc214335338"/>
      <w:bookmarkStart w:id="58" w:name="_Toc4715"/>
      <w:bookmarkStart w:id="59" w:name="_Toc214336665"/>
      <w:bookmarkStart w:id="60" w:name="_Toc214333210"/>
      <w:bookmarkStart w:id="61" w:name="_Toc214339499"/>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pPr>
        <w:spacing w:line="400" w:lineRule="exact"/>
        <w:jc w:val="center"/>
        <w:outlineLvl w:val="2"/>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仿宋_GB2312" w:eastAsia="仿宋_GB2312" w:hAnsiTheme="majorEastAsia"/>
          <w:b/>
          <w:bCs/>
          <w:sz w:val="28"/>
          <w:szCs w:val="28"/>
          <w:highlight w:val="none"/>
        </w:rPr>
      </w:pPr>
    </w:p>
    <w:p>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pPr>
        <w:pStyle w:val="17"/>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7"/>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pPr>
        <w:pStyle w:val="17"/>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pPr>
        <w:pStyle w:val="17"/>
        <w:snapToGrid w:val="0"/>
        <w:spacing w:line="400" w:lineRule="exact"/>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（（技术标准请按照图纸要求进行填写，合同已经列出主要物资的技术标准，如与图纸有冲突请以图纸为准）</w:t>
      </w:r>
    </w:p>
    <w:p>
      <w:pPr>
        <w:pStyle w:val="17"/>
        <w:snapToGrid w:val="0"/>
        <w:spacing w:line="400" w:lineRule="exact"/>
        <w:ind w:firstLine="420" w:firstLineChars="200"/>
        <w:jc w:val="left"/>
        <w:outlineLvl w:val="2"/>
        <w:rPr>
          <w:rFonts w:hint="eastAsia" w:ascii="仿宋_GB2312" w:hAnsi="宋体" w:eastAsia="仿宋_GB2312"/>
          <w:kern w:val="2"/>
          <w:highlight w:val="none"/>
          <w:lang w:val="en-US" w:eastAsia="zh-CN"/>
        </w:rPr>
      </w:pPr>
      <w:r>
        <w:rPr>
          <w:rFonts w:hint="eastAsia" w:ascii="仿宋_GB2312" w:hAnsi="宋体" w:eastAsia="仿宋_GB2312"/>
          <w:kern w:val="2"/>
          <w:highlight w:val="none"/>
          <w:lang w:val="en-US" w:eastAsia="zh-CN"/>
        </w:rPr>
        <w:t xml:space="preserve"> 2.1物资质量要求及技术标准</w:t>
      </w:r>
    </w:p>
    <w:p>
      <w:pPr>
        <w:spacing w:line="400" w:lineRule="exact"/>
        <w:ind w:firstLine="420" w:firstLineChars="200"/>
        <w:jc w:val="left"/>
        <w:outlineLvl w:val="0"/>
        <w:rPr>
          <w:rFonts w:hint="default" w:ascii="仿宋_GB2312" w:hAnsi="宋体" w:eastAsia="仿宋_GB2312" w:cs="宋体"/>
          <w:kern w:val="2"/>
          <w:sz w:val="21"/>
          <w:szCs w:val="21"/>
          <w:highlight w:val="none"/>
          <w:lang w:val="en-US" w:eastAsia="zh-CN" w:bidi="ar-SA"/>
        </w:rPr>
      </w:pPr>
      <w:r>
        <w:rPr>
          <w:rFonts w:hint="eastAsia" w:ascii="仿宋_GB2312" w:hAnsi="宋体" w:eastAsia="仿宋_GB2312" w:cs="宋体"/>
          <w:kern w:val="2"/>
          <w:sz w:val="21"/>
          <w:szCs w:val="21"/>
          <w:highlight w:val="none"/>
          <w:lang w:val="en-US" w:eastAsia="zh-CN" w:bidi="ar-SA"/>
        </w:rPr>
        <w:t>天然砂砾液限不得大于50%、塑性指数不得大于26。天然砂砾应严格按照《新疆盐渍土地区公路路基路面设计与施工规范》(XJTJ01-2001)和《公路路基施工技术规范》(JTG/T3610-2019)的相关要求执行。</w:t>
      </w:r>
    </w:p>
    <w:p>
      <w:pPr>
        <w:pStyle w:val="17"/>
        <w:snapToGrid w:val="0"/>
        <w:spacing w:line="400" w:lineRule="exact"/>
        <w:jc w:val="left"/>
        <w:outlineLvl w:val="2"/>
        <w:rPr>
          <w:rFonts w:hint="default" w:ascii="仿宋_GB2312" w:hAnsi="宋体" w:eastAsia="仿宋_GB2312"/>
          <w:kern w:val="2"/>
          <w:highlight w:val="none"/>
          <w:lang w:val="en-US" w:eastAsia="zh-CN"/>
        </w:rPr>
      </w:pPr>
    </w:p>
    <w:p>
      <w:pPr>
        <w:pStyle w:val="17"/>
        <w:snapToGrid w:val="0"/>
        <w:spacing w:line="400" w:lineRule="exact"/>
        <w:ind w:firstLine="420" w:firstLineChars="200"/>
        <w:jc w:val="left"/>
        <w:outlineLvl w:val="2"/>
        <w:rPr>
          <w:rFonts w:ascii="仿宋_GB2312" w:hAnsi="宋体" w:eastAsia="仿宋_GB2312"/>
          <w:kern w:val="2"/>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0"/>
        <w:rPr>
          <w:rFonts w:hint="eastAsia" w:ascii="仿宋_GB2312" w:eastAsia="仿宋_GB2312" w:hAnsiTheme="majorEastAsia"/>
          <w:b/>
          <w:bCs/>
          <w:sz w:val="36"/>
          <w:szCs w:val="36"/>
          <w:highlight w:val="none"/>
          <w:lang w:val="en-US" w:eastAsia="zh-CN"/>
        </w:rPr>
      </w:pPr>
      <w:r>
        <w:rPr>
          <w:rFonts w:hint="eastAsia" w:ascii="仿宋_GB2312" w:eastAsia="仿宋_GB2312" w:hAnsiTheme="majorEastAsia"/>
          <w:b/>
          <w:bCs/>
          <w:sz w:val="36"/>
          <w:szCs w:val="36"/>
          <w:highlight w:val="none"/>
          <w:lang w:val="en-US" w:eastAsia="zh-CN"/>
        </w:rPr>
        <w:t xml:space="preserve"> </w:t>
      </w:r>
    </w:p>
    <w:p>
      <w:pPr>
        <w:spacing w:line="400" w:lineRule="exact"/>
        <w:jc w:val="both"/>
        <w:outlineLvl w:val="0"/>
        <w:rPr>
          <w:rFonts w:hint="eastAsia" w:ascii="仿宋_GB2312" w:eastAsia="仿宋_GB2312" w:hAnsiTheme="majorEastAsia"/>
          <w:b/>
          <w:bCs/>
          <w:sz w:val="36"/>
          <w:szCs w:val="36"/>
          <w:highlight w:val="none"/>
          <w:lang w:val="en-US" w:eastAsia="zh-CN"/>
        </w:rPr>
      </w:pPr>
    </w:p>
    <w:p>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rPr>
          <w:rFonts w:ascii="宋体" w:hAnsi="宋体" w:cs="宋体"/>
          <w:color w:val="000000"/>
          <w:sz w:val="36"/>
          <w:szCs w:val="36"/>
          <w:highlight w:val="none"/>
        </w:rPr>
      </w:pPr>
    </w:p>
    <w:p>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rPr>
        <w:t>中建路桥集团有限公司</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rPr>
        <w:t>项目经理部</w:t>
      </w:r>
    </w:p>
    <w:p>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 xml:space="preserve"> 物资名称 </w:t>
      </w:r>
      <w:r>
        <w:rPr>
          <w:rFonts w:hint="eastAsia" w:ascii="宋体" w:hAnsi="宋体" w:cs="宋体"/>
          <w:b/>
          <w:color w:val="000000"/>
          <w:sz w:val="28"/>
          <w:szCs w:val="28"/>
          <w:highlight w:val="none"/>
        </w:rPr>
        <w:t>采购项目</w:t>
      </w: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widowControl/>
        <w:tabs>
          <w:tab w:val="left" w:pos="1134"/>
        </w:tabs>
        <w:ind w:firstLine="1405" w:firstLineChars="500"/>
        <w:jc w:val="left"/>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 xml:space="preserve">           </w:t>
      </w:r>
      <w:r>
        <w:rPr>
          <w:rFonts w:hint="eastAsia" w:ascii="宋体" w:hAnsi="宋体" w:cs="宋体"/>
          <w:b/>
          <w:color w:val="000000"/>
          <w:sz w:val="28"/>
          <w:szCs w:val="28"/>
          <w:highlight w:val="none"/>
          <w:u w:val="single"/>
        </w:rPr>
        <w:t xml:space="preserve">     </w:t>
      </w:r>
    </w:p>
    <w:p>
      <w:pPr>
        <w:widowControl/>
        <w:ind w:left="3840" w:leftChars="1114" w:hanging="1166" w:hangingChars="387"/>
        <w:rPr>
          <w:rFonts w:ascii="宋体" w:hAnsi="宋体" w:cs="宋体"/>
          <w:b/>
          <w:color w:val="000000"/>
          <w:sz w:val="30"/>
          <w:szCs w:val="30"/>
          <w:highlight w:val="none"/>
        </w:rPr>
      </w:pPr>
    </w:p>
    <w:p>
      <w:pPr>
        <w:widowControl/>
        <w:ind w:left="4067" w:leftChars="1114" w:hanging="1393" w:hangingChars="387"/>
        <w:rPr>
          <w:rFonts w:ascii="宋体" w:hAnsi="宋体" w:cs="宋体"/>
          <w:color w:val="000000"/>
          <w:sz w:val="36"/>
          <w:szCs w:val="36"/>
          <w:highlight w:val="none"/>
        </w:rPr>
      </w:pPr>
    </w:p>
    <w:p>
      <w:pPr>
        <w:pStyle w:val="33"/>
        <w:ind w:left="480"/>
        <w:rPr>
          <w:highlight w:val="none"/>
        </w:rPr>
      </w:pPr>
    </w:p>
    <w:p>
      <w:pPr>
        <w:widowControl/>
        <w:ind w:left="4067" w:leftChars="1114" w:hanging="1393" w:hangingChars="387"/>
        <w:jc w:val="center"/>
        <w:rPr>
          <w:rFonts w:ascii="宋体" w:hAnsi="宋体" w:cs="宋体"/>
          <w:color w:val="000000"/>
          <w:sz w:val="36"/>
          <w:szCs w:val="36"/>
          <w:highlight w:val="none"/>
        </w:rPr>
      </w:pPr>
    </w:p>
    <w:p>
      <w:pPr>
        <w:widowControl/>
        <w:ind w:left="4067" w:leftChars="1114" w:hanging="1393" w:hangingChars="387"/>
        <w:jc w:val="center"/>
        <w:rPr>
          <w:rFonts w:ascii="宋体" w:hAnsi="宋体" w:cs="宋体"/>
          <w:color w:val="000000"/>
          <w:sz w:val="36"/>
          <w:szCs w:val="36"/>
          <w:highlight w:val="none"/>
        </w:rPr>
      </w:pP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left="3426" w:leftChars="565" w:hanging="2070" w:hangingChars="859"/>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jc w:val="left"/>
        <w:rPr>
          <w:rFonts w:hint="eastAsia" w:ascii="仿宋_GB2312" w:eastAsia="仿宋_GB2312" w:cs="宋体" w:hAnsiTheme="minorEastAsia"/>
          <w:b/>
          <w:w w:val="90"/>
          <w:highlight w:val="none"/>
        </w:rPr>
      </w:pPr>
    </w:p>
    <w:p>
      <w:pPr>
        <w:widowControl/>
        <w:jc w:val="left"/>
        <w:rPr>
          <w:rFonts w:hint="eastAsia" w:ascii="仿宋_GB2312" w:eastAsia="仿宋_GB2312" w:cs="宋体" w:hAnsiTheme="minorEastAsia"/>
          <w:b/>
          <w:w w:val="90"/>
          <w:highlight w:val="none"/>
        </w:rPr>
      </w:pPr>
    </w:p>
    <w:p>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sz w:val="21"/>
          <w:szCs w:val="21"/>
          <w:highlight w:val="none"/>
          <w:u w:val="single"/>
        </w:rPr>
        <w:t>中建路桥集团有限公司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的供应。具体投标内容如下：</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1.1 是否确认本招标文件投标须知：      （   ）是   （   ）否</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1000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2000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30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pPr>
        <w:spacing w:line="360" w:lineRule="auto"/>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p>
    <w:p>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pPr>
        <w:jc w:val="left"/>
        <w:rPr>
          <w:rFonts w:ascii="仿宋_GB2312" w:eastAsia="仿宋_GB2312" w:cs="宋体" w:hAnsiTheme="minorEastAsia"/>
          <w:szCs w:val="21"/>
          <w:highlight w:val="none"/>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pPr>
        <w:spacing w:line="400" w:lineRule="exact"/>
        <w:jc w:val="left"/>
        <w:outlineLvl w:val="2"/>
        <w:rPr>
          <w:rFonts w:hint="eastAsia" w:ascii="仿宋_GB2312" w:eastAsia="仿宋_GB2312" w:cs="宋体" w:hAnsiTheme="minorEastAsia"/>
          <w:b/>
          <w:color w:val="000000" w:themeColor="text1"/>
          <w:w w:val="90"/>
          <w:highlight w:val="none"/>
          <w14:textFill>
            <w14:solidFill>
              <w14:schemeClr w14:val="tx1"/>
            </w14:solidFill>
          </w14:textFill>
        </w:rPr>
      </w:pPr>
      <w:bookmarkStart w:id="64" w:name="_Toc54281196"/>
      <w:bookmarkStart w:id="65" w:name="_Toc54280770"/>
      <w:bookmarkStart w:id="66" w:name="_Toc53949160"/>
      <w:bookmarkStart w:id="67" w:name="_Toc54281622"/>
      <w:bookmarkStart w:id="68" w:name="_Toc54278961"/>
      <w:bookmarkStart w:id="69" w:name="_Toc54291526"/>
      <w:bookmarkStart w:id="70" w:name="_Toc53949581"/>
      <w:bookmarkStart w:id="71" w:name="_Toc54280344"/>
      <w:bookmarkStart w:id="72" w:name="_Toc53948739"/>
    </w:p>
    <w:p>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14:textFill>
            <w14:solidFill>
              <w14:schemeClr w14:val="tx1"/>
            </w14:solidFill>
          </w14:textFill>
        </w:rPr>
        <w:t>2</w:t>
      </w:r>
      <w:r>
        <w:rPr>
          <w:rFonts w:ascii="仿宋_GB2312" w:eastAsia="仿宋_GB2312" w:cs="宋体" w:hAnsiTheme="minorEastAsia"/>
          <w:b/>
          <w:color w:val="000000" w:themeColor="text1"/>
          <w:w w:val="90"/>
          <w:highlight w:val="none"/>
          <w14:textFill>
            <w14:solidFill>
              <w14:schemeClr w14:val="tx1"/>
            </w14:solidFill>
          </w14:textFill>
        </w:rPr>
        <w:t>.</w:t>
      </w:r>
      <w:r>
        <w:rPr>
          <w:rFonts w:hint="eastAsia" w:ascii="仿宋_GB2312" w:eastAsia="仿宋_GB2312" w:cs="宋体" w:hAnsiTheme="minorEastAsia"/>
          <w:b/>
          <w:color w:val="000000" w:themeColor="text1"/>
          <w:w w:val="90"/>
          <w:sz w:val="28"/>
          <w:szCs w:val="28"/>
          <w:highlight w:val="none"/>
          <w:lang w:val="en-US" w:eastAsia="zh-CN"/>
          <w14:textFill>
            <w14:solidFill>
              <w14:schemeClr w14:val="tx1"/>
            </w14:solidFill>
          </w14:textFill>
        </w:rPr>
        <w:t>投标</w:t>
      </w:r>
      <w:r>
        <w:rPr>
          <w:rFonts w:hint="eastAsia" w:ascii="仿宋_GB2312" w:eastAsia="仿宋_GB2312" w:cs="宋体" w:hAnsiTheme="minorEastAsia"/>
          <w:b/>
          <w:color w:val="000000" w:themeColor="text1"/>
          <w:w w:val="90"/>
          <w:sz w:val="28"/>
          <w:szCs w:val="28"/>
          <w:highlight w:val="none"/>
          <w14:textFill>
            <w14:solidFill>
              <w14:schemeClr w14:val="tx1"/>
            </w14:solidFill>
          </w14:textFill>
        </w:rPr>
        <w:t>报价清单</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074"/>
        <w:gridCol w:w="840"/>
        <w:gridCol w:w="715"/>
        <w:gridCol w:w="1322"/>
        <w:gridCol w:w="778"/>
        <w:gridCol w:w="925"/>
        <w:gridCol w:w="482"/>
        <w:gridCol w:w="1056"/>
        <w:gridCol w:w="756"/>
        <w:gridCol w:w="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pPr>
              <w:pStyle w:val="41"/>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方式一：</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方式投标报价清单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2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607"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名称</w:t>
            </w:r>
          </w:p>
        </w:tc>
        <w:tc>
          <w:tcPr>
            <w:tcW w:w="475"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404"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74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暂定</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数量</w:t>
            </w:r>
          </w:p>
        </w:tc>
        <w:tc>
          <w:tcPr>
            <w:tcW w:w="43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52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272"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增值</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税率</w:t>
            </w:r>
          </w:p>
        </w:tc>
        <w:tc>
          <w:tcPr>
            <w:tcW w:w="596"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426"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283"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2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1</w:t>
            </w:r>
          </w:p>
        </w:tc>
        <w:tc>
          <w:tcPr>
            <w:tcW w:w="607" w:type="pct"/>
            <w:shd w:val="clear" w:color="auto" w:fill="auto"/>
            <w:vAlign w:val="center"/>
          </w:tcPr>
          <w:p>
            <w:pPr>
              <w:spacing w:line="500" w:lineRule="exact"/>
              <w:jc w:val="both"/>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eastAsia="仿宋_GB2312"/>
                <w:sz w:val="21"/>
                <w:szCs w:val="21"/>
                <w:highlight w:val="none"/>
                <w:lang w:val="en-US" w:eastAsia="zh-CN"/>
              </w:rPr>
              <w:t>天然砂砾</w:t>
            </w:r>
          </w:p>
        </w:tc>
        <w:tc>
          <w:tcPr>
            <w:tcW w:w="475" w:type="pct"/>
            <w:shd w:val="clear" w:color="auto" w:fill="auto"/>
            <w:vAlign w:val="center"/>
          </w:tcPr>
          <w:p>
            <w:pPr>
              <w:spacing w:line="500" w:lineRule="exact"/>
              <w:jc w:val="left"/>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戈壁料</w:t>
            </w:r>
          </w:p>
        </w:tc>
        <w:tc>
          <w:tcPr>
            <w:tcW w:w="404" w:type="pct"/>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eastAsia="仿宋_GB2312"/>
                <w:sz w:val="21"/>
                <w:szCs w:val="21"/>
                <w:highlight w:val="none"/>
                <w:lang w:val="en-US" w:eastAsia="zh-CN"/>
              </w:rPr>
              <w:t>m³</w:t>
            </w:r>
          </w:p>
        </w:tc>
        <w:tc>
          <w:tcPr>
            <w:tcW w:w="747" w:type="pct"/>
            <w:shd w:val="clear" w:color="auto" w:fill="auto"/>
            <w:vAlign w:val="center"/>
          </w:tcPr>
          <w:p>
            <w:pPr>
              <w:spacing w:line="500" w:lineRule="exact"/>
              <w:jc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eastAsia="仿宋_GB2312"/>
                <w:sz w:val="21"/>
                <w:szCs w:val="21"/>
                <w:highlight w:val="none"/>
                <w:lang w:val="en-US" w:eastAsia="zh-CN"/>
              </w:rPr>
              <w:t>923500</w:t>
            </w:r>
          </w:p>
        </w:tc>
        <w:tc>
          <w:tcPr>
            <w:tcW w:w="43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2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72"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96"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26"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83"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23"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合计</w:t>
            </w:r>
          </w:p>
        </w:tc>
        <w:tc>
          <w:tcPr>
            <w:tcW w:w="607"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47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404"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747"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3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2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72"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96"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26"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83"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w:t>
            </w:r>
            <w:r>
              <w:rPr>
                <w:rFonts w:hint="eastAsia" w:ascii="仿宋_GB2312" w:hAnsi="仿宋_GB2312" w:eastAsia="仿宋_GB2312" w:cs="仿宋_GB2312"/>
                <w:color w:val="000000" w:themeColor="text1"/>
                <w:sz w:val="18"/>
                <w:szCs w:val="18"/>
                <w:highlight w:val="none"/>
                <w14:textFill>
                  <w14:solidFill>
                    <w14:schemeClr w14:val="tx1"/>
                  </w14:solidFill>
                </w14:textFill>
              </w:rPr>
              <w:t>不含增值税暂定总价*（1+增值税税率）=</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spacing w:line="400" w:lineRule="exact"/>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sz w:val="21"/>
                <w:szCs w:val="21"/>
                <w:highlight w:val="none"/>
                <w:lang w:val="en-US" w:eastAsia="zh-CN"/>
              </w:rPr>
              <w:t>乙</w:t>
            </w:r>
            <w:r>
              <w:rPr>
                <w:rFonts w:hint="eastAsia" w:ascii="仿宋_GB2312" w:eastAsia="仿宋_GB2312" w:cs="宋体" w:hAnsiTheme="minorEastAsia"/>
                <w:b/>
                <w:bCs/>
                <w:sz w:val="21"/>
                <w:szCs w:val="21"/>
                <w:highlight w:val="none"/>
              </w:rPr>
              <w:t>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p>
            <w:pPr>
              <w:widowControl/>
              <w:jc w:val="left"/>
              <w:rPr>
                <w:rFonts w:hint="eastAsia" w:ascii="仿宋_GB2312" w:hAnsi="宋体" w:eastAsia="仿宋_GB2312"/>
                <w:b/>
                <w:bCs/>
                <w:color w:val="000000" w:themeColor="text1"/>
                <w:sz w:val="18"/>
                <w:szCs w:val="18"/>
                <w:highlight w:val="none"/>
                <w14:textFill>
                  <w14:solidFill>
                    <w14:schemeClr w14:val="tx1"/>
                  </w14:solidFill>
                </w14:textFill>
              </w:rPr>
            </w:pPr>
          </w:p>
        </w:tc>
      </w:tr>
    </w:tbl>
    <w:p>
      <w:pPr>
        <w:spacing w:line="400" w:lineRule="exact"/>
        <w:jc w:val="center"/>
        <w:rPr>
          <w:rFonts w:hint="eastAsia" w:ascii="仿宋_GB2312" w:eastAsia="仿宋_GB2312" w:cs="宋体" w:hAnsiTheme="minorEastAsia"/>
          <w:b/>
          <w:color w:val="000000" w:themeColor="text1"/>
          <w:sz w:val="21"/>
          <w:szCs w:val="21"/>
          <w:highlight w:val="none"/>
          <w14:textFill>
            <w14:solidFill>
              <w14:schemeClr w14:val="tx1"/>
            </w14:solidFill>
          </w14:textFill>
        </w:rPr>
      </w:pPr>
    </w:p>
    <w:p>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pPr>
        <w:spacing w:line="400" w:lineRule="exact"/>
        <w:ind w:firstLine="5880" w:firstLineChars="2800"/>
        <w:jc w:val="left"/>
        <w:rPr>
          <w:rFonts w:hint="eastAsia" w:ascii="仿宋_GB2312" w:eastAsia="仿宋_GB2312" w:cs="宋体" w:hAnsiTheme="minorEastAsia"/>
          <w:kern w:val="0"/>
          <w:sz w:val="21"/>
          <w:szCs w:val="21"/>
          <w:highlight w:val="none"/>
        </w:rPr>
      </w:pPr>
    </w:p>
    <w:p>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pPr>
        <w:spacing w:line="400" w:lineRule="exact"/>
        <w:ind w:firstLine="6720" w:firstLineChars="2800"/>
        <w:jc w:val="left"/>
        <w:rPr>
          <w:highlight w:val="none"/>
        </w:rPr>
      </w:pPr>
    </w:p>
    <w:p>
      <w:pPr>
        <w:spacing w:line="400" w:lineRule="exact"/>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spacing w:line="400" w:lineRule="exact"/>
        <w:ind w:firstLine="6720" w:firstLineChars="2800"/>
        <w:jc w:val="left"/>
        <w:rPr>
          <w:highlight w:val="none"/>
        </w:rPr>
      </w:pPr>
    </w:p>
    <w:p>
      <w:pPr>
        <w:pStyle w:val="311"/>
        <w:spacing w:line="276" w:lineRule="auto"/>
        <w:ind w:firstLine="0" w:firstLineChars="0"/>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 xml:space="preserve"> </w:t>
      </w:r>
    </w:p>
    <w:p>
      <w:pPr>
        <w:pStyle w:val="17"/>
        <w:rPr>
          <w:rFonts w:ascii="仿宋_GB2312" w:eastAsia="仿宋_GB2312" w:cs="宋体" w:hAnsiTheme="minorEastAsia"/>
          <w:b/>
          <w:color w:val="000000" w:themeColor="text1"/>
          <w:w w:val="90"/>
          <w:highlight w:val="none"/>
          <w14:textFill>
            <w14:solidFill>
              <w14:schemeClr w14:val="tx1"/>
            </w14:solidFill>
          </w14:textFill>
        </w:rPr>
      </w:pPr>
    </w:p>
    <w:p>
      <w:pPr>
        <w:spacing w:line="400" w:lineRule="exact"/>
        <w:jc w:val="center"/>
        <w:rPr>
          <w:rFonts w:hint="eastAsia" w:ascii="仿宋_GB2312" w:eastAsia="仿宋_GB2312" w:cs="宋体" w:hAnsiTheme="minorEastAsia"/>
          <w:highlight w:val="none"/>
        </w:rPr>
      </w:pPr>
      <w:r>
        <w:rPr>
          <w:rFonts w:hint="eastAsia" w:ascii="仿宋_GB2312" w:eastAsia="仿宋_GB2312" w:cs="宋体" w:hAnsiTheme="minorEastAsia"/>
          <w:highlight w:val="none"/>
        </w:rPr>
        <w:tab/>
      </w:r>
    </w:p>
    <w:p>
      <w:pPr>
        <w:spacing w:line="400" w:lineRule="exact"/>
        <w:ind w:firstLine="5880" w:firstLineChars="2800"/>
        <w:jc w:val="left"/>
        <w:rPr>
          <w:rFonts w:ascii="仿宋_GB2312" w:eastAsia="仿宋_GB2312" w:cs="宋体" w:hAnsiTheme="minorEastAsia"/>
          <w:kern w:val="0"/>
          <w:sz w:val="21"/>
          <w:szCs w:val="21"/>
          <w:highlight w:val="none"/>
        </w:rPr>
      </w:pPr>
    </w:p>
    <w:p>
      <w:pPr>
        <w:spacing w:line="400" w:lineRule="exact"/>
        <w:ind w:firstLine="5880" w:firstLineChars="2800"/>
        <w:jc w:val="left"/>
        <w:rPr>
          <w:rFonts w:ascii="仿宋_GB2312" w:eastAsia="仿宋_GB2312" w:cs="宋体" w:hAnsiTheme="minorEastAsia"/>
          <w:kern w:val="0"/>
          <w:sz w:val="21"/>
          <w:szCs w:val="21"/>
          <w:highlight w:val="none"/>
        </w:rPr>
      </w:pPr>
    </w:p>
    <w:p>
      <w:pPr>
        <w:pStyle w:val="311"/>
        <w:spacing w:line="276" w:lineRule="auto"/>
        <w:ind w:firstLine="0" w:firstLineChars="0"/>
        <w:rPr>
          <w:rFonts w:hint="eastAsia" w:ascii="仿宋_GB2312" w:eastAsia="仿宋_GB2312" w:cs="宋体" w:hAnsiTheme="minorEastAsia"/>
          <w:kern w:val="0"/>
          <w:sz w:val="21"/>
          <w:szCs w:val="21"/>
          <w:highlight w:val="none"/>
        </w:rPr>
      </w:pPr>
    </w:p>
    <w:bookmarkEnd w:id="64"/>
    <w:bookmarkEnd w:id="65"/>
    <w:bookmarkEnd w:id="66"/>
    <w:bookmarkEnd w:id="67"/>
    <w:bookmarkEnd w:id="68"/>
    <w:bookmarkEnd w:id="69"/>
    <w:bookmarkEnd w:id="70"/>
    <w:bookmarkEnd w:id="71"/>
    <w:bookmarkEnd w:id="72"/>
    <w:p>
      <w:pPr>
        <w:pStyle w:val="311"/>
        <w:spacing w:line="276" w:lineRule="auto"/>
        <w:ind w:firstLine="0" w:firstLineChars="0"/>
        <w:rPr>
          <w:rFonts w:hint="default" w:cs="宋体" w:hAnsiTheme="minorEastAsia"/>
          <w:b/>
          <w:bCs/>
          <w:kern w:val="0"/>
          <w:sz w:val="21"/>
          <w:szCs w:val="21"/>
          <w:highlight w:val="none"/>
          <w:lang w:val="en-US" w:eastAsia="zh-CN"/>
        </w:rPr>
      </w:pPr>
      <w:bookmarkStart w:id="73" w:name="_Toc18209295"/>
      <w:r>
        <w:rPr>
          <w:rFonts w:hint="eastAsia" w:cs="宋体" w:hAnsiTheme="minorEastAsia"/>
          <w:b/>
          <w:bCs/>
          <w:kern w:val="0"/>
          <w:sz w:val="21"/>
          <w:szCs w:val="21"/>
          <w:highlight w:val="none"/>
          <w:lang w:val="en-US" w:eastAsia="zh-CN"/>
        </w:rPr>
        <w:t>3.投标价格组成分析</w:t>
      </w:r>
    </w:p>
    <w:tbl>
      <w:tblPr>
        <w:tblStyle w:val="34"/>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ascii="仿宋" w:hAnsi="仿宋" w:eastAsia="仿宋"/>
                <w:b/>
                <w:bCs/>
                <w:color w:val="000000"/>
                <w:kern w:val="0"/>
                <w:sz w:val="21"/>
                <w:szCs w:val="21"/>
                <w:highlight w:val="none"/>
              </w:rPr>
            </w:pPr>
            <w:bookmarkStart w:id="74" w:name="RANGE!A1:O13"/>
            <w:r>
              <w:rPr>
                <w:rFonts w:hint="eastAsia" w:ascii="仿宋" w:hAnsi="仿宋" w:eastAsia="仿宋"/>
                <w:b/>
                <w:bCs/>
                <w:color w:val="000000"/>
                <w:kern w:val="0"/>
                <w:sz w:val="21"/>
                <w:szCs w:val="21"/>
                <w:highlight w:val="none"/>
              </w:rPr>
              <w:t>投标单价组成明细表</w:t>
            </w:r>
            <w:bookmarkEnd w:id="74"/>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仿宋" w:hAnsi="仿宋" w:eastAsia="仿宋"/>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spacing w:line="500" w:lineRule="exact"/>
              <w:jc w:val="both"/>
              <w:rPr>
                <w:rFonts w:ascii="仿宋" w:hAnsi="仿宋" w:eastAsia="仿宋"/>
                <w:color w:val="000000"/>
                <w:kern w:val="0"/>
                <w:sz w:val="21"/>
                <w:szCs w:val="21"/>
                <w:highlight w:val="none"/>
              </w:rPr>
            </w:pPr>
            <w:r>
              <w:rPr>
                <w:rFonts w:hint="eastAsia" w:ascii="仿宋_GB2312" w:eastAsia="仿宋_GB2312"/>
                <w:sz w:val="21"/>
                <w:szCs w:val="21"/>
                <w:highlight w:val="none"/>
                <w:lang w:val="en-US" w:eastAsia="zh-CN"/>
              </w:rPr>
              <w:t>天然砂砾</w:t>
            </w:r>
          </w:p>
        </w:tc>
        <w:tc>
          <w:tcPr>
            <w:tcW w:w="237" w:type="pct"/>
            <w:tcBorders>
              <w:top w:val="single" w:color="auto" w:sz="4" w:space="0"/>
              <w:left w:val="nil"/>
              <w:bottom w:val="single" w:color="auto" w:sz="4" w:space="0"/>
              <w:right w:val="single" w:color="auto" w:sz="4" w:space="0"/>
            </w:tcBorders>
            <w:shd w:val="clear" w:color="auto" w:fill="auto"/>
            <w:vAlign w:val="center"/>
          </w:tcPr>
          <w:p>
            <w:pPr>
              <w:spacing w:line="500" w:lineRule="exact"/>
              <w:ind w:firstLine="420" w:firstLineChars="200"/>
              <w:jc w:val="left"/>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spacing w:line="500" w:lineRule="exact"/>
              <w:jc w:val="left"/>
              <w:rPr>
                <w:rFonts w:hint="default" w:ascii="仿宋" w:hAnsi="仿宋" w:eastAsia="仿宋"/>
                <w:color w:val="000000"/>
                <w:kern w:val="0"/>
                <w:sz w:val="21"/>
                <w:szCs w:val="21"/>
                <w:highlight w:val="none"/>
                <w:lang w:val="en-US" w:eastAsia="zh-CN"/>
              </w:rPr>
            </w:pPr>
            <w:r>
              <w:rPr>
                <w:rFonts w:hint="eastAsia" w:ascii="仿宋" w:hAnsi="仿宋" w:eastAsia="仿宋"/>
                <w:color w:val="000000"/>
                <w:kern w:val="0"/>
                <w:sz w:val="21"/>
                <w:szCs w:val="21"/>
                <w:highlight w:val="none"/>
                <w:lang w:val="en-US" w:eastAsia="zh-CN"/>
              </w:rPr>
              <w:t>m³</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1"/>
                <w:szCs w:val="21"/>
                <w:highlight w:val="none"/>
              </w:rPr>
            </w:pPr>
          </w:p>
        </w:tc>
      </w:tr>
    </w:tbl>
    <w:p>
      <w:pPr>
        <w:pStyle w:val="311"/>
        <w:spacing w:line="276" w:lineRule="auto"/>
        <w:ind w:firstLine="0" w:firstLineChars="0"/>
        <w:rPr>
          <w:rFonts w:hAnsi="仿宋" w:cs="仿宋_GB2312"/>
          <w:b/>
          <w:bCs/>
          <w:highlight w:val="none"/>
        </w:rPr>
      </w:pPr>
    </w:p>
    <w:p>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pPr>
        <w:pStyle w:val="311"/>
        <w:spacing w:line="276" w:lineRule="auto"/>
        <w:ind w:firstLine="482"/>
        <w:jc w:val="right"/>
        <w:rPr>
          <w:rFonts w:ascii="仿宋" w:hAnsi="仿宋" w:eastAsia="仿宋" w:cs="仿宋_GB2312"/>
          <w:b/>
          <w:bCs/>
          <w:highlight w:val="none"/>
          <w:u w:val="single"/>
        </w:rPr>
      </w:pPr>
    </w:p>
    <w:p>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pPr>
        <w:pStyle w:val="311"/>
        <w:spacing w:line="276" w:lineRule="auto"/>
        <w:ind w:firstLine="0" w:firstLineChars="0"/>
        <w:rPr>
          <w:rFonts w:ascii="仿宋" w:hAnsi="仿宋" w:eastAsia="仿宋" w:cs="仿宋_GB2312"/>
          <w:b/>
          <w:bCs/>
          <w:highlight w:val="none"/>
        </w:rPr>
      </w:pPr>
    </w:p>
    <w:p>
      <w:pPr>
        <w:pStyle w:val="311"/>
        <w:spacing w:line="276" w:lineRule="auto"/>
        <w:ind w:firstLine="0" w:firstLineChars="0"/>
        <w:rPr>
          <w:rFonts w:ascii="仿宋" w:hAnsi="仿宋" w:eastAsia="仿宋" w:cs="仿宋_GB2312"/>
          <w:b/>
          <w:bCs/>
          <w:highlight w:val="none"/>
        </w:rPr>
      </w:pPr>
    </w:p>
    <w:p>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3"/>
    </w:p>
    <w:p>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sz w:val="21"/>
          <w:szCs w:val="21"/>
          <w:highlight w:val="none"/>
          <w:u w:val="single"/>
        </w:rPr>
        <w:t>中建路桥集团有限公司</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中建路桥集团有限公司XX项目XX物资采购招标</w:t>
      </w:r>
      <w:r>
        <w:rPr>
          <w:rFonts w:hint="eastAsia" w:ascii="仿宋_GB2312" w:eastAsia="仿宋_GB2312" w:cs="宋体" w:hAnsiTheme="minorEastAsia"/>
          <w:sz w:val="21"/>
          <w:szCs w:val="21"/>
          <w:highlight w:val="none"/>
        </w:rPr>
        <w:t>（招标文件编号：</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 xml:space="preserve">        </w:t>
      </w:r>
      <w:r>
        <w:rPr>
          <w:rFonts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代理人无转委托权。</w:t>
      </w:r>
    </w:p>
    <w:p>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特此授权。</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pPr>
        <w:spacing w:line="400" w:lineRule="exact"/>
        <w:ind w:firstLine="420" w:firstLineChars="200"/>
        <w:jc w:val="left"/>
        <w:outlineLvl w:val="2"/>
        <w:rPr>
          <w:rFonts w:ascii="仿宋_GB2312" w:eastAsia="仿宋_GB2312" w:cs="宋体" w:hAnsiTheme="minorEastAsia"/>
          <w:sz w:val="21"/>
          <w:szCs w:val="21"/>
          <w:highlight w:val="none"/>
        </w:rPr>
      </w:pPr>
    </w:p>
    <w:p>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pPr>
        <w:spacing w:line="360" w:lineRule="auto"/>
        <w:jc w:val="center"/>
        <w:rPr>
          <w:rFonts w:ascii="仿宋_GB2312" w:eastAsia="仿宋_GB2312" w:cs="宋体" w:hAnsiTheme="minorEastAsia"/>
          <w:w w:val="90"/>
          <w:szCs w:val="22"/>
          <w:highlight w:val="none"/>
        </w:rPr>
      </w:pPr>
    </w:p>
    <w:p>
      <w:pPr>
        <w:spacing w:line="360" w:lineRule="auto"/>
        <w:jc w:val="center"/>
        <w:rPr>
          <w:rFonts w:ascii="仿宋_GB2312" w:eastAsia="仿宋_GB2312" w:cs="宋体" w:hAnsiTheme="minorEastAsia"/>
          <w:b/>
          <w:w w:val="90"/>
          <w:sz w:val="28"/>
          <w:szCs w:val="28"/>
          <w:highlight w:val="none"/>
        </w:rPr>
      </w:pPr>
    </w:p>
    <w:p>
      <w:pPr>
        <w:spacing w:line="360" w:lineRule="auto"/>
        <w:jc w:val="both"/>
        <w:rPr>
          <w:rFonts w:ascii="仿宋_GB2312" w:eastAsia="仿宋_GB2312" w:cs="宋体" w:hAnsiTheme="minorEastAsia"/>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pPr>
        <w:rPr>
          <w:rFonts w:ascii="仿宋_GB2312" w:eastAsia="仿宋_GB2312" w:cs="Times New Roman" w:hAnsiTheme="minorEastAsia"/>
          <w:vanish/>
          <w:sz w:val="21"/>
          <w:szCs w:val="22"/>
          <w:highlight w:val="none"/>
        </w:rPr>
      </w:pPr>
    </w:p>
    <w:tbl>
      <w:tblPr>
        <w:tblStyle w:val="34"/>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AnsiTheme="minorEastAsia"/>
                <w:b w:val="0"/>
                <w:highlight w:val="none"/>
              </w:rPr>
            </w:pPr>
          </w:p>
          <w:p>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pPr>
        <w:spacing w:line="360" w:lineRule="auto"/>
        <w:jc w:val="center"/>
        <w:rPr>
          <w:rFonts w:ascii="仿宋_GB2312" w:eastAsia="仿宋_GB2312" w:cs="宋体" w:hAnsiTheme="minorEastAsia"/>
          <w:b/>
          <w:sz w:val="32"/>
          <w:szCs w:val="32"/>
          <w:highlight w:val="none"/>
        </w:rPr>
      </w:pPr>
    </w:p>
    <w:p>
      <w:pPr>
        <w:spacing w:line="360" w:lineRule="auto"/>
        <w:jc w:val="left"/>
        <w:rPr>
          <w:rFonts w:ascii="仿宋_GB2312" w:eastAsia="仿宋_GB2312" w:cs="宋体" w:hAnsiTheme="minorEastAsia"/>
          <w:b/>
          <w:sz w:val="32"/>
          <w:szCs w:val="32"/>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4"/>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pPr>
              <w:jc w:val="center"/>
              <w:rPr>
                <w:rFonts w:hint="eastAsia" w:ascii="仿宋_GB2312" w:hAnsi="华文仿宋" w:eastAsia="仿宋_GB2312" w:cs="Times New Roman"/>
                <w:sz w:val="21"/>
                <w:szCs w:val="21"/>
                <w:highlight w:val="none"/>
              </w:rPr>
            </w:pPr>
          </w:p>
        </w:tc>
        <w:tc>
          <w:tcPr>
            <w:tcW w:w="2410" w:type="dxa"/>
            <w:vAlign w:val="center"/>
          </w:tcPr>
          <w:p>
            <w:pPr>
              <w:jc w:val="center"/>
              <w:rPr>
                <w:rFonts w:hint="eastAsia" w:ascii="仿宋_GB2312" w:hAnsi="华文仿宋" w:eastAsia="仿宋_GB2312" w:cs="Times New Roman"/>
                <w:sz w:val="21"/>
                <w:szCs w:val="21"/>
                <w:highlight w:val="none"/>
              </w:rPr>
            </w:pPr>
          </w:p>
        </w:tc>
        <w:tc>
          <w:tcPr>
            <w:tcW w:w="2409" w:type="dxa"/>
            <w:vAlign w:val="center"/>
          </w:tcPr>
          <w:p>
            <w:pPr>
              <w:jc w:val="center"/>
              <w:rPr>
                <w:rFonts w:hint="eastAsia" w:ascii="仿宋_GB2312" w:hAnsi="华文仿宋" w:eastAsia="仿宋_GB2312" w:cs="Times New Roman"/>
                <w:sz w:val="21"/>
                <w:szCs w:val="21"/>
                <w:highlight w:val="none"/>
              </w:rPr>
            </w:pPr>
          </w:p>
        </w:tc>
        <w:tc>
          <w:tcPr>
            <w:tcW w:w="1910" w:type="dxa"/>
            <w:vAlign w:val="center"/>
          </w:tcPr>
          <w:p>
            <w:pPr>
              <w:jc w:val="center"/>
              <w:rPr>
                <w:rFonts w:hint="eastAsia" w:ascii="仿宋_GB2312" w:hAnsi="华文仿宋" w:eastAsia="仿宋_GB2312" w:cs="Times New Roman"/>
                <w:sz w:val="21"/>
                <w:szCs w:val="21"/>
                <w:highlight w:val="none"/>
              </w:rPr>
            </w:pPr>
          </w:p>
        </w:tc>
      </w:tr>
    </w:tbl>
    <w:p>
      <w:pPr>
        <w:outlineLvl w:val="1"/>
        <w:rPr>
          <w:rFonts w:hint="eastAsia" w:ascii="仿宋_GB2312" w:hAnsi="华文仿宋" w:eastAsia="仿宋_GB2312" w:cs="Times New Roman"/>
          <w:highlight w:val="none"/>
        </w:rPr>
      </w:pPr>
    </w:p>
    <w:p>
      <w:pPr>
        <w:jc w:val="both"/>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sz w:val="21"/>
          <w:szCs w:val="21"/>
          <w:highlight w:val="none"/>
        </w:rPr>
      </w:pPr>
    </w:p>
    <w:p>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4"/>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pPr>
              <w:jc w:val="center"/>
              <w:rPr>
                <w:rFonts w:hint="eastAsia" w:ascii="仿宋_GB2312" w:hAnsi="华文仿宋" w:eastAsia="仿宋_GB2312" w:cs="Times New Roman"/>
                <w:sz w:val="21"/>
                <w:szCs w:val="21"/>
                <w:highlight w:val="none"/>
              </w:rPr>
            </w:pPr>
          </w:p>
        </w:tc>
        <w:tc>
          <w:tcPr>
            <w:tcW w:w="1996" w:type="dxa"/>
            <w:vAlign w:val="center"/>
          </w:tcPr>
          <w:p>
            <w:pPr>
              <w:jc w:val="center"/>
              <w:rPr>
                <w:rFonts w:hint="eastAsia" w:ascii="仿宋_GB2312" w:hAnsi="华文仿宋" w:eastAsia="仿宋_GB2312" w:cs="Times New Roman"/>
                <w:sz w:val="21"/>
                <w:szCs w:val="21"/>
                <w:highlight w:val="none"/>
              </w:rPr>
            </w:pPr>
          </w:p>
        </w:tc>
        <w:tc>
          <w:tcPr>
            <w:tcW w:w="2100" w:type="dxa"/>
            <w:vAlign w:val="center"/>
          </w:tcPr>
          <w:p>
            <w:pPr>
              <w:jc w:val="center"/>
              <w:rPr>
                <w:rFonts w:hint="eastAsia" w:ascii="仿宋_GB2312" w:hAnsi="华文仿宋" w:eastAsia="仿宋_GB2312" w:cs="Times New Roman"/>
                <w:sz w:val="21"/>
                <w:szCs w:val="21"/>
                <w:highlight w:val="none"/>
              </w:rPr>
            </w:pPr>
          </w:p>
        </w:tc>
        <w:tc>
          <w:tcPr>
            <w:tcW w:w="1540" w:type="dxa"/>
            <w:vAlign w:val="center"/>
          </w:tcPr>
          <w:p>
            <w:pPr>
              <w:jc w:val="center"/>
              <w:rPr>
                <w:rFonts w:hint="eastAsia" w:ascii="仿宋_GB2312" w:hAnsi="华文仿宋" w:eastAsia="仿宋_GB2312" w:cs="Times New Roman"/>
                <w:sz w:val="21"/>
                <w:szCs w:val="21"/>
                <w:highlight w:val="none"/>
              </w:rPr>
            </w:pPr>
          </w:p>
        </w:tc>
        <w:tc>
          <w:tcPr>
            <w:tcW w:w="1120" w:type="dxa"/>
            <w:vAlign w:val="center"/>
          </w:tcPr>
          <w:p>
            <w:pPr>
              <w:jc w:val="center"/>
              <w:rPr>
                <w:rFonts w:hint="eastAsia" w:ascii="仿宋_GB2312" w:hAnsi="华文仿宋" w:eastAsia="仿宋_GB2312" w:cs="Times New Roman"/>
                <w:sz w:val="21"/>
                <w:szCs w:val="21"/>
                <w:highlight w:val="none"/>
              </w:rPr>
            </w:pPr>
          </w:p>
        </w:tc>
      </w:tr>
    </w:tbl>
    <w:p>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pPr>
        <w:spacing w:line="400" w:lineRule="exact"/>
        <w:ind w:firstLine="200"/>
        <w:jc w:val="left"/>
        <w:rPr>
          <w:rFonts w:ascii="仿宋_GB2312" w:eastAsia="仿宋_GB2312" w:cs="宋体" w:hAnsiTheme="minorEastAsia"/>
          <w:highlight w:val="none"/>
        </w:rPr>
      </w:pPr>
    </w:p>
    <w:p>
      <w:pPr>
        <w:spacing w:line="400" w:lineRule="exact"/>
        <w:ind w:firstLine="200"/>
        <w:jc w:val="left"/>
        <w:rPr>
          <w:rFonts w:ascii="仿宋_GB2312" w:eastAsia="仿宋_GB2312" w:cs="宋体" w:hAnsiTheme="minorEastAsia"/>
          <w:highlight w:val="none"/>
        </w:rPr>
      </w:pPr>
    </w:p>
    <w:p>
      <w:pPr>
        <w:spacing w:line="400" w:lineRule="exact"/>
        <w:ind w:firstLine="200"/>
        <w:jc w:val="left"/>
        <w:rPr>
          <w:rFonts w:ascii="仿宋_GB2312" w:eastAsia="仿宋_GB2312" w:cs="宋体" w:hAnsiTheme="minorEastAsia"/>
          <w:highlight w:val="none"/>
        </w:rPr>
      </w:pPr>
    </w:p>
    <w:p>
      <w:pPr>
        <w:spacing w:line="400" w:lineRule="exact"/>
        <w:ind w:firstLine="200"/>
        <w:jc w:val="left"/>
        <w:rPr>
          <w:rFonts w:ascii="仿宋_GB2312" w:eastAsia="仿宋_GB2312" w:cs="宋体" w:hAnsiTheme="minorEastAsia"/>
          <w:highlight w:val="none"/>
        </w:rPr>
      </w:pPr>
    </w:p>
    <w:p>
      <w:pPr>
        <w:spacing w:line="400" w:lineRule="exact"/>
        <w:ind w:firstLine="200"/>
        <w:jc w:val="left"/>
        <w:rPr>
          <w:rFonts w:ascii="仿宋_GB2312" w:eastAsia="仿宋_GB2312" w:cs="宋体" w:hAnsiTheme="minorEastAsia"/>
          <w:highlight w:val="none"/>
        </w:rPr>
      </w:pPr>
    </w:p>
    <w:p>
      <w:pPr>
        <w:spacing w:line="400" w:lineRule="exact"/>
        <w:ind w:firstLine="200"/>
        <w:jc w:val="left"/>
        <w:rPr>
          <w:rFonts w:ascii="仿宋_GB2312" w:eastAsia="仿宋_GB2312" w:cs="宋体" w:hAnsiTheme="minorEastAsia"/>
          <w:highlight w:val="none"/>
        </w:rPr>
      </w:pPr>
    </w:p>
    <w:p>
      <w:pPr>
        <w:spacing w:line="400" w:lineRule="exact"/>
        <w:ind w:firstLine="200"/>
        <w:jc w:val="left"/>
        <w:rPr>
          <w:rFonts w:ascii="仿宋_GB2312" w:eastAsia="仿宋_GB2312" w:cs="宋体" w:hAnsiTheme="minorEastAsia"/>
          <w:highlight w:val="none"/>
        </w:rPr>
      </w:pP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bookmarkStart w:id="204" w:name="_GoBack"/>
      <w:bookmarkEnd w:id="204"/>
    </w:p>
    <w:p>
      <w:pPr>
        <w:widowControl/>
        <w:shd w:val="clear" w:color="auto" w:fill="FFFFFF"/>
        <w:spacing w:line="560" w:lineRule="exact"/>
        <w:jc w:val="center"/>
        <w:rPr>
          <w:rFonts w:ascii="黑体" w:hAnsi="黑体" w:eastAsia="黑体" w:cs="Arial"/>
          <w:color w:val="000000"/>
          <w:kern w:val="0"/>
          <w:sz w:val="44"/>
          <w:szCs w:val="44"/>
        </w:rPr>
      </w:pPr>
      <w:r>
        <w:rPr>
          <w:rFonts w:ascii="黑体" w:hAnsi="黑体" w:eastAsia="黑体" w:cs="Arial"/>
          <w:color w:val="000000"/>
          <w:kern w:val="0"/>
          <w:sz w:val="44"/>
          <w:szCs w:val="44"/>
        </w:rPr>
        <w:t>关于投标单位关联关系的认定说明</w:t>
      </w:r>
    </w:p>
    <w:p>
      <w:pPr>
        <w:widowControl/>
        <w:shd w:val="clear" w:color="auto" w:fill="FFFFFF"/>
        <w:spacing w:line="560" w:lineRule="exact"/>
        <w:ind w:firstLine="480" w:firstLineChars="200"/>
        <w:rPr>
          <w:rFonts w:ascii="仿宋" w:hAnsi="仿宋" w:eastAsia="仿宋" w:cs="Arial"/>
          <w:color w:val="000000"/>
          <w:kern w:val="0"/>
          <w:sz w:val="24"/>
          <w:szCs w:val="24"/>
        </w:rPr>
      </w:pPr>
      <w:r>
        <w:rPr>
          <w:rFonts w:hint="eastAsia" w:ascii="仿宋" w:hAnsi="仿宋" w:eastAsia="仿宋" w:cs="Arial"/>
          <w:color w:val="000000"/>
          <w:kern w:val="0"/>
          <w:sz w:val="24"/>
          <w:szCs w:val="24"/>
        </w:rPr>
        <w:t>根据</w:t>
      </w:r>
      <w:r>
        <w:rPr>
          <w:rFonts w:ascii="仿宋" w:hAnsi="仿宋" w:eastAsia="仿宋" w:cs="Arial"/>
          <w:color w:val="000000"/>
          <w:kern w:val="0"/>
          <w:sz w:val="24"/>
          <w:szCs w:val="24"/>
        </w:rPr>
        <w:t>《招标投标法》第53条规定：“投标人相互串通投标或者与招标人串通投标的，投标人以向招标人或者评标委员会成员行贿的手段谋取中标的，中标无效。”《公司法》第二百一十六条：“本法下列用语的含义：（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widowControl/>
        <w:shd w:val="clear" w:color="auto" w:fill="FFFFFF"/>
        <w:spacing w:line="560" w:lineRule="exact"/>
        <w:ind w:firstLine="480" w:firstLineChars="200"/>
        <w:rPr>
          <w:rFonts w:ascii="仿宋" w:hAnsi="仿宋" w:eastAsia="仿宋" w:cs="Arial"/>
          <w:color w:val="000000"/>
          <w:kern w:val="0"/>
          <w:sz w:val="24"/>
          <w:szCs w:val="24"/>
        </w:rPr>
      </w:pPr>
      <w:r>
        <w:rPr>
          <w:rFonts w:ascii="仿宋" w:hAnsi="仿宋" w:eastAsia="仿宋" w:cs="Arial"/>
          <w:color w:val="000000"/>
          <w:kern w:val="0"/>
          <w:sz w:val="24"/>
          <w:szCs w:val="24"/>
        </w:rPr>
        <w:t>为防止分供方围标串标，规范招标行为，现列举招标中常见的关联关系供各单位参考</w:t>
      </w:r>
      <w:r>
        <w:rPr>
          <w:rFonts w:hint="eastAsia" w:ascii="仿宋" w:hAnsi="仿宋" w:eastAsia="仿宋" w:cs="Arial"/>
          <w:color w:val="000000"/>
          <w:kern w:val="0"/>
          <w:sz w:val="24"/>
          <w:szCs w:val="24"/>
        </w:rPr>
        <w:t>：</w:t>
      </w:r>
    </w:p>
    <w:p>
      <w:pPr>
        <w:widowControl/>
        <w:shd w:val="clear" w:color="auto" w:fill="FFFFFF"/>
        <w:spacing w:line="560" w:lineRule="exact"/>
        <w:ind w:firstLine="480" w:firstLineChars="200"/>
        <w:jc w:val="left"/>
        <w:rPr>
          <w:rFonts w:ascii="仿宋" w:hAnsi="仿宋" w:eastAsia="仿宋" w:cs="Arial"/>
          <w:color w:val="000000"/>
          <w:kern w:val="0"/>
          <w:sz w:val="24"/>
          <w:szCs w:val="24"/>
        </w:rPr>
      </w:pPr>
      <w:r>
        <w:rPr>
          <w:rFonts w:ascii="仿宋" w:hAnsi="仿宋" w:eastAsia="仿宋" w:cs="Arial"/>
          <w:color w:val="000000"/>
          <w:kern w:val="0"/>
          <w:sz w:val="24"/>
          <w:szCs w:val="24"/>
        </w:rPr>
        <w:t>1.不同投标人的法人或主要负责人为同一人；</w:t>
      </w:r>
    </w:p>
    <w:p>
      <w:pPr>
        <w:widowControl/>
        <w:shd w:val="clear" w:color="auto" w:fill="FFFFFF"/>
        <w:spacing w:line="560" w:lineRule="exact"/>
        <w:ind w:firstLine="480" w:firstLineChars="200"/>
        <w:jc w:val="left"/>
        <w:rPr>
          <w:rFonts w:ascii="仿宋" w:hAnsi="仿宋" w:eastAsia="仿宋" w:cs="Arial"/>
          <w:color w:val="000000"/>
          <w:kern w:val="0"/>
          <w:sz w:val="24"/>
          <w:szCs w:val="24"/>
        </w:rPr>
      </w:pPr>
      <w:r>
        <w:rPr>
          <w:rFonts w:ascii="仿宋" w:hAnsi="仿宋" w:eastAsia="仿宋" w:cs="Arial"/>
          <w:color w:val="000000"/>
          <w:kern w:val="0"/>
          <w:sz w:val="24"/>
          <w:szCs w:val="24"/>
        </w:rPr>
        <w:t>2.相互间直接或者间接持有其中一方的股份</w:t>
      </w:r>
      <w:r>
        <w:rPr>
          <w:rFonts w:hint="eastAsia" w:ascii="仿宋" w:hAnsi="仿宋" w:eastAsia="仿宋" w:cs="Arial"/>
          <w:color w:val="000000"/>
          <w:kern w:val="0"/>
          <w:sz w:val="24"/>
          <w:szCs w:val="24"/>
        </w:rPr>
        <w:t>，或互为监事</w:t>
      </w:r>
      <w:r>
        <w:rPr>
          <w:rFonts w:ascii="仿宋" w:hAnsi="仿宋" w:eastAsia="仿宋" w:cs="Arial"/>
          <w:color w:val="000000"/>
          <w:kern w:val="0"/>
          <w:sz w:val="24"/>
          <w:szCs w:val="24"/>
        </w:rPr>
        <w:t>；</w:t>
      </w:r>
    </w:p>
    <w:p>
      <w:pPr>
        <w:widowControl/>
        <w:shd w:val="clear" w:color="auto" w:fill="FFFFFF"/>
        <w:spacing w:line="560" w:lineRule="exact"/>
        <w:ind w:firstLine="480" w:firstLineChars="200"/>
        <w:jc w:val="left"/>
        <w:rPr>
          <w:rFonts w:ascii="仿宋" w:hAnsi="仿宋" w:eastAsia="仿宋" w:cs="Arial"/>
          <w:color w:val="000000"/>
          <w:kern w:val="0"/>
          <w:sz w:val="24"/>
          <w:szCs w:val="24"/>
        </w:rPr>
      </w:pPr>
      <w:r>
        <w:rPr>
          <w:rFonts w:ascii="仿宋" w:hAnsi="仿宋" w:eastAsia="仿宋" w:cs="Arial"/>
          <w:color w:val="000000"/>
          <w:kern w:val="0"/>
          <w:sz w:val="24"/>
          <w:szCs w:val="24"/>
        </w:rPr>
        <w:t>3.直接或间接同为第三者所拥有或控制股份</w:t>
      </w:r>
      <w:r>
        <w:rPr>
          <w:rFonts w:hint="eastAsia" w:ascii="仿宋" w:hAnsi="仿宋" w:eastAsia="仿宋" w:cs="Arial"/>
          <w:color w:val="000000"/>
          <w:kern w:val="0"/>
          <w:sz w:val="24"/>
          <w:szCs w:val="24"/>
        </w:rPr>
        <w:t>，或互为监事</w:t>
      </w:r>
      <w:r>
        <w:rPr>
          <w:rFonts w:ascii="仿宋" w:hAnsi="仿宋" w:eastAsia="仿宋" w:cs="Arial"/>
          <w:color w:val="000000"/>
          <w:kern w:val="0"/>
          <w:sz w:val="24"/>
          <w:szCs w:val="24"/>
        </w:rPr>
        <w:t>；</w:t>
      </w:r>
    </w:p>
    <w:p>
      <w:pPr>
        <w:widowControl/>
        <w:shd w:val="clear" w:color="auto" w:fill="FFFFFF"/>
        <w:spacing w:line="560" w:lineRule="exact"/>
        <w:ind w:firstLine="480" w:firstLineChars="200"/>
        <w:jc w:val="left"/>
        <w:rPr>
          <w:rFonts w:ascii="仿宋" w:hAnsi="仿宋" w:eastAsia="仿宋" w:cs="Arial"/>
          <w:color w:val="000000"/>
          <w:kern w:val="0"/>
          <w:sz w:val="24"/>
          <w:szCs w:val="24"/>
        </w:rPr>
      </w:pPr>
      <w:r>
        <w:rPr>
          <w:rFonts w:ascii="仿宋" w:hAnsi="仿宋" w:eastAsia="仿宋" w:cs="Arial"/>
          <w:color w:val="000000"/>
          <w:kern w:val="0"/>
          <w:sz w:val="24"/>
          <w:szCs w:val="24"/>
        </w:rPr>
        <w:t>4.相互间存在租赁关系（例如商混站的租赁）；；</w:t>
      </w:r>
    </w:p>
    <w:p>
      <w:pPr>
        <w:widowControl/>
        <w:shd w:val="clear" w:color="auto" w:fill="FFFFFF"/>
        <w:spacing w:line="560" w:lineRule="exact"/>
        <w:ind w:firstLine="480" w:firstLineChars="200"/>
        <w:jc w:val="left"/>
        <w:rPr>
          <w:rFonts w:ascii="仿宋" w:hAnsi="仿宋" w:eastAsia="仿宋" w:cs="Arial"/>
          <w:color w:val="000000"/>
          <w:kern w:val="0"/>
          <w:sz w:val="24"/>
          <w:szCs w:val="24"/>
        </w:rPr>
      </w:pPr>
      <w:r>
        <w:rPr>
          <w:rFonts w:ascii="仿宋" w:hAnsi="仿宋" w:eastAsia="仿宋" w:cs="Arial"/>
          <w:color w:val="000000"/>
          <w:kern w:val="0"/>
          <w:sz w:val="24"/>
          <w:szCs w:val="24"/>
        </w:rPr>
        <w:t>5.属于同一集团、协会等组织成员的投标人按照该组织要求协同投标；</w:t>
      </w:r>
    </w:p>
    <w:p>
      <w:pPr>
        <w:widowControl/>
        <w:shd w:val="clear" w:color="auto" w:fill="FFFFFF"/>
        <w:spacing w:line="560" w:lineRule="exact"/>
        <w:ind w:firstLine="480" w:firstLineChars="200"/>
        <w:jc w:val="left"/>
        <w:rPr>
          <w:rFonts w:ascii="仿宋" w:hAnsi="仿宋" w:eastAsia="仿宋" w:cs="Arial"/>
          <w:color w:val="000000"/>
          <w:kern w:val="0"/>
          <w:sz w:val="24"/>
          <w:szCs w:val="24"/>
        </w:rPr>
      </w:pPr>
      <w:r>
        <w:rPr>
          <w:rFonts w:ascii="仿宋" w:hAnsi="仿宋" w:eastAsia="仿宋" w:cs="Arial"/>
          <w:color w:val="000000"/>
          <w:kern w:val="0"/>
          <w:sz w:val="24"/>
          <w:szCs w:val="24"/>
        </w:rPr>
        <w:t>6.投标人之间为谋取中标或者排斥</w:t>
      </w:r>
      <w:r>
        <w:rPr>
          <w:rFonts w:hint="eastAsia" w:ascii="仿宋" w:hAnsi="仿宋" w:eastAsia="仿宋" w:cs="Arial"/>
          <w:color w:val="000000"/>
          <w:kern w:val="0"/>
          <w:sz w:val="24"/>
          <w:szCs w:val="24"/>
        </w:rPr>
        <w:t>其他</w:t>
      </w:r>
      <w:r>
        <w:rPr>
          <w:rFonts w:ascii="仿宋" w:hAnsi="仿宋" w:eastAsia="仿宋" w:cs="Arial"/>
          <w:color w:val="000000"/>
          <w:kern w:val="0"/>
          <w:sz w:val="24"/>
          <w:szCs w:val="24"/>
        </w:rPr>
        <w:t>投标人而采取的</w:t>
      </w:r>
      <w:r>
        <w:rPr>
          <w:rFonts w:hint="eastAsia" w:ascii="仿宋" w:hAnsi="仿宋" w:eastAsia="仿宋" w:cs="Arial"/>
          <w:color w:val="000000"/>
          <w:kern w:val="0"/>
          <w:sz w:val="24"/>
          <w:szCs w:val="24"/>
        </w:rPr>
        <w:t>任何围标串标</w:t>
      </w:r>
      <w:r>
        <w:rPr>
          <w:rFonts w:ascii="仿宋" w:hAnsi="仿宋" w:eastAsia="仿宋" w:cs="Arial"/>
          <w:color w:val="000000"/>
          <w:kern w:val="0"/>
          <w:sz w:val="24"/>
          <w:szCs w:val="24"/>
        </w:rPr>
        <w:t>行动；</w:t>
      </w:r>
    </w:p>
    <w:p>
      <w:pPr>
        <w:widowControl/>
        <w:shd w:val="clear" w:color="auto" w:fill="FFFFFF"/>
        <w:spacing w:line="560" w:lineRule="exact"/>
        <w:ind w:left="480" w:leftChars="200"/>
        <w:jc w:val="left"/>
        <w:rPr>
          <w:rFonts w:ascii="仿宋" w:hAnsi="仿宋" w:eastAsia="仿宋" w:cs="Arial"/>
          <w:color w:val="000000"/>
          <w:kern w:val="0"/>
          <w:sz w:val="24"/>
          <w:szCs w:val="24"/>
        </w:rPr>
      </w:pPr>
      <w:r>
        <w:rPr>
          <w:rFonts w:ascii="仿宋" w:hAnsi="仿宋" w:eastAsia="仿宋" w:cs="Arial"/>
          <w:color w:val="000000"/>
          <w:kern w:val="0"/>
          <w:sz w:val="24"/>
          <w:szCs w:val="24"/>
        </w:rPr>
        <w:t>7.不同投标人的投标文件由同一单位或者个人编制</w:t>
      </w:r>
      <w:r>
        <w:rPr>
          <w:rFonts w:hint="eastAsia" w:ascii="仿宋" w:hAnsi="仿宋" w:eastAsia="仿宋" w:cs="Arial"/>
          <w:color w:val="000000"/>
          <w:kern w:val="0"/>
          <w:sz w:val="24"/>
          <w:szCs w:val="24"/>
        </w:rPr>
        <w:t>或电子资料属性相同</w:t>
      </w:r>
      <w:r>
        <w:rPr>
          <w:rFonts w:ascii="仿宋" w:hAnsi="仿宋" w:eastAsia="仿宋" w:cs="Arial"/>
          <w:color w:val="000000"/>
          <w:kern w:val="0"/>
          <w:sz w:val="24"/>
          <w:szCs w:val="24"/>
        </w:rPr>
        <w:t>；</w:t>
      </w:r>
    </w:p>
    <w:p>
      <w:pPr>
        <w:widowControl/>
        <w:shd w:val="clear" w:color="auto" w:fill="FFFFFF"/>
        <w:spacing w:line="560" w:lineRule="exact"/>
        <w:ind w:left="480" w:leftChars="200"/>
        <w:jc w:val="left"/>
        <w:rPr>
          <w:rFonts w:ascii="仿宋" w:hAnsi="仿宋" w:eastAsia="仿宋" w:cs="Arial"/>
          <w:color w:val="000000"/>
          <w:kern w:val="0"/>
          <w:sz w:val="24"/>
          <w:szCs w:val="24"/>
        </w:rPr>
      </w:pPr>
      <w:r>
        <w:rPr>
          <w:rFonts w:ascii="仿宋" w:hAnsi="仿宋" w:eastAsia="仿宋" w:cs="Arial"/>
          <w:color w:val="000000"/>
          <w:kern w:val="0"/>
          <w:sz w:val="24"/>
          <w:szCs w:val="24"/>
        </w:rPr>
        <w:t>8.不同投标人的投标文件载明的项目管理成员为同一人；</w:t>
      </w:r>
    </w:p>
    <w:p>
      <w:pPr>
        <w:widowControl/>
        <w:shd w:val="clear" w:color="auto" w:fill="FFFFFF"/>
        <w:spacing w:line="560" w:lineRule="exact"/>
        <w:ind w:left="480" w:leftChars="200"/>
        <w:jc w:val="left"/>
        <w:rPr>
          <w:rFonts w:ascii="仿宋" w:hAnsi="仿宋" w:eastAsia="仿宋" w:cs="Arial"/>
          <w:color w:val="000000"/>
          <w:kern w:val="0"/>
          <w:sz w:val="24"/>
          <w:szCs w:val="24"/>
        </w:rPr>
      </w:pPr>
      <w:r>
        <w:rPr>
          <w:rFonts w:ascii="仿宋" w:hAnsi="仿宋" w:eastAsia="仿宋" w:cs="Arial"/>
          <w:color w:val="000000"/>
          <w:kern w:val="0"/>
          <w:sz w:val="24"/>
          <w:szCs w:val="24"/>
        </w:rPr>
        <w:t>9.不同投标人的投标文件异常一致或投标报价呈规律性差异；</w:t>
      </w:r>
    </w:p>
    <w:p>
      <w:pPr>
        <w:widowControl/>
        <w:shd w:val="clear" w:color="auto" w:fill="FFFFFF"/>
        <w:spacing w:line="560" w:lineRule="exact"/>
        <w:ind w:left="480" w:leftChars="200"/>
        <w:jc w:val="left"/>
        <w:rPr>
          <w:rFonts w:ascii="仿宋" w:hAnsi="仿宋" w:eastAsia="仿宋" w:cs="Arial"/>
          <w:color w:val="000000"/>
          <w:kern w:val="0"/>
          <w:sz w:val="24"/>
          <w:szCs w:val="24"/>
        </w:rPr>
      </w:pPr>
      <w:r>
        <w:rPr>
          <w:rFonts w:ascii="仿宋" w:hAnsi="仿宋" w:eastAsia="仿宋" w:cs="Arial"/>
          <w:color w:val="000000"/>
          <w:kern w:val="0"/>
          <w:sz w:val="24"/>
          <w:szCs w:val="24"/>
        </w:rPr>
        <w:t>10.不同投标人的投标文件相互混装；</w:t>
      </w:r>
    </w:p>
    <w:p>
      <w:pPr>
        <w:widowControl/>
        <w:shd w:val="clear" w:color="auto" w:fill="FFFFFF"/>
        <w:spacing w:line="560" w:lineRule="exact"/>
        <w:ind w:left="480" w:leftChars="200"/>
        <w:jc w:val="left"/>
        <w:rPr>
          <w:rFonts w:ascii="仿宋" w:hAnsi="仿宋" w:eastAsia="仿宋" w:cs="Arial"/>
          <w:color w:val="000000"/>
          <w:kern w:val="0"/>
          <w:sz w:val="24"/>
          <w:szCs w:val="24"/>
        </w:rPr>
      </w:pPr>
      <w:r>
        <w:rPr>
          <w:rFonts w:ascii="仿宋" w:hAnsi="仿宋" w:eastAsia="仿宋" w:cs="Arial"/>
          <w:color w:val="000000"/>
          <w:kern w:val="0"/>
          <w:sz w:val="24"/>
          <w:szCs w:val="24"/>
        </w:rPr>
        <w:t>11.不同投标人的投标保证金从同一单位或者个人的账户转出。</w:t>
      </w:r>
    </w:p>
    <w:p>
      <w:pPr>
        <w:widowControl/>
        <w:shd w:val="clear" w:color="auto" w:fill="FFFFFF"/>
        <w:spacing w:line="560" w:lineRule="exact"/>
        <w:ind w:left="480" w:leftChars="200"/>
        <w:jc w:val="left"/>
        <w:rPr>
          <w:rFonts w:ascii="仿宋" w:hAnsi="仿宋" w:eastAsia="仿宋" w:cs="Arial"/>
          <w:color w:val="000000"/>
          <w:kern w:val="0"/>
          <w:sz w:val="24"/>
          <w:szCs w:val="24"/>
        </w:rPr>
      </w:pPr>
      <w:r>
        <w:rPr>
          <w:rFonts w:ascii="仿宋" w:hAnsi="仿宋" w:eastAsia="仿宋" w:cs="Arial"/>
          <w:color w:val="000000"/>
          <w:kern w:val="0"/>
          <w:sz w:val="24"/>
          <w:szCs w:val="24"/>
        </w:rPr>
        <w:t>12</w:t>
      </w:r>
      <w:r>
        <w:rPr>
          <w:rFonts w:hint="eastAsia" w:ascii="仿宋" w:hAnsi="仿宋" w:eastAsia="仿宋" w:cs="Arial"/>
          <w:color w:val="000000"/>
          <w:kern w:val="0"/>
          <w:sz w:val="24"/>
          <w:szCs w:val="24"/>
        </w:rPr>
        <w:t>.报名IP地址或投标信息雷同。</w:t>
      </w:r>
    </w:p>
    <w:p>
      <w:pPr>
        <w:widowControl/>
        <w:jc w:val="center"/>
        <w:rPr>
          <w:rFonts w:hint="eastAsia" w:ascii="仿宋_GB2312" w:eastAsia="仿宋_GB2312" w:hAnsiTheme="majorEastAsia"/>
          <w:b/>
          <w:bCs/>
          <w:sz w:val="28"/>
          <w:szCs w:val="28"/>
          <w:highlight w:val="none"/>
        </w:rPr>
      </w:pPr>
    </w:p>
    <w:p>
      <w:pPr>
        <w:widowControl/>
        <w:jc w:val="both"/>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ascii="宋体" w:hAnsi="宋体"/>
          <w:b/>
          <w:sz w:val="36"/>
          <w:szCs w:val="36"/>
        </w:rPr>
      </w:pPr>
      <w:r>
        <w:rPr>
          <w:rFonts w:hint="eastAsia" w:ascii="仿宋_GB2312" w:eastAsia="仿宋_GB2312" w:hAnsiTheme="majorEastAsia"/>
          <w:b/>
          <w:bCs/>
          <w:sz w:val="28"/>
          <w:szCs w:val="28"/>
          <w:highlight w:val="none"/>
        </w:rPr>
        <w:t>第四部分  合同文件</w:t>
      </w:r>
    </w:p>
    <w:p>
      <w:pPr>
        <w:spacing w:line="360" w:lineRule="auto"/>
        <w:jc w:val="left"/>
        <w:rPr>
          <w:rFonts w:hint="eastAsia" w:eastAsia="仿宋_GB2312"/>
          <w:bCs/>
          <w:color w:val="000000"/>
          <w:sz w:val="28"/>
          <w:szCs w:val="28"/>
          <w:highlight w:val="none"/>
          <w:u w:val="single"/>
        </w:rPr>
      </w:pPr>
      <w:bookmarkStart w:id="75" w:name="_Hlk126831517"/>
      <w:r>
        <w:rPr>
          <w:rFonts w:hint="eastAsia" w:eastAsia="仿宋_GB2312"/>
          <w:bCs/>
          <w:color w:val="000000"/>
          <w:sz w:val="28"/>
          <w:szCs w:val="28"/>
          <w:highlight w:val="none"/>
        </w:rPr>
        <w:t>合同编号：</w:t>
      </w:r>
      <w:r>
        <w:rPr>
          <w:rFonts w:hint="eastAsia" w:eastAsia="仿宋_GB2312"/>
          <w:bCs/>
          <w:color w:val="000000"/>
          <w:sz w:val="28"/>
          <w:szCs w:val="28"/>
          <w:highlight w:val="none"/>
          <w:u w:val="single"/>
        </w:rPr>
        <w:t xml:space="preserve">  </w:t>
      </w:r>
      <w:r>
        <w:rPr>
          <w:rFonts w:ascii="宋体" w:hAnsi="宋体" w:eastAsia="宋体"/>
          <w:highlight w:val="none"/>
          <w:u w:val="single"/>
        </w:rPr>
        <w:t>ZJLQ-FG-</w:t>
      </w:r>
      <w:r>
        <w:rPr>
          <w:rFonts w:hint="eastAsia" w:ascii="宋体" w:hAnsi="宋体" w:eastAsia="宋体"/>
          <w:highlight w:val="none"/>
          <w:u w:val="single"/>
        </w:rPr>
        <w:t>XX-001</w:t>
      </w:r>
      <w:r>
        <w:rPr>
          <w:rFonts w:hint="eastAsia" w:eastAsia="仿宋_GB2312"/>
          <w:bCs/>
          <w:color w:val="000000"/>
          <w:sz w:val="28"/>
          <w:szCs w:val="28"/>
          <w:highlight w:val="none"/>
          <w:u w:val="single"/>
        </w:rPr>
        <w:t xml:space="preserve">       </w:t>
      </w:r>
    </w:p>
    <w:p>
      <w:pPr>
        <w:wordWrap w:val="0"/>
        <w:spacing w:line="640" w:lineRule="exact"/>
        <w:jc w:val="both"/>
        <w:rPr>
          <w:rFonts w:ascii="仿宋_GB2312" w:hAnsi="仿宋" w:eastAsia="仿宋_GB2312" w:cs="仿宋"/>
          <w:color w:val="000000" w:themeColor="text1"/>
          <w:sz w:val="24"/>
          <w:szCs w:val="24"/>
          <w:highlight w:val="none"/>
          <w14:textFill>
            <w14:solidFill>
              <w14:schemeClr w14:val="tx1"/>
            </w14:solidFill>
          </w14:textFill>
        </w:rPr>
      </w:pPr>
      <w:r>
        <w:rPr>
          <w:rFonts w:hint="eastAsia" w:eastAsia="仿宋_GB2312"/>
          <w:bCs/>
          <w:color w:val="000000"/>
          <w:sz w:val="28"/>
          <w:szCs w:val="28"/>
          <w:highlight w:val="none"/>
        </w:rPr>
        <w:t>框架协议：</w:t>
      </w:r>
      <w:r>
        <w:rPr>
          <w:rFonts w:hint="eastAsia" w:eastAsia="仿宋_GB2312"/>
          <w:bCs/>
          <w:color w:val="000000"/>
          <w:sz w:val="28"/>
          <w:szCs w:val="28"/>
          <w:highlight w:val="none"/>
          <w:u w:val="single"/>
        </w:rPr>
        <w:t xml:space="preserve">                    </w:t>
      </w:r>
    </w:p>
    <w:p>
      <w:pPr>
        <w:spacing w:line="360" w:lineRule="auto"/>
        <w:jc w:val="left"/>
        <w:rPr>
          <w:rFonts w:hint="eastAsia" w:ascii="仿宋_GB2312" w:hAnsi="仿宋_GB2312" w:eastAsia="仿宋_GB2312" w:cs="仿宋_GB2312"/>
          <w:sz w:val="28"/>
          <w:szCs w:val="28"/>
          <w:highlight w:val="none"/>
        </w:rPr>
      </w:pPr>
      <w:r>
        <w:rPr>
          <w:highlight w:val="none"/>
        </w:rPr>
        <w:pict>
          <v:shape id="_x0000_s2050" o:spid="_x0000_s2050" o:spt="136" type="#_x0000_t136" style="position:absolute;left:0pt;margin-left:100pt;margin-top:100pt;height:100pt;width:200pt;z-index:251660288;mso-width-relative:page;mso-height-relative:page;" coordsize="21600,21600">
            <v:path/>
            <v:fill opacity="32768f" focussize="0,0"/>
            <v:stroke/>
            <v:imagedata o:title=""/>
            <o:lock v:ext="edit"/>
            <v:textpath on="t" fitshape="t" fitpath="t" trim="t" xscale="f" string="" style="font-size:36pt;v-text-align:center;"/>
          </v:shape>
        </w:pict>
      </w:r>
    </w:p>
    <w:p>
      <w:pPr>
        <w:pStyle w:val="13"/>
        <w:rPr>
          <w:rFonts w:hint="eastAsia"/>
          <w:highlight w:val="none"/>
        </w:rPr>
      </w:pPr>
    </w:p>
    <w:p>
      <w:pPr>
        <w:pStyle w:val="13"/>
        <w:rPr>
          <w:rFonts w:hint="eastAsia"/>
          <w:highlight w:val="none"/>
        </w:rPr>
      </w:pPr>
    </w:p>
    <w:p>
      <w:pPr>
        <w:pStyle w:val="13"/>
        <w:rPr>
          <w:rFonts w:hint="eastAsia"/>
          <w:highlight w:val="none"/>
        </w:rPr>
      </w:pPr>
    </w:p>
    <w:p>
      <w:pPr>
        <w:spacing w:line="360" w:lineRule="auto"/>
        <w:jc w:val="center"/>
        <w:rPr>
          <w:rFonts w:hint="eastAsia" w:ascii="华文中宋" w:hAnsi="华文中宋" w:eastAsia="华文中宋" w:cs="华文中宋"/>
          <w:b/>
          <w:sz w:val="52"/>
          <w:szCs w:val="52"/>
          <w:highlight w:val="none"/>
        </w:rPr>
      </w:pPr>
      <w:r>
        <w:rPr>
          <w:rFonts w:hint="eastAsia" w:ascii="华文中宋" w:hAnsi="华文中宋" w:eastAsia="华文中宋" w:cs="华文中宋"/>
          <w:b/>
          <w:sz w:val="52"/>
          <w:szCs w:val="52"/>
          <w:highlight w:val="none"/>
        </w:rPr>
        <w:t>【</w:t>
      </w:r>
      <w:r>
        <w:rPr>
          <w:rFonts w:hint="eastAsia" w:ascii="华文中宋" w:hAnsi="华文中宋" w:eastAsia="华文中宋" w:cs="华文中宋"/>
          <w:b/>
          <w:sz w:val="52"/>
          <w:szCs w:val="52"/>
          <w:highlight w:val="none"/>
          <w:lang w:val="en-US" w:eastAsia="zh-CN"/>
        </w:rPr>
        <w:t>天然砂砾</w:t>
      </w:r>
      <w:r>
        <w:rPr>
          <w:rFonts w:hint="eastAsia" w:ascii="华文中宋" w:hAnsi="华文中宋" w:eastAsia="华文中宋" w:cs="华文中宋"/>
          <w:b/>
          <w:sz w:val="52"/>
          <w:szCs w:val="52"/>
          <w:highlight w:val="none"/>
        </w:rPr>
        <w:t>】采购与供应合同</w:t>
      </w:r>
    </w:p>
    <w:p>
      <w:pPr>
        <w:spacing w:line="360" w:lineRule="auto"/>
        <w:jc w:val="center"/>
        <w:rPr>
          <w:rFonts w:hint="eastAsia" w:ascii="宋体" w:hAnsi="宋体" w:cs="宋体"/>
          <w:b/>
          <w:sz w:val="28"/>
          <w:szCs w:val="28"/>
          <w:highlight w:val="none"/>
        </w:rPr>
      </w:pPr>
      <w:r>
        <w:rPr>
          <w:highlight w:val="none"/>
        </w:rPr>
        <w:drawing>
          <wp:anchor distT="0" distB="0" distL="114300" distR="114300" simplePos="0" relativeHeight="251659264" behindDoc="1" locked="0" layoutInCell="1" allowOverlap="1">
            <wp:simplePos x="0" y="0"/>
            <wp:positionH relativeFrom="column">
              <wp:posOffset>1829435</wp:posOffset>
            </wp:positionH>
            <wp:positionV relativeFrom="paragraph">
              <wp:posOffset>245745</wp:posOffset>
            </wp:positionV>
            <wp:extent cx="1685925" cy="2352675"/>
            <wp:effectExtent l="0" t="0" r="9525" b="9525"/>
            <wp:wrapNone/>
            <wp:docPr id="1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说明: 图片1"/>
                    <pic:cNvPicPr>
                      <a:picLocks noChangeAspect="1"/>
                    </pic:cNvPicPr>
                  </pic:nvPicPr>
                  <pic:blipFill>
                    <a:blip r:embed="rId13">
                      <a:clrChange>
                        <a:clrFrom>
                          <a:srgbClr val="FEFEFC"/>
                        </a:clrFrom>
                        <a:clrTo>
                          <a:srgbClr val="FEFEFC">
                            <a:alpha val="0"/>
                          </a:srgbClr>
                        </a:clrTo>
                      </a:clrChange>
                    </a:blip>
                    <a:stretch>
                      <a:fillRect/>
                    </a:stretch>
                  </pic:blipFill>
                  <pic:spPr>
                    <a:xfrm>
                      <a:off x="0" y="0"/>
                      <a:ext cx="1685925" cy="2352675"/>
                    </a:xfrm>
                    <a:prstGeom prst="rect">
                      <a:avLst/>
                    </a:prstGeom>
                    <a:noFill/>
                    <a:ln>
                      <a:noFill/>
                    </a:ln>
                  </pic:spPr>
                </pic:pic>
              </a:graphicData>
            </a:graphic>
          </wp:anchor>
        </w:drawing>
      </w: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rPr>
          <w:rFonts w:hint="eastAsia" w:ascii="宋体" w:hAnsi="宋体" w:cs="宋体"/>
          <w:b/>
          <w:sz w:val="28"/>
          <w:szCs w:val="28"/>
          <w:highlight w:val="none"/>
        </w:rPr>
      </w:pPr>
    </w:p>
    <w:p>
      <w:pPr>
        <w:pStyle w:val="17"/>
        <w:spacing w:after="120"/>
        <w:ind w:firstLine="560"/>
        <w:rPr>
          <w:rFonts w:hint="eastAsia" w:ascii="宋体" w:hAnsi="宋体" w:cs="宋体"/>
          <w:b/>
          <w:sz w:val="28"/>
          <w:szCs w:val="28"/>
          <w:highlight w:val="none"/>
        </w:rPr>
      </w:pPr>
    </w:p>
    <w:p>
      <w:pPr>
        <w:pStyle w:val="17"/>
        <w:spacing w:after="120"/>
        <w:ind w:firstLine="560"/>
        <w:rPr>
          <w:rFonts w:hint="eastAsia" w:ascii="宋体" w:hAnsi="宋体" w:cs="宋体"/>
          <w:b/>
          <w:sz w:val="28"/>
          <w:szCs w:val="28"/>
          <w:highlight w:val="none"/>
        </w:rPr>
      </w:pPr>
    </w:p>
    <w:p>
      <w:pPr>
        <w:spacing w:line="360" w:lineRule="auto"/>
        <w:rPr>
          <w:rFonts w:hint="eastAsia" w:ascii="仿宋_GB2312" w:hAnsi="仿宋_GB2312" w:eastAsia="仿宋_GB2312" w:cs="仿宋_GB2312"/>
          <w:b/>
          <w:bCs/>
          <w:sz w:val="28"/>
          <w:szCs w:val="28"/>
          <w:highlight w:val="none"/>
        </w:rPr>
      </w:pPr>
    </w:p>
    <w:p>
      <w:pPr>
        <w:spacing w:line="360"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项目名称：</w:t>
      </w:r>
      <w:r>
        <w:rPr>
          <w:rFonts w:hint="eastAsia" w:ascii="仿宋_GB2312" w:hAnsi="仿宋_GB2312" w:eastAsia="仿宋_GB2312" w:cs="仿宋_GB2312"/>
          <w:b/>
          <w:color w:val="000000"/>
          <w:sz w:val="28"/>
          <w:szCs w:val="28"/>
          <w:highlight w:val="none"/>
        </w:rPr>
        <w:t>【                                  】</w:t>
      </w:r>
    </w:p>
    <w:p>
      <w:pPr>
        <w:spacing w:line="360" w:lineRule="auto"/>
        <w:ind w:firstLine="562" w:firstLineChars="200"/>
        <w:jc w:val="both"/>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甲    方：</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bCs/>
          <w:sz w:val="28"/>
          <w:szCs w:val="28"/>
          <w:highlight w:val="none"/>
        </w:rPr>
        <w:t xml:space="preserve">中建路桥集团有限公司 </w:t>
      </w:r>
      <w:r>
        <w:rPr>
          <w:rFonts w:hint="eastAsia" w:ascii="仿宋_GB2312" w:hAnsi="仿宋_GB2312" w:eastAsia="仿宋_GB2312" w:cs="仿宋_GB2312"/>
          <w:b/>
          <w:color w:val="000000"/>
          <w:sz w:val="28"/>
          <w:szCs w:val="28"/>
          <w:highlight w:val="none"/>
          <w:u w:val="none"/>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
    <w:p>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乙    方：</w:t>
      </w:r>
      <w:r>
        <w:rPr>
          <w:rFonts w:hint="eastAsia" w:ascii="仿宋_GB2312" w:hAnsi="仿宋_GB2312" w:eastAsia="仿宋_GB2312" w:cs="仿宋_GB2312"/>
          <w:b/>
          <w:color w:val="000000"/>
          <w:sz w:val="28"/>
          <w:szCs w:val="28"/>
          <w:highlight w:val="none"/>
        </w:rPr>
        <w:t>【                                  】</w:t>
      </w:r>
    </w:p>
    <w:p>
      <w:pPr>
        <w:spacing w:line="360"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签订时间：</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bCs/>
          <w:sz w:val="28"/>
          <w:szCs w:val="28"/>
          <w:highlight w:val="none"/>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
    <w:p>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签订地点：</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bCs/>
          <w:sz w:val="28"/>
          <w:szCs w:val="28"/>
          <w:highlight w:val="none"/>
        </w:rPr>
        <w:t>石家庄市</w:t>
      </w:r>
      <w:r>
        <w:rPr>
          <w:rFonts w:hint="eastAsia" w:ascii="仿宋_GB2312" w:hAnsi="仿宋_GB2312" w:eastAsia="仿宋_GB2312" w:cs="仿宋_GB2312"/>
          <w:b/>
          <w:bCs/>
          <w:sz w:val="28"/>
          <w:szCs w:val="28"/>
          <w:highlight w:val="none"/>
          <w:lang w:val="en-US" w:eastAsia="zh-CN"/>
        </w:rPr>
        <w:t>桥西区</w:t>
      </w:r>
      <w:r>
        <w:rPr>
          <w:rFonts w:hint="eastAsia" w:ascii="仿宋_GB2312" w:hAnsi="仿宋_GB2312" w:eastAsia="仿宋_GB2312" w:cs="仿宋_GB2312"/>
          <w:b/>
          <w:color w:val="000000"/>
          <w:sz w:val="28"/>
          <w:szCs w:val="28"/>
          <w:highlight w:val="none"/>
        </w:rPr>
        <w:t xml:space="preserve">       】</w:t>
      </w:r>
    </w:p>
    <w:p>
      <w:pPr>
        <w:pStyle w:val="17"/>
        <w:rPr>
          <w:rFonts w:hint="eastAsia"/>
        </w:rPr>
      </w:pPr>
    </w:p>
    <w:bookmarkEnd w:id="75"/>
    <w:sdt>
      <w:sdtPr>
        <w:rPr>
          <w:rFonts w:asciiTheme="minorHAnsi" w:hAnsiTheme="minorHAnsi" w:eastAsiaTheme="minorEastAsia" w:cstheme="minorBidi"/>
          <w:szCs w:val="22"/>
          <w:highlight w:val="none"/>
        </w:rPr>
        <w:id w:val="147479450"/>
        <w15:color w:val="DBDBDB"/>
        <w:docPartObj>
          <w:docPartGallery w:val="Table of Contents"/>
          <w:docPartUnique/>
        </w:docPartObj>
      </w:sdtPr>
      <w:sdtEndPr>
        <w:rPr>
          <w:rFonts w:ascii="仿宋" w:hAnsi="仿宋" w:eastAsia="仿宋" w:cs="仿宋"/>
          <w:color w:val="000000" w:themeColor="text1"/>
          <w:szCs w:val="22"/>
          <w:highlight w:val="none"/>
          <w14:textFill>
            <w14:solidFill>
              <w14:schemeClr w14:val="tx1"/>
            </w14:solidFill>
          </w14:textFill>
        </w:rPr>
      </w:sdtEndPr>
      <w:sdtContent>
        <w:p>
          <w:pPr>
            <w:pStyle w:val="17"/>
            <w:rPr>
              <w:highlight w:val="none"/>
            </w:rPr>
          </w:pPr>
        </w:p>
        <w:p>
          <w:pPr>
            <w:jc w:val="center"/>
            <w:rPr>
              <w:rFonts w:ascii="黑体" w:hAnsi="黑体" w:eastAsia="黑体" w:cs="黑体"/>
              <w:b/>
              <w:bCs/>
              <w:color w:val="000000" w:themeColor="text1"/>
              <w:sz w:val="36"/>
              <w:szCs w:val="36"/>
              <w:highlight w:val="none"/>
              <w14:textFill>
                <w14:solidFill>
                  <w14:schemeClr w14:val="tx1"/>
                </w14:solidFill>
              </w14:textFill>
            </w:rPr>
          </w:pPr>
          <w:r>
            <w:rPr>
              <w:rFonts w:hint="eastAsia" w:ascii="黑体" w:hAnsi="黑体" w:eastAsia="黑体" w:cs="黑体"/>
              <w:b/>
              <w:bCs/>
              <w:color w:val="000000" w:themeColor="text1"/>
              <w:sz w:val="36"/>
              <w:szCs w:val="36"/>
              <w:highlight w:val="none"/>
              <w14:textFill>
                <w14:solidFill>
                  <w14:schemeClr w14:val="tx1"/>
                </w14:solidFill>
              </w14:textFill>
            </w:rPr>
            <w:t>目</w:t>
          </w:r>
          <w:r>
            <w:rPr>
              <w:rFonts w:ascii="黑体" w:hAnsi="黑体" w:eastAsia="黑体" w:cs="黑体"/>
              <w:b/>
              <w:bCs/>
              <w:color w:val="000000" w:themeColor="text1"/>
              <w:sz w:val="36"/>
              <w:szCs w:val="36"/>
              <w:highlight w:val="none"/>
              <w14:textFill>
                <w14:solidFill>
                  <w14:schemeClr w14:val="tx1"/>
                </w14:solidFill>
              </w14:textFill>
            </w:rPr>
            <w:t xml:space="preserve">  </w:t>
          </w:r>
          <w:r>
            <w:rPr>
              <w:rFonts w:hint="eastAsia" w:ascii="黑体" w:hAnsi="黑体" w:eastAsia="黑体" w:cs="黑体"/>
              <w:b/>
              <w:bCs/>
              <w:color w:val="000000" w:themeColor="text1"/>
              <w:sz w:val="36"/>
              <w:szCs w:val="36"/>
              <w:highlight w:val="none"/>
              <w14:textFill>
                <w14:solidFill>
                  <w14:schemeClr w14:val="tx1"/>
                </w14:solidFill>
              </w14:textFill>
            </w:rPr>
            <w:t>录</w:t>
          </w:r>
        </w:p>
        <w:p>
          <w:pPr>
            <w:pStyle w:val="17"/>
            <w:rPr>
              <w:highlight w:val="none"/>
            </w:rPr>
          </w:pPr>
        </w:p>
        <w:p>
          <w:pPr>
            <w:pStyle w:val="24"/>
            <w:tabs>
              <w:tab w:val="right" w:leader="dot" w:pos="8306"/>
            </w:tabs>
            <w:spacing w:line="312" w:lineRule="auto"/>
            <w:rPr>
              <w:highlight w:val="none"/>
            </w:rPr>
          </w:pP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TOC \o "1-1" \h \u </w:instrText>
          </w:r>
          <w:r>
            <w:rPr>
              <w:rFonts w:hint="eastAsia" w:ascii="仿宋" w:hAnsi="仿宋" w:eastAsia="仿宋" w:cs="仿宋"/>
              <w:color w:val="000000" w:themeColor="text1"/>
              <w:highlight w:val="none"/>
              <w14:textFill>
                <w14:solidFill>
                  <w14:schemeClr w14:val="tx1"/>
                </w14:solidFill>
              </w14:textFill>
            </w:rPr>
            <w:fldChar w:fldCharType="separate"/>
          </w:r>
          <w:r>
            <w:rPr>
              <w:highlight w:val="none"/>
            </w:rPr>
            <w:fldChar w:fldCharType="begin"/>
          </w:r>
          <w:r>
            <w:rPr>
              <w:highlight w:val="none"/>
            </w:rPr>
            <w:instrText xml:space="preserve"> HYPERLINK \l "_Toc5953" </w:instrText>
          </w:r>
          <w:r>
            <w:rPr>
              <w:highlight w:val="none"/>
            </w:rPr>
            <w:fldChar w:fldCharType="separate"/>
          </w:r>
          <w:r>
            <w:rPr>
              <w:rFonts w:hint="eastAsia" w:ascii="黑体" w:hAnsi="黑体" w:eastAsia="黑体" w:cs="黑体"/>
              <w:bCs/>
              <w:sz w:val="30"/>
              <w:szCs w:val="30"/>
              <w:highlight w:val="none"/>
            </w:rPr>
            <w:t>第一部分 专用条款</w:t>
          </w:r>
          <w:r>
            <w:rPr>
              <w:highlight w:val="none"/>
            </w:rPr>
            <w:tab/>
          </w:r>
          <w:r>
            <w:rPr>
              <w:highlight w:val="none"/>
            </w:rPr>
            <w:fldChar w:fldCharType="begin"/>
          </w:r>
          <w:r>
            <w:rPr>
              <w:highlight w:val="none"/>
            </w:rPr>
            <w:instrText xml:space="preserve"> PAGEREF _Toc5953 \h </w:instrText>
          </w:r>
          <w:r>
            <w:rPr>
              <w:highlight w:val="none"/>
            </w:rPr>
            <w:fldChar w:fldCharType="separate"/>
          </w:r>
          <w:r>
            <w:rPr>
              <w:highlight w:val="none"/>
            </w:rPr>
            <w:t>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"_Toc640" </w:instrText>
          </w:r>
          <w:r>
            <w:rPr>
              <w:highlight w:val="none"/>
            </w:rPr>
            <w:fldChar w:fldCharType="separate"/>
          </w:r>
          <w:r>
            <w:rPr>
              <w:rFonts w:hint="eastAsia" w:ascii="仿宋_GB2312" w:hAnsi="仿宋_GB2312" w:eastAsia="仿宋_GB2312" w:cs="仿宋_GB2312"/>
              <w:kern w:val="0"/>
              <w:sz w:val="28"/>
              <w:szCs w:val="28"/>
              <w:highlight w:val="none"/>
            </w:rPr>
            <w:t>一、工程概况</w:t>
          </w:r>
          <w:r>
            <w:rPr>
              <w:highlight w:val="none"/>
            </w:rPr>
            <w:tab/>
          </w:r>
          <w:r>
            <w:rPr>
              <w:highlight w:val="none"/>
            </w:rPr>
            <w:fldChar w:fldCharType="begin"/>
          </w:r>
          <w:r>
            <w:rPr>
              <w:highlight w:val="none"/>
            </w:rPr>
            <w:instrText xml:space="preserve"> PAGEREF _Toc640 \h </w:instrText>
          </w:r>
          <w:r>
            <w:rPr>
              <w:highlight w:val="none"/>
            </w:rPr>
            <w:fldChar w:fldCharType="separate"/>
          </w:r>
          <w:r>
            <w:rPr>
              <w:highlight w:val="none"/>
            </w:rPr>
            <w:t>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"_Toc6010" </w:instrText>
          </w:r>
          <w:r>
            <w:rPr>
              <w:highlight w:val="none"/>
            </w:rPr>
            <w:fldChar w:fldCharType="separate"/>
          </w:r>
          <w:r>
            <w:rPr>
              <w:rFonts w:hint="eastAsia" w:ascii="仿宋_GB2312" w:hAnsi="仿宋_GB2312" w:eastAsia="仿宋_GB2312" w:cs="仿宋_GB2312"/>
              <w:kern w:val="0"/>
              <w:sz w:val="28"/>
              <w:szCs w:val="28"/>
              <w:highlight w:val="none"/>
            </w:rPr>
            <w:t>二、货物清单</w:t>
          </w:r>
          <w:r>
            <w:rPr>
              <w:highlight w:val="none"/>
            </w:rPr>
            <w:tab/>
          </w:r>
          <w:r>
            <w:rPr>
              <w:highlight w:val="none"/>
            </w:rPr>
            <w:fldChar w:fldCharType="begin"/>
          </w:r>
          <w:r>
            <w:rPr>
              <w:highlight w:val="none"/>
            </w:rPr>
            <w:instrText xml:space="preserve"> PAGEREF _Toc6010 \h </w:instrText>
          </w:r>
          <w:r>
            <w:rPr>
              <w:highlight w:val="none"/>
            </w:rPr>
            <w:fldChar w:fldCharType="separate"/>
          </w:r>
          <w:r>
            <w:rPr>
              <w:highlight w:val="none"/>
            </w:rPr>
            <w:t>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"_Toc23444" </w:instrText>
          </w:r>
          <w:r>
            <w:rPr>
              <w:highlight w:val="none"/>
            </w:rPr>
            <w:fldChar w:fldCharType="separate"/>
          </w:r>
          <w:r>
            <w:rPr>
              <w:rFonts w:hint="eastAsia" w:ascii="仿宋_GB2312" w:hAnsi="仿宋_GB2312" w:eastAsia="仿宋_GB2312" w:cs="仿宋_GB2312"/>
              <w:kern w:val="0"/>
              <w:sz w:val="28"/>
              <w:szCs w:val="28"/>
              <w:highlight w:val="none"/>
            </w:rPr>
            <w:t>三、货物供应</w:t>
          </w:r>
          <w:r>
            <w:rPr>
              <w:highlight w:val="none"/>
            </w:rPr>
            <w:tab/>
          </w:r>
          <w:r>
            <w:rPr>
              <w:highlight w:val="none"/>
            </w:rPr>
            <w:fldChar w:fldCharType="begin"/>
          </w:r>
          <w:r>
            <w:rPr>
              <w:highlight w:val="none"/>
            </w:rPr>
            <w:instrText xml:space="preserve"> PAGEREF _Toc23444 \h </w:instrText>
          </w:r>
          <w:r>
            <w:rPr>
              <w:highlight w:val="none"/>
            </w:rPr>
            <w:fldChar w:fldCharType="separate"/>
          </w:r>
          <w:r>
            <w:rPr>
              <w:highlight w:val="none"/>
            </w:rPr>
            <w:t>2</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"_Toc12447" </w:instrText>
          </w:r>
          <w:r>
            <w:rPr>
              <w:highlight w:val="none"/>
            </w:rPr>
            <w:fldChar w:fldCharType="separate"/>
          </w:r>
          <w:r>
            <w:rPr>
              <w:rFonts w:hint="eastAsia" w:ascii="仿宋_GB2312" w:hAnsi="仿宋_GB2312" w:eastAsia="仿宋_GB2312" w:cs="仿宋_GB2312"/>
              <w:kern w:val="0"/>
              <w:sz w:val="28"/>
              <w:szCs w:val="28"/>
              <w:highlight w:val="none"/>
            </w:rPr>
            <w:t>四、货物质量</w:t>
          </w:r>
          <w:r>
            <w:rPr>
              <w:highlight w:val="none"/>
            </w:rPr>
            <w:tab/>
          </w:r>
          <w:r>
            <w:rPr>
              <w:highlight w:val="none"/>
            </w:rPr>
            <w:fldChar w:fldCharType="begin"/>
          </w:r>
          <w:r>
            <w:rPr>
              <w:highlight w:val="none"/>
            </w:rPr>
            <w:instrText xml:space="preserve"> PAGEREF _Toc12447 \h </w:instrText>
          </w:r>
          <w:r>
            <w:rPr>
              <w:highlight w:val="none"/>
            </w:rPr>
            <w:fldChar w:fldCharType="separate"/>
          </w:r>
          <w:r>
            <w:rPr>
              <w:highlight w:val="none"/>
            </w:rPr>
            <w:t>4</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"_Toc3621" </w:instrText>
          </w:r>
          <w:r>
            <w:rPr>
              <w:highlight w:val="none"/>
            </w:rPr>
            <w:fldChar w:fldCharType="separate"/>
          </w:r>
          <w:r>
            <w:rPr>
              <w:rFonts w:hint="eastAsia" w:ascii="仿宋_GB2312" w:hAnsi="仿宋_GB2312" w:eastAsia="仿宋_GB2312" w:cs="仿宋_GB2312"/>
              <w:kern w:val="0"/>
              <w:sz w:val="28"/>
              <w:szCs w:val="28"/>
              <w:highlight w:val="none"/>
            </w:rPr>
            <w:t>五、货物验收</w:t>
          </w:r>
          <w:r>
            <w:rPr>
              <w:highlight w:val="none"/>
            </w:rPr>
            <w:tab/>
          </w:r>
          <w:r>
            <w:rPr>
              <w:highlight w:val="none"/>
            </w:rPr>
            <w:fldChar w:fldCharType="begin"/>
          </w:r>
          <w:r>
            <w:rPr>
              <w:highlight w:val="none"/>
            </w:rPr>
            <w:instrText xml:space="preserve"> PAGEREF _Toc3621 \h </w:instrText>
          </w:r>
          <w:r>
            <w:rPr>
              <w:highlight w:val="none"/>
            </w:rPr>
            <w:fldChar w:fldCharType="separate"/>
          </w:r>
          <w:r>
            <w:rPr>
              <w:highlight w:val="none"/>
            </w:rPr>
            <w:t>5</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"_Toc23953" </w:instrText>
          </w:r>
          <w:r>
            <w:rPr>
              <w:highlight w:val="none"/>
            </w:rPr>
            <w:fldChar w:fldCharType="separate"/>
          </w:r>
          <w:r>
            <w:rPr>
              <w:rFonts w:hint="eastAsia" w:ascii="仿宋_GB2312" w:hAnsi="仿宋_GB2312" w:eastAsia="仿宋_GB2312" w:cs="仿宋_GB2312"/>
              <w:kern w:val="0"/>
              <w:sz w:val="28"/>
              <w:szCs w:val="28"/>
              <w:highlight w:val="none"/>
            </w:rPr>
            <w:t>六、货物结算</w:t>
          </w:r>
          <w:r>
            <w:rPr>
              <w:highlight w:val="none"/>
            </w:rPr>
            <w:tab/>
          </w:r>
          <w:r>
            <w:rPr>
              <w:highlight w:val="none"/>
            </w:rPr>
            <w:fldChar w:fldCharType="begin"/>
          </w:r>
          <w:r>
            <w:rPr>
              <w:highlight w:val="none"/>
            </w:rPr>
            <w:instrText xml:space="preserve"> PAGEREF _Toc23953 \h </w:instrText>
          </w:r>
          <w:r>
            <w:rPr>
              <w:highlight w:val="none"/>
            </w:rPr>
            <w:fldChar w:fldCharType="separate"/>
          </w:r>
          <w:r>
            <w:rPr>
              <w:highlight w:val="none"/>
            </w:rPr>
            <w:t>7</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"_Toc32138" </w:instrText>
          </w:r>
          <w:r>
            <w:rPr>
              <w:highlight w:val="none"/>
            </w:rPr>
            <w:fldChar w:fldCharType="separate"/>
          </w:r>
          <w:r>
            <w:rPr>
              <w:rFonts w:hint="eastAsia" w:ascii="仿宋_GB2312" w:hAnsi="仿宋_GB2312" w:eastAsia="仿宋_GB2312" w:cs="仿宋_GB2312"/>
              <w:kern w:val="0"/>
              <w:sz w:val="28"/>
              <w:szCs w:val="28"/>
              <w:highlight w:val="none"/>
            </w:rPr>
            <w:t>七、货物付款</w:t>
          </w:r>
          <w:r>
            <w:rPr>
              <w:highlight w:val="none"/>
            </w:rPr>
            <w:tab/>
          </w:r>
          <w:r>
            <w:rPr>
              <w:highlight w:val="none"/>
            </w:rPr>
            <w:fldChar w:fldCharType="begin"/>
          </w:r>
          <w:r>
            <w:rPr>
              <w:highlight w:val="none"/>
            </w:rPr>
            <w:instrText xml:space="preserve"> PAGEREF _Toc32138 \h </w:instrText>
          </w:r>
          <w:r>
            <w:rPr>
              <w:highlight w:val="none"/>
            </w:rPr>
            <w:fldChar w:fldCharType="separate"/>
          </w:r>
          <w:r>
            <w:rPr>
              <w:highlight w:val="none"/>
            </w:rPr>
            <w:t>9</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"_Toc24664" </w:instrText>
          </w:r>
          <w:r>
            <w:rPr>
              <w:highlight w:val="none"/>
            </w:rPr>
            <w:fldChar w:fldCharType="separate"/>
          </w:r>
          <w:r>
            <w:rPr>
              <w:rFonts w:hint="eastAsia" w:ascii="仿宋_GB2312" w:hAnsi="仿宋_GB2312" w:eastAsia="仿宋_GB2312" w:cs="仿宋_GB2312"/>
              <w:kern w:val="0"/>
              <w:sz w:val="28"/>
              <w:szCs w:val="28"/>
              <w:highlight w:val="none"/>
            </w:rPr>
            <w:t>八、通知与送达</w:t>
          </w:r>
          <w:r>
            <w:rPr>
              <w:highlight w:val="none"/>
            </w:rPr>
            <w:tab/>
          </w:r>
          <w:r>
            <w:rPr>
              <w:highlight w:val="none"/>
            </w:rPr>
            <w:fldChar w:fldCharType="begin"/>
          </w:r>
          <w:r>
            <w:rPr>
              <w:highlight w:val="none"/>
            </w:rPr>
            <w:instrText xml:space="preserve"> PAGEREF _Toc24664 \h </w:instrText>
          </w:r>
          <w:r>
            <w:rPr>
              <w:highlight w:val="none"/>
            </w:rPr>
            <w:fldChar w:fldCharType="separate"/>
          </w:r>
          <w:r>
            <w:rPr>
              <w:highlight w:val="none"/>
            </w:rPr>
            <w:t>10</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"_Toc26478" </w:instrText>
          </w:r>
          <w:r>
            <w:rPr>
              <w:highlight w:val="none"/>
            </w:rPr>
            <w:fldChar w:fldCharType="separate"/>
          </w:r>
          <w:r>
            <w:rPr>
              <w:rFonts w:hint="eastAsia" w:ascii="仿宋_GB2312" w:hAnsi="仿宋_GB2312" w:eastAsia="仿宋_GB2312" w:cs="仿宋_GB2312"/>
              <w:kern w:val="0"/>
              <w:sz w:val="28"/>
              <w:szCs w:val="28"/>
              <w:highlight w:val="none"/>
            </w:rPr>
            <w:t>九、合同生效</w:t>
          </w:r>
          <w:r>
            <w:rPr>
              <w:highlight w:val="none"/>
            </w:rPr>
            <w:tab/>
          </w:r>
          <w:r>
            <w:rPr>
              <w:highlight w:val="none"/>
            </w:rPr>
            <w:fldChar w:fldCharType="begin"/>
          </w:r>
          <w:r>
            <w:rPr>
              <w:highlight w:val="none"/>
            </w:rPr>
            <w:instrText xml:space="preserve"> PAGEREF _Toc26478 \h </w:instrText>
          </w:r>
          <w:r>
            <w:rPr>
              <w:highlight w:val="none"/>
            </w:rPr>
            <w:fldChar w:fldCharType="separate"/>
          </w:r>
          <w:r>
            <w:rPr>
              <w:highlight w:val="none"/>
            </w:rPr>
            <w:t>11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"_Toc7321" </w:instrText>
          </w:r>
          <w:r>
            <w:rPr>
              <w:highlight w:val="none"/>
            </w:rPr>
            <w:fldChar w:fldCharType="separate"/>
          </w:r>
          <w:r>
            <w:rPr>
              <w:rFonts w:hint="eastAsia" w:ascii="仿宋_GB2312" w:hAnsi="仿宋_GB2312" w:eastAsia="仿宋_GB2312" w:cs="仿宋_GB2312"/>
              <w:kern w:val="0"/>
              <w:sz w:val="28"/>
              <w:szCs w:val="28"/>
              <w:highlight w:val="none"/>
            </w:rPr>
            <w:t>附件一 授权委托书</w:t>
          </w:r>
          <w:r>
            <w:rPr>
              <w:highlight w:val="none"/>
            </w:rPr>
            <w:tab/>
          </w:r>
          <w:r>
            <w:rPr>
              <w:highlight w:val="none"/>
            </w:rPr>
            <w:fldChar w:fldCharType="begin"/>
          </w:r>
          <w:r>
            <w:rPr>
              <w:highlight w:val="none"/>
            </w:rPr>
            <w:instrText xml:space="preserve"> PAGEREF _Toc7321 \h </w:instrText>
          </w:r>
          <w:r>
            <w:rPr>
              <w:highlight w:val="none"/>
            </w:rPr>
            <w:fldChar w:fldCharType="separate"/>
          </w:r>
          <w:r>
            <w:rPr>
              <w:highlight w:val="none"/>
            </w:rPr>
            <w:t>13</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"_Toc21254" </w:instrText>
          </w:r>
          <w:r>
            <w:rPr>
              <w:highlight w:val="none"/>
            </w:rPr>
            <w:fldChar w:fldCharType="separate"/>
          </w:r>
          <w:r>
            <w:rPr>
              <w:rFonts w:hint="eastAsia" w:ascii="仿宋_GB2312" w:hAnsi="仿宋_GB2312" w:eastAsia="仿宋_GB2312" w:cs="仿宋_GB2312"/>
              <w:kern w:val="0"/>
              <w:sz w:val="28"/>
              <w:szCs w:val="28"/>
              <w:highlight w:val="none"/>
            </w:rPr>
            <w:t>附件二 项目部合规权限告知书</w:t>
          </w:r>
          <w:r>
            <w:rPr>
              <w:highlight w:val="none"/>
            </w:rPr>
            <w:tab/>
          </w:r>
          <w:r>
            <w:rPr>
              <w:highlight w:val="none"/>
            </w:rPr>
            <w:fldChar w:fldCharType="begin"/>
          </w:r>
          <w:r>
            <w:rPr>
              <w:highlight w:val="none"/>
            </w:rPr>
            <w:instrText xml:space="preserve"> PAGEREF _Toc21254 \h </w:instrText>
          </w:r>
          <w:r>
            <w:rPr>
              <w:highlight w:val="none"/>
            </w:rPr>
            <w:fldChar w:fldCharType="separate"/>
          </w:r>
          <w:r>
            <w:rPr>
              <w:highlight w:val="none"/>
            </w:rPr>
            <w:t>14</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"_Toc20069" </w:instrText>
          </w:r>
          <w:r>
            <w:rPr>
              <w:highlight w:val="none"/>
            </w:rPr>
            <w:fldChar w:fldCharType="separate"/>
          </w:r>
          <w:r>
            <w:rPr>
              <w:rFonts w:hint="eastAsia" w:ascii="仿宋_GB2312" w:hAnsi="仿宋_GB2312" w:eastAsia="仿宋_GB2312" w:cs="仿宋_GB2312"/>
              <w:kern w:val="0"/>
              <w:sz w:val="28"/>
              <w:szCs w:val="28"/>
              <w:highlight w:val="none"/>
            </w:rPr>
            <w:t>附件三 安全管理协议书</w:t>
          </w:r>
          <w:r>
            <w:rPr>
              <w:highlight w:val="none"/>
            </w:rPr>
            <w:tab/>
          </w:r>
          <w:r>
            <w:rPr>
              <w:highlight w:val="none"/>
            </w:rPr>
            <w:fldChar w:fldCharType="begin"/>
          </w:r>
          <w:r>
            <w:rPr>
              <w:highlight w:val="none"/>
            </w:rPr>
            <w:instrText xml:space="preserve"> PAGEREF _Toc20069 \h </w:instrText>
          </w:r>
          <w:r>
            <w:rPr>
              <w:highlight w:val="none"/>
            </w:rPr>
            <w:fldChar w:fldCharType="separate"/>
          </w:r>
          <w:r>
            <w:rPr>
              <w:highlight w:val="none"/>
            </w:rPr>
            <w:t>17</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"_Toc24322" </w:instrText>
          </w:r>
          <w:r>
            <w:rPr>
              <w:highlight w:val="none"/>
            </w:rPr>
            <w:fldChar w:fldCharType="separate"/>
          </w:r>
          <w:r>
            <w:rPr>
              <w:rFonts w:hint="eastAsia" w:ascii="仿宋_GB2312" w:hAnsi="仿宋_GB2312" w:eastAsia="仿宋_GB2312" w:cs="仿宋_GB2312"/>
              <w:kern w:val="0"/>
              <w:sz w:val="28"/>
              <w:szCs w:val="28"/>
              <w:highlight w:val="none"/>
            </w:rPr>
            <w:t xml:space="preserve">附件四 </w:t>
          </w:r>
          <w:r>
            <w:rPr>
              <w:rFonts w:hint="eastAsia" w:ascii="仿宋_GB2312" w:hAnsi="仿宋_GB2312" w:eastAsia="仿宋_GB2312" w:cs="仿宋_GB2312"/>
              <w:sz w:val="28"/>
              <w:szCs w:val="28"/>
              <w:highlight w:val="none"/>
            </w:rPr>
            <w:t>廉洁从业共建协议</w:t>
          </w:r>
          <w:r>
            <w:rPr>
              <w:highlight w:val="none"/>
            </w:rPr>
            <w:tab/>
          </w:r>
          <w:r>
            <w:rPr>
              <w:highlight w:val="none"/>
            </w:rPr>
            <w:fldChar w:fldCharType="begin"/>
          </w:r>
          <w:r>
            <w:rPr>
              <w:highlight w:val="none"/>
            </w:rPr>
            <w:instrText xml:space="preserve"> PAGEREF _Toc24322 \h </w:instrText>
          </w:r>
          <w:r>
            <w:rPr>
              <w:highlight w:val="none"/>
            </w:rPr>
            <w:fldChar w:fldCharType="separate"/>
          </w:r>
          <w:r>
            <w:rPr>
              <w:highlight w:val="none"/>
            </w:rPr>
            <w:t>21</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"_Toc18674" </w:instrText>
          </w:r>
          <w:r>
            <w:rPr>
              <w:highlight w:val="none"/>
            </w:rPr>
            <w:fldChar w:fldCharType="separate"/>
          </w:r>
          <w:r>
            <w:rPr>
              <w:rFonts w:hint="eastAsia" w:ascii="黑体" w:hAnsi="黑体" w:eastAsia="黑体" w:cs="黑体"/>
              <w:bCs/>
              <w:sz w:val="30"/>
              <w:szCs w:val="30"/>
              <w:highlight w:val="none"/>
            </w:rPr>
            <w:t>第二部分 通用条款</w:t>
          </w:r>
          <w:r>
            <w:rPr>
              <w:highlight w:val="none"/>
            </w:rPr>
            <w:tab/>
          </w:r>
          <w:r>
            <w:rPr>
              <w:highlight w:val="none"/>
            </w:rPr>
            <w:fldChar w:fldCharType="begin"/>
          </w:r>
          <w:r>
            <w:rPr>
              <w:highlight w:val="none"/>
            </w:rPr>
            <w:instrText xml:space="preserve"> PAGEREF _Toc18674 \h </w:instrText>
          </w:r>
          <w:r>
            <w:rPr>
              <w:highlight w:val="none"/>
            </w:rPr>
            <w:fldChar w:fldCharType="separate"/>
          </w:r>
          <w:r>
            <w:rPr>
              <w:highlight w:val="none"/>
            </w:rPr>
            <w:t>24</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"_Toc3066" </w:instrText>
          </w:r>
          <w:r>
            <w:rPr>
              <w:highlight w:val="none"/>
            </w:rPr>
            <w:fldChar w:fldCharType="separate"/>
          </w:r>
          <w:r>
            <w:rPr>
              <w:rFonts w:hint="eastAsia" w:ascii="仿宋_GB2312" w:hAnsi="仿宋_GB2312" w:eastAsia="仿宋_GB2312" w:cs="仿宋_GB2312"/>
              <w:kern w:val="0"/>
              <w:sz w:val="28"/>
              <w:szCs w:val="28"/>
              <w:highlight w:val="none"/>
            </w:rPr>
            <w:t>一、货物合同附随义务</w:t>
          </w:r>
          <w:r>
            <w:rPr>
              <w:highlight w:val="none"/>
            </w:rPr>
            <w:tab/>
          </w:r>
          <w:r>
            <w:rPr>
              <w:highlight w:val="none"/>
            </w:rPr>
            <w:fldChar w:fldCharType="begin"/>
          </w:r>
          <w:r>
            <w:rPr>
              <w:highlight w:val="none"/>
            </w:rPr>
            <w:instrText xml:space="preserve"> PAGEREF _Toc3066 \h </w:instrText>
          </w:r>
          <w:r>
            <w:rPr>
              <w:highlight w:val="none"/>
            </w:rPr>
            <w:fldChar w:fldCharType="separate"/>
          </w:r>
          <w:r>
            <w:rPr>
              <w:highlight w:val="none"/>
            </w:rPr>
            <w:t>24</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"_Toc965" </w:instrText>
          </w:r>
          <w:r>
            <w:rPr>
              <w:highlight w:val="none"/>
            </w:rPr>
            <w:fldChar w:fldCharType="separate"/>
          </w:r>
          <w:r>
            <w:rPr>
              <w:rFonts w:hint="eastAsia" w:ascii="仿宋_GB2312" w:hAnsi="仿宋_GB2312" w:eastAsia="仿宋_GB2312" w:cs="仿宋_GB2312"/>
              <w:kern w:val="0"/>
              <w:sz w:val="28"/>
              <w:szCs w:val="28"/>
              <w:highlight w:val="none"/>
            </w:rPr>
            <w:t>二、货物违约责任</w:t>
          </w:r>
          <w:r>
            <w:rPr>
              <w:highlight w:val="none"/>
            </w:rPr>
            <w:tab/>
          </w:r>
          <w:r>
            <w:rPr>
              <w:highlight w:val="none"/>
            </w:rPr>
            <w:fldChar w:fldCharType="begin"/>
          </w:r>
          <w:r>
            <w:rPr>
              <w:highlight w:val="none"/>
            </w:rPr>
            <w:instrText xml:space="preserve"> PAGEREF _Toc965 \h </w:instrText>
          </w:r>
          <w:r>
            <w:rPr>
              <w:highlight w:val="none"/>
            </w:rPr>
            <w:fldChar w:fldCharType="separate"/>
          </w:r>
          <w:r>
            <w:rPr>
              <w:highlight w:val="none"/>
            </w:rPr>
            <w:t>25</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"_Toc20335" </w:instrText>
          </w:r>
          <w:r>
            <w:rPr>
              <w:highlight w:val="none"/>
            </w:rPr>
            <w:fldChar w:fldCharType="separate"/>
          </w:r>
          <w:r>
            <w:rPr>
              <w:rFonts w:hint="eastAsia" w:ascii="仿宋_GB2312" w:hAnsi="仿宋_GB2312" w:eastAsia="仿宋_GB2312" w:cs="仿宋_GB2312"/>
              <w:kern w:val="0"/>
              <w:sz w:val="28"/>
              <w:szCs w:val="28"/>
              <w:highlight w:val="none"/>
            </w:rPr>
            <w:t>三、货物缺陷索赔</w:t>
          </w:r>
          <w:r>
            <w:rPr>
              <w:highlight w:val="none"/>
            </w:rPr>
            <w:tab/>
          </w:r>
          <w:r>
            <w:rPr>
              <w:highlight w:val="none"/>
            </w:rPr>
            <w:fldChar w:fldCharType="begin"/>
          </w:r>
          <w:r>
            <w:rPr>
              <w:highlight w:val="none"/>
            </w:rPr>
            <w:instrText xml:space="preserve"> PAGEREF _Toc20335 \h </w:instrText>
          </w:r>
          <w:r>
            <w:rPr>
              <w:highlight w:val="none"/>
            </w:rPr>
            <w:fldChar w:fldCharType="separate"/>
          </w:r>
          <w:r>
            <w:rPr>
              <w:highlight w:val="none"/>
            </w:rPr>
            <w:t>26</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"_Toc12864" </w:instrText>
          </w:r>
          <w:r>
            <w:rPr>
              <w:highlight w:val="none"/>
            </w:rPr>
            <w:fldChar w:fldCharType="separate"/>
          </w:r>
          <w:r>
            <w:rPr>
              <w:rFonts w:hint="eastAsia" w:ascii="仿宋_GB2312" w:hAnsi="仿宋_GB2312" w:eastAsia="仿宋_GB2312" w:cs="仿宋_GB2312"/>
              <w:kern w:val="0"/>
              <w:sz w:val="28"/>
              <w:szCs w:val="28"/>
              <w:highlight w:val="none"/>
            </w:rPr>
            <w:t>四、合同变更</w:t>
          </w:r>
          <w:r>
            <w:rPr>
              <w:highlight w:val="none"/>
            </w:rPr>
            <w:tab/>
          </w:r>
          <w:r>
            <w:rPr>
              <w:highlight w:val="none"/>
            </w:rPr>
            <w:fldChar w:fldCharType="begin"/>
          </w:r>
          <w:r>
            <w:rPr>
              <w:highlight w:val="none"/>
            </w:rPr>
            <w:instrText xml:space="preserve"> PAGEREF _Toc12864 \h </w:instrText>
          </w:r>
          <w:r>
            <w:rPr>
              <w:highlight w:val="none"/>
            </w:rPr>
            <w:fldChar w:fldCharType="separate"/>
          </w:r>
          <w:r>
            <w:rPr>
              <w:highlight w:val="none"/>
            </w:rPr>
            <w:t>28</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"_Toc23441" </w:instrText>
          </w:r>
          <w:r>
            <w:rPr>
              <w:highlight w:val="none"/>
            </w:rPr>
            <w:fldChar w:fldCharType="separate"/>
          </w:r>
          <w:r>
            <w:rPr>
              <w:rFonts w:hint="eastAsia" w:ascii="仿宋_GB2312" w:hAnsi="仿宋_GB2312" w:eastAsia="仿宋_GB2312" w:cs="仿宋_GB2312"/>
              <w:kern w:val="0"/>
              <w:sz w:val="28"/>
              <w:szCs w:val="28"/>
              <w:highlight w:val="none"/>
            </w:rPr>
            <w:t>五、合同解除</w:t>
          </w:r>
          <w:r>
            <w:rPr>
              <w:highlight w:val="none"/>
            </w:rPr>
            <w:tab/>
          </w:r>
          <w:r>
            <w:rPr>
              <w:highlight w:val="none"/>
            </w:rPr>
            <w:fldChar w:fldCharType="begin"/>
          </w:r>
          <w:r>
            <w:rPr>
              <w:highlight w:val="none"/>
            </w:rPr>
            <w:instrText xml:space="preserve"> PAGEREF _Toc23441 \h </w:instrText>
          </w:r>
          <w:r>
            <w:rPr>
              <w:highlight w:val="none"/>
            </w:rPr>
            <w:fldChar w:fldCharType="separate"/>
          </w:r>
          <w:r>
            <w:rPr>
              <w:highlight w:val="none"/>
            </w:rPr>
            <w:t>28</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"_Toc16580" </w:instrText>
          </w:r>
          <w:r>
            <w:rPr>
              <w:highlight w:val="none"/>
            </w:rPr>
            <w:fldChar w:fldCharType="separate"/>
          </w:r>
          <w:r>
            <w:rPr>
              <w:rFonts w:hint="eastAsia" w:ascii="仿宋_GB2312" w:hAnsi="仿宋_GB2312" w:eastAsia="仿宋_GB2312" w:cs="仿宋_GB2312"/>
              <w:kern w:val="0"/>
              <w:sz w:val="28"/>
              <w:szCs w:val="28"/>
              <w:highlight w:val="none"/>
            </w:rPr>
            <w:t>六、不可抗力</w:t>
          </w:r>
          <w:r>
            <w:rPr>
              <w:highlight w:val="none"/>
            </w:rPr>
            <w:tab/>
          </w:r>
          <w:r>
            <w:rPr>
              <w:highlight w:val="none"/>
            </w:rPr>
            <w:fldChar w:fldCharType="begin"/>
          </w:r>
          <w:r>
            <w:rPr>
              <w:highlight w:val="none"/>
            </w:rPr>
            <w:instrText xml:space="preserve"> PAGEREF _Toc16580 \h </w:instrText>
          </w:r>
          <w:r>
            <w:rPr>
              <w:highlight w:val="none"/>
            </w:rPr>
            <w:fldChar w:fldCharType="separate"/>
          </w:r>
          <w:r>
            <w:rPr>
              <w:highlight w:val="none"/>
            </w:rPr>
            <w:t>29</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"_Toc10852" </w:instrText>
          </w:r>
          <w:r>
            <w:rPr>
              <w:highlight w:val="none"/>
            </w:rPr>
            <w:fldChar w:fldCharType="separate"/>
          </w:r>
          <w:r>
            <w:rPr>
              <w:rFonts w:hint="eastAsia" w:ascii="仿宋_GB2312" w:hAnsi="仿宋_GB2312" w:eastAsia="仿宋_GB2312" w:cs="仿宋_GB2312"/>
              <w:kern w:val="0"/>
              <w:sz w:val="28"/>
              <w:szCs w:val="28"/>
              <w:highlight w:val="none"/>
            </w:rPr>
            <w:t>七、争议解决</w:t>
          </w:r>
          <w:r>
            <w:rPr>
              <w:highlight w:val="none"/>
            </w:rPr>
            <w:tab/>
          </w:r>
          <w:r>
            <w:rPr>
              <w:highlight w:val="none"/>
            </w:rPr>
            <w:fldChar w:fldCharType="begin"/>
          </w:r>
          <w:r>
            <w:rPr>
              <w:highlight w:val="none"/>
            </w:rPr>
            <w:instrText xml:space="preserve"> PAGEREF _Toc10852 \h </w:instrText>
          </w:r>
          <w:r>
            <w:rPr>
              <w:highlight w:val="none"/>
            </w:rPr>
            <w:fldChar w:fldCharType="separate"/>
          </w:r>
          <w:r>
            <w:rPr>
              <w:highlight w:val="none"/>
            </w:rPr>
            <w:t>29</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"_Toc11207" </w:instrText>
          </w:r>
          <w:r>
            <w:rPr>
              <w:highlight w:val="none"/>
            </w:rPr>
            <w:fldChar w:fldCharType="separate"/>
          </w:r>
          <w:r>
            <w:rPr>
              <w:rFonts w:hint="eastAsia" w:ascii="仿宋_GB2312" w:hAnsi="仿宋_GB2312" w:eastAsia="仿宋_GB2312" w:cs="仿宋_GB2312"/>
              <w:kern w:val="0"/>
              <w:sz w:val="28"/>
              <w:szCs w:val="28"/>
              <w:highlight w:val="none"/>
            </w:rPr>
            <w:t>八、保密义务</w:t>
          </w:r>
          <w:r>
            <w:rPr>
              <w:highlight w:val="none"/>
            </w:rPr>
            <w:tab/>
          </w:r>
          <w:r>
            <w:rPr>
              <w:highlight w:val="none"/>
            </w:rPr>
            <w:fldChar w:fldCharType="begin"/>
          </w:r>
          <w:r>
            <w:rPr>
              <w:highlight w:val="none"/>
            </w:rPr>
            <w:instrText xml:space="preserve"> PAGEREF _Toc11207 \h </w:instrText>
          </w:r>
          <w:r>
            <w:rPr>
              <w:highlight w:val="none"/>
            </w:rPr>
            <w:fldChar w:fldCharType="separate"/>
          </w:r>
          <w:r>
            <w:rPr>
              <w:highlight w:val="none"/>
            </w:rPr>
            <w:t>30</w:t>
          </w:r>
          <w:r>
            <w:rPr>
              <w:highlight w:val="none"/>
            </w:rPr>
            <w:fldChar w:fldCharType="end"/>
          </w:r>
          <w:r>
            <w:rPr>
              <w:highlight w:val="none"/>
            </w:rPr>
            <w:fldChar w:fldCharType="end"/>
          </w:r>
        </w:p>
        <w:p>
          <w:pPr>
            <w:pStyle w:val="24"/>
            <w:tabs>
              <w:tab w:val="right" w:leader="dot" w:pos="8306"/>
            </w:tabs>
            <w:spacing w:line="312" w:lineRule="auto"/>
            <w:rPr>
              <w:highlight w:val="none"/>
            </w:rPr>
          </w:pPr>
          <w:r>
            <w:rPr>
              <w:highlight w:val="none"/>
            </w:rPr>
            <w:fldChar w:fldCharType="begin"/>
          </w:r>
          <w:r>
            <w:rPr>
              <w:highlight w:val="none"/>
            </w:rPr>
            <w:instrText xml:space="preserve"> HYPERLINK \l "_Toc3848" </w:instrText>
          </w:r>
          <w:r>
            <w:rPr>
              <w:highlight w:val="none"/>
            </w:rPr>
            <w:fldChar w:fldCharType="separate"/>
          </w:r>
          <w:r>
            <w:rPr>
              <w:rFonts w:hint="eastAsia" w:ascii="仿宋_GB2312" w:hAnsi="仿宋_GB2312" w:eastAsia="仿宋_GB2312" w:cs="仿宋_GB2312"/>
              <w:kern w:val="0"/>
              <w:sz w:val="28"/>
              <w:szCs w:val="28"/>
              <w:highlight w:val="none"/>
            </w:rPr>
            <w:t>九、其他条款</w:t>
          </w:r>
          <w:r>
            <w:rPr>
              <w:highlight w:val="none"/>
            </w:rPr>
            <w:tab/>
          </w:r>
          <w:r>
            <w:rPr>
              <w:highlight w:val="none"/>
            </w:rPr>
            <w:fldChar w:fldCharType="begin"/>
          </w:r>
          <w:r>
            <w:rPr>
              <w:highlight w:val="none"/>
            </w:rPr>
            <w:instrText xml:space="preserve"> PAGEREF _Toc3848 \h </w:instrText>
          </w:r>
          <w:r>
            <w:rPr>
              <w:highlight w:val="none"/>
            </w:rPr>
            <w:fldChar w:fldCharType="separate"/>
          </w:r>
          <w:r>
            <w:rPr>
              <w:highlight w:val="none"/>
            </w:rPr>
            <w:t>30</w:t>
          </w:r>
          <w:r>
            <w:rPr>
              <w:highlight w:val="none"/>
            </w:rPr>
            <w:fldChar w:fldCharType="end"/>
          </w:r>
          <w:r>
            <w:rPr>
              <w:highlight w:val="none"/>
            </w:rPr>
            <w:fldChar w:fldCharType="end"/>
          </w:r>
        </w:p>
        <w:p>
          <w:pPr>
            <w:spacing w:line="312" w:lineRule="auto"/>
            <w:jc w:val="center"/>
            <w:rPr>
              <w:rFonts w:ascii="仿宋" w:hAnsi="仿宋" w:eastAsia="仿宋" w:cs="仿宋"/>
              <w:color w:val="000000" w:themeColor="text1"/>
              <w:highlight w:val="none"/>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0" w:bottom="1440" w:left="1800" w:header="850" w:footer="975" w:gutter="0"/>
              <w:pgNumType w:start="1"/>
              <w:cols w:space="0" w:num="1"/>
              <w:titlePg/>
              <w:docGrid w:linePitch="312" w:charSpace="0"/>
            </w:sectPr>
          </w:pPr>
          <w:r>
            <w:rPr>
              <w:rFonts w:hint="eastAsia" w:ascii="仿宋" w:hAnsi="仿宋" w:eastAsia="仿宋" w:cs="仿宋"/>
              <w:color w:val="000000" w:themeColor="text1"/>
              <w:highlight w:val="none"/>
              <w14:textFill>
                <w14:solidFill>
                  <w14:schemeClr w14:val="tx1"/>
                </w14:solidFill>
              </w14:textFill>
            </w:rPr>
            <w:fldChar w:fldCharType="end"/>
          </w:r>
        </w:p>
      </w:sdtContent>
    </w:sdt>
    <w:p>
      <w:pPr>
        <w:pStyle w:val="41"/>
        <w:jc w:val="center"/>
        <w:outlineLvl w:val="0"/>
        <w:rPr>
          <w:rFonts w:ascii="仿宋" w:hAnsi="仿宋" w:eastAsia="仿宋" w:cs="仿宋"/>
          <w:b/>
          <w:bCs/>
          <w:color w:val="000000" w:themeColor="text1"/>
          <w:sz w:val="32"/>
          <w:szCs w:val="32"/>
          <w:highlight w:val="none"/>
          <w14:textFill>
            <w14:solidFill>
              <w14:schemeClr w14:val="tx1"/>
            </w14:solidFill>
          </w14:textFill>
        </w:rPr>
      </w:pPr>
      <w:bookmarkStart w:id="76" w:name="_Toc22574"/>
      <w:bookmarkStart w:id="77" w:name="_Toc5953"/>
      <w:bookmarkStart w:id="78" w:name="_Toc31405"/>
      <w:r>
        <w:rPr>
          <w:rFonts w:hint="eastAsia" w:ascii="黑体" w:hAnsi="黑体" w:eastAsia="黑体" w:cs="黑体"/>
          <w:b/>
          <w:bCs/>
          <w:color w:val="000000" w:themeColor="text1"/>
          <w:sz w:val="32"/>
          <w:szCs w:val="32"/>
          <w:highlight w:val="none"/>
          <w14:textFill>
            <w14:solidFill>
              <w14:schemeClr w14:val="tx1"/>
            </w14:solidFill>
          </w14:textFill>
        </w:rPr>
        <w:t>第一部分</w:t>
      </w:r>
      <w:bookmarkEnd w:id="76"/>
      <w:r>
        <w:rPr>
          <w:rFonts w:hint="eastAsia" w:ascii="黑体" w:hAnsi="黑体" w:eastAsia="黑体" w:cs="黑体"/>
          <w:b/>
          <w:bCs/>
          <w:color w:val="000000" w:themeColor="text1"/>
          <w:sz w:val="32"/>
          <w:szCs w:val="32"/>
          <w:highlight w:val="none"/>
          <w14:textFill>
            <w14:solidFill>
              <w14:schemeClr w14:val="tx1"/>
            </w14:solidFill>
          </w14:textFill>
        </w:rPr>
        <w:t xml:space="preserve"> 专用条款</w:t>
      </w:r>
      <w:bookmarkEnd w:id="77"/>
      <w:bookmarkEnd w:id="78"/>
    </w:p>
    <w:p>
      <w:pPr>
        <w:pStyle w:val="41"/>
        <w:spacing w:before="240" w:beforeLines="100" w:line="400" w:lineRule="atLeast"/>
        <w:rPr>
          <w:rFonts w:hint="default"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甲方（买方）：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中建</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集团有限公司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p>
    <w:p>
      <w:pPr>
        <w:pStyle w:val="41"/>
        <w:spacing w:line="400" w:lineRule="atLeast"/>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乙方（卖方）：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根据《中华人民共和国民法典》及有关法律规定，遵循平等、自愿、公平和诚实信用的原则，在对本合同进行充分理解的基础上，双方经友好协商一致，订立本合同并共同遵守。</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79" w:name="_Toc640"/>
      <w:bookmarkStart w:id="80" w:name="_Toc17203"/>
      <w:bookmarkStart w:id="81" w:name="_Toc29946"/>
      <w:r>
        <w:rPr>
          <w:rFonts w:hint="eastAsia" w:ascii="仿宋_GB2312" w:hAnsi="仿宋_GB2312" w:eastAsia="仿宋_GB2312" w:cs="仿宋_GB2312"/>
          <w:b/>
          <w:bCs/>
          <w:color w:val="000000" w:themeColor="text1"/>
          <w:highlight w:val="none"/>
          <w14:textFill>
            <w14:solidFill>
              <w14:schemeClr w14:val="tx1"/>
            </w14:solidFill>
          </w14:textFill>
        </w:rPr>
        <w:t>工程概况</w:t>
      </w:r>
      <w:bookmarkEnd w:id="79"/>
      <w:bookmarkEnd w:id="80"/>
      <w:bookmarkEnd w:id="81"/>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1、工程名称：</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G680塔克什肯至恰库尔图（含G680-青河）公路建设项目</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2、工程地点：</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新疆阿勒泰地区青河县阿格达拉镇</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numPr>
          <w:ilvl w:val="0"/>
          <w:numId w:val="1"/>
        </w:numPr>
        <w:spacing w:before="120" w:beforeLines="50" w:after="120" w:afterLines="50" w:line="400" w:lineRule="atLeast"/>
        <w:ind w:firstLine="482" w:firstLineChars="200"/>
        <w:outlineLvl w:val="0"/>
        <w:rPr>
          <w:rFonts w:hint="default" w:ascii="仿宋_GB2312" w:hAnsi="仿宋_GB2312" w:eastAsia="仿宋_GB2312" w:cs="仿宋_GB2312"/>
          <w:color w:val="000000" w:themeColor="text1"/>
          <w:highlight w:val="none"/>
          <w:u w:val="single"/>
          <w:lang w:val="en-US" w:eastAsia="zh-CN"/>
          <w14:textFill>
            <w14:solidFill>
              <w14:schemeClr w14:val="tx1"/>
            </w14:solidFill>
          </w14:textFill>
        </w:rPr>
      </w:pPr>
      <w:bookmarkStart w:id="82" w:name="_Toc6010"/>
      <w:bookmarkStart w:id="83" w:name="_Toc2931"/>
      <w:bookmarkStart w:id="84" w:name="_Toc23103"/>
      <w:r>
        <w:rPr>
          <w:rFonts w:hint="eastAsia" w:ascii="仿宋_GB2312" w:hAnsi="仿宋_GB2312" w:eastAsia="仿宋_GB2312" w:cs="仿宋_GB2312"/>
          <w:b/>
          <w:bCs/>
          <w:color w:val="000000" w:themeColor="text1"/>
          <w:highlight w:val="none"/>
          <w14:textFill>
            <w14:solidFill>
              <w14:schemeClr w14:val="tx1"/>
            </w14:solidFill>
          </w14:textFill>
        </w:rPr>
        <w:t>货物清单</w:t>
      </w:r>
      <w:bookmarkEnd w:id="82"/>
      <w:bookmarkEnd w:id="83"/>
      <w:bookmarkEnd w:id="84"/>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价款、计价方式</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
        <w:gridCol w:w="1098"/>
        <w:gridCol w:w="1121"/>
        <w:gridCol w:w="440"/>
        <w:gridCol w:w="879"/>
        <w:gridCol w:w="798"/>
        <w:gridCol w:w="937"/>
        <w:gridCol w:w="510"/>
        <w:gridCol w:w="1067"/>
        <w:gridCol w:w="774"/>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3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644"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名称</w:t>
            </w:r>
          </w:p>
        </w:tc>
        <w:tc>
          <w:tcPr>
            <w:tcW w:w="658"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2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516"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暂定</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数量</w:t>
            </w:r>
          </w:p>
        </w:tc>
        <w:tc>
          <w:tcPr>
            <w:tcW w:w="46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550"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299"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增值</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税率</w:t>
            </w:r>
          </w:p>
        </w:tc>
        <w:tc>
          <w:tcPr>
            <w:tcW w:w="626"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454"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286" w:type="pct"/>
            <w:shd w:val="clear" w:color="auto" w:fill="auto"/>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35" w:type="pct"/>
            <w:shd w:val="clear" w:color="auto" w:fill="auto"/>
            <w:vAlign w:val="center"/>
          </w:tcPr>
          <w:p>
            <w:pPr>
              <w:keepNext w:val="0"/>
              <w:keepLines w:val="0"/>
              <w:widowControl/>
              <w:suppressLineNumbers w:val="0"/>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644" w:type="pct"/>
            <w:shd w:val="clear" w:color="auto" w:fill="auto"/>
            <w:vAlign w:val="center"/>
          </w:tcPr>
          <w:p>
            <w:pPr>
              <w:spacing w:line="500" w:lineRule="exact"/>
              <w:jc w:val="both"/>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eastAsia="仿宋_GB2312"/>
                <w:sz w:val="21"/>
                <w:szCs w:val="21"/>
                <w:highlight w:val="none"/>
                <w:lang w:val="en-US" w:eastAsia="zh-CN"/>
              </w:rPr>
              <w:t>天然砂砾</w:t>
            </w:r>
          </w:p>
        </w:tc>
        <w:tc>
          <w:tcPr>
            <w:tcW w:w="658" w:type="pct"/>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eastAsia="仿宋_GB2312"/>
                <w:sz w:val="21"/>
                <w:szCs w:val="21"/>
                <w:highlight w:val="none"/>
                <w:lang w:val="en-US" w:eastAsia="zh-CN"/>
              </w:rPr>
              <w:t>戈壁料</w:t>
            </w:r>
          </w:p>
        </w:tc>
        <w:tc>
          <w:tcPr>
            <w:tcW w:w="258" w:type="pct"/>
            <w:shd w:val="clear" w:color="auto" w:fill="auto"/>
            <w:vAlign w:val="center"/>
          </w:tcPr>
          <w:p>
            <w:pPr>
              <w:spacing w:line="500" w:lineRule="exact"/>
              <w:jc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eastAsia="仿宋_GB2312"/>
                <w:sz w:val="21"/>
                <w:szCs w:val="21"/>
                <w:highlight w:val="none"/>
                <w:lang w:val="en-US" w:eastAsia="zh-CN"/>
              </w:rPr>
              <w:t>m³</w:t>
            </w:r>
          </w:p>
        </w:tc>
        <w:tc>
          <w:tcPr>
            <w:tcW w:w="516" w:type="pct"/>
            <w:shd w:val="clear" w:color="auto" w:fill="auto"/>
            <w:vAlign w:val="center"/>
          </w:tcPr>
          <w:p>
            <w:pPr>
              <w:spacing w:line="500" w:lineRule="exact"/>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eastAsia="仿宋_GB2312"/>
                <w:sz w:val="21"/>
                <w:szCs w:val="21"/>
                <w:highlight w:val="none"/>
                <w:lang w:val="en-US" w:eastAsia="zh-CN"/>
              </w:rPr>
              <w:t>923500</w:t>
            </w:r>
          </w:p>
        </w:tc>
        <w:tc>
          <w:tcPr>
            <w:tcW w:w="468"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50"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99"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26"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54" w:type="pct"/>
            <w:shd w:val="clear" w:color="auto" w:fill="auto"/>
            <w:noWrap/>
            <w:vAlign w:val="center"/>
          </w:tcPr>
          <w:p>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86" w:type="pct"/>
            <w:shd w:val="clear" w:color="auto" w:fill="auto"/>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35"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合计</w:t>
            </w:r>
          </w:p>
        </w:tc>
        <w:tc>
          <w:tcPr>
            <w:tcW w:w="644"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658" w:type="pct"/>
            <w:shd w:val="clear" w:color="auto" w:fill="auto"/>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258" w:type="pct"/>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516" w:type="pct"/>
            <w:shd w:val="clear" w:color="auto" w:fill="auto"/>
            <w:vAlign w:val="center"/>
          </w:tcPr>
          <w:p>
            <w:pPr>
              <w:widowControl/>
              <w:spacing w:line="400" w:lineRule="atLeast"/>
              <w:jc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p>
        </w:tc>
        <w:tc>
          <w:tcPr>
            <w:tcW w:w="468"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50"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99"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26"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54"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286" w:type="pct"/>
            <w:shd w:val="clear" w:color="auto" w:fill="auto"/>
            <w:noWrap/>
            <w:vAlign w:val="center"/>
          </w:tcPr>
          <w:p>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w:t>
            </w:r>
            <w:r>
              <w:rPr>
                <w:rFonts w:hint="eastAsia" w:ascii="仿宋_GB2312" w:hAnsi="仿宋_GB2312" w:eastAsia="仿宋_GB2312" w:cs="仿宋_GB2312"/>
                <w:color w:val="000000" w:themeColor="text1"/>
                <w:sz w:val="18"/>
                <w:szCs w:val="18"/>
                <w:highlight w:val="none"/>
                <w14:textFill>
                  <w14:solidFill>
                    <w14:schemeClr w14:val="tx1"/>
                  </w14:solidFill>
                </w14:textFill>
              </w:rPr>
              <w:t>不含增值税暂定总价*（1+增值税税率）=</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w:t>
            </w:r>
          </w:p>
        </w:tc>
      </w:tr>
    </w:tbl>
    <w:p>
      <w:pPr>
        <w:pStyle w:val="41"/>
        <w:spacing w:line="400" w:lineRule="atLeast"/>
        <w:ind w:left="547" w:leftChars="228"/>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说明：</w:t>
      </w:r>
    </w:p>
    <w:p>
      <w:pPr>
        <w:pStyle w:val="41"/>
        <w:numPr>
          <w:ilvl w:val="0"/>
          <w:numId w:val="2"/>
        </w:numPr>
        <w:spacing w:line="400" w:lineRule="atLeast"/>
        <w:ind w:firstLine="482"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合同单价：</w:t>
      </w:r>
      <w:r>
        <w:rPr>
          <w:rFonts w:hint="eastAsia" w:ascii="仿宋_GB2312" w:hAnsi="仿宋_GB2312" w:eastAsia="仿宋_GB2312" w:cs="仿宋_GB2312"/>
          <w:color w:val="000000" w:themeColor="text1"/>
          <w:highlight w:val="none"/>
          <w14:textFill>
            <w14:solidFill>
              <w14:schemeClr w14:val="tx1"/>
            </w14:solidFill>
          </w14:textFill>
        </w:rPr>
        <w:t>本合同综合单价适用第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1.1  </w:t>
      </w:r>
      <w:r>
        <w:rPr>
          <w:rFonts w:hint="eastAsia" w:ascii="仿宋_GB2312" w:hAnsi="仿宋_GB2312" w:eastAsia="仿宋_GB2312" w:cs="仿宋_GB2312"/>
          <w:color w:val="000000" w:themeColor="text1"/>
          <w:highlight w:val="none"/>
          <w14:textFill>
            <w14:solidFill>
              <w14:schemeClr w14:val="tx1"/>
            </w14:solidFill>
          </w14:textFill>
        </w:rPr>
        <w:t>条</w:t>
      </w:r>
    </w:p>
    <w:p>
      <w:pPr>
        <w:pStyle w:val="41"/>
        <w:numPr>
          <w:ilvl w:val="255"/>
          <w:numId w:val="0"/>
        </w:numPr>
        <w:spacing w:line="400" w:lineRule="atLeast"/>
        <w:ind w:firstLine="482" w:firstLineChars="200"/>
        <w:outlineLvl w:val="2"/>
        <w:rPr>
          <w:rFonts w:hint="eastAsia"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highlight w:val="none"/>
          <w14:textFill>
            <w14:solidFill>
              <w14:schemeClr w14:val="tx1"/>
            </w14:solidFill>
          </w14:textFill>
        </w:rPr>
        <w:t>本合同为</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单价合同；</w:t>
      </w:r>
      <w:r>
        <w:rPr>
          <w:rFonts w:hint="eastAsia" w:ascii="仿宋_GB2312" w:hAnsi="仿宋_GB2312" w:eastAsia="仿宋_GB2312" w:cs="仿宋_GB2312"/>
          <w:b/>
          <w:bCs/>
          <w:color w:val="000000" w:themeColor="text1"/>
          <w:highlight w:val="none"/>
          <w:u w:val="single"/>
          <w14:textFill>
            <w14:solidFill>
              <w14:schemeClr w14:val="tx1"/>
            </w14:solidFill>
          </w14:textFill>
        </w:rPr>
        <w:t>不</w:t>
      </w:r>
      <w:bookmarkStart w:id="85" w:name="_Hlk127188815"/>
      <w:r>
        <w:rPr>
          <w:rFonts w:hint="eastAsia" w:ascii="仿宋_GB2312" w:hAnsi="仿宋_GB2312" w:eastAsia="仿宋_GB2312" w:cs="仿宋_GB2312"/>
          <w:b/>
          <w:bCs/>
          <w:color w:val="000000" w:themeColor="text1"/>
          <w:highlight w:val="none"/>
          <w:u w:val="single"/>
          <w14:textFill>
            <w14:solidFill>
              <w14:schemeClr w14:val="tx1"/>
            </w14:solidFill>
          </w14:textFill>
        </w:rPr>
        <w:t>含增值税综合单价为物资运至工地的单价包括</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但不限于</w:t>
      </w:r>
      <w:r>
        <w:rPr>
          <w:rFonts w:hint="eastAsia" w:ascii="仿宋_GB2312" w:hAnsi="仿宋_GB2312" w:eastAsia="仿宋_GB2312" w:cs="仿宋_GB2312"/>
          <w:b/>
          <w:bCs/>
          <w:color w:val="000000" w:themeColor="text1"/>
          <w:highlight w:val="none"/>
          <w:u w:val="single"/>
          <w14:textFill>
            <w14:solidFill>
              <w14:schemeClr w14:val="tx1"/>
            </w14:solidFill>
          </w14:textFill>
        </w:rPr>
        <w:t>材料费（或设备费）、包装回收费、卸货前损耗费、安装指导费、调试费、测试费（如有）、卸货前保管费（如有）、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、码放费、保险费、</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中转</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仓储费、驻厂监造费、运输造成的道路污染的清理及维修费用、</w:t>
      </w:r>
      <w:r>
        <w:rPr>
          <w:rFonts w:hint="eastAsia" w:ascii="仿宋_GB2312" w:hAnsi="仿宋_GB2312" w:eastAsia="仿宋_GB2312" w:cs="仿宋_GB2312"/>
          <w:b/>
          <w:bCs/>
          <w:color w:val="000000" w:themeColor="text1"/>
          <w:highlight w:val="none"/>
          <w:u w:val="single"/>
          <w14:textFill>
            <w14:solidFill>
              <w14:schemeClr w14:val="tx1"/>
            </w14:solidFill>
          </w14:textFill>
        </w:rPr>
        <w:t>出库吊装费、运输费、过江过桥费、高速公路费等，含工地卸货挂钩卸车人工费</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资料费、财务费、</w:t>
      </w:r>
      <w:r>
        <w:rPr>
          <w:rFonts w:hint="eastAsia" w:ascii="仿宋_GB2312" w:hAnsi="仿宋_GB2312" w:eastAsia="仿宋_GB2312" w:cs="仿宋_GB2312"/>
          <w:b/>
          <w:bCs/>
          <w:color w:val="000000" w:themeColor="text1"/>
          <w:highlight w:val="none"/>
          <w:u w:val="single"/>
          <w14:textFill>
            <w14:solidFill>
              <w14:schemeClr w14:val="tx1"/>
            </w14:solidFill>
          </w14:textFill>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等一切费用</w:t>
      </w:r>
      <w:r>
        <w:rPr>
          <w:rFonts w:hint="eastAsia" w:ascii="仿宋_GB2312" w:hAnsi="仿宋_GB2312" w:eastAsia="仿宋_GB2312" w:cs="仿宋_GB2312"/>
          <w:b/>
          <w:bCs/>
          <w:color w:val="000000" w:themeColor="text1"/>
          <w:highlight w:val="none"/>
          <w:u w:val="single"/>
          <w14:textFill>
            <w14:solidFill>
              <w14:schemeClr w14:val="tx1"/>
            </w14:solidFill>
          </w14:textFill>
        </w:rPr>
        <w:t>乙方不得以任何理由向甲方另行索要其它费用，除本合同规定的因素外，不得因政府政策变动、市场环境改变、增值税以外其他税费税率调整等而调整。除合同条款另有约定外，乙方在合同签订前和签订时已确定采用的专利、专有技术、技术秘密的使用费已包含在签约合同价中。</w:t>
      </w:r>
    </w:p>
    <w:p>
      <w:pPr>
        <w:pStyle w:val="41"/>
        <w:numPr>
          <w:ilvl w:val="255"/>
          <w:numId w:val="0"/>
        </w:numPr>
        <w:spacing w:line="400" w:lineRule="atLeast"/>
        <w:ind w:firstLine="482" w:firstLineChars="200"/>
        <w:outlineLvl w:val="2"/>
        <w:rPr>
          <w:highlight w:val="none"/>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1.2</w:t>
      </w:r>
      <w:r>
        <w:rPr>
          <w:rFonts w:hint="eastAsia" w:ascii="仿宋_GB2312" w:hAnsi="仿宋_GB2312" w:eastAsia="仿宋_GB2312" w:cs="仿宋_GB2312"/>
          <w:b/>
          <w:bCs/>
          <w:color w:val="000000" w:themeColor="text1"/>
          <w:highlight w:val="none"/>
          <w14:textFill>
            <w14:solidFill>
              <w14:schemeClr w14:val="tx1"/>
            </w14:solidFill>
          </w14:textFill>
        </w:rPr>
        <w:t>本合同约定的“</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不含税</w:t>
      </w:r>
      <w:r>
        <w:rPr>
          <w:rFonts w:hint="eastAsia" w:ascii="仿宋_GB2312" w:hAnsi="仿宋_GB2312" w:eastAsia="仿宋_GB2312" w:cs="仿宋_GB2312"/>
          <w:b/>
          <w:bCs/>
          <w:color w:val="000000" w:themeColor="text1"/>
          <w:highlight w:val="none"/>
          <w14:textFill>
            <w14:solidFill>
              <w14:schemeClr w14:val="tx1"/>
            </w14:solidFill>
          </w14:textFill>
        </w:rPr>
        <w:t>综合单价”为固定单价，即不受市场变化影响，且无论进场数量多少价格亦不发生变化</w:t>
      </w:r>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p>
    <w:p>
      <w:pPr>
        <w:pStyle w:val="41"/>
        <w:numPr>
          <w:ilvl w:val="0"/>
          <w:numId w:val="0"/>
        </w:numPr>
        <w:spacing w:before="120" w:beforeLines="50" w:after="120" w:afterLines="50" w:line="400" w:lineRule="atLeast"/>
        <w:ind w:firstLine="482" w:firstLineChars="200"/>
        <w:outlineLvl w:val="0"/>
        <w:rPr>
          <w:rFonts w:hint="default" w:ascii="仿宋_GB2312" w:hAnsi="仿宋_GB2312" w:eastAsia="仿宋_GB2312" w:cs="仿宋_GB2312"/>
          <w:b/>
          <w:bCs/>
          <w:color w:val="000000" w:themeColor="text1"/>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val="en-US" w:eastAsia="zh-CN"/>
          <w14:textFill>
            <w14:solidFill>
              <w14:schemeClr w14:val="tx1"/>
            </w14:solidFill>
          </w14:textFill>
        </w:rPr>
        <w:t>1.3</w:t>
      </w: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其他：</w:t>
      </w:r>
      <w:r>
        <w:rPr>
          <w:rFonts w:hint="eastAsia" w:ascii="仿宋_GB2312" w:hAnsi="仿宋_GB2312" w:eastAsia="仿宋_GB2312" w:cs="仿宋_GB2312"/>
          <w:b/>
          <w:bCs/>
          <w:color w:val="000000" w:themeColor="text1"/>
          <w:kern w:val="0"/>
          <w:sz w:val="24"/>
          <w:szCs w:val="24"/>
          <w:highlight w:val="none"/>
          <w:u w:val="single"/>
          <w:lang w:val="en-US" w:eastAsia="zh-CN"/>
          <w14:textFill>
            <w14:solidFill>
              <w14:schemeClr w14:val="tx1"/>
            </w14:solidFill>
          </w14:textFill>
        </w:rPr>
        <w:t xml:space="preserve">              /                                     </w:t>
      </w:r>
    </w:p>
    <w:p>
      <w:pPr>
        <w:pStyle w:val="41"/>
        <w:numPr>
          <w:ilvl w:val="0"/>
          <w:numId w:val="2"/>
        </w:numPr>
        <w:spacing w:line="400" w:lineRule="atLeast"/>
        <w:ind w:firstLine="482"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乙方所供物资必须为</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 xml:space="preserve">   /  </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公司生产产品。</w:t>
      </w:r>
    </w:p>
    <w:p>
      <w:pPr>
        <w:pStyle w:val="41"/>
        <w:numPr>
          <w:ilvl w:val="0"/>
          <w:numId w:val="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合同工程量：</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3.1</w:t>
      </w:r>
      <w:r>
        <w:rPr>
          <w:rFonts w:hint="eastAsia" w:ascii="仿宋_GB2312" w:hAnsi="仿宋_GB2312" w:eastAsia="仿宋_GB2312" w:cs="仿宋_GB2312"/>
          <w:color w:val="000000" w:themeColor="text1"/>
          <w:highlight w:val="none"/>
          <w14:textFill>
            <w14:solidFill>
              <w14:schemeClr w14:val="tx1"/>
            </w14:solidFill>
          </w14:textFill>
        </w:rPr>
        <w:t>本合同中约定货物工程量为暂定数量；甲乙双方最终结算数量以甲方最终签收的实际数量，并依据合同约定扣除不合格产品、损失等费用后的书面结算数额为准，</w:t>
      </w:r>
      <w:r>
        <w:rPr>
          <w:rFonts w:hint="eastAsia" w:ascii="仿宋_GB2312" w:hAnsi="仿宋_GB2312" w:eastAsia="仿宋_GB2312" w:cs="仿宋_GB2312"/>
          <w:b/>
          <w:bCs/>
          <w:color w:val="000000" w:themeColor="text1"/>
          <w:highlight w:val="none"/>
          <w14:textFill>
            <w14:solidFill>
              <w14:schemeClr w14:val="tx1"/>
            </w14:solidFill>
          </w14:textFill>
        </w:rPr>
        <w:t>乙方不得以合同暂定数量或合同暂定总金额为依据要求甲方支付任何款项，否则按合同第二部分第二条违约条款承担违约责任。</w:t>
      </w:r>
      <w:bookmarkEnd w:id="85"/>
      <w:r>
        <w:rPr>
          <w:rFonts w:hint="eastAsia" w:ascii="仿宋_GB2312" w:hAnsi="仿宋_GB2312" w:eastAsia="仿宋_GB2312" w:cs="仿宋_GB2312"/>
          <w:b/>
          <w:bCs/>
          <w:color w:val="000000" w:themeColor="text1"/>
          <w:highlight w:val="none"/>
          <w14:textFill>
            <w14:solidFill>
              <w14:schemeClr w14:val="tx1"/>
            </w14:solidFill>
          </w14:textFill>
        </w:rPr>
        <w:t xml:space="preserve">   </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86" w:name="_Toc23444"/>
      <w:bookmarkStart w:id="87" w:name="_Toc15703"/>
      <w:bookmarkStart w:id="88" w:name="_Toc13168"/>
      <w:r>
        <w:rPr>
          <w:rFonts w:hint="eastAsia" w:ascii="仿宋_GB2312" w:hAnsi="仿宋_GB2312" w:eastAsia="仿宋_GB2312" w:cs="仿宋_GB2312"/>
          <w:b/>
          <w:bCs/>
          <w:color w:val="000000" w:themeColor="text1"/>
          <w:highlight w:val="none"/>
          <w14:textFill>
            <w14:solidFill>
              <w14:schemeClr w14:val="tx1"/>
            </w14:solidFill>
          </w14:textFill>
        </w:rPr>
        <w:t>货物供应</w:t>
      </w:r>
      <w:bookmarkEnd w:id="86"/>
      <w:bookmarkEnd w:id="87"/>
      <w:bookmarkEnd w:id="88"/>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1、交货方式：</w:t>
      </w:r>
      <w:r>
        <w:rPr>
          <w:rFonts w:hint="eastAsia" w:ascii="仿宋_GB2312" w:hAnsi="仿宋_GB2312" w:eastAsia="仿宋_GB2312" w:cs="仿宋_GB2312"/>
          <w:color w:val="000000" w:themeColor="text1"/>
          <w:highlight w:val="none"/>
          <w14:textFill>
            <w14:solidFill>
              <w14:schemeClr w14:val="tx1"/>
            </w14:solidFill>
          </w14:textFill>
        </w:rPr>
        <w:t>双方协商一致，执行第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1.1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种交货方式；</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1.1送货卸车：</w:t>
      </w:r>
      <w:r>
        <w:rPr>
          <w:rFonts w:hint="eastAsia" w:ascii="仿宋_GB2312" w:hAnsi="仿宋_GB2312" w:eastAsia="仿宋_GB2312" w:cs="仿宋_GB2312"/>
          <w:color w:val="000000" w:themeColor="text1"/>
          <w:highlight w:val="none"/>
          <w14:textFill>
            <w14:solidFill>
              <w14:schemeClr w14:val="tx1"/>
            </w14:solidFill>
          </w14:textFill>
        </w:rPr>
        <w:t>乙方送货至甲方指定地点；合同综合单价已含卸车费用，卸车工作由乙方负责，若由甲方负责卸车，发生的相应费用结算款中扣除。</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1.2送货不卸车：</w:t>
      </w:r>
      <w:r>
        <w:rPr>
          <w:rFonts w:hint="eastAsia" w:ascii="仿宋_GB2312" w:hAnsi="仿宋_GB2312" w:eastAsia="仿宋_GB2312" w:cs="仿宋_GB2312"/>
          <w:color w:val="000000" w:themeColor="text1"/>
          <w:highlight w:val="none"/>
          <w14:textFill>
            <w14:solidFill>
              <w14:schemeClr w14:val="tx1"/>
            </w14:solidFill>
          </w14:textFill>
        </w:rPr>
        <w:t>合同综合单价不含卸车费用，卸车工作由甲方组织。</w:t>
      </w:r>
    </w:p>
    <w:p>
      <w:pPr>
        <w:pStyle w:val="41"/>
        <w:spacing w:line="400" w:lineRule="atLeast"/>
        <w:ind w:firstLine="482" w:firstLineChars="200"/>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2、交货时间：</w:t>
      </w:r>
      <w:r>
        <w:rPr>
          <w:rFonts w:hint="eastAsia" w:ascii="仿宋_GB2312" w:hAnsi="仿宋_GB2312" w:eastAsia="仿宋_GB2312" w:cs="仿宋_GB2312"/>
          <w:color w:val="000000" w:themeColor="text1"/>
          <w:highlight w:val="none"/>
          <w14:textFill>
            <w14:solidFill>
              <w14:schemeClr w14:val="tx1"/>
            </w14:solidFill>
          </w14:textFill>
        </w:rPr>
        <w:t>甲方施工现场材料负责人提前</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3</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天向乙方提供每批次的需用计划（云筑网订单、计划联系函、电子邮件等），乙方根据甲方所提供的需用计划及时将货物配送至甲方指定堆场。</w:t>
      </w:r>
      <w:r>
        <w:rPr>
          <w:rFonts w:hint="eastAsia" w:ascii="仿宋_GB2312" w:hAnsi="仿宋_GB2312" w:eastAsia="仿宋_GB2312" w:cs="仿宋_GB2312"/>
          <w:b/>
          <w:bCs/>
          <w:color w:val="000000" w:themeColor="text1"/>
          <w:highlight w:val="none"/>
          <w14:textFill>
            <w14:solidFill>
              <w14:schemeClr w14:val="tx1"/>
            </w14:solidFill>
          </w14:textFill>
        </w:rPr>
        <w:t>乙方延期供货次数不超过2次，否则乙方按合同第二部分第二条违约条款承担违约责任。乙方不得因甲方更改需用计划及要求乙方延期交货而向甲方提出索赔</w:t>
      </w:r>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14:textFill>
            <w14:solidFill>
              <w14:schemeClr w14:val="tx1"/>
            </w14:solidFill>
          </w14:textFill>
        </w:rPr>
        <w:t>根据工程项目施工需要，甲方对所采购物资的数量和送货时间如有变更，及时书面通知乙方，乙方按变更后的数量和送货时间供货，新增或减少的物资价格不变。</w:t>
      </w:r>
    </w:p>
    <w:p>
      <w:pPr>
        <w:pStyle w:val="41"/>
        <w:spacing w:line="400" w:lineRule="atLeast"/>
        <w:ind w:firstLine="482" w:firstLineChars="200"/>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3、交货地点：</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青河县阿格达拉镇  </w:t>
      </w:r>
      <w:r>
        <w:rPr>
          <w:rFonts w:hint="eastAsia" w:ascii="仿宋_GB2312" w:hAnsi="仿宋_GB2312" w:eastAsia="仿宋_GB2312" w:cs="仿宋_GB2312"/>
          <w:color w:val="000000" w:themeColor="text1"/>
          <w:highlight w:val="none"/>
          <w:u w:val="none"/>
          <w14:textFill>
            <w14:solidFill>
              <w14:schemeClr w14:val="tx1"/>
            </w14:solidFill>
          </w14:textFill>
        </w:rPr>
        <w:t>（工程所在地或甲方指定的其他地点）。</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4、交货内容：</w:t>
      </w:r>
      <w:r>
        <w:rPr>
          <w:rFonts w:hint="eastAsia" w:ascii="仿宋_GB2312" w:hAnsi="仿宋_GB2312" w:eastAsia="仿宋_GB2312" w:cs="仿宋_GB2312"/>
          <w:color w:val="000000" w:themeColor="text1"/>
          <w:highlight w:val="none"/>
          <w14:textFill>
            <w14:solidFill>
              <w14:schemeClr w14:val="tx1"/>
            </w14:solidFill>
          </w14:textFill>
        </w:rPr>
        <w:t>交货产品、配套产品及配套服务如下；</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5、双方代表：</w:t>
      </w:r>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甲方指定收货联系人：</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李标锦</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13313182611</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907174963@qq.com</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乙方指定发货联系人：</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89" w:name="_Hlk126833838"/>
      <w:r>
        <w:rPr>
          <w:rFonts w:hint="eastAsia" w:ascii="仿宋_GB2312" w:hAnsi="仿宋_GB2312" w:eastAsia="仿宋_GB2312" w:cs="仿宋_GB2312"/>
          <w:color w:val="000000" w:themeColor="text1"/>
          <w:highlight w:val="none"/>
          <w14:textFill>
            <w14:solidFill>
              <w14:schemeClr w14:val="tx1"/>
            </w14:solidFill>
          </w14:textFill>
        </w:rPr>
        <w:t>合同双方更换代表时应及时书面通知对方，保证货物交接顺利。</w:t>
      </w:r>
      <w:r>
        <w:rPr>
          <w:rFonts w:hint="eastAsia" w:ascii="仿宋_GB2312" w:hAnsi="仿宋_GB2312" w:eastAsia="仿宋_GB2312" w:cs="仿宋_GB2312"/>
          <w:b/>
          <w:bCs/>
          <w:color w:val="000000" w:themeColor="text1"/>
          <w:highlight w:val="none"/>
          <w14:textFill>
            <w14:solidFill>
              <w14:schemeClr w14:val="tx1"/>
            </w14:solidFill>
          </w14:textFill>
        </w:rPr>
        <w:t>甲方已明确要求与指定发货联系人交接，若乙方实际发货为非指定联系人，视为乙方对实际发货人授权委托，当批次供货完成后7个工作日内乙方应为该实际发货人向甲方补充出具书面授权委托书，并承担本合同项下的义务和责任。</w:t>
      </w:r>
      <w:r>
        <w:rPr>
          <w:rFonts w:hint="eastAsia" w:ascii="仿宋_GB2312" w:hAnsi="仿宋_GB2312" w:eastAsia="仿宋_GB2312" w:cs="仿宋_GB2312"/>
          <w:color w:val="000000" w:themeColor="text1"/>
          <w:highlight w:val="none"/>
          <w14:textFill>
            <w14:solidFill>
              <w14:schemeClr w14:val="tx1"/>
            </w14:solidFill>
          </w14:textFill>
        </w:rPr>
        <w:t>为避免货物供应争议，甲方保留拒绝乙方非指定联系人供货的权利，由此产生的费用由乙方承担。甲乙双方授权内容详见附件一、附件二</w:t>
      </w:r>
      <w:bookmarkEnd w:id="89"/>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6、运输要求：</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6.1运输形式：</w:t>
      </w:r>
      <w:r>
        <w:rPr>
          <w:rFonts w:hint="eastAsia" w:ascii="仿宋_GB2312" w:hAnsi="仿宋_GB2312" w:eastAsia="仿宋_GB2312" w:cs="仿宋_GB2312"/>
          <w:color w:val="000000" w:themeColor="text1"/>
          <w:highlight w:val="none"/>
          <w14:textFill>
            <w14:solidFill>
              <w14:schemeClr w14:val="tx1"/>
            </w14:solidFill>
          </w14:textFill>
        </w:rPr>
        <w:t>乙方须组织专用的运输工具将货物运至甲方指定的地点（工程所在地或甲方指定的其他地点），并应当和甲方共同协商，合理安排送货路线、停车地点。</w:t>
      </w:r>
    </w:p>
    <w:p>
      <w:pPr>
        <w:pStyle w:val="41"/>
        <w:spacing w:line="400" w:lineRule="atLeast"/>
        <w:ind w:firstLine="482"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6.2注意事项：</w:t>
      </w:r>
      <w:r>
        <w:rPr>
          <w:rFonts w:hint="eastAsia" w:ascii="仿宋_GB2312" w:hAnsi="仿宋_GB2312" w:eastAsia="仿宋_GB2312" w:cs="仿宋_GB2312"/>
          <w:color w:val="000000" w:themeColor="text1"/>
          <w:highlight w:val="none"/>
          <w14:textFill>
            <w14:solidFill>
              <w14:schemeClr w14:val="tx1"/>
            </w14:solidFill>
          </w14:textFill>
        </w:rPr>
        <w:t>乙方应自行勘察现场，熟悉施工现场位置和周围环境，货物运输过程中，要遵守工程所在地政府的有关道路交通、环保卫生等方面的规定。乙方负责与政府有关管理部门协调沟通，保障车辆在工程所在区域顺利通行至施工现场，并承担因违反有关规定造成的一切责任和经济损失，乙方保证甲方免予承担由此造成的任何法律责任，若甲方因此遭受到任何责任或损失，乙方需赔偿给甲方。</w:t>
      </w:r>
      <w:bookmarkStart w:id="90" w:name="_Hlk127189046"/>
      <w:r>
        <w:rPr>
          <w:rFonts w:hint="eastAsia" w:ascii="仿宋_GB2312" w:hAnsi="仿宋_GB2312" w:eastAsia="仿宋_GB2312" w:cs="仿宋_GB2312"/>
          <w:b/>
          <w:bCs/>
          <w:color w:val="000000" w:themeColor="text1"/>
          <w:highlight w:val="none"/>
          <w14:textFill>
            <w14:solidFill>
              <w14:schemeClr w14:val="tx1"/>
            </w14:solidFill>
          </w14:textFill>
        </w:rPr>
        <w:t>乙方无法按甲方要求将产品送到指定地点卸货的，甲方有权不予验收，由此给甲方造成的损失由乙方承担</w:t>
      </w:r>
      <w:bookmarkEnd w:id="90"/>
      <w:r>
        <w:rPr>
          <w:rFonts w:hint="eastAsia" w:ascii="仿宋_GB2312" w:hAnsi="仿宋_GB2312" w:eastAsia="仿宋_GB2312" w:cs="仿宋_GB2312"/>
          <w:b/>
          <w:bCs/>
          <w:color w:val="000000" w:themeColor="text1"/>
          <w:highlight w:val="none"/>
          <w14:textFill>
            <w14:solidFill>
              <w14:schemeClr w14:val="tx1"/>
            </w14:solidFill>
          </w14:textFill>
        </w:rPr>
        <w:t>。</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6.3货物的装车、运输、车辆返回全过程出现的安全事故或其它任何意外均由乙方承担责任。装车和运输途中的物资品质发生变化或丢失由乙方负责，由此造成的损失由乙方承担。</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6.4乙方应对运输人员进行安全管理和安全教育，运输人员遵守交通法规。</w:t>
      </w:r>
    </w:p>
    <w:p>
      <w:pPr>
        <w:pStyle w:val="41"/>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应当给负责运送货物的车辆办理交强险及商业保险。如因运载车辆事故、卸货等</w:t>
      </w:r>
    </w:p>
    <w:p>
      <w:pPr>
        <w:pStyle w:val="41"/>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原因导致的乙方及任何第三方的人身伤害及经济损失均由乙方负责，并补偿甲方</w:t>
      </w:r>
    </w:p>
    <w:p>
      <w:pPr>
        <w:pStyle w:val="41"/>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及其他方因此造成的损失。</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6.5乙方必须保证运输人员不得阻止现场验收人员进行质量检验，不得阻止到达甲方指定地点的运输车辆过磅，卸料时必须服从甲方现场管理人员的安排和指挥。不合格的物资必须在规定时间内无条件运走调换，否则按废弃物处理，损失由乙方承担。</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6.6乙方不得利用遥控等科技手段控制磅秤增加物资重量，不得进行任何形式的弄虚作假行为。一经发现，甲方将按发现作弊或弄虚作假数量占本批次运输物资百分比扣除发现作弊日前物资进场总数量对应的货款，并交由公安机关处理。</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6.7</w:t>
      </w:r>
      <w:r>
        <w:rPr>
          <w:rFonts w:hint="eastAsia" w:ascii="仿宋_GB2312" w:hAnsi="仿宋_GB2312" w:eastAsia="仿宋_GB2312" w:cs="仿宋_GB2312"/>
          <w:b w:val="0"/>
          <w:bCs w:val="0"/>
          <w:color w:val="000000" w:themeColor="text1"/>
          <w:highlight w:val="none"/>
          <w14:textFill>
            <w14:solidFill>
              <w14:schemeClr w14:val="tx1"/>
            </w14:solidFill>
          </w14:textFill>
        </w:rPr>
        <w:t>乙方保证在运输和卸货过程中应采取相应的环保措施，符合国家环保要求。车辆在进入项目现场要保证不沾泥土和脏物，车辆出入项目现场必须在项目大门内现场洗车。乙方在卸货过程中保证噪声白天小于或等于</w:t>
      </w:r>
      <w:r>
        <w:rPr>
          <w:rFonts w:hint="eastAsia" w:ascii="仿宋_GB2312" w:hAnsi="仿宋_GB2312" w:eastAsia="仿宋_GB2312" w:cs="仿宋_GB2312"/>
          <w:color w:val="000000" w:themeColor="text1"/>
          <w:kern w:val="0"/>
          <w:sz w:val="24"/>
          <w:szCs w:val="24"/>
          <w:highlight w:val="none"/>
          <w:u w:val="none"/>
          <w:lang w:val="en-US" w:eastAsia="zh-CN"/>
          <w14:textFill>
            <w14:solidFill>
              <w14:schemeClr w14:val="tx1"/>
            </w14:solidFill>
          </w14:textFill>
        </w:rPr>
        <w:t>85</w:t>
      </w:r>
      <w:r>
        <w:rPr>
          <w:rFonts w:hint="eastAsia" w:ascii="仿宋_GB2312" w:hAnsi="仿宋_GB2312" w:eastAsia="仿宋_GB2312" w:cs="仿宋_GB2312"/>
          <w:b w:val="0"/>
          <w:bCs w:val="0"/>
          <w:color w:val="000000" w:themeColor="text1"/>
          <w:highlight w:val="none"/>
          <w14:textFill>
            <w14:solidFill>
              <w14:schemeClr w14:val="tx1"/>
            </w14:solidFill>
          </w14:textFill>
        </w:rPr>
        <w:t>dB、夜间小于或等于</w:t>
      </w:r>
      <w:r>
        <w:rPr>
          <w:rFonts w:hint="eastAsia" w:ascii="仿宋_GB2312" w:hAnsi="仿宋_GB2312" w:eastAsia="仿宋_GB2312" w:cs="仿宋_GB2312"/>
          <w:color w:val="000000" w:themeColor="text1"/>
          <w:kern w:val="0"/>
          <w:sz w:val="24"/>
          <w:szCs w:val="24"/>
          <w:highlight w:val="none"/>
          <w:u w:val="none"/>
          <w:lang w:val="en-US" w:eastAsia="zh-CN"/>
          <w14:textFill>
            <w14:solidFill>
              <w14:schemeClr w14:val="tx1"/>
            </w14:solidFill>
          </w14:textFill>
        </w:rPr>
        <w:t>55</w:t>
      </w:r>
      <w:r>
        <w:rPr>
          <w:rFonts w:hint="eastAsia" w:ascii="仿宋_GB2312" w:hAnsi="仿宋_GB2312" w:eastAsia="仿宋_GB2312" w:cs="仿宋_GB2312"/>
          <w:b w:val="0"/>
          <w:bCs w:val="0"/>
          <w:color w:val="000000" w:themeColor="text1"/>
          <w:highlight w:val="none"/>
          <w14:textFill>
            <w14:solidFill>
              <w14:schemeClr w14:val="tx1"/>
            </w14:solidFill>
          </w14:textFill>
        </w:rPr>
        <w:t>dB。乙方保证乙方人员以及车辆进入本工地现场，应遵守现场的一切卫生环保、文明施工的规定，因违反环保要求所造成的一切罚款由乙方承担。</w:t>
      </w:r>
    </w:p>
    <w:p>
      <w:pPr>
        <w:pStyle w:val="41"/>
        <w:spacing w:line="400" w:lineRule="atLeast"/>
        <w:ind w:firstLine="482" w:firstLineChars="200"/>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7、货物包装：</w:t>
      </w:r>
    </w:p>
    <w:p>
      <w:pPr>
        <w:spacing w:line="400" w:lineRule="atLeast"/>
        <w:ind w:firstLine="482" w:firstLineChars="200"/>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7.1包装标准：</w:t>
      </w:r>
      <w:r>
        <w:rPr>
          <w:rFonts w:hint="eastAsia" w:ascii="仿宋_GB2312" w:hAnsi="仿宋_GB2312" w:eastAsia="仿宋_GB2312" w:cs="仿宋_GB2312"/>
          <w:color w:val="auto"/>
          <w:sz w:val="24"/>
          <w:szCs w:val="24"/>
          <w:highlight w:val="none"/>
        </w:rPr>
        <w:t>乙方按照国家或业务主管部门的技术规定执行（标准代号、标准编号及标准名称为</w:t>
      </w:r>
      <w:r>
        <w:rPr>
          <w:rFonts w:hint="eastAsia" w:ascii="仿宋_GB2312" w:hAnsi="仿宋_GB2312" w:eastAsia="仿宋_GB2312" w:cs="仿宋_GB2312"/>
          <w:color w:val="auto"/>
          <w:sz w:val="24"/>
          <w:szCs w:val="24"/>
          <w:highlight w:val="none"/>
          <w:u w:val="single"/>
        </w:rPr>
        <w:t xml:space="preserve">    /  </w:t>
      </w:r>
      <w:r>
        <w:rPr>
          <w:rFonts w:hint="eastAsia" w:ascii="仿宋_GB2312" w:hAnsi="仿宋_GB2312" w:eastAsia="仿宋_GB2312" w:cs="仿宋_GB2312"/>
          <w:color w:val="auto"/>
          <w:sz w:val="24"/>
          <w:szCs w:val="24"/>
          <w:highlight w:val="none"/>
        </w:rPr>
        <w:t>）；没有上述标准的，或虽有上述标准，但甲方对包装有特殊要求，按如下约定执行：</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乙方需将散装天然砂砾封闭完好，防止污染环境</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w:t>
      </w:r>
    </w:p>
    <w:p>
      <w:pPr>
        <w:pStyle w:val="41"/>
        <w:spacing w:line="400" w:lineRule="atLeast"/>
        <w:ind w:firstLine="48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7.2包装回收：</w:t>
      </w:r>
      <w:r>
        <w:rPr>
          <w:rFonts w:hint="eastAsia" w:ascii="仿宋_GB2312" w:hAnsi="仿宋_GB2312" w:eastAsia="仿宋_GB2312" w:cs="仿宋_GB2312"/>
          <w:color w:val="auto"/>
          <w:highlight w:val="none"/>
          <w:u w:val="single"/>
        </w:rPr>
        <w:t>乙方无特别注明视为无包装物回收，有包装物回收时乙方应在收到甲方通知7天内完成包装回收。</w:t>
      </w:r>
    </w:p>
    <w:p>
      <w:pPr>
        <w:pStyle w:val="4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8、安装要求：</w:t>
      </w:r>
      <w:r>
        <w:rPr>
          <w:rFonts w:hint="eastAsia" w:ascii="仿宋_GB2312" w:hAnsi="仿宋_GB2312" w:eastAsia="仿宋_GB2312" w:cs="仿宋_GB2312"/>
          <w:color w:val="auto"/>
          <w:highlight w:val="none"/>
        </w:rPr>
        <w:t>若货物附带安装工作内容，单价已综合考虑不另计价，具体安装内容及要求如下：</w:t>
      </w:r>
      <w:r>
        <w:rPr>
          <w:rFonts w:hint="eastAsia" w:ascii="仿宋_GB2312" w:hAnsi="仿宋_GB2312" w:eastAsia="仿宋_GB2312" w:cs="仿宋_GB2312"/>
          <w:color w:val="auto"/>
          <w:highlight w:val="none"/>
          <w:u w:val="single"/>
        </w:rPr>
        <w:t xml:space="preserve">   /   </w:t>
      </w:r>
      <w:r>
        <w:rPr>
          <w:rFonts w:hint="eastAsia" w:ascii="仿宋_GB2312" w:hAnsi="仿宋_GB2312" w:eastAsia="仿宋_GB2312" w:cs="仿宋_GB2312"/>
          <w:color w:val="auto"/>
          <w:highlight w:val="none"/>
        </w:rPr>
        <w:t>。</w:t>
      </w:r>
    </w:p>
    <w:p>
      <w:pPr>
        <w:pStyle w:val="4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9、货物意外灭失风险：</w:t>
      </w:r>
      <w:r>
        <w:rPr>
          <w:rFonts w:hint="eastAsia" w:ascii="仿宋_GB2312" w:hAnsi="仿宋_GB2312" w:eastAsia="仿宋_GB2312" w:cs="仿宋_GB2312"/>
          <w:color w:val="auto"/>
          <w:highlight w:val="none"/>
        </w:rPr>
        <w:t>乙方须负责货物正式交货前的安全、保卫、防火、防盗工作，包括运输途中、装货中的人身和货物的安全，在正式交货前，包括运输途中、装货中如有人身伤害或货物受损失均由乙方负责。货物直至乙方送交甲方指定的交货地点，完成上述条款事项，经甲方验收合格入库，并办理验收手续后，该货物的毁损、灭失的风险方由乙方转移至甲方。</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auto"/>
          <w:highlight w:val="none"/>
        </w:rPr>
      </w:pPr>
      <w:bookmarkStart w:id="91" w:name="_Toc12447"/>
      <w:bookmarkStart w:id="92" w:name="_Toc15437"/>
      <w:bookmarkStart w:id="93" w:name="_Toc29361"/>
      <w:r>
        <w:rPr>
          <w:rFonts w:hint="eastAsia" w:ascii="仿宋_GB2312" w:hAnsi="仿宋_GB2312" w:eastAsia="仿宋_GB2312" w:cs="仿宋_GB2312"/>
          <w:b/>
          <w:bCs/>
          <w:color w:val="auto"/>
          <w:highlight w:val="none"/>
        </w:rPr>
        <w:t>货物质量</w:t>
      </w:r>
      <w:bookmarkEnd w:id="91"/>
      <w:bookmarkEnd w:id="92"/>
      <w:bookmarkEnd w:id="93"/>
    </w:p>
    <w:p>
      <w:pPr>
        <w:pStyle w:val="41"/>
        <w:spacing w:line="400" w:lineRule="atLeast"/>
        <w:ind w:firstLine="482" w:firstLineChars="200"/>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1、质量要求及技术标准：</w:t>
      </w:r>
    </w:p>
    <w:p>
      <w:pPr>
        <w:pStyle w:val="41"/>
        <w:spacing w:line="400" w:lineRule="atLeast"/>
        <w:ind w:firstLine="480" w:firstLineChars="200"/>
        <w:outlineLvl w:val="1"/>
        <w:rPr>
          <w:rFonts w:hint="eastAsia"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1.1按照国家标准执行（标准代号、标准编号及标准名称为</w:t>
      </w:r>
      <w:r>
        <w:rPr>
          <w:rFonts w:hint="eastAsia" w:ascii="仿宋_GB2312" w:hAnsi="仿宋_GB2312" w:eastAsia="仿宋_GB2312" w:cs="仿宋_GB2312"/>
          <w:color w:val="auto"/>
          <w:highlight w:val="none"/>
          <w:u w:val="single"/>
        </w:rPr>
        <w:t xml:space="preserve"> 《新疆盐渍土地区公路路基路面设计与施工规范》(XJTJ01-2001)和《公路路基施工技术规范》(JTG/T3610-2019)。</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1.2无国家标准而有部颁标准的，按部颁标准执行。</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1.3无国家和部颁标准的，按企业标准执行。</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1.4没有上述标准的，或虽有上述标准，但甲方有特殊要求的，按甲乙双方在合同中商定的技术条件、样品或补充的技术要求执行（具体要求</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(详细质量要求按照项目施工总承包合同及图纸由项目填写)</w:t>
      </w:r>
      <w:r>
        <w:rPr>
          <w:rFonts w:hint="eastAsia" w:ascii="仿宋_GB2312" w:hAnsi="仿宋_GB2312" w:eastAsia="仿宋_GB2312" w:cs="仿宋_GB2312"/>
          <w:color w:val="auto"/>
          <w:highlight w:val="none"/>
        </w:rPr>
        <w:t xml:space="preserve"> ）。</w:t>
      </w:r>
    </w:p>
    <w:p>
      <w:pPr>
        <w:pStyle w:val="41"/>
        <w:spacing w:line="400" w:lineRule="atLeast"/>
        <w:ind w:firstLine="480" w:firstLineChars="200"/>
        <w:outlineLvl w:val="1"/>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1.5如乙方有通过国家相关质量体系认证的企业标准，且其标准高于上述标准的，按乙方企业标准执行。产品必须满足中华人民共和国国家、地方及行业最新颁布的相关标准及技术规范，如果规范、标准、要求适用于同一种情况，则以标准高者为准</w:t>
      </w:r>
      <w:r>
        <w:rPr>
          <w:rFonts w:hint="eastAsia" w:ascii="仿宋_GB2312" w:hAnsi="仿宋_GB2312" w:eastAsia="仿宋_GB2312" w:cs="仿宋_GB2312"/>
          <w:color w:val="auto"/>
          <w:highlight w:val="none"/>
          <w:lang w:eastAsia="zh-CN"/>
        </w:rPr>
        <w:t>。</w:t>
      </w:r>
    </w:p>
    <w:p>
      <w:pPr>
        <w:pStyle w:val="4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1.6其他：</w:t>
      </w:r>
      <w:r>
        <w:rPr>
          <w:rFonts w:hint="eastAsia" w:ascii="仿宋_GB2312" w:hAnsi="仿宋_GB2312" w:eastAsia="仿宋_GB2312" w:cs="仿宋_GB2312"/>
          <w:color w:val="auto"/>
          <w:highlight w:val="none"/>
          <w:u w:val="single"/>
        </w:rPr>
        <w:t xml:space="preserve"> /     </w:t>
      </w:r>
      <w:r>
        <w:rPr>
          <w:rFonts w:hint="eastAsia" w:ascii="仿宋_GB2312" w:hAnsi="仿宋_GB2312" w:eastAsia="仿宋_GB2312" w:cs="仿宋_GB2312"/>
          <w:color w:val="auto"/>
          <w:highlight w:val="none"/>
        </w:rPr>
        <w:t>。</w:t>
      </w:r>
    </w:p>
    <w:p>
      <w:pPr>
        <w:pStyle w:val="4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2、货物附件清单：</w:t>
      </w:r>
      <w:r>
        <w:rPr>
          <w:rFonts w:hint="eastAsia" w:ascii="仿宋_GB2312" w:hAnsi="仿宋_GB2312" w:eastAsia="仿宋_GB2312" w:cs="仿宋_GB2312"/>
          <w:color w:val="auto"/>
          <w:highlight w:val="none"/>
        </w:rPr>
        <w:t>乙方应按甲方要求在交货时提供货物附件清单：</w:t>
      </w:r>
      <w:r>
        <w:rPr>
          <w:rFonts w:hint="eastAsia" w:ascii="仿宋_GB2312" w:hAnsi="仿宋_GB2312" w:eastAsia="仿宋_GB2312" w:cs="仿宋_GB2312"/>
          <w:color w:val="auto"/>
          <w:highlight w:val="none"/>
          <w:u w:val="single"/>
        </w:rPr>
        <w:t>产品质量证明书、出厂合格证、产品检验报告、国家强制性产品认证书、产品质量免检证书、产品生产许可证、管理体系认证证书、装箱单、发货单等</w:t>
      </w:r>
      <w:r>
        <w:rPr>
          <w:rFonts w:hint="eastAsia" w:ascii="仿宋_GB2312" w:hAnsi="仿宋_GB2312" w:eastAsia="仿宋_GB2312" w:cs="仿宋_GB2312"/>
          <w:color w:val="auto"/>
          <w:highlight w:val="none"/>
          <w:u w:val="single"/>
          <w:lang w:val="en-US" w:eastAsia="zh-CN"/>
        </w:rPr>
        <w:t>以及</w:t>
      </w:r>
      <w:r>
        <w:rPr>
          <w:rFonts w:hint="eastAsia" w:ascii="仿宋_GB2312" w:hAnsi="仿宋_GB2312" w:eastAsia="仿宋_GB2312" w:cs="仿宋_GB2312"/>
          <w:color w:val="auto"/>
          <w:highlight w:val="none"/>
          <w:u w:val="single"/>
        </w:rPr>
        <w:t>甲方为完成计量、竣工资料等所需要的所有资料，并及时交送到甲方指定负责人处，乙方提供资料均需在有效期内。</w:t>
      </w:r>
      <w:r>
        <w:rPr>
          <w:rFonts w:hint="eastAsia" w:ascii="仿宋_GB2312" w:hAnsi="仿宋_GB2312" w:eastAsia="仿宋_GB2312" w:cs="仿宋_GB2312"/>
          <w:color w:val="auto"/>
          <w:highlight w:val="none"/>
        </w:rPr>
        <w:t>附件清单明确附件内容及份数同时加印乙方签章于收货时一并交由甲方核验，否则甲方不予办理收料手续。</w:t>
      </w:r>
    </w:p>
    <w:p>
      <w:pPr>
        <w:pStyle w:val="4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3、货物质量保修期：</w:t>
      </w:r>
      <w:r>
        <w:rPr>
          <w:rFonts w:hint="eastAsia" w:ascii="仿宋_GB2312" w:hAnsi="仿宋_GB2312" w:eastAsia="仿宋_GB2312" w:cs="仿宋_GB2312"/>
          <w:color w:val="auto"/>
          <w:highlight w:val="none"/>
        </w:rPr>
        <w:t>按下列第</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3.1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项执行（如货物明示或设计的质量保修期/缺陷责任期较长的，以较长者为准）：</w:t>
      </w:r>
    </w:p>
    <w:p>
      <w:pPr>
        <w:pStyle w:val="4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3.1质量保修期无</w:t>
      </w:r>
    </w:p>
    <w:p>
      <w:pPr>
        <w:pStyle w:val="4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3.2质量保修期为</w:t>
      </w:r>
      <w:r>
        <w:rPr>
          <w:rFonts w:hint="eastAsia" w:ascii="仿宋_GB2312" w:hAnsi="仿宋_GB2312" w:eastAsia="仿宋_GB2312" w:cs="仿宋_GB2312"/>
          <w:color w:val="auto"/>
          <w:highlight w:val="none"/>
          <w:u w:val="single"/>
        </w:rPr>
        <w:t xml:space="preserve">  /   </w:t>
      </w:r>
      <w:r>
        <w:rPr>
          <w:rFonts w:hint="eastAsia" w:ascii="仿宋_GB2312" w:hAnsi="仿宋_GB2312" w:eastAsia="仿宋_GB2312" w:cs="仿宋_GB2312"/>
          <w:color w:val="auto"/>
          <w:highlight w:val="none"/>
        </w:rPr>
        <w:t>个月，自货物进场验收合格之日起算；</w:t>
      </w:r>
    </w:p>
    <w:p>
      <w:pPr>
        <w:pStyle w:val="4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3.3质量保修期为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个月，从工程（送货地工程）竣工验收合格之日（以业主颁发竣工证书所载日期为准）起计算；</w:t>
      </w:r>
    </w:p>
    <w:p>
      <w:pPr>
        <w:pStyle w:val="4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所有货物须保证满足现场使用要求，如货物在质量保修期内出现质量瑕疵或者缺陷的，由乙方按照甲方的时间要求免费维修或者更换，经甲方要求整改一次仍无法达到合同要求时，甲方可自行或委托第三方代为履行，并以实际发生费用从乙方的应付款中扣除。</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94" w:name="_Toc12481"/>
      <w:bookmarkStart w:id="95" w:name="_Toc3621"/>
      <w:bookmarkStart w:id="96" w:name="_Toc22036"/>
      <w:r>
        <w:rPr>
          <w:rFonts w:hint="eastAsia" w:ascii="仿宋_GB2312" w:hAnsi="仿宋_GB2312" w:eastAsia="仿宋_GB2312" w:cs="仿宋_GB2312"/>
          <w:b/>
          <w:bCs/>
          <w:color w:val="000000" w:themeColor="text1"/>
          <w:highlight w:val="none"/>
          <w14:textFill>
            <w14:solidFill>
              <w14:schemeClr w14:val="tx1"/>
            </w14:solidFill>
          </w14:textFill>
        </w:rPr>
        <w:t>货物验收</w:t>
      </w:r>
      <w:bookmarkEnd w:id="94"/>
      <w:bookmarkEnd w:id="95"/>
      <w:bookmarkEnd w:id="96"/>
    </w:p>
    <w:p>
      <w:pPr>
        <w:pStyle w:val="41"/>
        <w:numPr>
          <w:ilvl w:val="0"/>
          <w:numId w:val="3"/>
        </w:numPr>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验收人员：</w:t>
      </w:r>
      <w:r>
        <w:rPr>
          <w:rFonts w:hint="eastAsia" w:ascii="仿宋_GB2312" w:hAnsi="仿宋_GB2312" w:eastAsia="仿宋_GB2312" w:cs="仿宋_GB2312"/>
          <w:color w:val="auto"/>
          <w:highlight w:val="none"/>
        </w:rPr>
        <w:t>货物进场需由甲方物资管理人员</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不少于2人</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w:t>
      </w:r>
      <w:bookmarkStart w:id="97" w:name="_Hlk127189311"/>
      <w:r>
        <w:rPr>
          <w:rFonts w:hint="eastAsia" w:ascii="仿宋_GB2312" w:hAnsi="仿宋_GB2312" w:eastAsia="仿宋_GB2312" w:cs="仿宋_GB2312"/>
          <w:color w:val="auto"/>
          <w:highlight w:val="none"/>
        </w:rPr>
        <w:t>现场责任</w:t>
      </w:r>
      <w:bookmarkEnd w:id="97"/>
      <w:r>
        <w:rPr>
          <w:rFonts w:hint="eastAsia" w:ascii="仿宋_GB2312" w:hAnsi="仿宋_GB2312" w:eastAsia="仿宋_GB2312" w:cs="仿宋_GB2312"/>
          <w:color w:val="auto"/>
          <w:highlight w:val="none"/>
        </w:rPr>
        <w:t>工程师、分包单位和乙方发货联系人共同完成现场验收，现场验收不代表货物质量合格，质量是否合格需要进一步复核确定。</w:t>
      </w:r>
    </w:p>
    <w:p>
      <w:pPr>
        <w:pStyle w:val="41"/>
        <w:numPr>
          <w:ilvl w:val="0"/>
          <w:numId w:val="3"/>
        </w:numPr>
        <w:spacing w:line="400" w:lineRule="atLeast"/>
        <w:ind w:firstLine="482" w:firstLineChars="200"/>
        <w:jc w:val="both"/>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验收方式：</w:t>
      </w:r>
      <w:r>
        <w:rPr>
          <w:rFonts w:hint="eastAsia" w:ascii="仿宋_GB2312" w:hAnsi="仿宋_GB2312" w:eastAsia="仿宋_GB2312" w:cs="仿宋_GB2312"/>
          <w:b w:val="0"/>
          <w:bCs w:val="0"/>
          <w:color w:val="000000" w:themeColor="text1"/>
          <w:highlight w:val="none"/>
          <w:u w:val="single"/>
          <w:lang w:val="en-US" w:eastAsia="zh-CN"/>
          <w14:textFill>
            <w14:solidFill>
              <w14:schemeClr w14:val="tx1"/>
            </w14:solidFill>
          </w14:textFill>
        </w:rPr>
        <w:t>在</w:t>
      </w:r>
      <w:r>
        <w:rPr>
          <w:rFonts w:hint="eastAsia" w:ascii="宋体" w:hAnsi="宋体"/>
          <w:b w:val="0"/>
          <w:bCs w:val="0"/>
          <w:sz w:val="21"/>
          <w:szCs w:val="21"/>
          <w:highlight w:val="none"/>
          <w:u w:val="single"/>
          <w:lang w:val="en-US" w:eastAsia="zh-CN"/>
        </w:rPr>
        <w:t>施工</w:t>
      </w:r>
      <w:r>
        <w:rPr>
          <w:rFonts w:hint="eastAsia" w:ascii="宋体" w:hAnsi="宋体"/>
          <w:b w:val="0"/>
          <w:bCs w:val="0"/>
          <w:sz w:val="21"/>
          <w:szCs w:val="21"/>
          <w:highlight w:val="none"/>
          <w:u w:val="single"/>
          <w:lang w:eastAsia="zh-CN"/>
        </w:rPr>
        <w:t>前甲乙双方共同测量确认</w:t>
      </w:r>
      <w:r>
        <w:rPr>
          <w:rFonts w:hint="eastAsia" w:ascii="宋体" w:hAnsi="宋体"/>
          <w:b w:val="0"/>
          <w:bCs w:val="0"/>
          <w:sz w:val="21"/>
          <w:szCs w:val="21"/>
          <w:highlight w:val="none"/>
          <w:u w:val="single"/>
          <w:lang w:val="en-US" w:eastAsia="zh-CN"/>
        </w:rPr>
        <w:t>填方路段</w:t>
      </w:r>
      <w:r>
        <w:rPr>
          <w:rFonts w:hint="eastAsia" w:ascii="宋体" w:hAnsi="宋体"/>
          <w:b w:val="0"/>
          <w:bCs w:val="0"/>
          <w:sz w:val="21"/>
          <w:szCs w:val="21"/>
          <w:highlight w:val="none"/>
          <w:u w:val="single"/>
          <w:lang w:eastAsia="zh-CN"/>
        </w:rPr>
        <w:t>标高，</w:t>
      </w:r>
      <w:r>
        <w:rPr>
          <w:rFonts w:hint="eastAsia" w:ascii="宋体" w:hAnsi="宋体"/>
          <w:b w:val="0"/>
          <w:bCs w:val="0"/>
          <w:sz w:val="21"/>
          <w:szCs w:val="21"/>
          <w:highlight w:val="none"/>
          <w:u w:val="single"/>
          <w:lang w:val="en-US" w:eastAsia="zh-CN"/>
        </w:rPr>
        <w:t>施工</w:t>
      </w:r>
      <w:r>
        <w:rPr>
          <w:rFonts w:hint="eastAsia" w:ascii="宋体" w:hAnsi="宋体"/>
          <w:b w:val="0"/>
          <w:bCs w:val="0"/>
          <w:sz w:val="21"/>
          <w:szCs w:val="21"/>
          <w:highlight w:val="none"/>
          <w:u w:val="single"/>
          <w:lang w:eastAsia="zh-CN"/>
        </w:rPr>
        <w:t>后双方共同测量确认逐断面底标高，然后根据设计横断面的要求按平均断面面积乘以距离计算总</w:t>
      </w:r>
      <w:r>
        <w:rPr>
          <w:rFonts w:hint="eastAsia" w:ascii="宋体" w:hAnsi="宋体"/>
          <w:b w:val="0"/>
          <w:bCs w:val="0"/>
          <w:sz w:val="21"/>
          <w:szCs w:val="21"/>
          <w:highlight w:val="none"/>
          <w:u w:val="single"/>
          <w:lang w:val="en-US" w:eastAsia="zh-CN"/>
        </w:rPr>
        <w:t>土方</w:t>
      </w:r>
      <w:r>
        <w:rPr>
          <w:rFonts w:hint="eastAsia" w:ascii="宋体" w:hAnsi="宋体"/>
          <w:b w:val="0"/>
          <w:bCs w:val="0"/>
          <w:sz w:val="21"/>
          <w:szCs w:val="21"/>
          <w:highlight w:val="none"/>
          <w:u w:val="single"/>
          <w:lang w:eastAsia="zh-CN"/>
        </w:rPr>
        <w:t>方量，</w:t>
      </w:r>
      <w:r>
        <w:rPr>
          <w:rFonts w:hint="eastAsia" w:ascii="宋体" w:hAnsi="宋体"/>
          <w:b w:val="0"/>
          <w:bCs w:val="0"/>
          <w:sz w:val="21"/>
          <w:szCs w:val="21"/>
          <w:highlight w:val="none"/>
          <w:u w:val="single"/>
          <w:lang w:val="en-US" w:eastAsia="zh-CN"/>
        </w:rPr>
        <w:t>每月15日前</w:t>
      </w:r>
      <w:r>
        <w:rPr>
          <w:rFonts w:hint="eastAsia" w:ascii="仿宋_GB2312" w:hAnsi="仿宋_GB2312" w:eastAsia="仿宋_GB2312" w:cs="仿宋_GB2312"/>
          <w:b w:val="0"/>
          <w:bCs w:val="0"/>
          <w:color w:val="000000" w:themeColor="text1"/>
          <w:highlight w:val="none"/>
          <w:u w:val="single"/>
          <w:lang w:val="en-US" w:eastAsia="zh-CN"/>
          <w14:textFill>
            <w14:solidFill>
              <w14:schemeClr w14:val="tx1"/>
            </w14:solidFill>
          </w14:textFill>
        </w:rPr>
        <w:t>双方人员到场进行压实土方实测</w:t>
      </w:r>
      <w:r>
        <w:rPr>
          <w:rFonts w:hint="eastAsia" w:ascii="仿宋_GB2312" w:hAnsi="仿宋_GB2312" w:eastAsia="仿宋_GB2312" w:cs="仿宋_GB2312"/>
          <w:b w:val="0"/>
          <w:bCs w:val="0"/>
          <w:color w:val="000000" w:themeColor="text1"/>
          <w:highlight w:val="none"/>
          <w:u w:val="single"/>
          <w14:textFill>
            <w14:solidFill>
              <w14:schemeClr w14:val="tx1"/>
            </w14:solidFill>
          </w14:textFill>
        </w:rPr>
        <w:t>，甲方收货联系人及乙方发货联系人双方签字后视为验收完成。</w:t>
      </w:r>
    </w:p>
    <w:p>
      <w:pPr>
        <w:pStyle w:val="41"/>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数量验收：</w:t>
      </w:r>
    </w:p>
    <w:p>
      <w:pPr>
        <w:pStyle w:val="4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3.1数量验收方式：</w:t>
      </w:r>
      <w:r>
        <w:rPr>
          <w:rFonts w:hint="eastAsia" w:ascii="仿宋_GB2312" w:hAnsi="仿宋_GB2312" w:eastAsia="仿宋_GB2312" w:cs="仿宋_GB2312"/>
          <w:highlight w:val="none"/>
        </w:rPr>
        <w:t>甲乙双方在交货现场以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过磅</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 xml:space="preserve"> 计件</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 xml:space="preserve"> 检尺</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lang w:eastAsia="zh-CN"/>
        </w:rPr>
        <w:sym w:font="Wingdings 2" w:char="0052"/>
      </w:r>
      <w:r>
        <w:rPr>
          <w:rFonts w:hint="eastAsia" w:ascii="仿宋_GB2312" w:hAnsi="仿宋_GB2312" w:eastAsia="仿宋_GB2312" w:cs="仿宋_GB2312"/>
          <w:highlight w:val="none"/>
        </w:rPr>
        <w:t xml:space="preserve"> </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single"/>
          <w:lang w:val="en-US" w:eastAsia="zh-CN"/>
        </w:rPr>
        <w:t>现场实测压实土方</w:t>
      </w:r>
      <w:r>
        <w:rPr>
          <w:rFonts w:hint="eastAsia" w:ascii="仿宋_GB2312" w:hAnsi="仿宋_GB2312" w:eastAsia="仿宋_GB2312" w:cs="仿宋_GB2312"/>
          <w:highlight w:val="none"/>
          <w:u w:val="single"/>
        </w:rPr>
        <w:t>进行数量验收</w:t>
      </w:r>
      <w:r>
        <w:rPr>
          <w:rFonts w:hint="eastAsia" w:ascii="仿宋_GB2312" w:hAnsi="仿宋_GB2312" w:eastAsia="仿宋_GB2312" w:cs="仿宋_GB2312"/>
          <w:highlight w:val="none"/>
          <w:u w:val="single"/>
          <w:lang w:eastAsia="zh-CN"/>
        </w:rPr>
        <w:t>，</w:t>
      </w:r>
      <w:r>
        <w:rPr>
          <w:rFonts w:hint="eastAsia" w:ascii="仿宋_GB2312" w:hAnsi="仿宋_GB2312" w:eastAsia="仿宋_GB2312" w:cs="仿宋_GB2312"/>
          <w:highlight w:val="none"/>
          <w:u w:val="single"/>
          <w:lang w:val="en-US" w:eastAsia="zh-CN"/>
        </w:rPr>
        <w:t>结算数量等于现场实测压实土方*1.13</w:t>
      </w:r>
      <w:r>
        <w:rPr>
          <w:rFonts w:hint="eastAsia" w:ascii="仿宋_GB2312" w:hAnsi="仿宋_GB2312" w:eastAsia="仿宋_GB2312" w:cs="仿宋_GB2312"/>
          <w:highlight w:val="none"/>
        </w:rPr>
        <w:t>，乙方应对在甲方工地现场的数量验收数据进行确认。</w:t>
      </w:r>
    </w:p>
    <w:p>
      <w:pPr>
        <w:pStyle w:val="4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highlight w:val="none"/>
        </w:rPr>
        <w:t>3.2数量验收凭据：</w:t>
      </w:r>
      <w:r>
        <w:rPr>
          <w:rFonts w:hint="eastAsia" w:ascii="仿宋_GB2312" w:hAnsi="仿宋_GB2312" w:eastAsia="仿宋_GB2312" w:cs="仿宋_GB2312"/>
          <w:highlight w:val="none"/>
          <w:u w:val="none"/>
        </w:rPr>
        <w:t>由甲方物资负责人及相应验收收料人员共同签署的收货凭据（包括但不限于过磅单据、收料单、供货小票、月度统计单或其他数量统计文件等）仅作为甲方收到乙方所供应物资的数量、型号、规格、到场时间等的证明，而不作为甲方付款及结算的唯一凭证，无论该收货凭据上是否载有单价、合价或合计等涉及价款的内容，且乙方不得以此要求甲方支付任何款项或承担任何责任。甲方项目经理部除物资负责人外的其他任何人员签署的任何形式的收货凭据不作为标的物进场的依据，乙方对甲方签字人员权限负有审查义务</w:t>
      </w:r>
      <w:r>
        <w:rPr>
          <w:rFonts w:hint="eastAsia" w:ascii="仿宋_GB2312" w:hAnsi="仿宋_GB2312" w:eastAsia="仿宋_GB2312" w:cs="仿宋_GB2312"/>
          <w:highlight w:val="none"/>
          <w:u w:val="none"/>
          <w:lang w:val="en-US" w:eastAsia="zh-CN"/>
        </w:rPr>
        <w:t>。</w:t>
      </w:r>
    </w:p>
    <w:p>
      <w:pPr>
        <w:pStyle w:val="41"/>
        <w:spacing w:line="400" w:lineRule="atLeast"/>
        <w:ind w:firstLine="482" w:firstLineChars="200"/>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b/>
          <w:bCs/>
          <w:highlight w:val="none"/>
        </w:rPr>
        <w:t>3.3数量争议：</w:t>
      </w:r>
      <w:r>
        <w:rPr>
          <w:rFonts w:hint="eastAsia" w:ascii="仿宋_GB2312" w:hAnsi="仿宋_GB2312" w:eastAsia="仿宋_GB2312" w:cs="仿宋_GB2312"/>
          <w:color w:val="000000" w:themeColor="text1"/>
          <w:highlight w:val="none"/>
          <w14:textFill>
            <w14:solidFill>
              <w14:schemeClr w14:val="tx1"/>
            </w14:solidFill>
          </w14:textFill>
        </w:rPr>
        <w:t>甲方如有数量异议，应在收货后7天内提出，</w:t>
      </w:r>
      <w:r>
        <w:rPr>
          <w:rFonts w:hint="eastAsia" w:ascii="仿宋_GB2312" w:hAnsi="仿宋_GB2312" w:eastAsia="仿宋_GB2312" w:cs="仿宋_GB2312"/>
          <w:b/>
          <w:bCs/>
          <w:color w:val="000000" w:themeColor="text1"/>
          <w:highlight w:val="none"/>
          <w14:textFill>
            <w14:solidFill>
              <w14:schemeClr w14:val="tx1"/>
            </w14:solidFill>
          </w14:textFill>
        </w:rPr>
        <w:t>乙方应在3天内作出答复，未回复视为认可甲方验收数量</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质量验收：</w:t>
      </w:r>
    </w:p>
    <w:p>
      <w:pPr>
        <w:pStyle w:val="41"/>
        <w:spacing w:line="400" w:lineRule="atLeast"/>
        <w:ind w:firstLine="482" w:firstLineChars="200"/>
        <w:rPr>
          <w:rFonts w:ascii="仿宋_GB2312" w:hAnsi="仿宋_GB2312" w:eastAsia="仿宋_GB2312" w:cs="仿宋_GB2312"/>
          <w:color w:val="FF0000"/>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4.1外观验收：</w:t>
      </w:r>
      <w:r>
        <w:rPr>
          <w:rFonts w:hint="eastAsia" w:ascii="仿宋_GB2312" w:hAnsi="仿宋_GB2312" w:eastAsia="仿宋_GB2312" w:cs="仿宋_GB2312"/>
          <w:color w:val="000000" w:themeColor="text1"/>
          <w:highlight w:val="none"/>
          <w14:textFill>
            <w14:solidFill>
              <w14:schemeClr w14:val="tx1"/>
            </w14:solidFill>
          </w14:textFill>
        </w:rPr>
        <w:t>甲方按照本合同约定的标准及乙方提交的货物附件清单中产品质量证明书等资料作为外观验收标准,外观质量符合合同要求方可卸车,否则不得卸车。</w:t>
      </w:r>
    </w:p>
    <w:p>
      <w:pPr>
        <w:spacing w:line="400" w:lineRule="exact"/>
        <w:ind w:firstLine="482" w:firstLineChars="200"/>
        <w:rPr>
          <w:rFonts w:ascii="仿宋_GB2312" w:hAnsi="仿宋_GB2312" w:eastAsia="仿宋_GB2312" w:cs="仿宋_GB2312"/>
          <w:sz w:val="24"/>
          <w:szCs w:val="24"/>
          <w:highlight w:val="none"/>
        </w:rPr>
      </w:pPr>
      <w:r>
        <w:rPr>
          <w:rFonts w:hint="eastAsia" w:ascii="仿宋_GB2312" w:hAnsi="仿宋_GB2312" w:eastAsia="仿宋_GB2312" w:cs="仿宋_GB2312"/>
          <w:b/>
          <w:bCs/>
          <w:sz w:val="24"/>
          <w:szCs w:val="24"/>
          <w:highlight w:val="none"/>
        </w:rPr>
        <w:t>4.2送样要求：</w:t>
      </w:r>
      <w:r>
        <w:rPr>
          <w:rFonts w:hint="eastAsia" w:ascii="仿宋_GB2312" w:hAnsi="仿宋_GB2312" w:eastAsia="仿宋_GB2312" w:cs="仿宋_GB2312"/>
          <w:sz w:val="24"/>
          <w:szCs w:val="24"/>
          <w:highlight w:val="none"/>
        </w:rPr>
        <w:t>对于甲方要求提前送样的货物,乙方应按照甲方要求送审材料样品，样品送审内容包括但不限于材料样品本身，还包括提供样品材料的</w:t>
      </w:r>
      <w:r>
        <w:rPr>
          <w:rFonts w:hint="eastAsia" w:ascii="仿宋_GB2312" w:hAnsi="仿宋_GB2312" w:eastAsia="仿宋_GB2312" w:cs="仿宋_GB2312"/>
          <w:sz w:val="24"/>
          <w:szCs w:val="24"/>
          <w:highlight w:val="none"/>
          <w:u w:val="single"/>
        </w:rPr>
        <w:t>质量、外观、品牌、商标、规格、型号、花色、标识、生产厂家、产品生产许可证、产品质量证明书、出厂合格证、产品检验报告</w:t>
      </w:r>
      <w:r>
        <w:rPr>
          <w:rFonts w:hint="eastAsia" w:ascii="仿宋_GB2312" w:hAnsi="仿宋_GB2312" w:eastAsia="仿宋_GB2312" w:cs="仿宋_GB2312"/>
          <w:sz w:val="24"/>
          <w:szCs w:val="24"/>
          <w:highlight w:val="none"/>
        </w:rPr>
        <w:t>等相关的技术质量资料。一旦甲、乙双方签约后且材料的样品得到甲方、业主及监理认可并且封存样品后，未经甲方、业主及监理同意，乙方不得作任何变更。</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highlight w:val="none"/>
        </w:rPr>
        <w:t>正式交货时材料的相关技术质量资料应保持和样品一致，如所进材料和样品不一致，属乙方违约，</w:t>
      </w:r>
      <w:bookmarkStart w:id="98" w:name="_Hlk126833969"/>
      <w:r>
        <w:rPr>
          <w:rFonts w:hint="eastAsia" w:ascii="仿宋_GB2312" w:hAnsi="仿宋_GB2312" w:eastAsia="仿宋_GB2312" w:cs="仿宋_GB2312"/>
          <w:b/>
          <w:bCs/>
          <w:highlight w:val="none"/>
        </w:rPr>
        <w:t>乙方</w:t>
      </w:r>
      <w:r>
        <w:rPr>
          <w:rFonts w:hint="eastAsia" w:ascii="仿宋_GB2312" w:hAnsi="仿宋_GB2312" w:eastAsia="仿宋_GB2312" w:cs="仿宋_GB2312"/>
          <w:b/>
          <w:bCs/>
          <w:color w:val="auto"/>
          <w:highlight w:val="none"/>
        </w:rPr>
        <w:t>按合同第二部分第二条违约条款</w:t>
      </w:r>
      <w:r>
        <w:rPr>
          <w:rFonts w:hint="eastAsia" w:ascii="仿宋_GB2312" w:hAnsi="仿宋_GB2312" w:eastAsia="仿宋_GB2312" w:cs="仿宋_GB2312"/>
          <w:b/>
          <w:bCs/>
          <w:highlight w:val="none"/>
        </w:rPr>
        <w:t>承担违约责任，并赔偿由此给甲方带来的全部经济损失</w:t>
      </w:r>
      <w:bookmarkEnd w:id="98"/>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4.3质量检测：</w:t>
      </w:r>
      <w:r>
        <w:rPr>
          <w:rFonts w:hint="eastAsia" w:ascii="仿宋_GB2312" w:hAnsi="仿宋_GB2312" w:eastAsia="仿宋_GB2312" w:cs="仿宋_GB2312"/>
          <w:color w:val="000000" w:themeColor="text1"/>
          <w:highlight w:val="none"/>
          <w14:textFill>
            <w14:solidFill>
              <w14:schemeClr w14:val="tx1"/>
            </w14:solidFill>
          </w14:textFill>
        </w:rPr>
        <w:t>货物应在产品使用前进行检测，待检测合格后方可使用；如检测不合格，由乙方负责在48小时内包退包换，并承担往来运输费、上下车的力资费及相应工期损失、经济损失。</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业主、监理、设计单位及甲方均有权随机抽样对货物进行第三方检测或测试，乙方有责任协助甲方完成相关测试工作，若供货材料抽样检测不合格，乙方应承担相应费用和损失。</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4.4质量争议：</w:t>
      </w:r>
      <w:r>
        <w:rPr>
          <w:rFonts w:hint="eastAsia" w:ascii="仿宋_GB2312" w:hAnsi="仿宋_GB2312" w:eastAsia="仿宋_GB2312" w:cs="仿宋_GB2312"/>
          <w:color w:val="000000" w:themeColor="text1"/>
          <w:highlight w:val="none"/>
          <w14:textFill>
            <w14:solidFill>
              <w14:schemeClr w14:val="tx1"/>
            </w14:solidFill>
          </w14:textFill>
        </w:rPr>
        <w:t>货物如有质量异议，应在收货后7天向对方提出，乙方应在3天内作出答复，未回复视为认可货物质量瑕疵或缺陷。因质量发生争议，双方同意共同取样并送交</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新疆公路桥梁试验检测中心有限责任公司   </w:t>
      </w:r>
      <w:r>
        <w:rPr>
          <w:rFonts w:hint="eastAsia" w:ascii="仿宋_GB2312" w:hAnsi="仿宋_GB2312" w:eastAsia="仿宋_GB2312" w:cs="仿宋_GB2312"/>
          <w:color w:val="000000" w:themeColor="text1"/>
          <w:highlight w:val="none"/>
          <w14:textFill>
            <w14:solidFill>
              <w14:schemeClr w14:val="tx1"/>
            </w14:solidFill>
          </w14:textFill>
        </w:rPr>
        <w:t>进行检验，并以该机构的检验结果为准，因此而发生的费用由责任方承担。如出现不合</w:t>
      </w:r>
      <w:r>
        <w:rPr>
          <w:rFonts w:hint="eastAsia" w:ascii="仿宋_GB2312" w:hAnsi="仿宋_GB2312" w:eastAsia="仿宋_GB2312" w:cs="仿宋_GB2312"/>
          <w:color w:val="000000" w:themeColor="text1"/>
          <w:highlight w:val="none"/>
          <w14:textFill>
            <w14:solidFill>
              <w14:schemeClr w14:val="tx1"/>
            </w14:solidFill>
          </w14:textFill>
        </w:rPr>
        <w:t>格品，乙方应在甲方规定时间内包退包换，所发生的费用由乙方承担。</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对不符合本合同约定要求的货物甲方有权拒绝签收，乙方应立即将该货物全部运离现场并承担相应费用，同时在供货期限内重新更换符合约定的货物。如不能及时运离并在供货期限内重新更换符合约定的货物送达交货地点，甲方有权单方面解除合同，并要求乙方承担甲方相应损失。</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4.5更换原则：</w:t>
      </w:r>
      <w:r>
        <w:rPr>
          <w:rFonts w:hint="eastAsia" w:ascii="仿宋_GB2312" w:hAnsi="仿宋_GB2312" w:eastAsia="仿宋_GB2312" w:cs="仿宋_GB2312"/>
          <w:color w:val="000000" w:themeColor="text1"/>
          <w:highlight w:val="none"/>
          <w14:textFill>
            <w14:solidFill>
              <w14:schemeClr w14:val="tx1"/>
            </w14:solidFill>
          </w14:textFill>
        </w:rPr>
        <w:t>由于任何一方原因引起产品更换或补发的时间延长,均以不影响工程进度为原则，如造成影响，则由责任方承担由此导致的后果。</w:t>
      </w:r>
    </w:p>
    <w:p>
      <w:pPr>
        <w:pStyle w:val="4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4.6验收责任：</w:t>
      </w:r>
      <w:r>
        <w:rPr>
          <w:rFonts w:hint="eastAsia" w:ascii="仿宋_GB2312" w:hAnsi="仿宋_GB2312" w:eastAsia="仿宋_GB2312" w:cs="仿宋_GB2312"/>
          <w:color w:val="000000" w:themeColor="text1"/>
          <w:highlight w:val="none"/>
          <w14:textFill>
            <w14:solidFill>
              <w14:schemeClr w14:val="tx1"/>
            </w14:solidFill>
          </w14:textFill>
        </w:rPr>
        <w:t>甲方参与对乙方材料的验收并不能免除乙方应承担的责任，如在材料到场验收时未发现质量问题，但在使用时或使用后发现确实因该批材料质量未达到规定要求而造成相应损失，如返工、工期延长等经济和工期损失由乙方承担。</w:t>
      </w:r>
      <w:r>
        <w:rPr>
          <w:rFonts w:hint="eastAsia" w:ascii="仿宋_GB2312" w:hAnsi="仿宋_GB2312" w:eastAsia="仿宋_GB2312" w:cs="仿宋_GB2312"/>
          <w:b/>
          <w:bCs/>
          <w:color w:val="000000" w:themeColor="text1"/>
          <w:highlight w:val="none"/>
          <w14:textFill>
            <w14:solidFill>
              <w14:schemeClr w14:val="tx1"/>
            </w14:solidFill>
          </w14:textFill>
        </w:rPr>
        <w:t>所造成的经济损失，甲方可直接从应付款中扣除，乙方对此不持异议。</w:t>
      </w:r>
      <w:r>
        <w:rPr>
          <w:rFonts w:hint="eastAsia" w:ascii="仿宋_GB2312" w:hAnsi="仿宋_GB2312" w:eastAsia="仿宋_GB2312" w:cs="仿宋_GB2312"/>
          <w:color w:val="000000" w:themeColor="text1"/>
          <w:highlight w:val="none"/>
          <w14:textFill>
            <w14:solidFill>
              <w14:schemeClr w14:val="tx1"/>
            </w14:solidFill>
          </w14:textFill>
        </w:rPr>
        <w:t>对于由该质量问题引起的工程坍塌、人员伤亡等重大事故，乙方应承担直接经济和法律责任。</w:t>
      </w:r>
      <w:r>
        <w:rPr>
          <w:rFonts w:hint="eastAsia" w:ascii="仿宋_GB2312" w:hAnsi="仿宋_GB2312" w:eastAsia="仿宋_GB2312" w:cs="仿宋_GB2312"/>
          <w:b/>
          <w:bCs/>
          <w:color w:val="000000" w:themeColor="text1"/>
          <w:highlight w:val="none"/>
          <w14:textFill>
            <w14:solidFill>
              <w14:schemeClr w14:val="tx1"/>
            </w14:solidFill>
          </w14:textFill>
        </w:rPr>
        <w:t>若由甲方先行承担的，甲方可在任何一笔</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货款</w:t>
      </w:r>
      <w:r>
        <w:rPr>
          <w:rFonts w:hint="eastAsia" w:ascii="仿宋_GB2312" w:hAnsi="仿宋_GB2312" w:eastAsia="仿宋_GB2312" w:cs="仿宋_GB2312"/>
          <w:b/>
          <w:bCs/>
          <w:color w:val="000000" w:themeColor="text1"/>
          <w:highlight w:val="none"/>
          <w14:textFill>
            <w14:solidFill>
              <w14:schemeClr w14:val="tx1"/>
            </w14:solidFill>
          </w14:textFill>
        </w:rPr>
        <w:t>支付中予以扣除，乙方对此不持</w:t>
      </w:r>
      <w:r>
        <w:rPr>
          <w:rFonts w:hint="eastAsia" w:ascii="仿宋_GB2312" w:hAnsi="仿宋_GB2312" w:eastAsia="仿宋_GB2312" w:cs="仿宋_GB2312"/>
          <w:b/>
          <w:bCs/>
          <w:highlight w:val="none"/>
        </w:rPr>
        <w:t>异议。</w:t>
      </w:r>
    </w:p>
    <w:p>
      <w:pPr>
        <w:pStyle w:val="41"/>
        <w:spacing w:line="400" w:lineRule="atLeast"/>
        <w:ind w:firstLine="480" w:firstLineChars="200"/>
        <w:rPr>
          <w:rFonts w:hint="eastAsia" w:ascii="仿宋_GB2312" w:hAnsi="仿宋_GB2312" w:eastAsia="仿宋_GB2312" w:cs="仿宋_GB2312"/>
          <w:b w:val="0"/>
          <w:bCs w:val="0"/>
          <w:color w:val="000000" w:themeColor="text1"/>
          <w:highlight w:val="none"/>
          <w14:textFill>
            <w14:solidFill>
              <w14:schemeClr w14:val="tx1"/>
            </w14:solidFill>
          </w14:textFill>
        </w:rPr>
      </w:pPr>
      <w:bookmarkStart w:id="99" w:name="_Toc24231"/>
      <w:bookmarkStart w:id="100" w:name="_Toc22166"/>
      <w:bookmarkStart w:id="101" w:name="_Toc23953"/>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4.7</w:t>
      </w:r>
      <w:r>
        <w:rPr>
          <w:rFonts w:hint="eastAsia" w:ascii="仿宋_GB2312" w:hAnsi="仿宋_GB2312" w:eastAsia="仿宋_GB2312" w:cs="仿宋_GB2312"/>
          <w:b w:val="0"/>
          <w:bCs w:val="0"/>
          <w:color w:val="000000" w:themeColor="text1"/>
          <w:highlight w:val="none"/>
          <w14:textFill>
            <w14:solidFill>
              <w14:schemeClr w14:val="tx1"/>
            </w14:solidFill>
          </w14:textFill>
        </w:rPr>
        <w:t>对于工程中的剩余或未使用到的货物在不严重影响外观、质量和功能的情况下甲方有权退货，退货原则上以合同约定的含税单价为准，确因商品特殊的（比如定制等），价格双方协商，协商不一致的，按照</w:t>
      </w: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合同含税单价的</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 xml:space="preserve">100 </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highlight w:val="none"/>
          <w14:textFill>
            <w14:solidFill>
              <w14:schemeClr w14:val="tx1"/>
            </w14:solidFill>
          </w14:textFill>
        </w:rPr>
        <w:t>%退货，退货数量以实际数量为准。</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highlight w:val="none"/>
          <w14:textFill>
            <w14:solidFill>
              <w14:schemeClr w14:val="tx1"/>
            </w14:solidFill>
          </w14:textFill>
        </w:rPr>
        <w:t>其他：</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货物结算</w:t>
      </w:r>
      <w:bookmarkEnd w:id="99"/>
      <w:bookmarkEnd w:id="100"/>
      <w:bookmarkEnd w:id="101"/>
    </w:p>
    <w:p>
      <w:pPr>
        <w:pStyle w:val="41"/>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结算周期：</w:t>
      </w:r>
    </w:p>
    <w:p>
      <w:pPr>
        <w:pStyle w:val="41"/>
        <w:spacing w:line="400" w:lineRule="atLeast"/>
        <w:ind w:firstLine="480"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乙方每月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与甲方核对上月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至本月</w:t>
      </w:r>
      <w:r>
        <w:rPr>
          <w:rFonts w:hint="eastAsia" w:ascii="仿宋_GB2312" w:hAnsi="仿宋_GB2312" w:eastAsia="仿宋_GB2312" w:cs="仿宋_GB2312"/>
          <w:color w:val="000000" w:themeColor="text1"/>
          <w:highlight w:val="none"/>
          <w:u w:val="single"/>
          <w14:textFill>
            <w14:solidFill>
              <w14:schemeClr w14:val="tx1"/>
            </w14:solidFill>
          </w14:textFill>
        </w:rPr>
        <w:t>15日</w:t>
      </w:r>
      <w:r>
        <w:rPr>
          <w:rFonts w:hint="eastAsia" w:ascii="仿宋_GB2312" w:hAnsi="仿宋_GB2312" w:eastAsia="仿宋_GB2312" w:cs="仿宋_GB2312"/>
          <w:color w:val="000000" w:themeColor="text1"/>
          <w:highlight w:val="none"/>
          <w14:textFill>
            <w14:solidFill>
              <w14:schemeClr w14:val="tx1"/>
            </w14:solidFill>
          </w14:textFill>
        </w:rPr>
        <w:t>所供材料数量，并办理完结算手续。</w:t>
      </w:r>
      <w:r>
        <w:rPr>
          <w:rFonts w:hint="eastAsia" w:ascii="仿宋_GB2312" w:hAnsi="仿宋_GB2312" w:eastAsia="仿宋_GB2312" w:cs="仿宋_GB2312"/>
          <w:b/>
          <w:bCs/>
          <w:color w:val="000000" w:themeColor="text1"/>
          <w:highlight w:val="none"/>
          <w14:textFill>
            <w14:solidFill>
              <w14:schemeClr w14:val="tx1"/>
            </w14:solidFill>
          </w14:textFill>
        </w:rPr>
        <w:t>因乙方不配合签认结算单等原因超出本合同规定时间未办理完结算手续，乙方在此期间无权要求甲方付款及追究甲方任何违约责任或要求赔偿资金占用费等损失，同时甲方保留单方办理结算的权利且视为乙方认可甲方审定的结算金额。</w:t>
      </w:r>
    </w:p>
    <w:p>
      <w:pPr>
        <w:pStyle w:val="41"/>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结算流程：</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双方结算分为过程结算及最终结算。过程结算按下表流程进行。最终结算于供货完成、验收合格且未出现任何质量问题后一个月内办理，最终结算需附物资买卖合同结算协议书。</w:t>
      </w:r>
    </w:p>
    <w:p>
      <w:pPr>
        <w:pStyle w:val="41"/>
        <w:numPr>
          <w:ilvl w:val="0"/>
          <w:numId w:val="4"/>
        </w:numPr>
        <w:spacing w:line="400" w:lineRule="atLeast"/>
        <w:ind w:firstLine="482"/>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mc:AlternateContent>
          <mc:Choice Requires="wpg">
            <w:drawing>
              <wp:anchor distT="0" distB="0" distL="114300" distR="114300" simplePos="0" relativeHeight="251661312" behindDoc="0" locked="0" layoutInCell="1" allowOverlap="1">
                <wp:simplePos x="0" y="0"/>
                <wp:positionH relativeFrom="column">
                  <wp:posOffset>-12065</wp:posOffset>
                </wp:positionH>
                <wp:positionV relativeFrom="paragraph">
                  <wp:posOffset>101600</wp:posOffset>
                </wp:positionV>
                <wp:extent cx="5080000" cy="1210310"/>
                <wp:effectExtent l="4445" t="5080" r="249555" b="22860"/>
                <wp:wrapTopAndBottom/>
                <wp:docPr id="10" name="组合 10"/>
                <wp:cNvGraphicFramePr/>
                <a:graphic xmlns:a="http://schemas.openxmlformats.org/drawingml/2006/main">
                  <a:graphicData uri="http://schemas.microsoft.com/office/word/2010/wordprocessingGroup">
                    <wpg:wgp>
                      <wpg:cNvGrpSpPr/>
                      <wpg:grpSpPr>
                        <a:xfrm>
                          <a:off x="0" y="0"/>
                          <a:ext cx="5080000" cy="1210310"/>
                          <a:chOff x="2064" y="142451"/>
                          <a:chExt cx="8000" cy="1906"/>
                        </a:xfrm>
                        <a:effectLst/>
                      </wpg:grpSpPr>
                      <wpg:grpSp>
                        <wpg:cNvPr id="2" name="组合 5"/>
                        <wpg:cNvGrpSpPr/>
                        <wpg:grpSpPr>
                          <a:xfrm>
                            <a:off x="2064" y="142451"/>
                            <a:ext cx="8000" cy="1907"/>
                            <a:chOff x="4638" y="144974"/>
                            <a:chExt cx="8000" cy="2118"/>
                          </a:xfrm>
                          <a:effectLst/>
                        </wpg:grpSpPr>
                        <wps:wsp>
                          <wps:cNvPr id="4" name="文本框 3"/>
                          <wps:cNvSpPr txBox="1"/>
                          <wps:spPr>
                            <a:xfrm>
                              <a:off x="4655" y="144974"/>
                              <a:ext cx="3492" cy="865"/>
                            </a:xfrm>
                            <a:prstGeom prst="rect">
                              <a:avLst/>
                            </a:prstGeom>
                            <a:solidFill>
                              <a:srgbClr val="FFFFFF"/>
                            </a:solidFill>
                            <a:ln w="6350">
                              <a:solidFill>
                                <a:prstClr val="black"/>
                              </a:solidFill>
                            </a:ln>
                            <a:effectLst/>
                          </wps:spPr>
                          <wps:txbx>
                            <w:txbxContent>
                              <w:p>
                                <w:pPr>
                                  <w:pStyle w:val="41"/>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6"/>
                          <wps:cNvSpPr txBox="1"/>
                          <wps:spPr>
                            <a:xfrm>
                              <a:off x="8740" y="144974"/>
                              <a:ext cx="3898" cy="825"/>
                            </a:xfrm>
                            <a:prstGeom prst="rect">
                              <a:avLst/>
                            </a:prstGeom>
                            <a:solidFill>
                              <a:srgbClr val="FFFFFF"/>
                            </a:solidFill>
                            <a:ln w="6350">
                              <a:solidFill>
                                <a:prstClr val="black"/>
                              </a:solidFill>
                            </a:ln>
                            <a:effectLst/>
                          </wps:spPr>
                          <wps:txbx>
                            <w:txbxContent>
                              <w:p>
                                <w:pPr>
                                  <w:pStyle w:val="41"/>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pPr>
                                  <w:pStyle w:val="41"/>
                                  <w:outlineLvl w:val="0"/>
                                  <w:rPr>
                                    <w:rFonts w:ascii="仿宋_GB2312" w:hAnsi="仿宋_GB2312" w:eastAsia="仿宋_GB2312" w:cs="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8"/>
                          <wps:cNvSpPr txBox="1"/>
                          <wps:spPr>
                            <a:xfrm>
                              <a:off x="4638" y="145859"/>
                              <a:ext cx="3507" cy="1233"/>
                            </a:xfrm>
                            <a:prstGeom prst="rect">
                              <a:avLst/>
                            </a:prstGeom>
                            <a:solidFill>
                              <a:srgbClr val="FFFFFF"/>
                            </a:solidFill>
                            <a:ln w="6350">
                              <a:solidFill>
                                <a:prstClr val="black"/>
                              </a:solidFill>
                            </a:ln>
                            <a:effectLst/>
                          </wps:spPr>
                          <wps:txbx>
                            <w:txbxContent>
                              <w:p>
                                <w:pPr>
                                  <w:pStyle w:val="41"/>
                                  <w:outlineLvl w:val="0"/>
                                  <w:rPr>
                                    <w:rFonts w:ascii="仿宋_GB2312" w:hAnsi="仿宋_GB2312" w:eastAsia="仿宋_GB2312" w:cs="仿宋_GB2312"/>
                                    <w:highlight w:val="none"/>
                                  </w:rPr>
                                </w:pPr>
                                <w:r>
                                  <w:rPr>
                                    <w:rFonts w:hint="eastAsia" w:ascii="仿宋_GB2312" w:hAnsi="仿宋_GB2312" w:eastAsia="仿宋_GB2312" w:cs="仿宋_GB2312"/>
                                    <w:highlight w:val="none"/>
                                  </w:rPr>
                                  <w:t>4.甲方公司复核结算，复核完成后按比例支付结算款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1"/>
                          <wps:cNvSpPr txBox="1"/>
                          <wps:spPr>
                            <a:xfrm>
                              <a:off x="8706" y="145858"/>
                              <a:ext cx="3927" cy="1218"/>
                            </a:xfrm>
                            <a:prstGeom prst="rect">
                              <a:avLst/>
                            </a:prstGeom>
                            <a:solidFill>
                              <a:srgbClr val="FFFFFF"/>
                            </a:solidFill>
                            <a:ln w="6350">
                              <a:solidFill>
                                <a:prstClr val="black"/>
                              </a:solidFill>
                            </a:ln>
                            <a:effectLst/>
                          </wps:spPr>
                          <wps:txbx>
                            <w:txbxContent>
                              <w:p>
                                <w:pPr>
                                  <w:pStyle w:val="41"/>
                                  <w:outlineLvl w:val="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highlight w:val="none"/>
                                  </w:rPr>
                                  <w:t>甲方项目部初步审核过程结算，乙方依据金额开具等额发票。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肘形连接符 2"/>
                        <wps:cNvCnPr/>
                        <wps:spPr>
                          <a:xfrm flipH="1">
                            <a:off x="10059" y="142690"/>
                            <a:ext cx="5" cy="973"/>
                          </a:xfrm>
                          <a:prstGeom prst="bentConnector3">
                            <a:avLst>
                              <a:gd name="adj1" fmla="val -7500000"/>
                            </a:avLst>
                          </a:prstGeom>
                          <a:noFill/>
                          <a:ln w="9525" cap="flat" cmpd="sng" algn="ctr">
                            <a:solidFill>
                              <a:srgbClr val="F9F9F9">
                                <a:shade val="95000"/>
                                <a:satMod val="105000"/>
                              </a:srgbClr>
                            </a:solidFill>
                            <a:prstDash val="solid"/>
                            <a:headEnd type="arrow" w="med" len="med"/>
                            <a:tailEnd type="arrow" w="med" len="med"/>
                          </a:ln>
                          <a:effectLst/>
                        </wps:spPr>
                        <wps:bodyPr/>
                      </wps:wsp>
                      <wps:wsp>
                        <wps:cNvPr id="21" name="直接箭头连接符 4"/>
                        <wps:cNvCnPr/>
                        <wps:spPr>
                          <a:xfrm>
                            <a:off x="5573" y="142689"/>
                            <a:ext cx="593" cy="1"/>
                          </a:xfrm>
                          <a:prstGeom prst="straightConnector1">
                            <a:avLst/>
                          </a:prstGeom>
                          <a:noFill/>
                          <a:ln w="9525" cap="flat" cmpd="sng" algn="ctr">
                            <a:solidFill>
                              <a:srgbClr val="F9F9F9">
                                <a:shade val="95000"/>
                                <a:satMod val="105000"/>
                              </a:srgbClr>
                            </a:solidFill>
                            <a:prstDash val="solid"/>
                            <a:tailEnd type="arrow" w="med" len="med"/>
                          </a:ln>
                          <a:effectLst/>
                        </wps:spPr>
                        <wps:bodyPr/>
                      </wps:wsp>
                      <wps:wsp>
                        <wps:cNvPr id="22" name="直接箭头连接符 7"/>
                        <wps:cNvCnPr/>
                        <wps:spPr>
                          <a:xfrm flipH="1">
                            <a:off x="5571" y="143663"/>
                            <a:ext cx="561" cy="7"/>
                          </a:xfrm>
                          <a:prstGeom prst="straightConnector1">
                            <a:avLst/>
                          </a:prstGeom>
                          <a:noFill/>
                          <a:ln w="9525" cap="flat" cmpd="sng" algn="ctr">
                            <a:solidFill>
                              <a:srgbClr val="F9F9F9">
                                <a:shade val="95000"/>
                                <a:satMod val="105000"/>
                              </a:srgbClr>
                            </a:solidFill>
                            <a:prstDash val="solid"/>
                            <a:tailEnd type="arrow" w="med" len="med"/>
                          </a:ln>
                          <a:effectLst/>
                        </wps:spPr>
                        <wps:bodyPr/>
                      </wps:wsp>
                    </wpg:wgp>
                  </a:graphicData>
                </a:graphic>
              </wp:anchor>
            </w:drawing>
          </mc:Choice>
          <mc:Fallback>
            <w:pict>
              <v:group id="_x0000_s1026" o:spid="_x0000_s1026" o:spt="203" style="position:absolute;left:0pt;margin-left:-0.95pt;margin-top:8pt;height:95.3pt;width:400pt;mso-wrap-distance-bottom:0pt;mso-wrap-distance-top:0pt;z-index:251661312;mso-width-relative:page;mso-height-relative:page;" coordorigin="2064,142451" coordsize="8000,1906" o:gfxdata="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">
                <o:lock v:ext="edit" aspectratio="f"/>
                <v:group id="组合 5" o:spid="_x0000_s1026" o:spt="203" style="position:absolute;left:2064;top:142451;height:1907;width:8000;" coordorigin="4638,144974" coordsize="8000,2118"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文本框 3" o:spid="_x0000_s1026" o:spt="202" type="#_x0000_t202" style="position:absolute;left:4655;top:144974;height:865;width:3492;" fillcolor="#FFFFFF"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pStyle w:val="41"/>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v:textbox>
                  </v:shape>
                  <v:shape id="文本框 6" o:spid="_x0000_s1026" o:spt="202" type="#_x0000_t202" style="position:absolute;left:8740;top:144974;height:825;width:3898;" fillcolor="#FFFFFF" filled="t" stroked="t" coordsize="21600,21600" o:gfxdata="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UpG6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pStyle w:val="41"/>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pPr>
                            <w:pStyle w:val="41"/>
                            <w:outlineLvl w:val="0"/>
                            <w:rPr>
                              <w:rFonts w:ascii="仿宋_GB2312" w:hAnsi="仿宋_GB2312" w:eastAsia="仿宋_GB2312" w:cs="仿宋_GB2312"/>
                            </w:rPr>
                          </w:pPr>
                        </w:p>
                      </w:txbxContent>
                    </v:textbox>
                  </v:shape>
                  <v:shape id="文本框 8" o:spid="_x0000_s1026" o:spt="202" type="#_x0000_t202" style="position:absolute;left:4638;top:145859;height:1233;width:3507;" fillcolor="#FFFFFF"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pStyle w:val="41"/>
                            <w:outlineLvl w:val="0"/>
                            <w:rPr>
                              <w:rFonts w:ascii="仿宋_GB2312" w:hAnsi="仿宋_GB2312" w:eastAsia="仿宋_GB2312" w:cs="仿宋_GB2312"/>
                              <w:highlight w:val="none"/>
                            </w:rPr>
                          </w:pPr>
                          <w:r>
                            <w:rPr>
                              <w:rFonts w:hint="eastAsia" w:ascii="仿宋_GB2312" w:hAnsi="仿宋_GB2312" w:eastAsia="仿宋_GB2312" w:cs="仿宋_GB2312"/>
                              <w:highlight w:val="none"/>
                            </w:rPr>
                            <w:t>4.甲方公司复核结算，复核完成后按比例支付结算款</w:t>
                          </w:r>
                        </w:p>
                      </w:txbxContent>
                    </v:textbox>
                  </v:shape>
                  <v:shape id="文本框 11" o:spid="_x0000_s1026" o:spt="202" type="#_x0000_t202" style="position:absolute;left:8706;top:145858;height:1218;width:3927;" fillcolor="#FFFFFF"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pStyle w:val="41"/>
                            <w:outlineLvl w:val="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highlight w:val="none"/>
                            </w:rPr>
                            <w:t>甲方项目部初步审核过程结算，乙方依据金额开具等额发票。</w:t>
                          </w:r>
                        </w:p>
                      </w:txbxContent>
                    </v:textbox>
                  </v:shape>
                </v:group>
                <v:shape id="肘形连接符 2" o:spid="_x0000_s1026" o:spt="34" type="#_x0000_t34" style="position:absolute;left:10059;top:142690;flip:x;height:973;width:5;" filled="f" stroked="t" coordsize="21600,21600" o:gfxdata="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KcMPugAAANsA&#10;AAAPAAAAAAAAAAEAIAAAACIAAABkcnMvZG93bnJldi54bWxQSwECFAAUAAAACACHTuJAMy8FnjsA&#10;AAA5AAAAEAAAAAAAAAABACAAAAAJAQAAZHJzL3NoYXBleG1sLnhtbFBLBQYAAAAABgAGAFsBAACz&#10;AwAAAAA=&#10;" adj="-1620000">
                  <v:fill on="f" focussize="0,0"/>
                  <v:stroke color="#F3F3F3" joinstyle="round" startarrow="open" endarrow="open"/>
                  <v:imagedata o:title=""/>
                  <o:lock v:ext="edit" aspectratio="f"/>
                </v:shape>
                <v:shape id="直接箭头连接符 4" o:spid="_x0000_s1026" o:spt="32" type="#_x0000_t32" style="position:absolute;left:5573;top:142689;height:1;width:593;" filled="f" stroked="t" coordsize="21600,21600" o:gfxdata="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5Zl9vQAA&#10;ANsAAAAPAAAAAAAAAAEAIAAAACIAAABkcnMvZG93bnJldi54bWxQSwECFAAUAAAACACHTuJAMy8F&#10;njsAAAA5AAAAEAAAAAAAAAABACAAAAAMAQAAZHJzL3NoYXBleG1sLnhtbFBLBQYAAAAABgAGAFsB&#10;AAC2AwAAAAA=&#10;">
                  <v:fill on="f" focussize="0,0"/>
                  <v:stroke color="#F3F3F3" joinstyle="round" endarrow="open"/>
                  <v:imagedata o:title=""/>
                  <o:lock v:ext="edit" aspectratio="f"/>
                </v:shape>
                <v:shape id="直接箭头连接符 7" o:spid="_x0000_s1026" o:spt="32" type="#_x0000_t32" style="position:absolute;left:5571;top:143663;flip:x;height:7;width:561;" filled="f" stroked="t" coordsize="21600,21600" o:gfxdata="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HB0W74A&#10;AADbAAAADwAAAAAAAAABACAAAAAiAAAAZHJzL2Rvd25yZXYueG1sUEsBAhQAFAAAAAgAh07iQDMv&#10;BZ47AAAAOQAAABAAAAAAAAAAAQAgAAAADQEAAGRycy9zaGFwZXhtbC54bWxQSwUGAAAAAAYABgBb&#10;AQAAtwMAAAAA&#10;">
                  <v:fill on="f" focussize="0,0"/>
                  <v:stroke color="#F3F3F3" joinstyle="round" endarrow="open"/>
                  <v:imagedata o:title=""/>
                  <o:lock v:ext="edit" aspectratio="f"/>
                </v:shape>
                <w10:wrap type="topAndBottom"/>
              </v:group>
            </w:pict>
          </mc:Fallback>
        </mc:AlternateContent>
      </w:r>
      <w:r>
        <w:rPr>
          <w:rFonts w:hint="eastAsia" w:ascii="仿宋_GB2312" w:hAnsi="仿宋_GB2312" w:eastAsia="仿宋_GB2312" w:cs="仿宋_GB2312"/>
          <w:b/>
          <w:bCs/>
          <w:color w:val="000000" w:themeColor="text1"/>
          <w:highlight w:val="none"/>
          <w14:textFill>
            <w14:solidFill>
              <w14:schemeClr w14:val="tx1"/>
            </w14:solidFill>
          </w14:textFill>
        </w:rPr>
        <w:t>增值税专用发票：</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3.1增值税票要求：</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3.1.1税票信息：</w:t>
      </w:r>
      <w:r>
        <w:rPr>
          <w:rFonts w:hint="eastAsia" w:ascii="仿宋_GB2312" w:hAnsi="仿宋_GB2312" w:eastAsia="仿宋_GB2312" w:cs="仿宋_GB2312"/>
          <w:color w:val="000000" w:themeColor="text1"/>
          <w:highlight w:val="none"/>
          <w14:textFill>
            <w14:solidFill>
              <w14:schemeClr w14:val="tx1"/>
            </w14:solidFill>
          </w14:textFill>
        </w:rPr>
        <w:t>乙方应按甲方要求提供以其本单位名义开具，适用</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13％</w:t>
      </w:r>
      <w:r>
        <w:rPr>
          <w:rFonts w:hint="eastAsia" w:ascii="仿宋_GB2312" w:hAnsi="仿宋_GB2312" w:eastAsia="仿宋_GB2312" w:cs="仿宋_GB2312"/>
          <w:color w:val="000000" w:themeColor="text1"/>
          <w:highlight w:val="none"/>
          <w14:textFill>
            <w14:solidFill>
              <w14:schemeClr w14:val="tx1"/>
            </w14:solidFill>
          </w14:textFill>
        </w:rPr>
        <w:t>税率的增值税专用发票，开具金额需与结算金额一致，并加盖与本合同中乙方名称一致的发票专用章（如税务部门要求合同、发票等备案登记的，乙方承担相关费用并办理相关手续）。</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3.1.2计税方式：</w:t>
      </w:r>
      <w:r>
        <w:rPr>
          <w:rFonts w:hint="eastAsia" w:ascii="仿宋_GB2312" w:hAnsi="仿宋_GB2312" w:eastAsia="仿宋_GB2312" w:cs="仿宋_GB2312"/>
          <w:color w:val="000000" w:themeColor="text1"/>
          <w:highlight w:val="none"/>
          <w14:textFill>
            <w14:solidFill>
              <w14:schemeClr w14:val="tx1"/>
            </w14:solidFill>
          </w14:textFill>
        </w:rPr>
        <w:t>本合同所涉应税行为计税方法为</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一般计税方法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3.1.3税票金额：</w:t>
      </w:r>
      <w:r>
        <w:rPr>
          <w:rFonts w:hint="eastAsia" w:ascii="仿宋_GB2312" w:hAnsi="仿宋_GB2312" w:eastAsia="仿宋_GB2312" w:cs="仿宋_GB2312"/>
          <w:color w:val="000000" w:themeColor="text1"/>
          <w:highlight w:val="none"/>
          <w14:textFill>
            <w14:solidFill>
              <w14:schemeClr w14:val="tx1"/>
            </w14:solidFill>
          </w14:textFill>
        </w:rPr>
        <w:t>乙方应按每期结算金额开具当期增值税专用发票，并于发票开具之日起7天内提供给甲方指定签收人员。乙方应开具合法、有效、准确的增值税专用发票，若汇总开具增值税专用发票的，则乙方需同时提供防伪税控系统开具的《销售货物或者提供应税劳务清单》，清单内容需与实际供货内容、结算内容相一致，并加盖发票专用章。</w:t>
      </w:r>
      <w:bookmarkStart w:id="102" w:name="_Hlk126834051"/>
      <w:r>
        <w:rPr>
          <w:rFonts w:hint="eastAsia" w:ascii="仿宋_GB2312" w:hAnsi="仿宋_GB2312" w:eastAsia="仿宋_GB2312" w:cs="仿宋_GB2312"/>
          <w:b/>
          <w:bCs/>
          <w:color w:val="000000" w:themeColor="text1"/>
          <w:highlight w:val="none"/>
          <w14:textFill>
            <w14:solidFill>
              <w14:schemeClr w14:val="tx1"/>
            </w14:solidFill>
          </w14:textFill>
        </w:rPr>
        <w:t>如乙方未提供发票或提供发票不合规、不及时、无法认证，甲方有权拒绝付款，且不视为甲方付款逾期，乙方无权要求甲方支付利息、违约金或赔偿损失。</w:t>
      </w:r>
    </w:p>
    <w:bookmarkEnd w:id="102"/>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3.1.4税率变化：</w:t>
      </w:r>
      <w:r>
        <w:rPr>
          <w:rFonts w:hint="eastAsia" w:ascii="仿宋_GB2312" w:hAnsi="仿宋_GB2312" w:eastAsia="仿宋_GB2312" w:cs="仿宋_GB2312"/>
          <w:color w:val="000000" w:themeColor="text1"/>
          <w:highlight w:val="none"/>
          <w14:textFill>
            <w14:solidFill>
              <w14:schemeClr w14:val="tx1"/>
            </w14:solidFill>
          </w14:textFill>
        </w:rPr>
        <w:t>合同执行过程中如遇国家税务政策调整导致适用税率发生变化，以货物进场验收时间点依据适用政策调整，执行按照新的税率，合同含税价格依据新的税率相应调整，乙方承担相应的纳税义务提供新税率的增值税专用发票。</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3.2 税票丢失：</w:t>
      </w:r>
      <w:r>
        <w:rPr>
          <w:rFonts w:hint="eastAsia" w:ascii="仿宋_GB2312" w:hAnsi="仿宋_GB2312" w:eastAsia="仿宋_GB2312" w:cs="仿宋_GB2312"/>
          <w:color w:val="000000" w:themeColor="text1"/>
          <w:highlight w:val="none"/>
          <w14:textFill>
            <w14:solidFill>
              <w14:schemeClr w14:val="tx1"/>
            </w14:solidFill>
          </w14:textFill>
        </w:rPr>
        <w:t>若甲方丢失增值税专用发票联和抵扣联,乙方在接到甲方书面通知3个工作日内必须向甲方提供专用发票记账联复印件及其主管税务机关出具的《丢失增值税专用发票已报税证明单》，以作为甲方增值税进项税额的抵扣凭证。</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3.3税务信息：</w:t>
      </w:r>
    </w:p>
    <w:tbl>
      <w:tblPr>
        <w:tblStyle w:val="3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5"/>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34" w:type="dxa"/>
            <w:vMerge w:val="restart"/>
            <w:tcBorders>
              <w:top w:val="single" w:color="auto" w:sz="12" w:space="0"/>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甲方</w:t>
            </w:r>
          </w:p>
        </w:tc>
        <w:tc>
          <w:tcPr>
            <w:tcW w:w="1845" w:type="dxa"/>
            <w:tcBorders>
              <w:top w:val="single" w:color="auto" w:sz="12"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single" w:color="auto" w:sz="12" w:space="0"/>
              <w:right w:val="single" w:color="auto" w:sz="12" w:space="0"/>
            </w:tcBorders>
          </w:tcPr>
          <w:p>
            <w:pPr>
              <w:spacing w:line="5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中建路桥集团有限公司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tcPr>
          <w:p>
            <w:pPr>
              <w:spacing w:line="5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一般纳税人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tcPr>
          <w:p>
            <w:pPr>
              <w:spacing w:line="5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91130000401700454L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河北省</w:t>
            </w:r>
            <w:r>
              <w:rPr>
                <w:rFonts w:hint="eastAsia" w:ascii="仿宋_GB2312" w:hAnsi="仿宋_GB2312" w:eastAsia="仿宋_GB2312" w:cs="仿宋_GB2312"/>
                <w:color w:val="000000" w:themeColor="text1"/>
                <w:sz w:val="24"/>
                <w:szCs w:val="24"/>
                <w:highlight w:val="none"/>
                <w14:textFill>
                  <w14:solidFill>
                    <w14:schemeClr w14:val="tx1"/>
                  </w14:solidFill>
                </w14:textFill>
              </w:rPr>
              <w:t>石家庄市</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桥西区</w:t>
            </w:r>
            <w:r>
              <w:rPr>
                <w:rFonts w:hint="eastAsia" w:ascii="仿宋_GB2312" w:hAnsi="仿宋_GB2312" w:eastAsia="仿宋_GB2312" w:cs="仿宋_GB2312"/>
                <w:color w:val="000000" w:themeColor="text1"/>
                <w:sz w:val="24"/>
                <w:szCs w:val="24"/>
                <w:highlight w:val="none"/>
                <w14:textFill>
                  <w14:solidFill>
                    <w14:schemeClr w14:val="tx1"/>
                  </w14:solidFill>
                </w14:textFill>
              </w:rPr>
              <w:t>建设南大街70号、0311-86028814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right w:val="single" w:color="auto" w:sz="12" w:space="0"/>
            </w:tcBorders>
            <w:vAlign w:val="top"/>
          </w:tcPr>
          <w:p>
            <w:pPr>
              <w:snapToGrid w:val="0"/>
              <w:spacing w:line="400" w:lineRule="atLeast"/>
              <w:contextualSpacing/>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建行</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石家庄</w:t>
            </w:r>
            <w:r>
              <w:rPr>
                <w:rFonts w:hint="eastAsia" w:ascii="仿宋_GB2312" w:hAnsi="仿宋_GB2312" w:eastAsia="仿宋_GB2312" w:cs="仿宋_GB2312"/>
                <w:color w:val="000000" w:themeColor="text1"/>
                <w:sz w:val="24"/>
                <w:szCs w:val="24"/>
                <w:highlight w:val="none"/>
                <w14:textFill>
                  <w14:solidFill>
                    <w14:schemeClr w14:val="tx1"/>
                  </w14:solidFill>
                </w14:textFill>
              </w:rPr>
              <w:t>平安大街支行13001618601050504927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4" w:type="dxa"/>
            <w:vMerge w:val="continue"/>
            <w:tcBorders>
              <w:left w:val="single" w:color="auto" w:sz="12" w:space="0"/>
              <w:bottom w:val="double" w:color="auto" w:sz="4"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tcBorders>
              <w:bottom w:val="double" w:color="auto" w:sz="4" w:space="0"/>
            </w:tcBorders>
            <w:vAlign w:val="bottom"/>
          </w:tcPr>
          <w:p>
            <w:pPr>
              <w:snapToGrid w:val="0"/>
              <w:spacing w:line="400" w:lineRule="atLeast"/>
              <w:contextualSpacing/>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备      注</w:t>
            </w:r>
          </w:p>
          <w:p>
            <w:pPr>
              <w:rPr>
                <w:highlight w:val="none"/>
              </w:rPr>
            </w:pPr>
          </w:p>
        </w:tc>
        <w:tc>
          <w:tcPr>
            <w:tcW w:w="6143" w:type="dxa"/>
            <w:tcBorders>
              <w:bottom w:val="double" w:color="auto" w:sz="4" w:space="0"/>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项目名称：G680 塔克什肯至恰库尔图（含G680-青河)公路建设项目第TQSG-3标段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tcBorders>
              <w:top w:val="double" w:color="auto" w:sz="4" w:space="0"/>
              <w:left w:val="single" w:color="auto" w:sz="12" w:space="0"/>
            </w:tcBorders>
            <w:vAlign w:val="center"/>
          </w:tcPr>
          <w:p>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乙方</w:t>
            </w:r>
          </w:p>
        </w:tc>
        <w:tc>
          <w:tcPr>
            <w:tcW w:w="1845" w:type="dxa"/>
            <w:tcBorders>
              <w:top w:val="double" w:color="auto" w:sz="4"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double" w:color="auto" w:sz="4" w:space="0"/>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vAlign w:val="bottom"/>
          </w:tcPr>
          <w:p>
            <w:pPr>
              <w:pStyle w:val="41"/>
              <w:jc w:val="both"/>
              <w:rPr>
                <w:rFonts w:ascii="仿宋_GB2312" w:hAnsi="仿宋_GB2312" w:eastAsia="仿宋_GB2312" w:cs="仿宋_GB2312"/>
                <w:bCs/>
                <w:color w:val="000000" w:themeColor="text1"/>
                <w:kern w:val="2"/>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bottom w:val="single" w:color="auto" w:sz="12" w:space="0"/>
            </w:tcBorders>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tcBorders>
              <w:bottom w:val="single" w:color="auto" w:sz="12" w:space="0"/>
            </w:tcBorders>
            <w:vAlign w:val="bottom"/>
          </w:tcPr>
          <w:p>
            <w:pPr>
              <w:snapToGrid w:val="0"/>
              <w:spacing w:line="400" w:lineRule="atLeast"/>
              <w:contextualSpacing/>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bottom w:val="single" w:color="auto" w:sz="12" w:space="0"/>
              <w:right w:val="single" w:color="auto" w:sz="12" w:space="0"/>
            </w:tcBorders>
          </w:tcPr>
          <w:p>
            <w:pPr>
              <w:snapToGrid w:val="0"/>
              <w:spacing w:line="400" w:lineRule="atLeast"/>
              <w:contextualSpacing/>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bl>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任何一方如上述信息发生变更，应提前10日以书面方式通知另一方。如一方未按本合同规定通知而使另一方遭受损失的，应予以赔偿。</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03" w:name="_Toc21859"/>
      <w:bookmarkStart w:id="104" w:name="_Toc27325"/>
      <w:bookmarkStart w:id="105" w:name="_Toc32138"/>
      <w:r>
        <w:rPr>
          <w:rFonts w:hint="eastAsia" w:ascii="仿宋_GB2312" w:hAnsi="仿宋_GB2312" w:eastAsia="仿宋_GB2312" w:cs="仿宋_GB2312"/>
          <w:b/>
          <w:bCs/>
          <w:color w:val="000000" w:themeColor="text1"/>
          <w:highlight w:val="none"/>
          <w14:textFill>
            <w14:solidFill>
              <w14:schemeClr w14:val="tx1"/>
            </w14:solidFill>
          </w14:textFill>
        </w:rPr>
        <w:t>货物付款</w:t>
      </w:r>
      <w:bookmarkEnd w:id="103"/>
      <w:bookmarkEnd w:id="104"/>
      <w:bookmarkEnd w:id="105"/>
    </w:p>
    <w:p>
      <w:pPr>
        <w:pStyle w:val="41"/>
        <w:spacing w:line="400" w:lineRule="atLeast"/>
        <w:ind w:firstLine="482" w:firstLineChars="200"/>
        <w:jc w:val="both"/>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1、支付周期及支付比例：</w:t>
      </w:r>
      <w:r>
        <w:rPr>
          <w:rFonts w:hint="eastAsia" w:ascii="仿宋_GB2312" w:hAnsi="仿宋_GB2312" w:eastAsia="仿宋_GB2312" w:cs="仿宋_GB2312"/>
          <w:color w:val="000000" w:themeColor="text1"/>
          <w:highlight w:val="none"/>
          <w14:textFill>
            <w14:solidFill>
              <w14:schemeClr w14:val="tx1"/>
            </w14:solidFill>
          </w14:textFill>
        </w:rPr>
        <w:t>双方办理完结算后，适用第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1.1</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条付款条件：</w:t>
      </w:r>
    </w:p>
    <w:p>
      <w:pPr>
        <w:pStyle w:val="41"/>
        <w:spacing w:line="400" w:lineRule="atLeast"/>
        <w:ind w:firstLine="480" w:firstLineChars="200"/>
        <w:jc w:val="both"/>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highlight w:val="none"/>
          <w14:textFill>
            <w14:solidFill>
              <w14:schemeClr w14:val="tx1"/>
            </w14:solidFill>
          </w14:textFill>
        </w:rPr>
        <w:t>本合同无预付款，货款来源于项目工程结算款。</w:t>
      </w:r>
      <w:r>
        <w:rPr>
          <w:rFonts w:hint="eastAsia" w:ascii="仿宋_GB2312" w:hAnsi="仿宋_GB2312" w:eastAsia="仿宋_GB2312" w:cs="仿宋_GB2312"/>
          <w:b/>
          <w:bCs/>
          <w:color w:val="000000" w:themeColor="text1"/>
          <w:highlight w:val="none"/>
          <w14:textFill>
            <w14:solidFill>
              <w14:schemeClr w14:val="tx1"/>
            </w14:solidFill>
          </w14:textFill>
        </w:rPr>
        <w:t>甲方按资金审批计划对货款进行支付。</w:t>
      </w:r>
      <w:r>
        <w:rPr>
          <w:rFonts w:hint="eastAsia" w:ascii="仿宋_GB2312" w:hAnsi="仿宋_GB2312" w:eastAsia="仿宋_GB2312" w:cs="仿宋_GB2312"/>
          <w:color w:val="000000" w:themeColor="text1"/>
          <w:highlight w:val="none"/>
          <w14:textFill>
            <w14:solidFill>
              <w14:schemeClr w14:val="tx1"/>
            </w14:solidFill>
          </w14:textFill>
        </w:rPr>
        <w:t>付款期限自双方确认结算金额之日起计算，暂定为在甲乙双方完成月度物资结算手续且甲方收到乙方相应全额发票后，</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当月</w:t>
      </w:r>
      <w:r>
        <w:rPr>
          <w:rFonts w:hint="eastAsia" w:ascii="仿宋_GB2312" w:hAnsi="仿宋_GB2312" w:eastAsia="仿宋_GB2312" w:cs="仿宋_GB2312"/>
          <w:color w:val="000000" w:themeColor="text1"/>
          <w:highlight w:val="none"/>
          <w:u w:val="single"/>
          <w14:textFill>
            <w14:solidFill>
              <w14:schemeClr w14:val="tx1"/>
            </w14:solidFill>
          </w14:textFill>
        </w:rPr>
        <w:t>末</w:t>
      </w:r>
      <w:r>
        <w:rPr>
          <w:rFonts w:hint="eastAsia" w:ascii="仿宋_GB2312" w:hAnsi="仿宋_GB2312" w:eastAsia="仿宋_GB2312" w:cs="仿宋_GB2312"/>
          <w:color w:val="000000" w:themeColor="text1"/>
          <w:highlight w:val="none"/>
          <w14:textFill>
            <w14:solidFill>
              <w14:schemeClr w14:val="tx1"/>
            </w14:solidFill>
          </w14:textFill>
        </w:rPr>
        <w:t>支付当期应付货款的</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70 </w:t>
      </w:r>
      <w:r>
        <w:rPr>
          <w:rFonts w:hint="eastAsia" w:ascii="仿宋_GB2312" w:hAnsi="仿宋_GB2312" w:eastAsia="仿宋_GB2312" w:cs="仿宋_GB2312"/>
          <w:color w:val="000000" w:themeColor="text1"/>
          <w:highlight w:val="none"/>
          <w14:textFill>
            <w14:solidFill>
              <w14:schemeClr w14:val="tx1"/>
            </w14:solidFill>
          </w14:textFill>
        </w:rPr>
        <w:t>%，余下</w:t>
      </w:r>
      <w:r>
        <w:rPr>
          <w:rFonts w:hint="eastAsia" w:ascii="仿宋_GB2312" w:hAnsi="仿宋_GB2312" w:eastAsia="仿宋_GB2312" w:cs="仿宋_GB2312"/>
          <w:color w:val="000000" w:themeColor="text1"/>
          <w:highlight w:val="none"/>
          <w:u w:val="single"/>
          <w14:textFill>
            <w14:solidFill>
              <w14:schemeClr w14:val="tx1"/>
            </w14:solidFill>
          </w14:textFill>
        </w:rPr>
        <w:t>30</w:t>
      </w:r>
      <w:r>
        <w:rPr>
          <w:rFonts w:hint="eastAsia" w:ascii="仿宋_GB2312" w:hAnsi="仿宋_GB2312" w:eastAsia="仿宋_GB2312" w:cs="仿宋_GB2312"/>
          <w:color w:val="000000" w:themeColor="text1"/>
          <w:highlight w:val="none"/>
          <w14:textFill>
            <w14:solidFill>
              <w14:schemeClr w14:val="tx1"/>
            </w14:solidFill>
          </w14:textFill>
        </w:rPr>
        <w:t xml:space="preserve"> %结算货款在乙方供货完毕、办理完最终结算后 90 日内付清（无息）</w:t>
      </w:r>
      <w:r>
        <w:rPr>
          <w:rFonts w:hint="eastAsia" w:ascii="仿宋_GB2312" w:hAnsi="仿宋_GB2312" w:eastAsia="仿宋_GB2312" w:cs="仿宋_GB2312"/>
          <w:color w:val="000000" w:themeColor="text1"/>
          <w:highlight w:val="none"/>
          <w:lang w:eastAsia="zh-CN"/>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以此类推。</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highlight w:val="none"/>
          <w14:textFill>
            <w14:solidFill>
              <w14:schemeClr w14:val="tx1"/>
            </w14:solidFill>
          </w14:textFill>
        </w:rPr>
        <w:t>其他：</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2、支付形式：</w:t>
      </w:r>
      <w:r>
        <w:rPr>
          <w:rFonts w:hint="eastAsia" w:ascii="仿宋_GB2312" w:hAnsi="仿宋_GB2312" w:eastAsia="仿宋_GB2312" w:cs="仿宋_GB2312"/>
          <w:color w:val="000000" w:themeColor="text1"/>
          <w:highlight w:val="none"/>
          <w14:textFill>
            <w14:solidFill>
              <w14:schemeClr w14:val="tx1"/>
            </w14:solidFill>
          </w14:textFill>
        </w:rPr>
        <w:t>本合同付款形式适用第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2.2  </w:t>
      </w:r>
      <w:r>
        <w:rPr>
          <w:rFonts w:hint="eastAsia" w:ascii="仿宋_GB2312" w:hAnsi="仿宋_GB2312" w:eastAsia="仿宋_GB2312" w:cs="仿宋_GB2312"/>
          <w:color w:val="000000" w:themeColor="text1"/>
          <w:highlight w:val="none"/>
          <w14:textFill>
            <w14:solidFill>
              <w14:schemeClr w14:val="tx1"/>
            </w14:solidFill>
          </w14:textFill>
        </w:rPr>
        <w:t>条；</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2.1货币付款。</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2.2货币及其他的形式（包括且不限于支票、电汇、银行承兑汇票、商业承兑汇票、保理、信用证、供应链融资等）向乙方付款。（其中非现金付款方式不低于合同总价的</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30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%，期限为六个月，因此产生的相关贴现成本由乙方承担。乙方须保证资金往来账户与本合同所约定账户一致，开票单位名称与合同约定名称一致。）</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3、付款条件：乙方向甲方申请付款时，应先行满足以下条件：</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3.1所供产品无质量缺陷，乙方无违约记录，产品出厂合格证明以及检测报告完整无误。</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3.2乙方申请付款依据的结算单已由甲方最终有效确认，付款期限已经届满。</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3.3乙方已向甲方提供与结算等额增值税专用发票，且甲方已完成发票认证。</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在支付条件达成的基础上，甲方按以上方式向乙方付款，预付款不适用上述条件。</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4、乙方收款账户：</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开户银行：</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银行帐号：</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乙方指定</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（身份证号：</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）作为收款经办人，同甲方相关人员沟通洽商付款具体事宜。</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甲方仅向乙方本单位名下银行账户支付价款，未经甲方同意，乙方不得委托任何第三方代为收款，否则甲方有权拒绝付款。</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5、账户变动：</w:t>
      </w:r>
      <w:r>
        <w:rPr>
          <w:rFonts w:hint="eastAsia" w:ascii="仿宋_GB2312" w:hAnsi="仿宋_GB2312" w:eastAsia="仿宋_GB2312" w:cs="仿宋_GB2312"/>
          <w:color w:val="000000" w:themeColor="text1"/>
          <w:highlight w:val="none"/>
          <w14:textFill>
            <w14:solidFill>
              <w14:schemeClr w14:val="tx1"/>
            </w14:solidFill>
          </w14:textFill>
        </w:rPr>
        <w:t>当乙方收款银行账号发生变动时，应以函件的形式书面通知甲方，否则甲方有权拒绝付款。若甲方在收到乙方的书面通知之前已按原账号付款，则甲方不再另行支付，由此造成的一切损失均由乙方自行承担。</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6、履约保证金缴纳及退还：</w:t>
      </w:r>
    </w:p>
    <w:p>
      <w:pPr>
        <w:spacing w:line="400" w:lineRule="atLeas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6.1履约保证金缴纳形式：</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乙方在签订合同前应向甲方缴纳</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100000</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元的履约保证金，具体缴纳形式采用第</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6.1.2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种：</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6.1.1无需缴纳履约保证金。</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6.1.2银行转账：乙方未参与甲方其他在建项目，采用银行转账方式缴纳履约保证金，并由项目相应会计根据财务部规定办理相应流程，开具证明件。</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6.1.3应付款抵扣：乙方参与甲方其他在建项目，履约保证金从其他项目应付款中抵扣，并由项目相应会计根据财务部规定办理相应流程，开具证明件。</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6.1.4履约保函（只接受银行保函，不接受商业保函）。</w:t>
      </w:r>
    </w:p>
    <w:p>
      <w:pPr>
        <w:spacing w:line="400" w:lineRule="atLeast"/>
        <w:ind w:firstLine="480" w:firstLineChars="200"/>
        <w:rPr>
          <w:rFonts w:ascii="仿宋_GB2312" w:hAnsi="仿宋_GB2312" w:eastAsia="仿宋_GB2312" w:cs="仿宋_GB2312"/>
          <w:color w:val="000000" w:themeColor="text1"/>
          <w:sz w:val="24"/>
          <w:szCs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6.1.5其他</w:t>
      </w:r>
      <w:r>
        <w:rPr>
          <w:rFonts w:hint="eastAsia" w:ascii="仿宋_GB2312" w:hAnsi="仿宋_GB2312" w:eastAsia="仿宋_GB2312" w:cs="仿宋_GB2312"/>
          <w:b/>
          <w:bCs/>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6.1.6履约保证金缴纳账户：</w:t>
      </w:r>
    </w:p>
    <w:p>
      <w:pPr>
        <w:spacing w:line="400" w:lineRule="atLeast"/>
        <w:ind w:left="1560" w:leftChars="250" w:hanging="960" w:hangingChars="4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户名：</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eastAsia="仿宋_GB2312" w:hAnsiTheme="minorEastAsia"/>
          <w:bCs/>
          <w:sz w:val="21"/>
          <w:szCs w:val="21"/>
          <w:u w:val="single"/>
        </w:rPr>
        <w:t>中建路桥集团有限公司G680线塔克什肯至恰库尔图（含G680-青河）公路项目TQSG-3标段项目经理部</w:t>
      </w:r>
    </w:p>
    <w:p>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帐号：</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eastAsia="仿宋_GB2312" w:hAnsiTheme="minorEastAsia"/>
          <w:bCs/>
          <w:sz w:val="21"/>
          <w:szCs w:val="21"/>
          <w:u w:val="single"/>
        </w:rPr>
        <w:t>827050012010101735669</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p>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eastAsia="仿宋_GB2312" w:hAnsiTheme="minorEastAsia"/>
          <w:bCs/>
          <w:sz w:val="21"/>
          <w:szCs w:val="21"/>
          <w:u w:val="single"/>
        </w:rPr>
        <w:t>青河县农村信用合作联社萨尔托海信用社</w:t>
      </w:r>
    </w:p>
    <w:p>
      <w:pPr>
        <w:pStyle w:val="41"/>
        <w:spacing w:line="400" w:lineRule="atLeast"/>
        <w:ind w:firstLine="482" w:firstLineChars="200"/>
        <w:rPr>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6.2.履约保证金退还：</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在合同完成后</w:t>
      </w:r>
      <w:r>
        <w:rPr>
          <w:rFonts w:hint="eastAsia" w:ascii="仿宋_GB2312" w:hAnsi="仿宋_GB2312" w:eastAsia="仿宋_GB2312" w:cs="仿宋_GB2312"/>
          <w:color w:val="000000" w:themeColor="text1"/>
          <w:kern w:val="2"/>
          <w:sz w:val="24"/>
          <w:szCs w:val="24"/>
          <w:highlight w:val="none"/>
          <w:u w:val="single"/>
          <w:lang w:val="en-US" w:eastAsia="zh-CN" w:bidi="ar-SA"/>
          <w14:textFill>
            <w14:solidFill>
              <w14:schemeClr w14:val="tx1"/>
            </w14:solidFill>
          </w14:textFill>
        </w:rPr>
        <w:t xml:space="preserve"> 90个 </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工作日内甲方无息退还乙方履约保证金（扣除违约金及应扣除款项）</w:t>
      </w:r>
      <w:r>
        <w:rPr>
          <w:rFonts w:hint="eastAsia" w:ascii="仿宋_GB2312" w:hAnsi="仿宋_GB2312" w:eastAsia="仿宋_GB2312" w:cs="仿宋_GB2312"/>
          <w:color w:val="000000" w:themeColor="text1"/>
          <w:highlight w:val="none"/>
          <w14:textFill>
            <w14:solidFill>
              <w14:schemeClr w14:val="tx1"/>
            </w14:solidFill>
          </w14:textFill>
        </w:rPr>
        <w:t>。</w:t>
      </w:r>
    </w:p>
    <w:p>
      <w:pPr>
        <w:spacing w:line="400" w:lineRule="atLeast"/>
        <w:ind w:firstLine="482" w:firstLineChars="200"/>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已缴纳履约保证金的，如发生以下任何一种情况履约保证金不予退还：</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.1无法正常供货的情况，包括任何原因的不供货或连续5日历天未能按甲方要求的数量供货。</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.2供应的物资不符合国家、甲方、业主和监理相关标准和要求，且在规定时间内不予调换、处理的情况。</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.3不服从甲方管理的。</w:t>
      </w:r>
    </w:p>
    <w:p>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.4因乙方原因给甲方造成损失的。</w:t>
      </w:r>
    </w:p>
    <w:p>
      <w:pPr>
        <w:spacing w:line="400" w:lineRule="atLeast"/>
        <w:ind w:firstLine="480" w:firstLineChars="200"/>
        <w:rPr>
          <w:rFonts w:hint="default"/>
          <w:highlight w:val="none"/>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highlight w:val="none"/>
          <w14:textFill>
            <w14:solidFill>
              <w14:schemeClr w14:val="tx1"/>
            </w14:solidFill>
          </w14:textFill>
        </w:rPr>
        <w:t>如履约保证金不足以弥补甲方损失，甲方有权要求相应补偿。</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bookmarkStart w:id="106" w:name="_Toc10245"/>
      <w:r>
        <w:rPr>
          <w:rFonts w:hint="eastAsia" w:ascii="仿宋_GB2312" w:hAnsi="仿宋_GB2312" w:eastAsia="仿宋_GB2312" w:cs="仿宋_GB2312"/>
          <w:b/>
          <w:bCs/>
          <w:color w:val="000000" w:themeColor="text1"/>
          <w:highlight w:val="none"/>
          <w14:textFill>
            <w14:solidFill>
              <w14:schemeClr w14:val="tx1"/>
            </w14:solidFill>
          </w14:textFill>
        </w:rPr>
        <w:t>7、甲方禁止项目部及任何人员以甲方、甲方子企业或甲方项目部名义对外借款或者支取任何款项，如乙方或乙方有关人员以任何形式将款项出借或支付或返还给甲方项目部及任何人员，则不论该等款项是否实际用于甲方工程，均与甲方无关，该行为均属于乙方与相关人员个人之间的经济关系，乙方无权向甲方主张任何权利，亦不得要求甲方以货款抵偿。</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bookmarkStart w:id="107" w:name="_Toc12208"/>
      <w:bookmarkStart w:id="108" w:name="_Toc24664"/>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8、如双方因货款支付发生争议，对于争议解决前甲方存在迟付情形的已付款项，乙方放弃索要逾期利息、违约金或资金占用费的权利。非甲方原因延迟支付结算款的，甲方不承担逾期利息，如因其他原因需甲方承担逾期利息时，约定利率为不超过合同订立时1年期贷款市场报价利率。</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9、甲方拖欠线索受理联系人：</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项目部联系人：</w:t>
      </w:r>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李国威  </w:t>
      </w: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18632090598  </w:t>
      </w: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 xml:space="preserve">； </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公司联系人：</w:t>
      </w:r>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王凯     </w:t>
      </w: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15933773967</w:t>
      </w:r>
    </w:p>
    <w:p>
      <w:pPr>
        <w:spacing w:line="480" w:lineRule="exact"/>
        <w:ind w:firstLine="482" w:firstLineChars="200"/>
        <w:rPr>
          <w:rFonts w:hint="default"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公司信访投诉电话：</w:t>
      </w:r>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0571-83696072</w:t>
      </w:r>
    </w:p>
    <w:p>
      <w:pPr>
        <w:spacing w:line="480" w:lineRule="exact"/>
        <w:ind w:firstLine="482" w:firstLineChars="200"/>
        <w:rPr>
          <w:rFonts w:hint="default"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信访投诉邮箱：</w:t>
      </w:r>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810704998@QQ.COM</w:t>
      </w:r>
    </w:p>
    <w:p>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云筑网中建系统账款投诉平台：https://ts.yzw.cn</w:t>
      </w:r>
    </w:p>
    <w:p>
      <w:pPr>
        <w:pStyle w:val="41"/>
        <w:spacing w:line="400" w:lineRule="atLeast"/>
        <w:ind w:firstLine="482" w:firstLineChars="200"/>
        <w:rPr>
          <w:rFonts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、其他：</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通知与送达</w:t>
      </w:r>
      <w:bookmarkEnd w:id="106"/>
      <w:bookmarkEnd w:id="107"/>
      <w:bookmarkEnd w:id="108"/>
    </w:p>
    <w:p>
      <w:pPr>
        <w:pStyle w:val="41"/>
        <w:numPr>
          <w:ilvl w:val="0"/>
          <w:numId w:val="5"/>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本合同中涉及合同、文件、律师函、诉讼文书的送达地址或邮箱及法律后果作如下约定：</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1.1甲方确认其有效的送达地址为：</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新疆维吾尔自治区阿勒泰地区青河县阿格达拉派出所对面中建路桥新疆G680项目部</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赵岭  18931959285</w:t>
      </w:r>
      <w:r>
        <w:rPr>
          <w:rFonts w:hint="eastAsia" w:ascii="仿宋_GB2312" w:hAnsi="仿宋_GB2312" w:eastAsia="仿宋_GB2312" w:cs="仿宋_GB2312"/>
          <w:color w:val="000000" w:themeColor="text1"/>
          <w:highlight w:val="none"/>
          <w14:textFill>
            <w14:solidFill>
              <w14:schemeClr w14:val="tx1"/>
            </w14:solidFill>
          </w14:textFill>
        </w:rPr>
        <w:t>；邮箱：</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1176130209@qq.com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1.2乙方确认其有效的送达地址为：</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；邮箱：</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2、双方该送达地址或邮箱适用范围包括双方就合同发生纠纷时的律师函和法律文书的送达，同时包括在争议进入民事诉讼程序（如有）后的一审、二审、再审和执行程序。</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乙方因提供的送达地址或邮箱不准确、变更后未及时书面告知甲方、其指定的接收人拒绝签收等原因，导致法律文书未能被其实际接收的，视为对乙方送达成功：邮寄送达的，以文件退回之日视为送达之日；直接送达的，送达人当场在送达回证上记明情况之日视为送达之日。</w:t>
      </w:r>
    </w:p>
    <w:p>
      <w:pPr>
        <w:pStyle w:val="4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09" w:name="_Toc21843"/>
      <w:bookmarkStart w:id="110" w:name="_Toc4701"/>
      <w:bookmarkStart w:id="111" w:name="_Toc26478"/>
      <w:r>
        <w:rPr>
          <w:rFonts w:hint="eastAsia" w:ascii="仿宋_GB2312" w:hAnsi="仿宋_GB2312" w:eastAsia="仿宋_GB2312" w:cs="仿宋_GB2312"/>
          <w:b/>
          <w:bCs/>
          <w:color w:val="000000" w:themeColor="text1"/>
          <w:highlight w:val="none"/>
          <w14:textFill>
            <w14:solidFill>
              <w14:schemeClr w14:val="tx1"/>
            </w14:solidFill>
          </w14:textFill>
        </w:rPr>
        <w:t>合同生效</w:t>
      </w:r>
      <w:bookmarkEnd w:id="109"/>
      <w:bookmarkEnd w:id="110"/>
      <w:bookmarkEnd w:id="111"/>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1、本合同签约形式适用第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1.2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条；</w:t>
      </w:r>
    </w:p>
    <w:p>
      <w:pPr>
        <w:pStyle w:val="4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112" w:name="_Toc6851_WPSOffice_Level1"/>
      <w:bookmarkStart w:id="113" w:name="_Toc7989"/>
      <w:bookmarkStart w:id="114" w:name="_Toc31827_WPSOffice_Level1"/>
      <w:bookmarkStart w:id="115" w:name="_Toc15785_WPSOffice_Level1"/>
      <w:bookmarkStart w:id="116" w:name="_Toc21939"/>
      <w:r>
        <w:rPr>
          <w:rFonts w:hint="eastAsia" w:ascii="仿宋_GB2312" w:hAnsi="仿宋_GB2312" w:eastAsia="仿宋_GB2312" w:cs="仿宋_GB2312"/>
          <w:color w:val="000000" w:themeColor="text1"/>
          <w:highlight w:val="none"/>
          <w14:textFill>
            <w14:solidFill>
              <w14:schemeClr w14:val="tx1"/>
            </w14:solidFill>
          </w14:textFill>
        </w:rPr>
        <w:t>1.1双方同意通过云筑网以电子签章的方式签署本合同，本合同自双方加盖电子签章之日起生效。合同生效后，双方均可对本合同进行查阅、下载、打印。下载、打印后的合同可以与云筑网中的电子合同进行比对，如有不同，以云筑网中的电子合同为准。甲乙双方使用电子签章方式签署的合同，只有通过验证生效的电子原件具有法律效力，未经电子印章服务平台公司提供书面证明材料的电子合同打印版不能作为法律依据。如因乙方使用不当给甲方造成损失，乙方愿自行承担由此造成的全部经济损失和法律责任。</w:t>
      </w:r>
    </w:p>
    <w:p>
      <w:pPr>
        <w:pStyle w:val="41"/>
        <w:numPr>
          <w:ilvl w:val="0"/>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1.2双方同意通过加盖物理印章的方式签署本合同，合同自双方盖章后生效，完成合同约定的全部内容且保修期满后即告终止。合同壹式</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捌</w:t>
      </w:r>
      <w:r>
        <w:rPr>
          <w:rFonts w:hint="eastAsia" w:ascii="仿宋_GB2312" w:hAnsi="仿宋_GB2312" w:eastAsia="仿宋_GB2312" w:cs="仿宋_GB2312"/>
          <w:color w:val="000000" w:themeColor="text1"/>
          <w:highlight w:val="none"/>
          <w14:textFill>
            <w14:solidFill>
              <w14:schemeClr w14:val="tx1"/>
            </w14:solidFill>
          </w14:textFill>
        </w:rPr>
        <w:t>份，甲方执</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陆</w:t>
      </w:r>
      <w:r>
        <w:rPr>
          <w:rFonts w:hint="eastAsia" w:ascii="仿宋_GB2312" w:hAnsi="仿宋_GB2312" w:eastAsia="仿宋_GB2312" w:cs="仿宋_GB2312"/>
          <w:color w:val="000000" w:themeColor="text1"/>
          <w:highlight w:val="none"/>
          <w14:textFill>
            <w14:solidFill>
              <w14:schemeClr w14:val="tx1"/>
            </w14:solidFill>
          </w14:textFill>
        </w:rPr>
        <w:t>份，乙方执</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贰</w:t>
      </w:r>
      <w:r>
        <w:rPr>
          <w:rFonts w:hint="eastAsia" w:ascii="仿宋_GB2312" w:hAnsi="仿宋_GB2312" w:eastAsia="仿宋_GB2312" w:cs="仿宋_GB2312"/>
          <w:color w:val="000000" w:themeColor="text1"/>
          <w:highlight w:val="none"/>
          <w14:textFill>
            <w14:solidFill>
              <w14:schemeClr w14:val="tx1"/>
            </w14:solidFill>
          </w14:textFill>
        </w:rPr>
        <w:t>份。</w:t>
      </w:r>
    </w:p>
    <w:p>
      <w:pPr>
        <w:spacing w:line="400" w:lineRule="atLeast"/>
        <w:ind w:firstLine="504" w:firstLineChars="200"/>
        <w:jc w:val="left"/>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pacing w:val="6"/>
          <w:sz w:val="24"/>
          <w:szCs w:val="24"/>
          <w:highlight w:val="none"/>
          <w14:textFill>
            <w14:solidFill>
              <w14:schemeClr w14:val="tx1"/>
            </w14:solidFill>
          </w14:textFill>
        </w:rPr>
        <w:t>以下无正文</w:t>
      </w:r>
      <w:bookmarkEnd w:id="112"/>
      <w:bookmarkEnd w:id="113"/>
      <w:bookmarkEnd w:id="114"/>
      <w:bookmarkEnd w:id="115"/>
      <w:bookmarkEnd w:id="116"/>
      <w:bookmarkStart w:id="117" w:name="_Toc6163_WPSOffice_Level1"/>
      <w:bookmarkStart w:id="118" w:name="_Toc19595_WPSOffice_Level1"/>
      <w:bookmarkStart w:id="119" w:name="_Toc8898_WPSOffice_Level1"/>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120" w:name="_Toc31108"/>
      <w:bookmarkStart w:id="121" w:name="_Toc23374"/>
      <w:bookmarkStart w:id="122" w:name="_Toc23779"/>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附件一 授权委托书</w:t>
      </w:r>
      <w:bookmarkEnd w:id="117"/>
      <w:bookmarkEnd w:id="118"/>
      <w:bookmarkEnd w:id="119"/>
      <w:bookmarkEnd w:id="120"/>
      <w:bookmarkEnd w:id="121"/>
      <w:bookmarkEnd w:id="122"/>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123" w:name="_Toc27542"/>
      <w:bookmarkStart w:id="124" w:name="_Toc16133_WPSOffice_Level1"/>
      <w:bookmarkStart w:id="125" w:name="_Toc3383_WPSOffice_Level1"/>
      <w:bookmarkStart w:id="126" w:name="_Toc5250_WPSOffice_Level1"/>
      <w:bookmarkStart w:id="127" w:name="_Toc14040"/>
      <w:bookmarkStart w:id="128" w:name="_Toc6903"/>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附件二 </w:t>
      </w:r>
      <w:bookmarkEnd w:id="123"/>
      <w:bookmarkEnd w:id="124"/>
      <w:bookmarkEnd w:id="125"/>
      <w:bookmarkEnd w:id="126"/>
      <w:bookmarkEnd w:id="127"/>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项目部合规权限告知书</w:t>
      </w:r>
      <w:bookmarkEnd w:id="128"/>
    </w:p>
    <w:p>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129" w:name="_Toc22730_WPSOffice_Level1"/>
      <w:bookmarkStart w:id="130" w:name="_Toc19768_WPSOffice_Level1"/>
      <w:bookmarkStart w:id="131" w:name="_Toc641_WPSOffice_Level1"/>
      <w:bookmarkStart w:id="132" w:name="_Toc660"/>
      <w:bookmarkStart w:id="133" w:name="_Toc26596"/>
      <w:bookmarkStart w:id="134" w:name="_Toc3486"/>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附件三 </w:t>
      </w:r>
      <w:bookmarkEnd w:id="129"/>
      <w:bookmarkEnd w:id="130"/>
      <w:bookmarkEnd w:id="131"/>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安全管理协议书</w:t>
      </w:r>
      <w:bookmarkEnd w:id="132"/>
      <w:bookmarkEnd w:id="133"/>
      <w:bookmarkEnd w:id="134"/>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135" w:name="_Toc19161_WPSOffice_Level1"/>
      <w:bookmarkStart w:id="136" w:name="_Toc8260_WPSOffice_Level1"/>
      <w:bookmarkStart w:id="137" w:name="_Toc24584_WPSOffice_Level1"/>
      <w:bookmarkStart w:id="138" w:name="_Toc459"/>
      <w:bookmarkStart w:id="139" w:name="_Toc6994"/>
      <w:bookmarkStart w:id="140" w:name="_Toc25961"/>
      <w:r>
        <w:rPr>
          <w:rFonts w:hint="eastAsia" w:ascii="仿宋_GB2312" w:hAnsi="仿宋_GB2312" w:eastAsia="仿宋_GB2312" w:cs="仿宋_GB2312"/>
          <w:color w:val="000000" w:themeColor="text1"/>
          <w:highlight w:val="none"/>
          <w14:textFill>
            <w14:solidFill>
              <w14:schemeClr w14:val="tx1"/>
            </w14:solidFill>
          </w14:textFill>
        </w:rPr>
        <w:t xml:space="preserve">附件四 </w:t>
      </w:r>
      <w:bookmarkEnd w:id="135"/>
      <w:bookmarkEnd w:id="136"/>
      <w:bookmarkEnd w:id="137"/>
      <w:r>
        <w:rPr>
          <w:rFonts w:hint="eastAsia" w:ascii="仿宋_GB2312" w:hAnsi="仿宋_GB2312" w:eastAsia="仿宋_GB2312" w:cs="仿宋_GB2312"/>
          <w:color w:val="000000" w:themeColor="text1"/>
          <w:highlight w:val="none"/>
          <w14:textFill>
            <w14:solidFill>
              <w14:schemeClr w14:val="tx1"/>
            </w14:solidFill>
          </w14:textFill>
        </w:rPr>
        <w:t>廉洁从业共建协议</w:t>
      </w:r>
      <w:bookmarkEnd w:id="138"/>
      <w:bookmarkEnd w:id="139"/>
      <w:bookmarkEnd w:id="140"/>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甲方（盖章）：                        乙方（公章）：             </w:t>
      </w:r>
    </w:p>
    <w:p>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pPr>
        <w:pStyle w:val="41"/>
        <w:spacing w:line="400" w:lineRule="atLeast"/>
        <w:rPr>
          <w:rFonts w:ascii="仿宋_GB2312" w:hAnsi="仿宋_GB2312" w:eastAsia="仿宋_GB2312" w:cs="仿宋_GB2312"/>
          <w:color w:val="000000" w:themeColor="text1"/>
          <w:highlight w:val="none"/>
          <w14:textFill>
            <w14:solidFill>
              <w14:schemeClr w14:val="tx1"/>
            </w14:solidFill>
          </w14:textFill>
        </w:rPr>
      </w:pPr>
    </w:p>
    <w:p>
      <w:pPr>
        <w:pStyle w:val="41"/>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年</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月</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日</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年</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月</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日</w:t>
      </w:r>
    </w:p>
    <w:p>
      <w:pPr>
        <w:pStyle w:val="41"/>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sectPr>
          <w:headerReference r:id="rId7" w:type="default"/>
          <w:footerReference r:id="rId8" w:type="default"/>
          <w:pgSz w:w="11906" w:h="16838"/>
          <w:pgMar w:top="1440" w:right="1800" w:bottom="1440" w:left="1800" w:header="850" w:footer="975" w:gutter="0"/>
          <w:pgNumType w:start="1"/>
          <w:cols w:space="0" w:num="1"/>
          <w:docGrid w:linePitch="312" w:charSpace="0"/>
        </w:sectPr>
      </w:pPr>
    </w:p>
    <w:p>
      <w:pPr>
        <w:autoSpaceDE w:val="0"/>
        <w:autoSpaceDN w:val="0"/>
        <w:adjustRightInd w:val="0"/>
        <w:spacing w:line="400" w:lineRule="exact"/>
        <w:outlineLvl w:val="0"/>
        <w:rPr>
          <w:rFonts w:ascii="仿宋_GB2312" w:hAnsi="仿宋_GB2312" w:eastAsia="仿宋_GB2312" w:cs="仿宋_GB2312"/>
          <w:color w:val="000000" w:themeColor="text1"/>
          <w:kern w:val="0"/>
          <w:sz w:val="30"/>
          <w:szCs w:val="30"/>
          <w:highlight w:val="none"/>
          <w14:textFill>
            <w14:solidFill>
              <w14:schemeClr w14:val="tx1"/>
            </w14:solidFill>
          </w14:textFill>
        </w:rPr>
      </w:pPr>
      <w:bookmarkStart w:id="141" w:name="_Toc25426"/>
      <w:bookmarkStart w:id="142" w:name="_Toc31445"/>
      <w:bookmarkStart w:id="143" w:name="_Toc7321"/>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附件一：</w:t>
      </w:r>
      <w:bookmarkEnd w:id="141"/>
      <w:bookmarkEnd w:id="142"/>
      <w:bookmarkEnd w:id="143"/>
    </w:p>
    <w:p>
      <w:pPr>
        <w:autoSpaceDE w:val="0"/>
        <w:autoSpaceDN w:val="0"/>
        <w:adjustRightInd w:val="0"/>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授权委托书</w:t>
      </w:r>
    </w:p>
    <w:p>
      <w:pPr>
        <w:autoSpaceDE w:val="0"/>
        <w:autoSpaceDN w:val="0"/>
        <w:adjustRightInd w:val="0"/>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p>
    <w:p>
      <w:pPr>
        <w:autoSpaceDE w:val="0"/>
        <w:autoSpaceDN w:val="0"/>
        <w:adjustRightInd w:val="0"/>
        <w:spacing w:line="400" w:lineRule="exact"/>
        <w:ind w:firstLine="482"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本授权委托书声明：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）系</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公司（乙方）的法定代表人，现授权委托</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）为我公司合法的代理人。以本公司的名义负责</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项目招投标、合同签署及合同履行等事宜。</w:t>
      </w:r>
    </w:p>
    <w:p>
      <w:pPr>
        <w:autoSpaceDE w:val="0"/>
        <w:autoSpaceDN w:val="0"/>
        <w:adjustRightInd w:val="0"/>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代理人在合同履行过程中所签署的一切文件和处理与之有关的一切事务，包括但不限于签署往来函件、签署会议纪要、货物供应、结算办理、</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货</w:t>
      </w:r>
      <w:r>
        <w:rPr>
          <w:rFonts w:hint="eastAsia" w:ascii="仿宋_GB2312" w:hAnsi="仿宋_GB2312" w:eastAsia="仿宋_GB2312" w:cs="仿宋_GB2312"/>
          <w:color w:val="000000" w:themeColor="text1"/>
          <w:sz w:val="24"/>
          <w:szCs w:val="24"/>
          <w:highlight w:val="none"/>
          <w14:textFill>
            <w14:solidFill>
              <w14:schemeClr w14:val="tx1"/>
            </w14:solidFill>
          </w14:textFill>
        </w:rPr>
        <w:t>款的收取、发票开具等均具有法律效力，授权人均予以认可。</w:t>
      </w:r>
    </w:p>
    <w:p>
      <w:pPr>
        <w:keepNext/>
        <w:keepLines/>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本授权委托的期限为自</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日至</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代理人无转委托权。</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特此授权。</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委托单位全称（公章）：          </w:t>
      </w:r>
    </w:p>
    <w:p>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法定代表人：</w:t>
      </w:r>
    </w:p>
    <w:p>
      <w:pPr>
        <w:spacing w:line="400" w:lineRule="exact"/>
        <w:ind w:firstLine="480" w:firstLineChars="200"/>
        <w:jc w:val="right"/>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日     </w:t>
      </w:r>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pPr>
        <w:spacing w:before="120" w:beforeLines="50" w:after="120" w:afterLines="50" w:line="400" w:lineRule="exact"/>
        <w:ind w:firstLine="482"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代理人声明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：我对以上授权委托事项完全接受，自愿履行。</w:t>
      </w:r>
    </w:p>
    <w:p>
      <w:pPr>
        <w:spacing w:line="400" w:lineRule="exact"/>
        <w:ind w:firstLine="480" w:firstLineChars="20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代理人（本人签字）：</w:t>
      </w:r>
    </w:p>
    <w:p>
      <w:pPr>
        <w:spacing w:line="400" w:lineRule="exact"/>
        <w:ind w:firstLine="480" w:firstLineChars="200"/>
        <w:jc w:val="righ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
    <w:tbl>
      <w:tblPr>
        <w:tblStyle w:val="34"/>
        <w:tblpPr w:leftFromText="180" w:rightFromText="180" w:vertAnchor="text" w:horzAnchor="page" w:tblpX="1551" w:tblpY="50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4470" w:type="dxa"/>
            <w:tcBorders>
              <w:right w:val="single" w:color="000000" w:sz="4" w:space="0"/>
            </w:tcBorders>
            <w:vAlign w:val="center"/>
          </w:tcPr>
          <w:p>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4560" w:type="dxa"/>
            <w:tcBorders>
              <w:left w:val="single" w:color="000000" w:sz="4" w:space="0"/>
            </w:tcBorders>
            <w:vAlign w:val="center"/>
          </w:tcPr>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tbl>
    <w:p>
      <w:pPr>
        <w:spacing w:line="400" w:lineRule="exact"/>
        <w:ind w:firstLine="482" w:firstLineChars="200"/>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代理人身份证复印件粘贴处</w:t>
      </w:r>
      <w:r>
        <w:rPr>
          <w:rFonts w:hint="eastAsia" w:ascii="仿宋_GB2312" w:hAnsi="仿宋_GB2312" w:eastAsia="仿宋_GB2312" w:cs="仿宋_GB2312"/>
          <w:b/>
          <w:color w:val="000000" w:themeColor="text1"/>
          <w:sz w:val="24"/>
          <w:szCs w:val="24"/>
          <w:highlight w:val="none"/>
          <w14:textFill>
            <w14:solidFill>
              <w14:schemeClr w14:val="tx1"/>
            </w14:solidFill>
          </w14:textFill>
        </w:rPr>
        <w:t>：</w:t>
      </w:r>
    </w:p>
    <w:tbl>
      <w:tblPr>
        <w:tblStyle w:val="34"/>
        <w:tblpPr w:leftFromText="180" w:rightFromText="180" w:vertAnchor="text" w:horzAnchor="page" w:tblpX="1551" w:tblpY="3249"/>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5"/>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4485" w:type="dxa"/>
            <w:tcBorders>
              <w:right w:val="single" w:color="000000" w:sz="4" w:space="0"/>
            </w:tcBorders>
            <w:vAlign w:val="center"/>
          </w:tcPr>
          <w:p>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4530" w:type="dxa"/>
            <w:tcBorders>
              <w:left w:val="single" w:color="000000" w:sz="4" w:space="0"/>
            </w:tcBorders>
            <w:vAlign w:val="center"/>
          </w:tcPr>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tbl>
    <w:p>
      <w:pPr>
        <w:spacing w:line="400" w:lineRule="exact"/>
        <w:ind w:firstLine="482" w:firstLineChars="200"/>
        <w:rPr>
          <w:rFonts w:ascii="仿宋_GB2312" w:hAnsi="仿宋_GB2312" w:eastAsia="仿宋_GB2312" w:cs="仿宋_GB2312"/>
          <w:b/>
          <w:color w:val="000000" w:themeColor="text1"/>
          <w:sz w:val="24"/>
          <w:szCs w:val="24"/>
          <w:highlight w:val="none"/>
          <w:u w:val="dash"/>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法定代表人身份证复印件粘贴处：</w:t>
      </w:r>
    </w:p>
    <w:p>
      <w:pPr>
        <w:pStyle w:val="41"/>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sectPr>
          <w:pgSz w:w="11906" w:h="16838"/>
          <w:pgMar w:top="1440" w:right="1800" w:bottom="1440" w:left="1800" w:header="850" w:footer="975" w:gutter="0"/>
          <w:cols w:space="0" w:num="1"/>
          <w:docGrid w:linePitch="312" w:charSpace="0"/>
        </w:sectPr>
      </w:pPr>
    </w:p>
    <w:p>
      <w:pPr>
        <w:spacing w:line="400" w:lineRule="exact"/>
        <w:ind w:right="24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144" w:name="_Toc21254"/>
      <w:bookmarkStart w:id="145" w:name="_Toc16973"/>
      <w:bookmarkStart w:id="146" w:name="_Toc4519"/>
      <w:r>
        <w:rPr>
          <w:rFonts w:hint="eastAsia" w:ascii="仿宋_GB2312" w:hAnsi="仿宋_GB2312" w:eastAsia="仿宋_GB2312" w:cs="仿宋_GB2312"/>
          <w:color w:val="000000" w:themeColor="text1"/>
          <w:sz w:val="30"/>
          <w:szCs w:val="30"/>
          <w:highlight w:val="none"/>
          <w14:textFill>
            <w14:solidFill>
              <w14:schemeClr w14:val="tx1"/>
            </w14:solidFill>
          </w14:textFill>
        </w:rPr>
        <w:t>附件二：</w:t>
      </w:r>
      <w:bookmarkEnd w:id="144"/>
      <w:bookmarkEnd w:id="145"/>
      <w:bookmarkEnd w:id="146"/>
    </w:p>
    <w:p>
      <w:pPr>
        <w:spacing w:line="400" w:lineRule="exact"/>
        <w:jc w:val="center"/>
        <w:rPr>
          <w:rFonts w:ascii="仿宋_GB2312" w:hAnsi="仿宋_GB2312" w:eastAsia="仿宋_GB2312" w:cs="仿宋_GB2312"/>
          <w:b/>
          <w:bCs/>
          <w:color w:val="000000" w:themeColor="text1"/>
          <w:sz w:val="30"/>
          <w:szCs w:val="30"/>
          <w:highlight w:val="none"/>
          <w14:textFill>
            <w14:solidFill>
              <w14:schemeClr w14:val="tx1"/>
            </w14:solidFill>
          </w14:textFill>
        </w:rPr>
      </w:pPr>
      <w:r>
        <w:rPr>
          <w:rFonts w:hint="eastAsia" w:ascii="仿宋_GB2312" w:hAnsi="仿宋_GB2312" w:eastAsia="仿宋_GB2312" w:cs="仿宋_GB2312"/>
          <w:b/>
          <w:bCs/>
          <w:color w:val="000000" w:themeColor="text1"/>
          <w:sz w:val="30"/>
          <w:szCs w:val="30"/>
          <w:highlight w:val="none"/>
          <w14:textFill>
            <w14:solidFill>
              <w14:schemeClr w14:val="tx1"/>
            </w14:solidFill>
          </w14:textFill>
        </w:rPr>
        <w:t>项目部合规权限告知书</w:t>
      </w:r>
    </w:p>
    <w:p>
      <w:pPr>
        <w:autoSpaceDE w:val="0"/>
        <w:autoSpaceDN w:val="0"/>
        <w:adjustRightInd w:val="0"/>
        <w:spacing w:before="240" w:beforeLines="100"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（乙方全称）</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bookmarkStart w:id="147" w:name="_Hlk126830603"/>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集团有限公司</w:t>
      </w:r>
      <w:bookmarkEnd w:id="147"/>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采购方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全称，以下简称本公司），系依法成立并有效存续的公司。现向本公司</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项目部(以下简称项目部)签发项目部合规权限告知书（以下简称本</w:t>
      </w:r>
      <w:r>
        <w:rPr>
          <w:rFonts w:hint="eastAsia" w:ascii="仿宋_GB2312" w:hAnsi="仿宋_GB2312" w:eastAsia="仿宋_GB2312" w:cs="仿宋_GB2312"/>
          <w:color w:val="000000" w:themeColor="text1"/>
          <w:sz w:val="24"/>
          <w:szCs w:val="24"/>
          <w:highlight w:val="none"/>
          <w14:textFill>
            <w14:solidFill>
              <w14:schemeClr w14:val="tx1"/>
            </w14:solidFill>
          </w14:textFill>
        </w:rPr>
        <w:t>告知</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书），项目经理</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 xml:space="preserve">代表本公司行使权限。 </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一、</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项目部须严格按合同约定行使权利，履行义务。本授权书规定与合同约定相冲突的，以合同约定为准。</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二、项目部行使权限，须由项目经理签字并加盖项目部公章，否则本公司不予认可，亦不承担任何责任。</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三、项目经理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不</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可将其部分权限以书面形式转授权项目部其他人员，项目部任何内设机构及项目经理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擅自</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转授权人员以任何形式签字、盖章本公司均不予认可，亦不承担任何责任。</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四、未经</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甲方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授权的</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项目经理、</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任何</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项目部</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人员和项目印章均无权从事下列行为：（1）签订本合同的补充协议或签署其他合同类文件，包括但不限于采购合同、分包合同、租赁合同；（2）签署任何借贷、担保性质的文件，包括但不限于借条、保函、保证书、承诺书；（3）签署代他人清偿债务的文件，签署任何放弃债权的文件；（4）签署任何对总承包合同进行修改和补充的文件;（5）收取现金及任何款项；（6）签署合同价款的变更、结算及支付确认文件；（7）签署任何劳动关系确认文件、工资发放承诺文件。项目所有合同、协议等具有权利义务性质的文件均需加盖合同专用章，否则本公司不予认可，亦不承担任何责任。</w:t>
      </w: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五、凡涉及项目经济性事项，项目部须严格在本授权书规定的权限范围内行使，否则，即使经项目部加盖公章、项目经理签字，本公司亦不予认可，不承担任何责任。</w:t>
      </w:r>
    </w:p>
    <w:p>
      <w:pPr>
        <w:autoSpaceDE w:val="0"/>
        <w:autoSpaceDN w:val="0"/>
        <w:adjustRightIn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1.项目部有权审批如下事项：</w:t>
      </w:r>
    </w:p>
    <w:tbl>
      <w:tblPr>
        <w:tblStyle w:val="34"/>
        <w:tblpPr w:leftFromText="180" w:rightFromText="180" w:vertAnchor="text" w:horzAnchor="margin" w:tblpXSpec="center" w:tblpY="87"/>
        <w:tblOverlap w:val="neve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1" w:type="dxa"/>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18" w:type="dxa"/>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授权性事项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向乙方发送物资进退场联系单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对乙方进场物资进行外观检测，出具进场物资登记验收单，确认进场物资外观检测和进场登记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办理物资收料单、初步编制物资采购结算单提交甲方公司确认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对乙方物资进行检验、试验、检测与计量，联系乙方退货或更换，出具进场物资不合格记录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确认物资领料单、退货单、混凝土浇灌申请表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出具料具进退场签收单（无审批权）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7</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编制、审核料具结算单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8</w:t>
            </w:r>
          </w:p>
        </w:tc>
        <w:tc>
          <w:tcPr>
            <w:tcW w:w="8818" w:type="dxa"/>
            <w:shd w:val="clear" w:color="auto" w:fill="auto"/>
            <w:vAlign w:val="center"/>
          </w:tcPr>
          <w:p>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对不服从指挥的材料供应商作出处罚（追究违约责任）的决定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9</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对乙方工程项目的履约情况进行监控和核查；发现问题后，通知要求乙方进行整改或调整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10</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组织实施质量验收工作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11</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向乙方发送维修整改通知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12</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根据合同约定或公司规定扣除乙方质保金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13</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对存在的安全生产隐患，下达《安全隐患整改通知书》，对存在重大安全生产隐患，下达《安全隐患局部停工整改令》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14</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对检查中发现的不符合合同约定或国家规定标准的，要求乙方进行整改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15</w:t>
            </w:r>
          </w:p>
        </w:tc>
        <w:tc>
          <w:tcPr>
            <w:tcW w:w="8818" w:type="dxa"/>
            <w:shd w:val="clear" w:color="auto" w:fill="auto"/>
            <w:vAlign w:val="center"/>
          </w:tcPr>
          <w:p>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报送或接收工程履约相关的工作联系函</w:t>
            </w:r>
          </w:p>
        </w:tc>
      </w:tr>
    </w:tbl>
    <w:p>
      <w:pPr>
        <w:numPr>
          <w:ilvl w:val="0"/>
          <w:numId w:val="6"/>
        </w:numPr>
        <w:autoSpaceDE w:val="0"/>
        <w:autoSpaceDN w:val="0"/>
        <w:adjustRightIn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bookmarkStart w:id="148" w:name="_Hlk126826460"/>
      <w:r>
        <w:rPr>
          <w:rFonts w:hint="eastAsia" w:ascii="仿宋_GB2312" w:hAnsi="仿宋_GB2312" w:eastAsia="仿宋_GB2312" w:cs="仿宋_GB2312"/>
          <w:color w:val="000000" w:themeColor="text1"/>
          <w:sz w:val="24"/>
          <w:szCs w:val="24"/>
          <w:highlight w:val="none"/>
          <w14:textFill>
            <w14:solidFill>
              <w14:schemeClr w14:val="tx1"/>
            </w14:solidFill>
          </w14:textFill>
        </w:rPr>
        <w:t>项目部无权审批以下事项：</w:t>
      </w:r>
    </w:p>
    <w:bookmarkEnd w:id="148"/>
    <w:tbl>
      <w:tblPr>
        <w:tblStyle w:val="34"/>
        <w:tblW w:w="9542" w:type="dxa"/>
        <w:jc w:val="center"/>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3"/>
        <w:gridCol w:w="8809"/>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10" w:hRule="exact"/>
          <w:jc w:val="center"/>
        </w:trPr>
        <w:tc>
          <w:tcPr>
            <w:tcW w:w="7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bookmarkStart w:id="149" w:name="_Hlk127195047"/>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禁止性事项</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进行银行贷款等融资活动</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对外提供担保</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对外开立各类保函</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34"/>
              </w:tabs>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对外拆借资金</w: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设立或变更劳动关系（包括签订劳动合同、确认劳动关系等）</w:t>
            </w:r>
          </w:p>
        </w:tc>
      </w:tr>
      <w:bookmarkEnd w:id="149"/>
    </w:tbl>
    <w:p>
      <w:pPr>
        <w:numPr>
          <w:ilvl w:val="0"/>
          <w:numId w:val="7"/>
        </w:num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若项目经理发生变更，则由新委任的项目经理承继。</w:t>
      </w:r>
    </w:p>
    <w:p>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autoSpaceDE w:val="0"/>
        <w:autoSpaceDN w:val="0"/>
        <w:adjustRightInd w:val="0"/>
        <w:spacing w:line="400" w:lineRule="exact"/>
        <w:ind w:firstLine="5040" w:firstLineChars="21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授权单位（盖章）：</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或</w:t>
      </w:r>
    </w:p>
    <w:p>
      <w:pPr>
        <w:autoSpaceDE w:val="0"/>
        <w:autoSpaceDN w:val="0"/>
        <w:adjustRightInd w:val="0"/>
        <w:spacing w:line="400" w:lineRule="atLeast"/>
        <w:ind w:firstLine="6000" w:firstLineChars="25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确认：我司已完全理解并清楚贵司对</w:t>
      </w:r>
      <w:bookmarkStart w:id="150" w:name="_Hlk48924799"/>
      <w:r>
        <w:rPr>
          <w:rFonts w:hint="eastAsia" w:ascii="仿宋_GB2312" w:hAnsi="仿宋_GB2312" w:eastAsia="仿宋_GB2312" w:cs="仿宋_GB2312"/>
          <w:color w:val="000000" w:themeColor="text1"/>
          <w:sz w:val="24"/>
          <w:szCs w:val="24"/>
          <w:highlight w:val="none"/>
          <w14:textFill>
            <w14:solidFill>
              <w14:schemeClr w14:val="tx1"/>
            </w14:solidFill>
          </w14:textFill>
        </w:rPr>
        <w:t>项目部及项目经理的授权范围，并严格遵照执行。</w:t>
      </w:r>
      <w:bookmarkEnd w:id="150"/>
      <w:r>
        <w:rPr>
          <w:rFonts w:hint="eastAsia" w:ascii="仿宋_GB2312" w:hAnsi="仿宋_GB2312" w:eastAsia="仿宋_GB2312" w:cs="仿宋_GB2312"/>
          <w:color w:val="000000" w:themeColor="text1"/>
          <w:sz w:val="24"/>
          <w:szCs w:val="24"/>
          <w:highlight w:val="none"/>
          <w14:textFill>
            <w14:solidFill>
              <w14:schemeClr w14:val="tx1"/>
            </w14:solidFill>
          </w14:textFill>
        </w:rPr>
        <w:t>超出</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授权范围的行为属于无权代理行为，对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无效，</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不承担任何法律责任。</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我</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司将</w:t>
      </w:r>
      <w:r>
        <w:rPr>
          <w:rFonts w:hint="eastAsia" w:ascii="仿宋_GB2312" w:hAnsi="仿宋_GB2312" w:eastAsia="仿宋_GB2312" w:cs="仿宋_GB2312"/>
          <w:color w:val="000000" w:themeColor="text1"/>
          <w:sz w:val="24"/>
          <w:szCs w:val="24"/>
          <w:highlight w:val="none"/>
          <w14:textFill>
            <w14:solidFill>
              <w14:schemeClr w14:val="tx1"/>
            </w14:solidFill>
          </w14:textFill>
        </w:rPr>
        <w:t>谨慎审查相关文件的签署主体资格和权限，对于无权代理人签署的相关文件，应及时与</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核实。      </w:t>
      </w:r>
    </w:p>
    <w:p>
      <w:pPr>
        <w:spacing w:line="400" w:lineRule="exact"/>
        <w:ind w:right="240" w:right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乙方（公章）：           </w:t>
      </w:r>
    </w:p>
    <w:p>
      <w:pPr>
        <w:autoSpaceDE w:val="0"/>
        <w:autoSpaceDN w:val="0"/>
        <w:adjustRightInd w:val="0"/>
        <w:spacing w:line="400" w:lineRule="atLeast"/>
        <w:ind w:firstLine="1680" w:firstLineChars="7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1920" w:firstLineChars="8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pPr>
        <w:spacing w:line="400" w:lineRule="exact"/>
        <w:ind w:right="240" w:rightChars="100"/>
        <w:outlineLvl w:val="0"/>
        <w:rPr>
          <w:rFonts w:hint="eastAsia" w:ascii="仿宋_GB2312" w:hAnsi="仿宋_GB2312" w:eastAsia="仿宋_GB2312" w:cs="仿宋_GB2312"/>
          <w:color w:val="000000" w:themeColor="text1"/>
          <w:sz w:val="30"/>
          <w:szCs w:val="30"/>
          <w:highlight w:val="none"/>
          <w14:textFill>
            <w14:solidFill>
              <w14:schemeClr w14:val="tx1"/>
            </w14:solidFill>
          </w14:textFill>
        </w:rPr>
        <w:sectPr>
          <w:footerReference r:id="rId9" w:type="default"/>
          <w:pgSz w:w="11906" w:h="16838"/>
          <w:pgMar w:top="1440" w:right="1800" w:bottom="1440" w:left="1800" w:header="850" w:footer="975" w:gutter="0"/>
          <w:cols w:space="0" w:num="1"/>
          <w:docGrid w:linePitch="312" w:charSpace="0"/>
        </w:sectPr>
      </w:pPr>
      <w:bookmarkStart w:id="151" w:name="_Toc11293"/>
      <w:bookmarkStart w:id="152" w:name="_Toc15118"/>
      <w:bookmarkStart w:id="153" w:name="_Toc20069"/>
    </w:p>
    <w:p>
      <w:pPr>
        <w:spacing w:line="400" w:lineRule="exact"/>
        <w:ind w:right="24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附件三：</w:t>
      </w:r>
      <w:bookmarkEnd w:id="151"/>
      <w:bookmarkEnd w:id="152"/>
      <w:bookmarkEnd w:id="153"/>
    </w:p>
    <w:p>
      <w:pPr>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安全管理协议书</w:t>
      </w:r>
    </w:p>
    <w:p>
      <w:pPr>
        <w:wordWrap w:val="0"/>
        <w:spacing w:line="400" w:lineRule="exact"/>
        <w:jc w:val="righ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甲方：</w:t>
      </w:r>
      <w:bookmarkStart w:id="154" w:name="_Hlk126826529"/>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集团有限公司</w:t>
      </w:r>
      <w:bookmarkEnd w:id="154"/>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p>
    <w:p>
      <w:pPr>
        <w:pStyle w:val="20"/>
        <w:tabs>
          <w:tab w:val="left" w:pos="2100"/>
        </w:tabs>
        <w:spacing w:line="400" w:lineRule="exact"/>
        <w:ind w:right="240" w:rightChars="100" w:firstLine="432"/>
        <w:rPr>
          <w:rFonts w:hAnsi="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根据《中华人民共和国民法典》、《安全生产法》及有关法律规定，遵循平等、自愿、公平和诚实信用的原则，双方就合同范围内且在项目部施工现场范围内安全事项协商一致，订立本合同并共同遵守。</w:t>
      </w:r>
      <w:r>
        <w:rPr>
          <w:rFonts w:hint="eastAsia" w:hAnsi="仿宋_GB2312" w:cs="仿宋_GB2312"/>
          <w:color w:val="000000" w:themeColor="text1"/>
          <w:sz w:val="24"/>
          <w:highlight w:val="none"/>
          <w14:textFill>
            <w14:solidFill>
              <w14:schemeClr w14:val="tx1"/>
            </w14:solidFill>
          </w14:textFill>
        </w:rPr>
        <w:t xml:space="preserve"> </w:t>
      </w:r>
    </w:p>
    <w:p>
      <w:pPr>
        <w:snapToGrid w:val="0"/>
        <w:spacing w:line="400" w:lineRule="exact"/>
        <w:ind w:firstLine="555"/>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第一条 共同约定  </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双方应共同遵守《安全生产法》、《中华人民共和国建筑法》、《建设工程安全生产管理条例》、《房屋建筑和市政基础设施工程分包管理办法》《安全生产许可证条例》等一系列有关安全生产的法律法规，严格执行建设部标准JGJ59—2011《建筑安全施工检查标准》等一系列标准规程及</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市有关安全生产的规章制度。</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2、双方应共同遵守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中建总公司、中建交通</w:t>
      </w:r>
      <w:r>
        <w:rPr>
          <w:rFonts w:hint="eastAsia" w:ascii="仿宋_GB2312" w:hAnsi="仿宋_GB2312" w:eastAsia="仿宋_GB2312" w:cs="仿宋_GB2312"/>
          <w:color w:val="000000" w:themeColor="text1"/>
          <w:sz w:val="24"/>
          <w:szCs w:val="24"/>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中建路桥</w:t>
      </w:r>
      <w:r>
        <w:rPr>
          <w:rFonts w:hint="eastAsia" w:ascii="仿宋_GB2312" w:hAnsi="仿宋_GB2312" w:eastAsia="仿宋_GB2312" w:cs="仿宋_GB2312"/>
          <w:color w:val="000000" w:themeColor="text1"/>
          <w:sz w:val="24"/>
          <w:szCs w:val="24"/>
          <w:highlight w:val="none"/>
          <w14:textFill>
            <w14:solidFill>
              <w14:schemeClr w14:val="tx1"/>
            </w14:solidFill>
          </w14:textFill>
        </w:rPr>
        <w:t>等系列安全生产规章制度。贯彻执行项目职业健康安全和环境管理体系的各项要求。</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3、安全文明施工管理目标、指标：以项目部总包单位制定的为准。</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4、在甲方施工区域以外场所安全工作及发生的不良后果由乙方自行承担。</w:t>
      </w:r>
    </w:p>
    <w:p>
      <w:pPr>
        <w:pStyle w:val="41"/>
        <w:spacing w:line="400" w:lineRule="exact"/>
        <w:ind w:firstLine="482" w:firstLineChars="200"/>
        <w:rPr>
          <w:rFonts w:ascii="仿宋_GB2312" w:hAnsi="仿宋_GB2312" w:eastAsia="仿宋_GB2312" w:cs="仿宋_GB2312"/>
          <w:b/>
          <w:bCs/>
          <w:color w:val="000000" w:themeColor="text1"/>
          <w:kern w:val="2"/>
          <w:highlight w:val="none"/>
          <w14:textFill>
            <w14:solidFill>
              <w14:schemeClr w14:val="tx1"/>
            </w14:solidFill>
          </w14:textFill>
        </w:rPr>
      </w:pPr>
      <w:r>
        <w:rPr>
          <w:rFonts w:hint="eastAsia" w:ascii="仿宋_GB2312" w:hAnsi="仿宋_GB2312" w:eastAsia="仿宋_GB2312" w:cs="仿宋_GB2312"/>
          <w:b/>
          <w:bCs/>
          <w:color w:val="000000" w:themeColor="text1"/>
          <w:kern w:val="2"/>
          <w:highlight w:val="none"/>
          <w14:textFill>
            <w14:solidFill>
              <w14:schemeClr w14:val="tx1"/>
            </w14:solidFill>
          </w14:textFill>
        </w:rPr>
        <w:t>第二条 环境与职业健康安全</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1、乙方车辆及材料在运输途中及到达甲方现场后应遵守国家和地方现行的有关环境保护、职业健康安全的法律、法规和其他要求。</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2、乙方需遵守《道路交通安全法》，应当给负责运送货物的车辆办理交强险及商业保险，否则发生的人员伤亡事故或货物毁损由责任方承担，与甲方无关。</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货物到达指定堆场或仓库等甲方指定地点，装卸、运输过程中的人员、机械、车辆安全，应按国家及地方规定办理相关手续。如因运载车辆事故、卸货等原因导致的乙方及任何第三方的人身伤害及经济损失均由乙方负责，并补偿甲方及其他方因此造成的损失。</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4、乙方到施工现场的人员必须佩戴安全帽，穿戴整洁，严禁吸烟和大声喧哗，遵守需方项目的规章制度，否则将按需方有关制度处罚。</w:t>
      </w:r>
    </w:p>
    <w:p>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5、由于非甲方的任何第三方原因导致乙方人员伤亡及财产损害均由乙方承担相应损失。</w:t>
      </w:r>
    </w:p>
    <w:p>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第三条 甲方的安全责任、权利和义务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1、甲方在现场履行管理、监督职责，认真履行第一条共同约定的内容，对乙方在进入总包施工现场的施工安全进行监督、指导、检查。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2、对乙方安排生产、运输任务的同时，对按照规定程序审批的施工组织设计进行书面安全技术交底，并办理交底双方签字手续（如有）。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3、在合同中约定由甲方向使用单位提供的安全防护设施，应完整齐全，并且符合安全要求，并整改乙方提出的不安全问题。</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有权制止乙方的违章作业，对重大违章行为有权责令其停工整顿；对于乙方的违章行为，甲方有进行安全违约处罚的权利；因乙方责任造成防护设施、防护用品等损坏、改变或遗失，或者环境破坏，可要求乙方赔偿或恢复。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5、对安全素质差、不服从安全生产管理的人员责令其限期退场，造成的工期损失、经济损失由乙方承担。对不执行规章制度的人员，可视情节轻重，按照项目奖罚制度进行安全违约处罚。</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6、对达不到规定的安全生产条件、存在重大安全隐患或发生安全事故，可要求乙方限期退场，或者中止合同，造成项目工期损失、经济损失由乙方承担。</w:t>
      </w:r>
    </w:p>
    <w:p>
      <w:pPr>
        <w:snapToGrid w:val="0"/>
        <w:spacing w:line="400" w:lineRule="exact"/>
        <w:ind w:firstLine="555"/>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7、按照规定要求对乙方自有的材料和自带（含租赁）施工机具、起重 吊装设备、运输车辆等进行安全生产监督检查，有权拒绝乙方不合格产品进场（已进场的限期退场）。</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highlight w:val="none"/>
          <w14:textFill>
            <w14:solidFill>
              <w14:schemeClr w14:val="tx1"/>
            </w14:solidFill>
          </w14:textFill>
        </w:rPr>
        <w:t>与安全生产关系直接的大型设备、特种设备、安全设施设备、防护用品进场时，项目安全生产监督管理部门应参与验收，验收合格签字后方可进场。</w:t>
      </w:r>
    </w:p>
    <w:p>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第四条 乙方的安全责任、权利和义务  </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1、乙方应认真履行第一条共同约定的内容，接受甲方的监督、检查工作。</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2、乙方应具备所供货物的运输资质或证照，不得跨资质承运相应货物。若乙方委托第三方单位承运相应货物，不解除乙方应承担本合同项下的义务和责任。</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运输前对货物性质、形状充分认识并制定相应运输措施，必要情况下准备运输防护用品及货物运输应急用品。如有特定需求运输超大、超重、异形等道路通行规定以外的货物，应按照设计文件提示等采用特定的运输方式并制定安全防范措施。</w:t>
      </w:r>
    </w:p>
    <w:p>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负责本单位特种作业人员、运输车辆司机、起重吊装作业司机指挥等人的培训、考核和取证，必须做到进入施工现场的人员持证上岗。进入施工现场作业要有专人在现场履行管理职责，并对未认真履行职责的后果负责。</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5、对本单位员工进行安全三级教育，进行安全技术交底，交底报甲方备案。保证进场人员符合相关要求，身体情况能适应本行业工作，熟悉现场一般安全规定及本工种安全操作规程，并进行进场岗前教育，未经过培训教育的工人不得安排进行现场工作；</w:t>
      </w:r>
    </w:p>
    <w:p>
      <w:pPr>
        <w:snapToGrid w:val="0"/>
        <w:spacing w:line="400" w:lineRule="exact"/>
        <w:ind w:firstLine="453"/>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6、不得违章指挥，或强令工人冒险作业，也不能强迫工人连续长时间作业，更不能进入指定禁区及非本工作作业区域。不得私自翻越防护，攀爬架体、私自接电等违章作业行为，不得在高处危险作业和各种提升机械的垂直下方穿行或停留（如：吊篮、电梯笼）。 </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7、对甲方所提供的安全设施不能保证安全施工时，应及时提出，也可拒绝施工；在施工中不得未经甲方现场负责人同意私自拆除安全防护设施。 </w:t>
      </w:r>
    </w:p>
    <w:p>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8、乙方自备的设备及工具必须保证环保、性能良好、各安全装置齐全灵敏有效。进工地前必须报项目监督试机，验收并填写验收表，达不到环保和《JGJ59—2011》标准的设备及工具严禁在工地使用。</w:t>
      </w:r>
    </w:p>
    <w:p>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9、乙方自带设备或工具必须相匹配的质量合格的电缆线，并自备符合当地主管部门要求的末级标准配电箱。</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10、必须按规定提取和使用安全技术措施经费，为作业人员提供符合国家标准或行业标准的劳动防护用品，并督促、教育作业人员按照使用规则佩戴、使用。 </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11、对甲方人员违章指挥或者可能危及人身安全、财产损失的指挥，乙方有权拒绝。 </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12、不得进行违反安全法律和其他、安全生产规章制度的行为。</w:t>
      </w:r>
    </w:p>
    <w:p>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13、乙方对供应的材料在甲方施工场地外运输过程发生的安全事故承担全部责任，不得向甲方提出索赔要求。</w:t>
      </w:r>
    </w:p>
    <w:p>
      <w:pPr>
        <w:spacing w:line="400" w:lineRule="exact"/>
        <w:jc w:val="left"/>
        <w:rPr>
          <w:rFonts w:ascii="仿宋_GB2312" w:hAnsi="仿宋_GB2312" w:eastAsia="仿宋_GB2312" w:cs="仿宋_GB2312"/>
          <w:color w:val="000000" w:themeColor="text1"/>
          <w:sz w:val="24"/>
          <w:szCs w:val="24"/>
          <w:highlight w:val="none"/>
          <w:shd w:val="clear" w:color="auto" w:fill="FF0000"/>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14、乙方对因自身原因发生的安全事故承担全部责任。由于乙方原因而引发的被当地有关部门处罚的各类事件，乙方承担相应罚款、工期损失及经济损失；</w:t>
      </w:r>
    </w:p>
    <w:p>
      <w:pPr>
        <w:spacing w:line="400" w:lineRule="exact"/>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15、在施工现场发生事故时，应积极抢救伤员，保护事故现场，防止事故扩大，按甲方要求提供事故有关资料，并配合调查。</w:t>
      </w:r>
    </w:p>
    <w:p>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第五条 事故处理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若发生事故应立即启动事故应急预案，采取有效措施组织抢救，防止事故扩大，减少人员伤亡和财产损失，同时应按《生产安全事故报告和调查处理条例》(493号令)的规定进行事故处理及上报。乙方应及时将事故情况向甲方上报，不得迟报、漏报、谎报或瞒报。</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2、在施工现场内发生重伤或死亡事故，由甲方主管部门牵头，乙方为主，甲乙双方共同参加，按照规定报告有关部门进行调查，查清事故原因，分清事故责任，提出对事故责任者的处理意见。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3、由于没有认真履行安全责任，造成重大伤亡事故，情节严重的主要直接责任者，已触及国家刑律，应提请有关部门进行调查处理。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4、对不认真履行本合同，违章指挥、违章作业、冒险进入施工禁区及损坏安全防护设施、不按规定进行安全技术交底及组织施工，造成伤亡事故的，应由事故责任方承担罚款及一切经济损失和责任。 </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5、由于甲方主要责任造成的伤亡事故，乙方有权要求甲方进行经济赔偿。由于乙方主要责任造成的伤亡事故，甲方有权要求乙方承担违约责任。</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6、由于第三方责任导致乙方人员伤亡，及由于乙方责任导致第三方人员伤亡，由乙方负责并处理。</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w:t>
      </w:r>
    </w:p>
    <w:p>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积极配合甲方做好事故的善后处理工作，若伤亡人员为乙方雇佣、招录人员，乙方应及时负责伤亡人员及家属的接待善后工作，因此发生的医疗费、护理费、赔偿费等费用由乙方先垫付，最后由事故责任方一次性承担，因未积极配合甲方对事故进行善后处理而产生的一切法律责任及经济处罚由乙方自负。</w:t>
      </w:r>
    </w:p>
    <w:p>
      <w:pPr>
        <w:spacing w:line="400" w:lineRule="exact"/>
        <w:ind w:firstLine="516" w:firstLineChars="214"/>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第六条</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本合同生效条件与主合同相同。</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155" w:name="_Hlk127203185"/>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甲方（盖章）：                        乙方（公章）：             </w:t>
      </w:r>
    </w:p>
    <w:p>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bookmarkEnd w:id="155"/>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br w:type="page"/>
      </w:r>
    </w:p>
    <w:p>
      <w:pPr>
        <w:spacing w:line="400" w:lineRule="exact"/>
        <w:ind w:right="24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156" w:name="_Toc776"/>
      <w:bookmarkStart w:id="157" w:name="_Toc9726"/>
      <w:bookmarkStart w:id="158" w:name="_Toc24322"/>
      <w:r>
        <w:rPr>
          <w:rFonts w:hint="eastAsia" w:ascii="仿宋_GB2312" w:hAnsi="仿宋_GB2312" w:eastAsia="仿宋_GB2312" w:cs="仿宋_GB2312"/>
          <w:color w:val="000000" w:themeColor="text1"/>
          <w:sz w:val="30"/>
          <w:szCs w:val="30"/>
          <w:highlight w:val="none"/>
          <w14:textFill>
            <w14:solidFill>
              <w14:schemeClr w14:val="tx1"/>
            </w14:solidFill>
          </w14:textFill>
        </w:rPr>
        <w:t>附件四：</w:t>
      </w:r>
      <w:bookmarkEnd w:id="156"/>
      <w:bookmarkEnd w:id="157"/>
      <w:bookmarkEnd w:id="158"/>
    </w:p>
    <w:p>
      <w:pPr>
        <w:spacing w:line="400" w:lineRule="exact"/>
        <w:jc w:val="center"/>
        <w:rPr>
          <w:rFonts w:ascii="仿宋_GB2312" w:hAnsi="仿宋_GB2312" w:eastAsia="仿宋_GB2312" w:cs="仿宋_GB2312"/>
          <w:color w:val="000000" w:themeColor="text1"/>
          <w:sz w:val="30"/>
          <w:szCs w:val="30"/>
          <w:highlight w:val="none"/>
          <w14:textFill>
            <w14:solidFill>
              <w14:schemeClr w14:val="tx1"/>
            </w14:solidFill>
          </w14:textFill>
        </w:rPr>
      </w:pPr>
      <w:bookmarkStart w:id="159" w:name="_Toc16461"/>
      <w:r>
        <w:rPr>
          <w:rFonts w:hint="eastAsia" w:ascii="仿宋_GB2312" w:hAnsi="仿宋_GB2312" w:eastAsia="仿宋_GB2312" w:cs="仿宋_GB2312"/>
          <w:b/>
          <w:color w:val="000000" w:themeColor="text1"/>
          <w:sz w:val="30"/>
          <w:szCs w:val="30"/>
          <w:highlight w:val="none"/>
          <w14:textFill>
            <w14:solidFill>
              <w14:schemeClr w14:val="tx1"/>
            </w14:solidFill>
          </w14:textFill>
        </w:rPr>
        <w:t>廉洁从业共建协议</w:t>
      </w:r>
      <w:bookmarkEnd w:id="159"/>
    </w:p>
    <w:p>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甲方：</w:t>
      </w:r>
      <w:bookmarkStart w:id="160" w:name="_Hlk127190139"/>
      <w:r>
        <w:rPr>
          <w:rFonts w:hint="eastAsia" w:ascii="仿宋_GB2312" w:hAnsi="宋体" w:eastAsia="仿宋_GB2312"/>
          <w:color w:val="000000" w:themeColor="text1"/>
          <w:sz w:val="24"/>
          <w:szCs w:val="24"/>
          <w:highlight w:val="none"/>
          <w:u w:val="single"/>
          <w14:textFill>
            <w14:solidFill>
              <w14:schemeClr w14:val="tx1"/>
            </w14:solidFill>
          </w14:textFill>
        </w:rPr>
        <w:t>中建</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宋体" w:eastAsia="仿宋_GB2312"/>
          <w:color w:val="000000" w:themeColor="text1"/>
          <w:sz w:val="24"/>
          <w:szCs w:val="24"/>
          <w:highlight w:val="none"/>
          <w:u w:val="single"/>
          <w14:textFill>
            <w14:solidFill>
              <w14:schemeClr w14:val="tx1"/>
            </w14:solidFill>
          </w14:textFill>
        </w:rPr>
        <w:t>集团有限公司</w:t>
      </w:r>
      <w:bookmarkEnd w:id="160"/>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乙方：</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r>
        <w:rPr>
          <w:rFonts w:ascii="仿宋_GB2312" w:hAnsi="宋体" w:eastAsia="仿宋_GB2312"/>
          <w:color w:val="000000" w:themeColor="text1"/>
          <w:sz w:val="24"/>
          <w:szCs w:val="24"/>
          <w:highlight w:val="none"/>
          <w:u w:val="single"/>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161" w:name="_Toc300671949"/>
      <w:r>
        <w:rPr>
          <w:rFonts w:hint="eastAsia" w:ascii="仿宋_GB2312" w:hAnsi="宋体" w:eastAsia="仿宋_GB2312" w:cs="宋体"/>
          <w:color w:val="000000" w:themeColor="text1"/>
          <w:kern w:val="0"/>
          <w:sz w:val="24"/>
          <w:szCs w:val="24"/>
          <w:highlight w:val="none"/>
          <w14:textFill>
            <w14:solidFill>
              <w14:schemeClr w14:val="tx1"/>
            </w14:solidFill>
          </w14:textFill>
        </w:rPr>
        <w:t>一、双方的责任</w:t>
      </w:r>
      <w:bookmarkEnd w:id="161"/>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1.1应严格遵守国家关于建设工程的有关法律、法规，相关政策，以及廉政建设的各项规定。</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1.2严格执行建设工程合同文件，自觉按合同办事。</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1.3各项活动必须坚持公开、公平、公正、诚信、透明的原则(除法律法规另有规定者外)，不得为获取不正当的利益，损害国家、集体和对方利益，不得违反建设工程管理的规章制度。</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162" w:name="_Hlk127535665"/>
      <w:r>
        <w:rPr>
          <w:rFonts w:hint="eastAsia" w:ascii="仿宋_GB2312" w:hAnsi="宋体" w:eastAsia="仿宋_GB2312" w:cs="宋体"/>
          <w:color w:val="000000" w:themeColor="text1"/>
          <w:kern w:val="0"/>
          <w:sz w:val="24"/>
          <w:szCs w:val="24"/>
          <w:highlight w:val="none"/>
          <w14:textFill>
            <w14:solidFill>
              <w14:schemeClr w14:val="tx1"/>
            </w14:solidFill>
          </w14:textFill>
        </w:rPr>
        <w:t>1.4发现双方在业务活动中有违规、违纪、违法行为的，应及时提醒对方，情节严重的，如实进行举报，一经查实，严肃处理。</w:t>
      </w:r>
    </w:p>
    <w:bookmarkEnd w:id="162"/>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163" w:name="_Toc300671950"/>
      <w:r>
        <w:rPr>
          <w:rFonts w:hint="eastAsia" w:ascii="仿宋_GB2312" w:hAnsi="宋体" w:eastAsia="仿宋_GB2312" w:cs="宋体"/>
          <w:color w:val="000000" w:themeColor="text1"/>
          <w:kern w:val="0"/>
          <w:sz w:val="24"/>
          <w:szCs w:val="24"/>
          <w:highlight w:val="none"/>
          <w14:textFill>
            <w14:solidFill>
              <w14:schemeClr w14:val="tx1"/>
            </w14:solidFill>
          </w14:textFill>
        </w:rPr>
        <w:t>二、甲方责任</w:t>
      </w:r>
      <w:bookmarkEnd w:id="163"/>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甲方相关人员和从事该建设工程项目的工作人员，在工程建设的事前、事中、事后应遵守以下规定：</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2.1按照甲方的招（议）标程序确定供应商，确保公正、公平对待所有合作方；不得在招标文件中有针对性地故意设定条件，以不公正的方法确定供应商；</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2.2</w:t>
      </w:r>
      <w:r>
        <w:rPr>
          <w:rFonts w:hint="eastAsia" w:ascii="仿宋_GB2312" w:hAnsi="宋体" w:eastAsia="仿宋_GB2312"/>
          <w:color w:val="000000" w:themeColor="text1"/>
          <w:sz w:val="24"/>
          <w:szCs w:val="24"/>
          <w:highlight w:val="none"/>
          <w14:textFill>
            <w14:solidFill>
              <w14:schemeClr w14:val="tx1"/>
            </w14:solidFill>
          </w14:textFill>
        </w:rPr>
        <w:t>按照甲方的项目管理流程办理乙方的各项业务（现场签证、验收、结算、付款等），对乙方员工的吃拿卡要行为坚决制止，如甲方员工出现上述情况以索贿论；</w:t>
      </w:r>
    </w:p>
    <w:p>
      <w:pPr>
        <w:widowControl/>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2.3</w:t>
      </w:r>
      <w:r>
        <w:rPr>
          <w:rFonts w:hint="eastAsia" w:ascii="仿宋_GB2312" w:hAnsi="宋体" w:eastAsia="仿宋_GB2312"/>
          <w:color w:val="000000" w:themeColor="text1"/>
          <w:sz w:val="24"/>
          <w:szCs w:val="24"/>
          <w:highlight w:val="none"/>
          <w14:textFill>
            <w14:solidFill>
              <w14:schemeClr w14:val="tx1"/>
            </w14:solidFill>
          </w14:textFill>
        </w:rPr>
        <w:t>不安排己方员工的亲友在乙方工作；</w:t>
      </w:r>
    </w:p>
    <w:p>
      <w:pPr>
        <w:widowControl/>
        <w:spacing w:line="400" w:lineRule="exact"/>
        <w:ind w:firstLine="480" w:firstLineChars="200"/>
        <w:rPr>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2.4</w:t>
      </w:r>
      <w:r>
        <w:rPr>
          <w:rFonts w:hint="eastAsia" w:ascii="仿宋_GB2312" w:hAnsi="宋体" w:eastAsia="仿宋_GB2312"/>
          <w:color w:val="000000" w:themeColor="text1"/>
          <w:sz w:val="24"/>
          <w:szCs w:val="24"/>
          <w:highlight w:val="none"/>
          <w14:textFill>
            <w14:solidFill>
              <w14:schemeClr w14:val="tx1"/>
            </w14:solidFill>
          </w14:textFill>
        </w:rPr>
        <w:t>不得以任何理由向乙方推荐分包单位，不得要求乙方购买合同规定外的材料和设备；</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2.5不得向乙方和相关单位索要或接受回扣、礼金、有价证券、贵重物品和好处费、感谢费等。</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2.6不得在乙方和相关单位报销任何应由业主方或个人支付的费用。</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2.7不得要求、暗示或接受乙方和相关单位为个人装修住房、婚丧嫁娶、配偶子女的工作安排以及出国(境)、旅游等提供方便。</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2.8不得参加有可能影响公正执行公务的乙方和相关单位的宴请、健身、娱乐等活动。</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164" w:name="_Toc300671951"/>
      <w:r>
        <w:rPr>
          <w:rFonts w:hint="eastAsia" w:ascii="仿宋_GB2312" w:hAnsi="宋体" w:eastAsia="仿宋_GB2312" w:cs="宋体"/>
          <w:color w:val="000000" w:themeColor="text1"/>
          <w:kern w:val="0"/>
          <w:sz w:val="24"/>
          <w:szCs w:val="24"/>
          <w:highlight w:val="none"/>
          <w14:textFill>
            <w14:solidFill>
              <w14:schemeClr w14:val="tx1"/>
            </w14:solidFill>
          </w14:textFill>
        </w:rPr>
        <w:t>三、乙方责任</w:t>
      </w:r>
      <w:bookmarkEnd w:id="164"/>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应与甲方保持正常的业务交往，按照有关法律法规和程序开展业务工作，严格执行工程建设的有关方针、政策，执行工程建设强制性标准，并遵守以下规定：</w:t>
      </w:r>
    </w:p>
    <w:p>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3.1</w:t>
      </w:r>
      <w:r>
        <w:rPr>
          <w:rFonts w:hint="eastAsia" w:ascii="仿宋_GB2312" w:hAnsi="宋体" w:eastAsia="仿宋_GB2312"/>
          <w:color w:val="000000" w:themeColor="text1"/>
          <w:sz w:val="24"/>
          <w:szCs w:val="24"/>
          <w:highlight w:val="none"/>
          <w14:textFill>
            <w14:solidFill>
              <w14:schemeClr w14:val="tx1"/>
            </w14:solidFill>
          </w14:textFill>
        </w:rPr>
        <w:t>根据自己的实力参与甲方的招（议）标，遵守甲方的管理制度；不得在招标之前或过程中，以不正当手段谋求中标。</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3.2不得向甲方员工及其亲属输送任何个人利益以寻求合作机会，不得为甲方人员配偶、子女及特定关系人安排工作、谋取不正当利益或提供各类方便。</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3.3不得以任何理由为甲方和相关单位报销应由对方或个人支付的费用，包括出差期间的交通费和住宿费等。</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3.4不得以甲方员工及其亲属的家庭装修、婚丧嫁娶、出国留学等事宜为由进行提供资金及物资资助等行贿行为。</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3.5</w:t>
      </w:r>
      <w:r>
        <w:rPr>
          <w:rFonts w:hint="eastAsia" w:ascii="仿宋_GB2312" w:eastAsia="仿宋_GB2312" w:cs="宋体"/>
          <w:color w:val="000000" w:themeColor="text1"/>
          <w:kern w:val="0"/>
          <w:sz w:val="24"/>
          <w:szCs w:val="24"/>
          <w:highlight w:val="none"/>
          <w14:textFill>
            <w14:solidFill>
              <w14:schemeClr w14:val="tx1"/>
            </w14:solidFill>
          </w14:textFill>
        </w:rPr>
        <w:t>不得向甲方员工提供礼品、礼金、贵重物品或消费卡、会员卡、礼品券等虚拟电子礼品，严禁快递送礼。</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6</w:t>
      </w:r>
      <w:r>
        <w:rPr>
          <w:rFonts w:hint="eastAsia" w:ascii="仿宋_GB2312" w:eastAsia="仿宋_GB2312" w:cs="宋体"/>
          <w:color w:val="000000" w:themeColor="text1"/>
          <w:kern w:val="0"/>
          <w:sz w:val="24"/>
          <w:szCs w:val="24"/>
          <w:highlight w:val="none"/>
          <w14:textFill>
            <w14:solidFill>
              <w14:schemeClr w14:val="tx1"/>
            </w14:solidFill>
          </w14:textFill>
        </w:rPr>
        <w:t>不得以任何理由为甲方、相关单位或个人组织有可能影响公正执行公务的宴请、健身、娱乐等活动。</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3.7</w:t>
      </w:r>
      <w:r>
        <w:rPr>
          <w:rFonts w:hint="eastAsia" w:ascii="仿宋_GB2312" w:eastAsia="仿宋_GB2312" w:cs="宋体"/>
          <w:color w:val="000000" w:themeColor="text1"/>
          <w:kern w:val="0"/>
          <w:sz w:val="24"/>
          <w:szCs w:val="24"/>
          <w:highlight w:val="none"/>
          <w14:textFill>
            <w14:solidFill>
              <w14:schemeClr w14:val="tx1"/>
            </w14:solidFill>
          </w14:textFill>
        </w:rPr>
        <w:t>不得与甲方员工就标书合同条款中的利益条款进行私下协商或达成默契。</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.8</w:t>
      </w:r>
      <w:r>
        <w:rPr>
          <w:rFonts w:hint="eastAsia" w:ascii="仿宋_GB2312" w:eastAsia="仿宋_GB2312" w:cs="宋体"/>
          <w:color w:val="000000" w:themeColor="text1"/>
          <w:kern w:val="0"/>
          <w:sz w:val="24"/>
          <w:szCs w:val="24"/>
          <w:highlight w:val="none"/>
          <w14:textFill>
            <w14:solidFill>
              <w14:schemeClr w14:val="tx1"/>
            </w14:solidFill>
          </w14:textFill>
        </w:rPr>
        <w:t>不得安排甲方员工及其亲属从事合资或合股经营行为，不向甲方打探商业秘密或提供兼职报酬。</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3.9</w:t>
      </w:r>
      <w:r>
        <w:rPr>
          <w:rFonts w:hint="eastAsia" w:ascii="仿宋_GB2312" w:eastAsia="仿宋_GB2312" w:cs="宋体"/>
          <w:color w:val="000000" w:themeColor="text1"/>
          <w:kern w:val="0"/>
          <w:sz w:val="24"/>
          <w:szCs w:val="24"/>
          <w:highlight w:val="none"/>
          <w14:textFill>
            <w14:solidFill>
              <w14:schemeClr w14:val="tx1"/>
            </w14:solidFill>
          </w14:textFill>
        </w:rPr>
        <w:t>不在甲方人员进行市场调研、商务洽谈等期间违规提供公务接待。</w:t>
      </w:r>
    </w:p>
    <w:p>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3.10</w:t>
      </w:r>
      <w:r>
        <w:rPr>
          <w:rFonts w:hint="eastAsia" w:ascii="仿宋_GB2312" w:eastAsia="仿宋_GB2312" w:cs="宋体"/>
          <w:color w:val="000000" w:themeColor="text1"/>
          <w:kern w:val="0"/>
          <w:sz w:val="24"/>
          <w:szCs w:val="24"/>
          <w:highlight w:val="none"/>
          <w14:textFill>
            <w14:solidFill>
              <w14:schemeClr w14:val="tx1"/>
            </w14:solidFill>
          </w14:textFill>
        </w:rPr>
        <w:t>对甲方员工违反本协议的行为及时向甲方的上级监督部门报告。</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165" w:name="_Toc300671952"/>
      <w:r>
        <w:rPr>
          <w:rFonts w:hint="eastAsia" w:ascii="仿宋_GB2312" w:hAnsi="宋体" w:eastAsia="仿宋_GB2312" w:cs="宋体"/>
          <w:color w:val="000000" w:themeColor="text1"/>
          <w:kern w:val="0"/>
          <w:sz w:val="24"/>
          <w:szCs w:val="24"/>
          <w:highlight w:val="none"/>
          <w14:textFill>
            <w14:solidFill>
              <w14:schemeClr w14:val="tx1"/>
            </w14:solidFill>
          </w14:textFill>
        </w:rPr>
        <w:t>四、违约责任</w:t>
      </w:r>
      <w:bookmarkEnd w:id="165"/>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4.1甲方工作人员有违反本责任书第一、二条责任行为的，依据有关法律及甲方《员工守则》，提交甲方纪检部门进行处理。</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4.2乙方工作人员有违反本责任书第一、三条责任行为的，依据有关法律法规处理；向甲方行贿或给甲方单位造成经济损失的，按照受贿金额或损失金额的5-10倍进行处罚</w:t>
      </w:r>
      <w:r>
        <w:rPr>
          <w:rFonts w:hint="eastAsia" w:ascii="仿宋_GB2312" w:hAnsi="宋体" w:eastAsia="仿宋_GB2312"/>
          <w:color w:val="000000" w:themeColor="text1"/>
          <w:sz w:val="24"/>
          <w:szCs w:val="24"/>
          <w:highlight w:val="none"/>
          <w14:textFill>
            <w14:solidFill>
              <w14:schemeClr w14:val="tx1"/>
            </w14:solidFill>
          </w14:textFill>
        </w:rPr>
        <w:t>，立即清除出场，终止合同执行，给甲方造成经济损失的应予以赔偿，同时纳入供应商黑名单；如乙方和甲方的员工勾结虚增结算款，则按照虚增款项的5倍扣减乙方应结算的款项；如发现乙方接受甲方人员要求安排甲方人员亲友在乙方工作，违者除令被安插人员在两天内退出外，并对责任人按每人每次1000元给予</w:t>
      </w:r>
      <w:r>
        <w:rPr>
          <w:rFonts w:hint="eastAsia" w:ascii="仿宋_GB2312" w:hAnsi="宋体" w:eastAsia="仿宋_GB2312" w:cs="Times New Roman"/>
          <w:color w:val="000000" w:themeColor="text1"/>
          <w:sz w:val="24"/>
          <w:szCs w:val="24"/>
          <w:highlight w:val="none"/>
          <w14:textFill>
            <w14:solidFill>
              <w14:schemeClr w14:val="tx1"/>
            </w14:solidFill>
          </w14:textFill>
        </w:rPr>
        <w:t>罚款。</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4.3甲方工作人员不得接受可能影响公正执行公务的礼金（包括各种有价证券）、礼品馈赠。因各种原因未能拒收的，一律上交所属部门并登记。</w:t>
      </w:r>
    </w:p>
    <w:p>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4.4</w:t>
      </w:r>
      <w:r>
        <w:rPr>
          <w:rFonts w:hint="eastAsia" w:ascii="仿宋_GB2312" w:hAnsi="宋体" w:eastAsia="仿宋_GB2312" w:cs="宋体"/>
          <w:color w:val="000000" w:themeColor="text1"/>
          <w:kern w:val="0"/>
          <w:sz w:val="24"/>
          <w:szCs w:val="24"/>
          <w:highlight w:val="none"/>
          <w14:textFill>
            <w14:solidFill>
              <w14:schemeClr w14:val="tx1"/>
            </w14:solidFill>
          </w14:textFill>
        </w:rPr>
        <w:t>甲乙双方必须认真履行本协议，遵纪守法，相互监督，密切配合，共同搞好廉政建设。双方</w:t>
      </w:r>
      <w:r>
        <w:rPr>
          <w:rFonts w:hint="eastAsia" w:ascii="仿宋_GB2312" w:hAnsi="宋体" w:eastAsia="仿宋_GB2312"/>
          <w:color w:val="000000" w:themeColor="text1"/>
          <w:sz w:val="24"/>
          <w:szCs w:val="24"/>
          <w:highlight w:val="none"/>
          <w14:textFill>
            <w14:solidFill>
              <w14:schemeClr w14:val="tx1"/>
            </w14:solidFill>
          </w14:textFill>
        </w:rPr>
        <w:t>认可甲方建立不诚信合作方黑名单制度，如乙方发生向甲方员工的行贿行为、乙方和甲方的员工勾结虚增结算款项的行为，则该乙方进入甲方不诚信合作方黑名单，</w:t>
      </w:r>
      <w:r>
        <w:rPr>
          <w:rFonts w:hint="eastAsia" w:ascii="仿宋_GB2312" w:hAnsi="宋体" w:eastAsia="仿宋_GB2312" w:cs="宋体"/>
          <w:color w:val="000000" w:themeColor="text1"/>
          <w:kern w:val="0"/>
          <w:sz w:val="24"/>
          <w:szCs w:val="24"/>
          <w:highlight w:val="none"/>
          <w14:textFill>
            <w14:solidFill>
              <w14:schemeClr w14:val="tx1"/>
            </w14:solidFill>
          </w14:textFill>
        </w:rPr>
        <w:t>触犯刑律的，移交司法机关处理。</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4.5本责任书作为主合同的组成部分，与本合同具有同等法律效力。生效条件与主合同相同。</w:t>
      </w:r>
    </w:p>
    <w:p>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五、责任书有效期</w:t>
      </w:r>
    </w:p>
    <w:p>
      <w:pPr>
        <w:widowControl/>
        <w:spacing w:line="400" w:lineRule="exact"/>
        <w:ind w:firstLine="480" w:firstLineChars="2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本责任书的有效期为双方签署之日起至该工程项目竣工验收合格时止。</w:t>
      </w:r>
    </w:p>
    <w:p>
      <w:pPr>
        <w:pStyle w:val="41"/>
        <w:spacing w:line="400" w:lineRule="exac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pStyle w:val="41"/>
        <w:spacing w:line="400" w:lineRule="exac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p>
    <w:p>
      <w:pPr>
        <w:pStyle w:val="41"/>
        <w:spacing w:line="400" w:lineRule="exact"/>
        <w:ind w:firstLine="480" w:firstLineChars="200"/>
        <w:rPr>
          <w:rFonts w:ascii="仿宋_GB2312" w:hAnsi="仿宋_GB2312" w:eastAsia="仿宋_GB2312" w:cs="仿宋_GB2312"/>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甲方（盖章）：                        乙方（公章）：</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960" w:firstLineChars="4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br w:type="page"/>
      </w:r>
    </w:p>
    <w:p>
      <w:pPr>
        <w:pStyle w:val="41"/>
        <w:jc w:val="center"/>
        <w:outlineLvl w:val="0"/>
        <w:rPr>
          <w:rFonts w:ascii="仿宋" w:hAnsi="仿宋" w:eastAsia="仿宋" w:cs="仿宋"/>
          <w:b/>
          <w:bCs/>
          <w:color w:val="000000" w:themeColor="text1"/>
          <w:sz w:val="32"/>
          <w:szCs w:val="32"/>
          <w:highlight w:val="none"/>
          <w14:textFill>
            <w14:solidFill>
              <w14:schemeClr w14:val="tx1"/>
            </w14:solidFill>
          </w14:textFill>
        </w:rPr>
      </w:pPr>
      <w:bookmarkStart w:id="166" w:name="_Hlk127794870"/>
      <w:bookmarkStart w:id="167" w:name="_Toc1869"/>
      <w:bookmarkStart w:id="168" w:name="_Toc18674"/>
      <w:bookmarkStart w:id="169" w:name="_Toc1495"/>
      <w:r>
        <w:rPr>
          <w:rFonts w:hint="eastAsia" w:ascii="黑体" w:hAnsi="黑体" w:eastAsia="黑体" w:cs="黑体"/>
          <w:b/>
          <w:bCs/>
          <w:color w:val="000000" w:themeColor="text1"/>
          <w:sz w:val="32"/>
          <w:szCs w:val="32"/>
          <w:highlight w:val="none"/>
          <w14:textFill>
            <w14:solidFill>
              <w14:schemeClr w14:val="tx1"/>
            </w14:solidFill>
          </w14:textFill>
        </w:rPr>
        <w:t>第二部分 通用条款</w:t>
      </w:r>
      <w:bookmarkEnd w:id="166"/>
      <w:bookmarkEnd w:id="167"/>
      <w:bookmarkEnd w:id="168"/>
    </w:p>
    <w:p>
      <w:pPr>
        <w:pStyle w:val="41"/>
        <w:numPr>
          <w:ilvl w:val="0"/>
          <w:numId w:val="8"/>
        </w:numPr>
        <w:spacing w:before="120" w:beforeLines="50" w:after="120" w:afterLines="50" w:line="400" w:lineRule="atLeast"/>
        <w:ind w:firstLine="482"/>
        <w:outlineLvl w:val="0"/>
        <w:rPr>
          <w:rFonts w:ascii="仿宋_GB2312" w:hAnsi="仿宋_GB2312" w:eastAsia="仿宋_GB2312" w:cs="仿宋_GB2312"/>
          <w:b/>
          <w:bCs/>
          <w:color w:val="000000" w:themeColor="text1"/>
          <w:highlight w:val="none"/>
          <w14:textFill>
            <w14:solidFill>
              <w14:schemeClr w14:val="tx1"/>
            </w14:solidFill>
          </w14:textFill>
        </w:rPr>
      </w:pPr>
      <w:bookmarkStart w:id="170" w:name="_Toc3066"/>
      <w:bookmarkStart w:id="171" w:name="_Toc11168"/>
      <w:r>
        <w:rPr>
          <w:rFonts w:hint="eastAsia" w:ascii="仿宋_GB2312" w:hAnsi="仿宋_GB2312" w:eastAsia="仿宋_GB2312" w:cs="仿宋_GB2312"/>
          <w:b/>
          <w:bCs/>
          <w:color w:val="000000" w:themeColor="text1"/>
          <w:highlight w:val="none"/>
          <w14:textFill>
            <w14:solidFill>
              <w14:schemeClr w14:val="tx1"/>
            </w14:solidFill>
          </w14:textFill>
        </w:rPr>
        <w:t>货物合同附随义务</w:t>
      </w:r>
      <w:bookmarkEnd w:id="169"/>
      <w:bookmarkEnd w:id="170"/>
      <w:bookmarkEnd w:id="171"/>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1.乙方义务</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1.1乙方合规义务</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1.1.1合规开展行业竞争：</w:t>
      </w:r>
      <w:r>
        <w:rPr>
          <w:rFonts w:hint="eastAsia" w:ascii="仿宋_GB2312" w:hAnsi="仿宋_GB2312" w:eastAsia="仿宋_GB2312" w:cs="仿宋_GB2312"/>
          <w:color w:val="000000" w:themeColor="text1"/>
          <w:highlight w:val="none"/>
          <w14:textFill>
            <w14:solidFill>
              <w14:schemeClr w14:val="tx1"/>
            </w14:solidFill>
          </w14:textFill>
        </w:rPr>
        <w:t>积极防范和制止垄断行为，不实施任何市场排除、限制竞争行为；不组织经营者集中等违法垄断行为，不实施不正当竞争行为和不正当价格行为，不从事商誉诋毁等违法违规竞争行为。</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1.1.2合规保障服务生产：</w:t>
      </w:r>
      <w:r>
        <w:rPr>
          <w:rFonts w:hint="eastAsia" w:ascii="仿宋_GB2312" w:hAnsi="仿宋_GB2312" w:eastAsia="仿宋_GB2312" w:cs="仿宋_GB2312"/>
          <w:color w:val="000000" w:themeColor="text1"/>
          <w:highlight w:val="none"/>
          <w14:textFill>
            <w14:solidFill>
              <w14:schemeClr w14:val="tx1"/>
            </w14:solidFill>
          </w14:textFill>
        </w:rPr>
        <w:t>恪守契约精神，严格按照合同约定时间和地点完成货物交付，全力保障项目物资设备供应需求。</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1.1.3合规履行安全管控职责：</w:t>
      </w:r>
      <w:r>
        <w:rPr>
          <w:rFonts w:hint="eastAsia" w:ascii="仿宋_GB2312" w:hAnsi="仿宋_GB2312" w:eastAsia="仿宋_GB2312" w:cs="仿宋_GB2312"/>
          <w:color w:val="000000" w:themeColor="text1"/>
          <w:highlight w:val="none"/>
          <w14:textFill>
            <w14:solidFill>
              <w14:schemeClr w14:val="tx1"/>
            </w14:solidFill>
          </w14:textFill>
        </w:rPr>
        <w:t>自觉遵守甲方施工现场有关安全文明施工、环境和职业健康安全方面的要求，绝不出现违反安全法律和其他安全生产规章制度的行为，具体要求详见合同附件三。</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1.1.4合规履行质量管控职责：</w:t>
      </w:r>
      <w:r>
        <w:rPr>
          <w:rFonts w:hint="eastAsia" w:ascii="仿宋_GB2312" w:hAnsi="仿宋_GB2312" w:eastAsia="仿宋_GB2312" w:cs="仿宋_GB2312"/>
          <w:color w:val="000000" w:themeColor="text1"/>
          <w:highlight w:val="none"/>
          <w14:textFill>
            <w14:solidFill>
              <w14:schemeClr w14:val="tx1"/>
            </w14:solidFill>
          </w14:textFill>
        </w:rPr>
        <w:t>绝不供应质量不合格货物，加强自身各环节质量管理，绝不出现任何质量或数量瑕疵，严控假冒伪劣货物流通，严格按本合同约定质量标准和数量要求履约生产。</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1.1.5合规依法纳税职责：</w:t>
      </w:r>
      <w:r>
        <w:rPr>
          <w:rFonts w:hint="eastAsia" w:ascii="仿宋_GB2312" w:hAnsi="仿宋_GB2312" w:eastAsia="仿宋_GB2312" w:cs="仿宋_GB2312"/>
          <w:color w:val="000000" w:themeColor="text1"/>
          <w:highlight w:val="none"/>
          <w14:textFill>
            <w14:solidFill>
              <w14:schemeClr w14:val="tx1"/>
            </w14:solidFill>
          </w14:textFill>
        </w:rPr>
        <w:t>严格按照国家税法规定，履行合法合规纳税义务，绝不虚开或伪造增值税专用发票。</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1.1.6合规拥有货物所有权：</w:t>
      </w:r>
      <w:r>
        <w:rPr>
          <w:rFonts w:hint="eastAsia" w:ascii="仿宋_GB2312" w:hAnsi="仿宋_GB2312" w:eastAsia="仿宋_GB2312" w:cs="仿宋_GB2312"/>
          <w:color w:val="000000" w:themeColor="text1"/>
          <w:highlight w:val="none"/>
          <w14:textFill>
            <w14:solidFill>
              <w14:schemeClr w14:val="tx1"/>
            </w14:solidFill>
          </w14:textFill>
        </w:rPr>
        <w:t>保证对货物具有所有权或受委托代理销售权，并向甲方出具相关凭证。保证交付的货物不附有任何担保权、留置权或设定其他权利负担。</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1.1.7合规拥有</w:t>
      </w:r>
      <w:r>
        <w:rPr>
          <w:rFonts w:ascii="仿宋_GB2312" w:hAnsi="仿宋_GB2312" w:eastAsia="仿宋_GB2312" w:cs="仿宋_GB2312"/>
          <w:b/>
          <w:bCs/>
          <w:color w:val="000000" w:themeColor="text1"/>
          <w:highlight w:val="none"/>
          <w14:textFill>
            <w14:solidFill>
              <w14:schemeClr w14:val="tx1"/>
            </w14:solidFill>
          </w14:textFill>
        </w:rPr>
        <w:t>货物知识产权：</w:t>
      </w:r>
      <w:r>
        <w:rPr>
          <w:rFonts w:ascii="仿宋_GB2312" w:hAnsi="仿宋_GB2312" w:eastAsia="仿宋_GB2312" w:cs="仿宋_GB2312"/>
          <w:color w:val="000000" w:themeColor="text1"/>
          <w:highlight w:val="none"/>
          <w14:textFill>
            <w14:solidFill>
              <w14:schemeClr w14:val="tx1"/>
            </w14:solidFill>
          </w14:textFill>
        </w:rPr>
        <w:t>保障甲方在工程所在地使用其货物、服务及其任何部分不受到第三方关于侵犯专利权、商标权、工业设计权或其他知识产权的指控。任何第三方如果提起侵权诉讼，乙方负责与第三方交涉并承担由此而引起的一切法律责任和费用及赔偿甲方的一切损失。</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1.1.8合规开展廉洁共建职责：</w:t>
      </w:r>
      <w:r>
        <w:rPr>
          <w:rFonts w:hint="eastAsia" w:ascii="仿宋_GB2312" w:hAnsi="仿宋_GB2312" w:eastAsia="仿宋_GB2312" w:cs="仿宋_GB2312"/>
          <w:color w:val="000000" w:themeColor="text1"/>
          <w:highlight w:val="none"/>
          <w14:textFill>
            <w14:solidFill>
              <w14:schemeClr w14:val="tx1"/>
            </w14:solidFill>
          </w14:textFill>
        </w:rPr>
        <w:t xml:space="preserve">绝不从事任何形式的商业贿赂、利益输送及其他不正当交易；绝不以任何理由为甲方、相关单位或个人组织有可能影响公正执行公务的宴请、娱乐等活动，具体要求详见合同附件四。 </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1.2乙方其他义务</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1.2.1增值服务：</w:t>
      </w:r>
      <w:r>
        <w:rPr>
          <w:rFonts w:hint="eastAsia" w:ascii="仿宋_GB2312" w:hAnsi="仿宋_GB2312" w:eastAsia="仿宋_GB2312" w:cs="仿宋_GB2312"/>
          <w:color w:val="000000" w:themeColor="text1"/>
          <w:highlight w:val="none"/>
          <w14:textFill>
            <w14:solidFill>
              <w14:schemeClr w14:val="tx1"/>
            </w14:solidFill>
          </w14:textFill>
        </w:rPr>
        <w:t>乙方应提供与货物配套的增值服务；包括但不限于技术支持、深化设计、现场培训及货物安装指导等工作，相应费用已在综合单价考虑。</w:t>
      </w:r>
    </w:p>
    <w:p>
      <w:pPr>
        <w:pStyle w:val="4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1.2.2货物退货与置换：</w:t>
      </w:r>
      <w:r>
        <w:rPr>
          <w:rFonts w:hint="eastAsia" w:ascii="仿宋_GB2312" w:hAnsi="仿宋_GB2312" w:eastAsia="仿宋_GB2312" w:cs="仿宋_GB2312"/>
          <w:color w:val="000000" w:themeColor="text1"/>
          <w:highlight w:val="none"/>
          <w14:textFill>
            <w14:solidFill>
              <w14:schemeClr w14:val="tx1"/>
            </w14:solidFill>
          </w14:textFill>
        </w:rPr>
        <w:t>乙方供应的货物，根据不同情况甲方可选择直接向乙方退货或向乙方置换，乙方同意按甲方选择的方式办理：</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（1）对于未使用且不影响二次销售的材料，若甲方选择退货，则双方按甲方退货后实际收到合格货物数量办理结算。</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（2）对于已使用的材料，若甲方选择置换，则双方协商估算原材料残值并置换等价值新材料。</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（3）甲方原因产生的退货或者置换产生的运输费用由</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甲方 </w:t>
      </w:r>
      <w:r>
        <w:rPr>
          <w:rFonts w:hint="eastAsia" w:ascii="仿宋_GB2312" w:hAnsi="仿宋_GB2312" w:eastAsia="仿宋_GB2312" w:cs="仿宋_GB2312"/>
          <w:color w:val="000000" w:themeColor="text1"/>
          <w:highlight w:val="none"/>
          <w14:textFill>
            <w14:solidFill>
              <w14:schemeClr w14:val="tx1"/>
            </w14:solidFill>
          </w14:textFill>
        </w:rPr>
        <w:t>承担，装卸费用由</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甲方 </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4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2.甲方义务</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2.1材料需用计划：</w:t>
      </w:r>
      <w:r>
        <w:rPr>
          <w:rFonts w:hint="eastAsia" w:ascii="仿宋_GB2312" w:hAnsi="仿宋_GB2312" w:eastAsia="仿宋_GB2312" w:cs="仿宋_GB2312"/>
          <w:color w:val="000000" w:themeColor="text1"/>
          <w:highlight w:val="none"/>
          <w14:textFill>
            <w14:solidFill>
              <w14:schemeClr w14:val="tx1"/>
            </w14:solidFill>
          </w14:textFill>
        </w:rPr>
        <w:t>甲方合理制定材料总需用计划及日常需用计划，并按照合同约定提前通知乙方，给予乙方充足备货期。</w:t>
      </w:r>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2.2配合材料卸货：</w:t>
      </w:r>
      <w:r>
        <w:rPr>
          <w:rFonts w:hint="eastAsia" w:ascii="仿宋_GB2312" w:hAnsi="仿宋_GB2312" w:eastAsia="仿宋_GB2312" w:cs="仿宋_GB2312"/>
          <w:color w:val="000000" w:themeColor="text1"/>
          <w:highlight w:val="none"/>
          <w14:textFill>
            <w14:solidFill>
              <w14:schemeClr w14:val="tx1"/>
            </w14:solidFill>
          </w14:textFill>
        </w:rPr>
        <w:t>乙方在材料运抵交货前2天通知甲方，甲方应在验收合格后，提供堆放场地或堆放仓库，</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配合乙方材料卸货</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72" w:name="_Toc1717"/>
      <w:bookmarkStart w:id="173" w:name="_Toc965"/>
      <w:bookmarkStart w:id="174" w:name="_Toc13486"/>
      <w:r>
        <w:rPr>
          <w:rFonts w:hint="eastAsia" w:ascii="仿宋_GB2312" w:hAnsi="仿宋_GB2312" w:eastAsia="仿宋_GB2312" w:cs="仿宋_GB2312"/>
          <w:b/>
          <w:bCs/>
          <w:color w:val="000000" w:themeColor="text1"/>
          <w:highlight w:val="none"/>
          <w14:textFill>
            <w14:solidFill>
              <w14:schemeClr w14:val="tx1"/>
            </w14:solidFill>
          </w14:textFill>
        </w:rPr>
        <w:t>货物违约责任</w:t>
      </w:r>
      <w:bookmarkEnd w:id="172"/>
      <w:bookmarkEnd w:id="173"/>
      <w:bookmarkEnd w:id="174"/>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未按计划时间供应：</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乙方未能按本合同第三条款中书面计划的要求供应材料，若因非甲方原因致使延期供货的次数超过</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2 次</w:t>
      </w:r>
      <w:r>
        <w:rPr>
          <w:rFonts w:hint="eastAsia" w:ascii="仿宋_GB2312" w:hAnsi="仿宋_GB2312" w:eastAsia="仿宋_GB2312" w:cs="仿宋_GB2312"/>
          <w:color w:val="000000" w:themeColor="text1"/>
          <w:highlight w:val="none"/>
          <w14:textFill>
            <w14:solidFill>
              <w14:schemeClr w14:val="tx1"/>
            </w14:solidFill>
          </w14:textFill>
        </w:rPr>
        <w:t>，乙方须向甲方支付违约金，</w:t>
      </w:r>
      <w:r>
        <w:rPr>
          <w:rFonts w:hint="eastAsia" w:ascii="仿宋_GB2312" w:hAnsi="仿宋_GB2312" w:eastAsia="仿宋_GB2312" w:cs="仿宋_GB2312"/>
          <w:b/>
          <w:bCs/>
          <w:color w:val="000000" w:themeColor="text1"/>
          <w:highlight w:val="none"/>
          <w14:textFill>
            <w14:solidFill>
              <w14:schemeClr w14:val="tx1"/>
            </w14:solidFill>
          </w14:textFill>
        </w:rPr>
        <w:t>违约金按照5000元每次计，且除违约金外乙方必须承担甲方项目实际工期损失及经济损失。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乙方延迟交付超</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7 </w:t>
      </w:r>
      <w:r>
        <w:rPr>
          <w:rFonts w:hint="eastAsia" w:ascii="仿宋_GB2312" w:hAnsi="仿宋_GB2312" w:eastAsia="仿宋_GB2312" w:cs="仿宋_GB2312"/>
          <w:color w:val="000000" w:themeColor="text1"/>
          <w:highlight w:val="none"/>
          <w14:textFill>
            <w14:solidFill>
              <w14:schemeClr w14:val="tx1"/>
            </w14:solidFill>
          </w14:textFill>
        </w:rPr>
        <w:t>日的，甲方有权单方解除本合同。</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乙方应全力保障项目的供应，因乙方资源组织问题引起的供应困难，乙方不能或不愿解决的，甲方可寻找其他供应单位代为解决，因此引起的甲方成本增加等相关费用在结算中扣除。</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未按指定地点或方式供应：</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乙方不能按本合同约定地点、方式供货的，甲方有权要求乙方按照合同履行，乙方应按甲方要求立即组织更换或完善不符合的条件及要求，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否则按照5000元每次承担违约金，且除违约金外乙方必须承担甲方项目实际工期损失及经济损失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不符合约定货物质量标准：</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3.1乙方货物不符合本合同约定的质量标准的，甲方有权要求乙方继续履行合同，乙方应按甲方要求立即组织更换或完善不符合的条件及要求，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并按照5000元每次承担违约金，且除违约金外乙方必须承担甲方项目实际工期损失及经济损失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pPr>
        <w:pStyle w:val="41"/>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3.2乙方以任何欺骗、舞弊、盗窃等手段致使交付的货物存在质量或数量瑕疵的，除赔偿甲方对应货物的货款外，</w:t>
      </w:r>
      <w:r>
        <w:rPr>
          <w:rFonts w:hint="eastAsia" w:ascii="仿宋_GB2312" w:hAnsi="仿宋_GB2312" w:eastAsia="仿宋_GB2312" w:cs="仿宋_GB2312"/>
          <w:b/>
          <w:bCs/>
          <w:color w:val="000000" w:themeColor="text1"/>
          <w:highlight w:val="none"/>
          <w14:textFill>
            <w14:solidFill>
              <w14:schemeClr w14:val="tx1"/>
            </w14:solidFill>
          </w14:textFill>
        </w:rPr>
        <w:t>并按照5000元每次承担违约金，且除违约金外乙方必须承担甲方项目实际工期损失及经济损失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w:t>
      </w:r>
    </w:p>
    <w:p>
      <w:pPr>
        <w:spacing w:line="400" w:lineRule="exac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3.3如果由于物资质量问题，引起工程事故，导致甲方人员或财产损失的，乙方应承担相应的法律责任和经济责任，因此所导致的一切损失由乙方承担，该责任不因合同的终止而减小或解除。</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未履行开具增值税发票义务：</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乙方存在下列情形之一的，甲方有权单方解除合同，并有权直接从乙方应付款项中双倍扣除甲方未能抵扣的税金（扣除金额=不含税结算金额×</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13 </w:t>
      </w:r>
      <w:r>
        <w:rPr>
          <w:rFonts w:hint="eastAsia" w:ascii="仿宋_GB2312" w:hAnsi="仿宋_GB2312" w:eastAsia="仿宋_GB2312" w:cs="仿宋_GB2312"/>
          <w:color w:val="000000" w:themeColor="text1"/>
          <w:highlight w:val="none"/>
          <w14:textFill>
            <w14:solidFill>
              <w14:schemeClr w14:val="tx1"/>
            </w14:solidFill>
          </w14:textFill>
        </w:rPr>
        <w:t>％增值税税率×2）作为违约金：</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4.1不具有开具增值税专用发票的纳税人资格。</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4.2未能按本合同约定的税率开具增值税专用发票。</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4.3提供的增值税专用发票是乙方以外的主体开具。</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4.4拖欠增值税专用发票金额累计达100万元以上。</w:t>
      </w:r>
    </w:p>
    <w:p>
      <w:pPr>
        <w:pStyle w:val="41"/>
        <w:spacing w:line="400" w:lineRule="atLeast"/>
        <w:ind w:firstLine="480" w:firstLineChars="200"/>
        <w:rPr>
          <w:rFonts w:ascii="仿宋_GB2312" w:hAnsi="仿宋_GB2312" w:eastAsia="仿宋_GB2312" w:cs="仿宋_GB2312"/>
          <w:strike w:val="0"/>
          <w:dstrike w:val="0"/>
          <w:color w:val="000000" w:themeColor="text1"/>
          <w:highlight w:val="none"/>
          <w14:textFill>
            <w14:solidFill>
              <w14:schemeClr w14:val="tx1"/>
            </w14:solidFill>
          </w14:textFill>
        </w:rPr>
      </w:pPr>
      <w:r>
        <w:rPr>
          <w:rFonts w:hint="eastAsia" w:ascii="仿宋_GB2312" w:hAnsi="仿宋_GB2312" w:eastAsia="仿宋_GB2312" w:cs="仿宋_GB2312"/>
          <w:strike w:val="0"/>
          <w:dstrike w:val="0"/>
          <w:color w:val="000000" w:themeColor="text1"/>
          <w:highlight w:val="none"/>
          <w14:textFill>
            <w14:solidFill>
              <w14:schemeClr w14:val="tx1"/>
            </w14:solidFill>
          </w14:textFill>
        </w:rPr>
        <w:t xml:space="preserve">4.5如乙方未在税务机关要求的期限内缴纳税款，导致甲方无法抵扣进项税的，甲方有权拒绝付款，如已经支付的，甲方有权追回已支付的款项，并要求乙方支付违约金或赔偿损失。 </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4.6提供伪造的增值税专用发票。</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4.7虚开增值税专用发票。</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4.8其它导致甲方无法进行增值税抵扣的情形。</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乙方存在以上情形的，除承担相应违约责任外，还应赔偿甲方因此所受损失，同时不免除乙方开具合法合规增值税专用发票的义务。</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若乙方开具或提供的增值税专用发票发生本条第4款情形超过3次的或给甲方造成重大损失的，则乙方除按本款前述约定承担责任外，甲方有权单方解除本合同。</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未履行安全责任及义务：</w:t>
      </w:r>
    </w:p>
    <w:p>
      <w:pPr>
        <w:pStyle w:val="41"/>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highlight w:val="none"/>
          <w14:textFill>
            <w14:solidFill>
              <w14:schemeClr w14:val="tx1"/>
            </w14:solidFill>
          </w14:textFill>
        </w:rPr>
        <w:t>乙方不能满足甲方有关安全文明施工措施、环境和职业健康安全方面的要求时，乙方按照项目实际工期损失、经济损失承担违约金。</w:t>
      </w:r>
    </w:p>
    <w:p>
      <w:pPr>
        <w:spacing w:line="400" w:lineRule="exac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5.2由于乙方原因造成甲方人员人身伤害，乙方应立即采取补救措施，并全额赔偿甲方相关人员损失。</w:t>
      </w:r>
    </w:p>
    <w:p>
      <w:pPr>
        <w:pStyle w:val="4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未经同意转让权利及义务：</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未经甲方书面同意，乙方不得以对甲方享有之任何债权向其他第三方进行转让或提供任何形式之担保或保证等。经甲方同意转让合同权利，不解除乙方应承担本合同项下的义务和责任。</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bookmarkStart w:id="175" w:name="_Hlk126834115"/>
      <w:bookmarkStart w:id="176" w:name="_Hlk127191104"/>
      <w:r>
        <w:rPr>
          <w:rFonts w:hint="eastAsia" w:ascii="仿宋_GB2312" w:hAnsi="仿宋_GB2312" w:eastAsia="仿宋_GB2312" w:cs="仿宋_GB2312"/>
          <w:b/>
          <w:bCs/>
          <w:color w:val="000000" w:themeColor="text1"/>
          <w:highlight w:val="none"/>
          <w14:textFill>
            <w14:solidFill>
              <w14:schemeClr w14:val="tx1"/>
            </w14:solidFill>
          </w14:textFill>
        </w:rPr>
        <w:t>7、</w:t>
      </w:r>
      <w:bookmarkStart w:id="177" w:name="_Hlk126829881"/>
      <w:r>
        <w:rPr>
          <w:rFonts w:hint="eastAsia" w:ascii="仿宋_GB2312" w:hAnsi="仿宋_GB2312" w:eastAsia="仿宋_GB2312" w:cs="仿宋_GB2312"/>
          <w:b/>
          <w:bCs/>
          <w:color w:val="000000" w:themeColor="text1"/>
          <w:highlight w:val="none"/>
          <w14:textFill>
            <w14:solidFill>
              <w14:schemeClr w14:val="tx1"/>
            </w14:solidFill>
          </w14:textFill>
        </w:rPr>
        <w:t>未履行结算义务：</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若发现乙方存在以下行为，视为违约并处以相应的罚款，在当期结算款中扣除（当期结算款额度不够的在下期结算款中扣除），并保留追究相应责任的权利。</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（1）伪造或虚开</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货款</w:t>
      </w:r>
      <w:r>
        <w:rPr>
          <w:rFonts w:hint="eastAsia" w:ascii="仿宋_GB2312" w:hAnsi="仿宋_GB2312" w:eastAsia="仿宋_GB2312" w:cs="仿宋_GB2312"/>
          <w:color w:val="000000" w:themeColor="text1"/>
          <w:highlight w:val="none"/>
          <w14:textFill>
            <w14:solidFill>
              <w14:schemeClr w14:val="tx1"/>
            </w14:solidFill>
          </w14:textFill>
        </w:rPr>
        <w:t>数据，一经发现处以罚款2万元/次。</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（2）伪造甲方管理人员签字盖章，一经发现处以罚款5万元/次。</w:t>
      </w:r>
    </w:p>
    <w:p>
      <w:pPr>
        <w:pStyle w:val="41"/>
        <w:spacing w:line="400" w:lineRule="atLeast"/>
        <w:ind w:firstLine="480"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（3）伪造结算书或其他结算相关材料，一经发现处以罚款10万元/次</w:t>
      </w:r>
      <w:bookmarkEnd w:id="175"/>
      <w:r>
        <w:rPr>
          <w:rFonts w:hint="eastAsia" w:ascii="仿宋_GB2312" w:hAnsi="仿宋_GB2312" w:eastAsia="仿宋_GB2312" w:cs="仿宋_GB2312"/>
          <w:color w:val="000000" w:themeColor="text1"/>
          <w:highlight w:val="none"/>
          <w14:textFill>
            <w14:solidFill>
              <w14:schemeClr w14:val="tx1"/>
            </w14:solidFill>
          </w14:textFill>
        </w:rPr>
        <w:t>。</w:t>
      </w:r>
      <w:bookmarkEnd w:id="176"/>
      <w:bookmarkEnd w:id="177"/>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bookmarkStart w:id="178" w:name="_Toc20335"/>
      <w:bookmarkStart w:id="179" w:name="_Toc19191"/>
      <w:bookmarkStart w:id="180" w:name="_Toc11521"/>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8</w:t>
      </w:r>
      <w:r>
        <w:rPr>
          <w:rFonts w:hint="eastAsia" w:ascii="仿宋_GB2312" w:hAnsi="仿宋_GB2312" w:eastAsia="仿宋_GB2312" w:cs="仿宋_GB2312"/>
          <w:b/>
          <w:bCs/>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供货知识产权存在瑕疵</w:t>
      </w:r>
      <w:r>
        <w:rPr>
          <w:rFonts w:hint="eastAsia" w:ascii="仿宋_GB2312" w:hAnsi="仿宋_GB2312" w:eastAsia="仿宋_GB2312" w:cs="仿宋_GB2312"/>
          <w:b/>
          <w:bCs/>
          <w:color w:val="000000" w:themeColor="text1"/>
          <w:highlight w:val="none"/>
          <w14:textFill>
            <w14:solidFill>
              <w14:schemeClr w14:val="tx1"/>
            </w14:solidFill>
          </w14:textFill>
        </w:rPr>
        <w:t>：</w:t>
      </w:r>
    </w:p>
    <w:p>
      <w:pPr>
        <w:pStyle w:val="41"/>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提供物资侵犯他人知识产权（或专利权）导致他人向甲方索赔的，乙方承担由此给甲方造成的一切损失，包括但不限于甲方处理此纠纷发生的律师费、诉讼费、差旅费等一切损失。此外，乙方应向甲方支付合同价款</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20</w:t>
      </w:r>
      <w:r>
        <w:rPr>
          <w:rFonts w:hint="eastAsia" w:ascii="仿宋_GB2312" w:hAnsi="仿宋_GB2312" w:eastAsia="仿宋_GB2312" w:cs="仿宋_GB2312"/>
          <w:color w:val="000000" w:themeColor="text1"/>
          <w:highlight w:val="none"/>
          <w14:textFill>
            <w14:solidFill>
              <w14:schemeClr w14:val="tx1"/>
            </w14:solidFill>
          </w14:textFill>
        </w:rPr>
        <w:t>％的违约金。甲方针对上述一切损失有权从乙方结算货款中扣除或依法追索。</w:t>
      </w:r>
    </w:p>
    <w:p>
      <w:pPr>
        <w:pStyle w:val="41"/>
        <w:spacing w:line="400" w:lineRule="atLeast"/>
        <w:ind w:firstLine="482"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9、私运项目物资</w:t>
      </w:r>
    </w:p>
    <w:p>
      <w:pPr>
        <w:pStyle w:val="41"/>
        <w:spacing w:line="400" w:lineRule="atLeast"/>
        <w:ind w:firstLine="480" w:firstLineChars="200"/>
        <w:jc w:val="both"/>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若乙方私自运送甲方现场物资出场，乙方需向甲方支付所涉及物资原值【2】倍的违约金，情节严重的交由司法机关处理。</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、未履行本协议约定义务：</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乙方不履行本协议约定义务或中途终止履行合同（符合本合同约定的调价和合同解除条件除外）的，乙方按照项目实际工期损失、经济损失承担违约金。</w:t>
      </w:r>
    </w:p>
    <w:p>
      <w:pPr>
        <w:pStyle w:val="41"/>
        <w:spacing w:line="400" w:lineRule="atLeast"/>
        <w:ind w:firstLine="482" w:firstLineChars="200"/>
        <w:jc w:val="both"/>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highlight w:val="none"/>
          <w14:textFill>
            <w14:solidFill>
              <w14:schemeClr w14:val="tx1"/>
            </w14:solidFill>
          </w14:textFill>
        </w:rPr>
        <w:t>、违约后的处置方式：</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乙方违约后，甲方有权直接从乙方结算款或应付款中扣除违约金；甲方决定合同继续履行的，乙方除承担上述违约责任，仍应继续履行合同。</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货物缺陷索赔</w:t>
      </w:r>
      <w:bookmarkEnd w:id="178"/>
      <w:bookmarkEnd w:id="179"/>
      <w:bookmarkEnd w:id="180"/>
    </w:p>
    <w:p>
      <w:pPr>
        <w:pStyle w:val="312"/>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1、质量缺陷索赔：</w:t>
      </w:r>
      <w:r>
        <w:rPr>
          <w:rFonts w:hint="eastAsia" w:ascii="仿宋_GB2312" w:hAnsi="仿宋_GB2312" w:eastAsia="仿宋_GB2312" w:cs="仿宋_GB2312"/>
          <w:color w:val="000000" w:themeColor="text1"/>
          <w:sz w:val="24"/>
          <w:highlight w:val="none"/>
          <w14:textFill>
            <w14:solidFill>
              <w14:schemeClr w14:val="tx1"/>
            </w14:solidFill>
          </w14:textFill>
        </w:rPr>
        <w:t>如甲方在各阶段的检验过程中发现货物不合格现象，可选择更换货物或提出索赔。若选择索赔，甲方有权邀请当地有关质量监督管理部门或其他鉴定机构进行检验，并出具检验证书，可以据此向乙方提出索赔。</w:t>
      </w:r>
    </w:p>
    <w:p>
      <w:pPr>
        <w:pStyle w:val="312"/>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2、缺陷索赔解决方式：</w:t>
      </w:r>
      <w:r>
        <w:rPr>
          <w:rFonts w:hint="eastAsia" w:ascii="仿宋_GB2312" w:hAnsi="仿宋_GB2312" w:eastAsia="仿宋_GB2312" w:cs="仿宋_GB2312"/>
          <w:color w:val="000000" w:themeColor="text1"/>
          <w:sz w:val="24"/>
          <w:highlight w:val="none"/>
          <w14:textFill>
            <w14:solidFill>
              <w14:schemeClr w14:val="tx1"/>
            </w14:solidFill>
          </w14:textFill>
        </w:rPr>
        <w:t>对甲方在规定的检验、安装、调试和验收测试期限内和质量保修期内发现缺陷提出的索赔，乙方应按甲方同意的下述一种或多种方法解决索赔事宜：</w:t>
      </w:r>
    </w:p>
    <w:p>
      <w:pPr>
        <w:pStyle w:val="312"/>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2.1乙方同意甲方部分或全部退货并把退货部分金额以合同规定的同类货币退还给甲方。乙方负担退货过程中发生的一切损失和费用，包括利息、银行费用、运输和保险费、检验费、仓储和装卸费以及为保管和保护退还货物所发生的其它必要费用，包括但不限于工期延误损失导致业主向甲方的索赔等。</w:t>
      </w:r>
    </w:p>
    <w:p>
      <w:pPr>
        <w:pStyle w:val="312"/>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2.2根据货物的质量缺陷和受损程度以及甲方遭受损失的程度，经双方协商同意降低货物价格。</w:t>
      </w:r>
    </w:p>
    <w:p>
      <w:pPr>
        <w:pStyle w:val="312"/>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2.3更换有缺陷的部分货物、零件、部件和设备，或修理缺陷部分，以达到合同规定的规格、质量和性能，乙方承担一切费用和风险，并负担甲方遭受的损失。</w:t>
      </w:r>
    </w:p>
    <w:p>
      <w:pPr>
        <w:pStyle w:val="312"/>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3、缺陷索赔程序：如果甲方提出索赔通知后7日内乙方未予以答复，该索赔应视为已被乙方接受。</w:t>
      </w:r>
      <w:r>
        <w:rPr>
          <w:rFonts w:hint="eastAsia" w:ascii="仿宋_GB2312" w:hAnsi="仿宋_GB2312" w:eastAsia="仿宋_GB2312" w:cs="仿宋_GB2312"/>
          <w:color w:val="000000" w:themeColor="text1"/>
          <w:sz w:val="24"/>
          <w:highlight w:val="none"/>
          <w14:textFill>
            <w14:solidFill>
              <w14:schemeClr w14:val="tx1"/>
            </w14:solidFill>
          </w14:textFill>
        </w:rPr>
        <w:t>若乙方未能在甲方提出索赔通知的合理时限（7日内）或甲方同意的延长期限内，按甲方同意的上述任何一种方式处理索赔事宜</w:t>
      </w:r>
      <w:r>
        <w:rPr>
          <w:rFonts w:hint="eastAsia" w:ascii="仿宋_GB2312" w:hAnsi="仿宋_GB2312" w:eastAsia="仿宋_GB2312" w:cs="仿宋_GB2312"/>
          <w:b/>
          <w:bCs/>
          <w:color w:val="000000" w:themeColor="text1"/>
          <w:sz w:val="24"/>
          <w:highlight w:val="none"/>
          <w14:textFill>
            <w14:solidFill>
              <w14:schemeClr w14:val="tx1"/>
            </w14:solidFill>
          </w14:textFill>
        </w:rPr>
        <w:t>，甲方有权从乙方货款中扣除索赔金额，不足部分，甲方有权向乙方追偿。</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4、其他缺陷索赔：</w:t>
      </w:r>
      <w:r>
        <w:rPr>
          <w:rFonts w:hint="eastAsia" w:ascii="仿宋_GB2312" w:hAnsi="仿宋_GB2312" w:eastAsia="仿宋_GB2312" w:cs="仿宋_GB2312"/>
          <w:color w:val="000000" w:themeColor="text1"/>
          <w:highlight w:val="none"/>
          <w14:textFill>
            <w14:solidFill>
              <w14:schemeClr w14:val="tx1"/>
            </w14:solidFill>
          </w14:textFill>
        </w:rPr>
        <w:t>对于甲方提出的非质量缺陷的其他索赔通知，参照适用缺陷索赔规则。</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81" w:name="_Toc13471"/>
      <w:bookmarkStart w:id="182" w:name="_Toc13562"/>
      <w:bookmarkStart w:id="183" w:name="_Toc12864"/>
      <w:r>
        <w:rPr>
          <w:rFonts w:hint="eastAsia" w:ascii="仿宋_GB2312" w:hAnsi="仿宋_GB2312" w:eastAsia="仿宋_GB2312" w:cs="仿宋_GB2312"/>
          <w:b/>
          <w:bCs/>
          <w:color w:val="000000" w:themeColor="text1"/>
          <w:highlight w:val="none"/>
          <w14:textFill>
            <w14:solidFill>
              <w14:schemeClr w14:val="tx1"/>
            </w14:solidFill>
          </w14:textFill>
        </w:rPr>
        <w:t>合同变更</w:t>
      </w:r>
      <w:bookmarkEnd w:id="181"/>
      <w:bookmarkEnd w:id="182"/>
      <w:bookmarkEnd w:id="183"/>
    </w:p>
    <w:p>
      <w:pPr>
        <w:pStyle w:val="41"/>
        <w:numPr>
          <w:ilvl w:val="0"/>
          <w:numId w:val="10"/>
        </w:numPr>
        <w:spacing w:line="400" w:lineRule="atLeast"/>
        <w:ind w:firstLine="480" w:firstLineChars="200"/>
        <w:jc w:val="both"/>
        <w:rPr>
          <w:rFonts w:hint="eastAsia" w:ascii="宋体" w:hAnsi="宋体"/>
          <w:szCs w:val="21"/>
          <w:highlight w:val="none"/>
        </w:rPr>
      </w:pPr>
      <w:r>
        <w:rPr>
          <w:rFonts w:hint="eastAsia" w:ascii="仿宋_GB2312" w:hAnsi="仿宋_GB2312" w:eastAsia="仿宋_GB2312" w:cs="仿宋_GB2312"/>
          <w:color w:val="000000" w:themeColor="text1"/>
          <w:highlight w:val="none"/>
          <w14:textFill>
            <w14:solidFill>
              <w14:schemeClr w14:val="tx1"/>
            </w14:solidFill>
          </w14:textFill>
        </w:rPr>
        <w:t>经双方协商一致可以对本合同条款进行修改、变更或增减，并成为本合同的补充文件</w:t>
      </w:r>
      <w:r>
        <w:rPr>
          <w:rFonts w:hint="eastAsia" w:ascii="仿宋_GB2312" w:hAnsi="仿宋_GB2312" w:eastAsia="仿宋_GB2312" w:cs="仿宋_GB2312"/>
          <w:b/>
          <w:bCs/>
          <w:color w:val="000000" w:themeColor="text1"/>
          <w:highlight w:val="none"/>
          <w14:textFill>
            <w14:solidFill>
              <w14:schemeClr w14:val="tx1"/>
            </w14:solidFill>
          </w14:textFill>
        </w:rPr>
        <w:t>，此类补充文件需按本合同约定的生效条件加盖与本合同相同的印章才可视为成立并生效，具有同等法律效力。</w:t>
      </w:r>
    </w:p>
    <w:p>
      <w:pPr>
        <w:pStyle w:val="41"/>
        <w:numPr>
          <w:ilvl w:val="0"/>
          <w:numId w:val="10"/>
        </w:numPr>
        <w:spacing w:line="400" w:lineRule="atLeast"/>
        <w:ind w:firstLine="480"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bookmarkStart w:id="184" w:name="_Toc29083"/>
      <w:bookmarkStart w:id="185" w:name="_Toc28560"/>
      <w:bookmarkStart w:id="186" w:name="_Toc23441"/>
      <w:r>
        <w:rPr>
          <w:rFonts w:hint="eastAsia" w:ascii="仿宋_GB2312" w:hAnsi="仿宋_GB2312" w:eastAsia="仿宋_GB2312" w:cs="仿宋_GB2312"/>
          <w:color w:val="000000" w:themeColor="text1"/>
          <w:highlight w:val="none"/>
          <w:lang w:val="en-US" w:eastAsia="zh-CN"/>
          <w14:textFill>
            <w14:solidFill>
              <w14:schemeClr w14:val="tx1"/>
            </w14:solidFill>
          </w14:textFill>
        </w:rPr>
        <w:t>当乙方所供物资超出分供合同标的物的金额不超过原合同金额的10%（含），正常办理结算；分供合同标的物的金额超过原合同金额的10%但不超过30%（含），甲乙双方签订补充协议；分供合同标的物的金额超过原合同金额的30%，则对原合同外的物资重新组织招标。</w:t>
      </w:r>
    </w:p>
    <w:p>
      <w:pPr>
        <w:pStyle w:val="41"/>
        <w:numPr>
          <w:ilvl w:val="0"/>
          <w:numId w:val="10"/>
        </w:numPr>
        <w:spacing w:line="400" w:lineRule="atLeast"/>
        <w:ind w:firstLine="480"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工程建设单位、监理单位及相关部门出台的相关规定文件、市场准入制度造成合同不能执行，甲方不承担任何责任。</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合同解除</w:t>
      </w:r>
      <w:bookmarkEnd w:id="184"/>
      <w:bookmarkEnd w:id="185"/>
      <w:bookmarkEnd w:id="186"/>
    </w:p>
    <w:p>
      <w:pPr>
        <w:pStyle w:val="41"/>
        <w:numPr>
          <w:ilvl w:val="0"/>
          <w:numId w:val="11"/>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187" w:name="_Hlk126831282"/>
      <w:r>
        <w:rPr>
          <w:rFonts w:hint="eastAsia" w:ascii="仿宋_GB2312" w:hAnsi="仿宋_GB2312" w:eastAsia="仿宋_GB2312" w:cs="仿宋_GB2312"/>
          <w:color w:val="000000" w:themeColor="text1"/>
          <w:highlight w:val="none"/>
          <w14:textFill>
            <w14:solidFill>
              <w14:schemeClr w14:val="tx1"/>
            </w14:solidFill>
          </w14:textFill>
        </w:rPr>
        <w:t>因不可抗力致使不能实现合同目的等原因，经甲、乙双方协商一致同意可解除合同。</w:t>
      </w:r>
    </w:p>
    <w:p>
      <w:pPr>
        <w:pStyle w:val="41"/>
        <w:numPr>
          <w:ilvl w:val="0"/>
          <w:numId w:val="11"/>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如甲方与业主签订的总承包合同解除或终止，或因业主变更导致甲方无需采购约定材料，则甲方以书面形式通知乙方终止本合同。</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3、乙方具有下列事由之一的，甲方可以单方全部解除合同或部分解除合同或终止合同，乙方已收款项全部无条件返还：</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3.1乙方所提供的产品无法通过相关部门（如质监、监理、设计方、甲方及当地相关政府部门等）验收合格；</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3.2在产品使用后发生因产品质量问题造成人员、财产受到损害的；</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3.3乙方将本合同项下权利义务全部或部分转让的；</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3.4未按本合同约定时间交货累计延误达10日历天；</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3.5因产品质量未达到本合同专用条款第四条技术标准及质量要求和国家、地方政府相关部门的相关规范和要求，在甲方要求时间内无法更换或补充至甲方要求；</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3.6甲方发现产品不能满足本合同约定的质量标准时，或在本合同履行过程中，乙方未按甲方的要求及时进行整改的；</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3.7在本合同履行过程中乙方漠视甲方、设计方指令的或未按甲方、设计方指令执行的；</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3.9其他法律规定可解除合同的事由。</w:t>
      </w:r>
    </w:p>
    <w:p>
      <w:pPr>
        <w:pStyle w:val="4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发生上述事项，甲方将解除或终止合同的意思表示（书面或传真）通知乙方后合同解除或终止。合同解除后乙方仍应承担上述因乙方原因而产生的违约金和因此给甲方造成的全部直接和间接经济损失。乙方在收到解除或终止合同的通知后应无条件配合甲方处理善后事宜。</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4、合同解除或终止后，乙方应当积极配合甲方及时办理合同结算及支付手续，否则甲方有权单方办理结算，视为乙方认可甲方审定的结算额</w:t>
      </w:r>
      <w:bookmarkEnd w:id="187"/>
      <w:r>
        <w:rPr>
          <w:rFonts w:hint="eastAsia" w:ascii="仿宋_GB2312" w:hAnsi="仿宋_GB2312" w:eastAsia="仿宋_GB2312" w:cs="仿宋_GB2312"/>
          <w:b/>
          <w:bCs/>
          <w:color w:val="000000" w:themeColor="text1"/>
          <w:highlight w:val="none"/>
          <w14:textFill>
            <w14:solidFill>
              <w14:schemeClr w14:val="tx1"/>
            </w14:solidFill>
          </w14:textFill>
        </w:rPr>
        <w:t>。</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88" w:name="_Toc16580"/>
      <w:bookmarkStart w:id="189" w:name="_Toc17777"/>
      <w:bookmarkStart w:id="190" w:name="_Toc24603"/>
      <w:r>
        <w:rPr>
          <w:rFonts w:hint="eastAsia" w:ascii="仿宋_GB2312" w:hAnsi="仿宋_GB2312" w:eastAsia="仿宋_GB2312" w:cs="仿宋_GB2312"/>
          <w:b/>
          <w:bCs/>
          <w:color w:val="000000" w:themeColor="text1"/>
          <w:highlight w:val="none"/>
          <w14:textFill>
            <w14:solidFill>
              <w14:schemeClr w14:val="tx1"/>
            </w14:solidFill>
          </w14:textFill>
        </w:rPr>
        <w:t>不可抗力</w:t>
      </w:r>
      <w:bookmarkEnd w:id="188"/>
      <w:bookmarkEnd w:id="189"/>
      <w:bookmarkEnd w:id="190"/>
    </w:p>
    <w:p>
      <w:pPr>
        <w:pStyle w:val="41"/>
        <w:numPr>
          <w:ilvl w:val="0"/>
          <w:numId w:val="12"/>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不可抗力的确认和通知</w:t>
      </w:r>
    </w:p>
    <w:p>
      <w:pPr>
        <w:pStyle w:val="41"/>
        <w:numPr>
          <w:ilvl w:val="255"/>
          <w:numId w:val="0"/>
        </w:numPr>
        <w:spacing w:line="400" w:lineRule="atLeast"/>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eastAsia="zh-Hans"/>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不可抗力是指合同当事人在签订合同时不可预见，在合同履行过程中不可避免且不能克服的自然灾害和社会性突发事件，如地震、海啸、火灾、特大风雪、连续暴雨、特大降水、洪水等自然灾害，瘟疫、骚乱、戒严、暴动、战争、爆发性传染疾病、雾霾停工及其它通知的政府行为。合同一方当事人遇到不可抗力事件，使其履行合同义务受到阻碍时，应立即通知合同另一方当事人，书面说明不可抗力和受阻碍的详细情况，并提供必要的证明。</w:t>
      </w:r>
    </w:p>
    <w:p>
      <w:pPr>
        <w:pStyle w:val="41"/>
        <w:numPr>
          <w:ilvl w:val="0"/>
          <w:numId w:val="12"/>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不可抗力的通知</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 不可抗力事件发生后，</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应立即通知</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，并在力所能及的条件下迅速采取措施，尽力减少损失，</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应协助</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采取措施。若因</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未能尽力挽救，导致损失扩大的，由</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承担全部责任。</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 不可抗力事件结束后14天内，</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应向</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提交清理和修复费用的正式报告及有关资料。</w:t>
      </w:r>
    </w:p>
    <w:p>
      <w:pPr>
        <w:pStyle w:val="41"/>
        <w:numPr>
          <w:ilvl w:val="0"/>
          <w:numId w:val="1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不可抗力风险的承担</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 不可抗力导致的人员伤亡、财产损失、费用增加和（或）作业期限延误等后果，由合同当事人按以下原则承担：</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施工设备的损坏由</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和</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承担各自人员伤亡和财产的损失；</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（3）因不可抗力影响</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履行合同约定的义务，已经引起或将引起工期延误的，应当顺延工期，由此导致</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停工的费用损失由</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（4）因不可抗力引起或将引起工期延误，</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要求赶工的，由此增加的赶工费用由</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（5）</w:t>
      </w:r>
      <w:r>
        <w:rPr>
          <w:rFonts w:hint="eastAsia" w:ascii="仿宋_GB2312" w:hAnsi="仿宋_GB2312" w:eastAsia="仿宋_GB2312" w:cs="仿宋_GB2312"/>
          <w:color w:val="000000" w:themeColor="text1"/>
          <w:highlight w:val="none"/>
          <w:lang w:eastAsia="zh-CN"/>
          <w14:textFill>
            <w14:solidFill>
              <w14:schemeClr w14:val="tx1"/>
            </w14:solidFill>
          </w14:textFill>
        </w:rPr>
        <w:t>乙方</w:t>
      </w:r>
      <w:r>
        <w:rPr>
          <w:rFonts w:hint="eastAsia" w:ascii="仿宋_GB2312" w:hAnsi="仿宋_GB2312" w:eastAsia="仿宋_GB2312" w:cs="仿宋_GB2312"/>
          <w:color w:val="000000" w:themeColor="text1"/>
          <w:highlight w:val="none"/>
          <w14:textFill>
            <w14:solidFill>
              <w14:schemeClr w14:val="tx1"/>
            </w14:solidFill>
          </w14:textFill>
        </w:rPr>
        <w:t>在停工期间按照</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要求照管和清理</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工程的费用由</w:t>
      </w:r>
      <w:r>
        <w:rPr>
          <w:rFonts w:hint="eastAsia" w:ascii="仿宋_GB2312" w:hAnsi="仿宋_GB2312" w:eastAsia="仿宋_GB2312" w:cs="仿宋_GB2312"/>
          <w:color w:val="000000" w:themeColor="text1"/>
          <w:highlight w:val="none"/>
          <w:lang w:eastAsia="zh-CN"/>
          <w14:textFill>
            <w14:solidFill>
              <w14:schemeClr w14:val="tx1"/>
            </w14:solidFill>
          </w14:textFill>
        </w:rPr>
        <w:t>甲方</w:t>
      </w:r>
      <w:r>
        <w:rPr>
          <w:rFonts w:hint="eastAsia" w:ascii="仿宋_GB2312" w:hAnsi="仿宋_GB2312" w:eastAsia="仿宋_GB2312" w:cs="仿宋_GB2312"/>
          <w:color w:val="000000" w:themeColor="text1"/>
          <w:highlight w:val="none"/>
          <w14:textFill>
            <w14:solidFill>
              <w14:schemeClr w14:val="tx1"/>
            </w14:solidFill>
          </w14:textFill>
        </w:rPr>
        <w:t>承担。</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 因合同一方迟延履行合同义务，在迟延履行期间遭遇不可抗力的，不免除其违约责任。</w:t>
      </w:r>
    </w:p>
    <w:p>
      <w:pPr>
        <w:pStyle w:val="41"/>
        <w:numPr>
          <w:ilvl w:val="0"/>
          <w:numId w:val="1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因不可抗力解除合同</w:t>
      </w:r>
    </w:p>
    <w:p>
      <w:pPr>
        <w:pStyle w:val="41"/>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因不可抗力导致本合同无法履行连续超过84天或累计超过140天的，甲方和乙方均有权解除本合同。本合同解除后，甲方有权暂停对乙方的付款，直到双方就退场达成一致。</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91" w:name="_Toc9310"/>
      <w:bookmarkStart w:id="192" w:name="_Toc18501"/>
      <w:bookmarkStart w:id="193" w:name="_Toc10852"/>
      <w:r>
        <w:rPr>
          <w:rFonts w:hint="eastAsia" w:ascii="仿宋_GB2312" w:hAnsi="仿宋_GB2312" w:eastAsia="仿宋_GB2312" w:cs="仿宋_GB2312"/>
          <w:b/>
          <w:bCs/>
          <w:color w:val="000000" w:themeColor="text1"/>
          <w:highlight w:val="none"/>
          <w14:textFill>
            <w14:solidFill>
              <w14:schemeClr w14:val="tx1"/>
            </w14:solidFill>
          </w14:textFill>
        </w:rPr>
        <w:t>争议解决</w:t>
      </w:r>
      <w:bookmarkEnd w:id="191"/>
      <w:bookmarkEnd w:id="192"/>
      <w:bookmarkEnd w:id="193"/>
    </w:p>
    <w:p>
      <w:pPr>
        <w:pStyle w:val="4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1、争议和解：</w:t>
      </w:r>
      <w:r>
        <w:rPr>
          <w:rFonts w:hint="eastAsia" w:ascii="仿宋_GB2312" w:hAnsi="仿宋_GB2312" w:eastAsia="仿宋_GB2312" w:cs="仿宋_GB2312"/>
          <w:color w:val="000000" w:themeColor="text1"/>
          <w:highlight w:val="none"/>
          <w14:textFill>
            <w14:solidFill>
              <w14:schemeClr w14:val="tx1"/>
            </w14:solidFill>
          </w14:textFill>
        </w:rPr>
        <w:t>对因本合同引起或与之相关的任何争议、纠纷或权利主张，任何一方如欲通过本条第2款约定的方式解决，须在提起第2款约定的争议解决方式前，向对方发出书面和解申请书，并告知对方争议、纠纷或权利主张之事实及依据。</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在对方收到上述通知之日起</w:t>
      </w:r>
      <w:r>
        <w:rPr>
          <w:rFonts w:hint="eastAsia" w:ascii="仿宋_GB2312" w:hAnsi="仿宋_GB2312" w:eastAsia="仿宋_GB2312" w:cs="仿宋_GB2312"/>
          <w:color w:val="000000" w:themeColor="text1"/>
          <w:highlight w:val="none"/>
          <w:u w:val="single"/>
          <w14:textFill>
            <w14:solidFill>
              <w14:schemeClr w14:val="tx1"/>
            </w14:solidFill>
          </w14:textFill>
        </w:rPr>
        <w:t>3个月</w:t>
      </w:r>
      <w:r>
        <w:rPr>
          <w:rFonts w:hint="eastAsia" w:ascii="仿宋_GB2312" w:hAnsi="仿宋_GB2312" w:eastAsia="仿宋_GB2312" w:cs="仿宋_GB2312"/>
          <w:color w:val="000000" w:themeColor="text1"/>
          <w:highlight w:val="none"/>
          <w14:textFill>
            <w14:solidFill>
              <w14:schemeClr w14:val="tx1"/>
            </w14:solidFill>
          </w14:textFill>
        </w:rPr>
        <w:t>为双方和解期限。在和解期限内，若双方达成和解协议的，双方的权利义务按照和解协议履行；若未达成和解协议的，任何一方可采取本条第2款约定的争议解决方式。</w:t>
      </w:r>
    </w:p>
    <w:p>
      <w:pPr>
        <w:spacing w:line="400" w:lineRule="exact"/>
        <w:ind w:firstLine="482" w:firstLineChars="200"/>
        <w:jc w:val="left"/>
        <w:rPr>
          <w:rFonts w:hint="default"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pPr>
      <w:bookmarkStart w:id="194" w:name="_Hlk126830485"/>
      <w:bookmarkStart w:id="195" w:name="_Hlk126770481"/>
      <w:bookmarkStart w:id="196" w:name="_Toc18393"/>
      <w:bookmarkStart w:id="197" w:name="_Toc11207"/>
      <w:bookmarkStart w:id="198" w:name="_Toc31739"/>
      <w:r>
        <w:rPr>
          <w:rFonts w:hint="eastAsia" w:ascii="仿宋_GB2312" w:hAnsi="仿宋_GB2312" w:eastAsia="仿宋_GB2312" w:cs="仿宋_GB2312"/>
          <w:b/>
          <w:bCs/>
          <w:color w:val="000000" w:themeColor="text1"/>
          <w:highlight w:val="none"/>
          <w14:textFill>
            <w14:solidFill>
              <w14:schemeClr w14:val="tx1"/>
            </w14:solidFill>
          </w14:textFill>
        </w:rPr>
        <w:t>2、</w:t>
      </w:r>
      <w:bookmarkStart w:id="199" w:name="_Hlk127194929"/>
      <w:r>
        <w:rPr>
          <w:rFonts w:hint="eastAsia" w:ascii="仿宋_GB2312" w:hAnsi="仿宋_GB2312" w:eastAsia="仿宋_GB2312" w:cs="仿宋_GB2312"/>
          <w:b/>
          <w:bCs/>
          <w:color w:val="000000" w:themeColor="text1"/>
          <w:kern w:val="0"/>
          <w:sz w:val="24"/>
          <w:szCs w:val="24"/>
          <w:highlight w:val="none"/>
          <w:lang w:val="en-US" w:eastAsia="zh-CN" w:bidi="ar-SA"/>
          <w14:textFill>
            <w14:solidFill>
              <w14:schemeClr w14:val="tx1"/>
            </w14:solidFill>
          </w14:textFill>
        </w:rPr>
        <w:t>争议仲裁或诉讼：</w:t>
      </w: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因本合同引起或与之相关任何争议、纠纷或权利主张，和解不成且已超过和解期的,按以下第 2.1.1种方式解决。</w:t>
      </w:r>
    </w:p>
    <w:p>
      <w:pPr>
        <w:pStyle w:val="41"/>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2.1.1双方约定向甲方住所地有管辖权的人民法院提起诉讼。</w:t>
      </w:r>
    </w:p>
    <w:p>
      <w:pPr>
        <w:pStyle w:val="41"/>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2.1.2双方约定向合同签订地人民法院提起诉讼。</w:t>
      </w:r>
    </w:p>
    <w:p>
      <w:pPr>
        <w:pStyle w:val="41"/>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2.2.3提交河北省石家庄市仲裁委员会裁决。</w:t>
      </w:r>
    </w:p>
    <w:p>
      <w:pPr>
        <w:pStyle w:val="4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highlight w:val="none"/>
          <w14:textFill>
            <w14:solidFill>
              <w14:schemeClr w14:val="tx1"/>
            </w14:solidFill>
          </w14:textFill>
        </w:rPr>
        <w:t>本合同中关于管辖权的约定是唯一的，任何一方不得通过债权转让或其它方式对涉及本合同约定事项或与之相关的事项的争议解决方式进行另行约定或对本合同关于管辖权的约定进行变更，如发生类似情形，该等约定亦属无效</w:t>
      </w:r>
      <w:bookmarkEnd w:id="194"/>
      <w:bookmarkEnd w:id="199"/>
      <w:r>
        <w:rPr>
          <w:rFonts w:hint="eastAsia" w:ascii="仿宋_GB2312" w:hAnsi="仿宋_GB2312" w:eastAsia="仿宋_GB2312" w:cs="仿宋_GB2312"/>
          <w:b/>
          <w:bCs/>
          <w:color w:val="000000" w:themeColor="text1"/>
          <w:highlight w:val="none"/>
          <w14:textFill>
            <w14:solidFill>
              <w14:schemeClr w14:val="tx1"/>
            </w14:solidFill>
          </w14:textFill>
        </w:rPr>
        <w:t>。</w:t>
      </w:r>
      <w:bookmarkEnd w:id="195"/>
    </w:p>
    <w:p>
      <w:pPr>
        <w:pStyle w:val="41"/>
        <w:spacing w:line="400" w:lineRule="atLeast"/>
        <w:ind w:firstLine="482" w:firstLineChars="200"/>
        <w:jc w:val="both"/>
        <w:rPr>
          <w:rFonts w:ascii="仿宋_GB2312" w:hAnsi="仿宋_GB2312" w:eastAsia="仿宋_GB2312" w:cs="仿宋_GB2312"/>
          <w:b/>
          <w:bCs/>
          <w:color w:val="000000" w:themeColor="text1"/>
          <w:highlight w:val="yellow"/>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highlight w:val="none"/>
          <w14:textFill>
            <w14:solidFill>
              <w14:schemeClr w14:val="tx1"/>
            </w14:solidFill>
          </w14:textFill>
        </w:rPr>
        <w:t>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产生的各项</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合理</w:t>
      </w:r>
      <w:r>
        <w:rPr>
          <w:rFonts w:hint="eastAsia" w:ascii="仿宋_GB2312" w:hAnsi="仿宋_GB2312" w:eastAsia="仿宋_GB2312" w:cs="仿宋_GB2312"/>
          <w:b/>
          <w:bCs/>
          <w:color w:val="000000" w:themeColor="text1"/>
          <w:highlight w:val="none"/>
          <w14:textFill>
            <w14:solidFill>
              <w14:schemeClr w14:val="tx1"/>
            </w14:solidFill>
          </w14:textFill>
        </w:rPr>
        <w:t>费用由双方自行承担，包括但不限于</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案件受理费、</w:t>
      </w:r>
      <w:r>
        <w:rPr>
          <w:rFonts w:hint="eastAsia" w:ascii="仿宋_GB2312" w:hAnsi="仿宋_GB2312" w:eastAsia="仿宋_GB2312" w:cs="仿宋_GB2312"/>
          <w:b/>
          <w:bCs/>
          <w:color w:val="000000" w:themeColor="text1"/>
          <w:highlight w:val="none"/>
          <w14:textFill>
            <w14:solidFill>
              <w14:schemeClr w14:val="tx1"/>
            </w14:solidFill>
          </w14:textFill>
        </w:rPr>
        <w:t>律师费、仲裁费、保全费、保全保险费、差旅费、公证费及鉴定费等因仲裁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引发的费用。</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保密义务</w:t>
      </w:r>
      <w:bookmarkEnd w:id="196"/>
      <w:bookmarkEnd w:id="197"/>
      <w:bookmarkEnd w:id="198"/>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200" w:name="_Toc12970"/>
      <w:r>
        <w:rPr>
          <w:rFonts w:hint="eastAsia" w:ascii="仿宋_GB2312" w:hAnsi="仿宋_GB2312" w:eastAsia="仿宋_GB2312" w:cs="仿宋_GB2312"/>
          <w:color w:val="000000" w:themeColor="text1"/>
          <w:highlight w:val="none"/>
          <w14:textFill>
            <w14:solidFill>
              <w14:schemeClr w14:val="tx1"/>
            </w14:solidFill>
          </w14:textFill>
        </w:rPr>
        <w:t>1、除乙方为执行合同所雇人员外，在未经甲方书面许可的情况下，乙方不得将合同中的规定、有关规格、计划、图纸、式样、样本或甲方为上述内容向乙方提供的资料向本协议以外的任何第三方披露。乙方须在对外保密的前提下，对其雇用人员提供相关资料仅限于执行合同必须提供的范围之内。</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2、除合同另有约定以外，本合同列明的所有资料始终为甲方财产，若甲方要求，乙方应于其合同义务履行完毕以后退还甲方相应资料（包括所有副本）。</w:t>
      </w:r>
    </w:p>
    <w:p>
      <w:pPr>
        <w:pStyle w:val="4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201" w:name="_Toc14038"/>
      <w:bookmarkStart w:id="202" w:name="_Toc3848"/>
      <w:r>
        <w:rPr>
          <w:rFonts w:hint="eastAsia" w:ascii="仿宋_GB2312" w:hAnsi="仿宋_GB2312" w:eastAsia="仿宋_GB2312" w:cs="仿宋_GB2312"/>
          <w:b/>
          <w:bCs/>
          <w:color w:val="000000" w:themeColor="text1"/>
          <w:highlight w:val="none"/>
          <w14:textFill>
            <w14:solidFill>
              <w14:schemeClr w14:val="tx1"/>
            </w14:solidFill>
          </w14:textFill>
        </w:rPr>
        <w:t>其他条款</w:t>
      </w:r>
      <w:bookmarkEnd w:id="200"/>
      <w:bookmarkEnd w:id="201"/>
      <w:bookmarkEnd w:id="202"/>
    </w:p>
    <w:p>
      <w:pPr>
        <w:pStyle w:val="41"/>
        <w:numPr>
          <w:ilvl w:val="0"/>
          <w:numId w:val="13"/>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本合同与甲方招标文件、乙方投标文件有相抵触之处，均以本合同条款为准。</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2、本合同附件是本合同有效组成部分，与本合同具有同等效力。</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3、本合同未尽事宜，按《中华人民共和国民法典》有关规定执行。</w:t>
      </w:r>
    </w:p>
    <w:p>
      <w:pPr>
        <w:pStyle w:val="4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4、其他约定</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r>
        <w:rPr>
          <w:rFonts w:hint="eastAsia" w:ascii="仿宋_GB2312" w:hAnsi="仿宋_GB2312" w:eastAsia="仿宋_GB2312" w:cs="仿宋_GB2312"/>
          <w:color w:val="000000" w:themeColor="text1"/>
          <w:highlight w:val="none"/>
          <w14:textFill>
            <w14:solidFill>
              <w14:schemeClr w14:val="tx1"/>
            </w14:solidFill>
          </w14:textFill>
        </w:rPr>
        <w:t>。</w:t>
      </w:r>
    </w:p>
    <w:p>
      <w:pPr>
        <w:pStyle w:val="41"/>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bookmarkStart w:id="203" w:name="_Toc20230"/>
      <w:r>
        <w:rPr>
          <w:rFonts w:hint="eastAsia" w:ascii="仿宋_GB2312" w:hAnsi="仿宋_GB2312" w:eastAsia="仿宋_GB2312" w:cs="仿宋_GB2312"/>
          <w:color w:val="000000" w:themeColor="text1"/>
          <w:highlight w:val="none"/>
          <w14:textFill>
            <w14:solidFill>
              <w14:schemeClr w14:val="tx1"/>
            </w14:solidFill>
          </w14:textFill>
        </w:rPr>
        <w:t>以下无正文</w:t>
      </w:r>
      <w:bookmarkEnd w:id="203"/>
    </w:p>
    <w:p>
      <w:pPr>
        <w:pStyle w:val="41"/>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p>
    <w:p>
      <w:pPr>
        <w:pStyle w:val="41"/>
        <w:spacing w:line="400" w:lineRule="atLeast"/>
        <w:ind w:firstLine="480" w:firstLineChars="200"/>
        <w:jc w:val="both"/>
        <w:rPr>
          <w:rFonts w:hint="default"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 xml:space="preserve">    甲  方：                               乙  方：</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pStyle w:val="41"/>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p>
    <w:p>
      <w:pPr>
        <w:rPr>
          <w:rFonts w:ascii="仿宋_GB2312" w:hAnsi="仿宋_GB2312" w:eastAsia="仿宋_GB2312" w:cs="仿宋_GB2312"/>
          <w:color w:val="000000" w:themeColor="text1"/>
          <w:sz w:val="24"/>
          <w:highlight w:val="none"/>
          <w14:textFill>
            <w14:solidFill>
              <w14:schemeClr w14:val="tx1"/>
            </w14:solidFill>
          </w14:textFill>
        </w:rPr>
      </w:pPr>
    </w:p>
    <w:p>
      <w:pPr>
        <w:rPr>
          <w:highlight w:val="none"/>
        </w:rPr>
      </w:pPr>
    </w:p>
    <w:p>
      <w:pPr>
        <w:widowControl/>
        <w:spacing w:line="480" w:lineRule="auto"/>
        <w:rPr>
          <w:rFonts w:ascii="宋体" w:hAnsi="宋体"/>
          <w:sz w:val="21"/>
          <w:szCs w:val="21"/>
        </w:rPr>
      </w:pPr>
    </w:p>
    <w:p>
      <w:pPr>
        <w:widowControl/>
        <w:spacing w:line="480" w:lineRule="auto"/>
        <w:rPr>
          <w:rFonts w:ascii="宋体" w:hAnsi="宋体"/>
          <w:sz w:val="21"/>
          <w:szCs w:val="21"/>
          <w:highlight w:val="none"/>
        </w:rPr>
      </w:pPr>
    </w:p>
    <w:sectPr>
      <w:headerReference r:id="rId10" w:type="default"/>
      <w:footerReference r:id="rId11"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 w:hAnsi="仿宋" w:eastAsia="仿宋" w:cs="仿宋"/>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cs="Times New Roman"/>
      </w:rPr>
    </w:pPr>
    <w:r>
      <w:fldChar w:fldCharType="begin"/>
    </w:r>
    <w:r>
      <w:rPr>
        <w:rStyle w:val="38"/>
        <w:rFonts w:cs="宋体"/>
      </w:rPr>
      <w:instrText xml:space="preserve"> PAGE </w:instrText>
    </w:r>
    <w:r>
      <w:fldChar w:fldCharType="separate"/>
    </w:r>
    <w:r>
      <w:rPr>
        <w:rStyle w:val="38"/>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Pr>
      <w:pStyle w:val="23"/>
    </w:pPr>
  </w:p>
  <w:p>
    <w:pPr>
      <w:pStyle w:val="23"/>
      <w:jc w:val="both"/>
    </w:pPr>
  </w:p>
  <w:p>
    <w:pPr>
      <w:pStyle w:val="23"/>
      <w:jc w:val="left"/>
      <w:rPr>
        <w:b/>
        <w:bCs/>
      </w:rPr>
    </w:pPr>
    <w:r>
      <w:drawing>
        <wp:anchor distT="0" distB="0" distL="114300" distR="114300" simplePos="0" relativeHeight="251662336" behindDoc="0" locked="0" layoutInCell="1" allowOverlap="1">
          <wp:simplePos x="0" y="0"/>
          <wp:positionH relativeFrom="column">
            <wp:posOffset>-9525</wp:posOffset>
          </wp:positionH>
          <wp:positionV relativeFrom="paragraph">
            <wp:posOffset>76835</wp:posOffset>
          </wp:positionV>
          <wp:extent cx="377190" cy="144145"/>
          <wp:effectExtent l="0" t="0" r="3810" b="8255"/>
          <wp:wrapNone/>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t xml:space="preserve">  </w:t>
    </w:r>
    <w:r>
      <w:rPr>
        <w:rFonts w:hint="eastAsia"/>
        <w:b/>
        <w:bCs/>
      </w:rPr>
      <w:t xml:space="preserve">                                                                                 </w:t>
    </w:r>
    <w:r>
      <w:rPr>
        <w:rFonts w:hint="eastAsia"/>
        <w:sz w:val="18"/>
        <w:szCs w:val="24"/>
      </w:rPr>
      <w:t xml:space="preserve">  </w:t>
    </w:r>
    <w:r>
      <w:rPr>
        <w:rFonts w:hint="eastAsia" w:ascii="宋体" w:hAnsi="宋体" w:cs="宋体"/>
        <w:b/>
        <w:color w:val="000000"/>
        <w:sz w:val="24"/>
        <w:szCs w:val="32"/>
      </w:rPr>
      <w:t>CSCEC</w:t>
    </w:r>
  </w:p>
  <w:p>
    <w:pPr>
      <w:pStyle w:val="2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pPr>
    <w:r>
      <w:rPr>
        <w:rFonts w:hint="eastAsia"/>
        <w:sz w:val="18"/>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4384"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8" name="图片 8"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25A6D"/>
    <w:multiLevelType w:val="singleLevel"/>
    <w:tmpl w:val="9C525A6D"/>
    <w:lvl w:ilvl="0" w:tentative="0">
      <w:start w:val="1"/>
      <w:numFmt w:val="decimal"/>
      <w:suff w:val="nothing"/>
      <w:lvlText w:val="%1、"/>
      <w:lvlJc w:val="left"/>
    </w:lvl>
  </w:abstractNum>
  <w:abstractNum w:abstractNumId="1">
    <w:nsid w:val="CDF988A0"/>
    <w:multiLevelType w:val="singleLevel"/>
    <w:tmpl w:val="CDF988A0"/>
    <w:lvl w:ilvl="0" w:tentative="0">
      <w:start w:val="1"/>
      <w:numFmt w:val="decimal"/>
      <w:suff w:val="nothing"/>
      <w:lvlText w:val="%1、"/>
      <w:lvlJc w:val="left"/>
    </w:lvl>
  </w:abstractNum>
  <w:abstractNum w:abstractNumId="2">
    <w:nsid w:val="D6CC21DA"/>
    <w:multiLevelType w:val="singleLevel"/>
    <w:tmpl w:val="D6CC21DA"/>
    <w:lvl w:ilvl="0" w:tentative="0">
      <w:start w:val="1"/>
      <w:numFmt w:val="decimal"/>
      <w:suff w:val="nothing"/>
      <w:lvlText w:val="%1、"/>
      <w:lvlJc w:val="left"/>
    </w:lvl>
  </w:abstractNum>
  <w:abstractNum w:abstractNumId="3">
    <w:nsid w:val="DA2CD928"/>
    <w:multiLevelType w:val="singleLevel"/>
    <w:tmpl w:val="DA2CD928"/>
    <w:lvl w:ilvl="0" w:tentative="0">
      <w:start w:val="1"/>
      <w:numFmt w:val="decimal"/>
      <w:suff w:val="nothing"/>
      <w:lvlText w:val="%1、"/>
      <w:lvlJc w:val="left"/>
    </w:lvl>
  </w:abstractNum>
  <w:abstractNum w:abstractNumId="4">
    <w:nsid w:val="E0133784"/>
    <w:multiLevelType w:val="singleLevel"/>
    <w:tmpl w:val="E0133784"/>
    <w:lvl w:ilvl="0" w:tentative="0">
      <w:start w:val="1"/>
      <w:numFmt w:val="decimal"/>
      <w:suff w:val="nothing"/>
      <w:lvlText w:val="%1、"/>
      <w:lvlJc w:val="left"/>
    </w:lvl>
  </w:abstractNum>
  <w:abstractNum w:abstractNumId="5">
    <w:nsid w:val="EEFD7662"/>
    <w:multiLevelType w:val="singleLevel"/>
    <w:tmpl w:val="EEFD7662"/>
    <w:lvl w:ilvl="0" w:tentative="0">
      <w:start w:val="1"/>
      <w:numFmt w:val="decimal"/>
      <w:suff w:val="nothing"/>
      <w:lvlText w:val="%1、"/>
      <w:lvlJc w:val="left"/>
    </w:lvl>
  </w:abstractNum>
  <w:abstractNum w:abstractNumId="6">
    <w:nsid w:val="EFACCE70"/>
    <w:multiLevelType w:val="singleLevel"/>
    <w:tmpl w:val="EFACCE70"/>
    <w:lvl w:ilvl="0" w:tentative="0">
      <w:start w:val="1"/>
      <w:numFmt w:val="chineseCounting"/>
      <w:suff w:val="nothing"/>
      <w:lvlText w:val="%1、"/>
      <w:lvlJc w:val="left"/>
      <w:rPr>
        <w:rFonts w:hint="eastAsia"/>
      </w:rPr>
    </w:lvl>
  </w:abstractNum>
  <w:abstractNum w:abstractNumId="7">
    <w:nsid w:val="F4B4D53B"/>
    <w:multiLevelType w:val="singleLevel"/>
    <w:tmpl w:val="F4B4D53B"/>
    <w:lvl w:ilvl="0" w:tentative="0">
      <w:start w:val="1"/>
      <w:numFmt w:val="decimal"/>
      <w:suff w:val="nothing"/>
      <w:lvlText w:val="%1、"/>
      <w:lvlJc w:val="left"/>
    </w:lvl>
  </w:abstractNum>
  <w:abstractNum w:abstractNumId="8">
    <w:nsid w:val="17E12B1E"/>
    <w:multiLevelType w:val="singleLevel"/>
    <w:tmpl w:val="17E12B1E"/>
    <w:lvl w:ilvl="0" w:tentative="0">
      <w:start w:val="6"/>
      <w:numFmt w:val="chineseCounting"/>
      <w:suff w:val="nothing"/>
      <w:lvlText w:val="%1、"/>
      <w:lvlJc w:val="left"/>
      <w:pPr>
        <w:ind w:left="480" w:firstLine="0"/>
      </w:pPr>
      <w:rPr>
        <w:rFonts w:hint="eastAsia"/>
      </w:rPr>
    </w:lvl>
  </w:abstractNum>
  <w:abstractNum w:abstractNumId="9">
    <w:nsid w:val="1C870535"/>
    <w:multiLevelType w:val="singleLevel"/>
    <w:tmpl w:val="1C870535"/>
    <w:lvl w:ilvl="0" w:tentative="0">
      <w:start w:val="1"/>
      <w:numFmt w:val="decimal"/>
      <w:suff w:val="nothing"/>
      <w:lvlText w:val="%1、"/>
      <w:lvlJc w:val="left"/>
      <w:rPr>
        <w:rFonts w:hint="default"/>
        <w:b/>
        <w:bCs/>
      </w:rPr>
    </w:lvl>
  </w:abstractNum>
  <w:abstractNum w:abstractNumId="10">
    <w:nsid w:val="1D9874AA"/>
    <w:multiLevelType w:val="singleLevel"/>
    <w:tmpl w:val="1D9874AA"/>
    <w:lvl w:ilvl="0" w:tentative="0">
      <w:start w:val="1"/>
      <w:numFmt w:val="chineseCounting"/>
      <w:suff w:val="nothing"/>
      <w:lvlText w:val="%1、"/>
      <w:lvlJc w:val="left"/>
      <w:rPr>
        <w:rFonts w:hint="eastAsia"/>
      </w:rPr>
    </w:lvl>
  </w:abstractNum>
  <w:abstractNum w:abstractNumId="11">
    <w:nsid w:val="567023B9"/>
    <w:multiLevelType w:val="singleLevel"/>
    <w:tmpl w:val="567023B9"/>
    <w:lvl w:ilvl="0" w:tentative="0">
      <w:start w:val="1"/>
      <w:numFmt w:val="decimal"/>
      <w:suff w:val="nothing"/>
      <w:lvlText w:val="%1、"/>
      <w:lvlJc w:val="left"/>
    </w:lvl>
  </w:abstractNum>
  <w:abstractNum w:abstractNumId="12">
    <w:nsid w:val="5A99D076"/>
    <w:multiLevelType w:val="singleLevel"/>
    <w:tmpl w:val="5A99D076"/>
    <w:lvl w:ilvl="0" w:tentative="0">
      <w:start w:val="2"/>
      <w:numFmt w:val="decimal"/>
      <w:lvlText w:val="%1."/>
      <w:lvlJc w:val="left"/>
      <w:pPr>
        <w:tabs>
          <w:tab w:val="left" w:pos="312"/>
        </w:tabs>
        <w:ind w:left="480" w:firstLine="0"/>
      </w:pPr>
    </w:lvl>
  </w:abstractNum>
  <w:num w:numId="1">
    <w:abstractNumId w:val="6"/>
  </w:num>
  <w:num w:numId="2">
    <w:abstractNumId w:val="3"/>
  </w:num>
  <w:num w:numId="3">
    <w:abstractNumId w:val="9"/>
  </w:num>
  <w:num w:numId="4">
    <w:abstractNumId w:val="5"/>
  </w:num>
  <w:num w:numId="5">
    <w:abstractNumId w:val="7"/>
  </w:num>
  <w:num w:numId="6">
    <w:abstractNumId w:val="12"/>
  </w:num>
  <w:num w:numId="7">
    <w:abstractNumId w:val="8"/>
  </w:num>
  <w:num w:numId="8">
    <w:abstractNumId w:val="10"/>
  </w:num>
  <w:num w:numId="9">
    <w:abstractNumId w:val="11"/>
  </w:num>
  <w:num w:numId="10">
    <w:abstractNumId w:val="2"/>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MjJjMmU3YTEyNjM1YWI0MTEzZjJlNDFkM2JiZGE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4463236"/>
    <w:rsid w:val="05105A04"/>
    <w:rsid w:val="05B9677F"/>
    <w:rsid w:val="05BF1780"/>
    <w:rsid w:val="06CB36D8"/>
    <w:rsid w:val="0714751A"/>
    <w:rsid w:val="082931CB"/>
    <w:rsid w:val="0AE10B06"/>
    <w:rsid w:val="0B4E1717"/>
    <w:rsid w:val="0C6B0A2B"/>
    <w:rsid w:val="0E1529C0"/>
    <w:rsid w:val="108821A0"/>
    <w:rsid w:val="10E2481B"/>
    <w:rsid w:val="117711C9"/>
    <w:rsid w:val="13C521D8"/>
    <w:rsid w:val="16BC60CF"/>
    <w:rsid w:val="20C8798E"/>
    <w:rsid w:val="24F00B4F"/>
    <w:rsid w:val="25844CA4"/>
    <w:rsid w:val="27414953"/>
    <w:rsid w:val="2AC854F7"/>
    <w:rsid w:val="2EC32215"/>
    <w:rsid w:val="3145400B"/>
    <w:rsid w:val="32C80D3E"/>
    <w:rsid w:val="33C466F0"/>
    <w:rsid w:val="397E2222"/>
    <w:rsid w:val="39B316EF"/>
    <w:rsid w:val="3B9F6BA4"/>
    <w:rsid w:val="3E4E1ADC"/>
    <w:rsid w:val="3F6F0185"/>
    <w:rsid w:val="46876755"/>
    <w:rsid w:val="472840A7"/>
    <w:rsid w:val="48F52D7E"/>
    <w:rsid w:val="4A8C758B"/>
    <w:rsid w:val="4AA24345"/>
    <w:rsid w:val="4C8E75EA"/>
    <w:rsid w:val="4CE353AD"/>
    <w:rsid w:val="4DAE1F65"/>
    <w:rsid w:val="52C754D9"/>
    <w:rsid w:val="561A543D"/>
    <w:rsid w:val="5D833876"/>
    <w:rsid w:val="5DE62550"/>
    <w:rsid w:val="5ED66091"/>
    <w:rsid w:val="60A76A75"/>
    <w:rsid w:val="60DB1620"/>
    <w:rsid w:val="64824AEB"/>
    <w:rsid w:val="673B5B7F"/>
    <w:rsid w:val="696D6EED"/>
    <w:rsid w:val="6A136F29"/>
    <w:rsid w:val="6AA33E09"/>
    <w:rsid w:val="6AB477DC"/>
    <w:rsid w:val="6BD2489F"/>
    <w:rsid w:val="6C2B00C2"/>
    <w:rsid w:val="725373AF"/>
    <w:rsid w:val="7BA07691"/>
    <w:rsid w:val="7BBD0AA3"/>
    <w:rsid w:val="7D00325D"/>
    <w:rsid w:val="7DE45BAD"/>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0"/>
    <w:pPr>
      <w:ind w:left="1680"/>
      <w:jc w:val="left"/>
    </w:pPr>
    <w:rPr>
      <w:rFonts w:ascii="宋体" w:hAnsi="宋体" w:eastAsia="宋体" w:cs="宋体"/>
      <w:kern w:val="44"/>
      <w:sz w:val="18"/>
      <w:szCs w:val="18"/>
    </w:rPr>
  </w:style>
  <w:style w:type="paragraph" w:styleId="8">
    <w:name w:val="Normal Indent"/>
    <w:basedOn w:val="1"/>
    <w:qFormat/>
    <w:uiPriority w:val="0"/>
    <w:pPr>
      <w:ind w:firstLine="420"/>
    </w:pPr>
    <w:rPr>
      <w:rFonts w:ascii="宋体" w:hAnsi="宋体" w:eastAsia="宋体" w:cs="宋体"/>
      <w:kern w:val="44"/>
      <w:sz w:val="21"/>
      <w:szCs w:val="21"/>
    </w:rPr>
  </w:style>
  <w:style w:type="paragraph" w:styleId="9">
    <w:name w:val="Document Map"/>
    <w:basedOn w:val="1"/>
    <w:link w:val="55"/>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semiHidden/>
    <w:unhideWhenUsed/>
    <w:qFormat/>
    <w:uiPriority w:val="0"/>
    <w:pPr>
      <w:jc w:val="left"/>
    </w:pPr>
  </w:style>
  <w:style w:type="paragraph" w:styleId="11">
    <w:name w:val="Salutation"/>
    <w:basedOn w:val="1"/>
    <w:next w:val="1"/>
    <w:link w:val="57"/>
    <w:qFormat/>
    <w:uiPriority w:val="0"/>
    <w:rPr>
      <w:rFonts w:ascii="宋体" w:hAnsi="宋体" w:eastAsia="宋体" w:cs="宋体"/>
      <w:kern w:val="44"/>
      <w:sz w:val="32"/>
      <w:szCs w:val="32"/>
    </w:rPr>
  </w:style>
  <w:style w:type="paragraph" w:styleId="12">
    <w:name w:val="Body Text 3"/>
    <w:basedOn w:val="1"/>
    <w:link w:val="305"/>
    <w:semiHidden/>
    <w:unhideWhenUsed/>
    <w:qFormat/>
    <w:uiPriority w:val="99"/>
    <w:pPr>
      <w:spacing w:after="120"/>
    </w:pPr>
    <w:rPr>
      <w:sz w:val="16"/>
      <w:szCs w:val="16"/>
    </w:rPr>
  </w:style>
  <w:style w:type="paragraph" w:styleId="13">
    <w:name w:val="Body Text"/>
    <w:basedOn w:val="1"/>
    <w:next w:val="1"/>
    <w:link w:val="51"/>
    <w:qFormat/>
    <w:uiPriority w:val="0"/>
    <w:pPr>
      <w:spacing w:after="120"/>
    </w:pPr>
    <w:rPr>
      <w:rFonts w:ascii="宋体" w:hAnsi="宋体" w:eastAsia="宋体" w:cs="宋体"/>
      <w:kern w:val="44"/>
      <w:sz w:val="28"/>
      <w:szCs w:val="28"/>
    </w:rPr>
  </w:style>
  <w:style w:type="paragraph" w:styleId="14">
    <w:name w:val="Body Text Indent"/>
    <w:basedOn w:val="1"/>
    <w:link w:val="76"/>
    <w:qFormat/>
    <w:uiPriority w:val="0"/>
    <w:pPr>
      <w:spacing w:after="120"/>
      <w:ind w:left="420" w:leftChars="200"/>
    </w:pPr>
    <w:rPr>
      <w:rFonts w:ascii="宋体" w:hAnsi="宋体" w:eastAsia="宋体" w:cs="宋体"/>
      <w:kern w:val="44"/>
      <w:sz w:val="28"/>
      <w:szCs w:val="28"/>
    </w:rPr>
  </w:style>
  <w:style w:type="paragraph" w:styleId="15">
    <w:name w:val="toc 5"/>
    <w:basedOn w:val="1"/>
    <w:next w:val="1"/>
    <w:qFormat/>
    <w:uiPriority w:val="0"/>
    <w:pPr>
      <w:ind w:left="1120"/>
      <w:jc w:val="left"/>
    </w:pPr>
    <w:rPr>
      <w:rFonts w:ascii="宋体" w:hAnsi="宋体" w:eastAsia="宋体" w:cs="宋体"/>
      <w:kern w:val="44"/>
      <w:sz w:val="18"/>
      <w:szCs w:val="18"/>
    </w:rPr>
  </w:style>
  <w:style w:type="paragraph" w:styleId="16">
    <w:name w:val="toc 3"/>
    <w:basedOn w:val="1"/>
    <w:next w:val="1"/>
    <w:qFormat/>
    <w:uiPriority w:val="0"/>
    <w:pPr>
      <w:tabs>
        <w:tab w:val="right" w:leader="dot" w:pos="9350"/>
      </w:tabs>
      <w:ind w:left="1799" w:leftChars="513" w:hanging="722" w:hangingChars="258"/>
    </w:pPr>
    <w:rPr>
      <w:rFonts w:ascii="宋体" w:hAnsi="宋体" w:eastAsia="宋体" w:cs="宋体"/>
      <w:sz w:val="28"/>
      <w:szCs w:val="28"/>
    </w:rPr>
  </w:style>
  <w:style w:type="paragraph" w:styleId="17">
    <w:name w:val="Plain Text"/>
    <w:basedOn w:val="1"/>
    <w:link w:val="74"/>
    <w:qFormat/>
    <w:uiPriority w:val="0"/>
    <w:rPr>
      <w:rFonts w:ascii="宋体" w:hAnsi="Courier New" w:eastAsia="宋体" w:cs="宋体"/>
      <w:kern w:val="44"/>
      <w:sz w:val="21"/>
      <w:szCs w:val="21"/>
    </w:rPr>
  </w:style>
  <w:style w:type="paragraph" w:styleId="18">
    <w:name w:val="toc 8"/>
    <w:basedOn w:val="1"/>
    <w:next w:val="1"/>
    <w:qFormat/>
    <w:uiPriority w:val="0"/>
    <w:pPr>
      <w:ind w:left="1960"/>
      <w:jc w:val="left"/>
    </w:pPr>
    <w:rPr>
      <w:rFonts w:ascii="宋体" w:hAnsi="宋体" w:eastAsia="宋体" w:cs="宋体"/>
      <w:kern w:val="44"/>
      <w:sz w:val="18"/>
      <w:szCs w:val="18"/>
    </w:rPr>
  </w:style>
  <w:style w:type="paragraph" w:styleId="19">
    <w:name w:val="Date"/>
    <w:basedOn w:val="1"/>
    <w:next w:val="1"/>
    <w:link w:val="52"/>
    <w:qFormat/>
    <w:uiPriority w:val="0"/>
    <w:pPr>
      <w:ind w:left="100" w:leftChars="2500"/>
    </w:pPr>
    <w:rPr>
      <w:rFonts w:ascii="宋体" w:hAnsi="宋体" w:eastAsia="宋体" w:cs="宋体"/>
      <w:kern w:val="44"/>
      <w:sz w:val="28"/>
      <w:szCs w:val="28"/>
    </w:rPr>
  </w:style>
  <w:style w:type="paragraph" w:styleId="20">
    <w:name w:val="Body Text Indent 2"/>
    <w:basedOn w:val="1"/>
    <w:link w:val="60"/>
    <w:qFormat/>
    <w:uiPriority w:val="0"/>
    <w:pPr>
      <w:spacing w:after="120" w:line="480" w:lineRule="auto"/>
      <w:ind w:left="420" w:leftChars="200"/>
    </w:pPr>
    <w:rPr>
      <w:rFonts w:ascii="宋体" w:hAnsi="宋体" w:eastAsia="宋体" w:cs="宋体"/>
      <w:kern w:val="44"/>
      <w:sz w:val="28"/>
      <w:szCs w:val="28"/>
    </w:rPr>
  </w:style>
  <w:style w:type="paragraph" w:styleId="21">
    <w:name w:val="Balloon Text"/>
    <w:basedOn w:val="1"/>
    <w:link w:val="58"/>
    <w:semiHidden/>
    <w:qFormat/>
    <w:uiPriority w:val="0"/>
    <w:rPr>
      <w:rFonts w:ascii="宋体" w:hAnsi="宋体" w:eastAsia="宋体" w:cs="宋体"/>
      <w:kern w:val="44"/>
      <w:sz w:val="18"/>
      <w:szCs w:val="18"/>
    </w:rPr>
  </w:style>
  <w:style w:type="paragraph" w:styleId="22">
    <w:name w:val="footer"/>
    <w:basedOn w:val="1"/>
    <w:link w:val="48"/>
    <w:unhideWhenUsed/>
    <w:qFormat/>
    <w:uiPriority w:val="0"/>
    <w:pPr>
      <w:tabs>
        <w:tab w:val="center" w:pos="4153"/>
        <w:tab w:val="right" w:pos="8306"/>
      </w:tabs>
      <w:snapToGrid w:val="0"/>
      <w:jc w:val="left"/>
    </w:pPr>
    <w:rPr>
      <w:sz w:val="18"/>
      <w:szCs w:val="18"/>
    </w:rPr>
  </w:style>
  <w:style w:type="paragraph" w:styleId="23">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spacing w:before="120" w:after="120"/>
      <w:jc w:val="left"/>
    </w:pPr>
    <w:rPr>
      <w:rFonts w:ascii="Times New Roman" w:hAnsi="Times New Roman" w:eastAsia="宋体" w:cs="Times New Roman"/>
      <w:b/>
      <w:bCs/>
      <w:caps/>
      <w:kern w:val="44"/>
      <w:sz w:val="28"/>
      <w:szCs w:val="28"/>
    </w:rPr>
  </w:style>
  <w:style w:type="paragraph" w:styleId="25">
    <w:name w:val="toc 4"/>
    <w:basedOn w:val="1"/>
    <w:next w:val="1"/>
    <w:qFormat/>
    <w:uiPriority w:val="0"/>
    <w:pPr>
      <w:ind w:left="840"/>
      <w:jc w:val="left"/>
    </w:pPr>
    <w:rPr>
      <w:rFonts w:ascii="宋体" w:hAnsi="宋体" w:eastAsia="宋体" w:cs="宋体"/>
      <w:kern w:val="44"/>
      <w:sz w:val="18"/>
      <w:szCs w:val="18"/>
    </w:rPr>
  </w:style>
  <w:style w:type="paragraph" w:styleId="26">
    <w:name w:val="toc 6"/>
    <w:basedOn w:val="1"/>
    <w:next w:val="1"/>
    <w:qFormat/>
    <w:uiPriority w:val="0"/>
    <w:pPr>
      <w:ind w:left="1400"/>
      <w:jc w:val="left"/>
    </w:pPr>
    <w:rPr>
      <w:rFonts w:ascii="宋体" w:hAnsi="宋体" w:eastAsia="宋体" w:cs="宋体"/>
      <w:kern w:val="44"/>
      <w:sz w:val="18"/>
      <w:szCs w:val="18"/>
    </w:rPr>
  </w:style>
  <w:style w:type="paragraph" w:styleId="27">
    <w:name w:val="Body Text Indent 3"/>
    <w:basedOn w:val="1"/>
    <w:link w:val="69"/>
    <w:qFormat/>
    <w:uiPriority w:val="0"/>
    <w:pPr>
      <w:spacing w:after="120"/>
      <w:ind w:left="420" w:leftChars="200"/>
    </w:pPr>
    <w:rPr>
      <w:rFonts w:ascii="宋体" w:hAnsi="宋体" w:eastAsia="宋体" w:cs="宋体"/>
      <w:kern w:val="44"/>
      <w:sz w:val="16"/>
      <w:szCs w:val="16"/>
    </w:rPr>
  </w:style>
  <w:style w:type="paragraph" w:styleId="28">
    <w:name w:val="toc 2"/>
    <w:basedOn w:val="1"/>
    <w:next w:val="1"/>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29">
    <w:name w:val="toc 9"/>
    <w:basedOn w:val="1"/>
    <w:next w:val="1"/>
    <w:qFormat/>
    <w:uiPriority w:val="0"/>
    <w:pPr>
      <w:ind w:left="2240"/>
      <w:jc w:val="left"/>
    </w:pPr>
    <w:rPr>
      <w:rFonts w:ascii="宋体" w:hAnsi="宋体" w:eastAsia="宋体" w:cs="宋体"/>
      <w:kern w:val="44"/>
      <w:sz w:val="18"/>
      <w:szCs w:val="18"/>
    </w:rPr>
  </w:style>
  <w:style w:type="paragraph" w:styleId="30">
    <w:name w:val="Normal (Web)"/>
    <w:basedOn w:val="1"/>
    <w:qFormat/>
    <w:uiPriority w:val="0"/>
    <w:pPr>
      <w:widowControl/>
      <w:spacing w:before="300" w:after="300"/>
      <w:jc w:val="left"/>
    </w:pPr>
    <w:rPr>
      <w:rFonts w:ascii="宋体" w:hAnsi="宋体" w:eastAsia="宋体" w:cs="宋体"/>
      <w:kern w:val="0"/>
    </w:rPr>
  </w:style>
  <w:style w:type="paragraph" w:styleId="31">
    <w:name w:val="Title"/>
    <w:basedOn w:val="1"/>
    <w:next w:val="1"/>
    <w:link w:val="307"/>
    <w:qFormat/>
    <w:uiPriority w:val="0"/>
    <w:pPr>
      <w:jc w:val="center"/>
      <w:outlineLvl w:val="0"/>
    </w:pPr>
    <w:rPr>
      <w:rFonts w:ascii="Times New Roman" w:hAnsi="Times New Roman" w:eastAsia="仿宋_GB2312" w:cs="Times New Roman"/>
      <w:bCs/>
      <w:sz w:val="28"/>
      <w:szCs w:val="32"/>
    </w:rPr>
  </w:style>
  <w:style w:type="paragraph" w:styleId="32">
    <w:name w:val="annotation subject"/>
    <w:basedOn w:val="10"/>
    <w:next w:val="10"/>
    <w:link w:val="62"/>
    <w:semiHidden/>
    <w:qFormat/>
    <w:uiPriority w:val="0"/>
    <w:rPr>
      <w:rFonts w:ascii="宋体" w:hAnsi="宋体" w:eastAsia="宋体" w:cs="宋体"/>
      <w:b/>
      <w:bCs/>
      <w:kern w:val="44"/>
      <w:sz w:val="28"/>
      <w:szCs w:val="28"/>
    </w:rPr>
  </w:style>
  <w:style w:type="paragraph" w:styleId="33">
    <w:name w:val="Body Text First Indent 2"/>
    <w:basedOn w:val="14"/>
    <w:link w:val="310"/>
    <w:unhideWhenUsed/>
    <w:qFormat/>
    <w:uiPriority w:val="0"/>
    <w:pPr>
      <w:ind w:firstLine="420" w:firstLineChars="200"/>
    </w:pPr>
    <w:rPr>
      <w:rFonts w:ascii="Times New Roman" w:hAnsi="Times New Roman" w:cs="Times New Roman"/>
      <w:kern w:val="2"/>
      <w:sz w:val="21"/>
      <w:szCs w:val="22"/>
    </w:rPr>
  </w:style>
  <w:style w:type="table" w:styleId="35">
    <w:name w:val="Table Grid"/>
    <w:basedOn w:val="3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0"/>
    <w:rPr>
      <w:rFonts w:cs="Times New Roman"/>
      <w:b/>
      <w:bCs/>
    </w:rPr>
  </w:style>
  <w:style w:type="character" w:styleId="38">
    <w:name w:val="page number"/>
    <w:basedOn w:val="36"/>
    <w:qFormat/>
    <w:uiPriority w:val="0"/>
    <w:rPr>
      <w:rFonts w:cs="Times New Roman"/>
    </w:rPr>
  </w:style>
  <w:style w:type="character" w:styleId="39">
    <w:name w:val="FollowedHyperlink"/>
    <w:basedOn w:val="36"/>
    <w:qFormat/>
    <w:uiPriority w:val="0"/>
    <w:rPr>
      <w:rFonts w:cs="Times New Roman"/>
      <w:color w:val="800080"/>
      <w:u w:val="single"/>
    </w:rPr>
  </w:style>
  <w:style w:type="character" w:styleId="40">
    <w:name w:val="Hyperlink"/>
    <w:basedOn w:val="36"/>
    <w:unhideWhenUsed/>
    <w:qFormat/>
    <w:uiPriority w:val="0"/>
    <w:rPr>
      <w:color w:val="0000FF" w:themeColor="hyperlink"/>
      <w:u w:val="single"/>
      <w14:textFill>
        <w14:solidFill>
          <w14:schemeClr w14:val="hlink"/>
        </w14:solidFill>
      </w14:textFill>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标题 1 Char"/>
    <w:basedOn w:val="36"/>
    <w:link w:val="2"/>
    <w:qFormat/>
    <w:uiPriority w:val="0"/>
    <w:rPr>
      <w:rFonts w:ascii="宋体" w:hAnsi="宋体" w:eastAsia="宋体" w:cs="宋体"/>
      <w:b/>
      <w:bCs/>
      <w:kern w:val="44"/>
      <w:sz w:val="44"/>
      <w:szCs w:val="44"/>
    </w:rPr>
  </w:style>
  <w:style w:type="character" w:customStyle="1" w:styleId="43">
    <w:name w:val="标题 2 Char"/>
    <w:basedOn w:val="36"/>
    <w:link w:val="3"/>
    <w:qFormat/>
    <w:uiPriority w:val="0"/>
    <w:rPr>
      <w:rFonts w:ascii="Arial" w:hAnsi="Arial" w:eastAsia="黑体" w:cs="Arial"/>
      <w:b/>
      <w:bCs/>
      <w:kern w:val="44"/>
      <w:sz w:val="32"/>
      <w:szCs w:val="32"/>
    </w:rPr>
  </w:style>
  <w:style w:type="character" w:customStyle="1" w:styleId="44">
    <w:name w:val="标题 3 Char"/>
    <w:basedOn w:val="36"/>
    <w:link w:val="4"/>
    <w:qFormat/>
    <w:uiPriority w:val="0"/>
    <w:rPr>
      <w:rFonts w:ascii="宋体" w:hAnsi="宋体" w:eastAsia="宋体" w:cs="宋体"/>
      <w:b/>
      <w:bCs/>
      <w:kern w:val="44"/>
      <w:sz w:val="32"/>
      <w:szCs w:val="32"/>
    </w:rPr>
  </w:style>
  <w:style w:type="character" w:customStyle="1" w:styleId="45">
    <w:name w:val="标题 4 Char"/>
    <w:basedOn w:val="36"/>
    <w:link w:val="5"/>
    <w:qFormat/>
    <w:uiPriority w:val="0"/>
    <w:rPr>
      <w:rFonts w:ascii="Arial" w:hAnsi="Arial" w:eastAsia="黑体" w:cs="Arial"/>
      <w:b/>
      <w:bCs/>
      <w:kern w:val="44"/>
      <w:sz w:val="28"/>
      <w:szCs w:val="28"/>
    </w:rPr>
  </w:style>
  <w:style w:type="character" w:customStyle="1" w:styleId="46">
    <w:name w:val="标题 9 Char"/>
    <w:basedOn w:val="36"/>
    <w:link w:val="6"/>
    <w:qFormat/>
    <w:uiPriority w:val="0"/>
    <w:rPr>
      <w:rFonts w:ascii="Arial" w:hAnsi="Arial" w:eastAsia="黑体" w:cs="Arial"/>
      <w:kern w:val="44"/>
      <w:sz w:val="21"/>
      <w:szCs w:val="21"/>
    </w:rPr>
  </w:style>
  <w:style w:type="character" w:customStyle="1" w:styleId="47">
    <w:name w:val="页眉 Char"/>
    <w:basedOn w:val="36"/>
    <w:link w:val="23"/>
    <w:qFormat/>
    <w:uiPriority w:val="0"/>
    <w:rPr>
      <w:sz w:val="18"/>
      <w:szCs w:val="18"/>
    </w:rPr>
  </w:style>
  <w:style w:type="character" w:customStyle="1" w:styleId="48">
    <w:name w:val="页脚 Char"/>
    <w:basedOn w:val="36"/>
    <w:link w:val="22"/>
    <w:qFormat/>
    <w:uiPriority w:val="0"/>
    <w:rPr>
      <w:sz w:val="18"/>
      <w:szCs w:val="18"/>
    </w:rPr>
  </w:style>
  <w:style w:type="character" w:customStyle="1" w:styleId="49">
    <w:name w:val="Char Char11"/>
    <w:basedOn w:val="36"/>
    <w:qFormat/>
    <w:locked/>
    <w:uiPriority w:val="0"/>
    <w:rPr>
      <w:sz w:val="24"/>
      <w:szCs w:val="24"/>
      <w:lang w:bidi="ar-SA"/>
    </w:rPr>
  </w:style>
  <w:style w:type="paragraph" w:styleId="50">
    <w:name w:val="List Paragraph"/>
    <w:basedOn w:val="1"/>
    <w:qFormat/>
    <w:uiPriority w:val="34"/>
    <w:pPr>
      <w:ind w:firstLine="420" w:firstLineChars="200"/>
    </w:pPr>
  </w:style>
  <w:style w:type="character" w:customStyle="1" w:styleId="51">
    <w:name w:val="正文文本 Char"/>
    <w:basedOn w:val="36"/>
    <w:link w:val="13"/>
    <w:qFormat/>
    <w:locked/>
    <w:uiPriority w:val="0"/>
    <w:rPr>
      <w:rFonts w:ascii="宋体" w:hAnsi="宋体" w:eastAsia="宋体" w:cs="宋体"/>
      <w:kern w:val="44"/>
      <w:sz w:val="28"/>
      <w:szCs w:val="28"/>
    </w:rPr>
  </w:style>
  <w:style w:type="character" w:customStyle="1" w:styleId="52">
    <w:name w:val="日期 Char"/>
    <w:basedOn w:val="36"/>
    <w:link w:val="19"/>
    <w:qFormat/>
    <w:locked/>
    <w:uiPriority w:val="0"/>
    <w:rPr>
      <w:rFonts w:ascii="宋体" w:hAnsi="宋体" w:eastAsia="宋体" w:cs="宋体"/>
      <w:kern w:val="44"/>
      <w:sz w:val="28"/>
      <w:szCs w:val="28"/>
    </w:rPr>
  </w:style>
  <w:style w:type="character" w:customStyle="1" w:styleId="53">
    <w:name w:val="Char Char1"/>
    <w:basedOn w:val="36"/>
    <w:qFormat/>
    <w:locked/>
    <w:uiPriority w:val="0"/>
    <w:rPr>
      <w:rFonts w:ascii="宋体" w:hAnsi="宋体" w:eastAsia="宋体"/>
      <w:kern w:val="2"/>
      <w:sz w:val="18"/>
      <w:szCs w:val="18"/>
      <w:lang w:val="en-US" w:eastAsia="zh-CN" w:bidi="ar-SA"/>
    </w:rPr>
  </w:style>
  <w:style w:type="character" w:customStyle="1" w:styleId="54">
    <w:name w:val="apple-converted-space"/>
    <w:basedOn w:val="36"/>
    <w:qFormat/>
    <w:uiPriority w:val="0"/>
  </w:style>
  <w:style w:type="character" w:customStyle="1" w:styleId="55">
    <w:name w:val="文档结构图 Char"/>
    <w:basedOn w:val="36"/>
    <w:link w:val="9"/>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6"/>
    <w:qFormat/>
    <w:locked/>
    <w:uiPriority w:val="0"/>
    <w:rPr>
      <w:rFonts w:ascii="宋体" w:hAnsi="Courier New" w:eastAsia="仿宋_GB2312" w:cs="宋体"/>
      <w:kern w:val="2"/>
      <w:sz w:val="21"/>
      <w:szCs w:val="21"/>
      <w:lang w:val="en-US" w:eastAsia="zh-CN"/>
    </w:rPr>
  </w:style>
  <w:style w:type="character" w:customStyle="1" w:styleId="57">
    <w:name w:val="称呼 Char"/>
    <w:basedOn w:val="36"/>
    <w:link w:val="11"/>
    <w:qFormat/>
    <w:locked/>
    <w:uiPriority w:val="0"/>
    <w:rPr>
      <w:rFonts w:ascii="宋体" w:hAnsi="宋体" w:eastAsia="宋体" w:cs="宋体"/>
      <w:kern w:val="44"/>
      <w:sz w:val="32"/>
      <w:szCs w:val="32"/>
    </w:rPr>
  </w:style>
  <w:style w:type="character" w:customStyle="1" w:styleId="58">
    <w:name w:val="批注框文本 Char"/>
    <w:basedOn w:val="36"/>
    <w:link w:val="21"/>
    <w:semiHidden/>
    <w:qFormat/>
    <w:locked/>
    <w:uiPriority w:val="0"/>
    <w:rPr>
      <w:rFonts w:ascii="宋体" w:hAnsi="宋体" w:eastAsia="宋体" w:cs="宋体"/>
      <w:kern w:val="44"/>
      <w:sz w:val="18"/>
      <w:szCs w:val="18"/>
    </w:rPr>
  </w:style>
  <w:style w:type="character" w:customStyle="1" w:styleId="59">
    <w:name w:val="H2 Char"/>
    <w:basedOn w:val="36"/>
    <w:qFormat/>
    <w:uiPriority w:val="0"/>
    <w:rPr>
      <w:rFonts w:ascii="Arial" w:hAnsi="Arial" w:eastAsia="黑体" w:cs="Arial"/>
      <w:b/>
      <w:bCs/>
      <w:kern w:val="2"/>
      <w:sz w:val="32"/>
      <w:szCs w:val="32"/>
      <w:lang w:val="en-US" w:eastAsia="zh-CN"/>
    </w:rPr>
  </w:style>
  <w:style w:type="character" w:customStyle="1" w:styleId="60">
    <w:name w:val="正文文本缩进 2 Char"/>
    <w:basedOn w:val="36"/>
    <w:link w:val="20"/>
    <w:qFormat/>
    <w:locked/>
    <w:uiPriority w:val="0"/>
    <w:rPr>
      <w:rFonts w:ascii="宋体" w:hAnsi="宋体" w:eastAsia="宋体" w:cs="宋体"/>
      <w:kern w:val="44"/>
      <w:sz w:val="28"/>
      <w:szCs w:val="28"/>
    </w:rPr>
  </w:style>
  <w:style w:type="character" w:customStyle="1" w:styleId="61">
    <w:name w:val="Char Char Char1"/>
    <w:basedOn w:val="36"/>
    <w:qFormat/>
    <w:uiPriority w:val="0"/>
    <w:rPr>
      <w:rFonts w:ascii="宋体" w:hAnsi="Courier New" w:eastAsia="宋体" w:cs="宋体"/>
      <w:kern w:val="2"/>
      <w:sz w:val="21"/>
      <w:szCs w:val="21"/>
      <w:lang w:val="en-US" w:eastAsia="zh-CN"/>
    </w:rPr>
  </w:style>
  <w:style w:type="character" w:customStyle="1" w:styleId="62">
    <w:name w:val="批注主题 Char"/>
    <w:basedOn w:val="63"/>
    <w:link w:val="32"/>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6"/>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6"/>
    <w:link w:val="10"/>
    <w:semiHidden/>
    <w:qFormat/>
    <w:uiPriority w:val="99"/>
  </w:style>
  <w:style w:type="character" w:customStyle="1" w:styleId="65">
    <w:name w:val="Char Char9"/>
    <w:basedOn w:val="36"/>
    <w:qFormat/>
    <w:locked/>
    <w:uiPriority w:val="0"/>
    <w:rPr>
      <w:rFonts w:ascii="宋体" w:hAnsi="Courier New" w:eastAsia="仿宋_GB2312" w:cs="宋体"/>
      <w:kern w:val="2"/>
      <w:sz w:val="21"/>
      <w:szCs w:val="21"/>
      <w:lang w:val="en-US" w:eastAsia="zh-CN"/>
    </w:rPr>
  </w:style>
  <w:style w:type="character" w:customStyle="1" w:styleId="66">
    <w:name w:val="Char Char3"/>
    <w:basedOn w:val="36"/>
    <w:qFormat/>
    <w:locked/>
    <w:uiPriority w:val="0"/>
    <w:rPr>
      <w:rFonts w:ascii="宋体" w:hAnsi="宋体" w:eastAsia="宋体"/>
      <w:kern w:val="2"/>
      <w:sz w:val="18"/>
      <w:szCs w:val="18"/>
      <w:lang w:val="en-US" w:eastAsia="zh-CN" w:bidi="ar-SA"/>
    </w:rPr>
  </w:style>
  <w:style w:type="character" w:customStyle="1" w:styleId="67">
    <w:name w:val="Char Char111"/>
    <w:basedOn w:val="36"/>
    <w:qFormat/>
    <w:uiPriority w:val="0"/>
    <w:rPr>
      <w:rFonts w:ascii="Arial" w:hAnsi="Arial" w:eastAsia="黑体" w:cs="Arial"/>
      <w:b/>
      <w:bCs/>
      <w:kern w:val="2"/>
      <w:sz w:val="32"/>
      <w:szCs w:val="32"/>
      <w:lang w:val="en-US" w:eastAsia="zh-CN"/>
    </w:rPr>
  </w:style>
  <w:style w:type="character" w:customStyle="1" w:styleId="68">
    <w:name w:val="Char Char6"/>
    <w:basedOn w:val="36"/>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6"/>
    <w:link w:val="27"/>
    <w:qFormat/>
    <w:locked/>
    <w:uiPriority w:val="0"/>
    <w:rPr>
      <w:rFonts w:ascii="宋体" w:hAnsi="宋体" w:eastAsia="宋体" w:cs="宋体"/>
      <w:kern w:val="44"/>
      <w:sz w:val="16"/>
      <w:szCs w:val="16"/>
    </w:rPr>
  </w:style>
  <w:style w:type="character" w:customStyle="1" w:styleId="70">
    <w:name w:val="纯文本 Char"/>
    <w:basedOn w:val="36"/>
    <w:qFormat/>
    <w:locked/>
    <w:uiPriority w:val="0"/>
    <w:rPr>
      <w:rFonts w:ascii="宋体" w:hAnsi="Courier New" w:eastAsia="宋体" w:cs="宋体"/>
      <w:kern w:val="44"/>
      <w:sz w:val="21"/>
      <w:szCs w:val="21"/>
    </w:rPr>
  </w:style>
  <w:style w:type="character" w:customStyle="1" w:styleId="71">
    <w:name w:val="正文 首行缩进 Char"/>
    <w:link w:val="72"/>
    <w:qFormat/>
    <w:uiPriority w:val="0"/>
    <w:rPr>
      <w:rFonts w:ascii="宋体" w:hAnsi="宋体"/>
      <w:color w:val="000000"/>
      <w:sz w:val="21"/>
      <w:szCs w:val="21"/>
    </w:rPr>
  </w:style>
  <w:style w:type="paragraph" w:customStyle="1" w:styleId="72">
    <w:name w:val="正文 首行缩进"/>
    <w:basedOn w:val="1"/>
    <w:link w:val="71"/>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6"/>
    <w:qFormat/>
    <w:uiPriority w:val="0"/>
    <w:rPr>
      <w:rFonts w:ascii="Arial" w:hAnsi="Arial" w:eastAsia="黑体" w:cs="Arial"/>
      <w:b/>
      <w:bCs/>
      <w:kern w:val="2"/>
      <w:sz w:val="32"/>
      <w:szCs w:val="32"/>
      <w:lang w:val="en-US" w:eastAsia="zh-CN"/>
    </w:rPr>
  </w:style>
  <w:style w:type="character" w:customStyle="1" w:styleId="74">
    <w:name w:val="纯文本 Char1"/>
    <w:basedOn w:val="36"/>
    <w:link w:val="17"/>
    <w:qFormat/>
    <w:locked/>
    <w:uiPriority w:val="0"/>
    <w:rPr>
      <w:rFonts w:ascii="宋体" w:hAnsi="Courier New" w:eastAsia="宋体" w:cs="宋体"/>
      <w:kern w:val="44"/>
      <w:sz w:val="21"/>
      <w:szCs w:val="21"/>
    </w:rPr>
  </w:style>
  <w:style w:type="character" w:customStyle="1" w:styleId="75">
    <w:name w:val="Char Char Char12"/>
    <w:basedOn w:val="36"/>
    <w:qFormat/>
    <w:uiPriority w:val="0"/>
    <w:rPr>
      <w:rFonts w:ascii="宋体" w:hAnsi="Courier New" w:eastAsia="宋体" w:cs="宋体"/>
      <w:kern w:val="2"/>
      <w:sz w:val="21"/>
      <w:szCs w:val="21"/>
      <w:lang w:val="en-US" w:eastAsia="zh-CN"/>
    </w:rPr>
  </w:style>
  <w:style w:type="character" w:customStyle="1" w:styleId="76">
    <w:name w:val="正文文本缩进 Char"/>
    <w:basedOn w:val="36"/>
    <w:link w:val="14"/>
    <w:qFormat/>
    <w:locked/>
    <w:uiPriority w:val="0"/>
    <w:rPr>
      <w:rFonts w:ascii="宋体" w:hAnsi="宋体" w:eastAsia="宋体" w:cs="宋体"/>
      <w:kern w:val="44"/>
      <w:sz w:val="28"/>
      <w:szCs w:val="28"/>
    </w:rPr>
  </w:style>
  <w:style w:type="paragraph" w:customStyle="1" w:styleId="77">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6"/>
    <w:semiHidden/>
    <w:qFormat/>
    <w:uiPriority w:val="99"/>
    <w:rPr>
      <w:sz w:val="18"/>
      <w:szCs w:val="18"/>
    </w:rPr>
  </w:style>
  <w:style w:type="paragraph" w:customStyle="1" w:styleId="79">
    <w:name w:val="xl183"/>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6"/>
    <w:semiHidden/>
    <w:qFormat/>
    <w:uiPriority w:val="99"/>
    <w:rPr>
      <w:sz w:val="16"/>
      <w:szCs w:val="16"/>
    </w:rPr>
  </w:style>
  <w:style w:type="paragraph" w:customStyle="1" w:styleId="82">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6"/>
    <w:semiHidden/>
    <w:qFormat/>
    <w:uiPriority w:val="99"/>
  </w:style>
  <w:style w:type="paragraph" w:customStyle="1" w:styleId="84">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6"/>
    <w:semiHidden/>
    <w:qFormat/>
    <w:uiPriority w:val="99"/>
  </w:style>
  <w:style w:type="paragraph" w:customStyle="1" w:styleId="86">
    <w:name w:val="xl124"/>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6"/>
    <w:semiHidden/>
    <w:qFormat/>
    <w:uiPriority w:val="99"/>
    <w:rPr>
      <w:rFonts w:ascii="Microsoft YaHei UI" w:eastAsia="Microsoft YaHei UI"/>
      <w:sz w:val="18"/>
      <w:szCs w:val="18"/>
    </w:rPr>
  </w:style>
  <w:style w:type="paragraph" w:customStyle="1" w:styleId="8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semiHidden/>
    <w:qFormat/>
    <w:uiPriority w:val="99"/>
    <w:rPr>
      <w:b/>
      <w:bCs/>
    </w:rPr>
  </w:style>
  <w:style w:type="paragraph" w:customStyle="1" w:styleId="91">
    <w:name w:val="xl27"/>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qFormat/>
    <w:uiPriority w:val="0"/>
    <w:pPr>
      <w:ind w:firstLine="420"/>
    </w:pPr>
    <w:rPr>
      <w:rFonts w:ascii="Calibri" w:hAnsi="Calibri" w:eastAsia="宋体" w:cs="Calibri"/>
      <w:kern w:val="44"/>
      <w:sz w:val="21"/>
      <w:szCs w:val="21"/>
    </w:rPr>
  </w:style>
  <w:style w:type="paragraph" w:customStyle="1" w:styleId="104">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6"/>
    <w:semiHidden/>
    <w:qFormat/>
    <w:uiPriority w:val="99"/>
  </w:style>
  <w:style w:type="paragraph" w:customStyle="1" w:styleId="113">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6"/>
    <w:semiHidden/>
    <w:qFormat/>
    <w:uiPriority w:val="99"/>
  </w:style>
  <w:style w:type="paragraph" w:customStyle="1" w:styleId="117">
    <w:name w:val="普通(Web)"/>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6"/>
    <w:semiHidden/>
    <w:qFormat/>
    <w:uiPriority w:val="99"/>
  </w:style>
  <w:style w:type="paragraph" w:customStyle="1" w:styleId="122">
    <w:name w:val="xl193"/>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4"/>
    <w:qFormat/>
    <w:uiPriority w:val="0"/>
    <w:pPr>
      <w:spacing w:before="60" w:after="60"/>
      <w:ind w:left="0" w:leftChars="0"/>
    </w:pPr>
    <w:rPr>
      <w:sz w:val="24"/>
      <w:szCs w:val="24"/>
    </w:rPr>
  </w:style>
  <w:style w:type="paragraph" w:customStyle="1" w:styleId="126">
    <w:name w:val="xl129"/>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qFormat/>
    <w:uiPriority w:val="0"/>
    <w:pPr>
      <w:ind w:firstLine="420" w:firstLineChars="200"/>
    </w:pPr>
    <w:rPr>
      <w:rFonts w:ascii="Calibri" w:hAnsi="Calibri" w:eastAsia="宋体" w:cs="Calibri"/>
      <w:sz w:val="21"/>
      <w:szCs w:val="21"/>
    </w:rPr>
  </w:style>
  <w:style w:type="paragraph" w:customStyle="1" w:styleId="1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6"/>
    <w:semiHidden/>
    <w:qFormat/>
    <w:uiPriority w:val="99"/>
    <w:rPr>
      <w:rFonts w:ascii="宋体" w:hAnsi="Courier New" w:eastAsia="宋体" w:cs="Courier New"/>
      <w:sz w:val="21"/>
      <w:szCs w:val="21"/>
    </w:rPr>
  </w:style>
  <w:style w:type="paragraph" w:customStyle="1" w:styleId="135">
    <w:name w:val="Char Char Char Char Char Char Char Char Char Char"/>
    <w:basedOn w:val="9"/>
    <w:qFormat/>
    <w:uiPriority w:val="0"/>
    <w:rPr>
      <w:rFonts w:ascii="Tahoma" w:hAnsi="Tahoma" w:cs="Tahoma"/>
      <w:sz w:val="24"/>
      <w:szCs w:val="24"/>
    </w:rPr>
  </w:style>
  <w:style w:type="paragraph" w:customStyle="1" w:styleId="136">
    <w:name w:val="font1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qFormat/>
    <w:uiPriority w:val="0"/>
    <w:pPr>
      <w:ind w:firstLine="420" w:firstLineChars="200"/>
    </w:pPr>
    <w:rPr>
      <w:rFonts w:ascii="Calibri" w:hAnsi="Calibri" w:eastAsia="宋体" w:cs="Calibri"/>
      <w:sz w:val="21"/>
      <w:szCs w:val="21"/>
    </w:rPr>
  </w:style>
  <w:style w:type="paragraph" w:customStyle="1" w:styleId="149">
    <w:name w:val="Char3"/>
    <w:basedOn w:val="1"/>
    <w:qFormat/>
    <w:uiPriority w:val="0"/>
    <w:rPr>
      <w:rFonts w:ascii="宋体" w:hAnsi="宋体" w:eastAsia="宋体" w:cs="宋体"/>
      <w:kern w:val="44"/>
      <w:sz w:val="21"/>
      <w:szCs w:val="21"/>
    </w:rPr>
  </w:style>
  <w:style w:type="paragraph" w:customStyle="1" w:styleId="15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qFormat/>
    <w:uiPriority w:val="0"/>
    <w:rPr>
      <w:rFonts w:ascii="Tahoma" w:hAnsi="Tahoma" w:cs="Tahoma"/>
      <w:sz w:val="24"/>
      <w:szCs w:val="24"/>
    </w:rPr>
  </w:style>
  <w:style w:type="paragraph" w:customStyle="1" w:styleId="152">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qFormat/>
    <w:uiPriority w:val="0"/>
    <w:rPr>
      <w:rFonts w:ascii="宋体" w:hAnsi="宋体" w:eastAsia="宋体" w:cs="宋体"/>
      <w:kern w:val="44"/>
      <w:sz w:val="21"/>
      <w:szCs w:val="21"/>
    </w:rPr>
  </w:style>
  <w:style w:type="paragraph" w:customStyle="1" w:styleId="188">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qFormat/>
    <w:uiPriority w:val="0"/>
    <w:rPr>
      <w:rFonts w:ascii="Tahoma" w:hAnsi="Tahoma" w:cs="Tahoma"/>
      <w:sz w:val="24"/>
      <w:szCs w:val="24"/>
    </w:rPr>
  </w:style>
  <w:style w:type="paragraph" w:customStyle="1" w:styleId="199">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qFormat/>
    <w:uiPriority w:val="0"/>
    <w:rPr>
      <w:rFonts w:ascii="宋体" w:hAnsi="宋体" w:eastAsia="宋体" w:cs="宋体"/>
      <w:kern w:val="44"/>
      <w:sz w:val="21"/>
      <w:szCs w:val="21"/>
    </w:rPr>
  </w:style>
  <w:style w:type="paragraph" w:customStyle="1" w:styleId="201">
    <w:name w:val="xl36"/>
    <w:basedOn w:val="1"/>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qFormat/>
    <w:uiPriority w:val="0"/>
    <w:rPr>
      <w:rFonts w:ascii="宋体" w:hAnsi="宋体" w:eastAsia="宋体" w:cs="宋体"/>
      <w:kern w:val="44"/>
      <w:sz w:val="21"/>
      <w:szCs w:val="21"/>
    </w:rPr>
  </w:style>
  <w:style w:type="paragraph" w:customStyle="1" w:styleId="225">
    <w:name w:val="xl181"/>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qFormat/>
    <w:uiPriority w:val="0"/>
    <w:pPr>
      <w:spacing w:beforeLines="50" w:afterLines="50"/>
    </w:pPr>
    <w:rPr>
      <w:rFonts w:ascii="Tahoma" w:hAnsi="Tahoma" w:eastAsia="宋体" w:cs="Tahoma"/>
      <w:kern w:val="44"/>
    </w:rPr>
  </w:style>
  <w:style w:type="paragraph" w:customStyle="1" w:styleId="232">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qFormat/>
    <w:uiPriority w:val="0"/>
    <w:rPr>
      <w:rFonts w:ascii="Tahoma" w:hAnsi="Tahoma" w:cs="Tahoma"/>
      <w:sz w:val="24"/>
      <w:szCs w:val="24"/>
    </w:rPr>
  </w:style>
  <w:style w:type="paragraph" w:customStyle="1" w:styleId="238">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qFormat/>
    <w:uiPriority w:val="0"/>
    <w:rPr>
      <w:rFonts w:ascii="Tahoma" w:hAnsi="Tahoma" w:cs="Tahoma"/>
      <w:sz w:val="24"/>
      <w:szCs w:val="24"/>
    </w:rPr>
  </w:style>
  <w:style w:type="paragraph" w:customStyle="1" w:styleId="249">
    <w:name w:val="xl40"/>
    <w:basedOn w:val="1"/>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qFormat/>
    <w:uiPriority w:val="0"/>
    <w:rPr>
      <w:rFonts w:ascii="Tahoma" w:hAnsi="Tahoma" w:cs="Tahoma"/>
      <w:sz w:val="24"/>
      <w:szCs w:val="24"/>
    </w:rPr>
  </w:style>
  <w:style w:type="paragraph" w:customStyle="1" w:styleId="294">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qFormat/>
    <w:uiPriority w:val="0"/>
    <w:rPr>
      <w:rFonts w:ascii="Tahoma" w:hAnsi="Tahoma" w:cs="Tahoma"/>
      <w:sz w:val="24"/>
      <w:szCs w:val="24"/>
    </w:rPr>
  </w:style>
  <w:style w:type="paragraph" w:customStyle="1" w:styleId="30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6"/>
    <w:link w:val="12"/>
    <w:semiHidden/>
    <w:qFormat/>
    <w:uiPriority w:val="99"/>
    <w:rPr>
      <w:sz w:val="16"/>
      <w:szCs w:val="16"/>
    </w:rPr>
  </w:style>
  <w:style w:type="paragraph" w:customStyle="1" w:styleId="306">
    <w:name w:val="样式8"/>
    <w:basedOn w:val="272"/>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6"/>
    <w:link w:val="31"/>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3"/>
    <w:qFormat/>
    <w:uiPriority w:val="0"/>
    <w:rPr>
      <w:rFonts w:ascii="Times New Roman" w:hAnsi="Times New Roman" w:eastAsia="宋体" w:cs="Times New Roman"/>
      <w:kern w:val="44"/>
      <w:sz w:val="21"/>
      <w:szCs w:val="22"/>
    </w:rPr>
  </w:style>
  <w:style w:type="paragraph" w:customStyle="1" w:styleId="311">
    <w:name w:val="_Style 3"/>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 w:type="paragraph" w:customStyle="1" w:styleId="312">
    <w:name w:val="。"/>
    <w:basedOn w:val="1"/>
    <w:qFormat/>
    <w:uiPriority w:val="0"/>
    <w:pPr>
      <w:adjustRightInd w:val="0"/>
      <w:spacing w:line="312" w:lineRule="atLeast"/>
      <w:ind w:right="679"/>
      <w:textAlignment w:val="baseline"/>
    </w:pPr>
    <w:rPr>
      <w:rFonts w:ascii="宋体" w:hAnsi="Calibri" w:eastAsia="宋体" w:cs="Times New Roman"/>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25</Pages>
  <Words>9751</Words>
  <Characters>10527</Characters>
  <Lines>92</Lines>
  <Paragraphs>26</Paragraphs>
  <TotalTime>4</TotalTime>
  <ScaleCrop>false</ScaleCrop>
  <LinksUpToDate>false</LinksUpToDate>
  <CharactersWithSpaces>12159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jia</cp:lastModifiedBy>
  <cp:lastPrinted>2020-05-07T01:04:00Z</cp:lastPrinted>
  <dcterms:modified xsi:type="dcterms:W3CDTF">2024-04-07T09:52:22Z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FBA7B7A0FA794D6898E6D549F9FCF6C5_12</vt:lpwstr>
  </property>
</Properties>
</file>