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beforeLines="100" w:after="120" w:afterLines="50" w:line="360" w:lineRule="auto"/>
        <w:rPr>
          <w:rFonts w:hint="eastAsia" w:ascii="Times New Roman" w:hAnsi="宋体" w:eastAsia="宋体"/>
          <w:bCs w:val="0"/>
          <w:sz w:val="28"/>
          <w:szCs w:val="28"/>
        </w:rPr>
      </w:pPr>
      <w:r>
        <w:rPr>
          <w:rStyle w:val="8"/>
          <w:rFonts w:ascii="Times New Roman" w:hAnsi="宋体" w:eastAsia="宋体"/>
          <w:b/>
          <w:bCs w:val="0"/>
          <w:sz w:val="28"/>
          <w:szCs w:val="28"/>
        </w:rPr>
        <w:t>附件</w:t>
      </w:r>
      <w:r>
        <w:rPr>
          <w:rStyle w:val="8"/>
          <w:rFonts w:hint="eastAsia" w:ascii="Times New Roman" w:hAnsi="宋体" w:eastAsia="宋体"/>
          <w:b/>
          <w:bCs w:val="0"/>
          <w:sz w:val="28"/>
          <w:szCs w:val="28"/>
        </w:rPr>
        <w:t>一:评标办法</w:t>
      </w:r>
    </w:p>
    <w:p>
      <w:pPr>
        <w:spacing w:line="360" w:lineRule="auto"/>
        <w:jc w:val="center"/>
        <w:rPr>
          <w:b/>
          <w:sz w:val="30"/>
          <w:szCs w:val="30"/>
        </w:rPr>
      </w:pPr>
      <w:bookmarkStart w:id="3" w:name="_GoBack"/>
      <w:r>
        <w:rPr>
          <w:rFonts w:hint="eastAsia" w:ascii="Times New Roman" w:hAnsi="宋体" w:eastAsia="宋体" w:cs="Times New Roman"/>
          <w:b/>
          <w:sz w:val="30"/>
          <w:szCs w:val="30"/>
          <w:u w:val="single"/>
          <w:lang w:val="en-US" w:eastAsia="zh-CN"/>
        </w:rPr>
        <w:t>中建路桥集团有限公司沈丘沙河湾生态植物园项目土建工程劳务</w:t>
      </w:r>
      <w:r>
        <w:rPr>
          <w:rFonts w:hint="eastAsia" w:hAnsi="宋体"/>
          <w:b/>
          <w:sz w:val="30"/>
          <w:szCs w:val="30"/>
        </w:rPr>
        <w:t>分包</w:t>
      </w:r>
      <w:r>
        <w:rPr>
          <w:rFonts w:hAnsi="宋体"/>
          <w:b/>
          <w:sz w:val="30"/>
          <w:szCs w:val="30"/>
        </w:rPr>
        <w:t>招标</w:t>
      </w:r>
      <w:r>
        <w:rPr>
          <w:rFonts w:hint="eastAsia" w:hAnsi="宋体"/>
          <w:b/>
          <w:sz w:val="30"/>
          <w:szCs w:val="30"/>
        </w:rPr>
        <w:t>评标</w:t>
      </w:r>
      <w:r>
        <w:rPr>
          <w:rFonts w:hAnsi="宋体"/>
          <w:b/>
          <w:sz w:val="30"/>
          <w:szCs w:val="30"/>
        </w:rPr>
        <w:t>方法</w:t>
      </w:r>
    </w:p>
    <w:bookmarkEnd w:id="3"/>
    <w:p>
      <w:pPr>
        <w:pStyle w:val="9"/>
        <w:spacing w:before="240" w:beforeLines="100" w:line="360" w:lineRule="auto"/>
        <w:jc w:val="both"/>
        <w:rPr>
          <w:rStyle w:val="8"/>
          <w:rFonts w:ascii="Times New Roman" w:eastAsia="宋体" w:cs="Times New Roman"/>
          <w:b w:val="0"/>
          <w:bCs w:val="0"/>
          <w:szCs w:val="24"/>
        </w:rPr>
      </w:pPr>
      <w:r>
        <w:rPr>
          <w:rStyle w:val="8"/>
          <w:rFonts w:ascii="Times New Roman" w:eastAsia="宋体" w:cs="Times New Roman"/>
          <w:b w:val="0"/>
          <w:bCs w:val="0"/>
          <w:szCs w:val="24"/>
        </w:rPr>
        <w:t>1.</w:t>
      </w:r>
      <w:r>
        <w:rPr>
          <w:rStyle w:val="8"/>
          <w:rFonts w:ascii="Times New Roman" w:eastAsia="宋体" w:cs="Times New Roman"/>
          <w:b/>
          <w:bCs w:val="0"/>
          <w:szCs w:val="24"/>
        </w:rPr>
        <w:t>总  则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1定义</w:t>
      </w:r>
    </w:p>
    <w:p>
      <w:pPr>
        <w:spacing w:line="360" w:lineRule="auto"/>
        <w:ind w:left="1018" w:leftChars="199" w:hanging="600" w:hangingChars="250"/>
        <w:rPr>
          <w:rFonts w:hint="eastAsia" w:hAnsi="宋体"/>
          <w:sz w:val="24"/>
        </w:rPr>
      </w:pPr>
      <w:r>
        <w:rPr>
          <w:rFonts w:hAnsi="宋体"/>
          <w:sz w:val="24"/>
        </w:rPr>
        <w:t>1.</w:t>
      </w:r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.1</w:t>
      </w:r>
      <w:r>
        <w:rPr>
          <w:rFonts w:hint="eastAsia" w:hAnsi="宋体"/>
          <w:sz w:val="24"/>
        </w:rPr>
        <w:t>综合评分法：将投标人报送的投标文件中的企业资质资料、技术方案、经济报价等，按照不同的权重进行评分，汇总得出综合分值的办法。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适用范围</w:t>
      </w:r>
    </w:p>
    <w:p>
      <w:pPr>
        <w:spacing w:line="360" w:lineRule="auto"/>
        <w:ind w:left="1018" w:leftChars="199" w:hanging="600" w:hangingChars="250"/>
        <w:rPr>
          <w:rFonts w:hAnsi="宋体"/>
          <w:sz w:val="24"/>
        </w:rPr>
      </w:pPr>
      <w:r>
        <w:rPr>
          <w:rFonts w:hAnsi="宋体"/>
          <w:sz w:val="24"/>
        </w:rPr>
        <w:t>1.2.1本评标方法仅适用于</w:t>
      </w:r>
      <w:r>
        <w:rPr>
          <w:rFonts w:hint="eastAsia" w:ascii="Times New Roman" w:hAnsi="宋体" w:eastAsia="宋体" w:cs="Times New Roman"/>
          <w:sz w:val="24"/>
          <w:u w:val="single"/>
          <w:lang w:val="en-US" w:eastAsia="zh-CN"/>
        </w:rPr>
        <w:t>中建路桥集团有限公司沈丘沙河湾生态植物园项目土建工程劳务</w:t>
      </w:r>
      <w:r>
        <w:rPr>
          <w:rFonts w:hint="eastAsia" w:hAnsi="宋体"/>
          <w:sz w:val="24"/>
          <w:u w:val="single"/>
        </w:rPr>
        <w:t>分包</w:t>
      </w:r>
      <w:r>
        <w:rPr>
          <w:rFonts w:hAnsi="宋体"/>
          <w:sz w:val="24"/>
        </w:rPr>
        <w:t>的招标评标活动。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3</w:t>
      </w:r>
      <w:r>
        <w:rPr>
          <w:b/>
          <w:sz w:val="24"/>
        </w:rPr>
        <w:t>与招标文件的关系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3</w:t>
      </w:r>
      <w:r>
        <w:rPr>
          <w:sz w:val="24"/>
        </w:rPr>
        <w:t>.1本评标方法是本工程招标文件的组成部分之一。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评标原则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.1评标工作必须遵循公平、公正、科学、择优的原则。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.2依法评标、严格保密。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.3反对不正当的竞争。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.4定性的结论由</w:t>
      </w:r>
      <w:r>
        <w:rPr>
          <w:rFonts w:hint="eastAsia"/>
          <w:sz w:val="24"/>
        </w:rPr>
        <w:t>招标小组</w:t>
      </w:r>
      <w:r>
        <w:rPr>
          <w:sz w:val="24"/>
        </w:rPr>
        <w:t>成员按照少数服从多数的原则决定。</w:t>
      </w:r>
    </w:p>
    <w:p>
      <w:pPr>
        <w:pStyle w:val="9"/>
        <w:spacing w:before="0" w:beforeLines="0" w:line="360" w:lineRule="auto"/>
        <w:jc w:val="both"/>
        <w:rPr>
          <w:rFonts w:hint="eastAsia" w:ascii="Times New Roman" w:eastAsia="宋体" w:cs="Times New Roman"/>
          <w:bCs w:val="0"/>
          <w:szCs w:val="24"/>
        </w:rPr>
      </w:pPr>
      <w:r>
        <w:rPr>
          <w:rStyle w:val="8"/>
          <w:rFonts w:hint="eastAsia" w:ascii="Times New Roman" w:eastAsia="宋体" w:cs="Times New Roman"/>
          <w:b/>
          <w:bCs w:val="0"/>
          <w:szCs w:val="24"/>
        </w:rPr>
        <w:t>2</w:t>
      </w:r>
      <w:r>
        <w:rPr>
          <w:rStyle w:val="8"/>
          <w:rFonts w:ascii="Times New Roman" w:eastAsia="宋体" w:cs="Times New Roman"/>
          <w:b/>
          <w:bCs w:val="0"/>
          <w:szCs w:val="24"/>
        </w:rPr>
        <w:t>.评审内容及方法</w:t>
      </w:r>
    </w:p>
    <w:p>
      <w:pPr>
        <w:spacing w:line="360" w:lineRule="auto"/>
        <w:ind w:left="592" w:leftChars="1" w:hanging="590" w:hangingChars="24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商务评审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2.1.1企业资质是否符合招标分包工程要求，上报资料是否齐全、真实、有效。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2.1.2上报拟定管理人员资料是否齐全、真实、有效。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2.1.3所报企业施工业绩是否真实等。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2.1.4</w:t>
      </w:r>
      <w:r>
        <w:rPr>
          <w:sz w:val="24"/>
        </w:rPr>
        <w:t>详细评分指标见附表</w:t>
      </w:r>
      <w:r>
        <w:rPr>
          <w:rFonts w:hint="eastAsia"/>
          <w:sz w:val="24"/>
        </w:rPr>
        <w:t>1</w:t>
      </w:r>
      <w:r>
        <w:rPr>
          <w:sz w:val="24"/>
        </w:rPr>
        <w:t>《</w:t>
      </w:r>
      <w:r>
        <w:rPr>
          <w:rFonts w:hint="eastAsia"/>
          <w:sz w:val="24"/>
        </w:rPr>
        <w:t>商务资料</w:t>
      </w:r>
      <w:r>
        <w:rPr>
          <w:sz w:val="24"/>
        </w:rPr>
        <w:t>评分表》。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2.2</w:t>
      </w:r>
      <w:r>
        <w:rPr>
          <w:b/>
          <w:sz w:val="24"/>
        </w:rPr>
        <w:t>技术评审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2.2.1评审施工方案是否全面且针对性强，难点、重点把握准确，措施可靠、实用</w:t>
      </w:r>
      <w:r>
        <w:rPr>
          <w:rFonts w:hint="eastAsia"/>
          <w:sz w:val="24"/>
        </w:rPr>
        <w:t>；尤其对重点难点问题的实施方案是否经济、合理、可行</w:t>
      </w:r>
      <w:r>
        <w:rPr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2</w:t>
      </w:r>
      <w:r>
        <w:rPr>
          <w:sz w:val="24"/>
        </w:rPr>
        <w:t>评审施工进度计划及保证措施是否满足合同工期，保证措施、补救措施齐备合理。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3</w:t>
      </w:r>
      <w:r>
        <w:rPr>
          <w:sz w:val="24"/>
        </w:rPr>
        <w:t>评审工程质量保证措施、过程控制措施、质量事故处理应急预案是否完整、可</w:t>
      </w:r>
      <w:r>
        <w:rPr>
          <w:rFonts w:hint="eastAsia"/>
          <w:sz w:val="24"/>
        </w:rPr>
        <w:t>行</w:t>
      </w:r>
      <w:r>
        <w:rPr>
          <w:sz w:val="24"/>
        </w:rPr>
        <w:t>、有效；质量目标是否明确并符合项目实际和</w:t>
      </w:r>
      <w:r>
        <w:rPr>
          <w:rFonts w:hint="eastAsia"/>
          <w:sz w:val="24"/>
        </w:rPr>
        <w:t>招标人</w:t>
      </w:r>
      <w:r>
        <w:rPr>
          <w:sz w:val="24"/>
        </w:rPr>
        <w:t>要求，能否保证工程按合同要求的质量标准组织实施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4</w:t>
      </w:r>
      <w:r>
        <w:rPr>
          <w:sz w:val="24"/>
        </w:rPr>
        <w:t>评审投入的机械设备是否齐全、符合要求，配置是否合理，能否满足本工程合同中质量目标、工期目标的要求。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5</w:t>
      </w:r>
      <w:r>
        <w:rPr>
          <w:sz w:val="24"/>
        </w:rPr>
        <w:t>评审投入的劳动力资源充裕、用工计划完整，材料使用计划合理，能够满足招标要求。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6</w:t>
      </w:r>
      <w:r>
        <w:rPr>
          <w:sz w:val="24"/>
        </w:rPr>
        <w:t>评审现场组织机构是否合理，是否齐全高效，职责是否明确合理</w:t>
      </w:r>
      <w:r>
        <w:rPr>
          <w:rFonts w:hint="eastAsia"/>
          <w:sz w:val="24"/>
        </w:rPr>
        <w:t>等</w:t>
      </w:r>
      <w:r>
        <w:rPr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2.2.7</w:t>
      </w:r>
      <w:r>
        <w:rPr>
          <w:rFonts w:hAnsi="宋体"/>
          <w:sz w:val="24"/>
        </w:rPr>
        <w:t>详细评分指标见附表</w:t>
      </w:r>
      <w:r>
        <w:rPr>
          <w:rFonts w:hint="eastAsia" w:hAnsi="宋体"/>
          <w:sz w:val="24"/>
        </w:rPr>
        <w:t>2</w:t>
      </w:r>
      <w:r>
        <w:rPr>
          <w:rFonts w:hAnsi="宋体"/>
          <w:sz w:val="24"/>
        </w:rPr>
        <w:t>《</w:t>
      </w:r>
      <w:r>
        <w:rPr>
          <w:rFonts w:hint="eastAsia" w:hAnsi="宋体"/>
          <w:sz w:val="24"/>
        </w:rPr>
        <w:t>施工技术方案</w:t>
      </w:r>
      <w:r>
        <w:rPr>
          <w:rFonts w:hAnsi="宋体"/>
          <w:sz w:val="24"/>
        </w:rPr>
        <w:t>评分表》。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.3.经济评审</w:t>
      </w:r>
    </w:p>
    <w:p>
      <w:pPr>
        <w:spacing w:line="360" w:lineRule="auto"/>
        <w:ind w:left="1119" w:leftChars="247" w:hanging="600" w:hangingChars="250"/>
        <w:rPr>
          <w:rFonts w:hint="eastAsia"/>
          <w:color w:val="FFC000"/>
          <w:sz w:val="24"/>
        </w:rPr>
      </w:pPr>
      <w:r>
        <w:rPr>
          <w:sz w:val="24"/>
        </w:rPr>
        <w:t>2.3.1</w:t>
      </w:r>
      <w:r>
        <w:rPr>
          <w:rFonts w:hint="eastAsia"/>
          <w:sz w:val="24"/>
        </w:rPr>
        <w:t>招标人</w:t>
      </w:r>
      <w:r>
        <w:rPr>
          <w:sz w:val="24"/>
        </w:rPr>
        <w:t>评标</w:t>
      </w:r>
      <w:r>
        <w:rPr>
          <w:rFonts w:hint="eastAsia"/>
          <w:sz w:val="24"/>
        </w:rPr>
        <w:t>小组按照上述</w:t>
      </w:r>
      <w:r>
        <w:rPr>
          <w:sz w:val="24"/>
        </w:rPr>
        <w:t>要求对投标人商务及技术文件进行评审</w:t>
      </w:r>
      <w:r>
        <w:rPr>
          <w:rFonts w:hint="eastAsia"/>
          <w:sz w:val="24"/>
        </w:rPr>
        <w:t>，投标人商务部分及技术部分打分均超过60分（百分制）、且报价最低的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家投标单位，招标人将与之进行二次议价（满足的投标单位超过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家，则改为对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家单价进行二次议价）。</w:t>
      </w:r>
      <w:r>
        <w:rPr>
          <w:rFonts w:hint="eastAsia"/>
          <w:color w:val="FFC000"/>
          <w:sz w:val="24"/>
        </w:rPr>
        <w:t>（按需选择）</w:t>
      </w:r>
    </w:p>
    <w:p>
      <w:pPr>
        <w:spacing w:line="360" w:lineRule="auto"/>
        <w:ind w:left="1119" w:leftChars="247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2.3.2各投标单位确认最终报价后，将按照以下步骤进行经济部分打分：</w:t>
      </w:r>
    </w:p>
    <w:p>
      <w:pPr>
        <w:spacing w:line="360" w:lineRule="auto"/>
        <w:ind w:left="1059" w:leftChars="447" w:hanging="120" w:hangingChars="50"/>
        <w:rPr>
          <w:rFonts w:hint="eastAsia"/>
          <w:sz w:val="24"/>
        </w:rPr>
      </w:pPr>
      <w:r>
        <w:rPr>
          <w:rFonts w:hint="eastAsia"/>
          <w:b/>
          <w:sz w:val="24"/>
        </w:rPr>
        <w:t>（1）确定评标基准价。</w:t>
      </w:r>
      <w:r>
        <w:rPr>
          <w:rFonts w:hint="eastAsia" w:hAnsi="宋体"/>
          <w:sz w:val="24"/>
        </w:rPr>
        <w:t>最低投标报价作为评标基准价。</w:t>
      </w:r>
    </w:p>
    <w:p>
      <w:pPr>
        <w:spacing w:line="360" w:lineRule="auto"/>
        <w:ind w:left="1059" w:leftChars="447" w:hanging="120" w:hangingChars="50"/>
        <w:rPr>
          <w:rFonts w:hint="eastAsia"/>
          <w:sz w:val="24"/>
        </w:rPr>
      </w:pPr>
      <w:r>
        <w:rPr>
          <w:rFonts w:hint="eastAsia"/>
          <w:b/>
          <w:sz w:val="24"/>
        </w:rPr>
        <w:t>（2）</w:t>
      </w:r>
      <w:r>
        <w:rPr>
          <w:rFonts w:hint="eastAsia" w:hAnsi="宋体"/>
          <w:b/>
          <w:sz w:val="24"/>
        </w:rPr>
        <w:t>根据</w:t>
      </w:r>
      <w:r>
        <w:rPr>
          <w:rFonts w:hAnsi="宋体"/>
          <w:b/>
          <w:sz w:val="24"/>
        </w:rPr>
        <w:t>各</w:t>
      </w:r>
      <w:r>
        <w:rPr>
          <w:rFonts w:hint="eastAsia" w:hAnsi="宋体"/>
          <w:b/>
          <w:sz w:val="24"/>
        </w:rPr>
        <w:t>投标单位最终确认报价与基准价</w:t>
      </w:r>
      <w:r>
        <w:rPr>
          <w:rFonts w:hAnsi="宋体"/>
          <w:b/>
          <w:sz w:val="24"/>
        </w:rPr>
        <w:t>的差异值</w:t>
      </w:r>
      <w:r>
        <w:rPr>
          <w:rFonts w:hint="eastAsia" w:hAnsi="宋体"/>
          <w:b/>
          <w:sz w:val="24"/>
        </w:rPr>
        <w:t>进行评分。</w:t>
      </w:r>
      <w:r>
        <w:rPr>
          <w:rFonts w:hint="eastAsia" w:hAnsi="宋体"/>
          <w:sz w:val="24"/>
        </w:rPr>
        <w:t>投标人的最终确认报价等</w:t>
      </w:r>
      <w:r>
        <w:rPr>
          <w:rFonts w:hAnsi="宋体"/>
          <w:sz w:val="24"/>
        </w:rPr>
        <w:t>于基准价的为最优标，报价得满分。</w:t>
      </w:r>
      <w:r>
        <w:rPr>
          <w:rFonts w:hint="eastAsia" w:hAnsi="宋体"/>
          <w:sz w:val="24"/>
        </w:rPr>
        <w:t>每高于基准价最优值区间</w:t>
      </w:r>
      <w:r>
        <w:rPr>
          <w:sz w:val="24"/>
        </w:rPr>
        <w:t>1%</w:t>
      </w:r>
      <w:r>
        <w:rPr>
          <w:rFonts w:hint="eastAsia"/>
          <w:sz w:val="24"/>
        </w:rPr>
        <w:t>扣5分，以此类推等比扣减，扣完为止。</w:t>
      </w:r>
    </w:p>
    <w:p>
      <w:pPr>
        <w:spacing w:line="360" w:lineRule="auto"/>
        <w:ind w:left="1119" w:leftChars="247" w:hanging="600" w:hangingChars="250"/>
        <w:rPr>
          <w:rFonts w:hint="eastAsia" w:hAnsi="宋体"/>
          <w:sz w:val="24"/>
        </w:rPr>
      </w:pPr>
      <w:r>
        <w:rPr>
          <w:sz w:val="24"/>
        </w:rPr>
        <w:t>2.3.3</w:t>
      </w:r>
      <w:r>
        <w:rPr>
          <w:rFonts w:hAnsi="宋体"/>
          <w:sz w:val="24"/>
        </w:rPr>
        <w:t>详细评分指标见附表</w:t>
      </w:r>
      <w:r>
        <w:rPr>
          <w:rFonts w:hint="eastAsia" w:hAnsi="宋体"/>
          <w:sz w:val="24"/>
        </w:rPr>
        <w:t>3</w:t>
      </w:r>
      <w:r>
        <w:rPr>
          <w:rFonts w:hAnsi="宋体"/>
          <w:sz w:val="24"/>
        </w:rPr>
        <w:t>《经济</w:t>
      </w:r>
      <w:r>
        <w:rPr>
          <w:rFonts w:hint="eastAsia" w:hAnsi="宋体"/>
          <w:sz w:val="24"/>
        </w:rPr>
        <w:t>报价</w:t>
      </w:r>
      <w:r>
        <w:rPr>
          <w:rFonts w:hAnsi="宋体"/>
          <w:sz w:val="24"/>
        </w:rPr>
        <w:t>评分表》。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2.4</w:t>
      </w:r>
      <w:r>
        <w:rPr>
          <w:b/>
          <w:sz w:val="24"/>
        </w:rPr>
        <w:t>.澄清或补正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2.4</w:t>
      </w:r>
      <w:r>
        <w:rPr>
          <w:sz w:val="24"/>
        </w:rPr>
        <w:t>.1在评标阶段，</w:t>
      </w:r>
      <w:r>
        <w:rPr>
          <w:rFonts w:hint="eastAsia"/>
          <w:sz w:val="24"/>
        </w:rPr>
        <w:t>招</w:t>
      </w:r>
      <w:r>
        <w:rPr>
          <w:sz w:val="24"/>
        </w:rPr>
        <w:t>标小组认为必要时，可要求投标人澄清或补正投标文件中的问题，或者要求其补充某些资料，包括单价的分析资料等；对此，投标人不得拒绝。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2.4</w:t>
      </w:r>
      <w:r>
        <w:rPr>
          <w:sz w:val="24"/>
        </w:rPr>
        <w:t>.2投标人须以书面形式提供澄清或补正文件，并作为投标文件的组成部分。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2.5.</w:t>
      </w:r>
      <w:r>
        <w:rPr>
          <w:b/>
          <w:sz w:val="24"/>
        </w:rPr>
        <w:t>汇总评分结果</w:t>
      </w:r>
    </w:p>
    <w:p>
      <w:pPr>
        <w:spacing w:line="360" w:lineRule="auto"/>
        <w:ind w:left="1119" w:leftChars="247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2.5</w:t>
      </w:r>
      <w:r>
        <w:rPr>
          <w:sz w:val="24"/>
        </w:rPr>
        <w:t>.1</w:t>
      </w:r>
      <w:r>
        <w:rPr>
          <w:rFonts w:hint="eastAsia"/>
          <w:sz w:val="24"/>
        </w:rPr>
        <w:t>招</w:t>
      </w:r>
      <w:r>
        <w:rPr>
          <w:sz w:val="24"/>
        </w:rPr>
        <w:t>标小组成员</w:t>
      </w:r>
      <w:r>
        <w:rPr>
          <w:rFonts w:hint="eastAsia"/>
          <w:sz w:val="24"/>
        </w:rPr>
        <w:t>负责</w:t>
      </w:r>
      <w:r>
        <w:rPr>
          <w:sz w:val="24"/>
        </w:rPr>
        <w:t>各</w:t>
      </w:r>
      <w:r>
        <w:rPr>
          <w:rFonts w:hint="eastAsia"/>
          <w:sz w:val="24"/>
        </w:rPr>
        <w:t>自相关内容的</w:t>
      </w:r>
      <w:r>
        <w:rPr>
          <w:sz w:val="24"/>
        </w:rPr>
        <w:t>评分，并</w:t>
      </w:r>
      <w:r>
        <w:rPr>
          <w:rFonts w:hint="eastAsia"/>
          <w:sz w:val="24"/>
        </w:rPr>
        <w:t>将</w:t>
      </w:r>
      <w:r>
        <w:rPr>
          <w:sz w:val="24"/>
        </w:rPr>
        <w:t>计算</w:t>
      </w:r>
      <w:r>
        <w:rPr>
          <w:rFonts w:hint="eastAsia"/>
          <w:sz w:val="24"/>
        </w:rPr>
        <w:t>结果</w:t>
      </w:r>
      <w:r>
        <w:rPr>
          <w:sz w:val="24"/>
        </w:rPr>
        <w:t>加权得分</w:t>
      </w:r>
      <w:r>
        <w:rPr>
          <w:rFonts w:hint="eastAsia"/>
          <w:sz w:val="24"/>
        </w:rPr>
        <w:t>后汇总出各投标单位的最终评分</w:t>
      </w:r>
      <w:r>
        <w:rPr>
          <w:sz w:val="24"/>
        </w:rPr>
        <w:t>。</w:t>
      </w:r>
    </w:p>
    <w:p>
      <w:pPr>
        <w:spacing w:line="360" w:lineRule="auto"/>
        <w:ind w:left="1117" w:leftChars="532"/>
        <w:rPr>
          <w:sz w:val="24"/>
        </w:rPr>
      </w:pPr>
      <w:r>
        <w:rPr>
          <w:sz w:val="24"/>
        </w:rPr>
        <w:t>投标人综合得分＝A1*K1+A2*K2</w:t>
      </w:r>
      <w:r>
        <w:rPr>
          <w:rFonts w:hint="eastAsia"/>
          <w:sz w:val="24"/>
        </w:rPr>
        <w:t>+</w:t>
      </w:r>
      <w:r>
        <w:rPr>
          <w:sz w:val="24"/>
        </w:rPr>
        <w:t xml:space="preserve"> A</w:t>
      </w:r>
      <w:r>
        <w:rPr>
          <w:rFonts w:hint="eastAsia"/>
          <w:sz w:val="24"/>
        </w:rPr>
        <w:t>3</w:t>
      </w:r>
      <w:r>
        <w:rPr>
          <w:sz w:val="24"/>
        </w:rPr>
        <w:t>*K</w:t>
      </w:r>
      <w:r>
        <w:rPr>
          <w:rFonts w:hint="eastAsia"/>
          <w:sz w:val="24"/>
        </w:rPr>
        <w:t>3（A1、A2、A3分别为商务、技术、经济部分的评分，</w:t>
      </w:r>
      <w:r>
        <w:rPr>
          <w:sz w:val="24"/>
        </w:rPr>
        <w:t>K1</w:t>
      </w:r>
      <w:r>
        <w:rPr>
          <w:rFonts w:hint="eastAsia"/>
          <w:sz w:val="24"/>
        </w:rPr>
        <w:t>、</w:t>
      </w:r>
      <w:r>
        <w:rPr>
          <w:sz w:val="24"/>
        </w:rPr>
        <w:t>K</w:t>
      </w:r>
      <w:r>
        <w:rPr>
          <w:rFonts w:hint="eastAsia"/>
          <w:sz w:val="24"/>
        </w:rPr>
        <w:t>2、</w:t>
      </w:r>
      <w:r>
        <w:rPr>
          <w:sz w:val="24"/>
        </w:rPr>
        <w:t>K</w:t>
      </w:r>
      <w:r>
        <w:rPr>
          <w:rFonts w:hint="eastAsia"/>
          <w:sz w:val="24"/>
        </w:rPr>
        <w:t>3分别为商务、技术、经济部分在综合得分中所占的权重）</w:t>
      </w:r>
      <w:r>
        <w:rPr>
          <w:sz w:val="24"/>
        </w:rPr>
        <w:t>，</w:t>
      </w:r>
      <w:r>
        <w:rPr>
          <w:rFonts w:hint="eastAsia"/>
          <w:sz w:val="24"/>
        </w:rPr>
        <w:t>详</w:t>
      </w:r>
      <w:r>
        <w:rPr>
          <w:sz w:val="24"/>
        </w:rPr>
        <w:t>见附表</w:t>
      </w:r>
      <w:r>
        <w:rPr>
          <w:rFonts w:hint="eastAsia"/>
          <w:sz w:val="24"/>
        </w:rPr>
        <w:t>4</w:t>
      </w:r>
      <w:r>
        <w:rPr>
          <w:sz w:val="24"/>
        </w:rPr>
        <w:t>《综合得分表》。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2.5</w:t>
      </w:r>
      <w:r>
        <w:rPr>
          <w:sz w:val="24"/>
        </w:rPr>
        <w:t>.</w:t>
      </w:r>
      <w:r>
        <w:rPr>
          <w:rFonts w:hint="eastAsia"/>
          <w:sz w:val="24"/>
        </w:rPr>
        <w:t>2</w:t>
      </w:r>
      <w:r>
        <w:rPr>
          <w:sz w:val="24"/>
        </w:rPr>
        <w:t>评标小组</w:t>
      </w:r>
      <w:r>
        <w:rPr>
          <w:rFonts w:hint="eastAsia"/>
          <w:sz w:val="24"/>
        </w:rPr>
        <w:t>按照</w:t>
      </w:r>
      <w:r>
        <w:rPr>
          <w:sz w:val="24"/>
        </w:rPr>
        <w:t>最终汇总</w:t>
      </w:r>
      <w:r>
        <w:rPr>
          <w:rFonts w:hint="eastAsia"/>
          <w:sz w:val="24"/>
        </w:rPr>
        <w:t>分数进行</w:t>
      </w:r>
      <w:r>
        <w:rPr>
          <w:sz w:val="24"/>
        </w:rPr>
        <w:t>排序，推荐出中标</w:t>
      </w:r>
      <w:r>
        <w:rPr>
          <w:rFonts w:hint="eastAsia"/>
          <w:sz w:val="24"/>
        </w:rPr>
        <w:t>备选单位</w:t>
      </w:r>
      <w:r>
        <w:rPr>
          <w:sz w:val="24"/>
        </w:rPr>
        <w:t>名单</w:t>
      </w:r>
      <w:r>
        <w:rPr>
          <w:rFonts w:hint="eastAsia"/>
          <w:sz w:val="24"/>
        </w:rPr>
        <w:t>，</w:t>
      </w:r>
      <w:r>
        <w:rPr>
          <w:sz w:val="24"/>
        </w:rPr>
        <w:t>如存在最终得分相同的单位</w:t>
      </w:r>
      <w:r>
        <w:rPr>
          <w:rFonts w:hint="eastAsia"/>
          <w:sz w:val="24"/>
        </w:rPr>
        <w:t>，</w:t>
      </w:r>
      <w:r>
        <w:rPr>
          <w:sz w:val="24"/>
        </w:rPr>
        <w:t>最终报价低者排名在前。</w:t>
      </w: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Ansi="宋体"/>
          <w:sz w:val="24"/>
        </w:rPr>
        <w:sectPr>
          <w:pgSz w:w="11907" w:h="16840"/>
          <w:pgMar w:top="1440" w:right="1797" w:bottom="1440" w:left="1797" w:header="794" w:footer="964" w:gutter="0"/>
          <w:cols w:space="720" w:num="1"/>
          <w:docGrid w:linePitch="312" w:charSpace="0"/>
        </w:sect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　</w:t>
      </w:r>
    </w:p>
    <w:p>
      <w:pPr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</w:rPr>
        <w:t>商务资料</w:t>
      </w:r>
      <w:r>
        <w:rPr>
          <w:rFonts w:hAnsi="宋体"/>
          <w:b/>
          <w:sz w:val="24"/>
        </w:rPr>
        <w:t>评分表</w:t>
      </w:r>
      <w:r>
        <w:rPr>
          <w:rFonts w:hint="eastAsia" w:hAnsi="宋体"/>
          <w:b/>
          <w:color w:val="FFC000"/>
          <w:sz w:val="24"/>
        </w:rPr>
        <w:t>（参考）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W w:w="8825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80"/>
        <w:gridCol w:w="780"/>
        <w:gridCol w:w="1946"/>
        <w:gridCol w:w="2771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序号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评分项目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满</w:t>
            </w:r>
            <w:r>
              <w:rPr>
                <w:rFonts w:ascii="Arial" w:hAnsi="Arial" w:cs="Arial"/>
                <w:b/>
                <w:szCs w:val="21"/>
              </w:rPr>
              <w:t>分</w:t>
            </w:r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评分标准</w:t>
            </w:r>
          </w:p>
        </w:tc>
        <w:tc>
          <w:tcPr>
            <w:tcW w:w="277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扣分原因</w:t>
            </w:r>
          </w:p>
        </w:tc>
        <w:tc>
          <w:tcPr>
            <w:tcW w:w="79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tblHeader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7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7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企业营业执照、资质等级、安全生产许可证复印件是否齐全、有效，是否符合招标文件要求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12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autoSpaceDE w:val="0"/>
              <w:autoSpaceDN w:val="0"/>
              <w:spacing w:before="78"/>
              <w:ind w:right="-2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</w:rPr>
              <w:t>企业营业执照、资质等级、安全生产许可证有复印件的各得2分，没有复印件的那项不得分；证件在有效期的各得2分，不在有效期的那项不得分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企业营业执照：（4分）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有效□无效□</w:t>
            </w:r>
          </w:p>
          <w:p>
            <w:pPr>
              <w:rPr>
                <w:rFonts w:hint="eastAsia" w:ascii="Arial" w:hAnsi="Arial"/>
              </w:rPr>
            </w:pP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资质等级：（4分）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符合□不符合□</w:t>
            </w:r>
          </w:p>
          <w:p>
            <w:pPr>
              <w:rPr>
                <w:rFonts w:hint="eastAsia" w:ascii="Arial" w:hAnsi="Arial"/>
              </w:rPr>
            </w:pP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安全生产许可证：（4分）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有效□无效□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工程拟定主要人员结构是否合理、齐全，主要负责人有无类似工程施工履历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1</w:t>
            </w:r>
            <w:r>
              <w:rPr>
                <w:rFonts w:hint="eastAsia" w:ascii="Arial" w:hAnsi="Arial" w:cs="Arial"/>
                <w:color w:val="FF0000"/>
                <w:szCs w:val="21"/>
              </w:rPr>
              <w:t>8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人员配置合理的得8分；人员结构齐全的得10分；主要负责人有类似工程施工履历的得10分；主要人员持证情况得10分。否则不得分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人员配置：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合  理</w:t>
            </w:r>
            <w:r>
              <w:rPr>
                <w:rFonts w:hint="eastAsia" w:ascii="Arial" w:hAnsi="Arial"/>
              </w:rPr>
              <w:t>□    不合理□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齐  全□    不齐全□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  证□    无  证□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施工经验    有□无□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有无业绩及相关证明材料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业绩少的得10分；业绩一般的得20分；业绩多的得30分。无业绩或无业绩证明材料的不得分。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业绩资料：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很多</w:t>
            </w:r>
            <w:r>
              <w:rPr>
                <w:rFonts w:hint="eastAsia" w:ascii="Arial" w:hAnsi="Arial"/>
              </w:rPr>
              <w:t xml:space="preserve">□    一般□  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很少□      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与我单位或中建系统是否有合作经历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2</w:t>
            </w:r>
            <w:r>
              <w:rPr>
                <w:rFonts w:hint="eastAsia" w:ascii="Arial" w:hAnsi="Arial" w:cs="Arial"/>
                <w:color w:val="FF0000"/>
                <w:szCs w:val="21"/>
              </w:rPr>
              <w:t>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与我单位有合作经历的加5分，与中建系统有合作经历的加5分，两方面均有合作可同时加分。无合作的不加分。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合作经历：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与我单位：有</w:t>
            </w:r>
            <w:r>
              <w:rPr>
                <w:rFonts w:hint="eastAsia" w:ascii="Arial" w:hAnsi="Arial"/>
              </w:rPr>
              <w:t xml:space="preserve">□  无□  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与中建系统：</w:t>
            </w:r>
            <w:r>
              <w:rPr>
                <w:rFonts w:hint="eastAsia" w:ascii="Arial" w:hAnsi="Arial" w:cs="Arial"/>
                <w:szCs w:val="21"/>
              </w:rPr>
              <w:t>有</w:t>
            </w:r>
            <w:r>
              <w:rPr>
                <w:rFonts w:hint="eastAsia" w:ascii="Arial" w:hAnsi="Arial"/>
              </w:rPr>
              <w:t>□  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信誉是否良好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2</w:t>
            </w:r>
            <w:r>
              <w:rPr>
                <w:rFonts w:hint="eastAsia" w:ascii="Arial" w:hAnsi="Arial" w:cs="Arial"/>
                <w:color w:val="FF0000"/>
                <w:szCs w:val="21"/>
              </w:rPr>
              <w:t>0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在上年度在中建系统内部评为优质供应商的得10分，其他得5分。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信誉：</w:t>
            </w:r>
          </w:p>
          <w:p>
            <w:pPr>
              <w:spacing w:line="240" w:lineRule="atLeas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/>
              </w:rPr>
              <w:t xml:space="preserve"> 优质□   其他□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垫资能力及其他优惠条件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加分项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根据投标人提供的承诺给与一定的加分，上限20分（百分制）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/>
              </w:rPr>
            </w:pP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宋体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 计（100）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</w:tr>
    </w:tbl>
    <w:p>
      <w:pPr>
        <w:spacing w:line="360" w:lineRule="auto"/>
        <w:rPr>
          <w:rFonts w:hint="eastAsia" w:hAnsi="宋体"/>
          <w:b/>
          <w:iCs/>
          <w:u w:val="single"/>
        </w:rPr>
      </w:pPr>
    </w:p>
    <w:p>
      <w:pPr>
        <w:spacing w:line="360" w:lineRule="auto"/>
        <w:rPr>
          <w:rFonts w:hint="eastAsia" w:hAnsi="宋体"/>
          <w:b/>
          <w:iCs/>
          <w:u w:val="single"/>
        </w:rPr>
      </w:pPr>
    </w:p>
    <w:p>
      <w:pPr>
        <w:spacing w:line="360" w:lineRule="auto"/>
        <w:rPr>
          <w:rFonts w:hint="eastAsia" w:hAnsi="宋体"/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2</w:t>
      </w:r>
    </w:p>
    <w:p>
      <w:pPr>
        <w:jc w:val="center"/>
        <w:rPr>
          <w:rFonts w:hint="eastAsia" w:hAnsi="宋体"/>
          <w:b/>
          <w:color w:val="FFC000"/>
          <w:sz w:val="24"/>
        </w:rPr>
      </w:pPr>
      <w:r>
        <w:rPr>
          <w:rFonts w:hint="eastAsia" w:hAnsi="宋体"/>
          <w:b/>
          <w:sz w:val="24"/>
        </w:rPr>
        <w:t>施工</w:t>
      </w:r>
      <w:r>
        <w:rPr>
          <w:rFonts w:hAnsi="宋体"/>
          <w:b/>
          <w:sz w:val="24"/>
        </w:rPr>
        <w:t>技术</w:t>
      </w:r>
      <w:r>
        <w:rPr>
          <w:rFonts w:hint="eastAsia" w:hAnsi="宋体"/>
          <w:b/>
          <w:sz w:val="24"/>
        </w:rPr>
        <w:t>方案</w:t>
      </w:r>
      <w:r>
        <w:rPr>
          <w:rFonts w:hAnsi="宋体"/>
          <w:b/>
          <w:sz w:val="24"/>
        </w:rPr>
        <w:t>评分表</w:t>
      </w:r>
      <w:r>
        <w:rPr>
          <w:rFonts w:hint="eastAsia" w:hAnsi="宋体"/>
          <w:b/>
          <w:color w:val="FFC000"/>
          <w:sz w:val="24"/>
        </w:rPr>
        <w:t>（参考）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pPr w:leftFromText="180" w:rightFromText="180" w:vertAnchor="text" w:horzAnchor="margin" w:tblpXSpec="center" w:tblpY="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93"/>
        <w:gridCol w:w="871"/>
        <w:gridCol w:w="4068"/>
        <w:gridCol w:w="111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序号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评分项目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满</w:t>
            </w:r>
            <w:r>
              <w:rPr>
                <w:rFonts w:ascii="Arial" w:hAnsi="Arial" w:cs="Arial"/>
                <w:b/>
                <w:szCs w:val="21"/>
              </w:rPr>
              <w:t>分</w:t>
            </w:r>
          </w:p>
        </w:tc>
        <w:tc>
          <w:tcPr>
            <w:tcW w:w="40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评分标准</w:t>
            </w:r>
          </w:p>
        </w:tc>
        <w:tc>
          <w:tcPr>
            <w:tcW w:w="111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选择分值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bookmarkStart w:id="0" w:name="OLE_LINK2" w:colFirst="1" w:colLast="2"/>
            <w:bookmarkStart w:id="1" w:name="_Hlk240252769"/>
            <w:bookmarkStart w:id="2" w:name="OLE_LINK1" w:colFirst="1" w:colLast="2"/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主要施工方案</w:t>
            </w:r>
            <w:r>
              <w:rPr>
                <w:rFonts w:hint="eastAsia" w:ascii="Arial" w:hAnsi="Arial" w:cs="Arial"/>
                <w:szCs w:val="21"/>
              </w:rPr>
              <w:t>和技术措施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全面且针对性强，难点、重点把握准确，</w:t>
            </w: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先进、可靠实用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较全面针对性较强，难点、重点把握较准确，</w:t>
            </w: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较先进、较可靠实用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针对性</w:t>
            </w:r>
            <w:r>
              <w:rPr>
                <w:rFonts w:ascii="Arial" w:hAnsi="Arial" w:cs="Arial"/>
                <w:szCs w:val="21"/>
              </w:rPr>
              <w:t>一般</w:t>
            </w:r>
            <w:r>
              <w:rPr>
                <w:rFonts w:hint="eastAsia" w:ascii="Arial" w:hAnsi="Arial" w:cs="Arial"/>
                <w:szCs w:val="21"/>
              </w:rPr>
              <w:t>，</w:t>
            </w:r>
            <w:r>
              <w:rPr>
                <w:rFonts w:ascii="Arial" w:hAnsi="Arial" w:cs="Arial"/>
                <w:szCs w:val="21"/>
              </w:rPr>
              <w:t>技术措施</w:t>
            </w:r>
            <w:r>
              <w:rPr>
                <w:rFonts w:hint="eastAsia" w:ascii="Arial" w:hAnsi="Arial" w:cs="Arial"/>
                <w:szCs w:val="21"/>
              </w:rPr>
              <w:t>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针对性不强，</w:t>
            </w:r>
            <w:r>
              <w:rPr>
                <w:rFonts w:ascii="Arial" w:hAnsi="Arial" w:cs="Arial"/>
                <w:szCs w:val="21"/>
              </w:rPr>
              <w:t>技术措施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质量保证</w:t>
            </w:r>
            <w:r>
              <w:rPr>
                <w:rFonts w:hint="eastAsia" w:ascii="Arial" w:hAnsi="Arial" w:cs="Arial"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合理，严谨周密、切实可行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较合理，较严谨周密、切实可行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一般，</w:t>
            </w:r>
            <w:r>
              <w:rPr>
                <w:rFonts w:ascii="Arial" w:hAnsi="Arial" w:cs="Arial"/>
                <w:szCs w:val="21"/>
              </w:rPr>
              <w:t>计划</w:t>
            </w:r>
            <w:r>
              <w:rPr>
                <w:rFonts w:hint="eastAsia" w:ascii="Arial" w:hAnsi="Arial" w:cs="Arial"/>
                <w:szCs w:val="21"/>
              </w:rPr>
              <w:t>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计划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进度计划及保障措施</w:t>
            </w:r>
            <w:r>
              <w:rPr>
                <w:rFonts w:hint="eastAsia" w:ascii="Arial" w:hAnsi="Arial" w:cs="Arial"/>
                <w:szCs w:val="21"/>
              </w:rPr>
              <w:t>；劳动力计划及保证措施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较合理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机械设备配置及保障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合理，保障可靠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较合理，保障较可靠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对方案或设计优化的合理化建议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安全管理及措施；现场文明施工和环保方案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18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18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方案一般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13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方案较差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7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公司对本工程的重视承诺、管理和支持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冬季和雨季施工方案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9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施工现场总平面布置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布置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布置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成品保护</w:t>
            </w:r>
            <w:r>
              <w:rPr>
                <w:rFonts w:hint="eastAsia" w:ascii="Arial" w:hAnsi="Arial" w:cs="Arial"/>
                <w:bCs/>
                <w:szCs w:val="21"/>
              </w:rPr>
              <w:t>措施</w:t>
            </w:r>
            <w:r>
              <w:rPr>
                <w:rFonts w:ascii="Arial" w:hAnsi="Arial" w:cs="Arial"/>
                <w:bCs/>
                <w:szCs w:val="21"/>
              </w:rPr>
              <w:t>和工程保修工作的管理措施和承诺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比较到位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不到位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11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紧急情况的处理措施、预案以及抵抗风险的措施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73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宋体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 计（100）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</w:tbl>
    <w:p>
      <w:pPr>
        <w:snapToGrid w:val="0"/>
        <w:rPr>
          <w:rFonts w:hint="eastAsia"/>
          <w:sz w:val="24"/>
        </w:rPr>
      </w:pPr>
      <w:r>
        <w:br w:type="page"/>
      </w: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3</w:t>
      </w:r>
    </w:p>
    <w:p>
      <w:pPr>
        <w:pStyle w:val="5"/>
        <w:spacing w:line="360" w:lineRule="auto"/>
        <w:ind w:firstLine="482"/>
        <w:jc w:val="center"/>
        <w:rPr>
          <w:rFonts w:hint="eastAsia" w:hAnsi="宋体"/>
          <w:b/>
          <w:sz w:val="24"/>
          <w:highlight w:val="yellow"/>
        </w:rPr>
      </w:pPr>
      <w:r>
        <w:rPr>
          <w:rFonts w:hAnsi="宋体"/>
          <w:b/>
          <w:sz w:val="24"/>
        </w:rPr>
        <w:t>经济</w:t>
      </w:r>
      <w:r>
        <w:rPr>
          <w:rFonts w:hint="eastAsia" w:hAnsi="宋体"/>
          <w:b/>
          <w:sz w:val="24"/>
        </w:rPr>
        <w:t>报价</w:t>
      </w:r>
      <w:r>
        <w:rPr>
          <w:rFonts w:hAnsi="宋体"/>
          <w:b/>
          <w:sz w:val="24"/>
        </w:rPr>
        <w:t>评分表</w:t>
      </w:r>
      <w:r>
        <w:rPr>
          <w:rFonts w:hint="eastAsia" w:hAnsi="宋体"/>
          <w:b/>
          <w:color w:val="FFC000"/>
          <w:sz w:val="24"/>
        </w:rPr>
        <w:t>（参考）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</w:rPr>
        <w:t>投标单位名称：</w:t>
      </w:r>
    </w:p>
    <w:tbl>
      <w:tblPr>
        <w:tblStyle w:val="6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65"/>
        <w:gridCol w:w="2730"/>
        <w:gridCol w:w="126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项目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满分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β</w:t>
            </w:r>
            <w:r>
              <w:rPr>
                <w:rFonts w:hint="eastAsia" w:ascii="Arial" w:hAnsi="Arial" w:cs="Arial"/>
                <w:bCs/>
                <w:szCs w:val="21"/>
              </w:rPr>
              <w:t>值分布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分值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评标价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0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等于基准价的报价得分为100，</w:t>
            </w:r>
            <w:r>
              <w:rPr>
                <w:rFonts w:hint="eastAsia" w:hAnsi="宋体"/>
                <w:szCs w:val="21"/>
              </w:rPr>
              <w:t>每高于基准价最优值区间</w:t>
            </w:r>
            <w:r>
              <w:rPr>
                <w:szCs w:val="21"/>
              </w:rPr>
              <w:t>1%</w:t>
            </w:r>
            <w:r>
              <w:rPr>
                <w:rFonts w:hint="eastAsia"/>
                <w:szCs w:val="21"/>
              </w:rPr>
              <w:t>扣5分，以此类推等比扣减，扣完为止。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95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2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90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3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85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4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80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5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75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…</w:t>
            </w:r>
            <w:r>
              <w:rPr>
                <w:rFonts w:hint="eastAsia" w:ascii="Arial" w:hAnsi="Arial" w:cs="Arial"/>
                <w:bCs/>
                <w:szCs w:val="21"/>
              </w:rPr>
              <w:t>..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等比递减扣完为止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6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</w:tbl>
    <w:p>
      <w:pPr>
        <w:pStyle w:val="5"/>
        <w:spacing w:line="360" w:lineRule="auto"/>
        <w:ind w:firstLine="480"/>
        <w:jc w:val="center"/>
        <w:rPr>
          <w:rFonts w:hint="eastAsia" w:hAnsi="宋体"/>
          <w:sz w:val="24"/>
        </w:rPr>
      </w:pPr>
    </w:p>
    <w:p>
      <w:pPr>
        <w:pStyle w:val="5"/>
        <w:spacing w:line="360" w:lineRule="auto"/>
        <w:ind w:firstLine="480"/>
        <w:jc w:val="center"/>
        <w:rPr>
          <w:rFonts w:hint="eastAsia" w:hAnsi="宋体"/>
          <w:sz w:val="24"/>
        </w:rPr>
      </w:pPr>
    </w:p>
    <w:p>
      <w:pPr>
        <w:spacing w:line="360" w:lineRule="auto"/>
        <w:rPr>
          <w:rFonts w:hAnsi="宋体"/>
          <w:sz w:val="24"/>
        </w:rPr>
        <w:sectPr>
          <w:pgSz w:w="11907" w:h="16840"/>
          <w:pgMar w:top="1440" w:right="1797" w:bottom="1440" w:left="1797" w:header="794" w:footer="964" w:gutter="0"/>
          <w:cols w:space="720" w:num="1"/>
          <w:docGrid w:linePitch="312" w:charSpace="0"/>
        </w:sect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4</w:t>
      </w:r>
      <w:r>
        <w:rPr>
          <w:rFonts w:hAnsi="宋体"/>
          <w:sz w:val="24"/>
        </w:rPr>
        <w:t>《综合得分表》</w:t>
      </w:r>
    </w:p>
    <w:p>
      <w:pPr>
        <w:spacing w:line="360" w:lineRule="auto"/>
        <w:jc w:val="center"/>
        <w:rPr>
          <w:rFonts w:hint="eastAsia" w:hAnsi="宋体"/>
          <w:b/>
          <w:sz w:val="24"/>
        </w:rPr>
      </w:pPr>
    </w:p>
    <w:p>
      <w:pPr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Ansi="宋体"/>
          <w:b/>
          <w:sz w:val="24"/>
        </w:rPr>
        <w:t>综合得分表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97"/>
        <w:gridCol w:w="1144"/>
        <w:gridCol w:w="1526"/>
        <w:gridCol w:w="2362"/>
        <w:gridCol w:w="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　目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评分（A）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权重</w:t>
            </w:r>
            <w:r>
              <w:rPr>
                <w:rFonts w:hint="eastAsia" w:hAnsi="宋体"/>
                <w:szCs w:val="21"/>
              </w:rPr>
              <w:t>（K）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权重后得分（A*K）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商务得分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A1</w:t>
            </w:r>
            <w:r>
              <w:rPr>
                <w:rFonts w:hint="eastAsia"/>
                <w:szCs w:val="21"/>
              </w:rPr>
              <w:t>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K1=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技术得分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A2</w:t>
            </w:r>
            <w:r>
              <w:rPr>
                <w:rFonts w:hint="eastAsia"/>
                <w:szCs w:val="21"/>
              </w:rPr>
              <w:t>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K2=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经济得分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3=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K3=</w:t>
            </w:r>
            <w:r>
              <w:rPr>
                <w:rFonts w:hint="eastAsia"/>
                <w:szCs w:val="21"/>
                <w:lang w:val="en-US" w:eastAsia="zh-CN"/>
              </w:rPr>
              <w:t>70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40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最终得分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pStyle w:val="10"/>
              <w:rPr>
                <w:rFonts w:eastAsia="宋体"/>
              </w:rPr>
            </w:pPr>
            <w:r>
              <w:rPr>
                <w:rFonts w:eastAsia="宋体"/>
              </w:rPr>
              <w:t>∑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pStyle w:val="10"/>
              <w:rPr>
                <w:rFonts w:eastAsia="宋体"/>
              </w:rPr>
            </w:pPr>
          </w:p>
        </w:tc>
      </w:tr>
    </w:tbl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/>
    <w:sectPr>
      <w:pgSz w:w="11907" w:h="16840"/>
      <w:pgMar w:top="1440" w:right="1797" w:bottom="1440" w:left="1797" w:header="794" w:footer="96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ZTE5NjI5YThiYjIwZDZmYzExYjFlNzcwZGU1OWQifQ=="/>
  </w:docVars>
  <w:rsids>
    <w:rsidRoot w:val="39EB35CD"/>
    <w:rsid w:val="1AE36EFB"/>
    <w:rsid w:val="39E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4"/>
    <w:next w:val="1"/>
    <w:qFormat/>
    <w:uiPriority w:val="0"/>
    <w:pPr>
      <w:keepNext/>
      <w:keepLines/>
      <w:spacing w:before="120" w:beforeLines="50" w:after="120" w:afterLines="50" w:line="340" w:lineRule="exact"/>
      <w:jc w:val="left"/>
      <w:outlineLvl w:val="2"/>
    </w:pPr>
    <w:rPr>
      <w:rFonts w:ascii="仿宋_GB2312" w:eastAsia="仿宋_GB2312"/>
      <w:bCs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1"/>
    <w:basedOn w:val="1"/>
    <w:next w:val="1"/>
    <w:autoRedefine/>
    <w:semiHidden/>
    <w:qFormat/>
    <w:uiPriority w:val="0"/>
    <w:rPr>
      <w:rFonts w:eastAsia="仿宋_GB2312"/>
    </w:rPr>
  </w:style>
  <w:style w:type="paragraph" w:styleId="5">
    <w:name w:val="Normal Indent"/>
    <w:basedOn w:val="1"/>
    <w:autoRedefine/>
    <w:qFormat/>
    <w:uiPriority w:val="0"/>
    <w:pPr>
      <w:ind w:firstLine="420" w:firstLineChars="200"/>
    </w:pPr>
  </w:style>
  <w:style w:type="character" w:customStyle="1" w:styleId="8">
    <w:name w:val="样式 超链接 + 仿宋_GB2312 小四 加粗"/>
    <w:autoRedefine/>
    <w:qFormat/>
    <w:uiPriority w:val="0"/>
    <w:rPr>
      <w:rFonts w:ascii="仿宋_GB2312" w:hAnsi="仿宋_GB2312" w:eastAsia="黑体"/>
      <w:b/>
      <w:bCs/>
      <w:color w:val="auto"/>
      <w:sz w:val="24"/>
      <w:u w:val="none"/>
    </w:rPr>
  </w:style>
  <w:style w:type="paragraph" w:customStyle="1" w:styleId="9">
    <w:name w:val="样式 标题 3 + 仿宋_GB2312 小四 段前: 0 磅 段后: 0 磅"/>
    <w:basedOn w:val="3"/>
    <w:autoRedefine/>
    <w:qFormat/>
    <w:uiPriority w:val="0"/>
    <w:pPr>
      <w:spacing w:before="50" w:after="0" w:afterLines="0" w:line="415" w:lineRule="auto"/>
      <w:ind w:firstLine="0" w:firstLineChars="0"/>
    </w:pPr>
    <w:rPr>
      <w:rFonts w:cs="宋体"/>
      <w:b/>
      <w:kern w:val="0"/>
      <w:szCs w:val="20"/>
    </w:rPr>
  </w:style>
  <w:style w:type="paragraph" w:customStyle="1" w:styleId="10">
    <w:name w:val="样式 楷体_GB2312 小四 首行缩进:  0.8 厘米 行距: 固定值 28 磅"/>
    <w:basedOn w:val="1"/>
    <w:autoRedefine/>
    <w:qFormat/>
    <w:uiPriority w:val="0"/>
    <w:pPr>
      <w:spacing w:line="360" w:lineRule="auto"/>
      <w:jc w:val="center"/>
    </w:pPr>
    <w:rPr>
      <w:rFonts w:eastAsia="仿宋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2024-03-12T03:30:00Z</dcterms:created>
  <dc:creator>天是一般蓝</dc:creator>
  <cp:lastModifiedBy>天是一般蓝</cp:lastModifiedBy>
  <dcterms:modified xsi:type="dcterms:W3CDTF">2024-04-22T06:03:04Z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DCCFBC11C8214429870574F9908CEF75_13</vt:lpwstr>
  </property>
</Properties>
</file>