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711495D">
      <w:pPr>
        <w:spacing w:line="360" w:lineRule="auto"/>
        <w:jc w:val="left"/>
        <w:rPr>
          <w:rFonts w:hint="eastAsia" w:eastAsia="仿宋_GB2312"/>
          <w:bCs/>
          <w:color w:val="000000"/>
          <w:sz w:val="28"/>
          <w:szCs w:val="28"/>
          <w:highlight w:val="none"/>
          <w:u w:val="single"/>
          <w:lang w:val="en-US" w:eastAsia="zh-CN"/>
        </w:rPr>
      </w:pPr>
      <w:bookmarkStart w:id="0" w:name="_Hlk126831517"/>
      <w:r>
        <w:rPr>
          <w:rFonts w:hint="eastAsia" w:eastAsia="仿宋_GB2312"/>
          <w:bCs/>
          <w:color w:val="000000"/>
          <w:sz w:val="28"/>
          <w:szCs w:val="28"/>
          <w:highlight w:val="none"/>
        </w:rPr>
        <w:t>合同编号：</w:t>
      </w:r>
      <w:permStart w:id="0" w:edGrp="everyone"/>
      <w:r>
        <w:rPr>
          <w:rFonts w:hint="eastAsia" w:ascii="宋体" w:hAnsi="宋体" w:eastAsia="宋体" w:cs="宋体"/>
          <w:bCs/>
          <w:color w:val="000000"/>
          <w:sz w:val="21"/>
          <w:szCs w:val="21"/>
          <w:highlight w:val="none"/>
          <w:u w:val="single"/>
        </w:rPr>
        <w:t>ZJLQ-FG-本溪防洪治理项目-</w:t>
      </w:r>
      <w:r>
        <w:rPr>
          <w:rFonts w:hint="eastAsia" w:ascii="宋体" w:hAnsi="宋体" w:eastAsia="宋体" w:cs="宋体"/>
          <w:bCs/>
          <w:color w:val="000000"/>
          <w:sz w:val="21"/>
          <w:szCs w:val="21"/>
          <w:highlight w:val="none"/>
          <w:u w:val="single"/>
          <w:lang w:val="en-US" w:eastAsia="zh-CN"/>
        </w:rPr>
        <w:t>002</w:t>
      </w:r>
      <w:permEnd w:id="0"/>
    </w:p>
    <w:p w14:paraId="063A9037">
      <w:pPr>
        <w:wordWrap w:val="0"/>
        <w:spacing w:line="640" w:lineRule="exact"/>
        <w:jc w:val="both"/>
        <w:rPr>
          <w:rFonts w:ascii="仿宋_GB2312" w:hAnsi="仿宋" w:eastAsia="仿宋_GB2312" w:cs="仿宋"/>
          <w:color w:val="000000" w:themeColor="text1"/>
          <w:sz w:val="24"/>
          <w:szCs w:val="24"/>
          <w:highlight w:val="none"/>
          <w14:textFill>
            <w14:solidFill>
              <w14:schemeClr w14:val="tx1"/>
            </w14:solidFill>
          </w14:textFill>
        </w:rPr>
      </w:pPr>
      <w:r>
        <w:rPr>
          <w:rFonts w:hint="eastAsia" w:eastAsia="仿宋_GB2312"/>
          <w:bCs/>
          <w:color w:val="000000"/>
          <w:sz w:val="28"/>
          <w:szCs w:val="28"/>
          <w:highlight w:val="none"/>
        </w:rPr>
        <w:t>框架协议：</w:t>
      </w:r>
      <w:permStart w:id="1" w:edGrp="everyone"/>
      <w:r>
        <w:rPr>
          <w:rFonts w:hint="eastAsia" w:eastAsia="仿宋_GB2312"/>
          <w:bCs/>
          <w:color w:val="000000"/>
          <w:sz w:val="28"/>
          <w:szCs w:val="28"/>
          <w:highlight w:val="none"/>
          <w:u w:val="single"/>
        </w:rPr>
        <w:t xml:space="preserve">               </w:t>
      </w:r>
      <w:r>
        <w:rPr>
          <w:rFonts w:hint="eastAsia" w:eastAsia="仿宋_GB2312"/>
          <w:bCs/>
          <w:color w:val="000000"/>
          <w:sz w:val="28"/>
          <w:szCs w:val="28"/>
          <w:highlight w:val="none"/>
          <w:u w:val="single"/>
          <w:lang w:val="en-US" w:eastAsia="zh-CN"/>
        </w:rPr>
        <w:t xml:space="preserve"> </w:t>
      </w:r>
      <w:r>
        <w:rPr>
          <w:rFonts w:hint="eastAsia" w:eastAsia="仿宋_GB2312"/>
          <w:bCs/>
          <w:color w:val="000000"/>
          <w:sz w:val="28"/>
          <w:szCs w:val="28"/>
          <w:highlight w:val="none"/>
          <w:u w:val="single"/>
        </w:rPr>
        <w:t xml:space="preserve">     </w:t>
      </w:r>
      <w:permEnd w:id="1"/>
    </w:p>
    <w:p w14:paraId="15D1596A">
      <w:pPr>
        <w:spacing w:line="360" w:lineRule="auto"/>
        <w:jc w:val="left"/>
        <w:rPr>
          <w:rFonts w:hint="eastAsia" w:ascii="仿宋_GB2312" w:hAnsi="仿宋_GB2312" w:eastAsia="仿宋_GB2312" w:cs="仿宋_GB2312"/>
          <w:sz w:val="28"/>
          <w:szCs w:val="28"/>
          <w:highlight w:val="none"/>
        </w:rPr>
      </w:pPr>
      <w:r>
        <w:rPr>
          <w:highlight w:val="none"/>
        </w:rPr>
        <w:pict>
          <v:shape id="_x0000_s1029" o:spid="_x0000_s1029" o:spt="136" type="#_x0000_t136" style="position:absolute;left:0pt;margin-left:100pt;margin-top:100pt;height:100pt;width:200pt;z-index:251663360;mso-width-relative:page;mso-height-relative:page;" coordsize="21600,21600">
            <v:path/>
            <v:fill opacity="32768f" focussize="0,0"/>
            <v:stroke/>
            <v:imagedata o:title=""/>
            <o:lock v:ext="edit"/>
            <v:textpath on="t" fitshape="t" fitpath="t" trim="t" xscale="f" string="" style="font-size:36pt;v-text-align:center;"/>
          </v:shape>
        </w:pict>
      </w:r>
    </w:p>
    <w:p w14:paraId="7A544352">
      <w:pPr>
        <w:pStyle w:val="6"/>
        <w:rPr>
          <w:rFonts w:hint="eastAsia"/>
          <w:highlight w:val="none"/>
        </w:rPr>
      </w:pPr>
    </w:p>
    <w:p w14:paraId="27D1CDDC">
      <w:pPr>
        <w:pStyle w:val="6"/>
        <w:rPr>
          <w:rFonts w:hint="eastAsia"/>
          <w:highlight w:val="none"/>
        </w:rPr>
      </w:pPr>
    </w:p>
    <w:p w14:paraId="38D84964">
      <w:pPr>
        <w:pStyle w:val="6"/>
        <w:rPr>
          <w:rFonts w:hint="eastAsia"/>
          <w:highlight w:val="none"/>
        </w:rPr>
      </w:pPr>
    </w:p>
    <w:p w14:paraId="4223170A">
      <w:pPr>
        <w:spacing w:line="360" w:lineRule="auto"/>
        <w:jc w:val="center"/>
        <w:rPr>
          <w:rFonts w:hint="eastAsia" w:ascii="华文中宋" w:hAnsi="华文中宋" w:eastAsia="华文中宋" w:cs="华文中宋"/>
          <w:b/>
          <w:sz w:val="52"/>
          <w:szCs w:val="52"/>
          <w:highlight w:val="none"/>
        </w:rPr>
      </w:pPr>
      <w:r>
        <w:rPr>
          <w:rFonts w:hint="eastAsia" w:ascii="华文中宋" w:hAnsi="华文中宋" w:eastAsia="华文中宋" w:cs="华文中宋"/>
          <w:b/>
          <w:sz w:val="52"/>
          <w:szCs w:val="52"/>
          <w:highlight w:val="none"/>
        </w:rPr>
        <w:t>【</w:t>
      </w:r>
      <w:r>
        <w:rPr>
          <w:rFonts w:hint="eastAsia" w:ascii="华文中宋" w:hAnsi="华文中宋" w:eastAsia="华文中宋" w:cs="华文中宋"/>
          <w:b/>
          <w:sz w:val="52"/>
          <w:szCs w:val="52"/>
          <w:highlight w:val="none"/>
          <w:lang w:val="en-US" w:eastAsia="zh-CN"/>
        </w:rPr>
        <w:t>商品混凝土</w:t>
      </w:r>
      <w:r>
        <w:rPr>
          <w:rFonts w:hint="eastAsia" w:ascii="华文中宋" w:hAnsi="华文中宋" w:eastAsia="华文中宋" w:cs="华文中宋"/>
          <w:b/>
          <w:sz w:val="52"/>
          <w:szCs w:val="52"/>
          <w:highlight w:val="none"/>
        </w:rPr>
        <w:t>】采购与供应合同</w:t>
      </w:r>
    </w:p>
    <w:p w14:paraId="68A771F4">
      <w:pPr>
        <w:spacing w:line="360" w:lineRule="auto"/>
        <w:jc w:val="center"/>
        <w:rPr>
          <w:rFonts w:hint="eastAsia" w:ascii="宋体" w:hAnsi="宋体" w:cs="宋体"/>
          <w:b/>
          <w:sz w:val="28"/>
          <w:szCs w:val="28"/>
          <w:highlight w:val="none"/>
        </w:rPr>
      </w:pPr>
      <w:r>
        <w:rPr>
          <w:highlight w:val="none"/>
        </w:rPr>
        <w:drawing>
          <wp:anchor distT="0" distB="0" distL="114300" distR="114300" simplePos="0" relativeHeight="251662336" behindDoc="1" locked="0" layoutInCell="1" allowOverlap="1">
            <wp:simplePos x="0" y="0"/>
            <wp:positionH relativeFrom="column">
              <wp:posOffset>1829435</wp:posOffset>
            </wp:positionH>
            <wp:positionV relativeFrom="paragraph">
              <wp:posOffset>245745</wp:posOffset>
            </wp:positionV>
            <wp:extent cx="1685925" cy="2352675"/>
            <wp:effectExtent l="0" t="0" r="9525" b="9525"/>
            <wp:wrapNone/>
            <wp:docPr id="13"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说明: 图片1"/>
                    <pic:cNvPicPr>
                      <a:picLocks noChangeAspect="1"/>
                    </pic:cNvPicPr>
                  </pic:nvPicPr>
                  <pic:blipFill>
                    <a:blip r:embed="rId15">
                      <a:clrChange>
                        <a:clrFrom>
                          <a:srgbClr val="FEFEFC"/>
                        </a:clrFrom>
                        <a:clrTo>
                          <a:srgbClr val="FEFEFC">
                            <a:alpha val="0"/>
                          </a:srgbClr>
                        </a:clrTo>
                      </a:clrChange>
                    </a:blip>
                    <a:stretch>
                      <a:fillRect/>
                    </a:stretch>
                  </pic:blipFill>
                  <pic:spPr>
                    <a:xfrm>
                      <a:off x="0" y="0"/>
                      <a:ext cx="1685925" cy="2352675"/>
                    </a:xfrm>
                    <a:prstGeom prst="rect">
                      <a:avLst/>
                    </a:prstGeom>
                    <a:noFill/>
                    <a:ln>
                      <a:noFill/>
                    </a:ln>
                  </pic:spPr>
                </pic:pic>
              </a:graphicData>
            </a:graphic>
          </wp:anchor>
        </w:drawing>
      </w:r>
    </w:p>
    <w:p w14:paraId="115A5E57">
      <w:pPr>
        <w:spacing w:line="360" w:lineRule="auto"/>
        <w:jc w:val="center"/>
        <w:rPr>
          <w:rFonts w:hint="eastAsia" w:ascii="宋体" w:hAnsi="宋体" w:cs="宋体"/>
          <w:b/>
          <w:sz w:val="28"/>
          <w:szCs w:val="28"/>
          <w:highlight w:val="none"/>
        </w:rPr>
      </w:pPr>
    </w:p>
    <w:p w14:paraId="63161BFC">
      <w:pPr>
        <w:spacing w:line="360" w:lineRule="auto"/>
        <w:jc w:val="center"/>
        <w:rPr>
          <w:rFonts w:hint="eastAsia" w:ascii="宋体" w:hAnsi="宋体" w:cs="宋体"/>
          <w:b/>
          <w:sz w:val="28"/>
          <w:szCs w:val="28"/>
          <w:highlight w:val="none"/>
        </w:rPr>
      </w:pPr>
    </w:p>
    <w:p w14:paraId="7568C7FA">
      <w:pPr>
        <w:spacing w:line="360" w:lineRule="auto"/>
        <w:jc w:val="center"/>
        <w:rPr>
          <w:rFonts w:hint="eastAsia" w:ascii="宋体" w:hAnsi="宋体" w:cs="宋体"/>
          <w:b/>
          <w:sz w:val="28"/>
          <w:szCs w:val="28"/>
          <w:highlight w:val="none"/>
        </w:rPr>
      </w:pPr>
    </w:p>
    <w:p w14:paraId="258D56A2">
      <w:pPr>
        <w:spacing w:line="360" w:lineRule="auto"/>
        <w:jc w:val="center"/>
        <w:rPr>
          <w:rFonts w:hint="eastAsia" w:ascii="宋体" w:hAnsi="宋体" w:cs="宋体"/>
          <w:b/>
          <w:sz w:val="28"/>
          <w:szCs w:val="28"/>
          <w:highlight w:val="none"/>
        </w:rPr>
      </w:pPr>
    </w:p>
    <w:p w14:paraId="5DDD3E70">
      <w:pPr>
        <w:spacing w:line="360" w:lineRule="auto"/>
        <w:rPr>
          <w:rFonts w:hint="eastAsia" w:ascii="宋体" w:hAnsi="宋体" w:cs="宋体"/>
          <w:b/>
          <w:sz w:val="28"/>
          <w:szCs w:val="28"/>
          <w:highlight w:val="none"/>
        </w:rPr>
      </w:pPr>
    </w:p>
    <w:p w14:paraId="78DC8956">
      <w:pPr>
        <w:pStyle w:val="8"/>
        <w:spacing w:after="120"/>
        <w:rPr>
          <w:rFonts w:hint="eastAsia" w:ascii="宋体" w:hAnsi="宋体" w:cs="宋体"/>
          <w:b/>
          <w:sz w:val="28"/>
          <w:szCs w:val="28"/>
          <w:highlight w:val="none"/>
        </w:rPr>
      </w:pPr>
    </w:p>
    <w:p w14:paraId="3B53D6A3">
      <w:pPr>
        <w:spacing w:line="360" w:lineRule="auto"/>
        <w:rPr>
          <w:rFonts w:hint="eastAsia" w:ascii="仿宋_GB2312" w:hAnsi="仿宋_GB2312" w:eastAsia="仿宋_GB2312" w:cs="仿宋_GB2312"/>
          <w:b/>
          <w:bCs/>
          <w:sz w:val="28"/>
          <w:szCs w:val="28"/>
          <w:highlight w:val="none"/>
        </w:rPr>
      </w:pPr>
    </w:p>
    <w:p w14:paraId="20312622">
      <w:pPr>
        <w:spacing w:line="360" w:lineRule="auto"/>
        <w:ind w:firstLine="562" w:firstLineChars="200"/>
        <w:rPr>
          <w:rFonts w:hint="eastAsia" w:ascii="仿宋_GB2312" w:hAnsi="仿宋_GB2312" w:eastAsia="仿宋_GB2312" w:cs="仿宋_GB2312"/>
          <w:sz w:val="28"/>
          <w:szCs w:val="28"/>
          <w:highlight w:val="none"/>
        </w:rPr>
      </w:pPr>
      <w:permStart w:id="2" w:edGrp="everyone"/>
      <w:r>
        <w:rPr>
          <w:rFonts w:hint="eastAsia" w:ascii="仿宋_GB2312" w:hAnsi="仿宋_GB2312" w:eastAsia="仿宋_GB2312" w:cs="仿宋_GB2312"/>
          <w:b/>
          <w:bCs/>
          <w:sz w:val="28"/>
          <w:szCs w:val="28"/>
          <w:highlight w:val="none"/>
        </w:rPr>
        <w:t>项目名称：</w:t>
      </w:r>
      <w:r>
        <w:rPr>
          <w:rFonts w:hint="eastAsia" w:ascii="仿宋_GB2312" w:hAnsi="仿宋_GB2312" w:eastAsia="仿宋_GB2312" w:cs="仿宋_GB2312"/>
          <w:b/>
          <w:color w:val="000000"/>
          <w:sz w:val="28"/>
          <w:szCs w:val="28"/>
          <w:highlight w:val="none"/>
        </w:rPr>
        <w:t>【本溪市平山区(福金沟、转山沟、花红沟)山洪</w:t>
      </w:r>
      <w:r>
        <w:rPr>
          <w:rFonts w:hint="eastAsia" w:ascii="仿宋_GB2312" w:hAnsi="仿宋_GB2312" w:eastAsia="仿宋_GB2312" w:cs="仿宋_GB2312"/>
          <w:b/>
          <w:color w:val="000000"/>
          <w:sz w:val="28"/>
          <w:szCs w:val="28"/>
          <w:highlight w:val="none"/>
        </w:rPr>
        <w:tab/>
      </w:r>
      <w:r>
        <w:rPr>
          <w:rFonts w:hint="eastAsia" w:ascii="仿宋_GB2312" w:hAnsi="仿宋_GB2312" w:eastAsia="仿宋_GB2312" w:cs="仿宋_GB2312"/>
          <w:b/>
          <w:color w:val="000000"/>
          <w:sz w:val="28"/>
          <w:szCs w:val="28"/>
          <w:highlight w:val="none"/>
        </w:rPr>
        <w:tab/>
      </w:r>
      <w:r>
        <w:rPr>
          <w:rFonts w:hint="eastAsia" w:ascii="仿宋_GB2312" w:hAnsi="仿宋_GB2312" w:eastAsia="仿宋_GB2312" w:cs="仿宋_GB2312"/>
          <w:b/>
          <w:color w:val="000000"/>
          <w:sz w:val="28"/>
          <w:szCs w:val="28"/>
          <w:highlight w:val="none"/>
        </w:rPr>
        <w:tab/>
      </w:r>
      <w:r>
        <w:rPr>
          <w:rFonts w:hint="eastAsia" w:ascii="仿宋_GB2312" w:hAnsi="仿宋_GB2312" w:eastAsia="仿宋_GB2312" w:cs="仿宋_GB2312"/>
          <w:b/>
          <w:color w:val="000000"/>
          <w:sz w:val="28"/>
          <w:szCs w:val="28"/>
          <w:highlight w:val="none"/>
        </w:rPr>
        <w:tab/>
      </w:r>
      <w:r>
        <w:rPr>
          <w:rFonts w:hint="eastAsia" w:ascii="仿宋_GB2312" w:hAnsi="仿宋_GB2312" w:eastAsia="仿宋_GB2312" w:cs="仿宋_GB2312"/>
          <w:b/>
          <w:color w:val="000000"/>
          <w:sz w:val="28"/>
          <w:szCs w:val="28"/>
          <w:highlight w:val="none"/>
          <w:lang w:val="en-US" w:eastAsia="zh-CN"/>
        </w:rPr>
        <w:tab/>
      </w:r>
      <w:r>
        <w:rPr>
          <w:rFonts w:hint="eastAsia" w:ascii="仿宋_GB2312" w:hAnsi="仿宋_GB2312" w:eastAsia="仿宋_GB2312" w:cs="仿宋_GB2312"/>
          <w:b/>
          <w:color w:val="000000"/>
          <w:sz w:val="28"/>
          <w:szCs w:val="28"/>
          <w:highlight w:val="none"/>
          <w:lang w:val="en-US" w:eastAsia="zh-CN"/>
        </w:rPr>
        <w:tab/>
      </w:r>
      <w:r>
        <w:rPr>
          <w:rFonts w:hint="eastAsia" w:ascii="仿宋_GB2312" w:hAnsi="仿宋_GB2312" w:eastAsia="仿宋_GB2312" w:cs="仿宋_GB2312"/>
          <w:b/>
          <w:color w:val="000000"/>
          <w:sz w:val="28"/>
          <w:szCs w:val="28"/>
          <w:highlight w:val="none"/>
        </w:rPr>
        <w:t>沟防洪治理工程施工-(福金沟、转山沟)一标段】</w:t>
      </w:r>
    </w:p>
    <w:p w14:paraId="7E011BA2">
      <w:pPr>
        <w:spacing w:line="360" w:lineRule="auto"/>
        <w:ind w:firstLine="562" w:firstLineChars="200"/>
        <w:jc w:val="both"/>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甲    方：</w:t>
      </w:r>
      <w:r>
        <w:rPr>
          <w:rFonts w:hint="eastAsia" w:ascii="仿宋_GB2312" w:hAnsi="仿宋_GB2312" w:eastAsia="仿宋_GB2312" w:cs="仿宋_GB2312"/>
          <w:b/>
          <w:color w:val="000000"/>
          <w:sz w:val="28"/>
          <w:szCs w:val="28"/>
          <w:highlight w:val="none"/>
        </w:rPr>
        <w:t>【</w:t>
      </w:r>
      <w:r>
        <w:rPr>
          <w:rFonts w:hint="eastAsia" w:ascii="仿宋_GB2312" w:hAnsi="仿宋_GB2312" w:eastAsia="仿宋_GB2312" w:cs="仿宋_GB2312"/>
          <w:b/>
          <w:bCs/>
          <w:sz w:val="28"/>
          <w:szCs w:val="28"/>
          <w:highlight w:val="none"/>
        </w:rPr>
        <w:t>中建路桥集团</w:t>
      </w:r>
      <w:r>
        <w:rPr>
          <w:rFonts w:hint="eastAsia" w:ascii="仿宋_GB2312" w:hAnsi="仿宋_GB2312" w:eastAsia="仿宋_GB2312" w:cs="仿宋_GB2312"/>
          <w:b/>
          <w:bCs/>
          <w:sz w:val="28"/>
          <w:szCs w:val="28"/>
          <w:highlight w:val="none"/>
          <w:lang w:val="en-US" w:eastAsia="zh-CN"/>
        </w:rPr>
        <w:t>雄安发展</w:t>
      </w:r>
      <w:r>
        <w:rPr>
          <w:rFonts w:hint="eastAsia" w:ascii="仿宋_GB2312" w:hAnsi="仿宋_GB2312" w:eastAsia="仿宋_GB2312" w:cs="仿宋_GB2312"/>
          <w:b/>
          <w:bCs/>
          <w:sz w:val="28"/>
          <w:szCs w:val="28"/>
          <w:highlight w:val="none"/>
        </w:rPr>
        <w:t>有限公司</w:t>
      </w:r>
      <w:r>
        <w:rPr>
          <w:rFonts w:hint="eastAsia" w:ascii="仿宋_GB2312" w:hAnsi="仿宋_GB2312" w:eastAsia="仿宋_GB2312" w:cs="仿宋_GB2312"/>
          <w:b/>
          <w:color w:val="000000"/>
          <w:sz w:val="28"/>
          <w:szCs w:val="28"/>
          <w:highlight w:val="none"/>
        </w:rPr>
        <w:t>】</w:t>
      </w:r>
    </w:p>
    <w:p w14:paraId="593BFFB7">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乙    方：</w:t>
      </w:r>
      <w:r>
        <w:rPr>
          <w:rFonts w:hint="eastAsia" w:ascii="仿宋_GB2312" w:hAnsi="仿宋_GB2312" w:eastAsia="仿宋_GB2312" w:cs="仿宋_GB2312"/>
          <w:b/>
          <w:color w:val="000000"/>
          <w:sz w:val="28"/>
          <w:szCs w:val="28"/>
          <w:highlight w:val="none"/>
        </w:rPr>
        <w:t>【                            】</w:t>
      </w:r>
    </w:p>
    <w:p w14:paraId="6F3F912F">
      <w:pPr>
        <w:spacing w:line="360"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签订时间：</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bCs/>
          <w:sz w:val="28"/>
          <w:szCs w:val="28"/>
          <w:highlight w:val="none"/>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
    <w:p w14:paraId="39ACB0BD">
      <w:pPr>
        <w:spacing w:line="360" w:lineRule="auto"/>
        <w:ind w:firstLine="562" w:firstLineChars="200"/>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bCs/>
          <w:sz w:val="28"/>
          <w:szCs w:val="28"/>
          <w:highlight w:val="none"/>
        </w:rPr>
        <w:t>签订地点：</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雄安新区雄县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r>
        <w:rPr>
          <w:rFonts w:hint="eastAsia" w:ascii="仿宋_GB2312" w:hAnsi="仿宋_GB2312" w:eastAsia="仿宋_GB2312" w:cs="仿宋_GB2312"/>
          <w:b/>
          <w:color w:val="000000"/>
          <w:sz w:val="28"/>
          <w:szCs w:val="28"/>
          <w:highlight w:val="none"/>
          <w:lang w:val="en-US" w:eastAsia="zh-CN"/>
        </w:rPr>
        <w:t xml:space="preserve"> </w:t>
      </w:r>
      <w:r>
        <w:rPr>
          <w:rFonts w:hint="eastAsia" w:ascii="仿宋_GB2312" w:hAnsi="仿宋_GB2312" w:eastAsia="仿宋_GB2312" w:cs="仿宋_GB2312"/>
          <w:b/>
          <w:color w:val="000000"/>
          <w:sz w:val="28"/>
          <w:szCs w:val="28"/>
          <w:highlight w:val="none"/>
        </w:rPr>
        <w:t xml:space="preserve">  】</w:t>
      </w:r>
      <w:permEnd w:id="2"/>
    </w:p>
    <w:bookmarkEnd w:id="0"/>
    <w:p w14:paraId="37776622">
      <w:pPr>
        <w:wordWrap w:val="0"/>
        <w:spacing w:line="640" w:lineRule="exact"/>
        <w:ind w:right="1280"/>
        <w:rPr>
          <w:rFonts w:ascii="仿宋_GB2312" w:hAnsi="仿宋" w:eastAsia="仿宋_GB2312" w:cs="仿宋"/>
          <w:bCs/>
          <w:color w:val="000000" w:themeColor="text1"/>
          <w:sz w:val="32"/>
          <w:szCs w:val="24"/>
          <w:highlight w:val="none"/>
          <w:u w:val="single"/>
          <w14:textFill>
            <w14:solidFill>
              <w14:schemeClr w14:val="tx1"/>
            </w14:solidFill>
          </w14:textFill>
        </w:rPr>
        <w:sectPr>
          <w:headerReference r:id="rId4" w:type="first"/>
          <w:footerReference r:id="rId5" w:type="first"/>
          <w:headerReference r:id="rId3" w:type="default"/>
          <w:pgSz w:w="11906" w:h="16838"/>
          <w:pgMar w:top="1440" w:right="1800" w:bottom="1440" w:left="1800" w:header="851" w:footer="992" w:gutter="0"/>
          <w:cols w:space="425" w:num="1"/>
          <w:docGrid w:type="lines" w:linePitch="312" w:charSpace="0"/>
        </w:sectPr>
      </w:pPr>
      <w:permStart w:id="3" w:edGrp="everyone"/>
    </w:p>
    <w:permEnd w:id="3"/>
    <w:sdt>
      <w:sdtPr>
        <w:rPr>
          <w:rFonts w:hint="eastAsia" w:ascii="宋体" w:hAnsi="宋体" w:eastAsia="宋体" w:cs="宋体"/>
          <w:color w:val="000000"/>
          <w:kern w:val="0"/>
          <w:sz w:val="24"/>
          <w:szCs w:val="24"/>
          <w:highlight w:val="none"/>
        </w:rPr>
        <w:id w:val="147481835"/>
        <w15:color w:val="DBDBDB"/>
        <w:docPartObj>
          <w:docPartGallery w:val="Table of Contents"/>
          <w:docPartUnique/>
        </w:docPartObj>
      </w:sdtPr>
      <w:sdtEndPr>
        <w:rPr>
          <w:rFonts w:hint="eastAsia" w:ascii="仿宋" w:hAnsi="仿宋" w:eastAsia="仿宋" w:cs="仿宋"/>
          <w:b/>
          <w:bCs/>
          <w:color w:val="000000" w:themeColor="text1"/>
          <w:kern w:val="0"/>
          <w:sz w:val="24"/>
          <w:szCs w:val="24"/>
          <w:highlight w:val="none"/>
          <w14:textFill>
            <w14:solidFill>
              <w14:schemeClr w14:val="tx1"/>
            </w14:solidFill>
          </w14:textFill>
        </w:rPr>
      </w:sdtEndPr>
      <w:sdtContent>
        <w:p w14:paraId="49E40AFF">
          <w:pPr>
            <w:pStyle w:val="8"/>
            <w:rPr>
              <w:highlight w:val="none"/>
            </w:rPr>
          </w:pPr>
        </w:p>
        <w:p w14:paraId="73A3B889">
          <w:pPr>
            <w:pStyle w:val="8"/>
            <w:spacing w:line="400" w:lineRule="exact"/>
            <w:jc w:val="center"/>
            <w:rPr>
              <w:rFonts w:hAnsi="黑体" w:cs="黑体"/>
              <w:b/>
              <w:bCs/>
              <w:color w:val="000000" w:themeColor="text1"/>
              <w:sz w:val="36"/>
              <w:szCs w:val="36"/>
              <w:highlight w:val="none"/>
              <w14:textFill>
                <w14:solidFill>
                  <w14:schemeClr w14:val="tx1"/>
                </w14:solidFill>
              </w14:textFill>
            </w:rPr>
          </w:pPr>
          <w:permStart w:id="4" w:edGrp="everyone"/>
          <w:r>
            <w:rPr>
              <w:rFonts w:hint="eastAsia" w:hAnsi="黑体" w:cs="黑体"/>
              <w:b/>
              <w:bCs/>
              <w:color w:val="000000" w:themeColor="text1"/>
              <w:sz w:val="36"/>
              <w:szCs w:val="36"/>
              <w:highlight w:val="none"/>
              <w14:textFill>
                <w14:solidFill>
                  <w14:schemeClr w14:val="tx1"/>
                </w14:solidFill>
              </w14:textFill>
            </w:rPr>
            <w:t>目  录</w:t>
          </w:r>
        </w:p>
        <w:p w14:paraId="7932EE81">
          <w:pPr>
            <w:pStyle w:val="8"/>
            <w:rPr>
              <w:highlight w:val="none"/>
            </w:rPr>
          </w:pPr>
        </w:p>
        <w:p w14:paraId="3F90ECF7">
          <w:pPr>
            <w:pStyle w:val="12"/>
            <w:tabs>
              <w:tab w:val="right" w:leader="dot" w:pos="8306"/>
            </w:tabs>
            <w:spacing w:line="312" w:lineRule="auto"/>
            <w:rPr>
              <w:highlight w:val="none"/>
            </w:rPr>
          </w:pP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TOC \o "1-1" \h \u </w:instrText>
          </w:r>
          <w:r>
            <w:rPr>
              <w:rFonts w:hint="eastAsia" w:ascii="仿宋" w:hAnsi="仿宋" w:eastAsia="仿宋" w:cs="仿宋"/>
              <w:color w:val="000000" w:themeColor="text1"/>
              <w:highlight w:val="none"/>
              <w14:textFill>
                <w14:solidFill>
                  <w14:schemeClr w14:val="tx1"/>
                </w14:solidFill>
              </w14:textFill>
            </w:rPr>
            <w:fldChar w:fldCharType="separate"/>
          </w:r>
          <w:r>
            <w:rPr>
              <w:highlight w:val="none"/>
            </w:rPr>
            <w:fldChar w:fldCharType="begin"/>
          </w:r>
          <w:r>
            <w:rPr>
              <w:highlight w:val="none"/>
            </w:rPr>
            <w:instrText xml:space="preserve"> HYPERLINK \l "_Toc4600" </w:instrText>
          </w:r>
          <w:r>
            <w:rPr>
              <w:highlight w:val="none"/>
            </w:rPr>
            <w:fldChar w:fldCharType="separate"/>
          </w:r>
          <w:r>
            <w:rPr>
              <w:rFonts w:hint="eastAsia" w:ascii="黑体" w:hAnsi="黑体" w:eastAsia="黑体" w:cs="黑体"/>
              <w:bCs/>
              <w:sz w:val="30"/>
              <w:szCs w:val="30"/>
              <w:highlight w:val="none"/>
            </w:rPr>
            <w:t>第一部分 专用条款</w:t>
          </w:r>
          <w:r>
            <w:rPr>
              <w:highlight w:val="none"/>
            </w:rPr>
            <w:tab/>
          </w:r>
          <w:r>
            <w:rPr>
              <w:highlight w:val="none"/>
            </w:rPr>
            <w:fldChar w:fldCharType="begin"/>
          </w:r>
          <w:r>
            <w:rPr>
              <w:highlight w:val="none"/>
            </w:rPr>
            <w:instrText xml:space="preserve"> PAGEREF _Toc4600 \h </w:instrText>
          </w:r>
          <w:r>
            <w:rPr>
              <w:highlight w:val="none"/>
            </w:rPr>
            <w:fldChar w:fldCharType="separate"/>
          </w:r>
          <w:r>
            <w:rPr>
              <w:highlight w:val="none"/>
            </w:rPr>
            <w:t>1</w:t>
          </w:r>
          <w:r>
            <w:rPr>
              <w:highlight w:val="none"/>
            </w:rPr>
            <w:fldChar w:fldCharType="end"/>
          </w:r>
          <w:r>
            <w:rPr>
              <w:highlight w:val="none"/>
            </w:rPr>
            <w:fldChar w:fldCharType="end"/>
          </w:r>
        </w:p>
        <w:p w14:paraId="189DDFA4">
          <w:pPr>
            <w:pStyle w:val="12"/>
            <w:tabs>
              <w:tab w:val="right" w:leader="dot" w:pos="8306"/>
            </w:tabs>
            <w:spacing w:line="312" w:lineRule="auto"/>
            <w:rPr>
              <w:highlight w:val="none"/>
            </w:rPr>
          </w:pPr>
          <w:r>
            <w:rPr>
              <w:highlight w:val="none"/>
            </w:rPr>
            <w:fldChar w:fldCharType="begin"/>
          </w:r>
          <w:r>
            <w:rPr>
              <w:highlight w:val="none"/>
            </w:rPr>
            <w:instrText xml:space="preserve"> HYPERLINK \l "_Toc22768" </w:instrText>
          </w:r>
          <w:r>
            <w:rPr>
              <w:highlight w:val="none"/>
            </w:rPr>
            <w:fldChar w:fldCharType="separate"/>
          </w:r>
          <w:r>
            <w:rPr>
              <w:rFonts w:hint="eastAsia" w:ascii="仿宋_GB2312" w:hAnsi="仿宋_GB2312" w:eastAsia="仿宋_GB2312" w:cs="仿宋_GB2312"/>
              <w:bCs/>
              <w:sz w:val="28"/>
              <w:szCs w:val="28"/>
              <w:highlight w:val="none"/>
            </w:rPr>
            <w:t>一、工程概况</w:t>
          </w:r>
          <w:r>
            <w:rPr>
              <w:highlight w:val="none"/>
            </w:rPr>
            <w:tab/>
          </w:r>
          <w:r>
            <w:rPr>
              <w:highlight w:val="none"/>
            </w:rPr>
            <w:fldChar w:fldCharType="begin"/>
          </w:r>
          <w:r>
            <w:rPr>
              <w:highlight w:val="none"/>
            </w:rPr>
            <w:instrText xml:space="preserve"> PAGEREF _Toc22768 \h </w:instrText>
          </w:r>
          <w:r>
            <w:rPr>
              <w:highlight w:val="none"/>
            </w:rPr>
            <w:fldChar w:fldCharType="separate"/>
          </w:r>
          <w:r>
            <w:rPr>
              <w:highlight w:val="none"/>
            </w:rPr>
            <w:t>1</w:t>
          </w:r>
          <w:r>
            <w:rPr>
              <w:highlight w:val="none"/>
            </w:rPr>
            <w:fldChar w:fldCharType="end"/>
          </w:r>
          <w:r>
            <w:rPr>
              <w:highlight w:val="none"/>
            </w:rPr>
            <w:fldChar w:fldCharType="end"/>
          </w:r>
        </w:p>
        <w:p w14:paraId="52E85FAD">
          <w:pPr>
            <w:pStyle w:val="12"/>
            <w:tabs>
              <w:tab w:val="right" w:leader="dot" w:pos="8306"/>
            </w:tabs>
            <w:spacing w:line="312" w:lineRule="auto"/>
            <w:rPr>
              <w:highlight w:val="none"/>
            </w:rPr>
          </w:pPr>
          <w:r>
            <w:rPr>
              <w:highlight w:val="none"/>
            </w:rPr>
            <w:fldChar w:fldCharType="begin"/>
          </w:r>
          <w:r>
            <w:rPr>
              <w:highlight w:val="none"/>
            </w:rPr>
            <w:instrText xml:space="preserve"> HYPERLINK \l "_Toc13582" </w:instrText>
          </w:r>
          <w:r>
            <w:rPr>
              <w:highlight w:val="none"/>
            </w:rPr>
            <w:fldChar w:fldCharType="separate"/>
          </w:r>
          <w:r>
            <w:rPr>
              <w:rFonts w:hint="eastAsia" w:ascii="仿宋_GB2312" w:hAnsi="仿宋_GB2312" w:eastAsia="仿宋_GB2312" w:cs="仿宋_GB2312"/>
              <w:bCs/>
              <w:sz w:val="28"/>
              <w:szCs w:val="28"/>
              <w:highlight w:val="none"/>
            </w:rPr>
            <w:t>二、货物清单</w:t>
          </w:r>
          <w:r>
            <w:rPr>
              <w:highlight w:val="none"/>
            </w:rPr>
            <w:tab/>
          </w:r>
          <w:r>
            <w:rPr>
              <w:highlight w:val="none"/>
            </w:rPr>
            <w:fldChar w:fldCharType="begin"/>
          </w:r>
          <w:r>
            <w:rPr>
              <w:highlight w:val="none"/>
            </w:rPr>
            <w:instrText xml:space="preserve"> PAGEREF _Toc13582 \h </w:instrText>
          </w:r>
          <w:r>
            <w:rPr>
              <w:highlight w:val="none"/>
            </w:rPr>
            <w:fldChar w:fldCharType="separate"/>
          </w:r>
          <w:r>
            <w:rPr>
              <w:highlight w:val="none"/>
            </w:rPr>
            <w:t>1</w:t>
          </w:r>
          <w:r>
            <w:rPr>
              <w:highlight w:val="none"/>
            </w:rPr>
            <w:fldChar w:fldCharType="end"/>
          </w:r>
          <w:r>
            <w:rPr>
              <w:highlight w:val="none"/>
            </w:rPr>
            <w:fldChar w:fldCharType="end"/>
          </w:r>
        </w:p>
        <w:p w14:paraId="7835506D">
          <w:pPr>
            <w:pStyle w:val="12"/>
            <w:tabs>
              <w:tab w:val="right" w:leader="dot" w:pos="8306"/>
            </w:tabs>
            <w:spacing w:line="312" w:lineRule="auto"/>
            <w:rPr>
              <w:highlight w:val="none"/>
            </w:rPr>
          </w:pPr>
          <w:r>
            <w:rPr>
              <w:highlight w:val="none"/>
            </w:rPr>
            <w:fldChar w:fldCharType="begin"/>
          </w:r>
          <w:r>
            <w:rPr>
              <w:highlight w:val="none"/>
            </w:rPr>
            <w:instrText xml:space="preserve"> HYPERLINK \l "_Toc16980" </w:instrText>
          </w:r>
          <w:r>
            <w:rPr>
              <w:highlight w:val="none"/>
            </w:rPr>
            <w:fldChar w:fldCharType="separate"/>
          </w:r>
          <w:r>
            <w:rPr>
              <w:rFonts w:hint="eastAsia" w:ascii="仿宋_GB2312" w:hAnsi="仿宋_GB2312" w:eastAsia="仿宋_GB2312" w:cs="仿宋_GB2312"/>
              <w:bCs/>
              <w:sz w:val="28"/>
              <w:szCs w:val="28"/>
              <w:highlight w:val="none"/>
            </w:rPr>
            <w:t>三、货物供应</w:t>
          </w:r>
          <w:r>
            <w:rPr>
              <w:highlight w:val="none"/>
            </w:rPr>
            <w:tab/>
          </w:r>
          <w:r>
            <w:rPr>
              <w:highlight w:val="none"/>
            </w:rPr>
            <w:fldChar w:fldCharType="begin"/>
          </w:r>
          <w:r>
            <w:rPr>
              <w:highlight w:val="none"/>
            </w:rPr>
            <w:instrText xml:space="preserve"> PAGEREF _Toc16980 \h </w:instrText>
          </w:r>
          <w:r>
            <w:rPr>
              <w:highlight w:val="none"/>
            </w:rPr>
            <w:fldChar w:fldCharType="separate"/>
          </w:r>
          <w:r>
            <w:rPr>
              <w:highlight w:val="none"/>
            </w:rPr>
            <w:t>3</w:t>
          </w:r>
          <w:r>
            <w:rPr>
              <w:highlight w:val="none"/>
            </w:rPr>
            <w:fldChar w:fldCharType="end"/>
          </w:r>
          <w:r>
            <w:rPr>
              <w:highlight w:val="none"/>
            </w:rPr>
            <w:fldChar w:fldCharType="end"/>
          </w:r>
        </w:p>
        <w:p w14:paraId="1B1D8DA7">
          <w:pPr>
            <w:pStyle w:val="12"/>
            <w:tabs>
              <w:tab w:val="right" w:leader="dot" w:pos="8306"/>
            </w:tabs>
            <w:spacing w:line="312" w:lineRule="auto"/>
            <w:rPr>
              <w:highlight w:val="none"/>
            </w:rPr>
          </w:pPr>
          <w:r>
            <w:rPr>
              <w:highlight w:val="none"/>
            </w:rPr>
            <w:fldChar w:fldCharType="begin"/>
          </w:r>
          <w:r>
            <w:rPr>
              <w:highlight w:val="none"/>
            </w:rPr>
            <w:instrText xml:space="preserve"> HYPERLINK \l "_Toc22420" </w:instrText>
          </w:r>
          <w:r>
            <w:rPr>
              <w:highlight w:val="none"/>
            </w:rPr>
            <w:fldChar w:fldCharType="separate"/>
          </w:r>
          <w:r>
            <w:rPr>
              <w:rFonts w:hint="eastAsia" w:ascii="仿宋_GB2312" w:hAnsi="仿宋_GB2312" w:eastAsia="仿宋_GB2312" w:cs="仿宋_GB2312"/>
              <w:bCs/>
              <w:sz w:val="28"/>
              <w:szCs w:val="28"/>
              <w:highlight w:val="none"/>
            </w:rPr>
            <w:t>四、货物质量</w:t>
          </w:r>
          <w:r>
            <w:rPr>
              <w:highlight w:val="none"/>
            </w:rPr>
            <w:tab/>
          </w:r>
          <w:r>
            <w:rPr>
              <w:highlight w:val="none"/>
            </w:rPr>
            <w:fldChar w:fldCharType="begin"/>
          </w:r>
          <w:r>
            <w:rPr>
              <w:highlight w:val="none"/>
            </w:rPr>
            <w:instrText xml:space="preserve"> PAGEREF _Toc22420 \h </w:instrText>
          </w:r>
          <w:r>
            <w:rPr>
              <w:highlight w:val="none"/>
            </w:rPr>
            <w:fldChar w:fldCharType="separate"/>
          </w:r>
          <w:r>
            <w:rPr>
              <w:highlight w:val="none"/>
            </w:rPr>
            <w:t>5</w:t>
          </w:r>
          <w:r>
            <w:rPr>
              <w:highlight w:val="none"/>
            </w:rPr>
            <w:fldChar w:fldCharType="end"/>
          </w:r>
          <w:r>
            <w:rPr>
              <w:highlight w:val="none"/>
            </w:rPr>
            <w:fldChar w:fldCharType="end"/>
          </w:r>
        </w:p>
        <w:p w14:paraId="08868D79">
          <w:pPr>
            <w:pStyle w:val="12"/>
            <w:tabs>
              <w:tab w:val="right" w:leader="dot" w:pos="8306"/>
            </w:tabs>
            <w:spacing w:line="312" w:lineRule="auto"/>
            <w:rPr>
              <w:highlight w:val="none"/>
            </w:rPr>
          </w:pPr>
          <w:r>
            <w:rPr>
              <w:highlight w:val="none"/>
            </w:rPr>
            <w:fldChar w:fldCharType="begin"/>
          </w:r>
          <w:r>
            <w:rPr>
              <w:highlight w:val="none"/>
            </w:rPr>
            <w:instrText xml:space="preserve"> HYPERLINK \l "_Toc15057" </w:instrText>
          </w:r>
          <w:r>
            <w:rPr>
              <w:highlight w:val="none"/>
            </w:rPr>
            <w:fldChar w:fldCharType="separate"/>
          </w:r>
          <w:r>
            <w:rPr>
              <w:rFonts w:hint="eastAsia" w:ascii="仿宋_GB2312" w:hAnsi="仿宋_GB2312" w:eastAsia="仿宋_GB2312" w:cs="仿宋_GB2312"/>
              <w:bCs/>
              <w:sz w:val="28"/>
              <w:szCs w:val="28"/>
              <w:highlight w:val="none"/>
            </w:rPr>
            <w:t>五、货物验收</w:t>
          </w:r>
          <w:r>
            <w:rPr>
              <w:highlight w:val="none"/>
            </w:rPr>
            <w:tab/>
          </w:r>
          <w:r>
            <w:rPr>
              <w:highlight w:val="none"/>
            </w:rPr>
            <w:fldChar w:fldCharType="begin"/>
          </w:r>
          <w:r>
            <w:rPr>
              <w:highlight w:val="none"/>
            </w:rPr>
            <w:instrText xml:space="preserve"> PAGEREF _Toc15057 \h </w:instrText>
          </w:r>
          <w:r>
            <w:rPr>
              <w:highlight w:val="none"/>
            </w:rPr>
            <w:fldChar w:fldCharType="separate"/>
          </w:r>
          <w:r>
            <w:rPr>
              <w:highlight w:val="none"/>
            </w:rPr>
            <w:t>10</w:t>
          </w:r>
          <w:r>
            <w:rPr>
              <w:highlight w:val="none"/>
            </w:rPr>
            <w:fldChar w:fldCharType="end"/>
          </w:r>
          <w:r>
            <w:rPr>
              <w:highlight w:val="none"/>
            </w:rPr>
            <w:fldChar w:fldCharType="end"/>
          </w:r>
        </w:p>
        <w:p w14:paraId="7CC45B53">
          <w:pPr>
            <w:pStyle w:val="12"/>
            <w:tabs>
              <w:tab w:val="right" w:leader="dot" w:pos="8306"/>
            </w:tabs>
            <w:spacing w:line="312" w:lineRule="auto"/>
            <w:rPr>
              <w:highlight w:val="none"/>
            </w:rPr>
          </w:pPr>
          <w:r>
            <w:rPr>
              <w:highlight w:val="none"/>
            </w:rPr>
            <w:fldChar w:fldCharType="begin"/>
          </w:r>
          <w:r>
            <w:rPr>
              <w:highlight w:val="none"/>
            </w:rPr>
            <w:instrText xml:space="preserve"> HYPERLINK \l "_Toc22928" </w:instrText>
          </w:r>
          <w:r>
            <w:rPr>
              <w:highlight w:val="none"/>
            </w:rPr>
            <w:fldChar w:fldCharType="separate"/>
          </w:r>
          <w:r>
            <w:rPr>
              <w:rFonts w:hint="eastAsia" w:ascii="仿宋_GB2312" w:hAnsi="仿宋_GB2312" w:eastAsia="仿宋_GB2312" w:cs="仿宋_GB2312"/>
              <w:bCs/>
              <w:sz w:val="28"/>
              <w:szCs w:val="28"/>
              <w:highlight w:val="none"/>
            </w:rPr>
            <w:t>六、货物结算</w:t>
          </w:r>
          <w:r>
            <w:rPr>
              <w:highlight w:val="none"/>
            </w:rPr>
            <w:tab/>
          </w:r>
          <w:r>
            <w:rPr>
              <w:highlight w:val="none"/>
            </w:rPr>
            <w:fldChar w:fldCharType="begin"/>
          </w:r>
          <w:r>
            <w:rPr>
              <w:highlight w:val="none"/>
            </w:rPr>
            <w:instrText xml:space="preserve"> PAGEREF _Toc22928 \h </w:instrText>
          </w:r>
          <w:r>
            <w:rPr>
              <w:highlight w:val="none"/>
            </w:rPr>
            <w:fldChar w:fldCharType="separate"/>
          </w:r>
          <w:r>
            <w:rPr>
              <w:highlight w:val="none"/>
            </w:rPr>
            <w:t>15</w:t>
          </w:r>
          <w:r>
            <w:rPr>
              <w:highlight w:val="none"/>
            </w:rPr>
            <w:fldChar w:fldCharType="end"/>
          </w:r>
          <w:r>
            <w:rPr>
              <w:highlight w:val="none"/>
            </w:rPr>
            <w:fldChar w:fldCharType="end"/>
          </w:r>
        </w:p>
        <w:p w14:paraId="10A4590F">
          <w:pPr>
            <w:pStyle w:val="12"/>
            <w:tabs>
              <w:tab w:val="right" w:leader="dot" w:pos="8306"/>
            </w:tabs>
            <w:spacing w:line="312" w:lineRule="auto"/>
            <w:rPr>
              <w:highlight w:val="none"/>
            </w:rPr>
          </w:pPr>
          <w:r>
            <w:rPr>
              <w:highlight w:val="none"/>
            </w:rPr>
            <w:fldChar w:fldCharType="begin"/>
          </w:r>
          <w:r>
            <w:rPr>
              <w:highlight w:val="none"/>
            </w:rPr>
            <w:instrText xml:space="preserve"> HYPERLINK \l "_Toc20382" </w:instrText>
          </w:r>
          <w:r>
            <w:rPr>
              <w:highlight w:val="none"/>
            </w:rPr>
            <w:fldChar w:fldCharType="separate"/>
          </w:r>
          <w:r>
            <w:rPr>
              <w:rFonts w:hint="eastAsia" w:ascii="仿宋_GB2312" w:hAnsi="仿宋_GB2312" w:eastAsia="仿宋_GB2312" w:cs="仿宋_GB2312"/>
              <w:bCs/>
              <w:sz w:val="28"/>
              <w:szCs w:val="28"/>
              <w:highlight w:val="none"/>
            </w:rPr>
            <w:t>七、货物付款</w:t>
          </w:r>
          <w:r>
            <w:rPr>
              <w:highlight w:val="none"/>
            </w:rPr>
            <w:tab/>
          </w:r>
          <w:r>
            <w:rPr>
              <w:highlight w:val="none"/>
            </w:rPr>
            <w:fldChar w:fldCharType="begin"/>
          </w:r>
          <w:r>
            <w:rPr>
              <w:highlight w:val="none"/>
            </w:rPr>
            <w:instrText xml:space="preserve"> PAGEREF _Toc20382 \h </w:instrText>
          </w:r>
          <w:r>
            <w:rPr>
              <w:highlight w:val="none"/>
            </w:rPr>
            <w:fldChar w:fldCharType="separate"/>
          </w:r>
          <w:r>
            <w:rPr>
              <w:highlight w:val="none"/>
            </w:rPr>
            <w:t>17</w:t>
          </w:r>
          <w:r>
            <w:rPr>
              <w:highlight w:val="none"/>
            </w:rPr>
            <w:fldChar w:fldCharType="end"/>
          </w:r>
          <w:r>
            <w:rPr>
              <w:highlight w:val="none"/>
            </w:rPr>
            <w:fldChar w:fldCharType="end"/>
          </w:r>
        </w:p>
        <w:p w14:paraId="6A125353">
          <w:pPr>
            <w:pStyle w:val="12"/>
            <w:tabs>
              <w:tab w:val="right" w:leader="dot" w:pos="8306"/>
            </w:tabs>
            <w:spacing w:line="312" w:lineRule="auto"/>
            <w:rPr>
              <w:highlight w:val="none"/>
            </w:rPr>
          </w:pPr>
          <w:r>
            <w:rPr>
              <w:highlight w:val="none"/>
            </w:rPr>
            <w:fldChar w:fldCharType="begin"/>
          </w:r>
          <w:r>
            <w:rPr>
              <w:highlight w:val="none"/>
            </w:rPr>
            <w:instrText xml:space="preserve"> HYPERLINK \l "_Toc13188" </w:instrText>
          </w:r>
          <w:r>
            <w:rPr>
              <w:highlight w:val="none"/>
            </w:rPr>
            <w:fldChar w:fldCharType="separate"/>
          </w:r>
          <w:r>
            <w:rPr>
              <w:rFonts w:hint="eastAsia" w:ascii="仿宋_GB2312" w:hAnsi="仿宋_GB2312" w:eastAsia="仿宋_GB2312" w:cs="仿宋_GB2312"/>
              <w:bCs/>
              <w:sz w:val="28"/>
              <w:szCs w:val="28"/>
              <w:highlight w:val="none"/>
            </w:rPr>
            <w:t>八、通知与送达</w:t>
          </w:r>
          <w:r>
            <w:rPr>
              <w:highlight w:val="none"/>
            </w:rPr>
            <w:tab/>
          </w:r>
          <w:r>
            <w:rPr>
              <w:highlight w:val="none"/>
            </w:rPr>
            <w:fldChar w:fldCharType="begin"/>
          </w:r>
          <w:r>
            <w:rPr>
              <w:highlight w:val="none"/>
            </w:rPr>
            <w:instrText xml:space="preserve"> PAGEREF _Toc13188 \h </w:instrText>
          </w:r>
          <w:r>
            <w:rPr>
              <w:highlight w:val="none"/>
            </w:rPr>
            <w:fldChar w:fldCharType="separate"/>
          </w:r>
          <w:r>
            <w:rPr>
              <w:highlight w:val="none"/>
            </w:rPr>
            <w:t>17</w:t>
          </w:r>
          <w:r>
            <w:rPr>
              <w:highlight w:val="none"/>
            </w:rPr>
            <w:fldChar w:fldCharType="end"/>
          </w:r>
          <w:r>
            <w:rPr>
              <w:highlight w:val="none"/>
            </w:rPr>
            <w:fldChar w:fldCharType="end"/>
          </w:r>
        </w:p>
        <w:p w14:paraId="521BB6F7">
          <w:pPr>
            <w:pStyle w:val="12"/>
            <w:tabs>
              <w:tab w:val="right" w:leader="dot" w:pos="8306"/>
            </w:tabs>
            <w:spacing w:line="312" w:lineRule="auto"/>
            <w:rPr>
              <w:highlight w:val="none"/>
            </w:rPr>
          </w:pPr>
          <w:r>
            <w:rPr>
              <w:highlight w:val="none"/>
            </w:rPr>
            <w:fldChar w:fldCharType="begin"/>
          </w:r>
          <w:r>
            <w:rPr>
              <w:highlight w:val="none"/>
            </w:rPr>
            <w:instrText xml:space="preserve"> HYPERLINK \l "_Toc16081" </w:instrText>
          </w:r>
          <w:r>
            <w:rPr>
              <w:highlight w:val="none"/>
            </w:rPr>
            <w:fldChar w:fldCharType="separate"/>
          </w:r>
          <w:r>
            <w:rPr>
              <w:rFonts w:hint="eastAsia" w:ascii="仿宋_GB2312" w:hAnsi="仿宋_GB2312" w:eastAsia="仿宋_GB2312" w:cs="仿宋_GB2312"/>
              <w:bCs/>
              <w:sz w:val="28"/>
              <w:szCs w:val="28"/>
              <w:highlight w:val="none"/>
            </w:rPr>
            <w:t>九、合同生效</w:t>
          </w:r>
          <w:r>
            <w:rPr>
              <w:highlight w:val="none"/>
            </w:rPr>
            <w:tab/>
          </w:r>
          <w:r>
            <w:rPr>
              <w:highlight w:val="none"/>
            </w:rPr>
            <w:fldChar w:fldCharType="begin"/>
          </w:r>
          <w:r>
            <w:rPr>
              <w:highlight w:val="none"/>
            </w:rPr>
            <w:instrText xml:space="preserve"> PAGEREF _Toc16081 \h </w:instrText>
          </w:r>
          <w:r>
            <w:rPr>
              <w:highlight w:val="none"/>
            </w:rPr>
            <w:fldChar w:fldCharType="separate"/>
          </w:r>
          <w:r>
            <w:rPr>
              <w:highlight w:val="none"/>
            </w:rPr>
            <w:t>20</w:t>
          </w:r>
          <w:r>
            <w:rPr>
              <w:highlight w:val="none"/>
            </w:rPr>
            <w:fldChar w:fldCharType="end"/>
          </w:r>
          <w:r>
            <w:rPr>
              <w:highlight w:val="none"/>
            </w:rPr>
            <w:fldChar w:fldCharType="end"/>
          </w:r>
        </w:p>
        <w:p w14:paraId="59E2E7C5">
          <w:pPr>
            <w:pStyle w:val="12"/>
            <w:tabs>
              <w:tab w:val="right" w:leader="dot" w:pos="8306"/>
            </w:tabs>
            <w:spacing w:line="312" w:lineRule="auto"/>
            <w:rPr>
              <w:highlight w:val="none"/>
            </w:rPr>
          </w:pPr>
          <w:r>
            <w:rPr>
              <w:highlight w:val="none"/>
            </w:rPr>
            <w:fldChar w:fldCharType="begin"/>
          </w:r>
          <w:r>
            <w:rPr>
              <w:highlight w:val="none"/>
            </w:rPr>
            <w:instrText xml:space="preserve"> HYPERLINK \l "_Toc13743" </w:instrText>
          </w:r>
          <w:r>
            <w:rPr>
              <w:highlight w:val="none"/>
            </w:rPr>
            <w:fldChar w:fldCharType="separate"/>
          </w:r>
          <w:r>
            <w:rPr>
              <w:rFonts w:hint="eastAsia" w:ascii="仿宋_GB2312" w:hAnsi="仿宋_GB2312" w:eastAsia="仿宋_GB2312" w:cs="仿宋_GB2312"/>
              <w:bCs/>
              <w:sz w:val="28"/>
              <w:szCs w:val="28"/>
              <w:highlight w:val="none"/>
            </w:rPr>
            <w:t>附件一 授权委托书</w:t>
          </w:r>
          <w:r>
            <w:rPr>
              <w:highlight w:val="none"/>
            </w:rPr>
            <w:tab/>
          </w:r>
          <w:r>
            <w:rPr>
              <w:highlight w:val="none"/>
            </w:rPr>
            <w:fldChar w:fldCharType="begin"/>
          </w:r>
          <w:r>
            <w:rPr>
              <w:highlight w:val="none"/>
            </w:rPr>
            <w:instrText xml:space="preserve"> PAGEREF _Toc13743 \h </w:instrText>
          </w:r>
          <w:r>
            <w:rPr>
              <w:highlight w:val="none"/>
            </w:rPr>
            <w:fldChar w:fldCharType="separate"/>
          </w:r>
          <w:r>
            <w:rPr>
              <w:highlight w:val="none"/>
            </w:rPr>
            <w:t>21</w:t>
          </w:r>
          <w:r>
            <w:rPr>
              <w:highlight w:val="none"/>
            </w:rPr>
            <w:fldChar w:fldCharType="end"/>
          </w:r>
          <w:r>
            <w:rPr>
              <w:highlight w:val="none"/>
            </w:rPr>
            <w:fldChar w:fldCharType="end"/>
          </w:r>
        </w:p>
        <w:p w14:paraId="0F6D5427">
          <w:pPr>
            <w:pStyle w:val="12"/>
            <w:tabs>
              <w:tab w:val="right" w:leader="dot" w:pos="8306"/>
            </w:tabs>
            <w:spacing w:line="312" w:lineRule="auto"/>
            <w:rPr>
              <w:highlight w:val="none"/>
            </w:rPr>
          </w:pPr>
          <w:r>
            <w:rPr>
              <w:highlight w:val="none"/>
            </w:rPr>
            <w:fldChar w:fldCharType="begin"/>
          </w:r>
          <w:r>
            <w:rPr>
              <w:highlight w:val="none"/>
            </w:rPr>
            <w:instrText xml:space="preserve"> HYPERLINK \l "_Toc4231" </w:instrText>
          </w:r>
          <w:r>
            <w:rPr>
              <w:highlight w:val="none"/>
            </w:rPr>
            <w:fldChar w:fldCharType="separate"/>
          </w:r>
          <w:r>
            <w:rPr>
              <w:rFonts w:hint="eastAsia" w:ascii="仿宋_GB2312" w:hAnsi="仿宋_GB2312" w:eastAsia="仿宋_GB2312" w:cs="仿宋_GB2312"/>
              <w:bCs/>
              <w:sz w:val="28"/>
              <w:szCs w:val="28"/>
              <w:highlight w:val="none"/>
            </w:rPr>
            <w:t>附件二 项目部合规权限告知书</w:t>
          </w:r>
          <w:r>
            <w:rPr>
              <w:highlight w:val="none"/>
            </w:rPr>
            <w:tab/>
          </w:r>
          <w:r>
            <w:rPr>
              <w:highlight w:val="none"/>
            </w:rPr>
            <w:fldChar w:fldCharType="begin"/>
          </w:r>
          <w:r>
            <w:rPr>
              <w:highlight w:val="none"/>
            </w:rPr>
            <w:instrText xml:space="preserve"> PAGEREF _Toc4231 \h </w:instrText>
          </w:r>
          <w:r>
            <w:rPr>
              <w:highlight w:val="none"/>
            </w:rPr>
            <w:fldChar w:fldCharType="separate"/>
          </w:r>
          <w:r>
            <w:rPr>
              <w:highlight w:val="none"/>
            </w:rPr>
            <w:t>22</w:t>
          </w:r>
          <w:r>
            <w:rPr>
              <w:highlight w:val="none"/>
            </w:rPr>
            <w:fldChar w:fldCharType="end"/>
          </w:r>
          <w:r>
            <w:rPr>
              <w:highlight w:val="none"/>
            </w:rPr>
            <w:fldChar w:fldCharType="end"/>
          </w:r>
        </w:p>
        <w:p w14:paraId="4A220E08">
          <w:pPr>
            <w:pStyle w:val="12"/>
            <w:tabs>
              <w:tab w:val="right" w:leader="dot" w:pos="8306"/>
            </w:tabs>
            <w:spacing w:line="312" w:lineRule="auto"/>
            <w:rPr>
              <w:highlight w:val="none"/>
            </w:rPr>
          </w:pPr>
          <w:r>
            <w:rPr>
              <w:highlight w:val="none"/>
            </w:rPr>
            <w:fldChar w:fldCharType="begin"/>
          </w:r>
          <w:r>
            <w:rPr>
              <w:highlight w:val="none"/>
            </w:rPr>
            <w:instrText xml:space="preserve"> HYPERLINK \l "_Toc26388" </w:instrText>
          </w:r>
          <w:r>
            <w:rPr>
              <w:highlight w:val="none"/>
            </w:rPr>
            <w:fldChar w:fldCharType="separate"/>
          </w:r>
          <w:r>
            <w:rPr>
              <w:rFonts w:hint="eastAsia" w:ascii="仿宋_GB2312" w:hAnsi="仿宋_GB2312" w:eastAsia="仿宋_GB2312" w:cs="仿宋_GB2312"/>
              <w:bCs/>
              <w:sz w:val="28"/>
              <w:szCs w:val="28"/>
              <w:highlight w:val="none"/>
            </w:rPr>
            <w:t>附件三 安全管理协议书</w:t>
          </w:r>
          <w:r>
            <w:rPr>
              <w:highlight w:val="none"/>
            </w:rPr>
            <w:tab/>
          </w:r>
          <w:r>
            <w:rPr>
              <w:highlight w:val="none"/>
            </w:rPr>
            <w:fldChar w:fldCharType="begin"/>
          </w:r>
          <w:r>
            <w:rPr>
              <w:highlight w:val="none"/>
            </w:rPr>
            <w:instrText xml:space="preserve"> PAGEREF _Toc26388 \h </w:instrText>
          </w:r>
          <w:r>
            <w:rPr>
              <w:highlight w:val="none"/>
            </w:rPr>
            <w:fldChar w:fldCharType="separate"/>
          </w:r>
          <w:r>
            <w:rPr>
              <w:highlight w:val="none"/>
            </w:rPr>
            <w:t>25</w:t>
          </w:r>
          <w:r>
            <w:rPr>
              <w:highlight w:val="none"/>
            </w:rPr>
            <w:fldChar w:fldCharType="end"/>
          </w:r>
          <w:r>
            <w:rPr>
              <w:highlight w:val="none"/>
            </w:rPr>
            <w:fldChar w:fldCharType="end"/>
          </w:r>
        </w:p>
        <w:p w14:paraId="756003E7">
          <w:pPr>
            <w:pStyle w:val="12"/>
            <w:tabs>
              <w:tab w:val="right" w:leader="dot" w:pos="8306"/>
            </w:tabs>
            <w:spacing w:line="312" w:lineRule="auto"/>
            <w:rPr>
              <w:highlight w:val="none"/>
            </w:rPr>
          </w:pPr>
          <w:r>
            <w:rPr>
              <w:highlight w:val="none"/>
            </w:rPr>
            <w:fldChar w:fldCharType="begin"/>
          </w:r>
          <w:r>
            <w:rPr>
              <w:highlight w:val="none"/>
            </w:rPr>
            <w:instrText xml:space="preserve"> HYPERLINK \l "_Toc24289" </w:instrText>
          </w:r>
          <w:r>
            <w:rPr>
              <w:highlight w:val="none"/>
            </w:rPr>
            <w:fldChar w:fldCharType="separate"/>
          </w:r>
          <w:r>
            <w:rPr>
              <w:rFonts w:hint="eastAsia" w:ascii="仿宋_GB2312" w:hAnsi="仿宋_GB2312" w:eastAsia="仿宋_GB2312" w:cs="仿宋_GB2312"/>
              <w:bCs/>
              <w:sz w:val="28"/>
              <w:szCs w:val="28"/>
              <w:highlight w:val="none"/>
            </w:rPr>
            <w:t>附件四 商品混凝土需方验收人员一览表</w:t>
          </w:r>
          <w:r>
            <w:rPr>
              <w:highlight w:val="none"/>
            </w:rPr>
            <w:tab/>
          </w:r>
          <w:r>
            <w:rPr>
              <w:highlight w:val="none"/>
            </w:rPr>
            <w:fldChar w:fldCharType="begin"/>
          </w:r>
          <w:r>
            <w:rPr>
              <w:highlight w:val="none"/>
            </w:rPr>
            <w:instrText xml:space="preserve"> PAGEREF _Toc24289 \h </w:instrText>
          </w:r>
          <w:r>
            <w:rPr>
              <w:highlight w:val="none"/>
            </w:rPr>
            <w:fldChar w:fldCharType="separate"/>
          </w:r>
          <w:r>
            <w:rPr>
              <w:highlight w:val="none"/>
            </w:rPr>
            <w:t>29</w:t>
          </w:r>
          <w:r>
            <w:rPr>
              <w:highlight w:val="none"/>
            </w:rPr>
            <w:fldChar w:fldCharType="end"/>
          </w:r>
          <w:r>
            <w:rPr>
              <w:highlight w:val="none"/>
            </w:rPr>
            <w:fldChar w:fldCharType="end"/>
          </w:r>
        </w:p>
        <w:p w14:paraId="1913B3BB">
          <w:pPr>
            <w:pStyle w:val="12"/>
            <w:tabs>
              <w:tab w:val="right" w:leader="dot" w:pos="8306"/>
            </w:tabs>
            <w:spacing w:line="312" w:lineRule="auto"/>
            <w:rPr>
              <w:highlight w:val="none"/>
            </w:rPr>
          </w:pPr>
          <w:r>
            <w:rPr>
              <w:highlight w:val="none"/>
            </w:rPr>
            <w:fldChar w:fldCharType="begin"/>
          </w:r>
          <w:r>
            <w:rPr>
              <w:highlight w:val="none"/>
            </w:rPr>
            <w:instrText xml:space="preserve"> HYPERLINK \l "_Toc13072" </w:instrText>
          </w:r>
          <w:r>
            <w:rPr>
              <w:highlight w:val="none"/>
            </w:rPr>
            <w:fldChar w:fldCharType="separate"/>
          </w:r>
          <w:r>
            <w:rPr>
              <w:rFonts w:hint="eastAsia" w:ascii="仿宋_GB2312" w:hAnsi="仿宋_GB2312" w:eastAsia="仿宋_GB2312" w:cs="仿宋_GB2312"/>
              <w:bCs/>
              <w:sz w:val="28"/>
              <w:szCs w:val="28"/>
              <w:highlight w:val="none"/>
            </w:rPr>
            <w:t>附件五 廉洁从业共建协议</w:t>
          </w:r>
          <w:r>
            <w:rPr>
              <w:highlight w:val="none"/>
            </w:rPr>
            <w:tab/>
          </w:r>
          <w:r>
            <w:rPr>
              <w:highlight w:val="none"/>
            </w:rPr>
            <w:fldChar w:fldCharType="begin"/>
          </w:r>
          <w:r>
            <w:rPr>
              <w:highlight w:val="none"/>
            </w:rPr>
            <w:instrText xml:space="preserve"> PAGEREF _Toc13072 \h </w:instrText>
          </w:r>
          <w:r>
            <w:rPr>
              <w:highlight w:val="none"/>
            </w:rPr>
            <w:fldChar w:fldCharType="separate"/>
          </w:r>
          <w:r>
            <w:rPr>
              <w:highlight w:val="none"/>
            </w:rPr>
            <w:t>30</w:t>
          </w:r>
          <w:r>
            <w:rPr>
              <w:highlight w:val="none"/>
            </w:rPr>
            <w:fldChar w:fldCharType="end"/>
          </w:r>
          <w:r>
            <w:rPr>
              <w:highlight w:val="none"/>
            </w:rPr>
            <w:fldChar w:fldCharType="end"/>
          </w:r>
        </w:p>
        <w:p w14:paraId="4DDA2301">
          <w:pPr>
            <w:pStyle w:val="12"/>
            <w:tabs>
              <w:tab w:val="right" w:leader="dot" w:pos="8306"/>
            </w:tabs>
            <w:spacing w:line="312" w:lineRule="auto"/>
            <w:rPr>
              <w:highlight w:val="none"/>
            </w:rPr>
          </w:pPr>
          <w:r>
            <w:rPr>
              <w:highlight w:val="none"/>
            </w:rPr>
            <w:fldChar w:fldCharType="begin"/>
          </w:r>
          <w:r>
            <w:rPr>
              <w:highlight w:val="none"/>
            </w:rPr>
            <w:instrText xml:space="preserve"> HYPERLINK \l "_Toc14827" </w:instrText>
          </w:r>
          <w:r>
            <w:rPr>
              <w:highlight w:val="none"/>
            </w:rPr>
            <w:fldChar w:fldCharType="separate"/>
          </w:r>
          <w:r>
            <w:rPr>
              <w:rFonts w:hint="eastAsia" w:ascii="仿宋_GB2312" w:hAnsi="仿宋_GB2312" w:eastAsia="仿宋_GB2312" w:cs="仿宋_GB2312"/>
              <w:bCs/>
              <w:sz w:val="28"/>
              <w:szCs w:val="28"/>
              <w:highlight w:val="none"/>
            </w:rPr>
            <w:t>附件六 商品混凝土进场验收验证记录表</w:t>
          </w:r>
          <w:r>
            <w:rPr>
              <w:highlight w:val="none"/>
            </w:rPr>
            <w:tab/>
          </w:r>
          <w:r>
            <w:rPr>
              <w:highlight w:val="none"/>
            </w:rPr>
            <w:fldChar w:fldCharType="begin"/>
          </w:r>
          <w:r>
            <w:rPr>
              <w:highlight w:val="none"/>
            </w:rPr>
            <w:instrText xml:space="preserve"> PAGEREF _Toc14827 \h </w:instrText>
          </w:r>
          <w:r>
            <w:rPr>
              <w:highlight w:val="none"/>
            </w:rPr>
            <w:fldChar w:fldCharType="separate"/>
          </w:r>
          <w:r>
            <w:rPr>
              <w:highlight w:val="none"/>
            </w:rPr>
            <w:t>33</w:t>
          </w:r>
          <w:r>
            <w:rPr>
              <w:highlight w:val="none"/>
            </w:rPr>
            <w:fldChar w:fldCharType="end"/>
          </w:r>
          <w:r>
            <w:rPr>
              <w:highlight w:val="none"/>
            </w:rPr>
            <w:fldChar w:fldCharType="end"/>
          </w:r>
        </w:p>
        <w:p w14:paraId="291E349A">
          <w:pPr>
            <w:pStyle w:val="12"/>
            <w:tabs>
              <w:tab w:val="right" w:leader="dot" w:pos="8306"/>
            </w:tabs>
            <w:spacing w:line="312" w:lineRule="auto"/>
            <w:rPr>
              <w:highlight w:val="none"/>
            </w:rPr>
          </w:pPr>
          <w:r>
            <w:rPr>
              <w:highlight w:val="none"/>
            </w:rPr>
            <w:fldChar w:fldCharType="begin"/>
          </w:r>
          <w:r>
            <w:rPr>
              <w:highlight w:val="none"/>
            </w:rPr>
            <w:instrText xml:space="preserve"> HYPERLINK \l "_Toc14480" </w:instrText>
          </w:r>
          <w:r>
            <w:rPr>
              <w:highlight w:val="none"/>
            </w:rPr>
            <w:fldChar w:fldCharType="separate"/>
          </w:r>
          <w:r>
            <w:rPr>
              <w:rFonts w:hint="eastAsia" w:ascii="黑体" w:hAnsi="黑体" w:eastAsia="黑体" w:cs="黑体"/>
              <w:bCs/>
              <w:sz w:val="30"/>
              <w:szCs w:val="30"/>
              <w:highlight w:val="none"/>
            </w:rPr>
            <w:t>第二部分 通用条款</w:t>
          </w:r>
          <w:r>
            <w:rPr>
              <w:highlight w:val="none"/>
            </w:rPr>
            <w:tab/>
          </w:r>
          <w:r>
            <w:rPr>
              <w:highlight w:val="none"/>
            </w:rPr>
            <w:fldChar w:fldCharType="begin"/>
          </w:r>
          <w:r>
            <w:rPr>
              <w:highlight w:val="none"/>
            </w:rPr>
            <w:instrText xml:space="preserve"> PAGEREF _Toc14480 \h </w:instrText>
          </w:r>
          <w:r>
            <w:rPr>
              <w:highlight w:val="none"/>
            </w:rPr>
            <w:fldChar w:fldCharType="separate"/>
          </w:r>
          <w:r>
            <w:rPr>
              <w:highlight w:val="none"/>
            </w:rPr>
            <w:t>34</w:t>
          </w:r>
          <w:r>
            <w:rPr>
              <w:highlight w:val="none"/>
            </w:rPr>
            <w:fldChar w:fldCharType="end"/>
          </w:r>
          <w:r>
            <w:rPr>
              <w:highlight w:val="none"/>
            </w:rPr>
            <w:fldChar w:fldCharType="end"/>
          </w:r>
        </w:p>
        <w:p w14:paraId="53363DD1">
          <w:pPr>
            <w:pStyle w:val="12"/>
            <w:tabs>
              <w:tab w:val="right" w:leader="dot" w:pos="8306"/>
            </w:tabs>
            <w:spacing w:line="312" w:lineRule="auto"/>
            <w:rPr>
              <w:highlight w:val="none"/>
            </w:rPr>
          </w:pPr>
          <w:r>
            <w:rPr>
              <w:highlight w:val="none"/>
            </w:rPr>
            <w:fldChar w:fldCharType="begin"/>
          </w:r>
          <w:r>
            <w:rPr>
              <w:highlight w:val="none"/>
            </w:rPr>
            <w:instrText xml:space="preserve"> HYPERLINK \l "_Toc27311" </w:instrText>
          </w:r>
          <w:r>
            <w:rPr>
              <w:highlight w:val="none"/>
            </w:rPr>
            <w:fldChar w:fldCharType="separate"/>
          </w:r>
          <w:r>
            <w:rPr>
              <w:rFonts w:hint="eastAsia" w:ascii="仿宋_GB2312" w:hAnsi="仿宋_GB2312" w:eastAsia="仿宋_GB2312" w:cs="仿宋_GB2312"/>
              <w:bCs/>
              <w:sz w:val="28"/>
              <w:szCs w:val="28"/>
              <w:highlight w:val="none"/>
            </w:rPr>
            <w:t>一、货物合同附随义务</w:t>
          </w:r>
          <w:r>
            <w:rPr>
              <w:highlight w:val="none"/>
            </w:rPr>
            <w:tab/>
          </w:r>
          <w:r>
            <w:rPr>
              <w:highlight w:val="none"/>
            </w:rPr>
            <w:fldChar w:fldCharType="begin"/>
          </w:r>
          <w:r>
            <w:rPr>
              <w:highlight w:val="none"/>
            </w:rPr>
            <w:instrText xml:space="preserve"> PAGEREF _Toc27311 \h </w:instrText>
          </w:r>
          <w:r>
            <w:rPr>
              <w:highlight w:val="none"/>
            </w:rPr>
            <w:fldChar w:fldCharType="separate"/>
          </w:r>
          <w:r>
            <w:rPr>
              <w:highlight w:val="none"/>
            </w:rPr>
            <w:t>34</w:t>
          </w:r>
          <w:r>
            <w:rPr>
              <w:highlight w:val="none"/>
            </w:rPr>
            <w:fldChar w:fldCharType="end"/>
          </w:r>
          <w:r>
            <w:rPr>
              <w:highlight w:val="none"/>
            </w:rPr>
            <w:fldChar w:fldCharType="end"/>
          </w:r>
        </w:p>
        <w:p w14:paraId="59022FA6">
          <w:pPr>
            <w:pStyle w:val="12"/>
            <w:tabs>
              <w:tab w:val="right" w:leader="dot" w:pos="8306"/>
            </w:tabs>
            <w:spacing w:line="312" w:lineRule="auto"/>
            <w:rPr>
              <w:highlight w:val="none"/>
            </w:rPr>
          </w:pPr>
          <w:r>
            <w:rPr>
              <w:highlight w:val="none"/>
            </w:rPr>
            <w:fldChar w:fldCharType="begin"/>
          </w:r>
          <w:r>
            <w:rPr>
              <w:highlight w:val="none"/>
            </w:rPr>
            <w:instrText xml:space="preserve"> HYPERLINK \l "_Toc21274" </w:instrText>
          </w:r>
          <w:r>
            <w:rPr>
              <w:highlight w:val="none"/>
            </w:rPr>
            <w:fldChar w:fldCharType="separate"/>
          </w:r>
          <w:r>
            <w:rPr>
              <w:rFonts w:hint="eastAsia" w:ascii="仿宋_GB2312" w:hAnsi="仿宋_GB2312" w:eastAsia="仿宋_GB2312" w:cs="仿宋_GB2312"/>
              <w:bCs/>
              <w:sz w:val="28"/>
              <w:szCs w:val="28"/>
              <w:highlight w:val="none"/>
            </w:rPr>
            <w:t>二、货物违约责任</w:t>
          </w:r>
          <w:r>
            <w:rPr>
              <w:highlight w:val="none"/>
            </w:rPr>
            <w:tab/>
          </w:r>
          <w:r>
            <w:rPr>
              <w:highlight w:val="none"/>
            </w:rPr>
            <w:fldChar w:fldCharType="begin"/>
          </w:r>
          <w:r>
            <w:rPr>
              <w:highlight w:val="none"/>
            </w:rPr>
            <w:instrText xml:space="preserve"> PAGEREF _Toc21274 \h </w:instrText>
          </w:r>
          <w:r>
            <w:rPr>
              <w:highlight w:val="none"/>
            </w:rPr>
            <w:fldChar w:fldCharType="separate"/>
          </w:r>
          <w:r>
            <w:rPr>
              <w:highlight w:val="none"/>
            </w:rPr>
            <w:t>35</w:t>
          </w:r>
          <w:r>
            <w:rPr>
              <w:highlight w:val="none"/>
            </w:rPr>
            <w:fldChar w:fldCharType="end"/>
          </w:r>
          <w:r>
            <w:rPr>
              <w:highlight w:val="none"/>
            </w:rPr>
            <w:fldChar w:fldCharType="end"/>
          </w:r>
        </w:p>
        <w:p w14:paraId="1E1F0FC3">
          <w:pPr>
            <w:pStyle w:val="12"/>
            <w:tabs>
              <w:tab w:val="right" w:leader="dot" w:pos="8306"/>
            </w:tabs>
            <w:spacing w:line="312" w:lineRule="auto"/>
            <w:rPr>
              <w:highlight w:val="none"/>
            </w:rPr>
          </w:pPr>
          <w:r>
            <w:rPr>
              <w:highlight w:val="none"/>
            </w:rPr>
            <w:fldChar w:fldCharType="begin"/>
          </w:r>
          <w:r>
            <w:rPr>
              <w:highlight w:val="none"/>
            </w:rPr>
            <w:instrText xml:space="preserve"> HYPERLINK \l "_Toc17076" </w:instrText>
          </w:r>
          <w:r>
            <w:rPr>
              <w:highlight w:val="none"/>
            </w:rPr>
            <w:fldChar w:fldCharType="separate"/>
          </w:r>
          <w:r>
            <w:rPr>
              <w:rFonts w:hint="eastAsia" w:ascii="仿宋_GB2312" w:hAnsi="仿宋_GB2312" w:eastAsia="仿宋_GB2312" w:cs="仿宋_GB2312"/>
              <w:bCs/>
              <w:sz w:val="28"/>
              <w:szCs w:val="28"/>
              <w:highlight w:val="none"/>
            </w:rPr>
            <w:t>三、货物缺陷索赔</w:t>
          </w:r>
          <w:r>
            <w:rPr>
              <w:highlight w:val="none"/>
            </w:rPr>
            <w:tab/>
          </w:r>
          <w:r>
            <w:rPr>
              <w:highlight w:val="none"/>
            </w:rPr>
            <w:fldChar w:fldCharType="begin"/>
          </w:r>
          <w:r>
            <w:rPr>
              <w:highlight w:val="none"/>
            </w:rPr>
            <w:instrText xml:space="preserve"> PAGEREF _Toc17076 \h </w:instrText>
          </w:r>
          <w:r>
            <w:rPr>
              <w:highlight w:val="none"/>
            </w:rPr>
            <w:fldChar w:fldCharType="separate"/>
          </w:r>
          <w:r>
            <w:rPr>
              <w:highlight w:val="none"/>
            </w:rPr>
            <w:t>37</w:t>
          </w:r>
          <w:r>
            <w:rPr>
              <w:highlight w:val="none"/>
            </w:rPr>
            <w:fldChar w:fldCharType="end"/>
          </w:r>
          <w:r>
            <w:rPr>
              <w:highlight w:val="none"/>
            </w:rPr>
            <w:fldChar w:fldCharType="end"/>
          </w:r>
        </w:p>
        <w:p w14:paraId="5DA51F29">
          <w:pPr>
            <w:pStyle w:val="12"/>
            <w:tabs>
              <w:tab w:val="right" w:leader="dot" w:pos="8306"/>
            </w:tabs>
            <w:spacing w:line="312" w:lineRule="auto"/>
            <w:rPr>
              <w:highlight w:val="none"/>
            </w:rPr>
          </w:pPr>
          <w:r>
            <w:rPr>
              <w:highlight w:val="none"/>
            </w:rPr>
            <w:fldChar w:fldCharType="begin"/>
          </w:r>
          <w:r>
            <w:rPr>
              <w:highlight w:val="none"/>
            </w:rPr>
            <w:instrText xml:space="preserve"> HYPERLINK \l "_Toc18889" </w:instrText>
          </w:r>
          <w:r>
            <w:rPr>
              <w:highlight w:val="none"/>
            </w:rPr>
            <w:fldChar w:fldCharType="separate"/>
          </w:r>
          <w:r>
            <w:rPr>
              <w:rFonts w:hint="eastAsia" w:ascii="仿宋_GB2312" w:hAnsi="仿宋_GB2312" w:eastAsia="仿宋_GB2312" w:cs="仿宋_GB2312"/>
              <w:bCs/>
              <w:sz w:val="28"/>
              <w:szCs w:val="28"/>
              <w:highlight w:val="none"/>
            </w:rPr>
            <w:t>四、合同变更</w:t>
          </w:r>
          <w:r>
            <w:rPr>
              <w:highlight w:val="none"/>
            </w:rPr>
            <w:tab/>
          </w:r>
          <w:r>
            <w:rPr>
              <w:highlight w:val="none"/>
            </w:rPr>
            <w:fldChar w:fldCharType="begin"/>
          </w:r>
          <w:r>
            <w:rPr>
              <w:highlight w:val="none"/>
            </w:rPr>
            <w:instrText xml:space="preserve"> PAGEREF _Toc18889 \h </w:instrText>
          </w:r>
          <w:r>
            <w:rPr>
              <w:highlight w:val="none"/>
            </w:rPr>
            <w:fldChar w:fldCharType="separate"/>
          </w:r>
          <w:r>
            <w:rPr>
              <w:highlight w:val="none"/>
            </w:rPr>
            <w:t>38</w:t>
          </w:r>
          <w:r>
            <w:rPr>
              <w:highlight w:val="none"/>
            </w:rPr>
            <w:fldChar w:fldCharType="end"/>
          </w:r>
          <w:r>
            <w:rPr>
              <w:highlight w:val="none"/>
            </w:rPr>
            <w:fldChar w:fldCharType="end"/>
          </w:r>
        </w:p>
        <w:p w14:paraId="5CBE358D">
          <w:pPr>
            <w:pStyle w:val="12"/>
            <w:tabs>
              <w:tab w:val="right" w:leader="dot" w:pos="8306"/>
            </w:tabs>
            <w:spacing w:line="312" w:lineRule="auto"/>
            <w:rPr>
              <w:highlight w:val="none"/>
            </w:rPr>
          </w:pPr>
          <w:r>
            <w:rPr>
              <w:highlight w:val="none"/>
            </w:rPr>
            <w:fldChar w:fldCharType="begin"/>
          </w:r>
          <w:r>
            <w:rPr>
              <w:highlight w:val="none"/>
            </w:rPr>
            <w:instrText xml:space="preserve"> HYPERLINK \l "_Toc399" </w:instrText>
          </w:r>
          <w:r>
            <w:rPr>
              <w:highlight w:val="none"/>
            </w:rPr>
            <w:fldChar w:fldCharType="separate"/>
          </w:r>
          <w:r>
            <w:rPr>
              <w:rFonts w:hint="eastAsia" w:ascii="仿宋_GB2312" w:hAnsi="仿宋_GB2312" w:eastAsia="仿宋_GB2312" w:cs="仿宋_GB2312"/>
              <w:bCs/>
              <w:sz w:val="28"/>
              <w:szCs w:val="28"/>
              <w:highlight w:val="none"/>
            </w:rPr>
            <w:t>五、合同解除</w:t>
          </w:r>
          <w:r>
            <w:rPr>
              <w:highlight w:val="none"/>
            </w:rPr>
            <w:tab/>
          </w:r>
          <w:r>
            <w:rPr>
              <w:highlight w:val="none"/>
            </w:rPr>
            <w:fldChar w:fldCharType="begin"/>
          </w:r>
          <w:r>
            <w:rPr>
              <w:highlight w:val="none"/>
            </w:rPr>
            <w:instrText xml:space="preserve"> PAGEREF _Toc399 \h </w:instrText>
          </w:r>
          <w:r>
            <w:rPr>
              <w:highlight w:val="none"/>
            </w:rPr>
            <w:fldChar w:fldCharType="separate"/>
          </w:r>
          <w:r>
            <w:rPr>
              <w:highlight w:val="none"/>
            </w:rPr>
            <w:t>38</w:t>
          </w:r>
          <w:r>
            <w:rPr>
              <w:highlight w:val="none"/>
            </w:rPr>
            <w:fldChar w:fldCharType="end"/>
          </w:r>
          <w:r>
            <w:rPr>
              <w:highlight w:val="none"/>
            </w:rPr>
            <w:fldChar w:fldCharType="end"/>
          </w:r>
        </w:p>
        <w:p w14:paraId="33671728">
          <w:pPr>
            <w:pStyle w:val="12"/>
            <w:tabs>
              <w:tab w:val="right" w:leader="dot" w:pos="8306"/>
            </w:tabs>
            <w:spacing w:line="312" w:lineRule="auto"/>
            <w:rPr>
              <w:highlight w:val="none"/>
            </w:rPr>
          </w:pPr>
          <w:r>
            <w:rPr>
              <w:highlight w:val="none"/>
            </w:rPr>
            <w:fldChar w:fldCharType="begin"/>
          </w:r>
          <w:r>
            <w:rPr>
              <w:highlight w:val="none"/>
            </w:rPr>
            <w:instrText xml:space="preserve"> HYPERLINK \l "_Toc18207" </w:instrText>
          </w:r>
          <w:r>
            <w:rPr>
              <w:highlight w:val="none"/>
            </w:rPr>
            <w:fldChar w:fldCharType="separate"/>
          </w:r>
          <w:r>
            <w:rPr>
              <w:rFonts w:hint="eastAsia" w:ascii="仿宋_GB2312" w:hAnsi="仿宋_GB2312" w:eastAsia="仿宋_GB2312" w:cs="仿宋_GB2312"/>
              <w:bCs/>
              <w:sz w:val="28"/>
              <w:szCs w:val="28"/>
              <w:highlight w:val="none"/>
            </w:rPr>
            <w:t>六、不可抗力</w:t>
          </w:r>
          <w:r>
            <w:rPr>
              <w:highlight w:val="none"/>
            </w:rPr>
            <w:tab/>
          </w:r>
          <w:r>
            <w:rPr>
              <w:highlight w:val="none"/>
            </w:rPr>
            <w:fldChar w:fldCharType="begin"/>
          </w:r>
          <w:r>
            <w:rPr>
              <w:highlight w:val="none"/>
            </w:rPr>
            <w:instrText xml:space="preserve"> PAGEREF _Toc18207 \h </w:instrText>
          </w:r>
          <w:r>
            <w:rPr>
              <w:highlight w:val="none"/>
            </w:rPr>
            <w:fldChar w:fldCharType="separate"/>
          </w:r>
          <w:r>
            <w:rPr>
              <w:highlight w:val="none"/>
            </w:rPr>
            <w:t>39</w:t>
          </w:r>
          <w:r>
            <w:rPr>
              <w:highlight w:val="none"/>
            </w:rPr>
            <w:fldChar w:fldCharType="end"/>
          </w:r>
          <w:r>
            <w:rPr>
              <w:highlight w:val="none"/>
            </w:rPr>
            <w:fldChar w:fldCharType="end"/>
          </w:r>
        </w:p>
        <w:p w14:paraId="727F94EF">
          <w:pPr>
            <w:pStyle w:val="12"/>
            <w:tabs>
              <w:tab w:val="right" w:leader="dot" w:pos="8306"/>
            </w:tabs>
            <w:spacing w:line="312" w:lineRule="auto"/>
            <w:rPr>
              <w:highlight w:val="none"/>
            </w:rPr>
          </w:pPr>
          <w:r>
            <w:rPr>
              <w:highlight w:val="none"/>
            </w:rPr>
            <w:fldChar w:fldCharType="begin"/>
          </w:r>
          <w:r>
            <w:rPr>
              <w:highlight w:val="none"/>
            </w:rPr>
            <w:instrText xml:space="preserve"> HYPERLINK \l "_Toc29685" </w:instrText>
          </w:r>
          <w:r>
            <w:rPr>
              <w:highlight w:val="none"/>
            </w:rPr>
            <w:fldChar w:fldCharType="separate"/>
          </w:r>
          <w:r>
            <w:rPr>
              <w:rFonts w:hint="eastAsia" w:ascii="仿宋_GB2312" w:hAnsi="仿宋_GB2312" w:eastAsia="仿宋_GB2312" w:cs="仿宋_GB2312"/>
              <w:bCs/>
              <w:sz w:val="28"/>
              <w:szCs w:val="28"/>
              <w:highlight w:val="none"/>
            </w:rPr>
            <w:t>七、争议解决</w:t>
          </w:r>
          <w:r>
            <w:rPr>
              <w:highlight w:val="none"/>
            </w:rPr>
            <w:tab/>
          </w:r>
          <w:r>
            <w:rPr>
              <w:highlight w:val="none"/>
            </w:rPr>
            <w:fldChar w:fldCharType="begin"/>
          </w:r>
          <w:r>
            <w:rPr>
              <w:highlight w:val="none"/>
            </w:rPr>
            <w:instrText xml:space="preserve"> PAGEREF _Toc29685 \h </w:instrText>
          </w:r>
          <w:r>
            <w:rPr>
              <w:highlight w:val="none"/>
            </w:rPr>
            <w:fldChar w:fldCharType="separate"/>
          </w:r>
          <w:r>
            <w:rPr>
              <w:highlight w:val="none"/>
            </w:rPr>
            <w:t>40</w:t>
          </w:r>
          <w:r>
            <w:rPr>
              <w:highlight w:val="none"/>
            </w:rPr>
            <w:fldChar w:fldCharType="end"/>
          </w:r>
          <w:r>
            <w:rPr>
              <w:highlight w:val="none"/>
            </w:rPr>
            <w:fldChar w:fldCharType="end"/>
          </w:r>
        </w:p>
        <w:p w14:paraId="7CF8B6CB">
          <w:pPr>
            <w:pStyle w:val="12"/>
            <w:tabs>
              <w:tab w:val="right" w:leader="dot" w:pos="8306"/>
            </w:tabs>
            <w:spacing w:line="312" w:lineRule="auto"/>
            <w:rPr>
              <w:highlight w:val="none"/>
            </w:rPr>
          </w:pPr>
          <w:r>
            <w:rPr>
              <w:highlight w:val="none"/>
            </w:rPr>
            <w:fldChar w:fldCharType="begin"/>
          </w:r>
          <w:r>
            <w:rPr>
              <w:highlight w:val="none"/>
            </w:rPr>
            <w:instrText xml:space="preserve"> HYPERLINK \l "_Toc26705" </w:instrText>
          </w:r>
          <w:r>
            <w:rPr>
              <w:highlight w:val="none"/>
            </w:rPr>
            <w:fldChar w:fldCharType="separate"/>
          </w:r>
          <w:r>
            <w:rPr>
              <w:rFonts w:hint="eastAsia" w:ascii="仿宋_GB2312" w:hAnsi="仿宋_GB2312" w:eastAsia="仿宋_GB2312" w:cs="仿宋_GB2312"/>
              <w:bCs/>
              <w:sz w:val="28"/>
              <w:szCs w:val="28"/>
              <w:highlight w:val="none"/>
            </w:rPr>
            <w:t>八、保密义务</w:t>
          </w:r>
          <w:r>
            <w:rPr>
              <w:highlight w:val="none"/>
            </w:rPr>
            <w:tab/>
          </w:r>
          <w:r>
            <w:rPr>
              <w:highlight w:val="none"/>
            </w:rPr>
            <w:fldChar w:fldCharType="begin"/>
          </w:r>
          <w:r>
            <w:rPr>
              <w:highlight w:val="none"/>
            </w:rPr>
            <w:instrText xml:space="preserve"> PAGEREF _Toc26705 \h </w:instrText>
          </w:r>
          <w:r>
            <w:rPr>
              <w:highlight w:val="none"/>
            </w:rPr>
            <w:fldChar w:fldCharType="separate"/>
          </w:r>
          <w:r>
            <w:rPr>
              <w:highlight w:val="none"/>
            </w:rPr>
            <w:t>40</w:t>
          </w:r>
          <w:r>
            <w:rPr>
              <w:highlight w:val="none"/>
            </w:rPr>
            <w:fldChar w:fldCharType="end"/>
          </w:r>
          <w:r>
            <w:rPr>
              <w:highlight w:val="none"/>
            </w:rPr>
            <w:fldChar w:fldCharType="end"/>
          </w:r>
        </w:p>
        <w:p w14:paraId="5DADD8FC">
          <w:pPr>
            <w:pStyle w:val="12"/>
            <w:tabs>
              <w:tab w:val="right" w:leader="dot" w:pos="8306"/>
            </w:tabs>
            <w:spacing w:line="312" w:lineRule="auto"/>
            <w:rPr>
              <w:highlight w:val="none"/>
            </w:rPr>
          </w:pPr>
          <w:r>
            <w:rPr>
              <w:highlight w:val="none"/>
            </w:rPr>
            <w:fldChar w:fldCharType="begin"/>
          </w:r>
          <w:r>
            <w:rPr>
              <w:highlight w:val="none"/>
            </w:rPr>
            <w:instrText xml:space="preserve"> HYPERLINK \l "_Toc84" </w:instrText>
          </w:r>
          <w:r>
            <w:rPr>
              <w:highlight w:val="none"/>
            </w:rPr>
            <w:fldChar w:fldCharType="separate"/>
          </w:r>
          <w:r>
            <w:rPr>
              <w:rFonts w:hint="eastAsia" w:ascii="仿宋_GB2312" w:hAnsi="仿宋_GB2312" w:eastAsia="仿宋_GB2312" w:cs="仿宋_GB2312"/>
              <w:bCs/>
              <w:sz w:val="28"/>
              <w:szCs w:val="28"/>
              <w:highlight w:val="none"/>
            </w:rPr>
            <w:t>九、其他条款</w:t>
          </w:r>
          <w:r>
            <w:rPr>
              <w:highlight w:val="none"/>
            </w:rPr>
            <w:tab/>
          </w:r>
          <w:r>
            <w:rPr>
              <w:highlight w:val="none"/>
            </w:rPr>
            <w:fldChar w:fldCharType="begin"/>
          </w:r>
          <w:r>
            <w:rPr>
              <w:highlight w:val="none"/>
            </w:rPr>
            <w:instrText xml:space="preserve"> PAGEREF _Toc84 \h </w:instrText>
          </w:r>
          <w:r>
            <w:rPr>
              <w:highlight w:val="none"/>
            </w:rPr>
            <w:fldChar w:fldCharType="separate"/>
          </w:r>
          <w:r>
            <w:rPr>
              <w:highlight w:val="none"/>
            </w:rPr>
            <w:t>41</w:t>
          </w:r>
          <w:r>
            <w:rPr>
              <w:highlight w:val="none"/>
            </w:rPr>
            <w:fldChar w:fldCharType="end"/>
          </w:r>
          <w:r>
            <w:rPr>
              <w:highlight w:val="none"/>
            </w:rPr>
            <w:fldChar w:fldCharType="end"/>
          </w:r>
        </w:p>
        <w:p w14:paraId="158D9A50">
          <w:pPr>
            <w:pStyle w:val="16"/>
            <w:rPr>
              <w:rFonts w:ascii="仿宋" w:hAnsi="仿宋" w:eastAsia="仿宋" w:cs="仿宋"/>
              <w:color w:val="000000" w:themeColor="text1"/>
              <w:highlight w:val="none"/>
              <w14:textFill>
                <w14:solidFill>
                  <w14:schemeClr w14:val="tx1"/>
                </w14:solidFill>
              </w14:textFill>
            </w:rPr>
            <w:sectPr>
              <w:headerReference r:id="rId6" w:type="first"/>
              <w:footerReference r:id="rId8" w:type="first"/>
              <w:footerReference r:id="rId7" w:type="default"/>
              <w:pgSz w:w="11906" w:h="16838"/>
              <w:pgMar w:top="1440" w:right="1800" w:bottom="1440" w:left="1800" w:header="850" w:footer="975" w:gutter="0"/>
              <w:pgNumType w:start="1"/>
              <w:cols w:space="0" w:num="1"/>
              <w:titlePg/>
              <w:docGrid w:linePitch="312" w:charSpace="0"/>
            </w:sectPr>
          </w:pPr>
          <w:r>
            <w:rPr>
              <w:rFonts w:hint="eastAsia" w:ascii="仿宋" w:hAnsi="仿宋" w:eastAsia="仿宋" w:cs="仿宋"/>
              <w:color w:val="000000" w:themeColor="text1"/>
              <w:highlight w:val="none"/>
              <w14:textFill>
                <w14:solidFill>
                  <w14:schemeClr w14:val="tx1"/>
                </w14:solidFill>
              </w14:textFill>
            </w:rPr>
            <w:fldChar w:fldCharType="end"/>
          </w:r>
          <w:permEnd w:id="4"/>
        </w:p>
      </w:sdtContent>
    </w:sdt>
    <w:p w14:paraId="0573DA95">
      <w:pPr>
        <w:pStyle w:val="16"/>
        <w:jc w:val="center"/>
        <w:outlineLvl w:val="0"/>
        <w:rPr>
          <w:rFonts w:ascii="仿宋" w:hAnsi="仿宋" w:eastAsia="仿宋" w:cs="仿宋"/>
          <w:b/>
          <w:bCs/>
          <w:color w:val="000000" w:themeColor="text1"/>
          <w:sz w:val="32"/>
          <w:szCs w:val="32"/>
          <w:highlight w:val="none"/>
          <w14:textFill>
            <w14:solidFill>
              <w14:schemeClr w14:val="tx1"/>
            </w14:solidFill>
          </w14:textFill>
        </w:rPr>
      </w:pPr>
      <w:bookmarkStart w:id="1" w:name="_Toc22574"/>
      <w:bookmarkStart w:id="2" w:name="_Toc4600"/>
      <w:r>
        <w:rPr>
          <w:rFonts w:hint="eastAsia" w:ascii="黑体" w:hAnsi="黑体" w:eastAsia="黑体" w:cs="黑体"/>
          <w:b/>
          <w:bCs/>
          <w:color w:val="000000" w:themeColor="text1"/>
          <w:sz w:val="32"/>
          <w:szCs w:val="32"/>
          <w:highlight w:val="none"/>
          <w14:textFill>
            <w14:solidFill>
              <w14:schemeClr w14:val="tx1"/>
            </w14:solidFill>
          </w14:textFill>
        </w:rPr>
        <w:t>第一部分</w:t>
      </w:r>
      <w:bookmarkEnd w:id="1"/>
      <w:r>
        <w:rPr>
          <w:rFonts w:hint="eastAsia" w:ascii="黑体" w:hAnsi="黑体" w:eastAsia="黑体" w:cs="黑体"/>
          <w:b/>
          <w:bCs/>
          <w:color w:val="000000" w:themeColor="text1"/>
          <w:sz w:val="32"/>
          <w:szCs w:val="32"/>
          <w:highlight w:val="none"/>
          <w14:textFill>
            <w14:solidFill>
              <w14:schemeClr w14:val="tx1"/>
            </w14:solidFill>
          </w14:textFill>
        </w:rPr>
        <w:t xml:space="preserve"> 专用条款</w:t>
      </w:r>
      <w:bookmarkEnd w:id="2"/>
    </w:p>
    <w:p w14:paraId="057B453F">
      <w:pPr>
        <w:pStyle w:val="16"/>
        <w:spacing w:before="240" w:beforeLines="100" w:line="400" w:lineRule="atLeast"/>
        <w:rPr>
          <w:rFonts w:hint="default" w:ascii="仿宋_GB2312" w:hAnsi="仿宋_GB2312" w:eastAsia="仿宋_GB2312" w:cs="仿宋_GB2312"/>
          <w:color w:val="000000" w:themeColor="text1"/>
          <w:highlight w:val="none"/>
          <w:lang w:val="en-US" w:eastAsia="zh-CN"/>
          <w14:textFill>
            <w14:solidFill>
              <w14:schemeClr w14:val="tx1"/>
            </w14:solidFill>
          </w14:textFill>
        </w:rPr>
      </w:pPr>
      <w:bookmarkStart w:id="3" w:name="_Hlk127188610"/>
      <w:r>
        <w:rPr>
          <w:rFonts w:hint="eastAsia" w:ascii="仿宋_GB2312" w:hAnsi="仿宋_GB2312" w:eastAsia="仿宋_GB2312" w:cs="仿宋_GB2312"/>
          <w:color w:val="000000" w:themeColor="text1"/>
          <w:highlight w:val="none"/>
          <w14:textFill>
            <w14:solidFill>
              <w14:schemeClr w14:val="tx1"/>
            </w14:solidFill>
          </w14:textFill>
        </w:rPr>
        <w:t xml:space="preserve">甲方（买方）： </w:t>
      </w:r>
      <w:bookmarkStart w:id="4" w:name="_Hlk126825485"/>
      <w:permStart w:id="5" w:edGrp="everyone"/>
      <w:r>
        <w:rPr>
          <w:rFonts w:hint="eastAsia" w:ascii="仿宋_GB2312" w:hAnsi="仿宋_GB2312" w:eastAsia="仿宋_GB2312" w:cs="仿宋_GB2312"/>
          <w:color w:val="000000" w:themeColor="text1"/>
          <w:highlight w:val="none"/>
          <w:u w:val="single"/>
          <w14:textFill>
            <w14:solidFill>
              <w14:schemeClr w14:val="tx1"/>
            </w14:solidFill>
          </w14:textFill>
        </w:rPr>
        <w:t>中建</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highlight w:val="none"/>
          <w:u w:val="single"/>
          <w14:textFill>
            <w14:solidFill>
              <w14:schemeClr w14:val="tx1"/>
            </w14:solidFill>
          </w14:textFill>
        </w:rPr>
        <w:t>集团</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雄安发展</w:t>
      </w:r>
      <w:r>
        <w:rPr>
          <w:rFonts w:hint="eastAsia" w:ascii="仿宋_GB2312" w:hAnsi="仿宋_GB2312" w:eastAsia="仿宋_GB2312" w:cs="仿宋_GB2312"/>
          <w:color w:val="000000" w:themeColor="text1"/>
          <w:highlight w:val="none"/>
          <w:u w:val="single"/>
          <w14:textFill>
            <w14:solidFill>
              <w14:schemeClr w14:val="tx1"/>
            </w14:solidFill>
          </w14:textFill>
        </w:rPr>
        <w:t>有限公司</w:t>
      </w:r>
      <w:permEnd w:id="5"/>
      <w:bookmarkEnd w:id="4"/>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p>
    <w:p w14:paraId="0397AFD2">
      <w:pPr>
        <w:pStyle w:val="16"/>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乙方（卖方）： </w:t>
      </w:r>
      <w:permStart w:id="6" w:edGrp="everyone"/>
      <w:r>
        <w:rPr>
          <w:rFonts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highlight w:val="none"/>
          <w:u w:val="single"/>
          <w14:textFill>
            <w14:solidFill>
              <w14:schemeClr w14:val="tx1"/>
            </w14:solidFill>
          </w14:textFill>
        </w:rPr>
        <w:t xml:space="preserve">   </w:t>
      </w:r>
      <w:permEnd w:id="6"/>
      <w:r>
        <w:rPr>
          <w:rFonts w:ascii="仿宋_GB2312" w:hAnsi="仿宋_GB2312" w:eastAsia="仿宋_GB2312" w:cs="仿宋_GB2312"/>
          <w:color w:val="000000" w:themeColor="text1"/>
          <w:highlight w:val="none"/>
          <w:u w:val="single"/>
          <w14:textFill>
            <w14:solidFill>
              <w14:schemeClr w14:val="tx1"/>
            </w14:solidFill>
          </w14:textFill>
        </w:rPr>
        <w:t xml:space="preserve"> </w:t>
      </w:r>
    </w:p>
    <w:bookmarkEnd w:id="3"/>
    <w:p w14:paraId="20A018F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 xml:space="preserve">根据《中华人民共和国民法典》及有关法律规定，遵循平等、自愿、公平和诚实信用的原则，在对本合同进行充分理解的基础上，双方经友好协商一致，订立本合同并共同遵守。      </w:t>
      </w:r>
    </w:p>
    <w:p w14:paraId="090A68BA">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5" w:name="_Toc22768"/>
      <w:r>
        <w:rPr>
          <w:rFonts w:hint="eastAsia" w:ascii="仿宋_GB2312" w:hAnsi="仿宋_GB2312" w:eastAsia="仿宋_GB2312" w:cs="仿宋_GB2312"/>
          <w:b/>
          <w:bCs/>
          <w:color w:val="000000" w:themeColor="text1"/>
          <w:highlight w:val="none"/>
          <w14:textFill>
            <w14:solidFill>
              <w14:schemeClr w14:val="tx1"/>
            </w14:solidFill>
          </w14:textFill>
        </w:rPr>
        <w:t>工程概况</w:t>
      </w:r>
      <w:bookmarkEnd w:id="5"/>
    </w:p>
    <w:p w14:paraId="366738F5">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1、工程名称：</w:t>
      </w:r>
      <w:permStart w:id="7" w:edGrp="everyone"/>
      <w:r>
        <w:rPr>
          <w:rFonts w:hint="eastAsia" w:ascii="仿宋_GB2312" w:hAnsi="仿宋_GB2312" w:eastAsia="仿宋_GB2312" w:cs="仿宋_GB2312"/>
          <w:color w:val="000000" w:themeColor="text1"/>
          <w:highlight w:val="none"/>
          <w:u w:val="single"/>
          <w14:textFill>
            <w14:solidFill>
              <w14:schemeClr w14:val="tx1"/>
            </w14:solidFill>
          </w14:textFill>
        </w:rPr>
        <w:t>本溪市平山区(福金沟、转山沟、花红沟)山洪沟防洪治理</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工</w:t>
      </w:r>
      <w:r>
        <w:rPr>
          <w:rFonts w:hint="eastAsia" w:ascii="仿宋_GB2312" w:hAnsi="仿宋_GB2312" w:eastAsia="仿宋_GB2312" w:cs="仿宋_GB2312"/>
          <w:color w:val="000000" w:themeColor="text1"/>
          <w:highlight w:val="none"/>
          <w:u w:val="single"/>
          <w14:textFill>
            <w14:solidFill>
              <w14:schemeClr w14:val="tx1"/>
            </w14:solidFill>
          </w14:textFill>
        </w:rPr>
        <w:t>程施工-(福金沟、转山沟)一标段</w:t>
      </w:r>
      <w:permEnd w:id="7"/>
      <w:r>
        <w:rPr>
          <w:rFonts w:hint="eastAsia" w:ascii="仿宋_GB2312" w:hAnsi="仿宋_GB2312" w:eastAsia="仿宋_GB2312" w:cs="仿宋_GB2312"/>
          <w:color w:val="000000" w:themeColor="text1"/>
          <w:highlight w:val="none"/>
          <w14:textFill>
            <w14:solidFill>
              <w14:schemeClr w14:val="tx1"/>
            </w14:solidFill>
          </w14:textFill>
        </w:rPr>
        <w:t>；</w:t>
      </w:r>
    </w:p>
    <w:p w14:paraId="552BE5DC">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2、工程地点：</w:t>
      </w:r>
      <w:permStart w:id="8"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辽宁省</w:t>
      </w:r>
      <w:r>
        <w:rPr>
          <w:rFonts w:hint="eastAsia" w:ascii="仿宋_GB2312" w:hAnsi="仿宋_GB2312" w:eastAsia="仿宋_GB2312" w:cs="仿宋_GB2312"/>
          <w:color w:val="000000" w:themeColor="text1"/>
          <w:highlight w:val="none"/>
          <w:u w:val="single"/>
          <w14:textFill>
            <w14:solidFill>
              <w14:schemeClr w14:val="tx1"/>
            </w14:solidFill>
          </w14:textFill>
        </w:rPr>
        <w:t>本溪市平山区</w:t>
      </w:r>
      <w:permEnd w:id="8"/>
      <w:r>
        <w:rPr>
          <w:rFonts w:hint="eastAsia" w:ascii="仿宋_GB2312" w:hAnsi="仿宋_GB2312" w:eastAsia="仿宋_GB2312" w:cs="仿宋_GB2312"/>
          <w:color w:val="000000" w:themeColor="text1"/>
          <w:highlight w:val="none"/>
          <w14:textFill>
            <w14:solidFill>
              <w14:schemeClr w14:val="tx1"/>
            </w14:solidFill>
          </w14:textFill>
        </w:rPr>
        <w:t>；</w:t>
      </w:r>
    </w:p>
    <w:p w14:paraId="0E69F81A">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6" w:name="_Toc13582"/>
      <w:r>
        <w:rPr>
          <w:rFonts w:hint="eastAsia" w:ascii="仿宋_GB2312" w:hAnsi="仿宋_GB2312" w:eastAsia="仿宋_GB2312" w:cs="仿宋_GB2312"/>
          <w:b/>
          <w:bCs/>
          <w:color w:val="000000" w:themeColor="text1"/>
          <w:highlight w:val="none"/>
          <w14:textFill>
            <w14:solidFill>
              <w14:schemeClr w14:val="tx1"/>
            </w14:solidFill>
          </w14:textFill>
        </w:rPr>
        <w:t>货物清单</w:t>
      </w:r>
      <w:bookmarkEnd w:id="6"/>
    </w:p>
    <w:tbl>
      <w:tblPr>
        <w:tblStyle w:val="13"/>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1188"/>
        <w:gridCol w:w="968"/>
        <w:gridCol w:w="582"/>
        <w:gridCol w:w="584"/>
        <w:gridCol w:w="1056"/>
        <w:gridCol w:w="1164"/>
        <w:gridCol w:w="1176"/>
        <w:gridCol w:w="636"/>
        <w:gridCol w:w="960"/>
        <w:gridCol w:w="408"/>
      </w:tblGrid>
      <w:tr w14:paraId="09BCBB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390" w:type="dxa"/>
            <w:shd w:val="clear" w:color="auto" w:fill="auto"/>
            <w:vAlign w:val="center"/>
          </w:tcPr>
          <w:p w14:paraId="45A6448A">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permStart w:id="9" w:edGrp="everyone"/>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序号</w:t>
            </w:r>
          </w:p>
        </w:tc>
        <w:tc>
          <w:tcPr>
            <w:tcW w:w="1188" w:type="dxa"/>
            <w:shd w:val="clear" w:color="auto" w:fill="auto"/>
            <w:vAlign w:val="center"/>
          </w:tcPr>
          <w:p w14:paraId="6FDAD78C">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货物名称</w:t>
            </w:r>
          </w:p>
        </w:tc>
        <w:tc>
          <w:tcPr>
            <w:tcW w:w="968" w:type="dxa"/>
            <w:shd w:val="clear" w:color="auto" w:fill="auto"/>
            <w:vAlign w:val="center"/>
          </w:tcPr>
          <w:p w14:paraId="42BEF948">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货物</w:t>
            </w:r>
          </w:p>
          <w:p w14:paraId="7D88B5A9">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规格参数</w:t>
            </w:r>
          </w:p>
        </w:tc>
        <w:tc>
          <w:tcPr>
            <w:tcW w:w="582" w:type="dxa"/>
            <w:shd w:val="clear" w:color="auto" w:fill="auto"/>
            <w:vAlign w:val="center"/>
          </w:tcPr>
          <w:p w14:paraId="67E89EB6">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w:t>
            </w:r>
          </w:p>
          <w:p w14:paraId="3EE90936">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单位</w:t>
            </w:r>
          </w:p>
        </w:tc>
        <w:tc>
          <w:tcPr>
            <w:tcW w:w="584" w:type="dxa"/>
            <w:shd w:val="clear" w:color="auto" w:fill="auto"/>
            <w:vAlign w:val="center"/>
          </w:tcPr>
          <w:p w14:paraId="5D28FB99">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计量规则</w:t>
            </w:r>
          </w:p>
        </w:tc>
        <w:tc>
          <w:tcPr>
            <w:tcW w:w="1056" w:type="dxa"/>
            <w:shd w:val="clear" w:color="auto" w:fill="auto"/>
            <w:vAlign w:val="center"/>
          </w:tcPr>
          <w:p w14:paraId="5E73FBD2">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暂定</w:t>
            </w:r>
          </w:p>
          <w:p w14:paraId="27B99137">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数量</w:t>
            </w:r>
          </w:p>
        </w:tc>
        <w:tc>
          <w:tcPr>
            <w:tcW w:w="1164" w:type="dxa"/>
            <w:shd w:val="clear" w:color="auto" w:fill="auto"/>
            <w:vAlign w:val="center"/>
          </w:tcPr>
          <w:p w14:paraId="174BAE7B">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不含增值税</w:t>
            </w:r>
          </w:p>
          <w:p w14:paraId="0A2E14B8">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14:paraId="78005A6C">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1176" w:type="dxa"/>
            <w:shd w:val="clear" w:color="auto" w:fill="auto"/>
            <w:vAlign w:val="center"/>
          </w:tcPr>
          <w:p w14:paraId="4CBEB41C">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不含增值税</w:t>
            </w:r>
          </w:p>
          <w:p w14:paraId="56F7DDE0">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合价</w:t>
            </w:r>
          </w:p>
          <w:p w14:paraId="5A2BFD51">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（元）</w:t>
            </w:r>
          </w:p>
        </w:tc>
        <w:tc>
          <w:tcPr>
            <w:tcW w:w="636" w:type="dxa"/>
            <w:shd w:val="clear" w:color="auto" w:fill="auto"/>
            <w:vAlign w:val="center"/>
          </w:tcPr>
          <w:p w14:paraId="477AD4A7">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增值</w:t>
            </w:r>
          </w:p>
          <w:p w14:paraId="4A5E78EA">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税率</w:t>
            </w:r>
          </w:p>
        </w:tc>
        <w:tc>
          <w:tcPr>
            <w:tcW w:w="960" w:type="dxa"/>
            <w:shd w:val="clear" w:color="auto" w:fill="auto"/>
            <w:vAlign w:val="center"/>
          </w:tcPr>
          <w:p w14:paraId="789DE9ED">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含增值税</w:t>
            </w:r>
          </w:p>
          <w:p w14:paraId="5E154788">
            <w:pPr>
              <w:widowControl/>
              <w:jc w:val="center"/>
              <w:textAlignment w:val="center"/>
              <w:rPr>
                <w:rFonts w:ascii="仿宋_GB2312" w:hAnsi="仿宋_GB2312" w:eastAsia="仿宋_GB2312" w:cs="仿宋_GB2312"/>
                <w:color w:val="000000" w:themeColor="text1"/>
                <w:kern w:val="0"/>
                <w:sz w:val="18"/>
                <w:szCs w:val="18"/>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综合单价</w:t>
            </w:r>
          </w:p>
          <w:p w14:paraId="4EAEB1B8">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 xml:space="preserve">（元）  </w:t>
            </w:r>
          </w:p>
        </w:tc>
        <w:tc>
          <w:tcPr>
            <w:tcW w:w="408" w:type="dxa"/>
            <w:shd w:val="clear" w:color="auto" w:fill="auto"/>
            <w:vAlign w:val="center"/>
          </w:tcPr>
          <w:p w14:paraId="023AD3E2">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备注</w:t>
            </w:r>
          </w:p>
        </w:tc>
      </w:tr>
      <w:tr w14:paraId="499E21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90" w:type="dxa"/>
            <w:shd w:val="clear" w:color="auto" w:fill="auto"/>
            <w:vAlign w:val="center"/>
          </w:tcPr>
          <w:p w14:paraId="50A7C7EF">
            <w:pPr>
              <w:widowControl/>
              <w:spacing w:line="400" w:lineRule="atLeast"/>
              <w:jc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w:t>
            </w:r>
          </w:p>
        </w:tc>
        <w:tc>
          <w:tcPr>
            <w:tcW w:w="1188" w:type="dxa"/>
            <w:shd w:val="clear" w:color="auto" w:fill="auto"/>
            <w:vAlign w:val="center"/>
          </w:tcPr>
          <w:p w14:paraId="4AD58F39">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商品混凝土</w:t>
            </w:r>
          </w:p>
        </w:tc>
        <w:tc>
          <w:tcPr>
            <w:tcW w:w="968" w:type="dxa"/>
            <w:shd w:val="clear" w:color="auto" w:fill="auto"/>
            <w:vAlign w:val="center"/>
          </w:tcPr>
          <w:p w14:paraId="4F09AB74">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C20</w:t>
            </w:r>
          </w:p>
        </w:tc>
        <w:tc>
          <w:tcPr>
            <w:tcW w:w="582" w:type="dxa"/>
            <w:shd w:val="clear" w:color="auto" w:fill="auto"/>
            <w:noWrap/>
            <w:vAlign w:val="center"/>
          </w:tcPr>
          <w:p w14:paraId="2F851781">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m</w:t>
            </w:r>
            <w:r>
              <w:rPr>
                <w:rStyle w:val="17"/>
                <w:rFonts w:hint="default" w:ascii="仿宋_GB2312" w:hAnsi="仿宋_GB2312" w:eastAsia="仿宋_GB2312" w:cs="仿宋_GB2312"/>
                <w:color w:val="000000" w:themeColor="text1"/>
                <w:sz w:val="18"/>
                <w:szCs w:val="18"/>
                <w:highlight w:val="none"/>
                <w:lang w:bidi="ar"/>
                <w14:textFill>
                  <w14:solidFill>
                    <w14:schemeClr w14:val="tx1"/>
                  </w14:solidFill>
                </w14:textFill>
              </w:rPr>
              <w:t>3</w:t>
            </w:r>
          </w:p>
        </w:tc>
        <w:tc>
          <w:tcPr>
            <w:tcW w:w="584" w:type="dxa"/>
            <w:shd w:val="clear" w:color="auto" w:fill="auto"/>
            <w:vAlign w:val="center"/>
          </w:tcPr>
          <w:p w14:paraId="63C1F8B0">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1056" w:type="dxa"/>
            <w:shd w:val="clear" w:color="auto" w:fill="auto"/>
            <w:noWrap/>
            <w:vAlign w:val="center"/>
          </w:tcPr>
          <w:p w14:paraId="7E5956CC">
            <w:pPr>
              <w:keepNext w:val="0"/>
              <w:keepLines w:val="0"/>
              <w:widowControl/>
              <w:suppressLineNumbers w:val="0"/>
              <w:spacing w:line="240" w:lineRule="auto"/>
              <w:ind w:firstLine="0" w:firstLineChars="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1868.21</w:t>
            </w:r>
          </w:p>
        </w:tc>
        <w:tc>
          <w:tcPr>
            <w:tcW w:w="1164" w:type="dxa"/>
            <w:shd w:val="clear" w:color="auto" w:fill="auto"/>
            <w:noWrap/>
            <w:vAlign w:val="center"/>
          </w:tcPr>
          <w:p w14:paraId="5F0E5DCD">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1176" w:type="dxa"/>
            <w:shd w:val="clear" w:color="auto" w:fill="auto"/>
            <w:noWrap/>
            <w:vAlign w:val="center"/>
          </w:tcPr>
          <w:p w14:paraId="7D25B94F">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6" w:type="dxa"/>
            <w:shd w:val="clear" w:color="auto" w:fill="auto"/>
            <w:noWrap/>
            <w:vAlign w:val="center"/>
          </w:tcPr>
          <w:p w14:paraId="4A524C4F">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960" w:type="dxa"/>
            <w:shd w:val="clear" w:color="auto" w:fill="auto"/>
            <w:noWrap/>
            <w:vAlign w:val="center"/>
          </w:tcPr>
          <w:p w14:paraId="621788E8">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08" w:type="dxa"/>
            <w:shd w:val="clear" w:color="auto" w:fill="auto"/>
            <w:noWrap/>
            <w:vAlign w:val="center"/>
          </w:tcPr>
          <w:p w14:paraId="4642CBBE">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14:paraId="17B590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90" w:type="dxa"/>
            <w:shd w:val="clear" w:color="auto" w:fill="auto"/>
            <w:vAlign w:val="center"/>
          </w:tcPr>
          <w:p w14:paraId="068D87D7">
            <w:pPr>
              <w:widowControl/>
              <w:spacing w:line="400" w:lineRule="atLeast"/>
              <w:jc w:val="center"/>
              <w:textAlignment w:val="center"/>
              <w:rPr>
                <w:rFonts w:hint="eastAsia" w:ascii="仿宋_GB2312" w:hAnsi="仿宋_GB2312" w:eastAsia="仿宋_GB2312" w:cs="仿宋_GB2312"/>
                <w:color w:val="000000" w:themeColor="text1"/>
                <w:kern w:val="0"/>
                <w:sz w:val="18"/>
                <w:szCs w:val="18"/>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
                <w14:textFill>
                  <w14:solidFill>
                    <w14:schemeClr w14:val="tx1"/>
                  </w14:solidFill>
                </w14:textFill>
              </w:rPr>
              <w:t>2</w:t>
            </w:r>
          </w:p>
        </w:tc>
        <w:tc>
          <w:tcPr>
            <w:tcW w:w="1188" w:type="dxa"/>
            <w:shd w:val="clear" w:color="auto" w:fill="auto"/>
            <w:vAlign w:val="center"/>
          </w:tcPr>
          <w:p w14:paraId="2199F6F2">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商品混凝土</w:t>
            </w:r>
          </w:p>
        </w:tc>
        <w:tc>
          <w:tcPr>
            <w:tcW w:w="968" w:type="dxa"/>
            <w:shd w:val="clear" w:color="auto" w:fill="auto"/>
            <w:vAlign w:val="center"/>
          </w:tcPr>
          <w:p w14:paraId="586B895B">
            <w:pPr>
              <w:widowControl/>
              <w:spacing w:line="400" w:lineRule="atLeast"/>
              <w:jc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14:textFill>
                  <w14:solidFill>
                    <w14:schemeClr w14:val="tx1"/>
                  </w14:solidFill>
                </w14:textFill>
              </w:rPr>
              <w:t>C30</w:t>
            </w: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F200</w:t>
            </w:r>
          </w:p>
        </w:tc>
        <w:tc>
          <w:tcPr>
            <w:tcW w:w="582" w:type="dxa"/>
            <w:shd w:val="clear" w:color="auto" w:fill="auto"/>
            <w:noWrap/>
            <w:vAlign w:val="center"/>
          </w:tcPr>
          <w:p w14:paraId="1093F7AE">
            <w:pPr>
              <w:widowControl/>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m</w:t>
            </w:r>
            <w:r>
              <w:rPr>
                <w:rStyle w:val="17"/>
                <w:rFonts w:hint="default" w:ascii="仿宋_GB2312" w:hAnsi="仿宋_GB2312" w:eastAsia="仿宋_GB2312" w:cs="仿宋_GB2312"/>
                <w:color w:val="000000" w:themeColor="text1"/>
                <w:sz w:val="18"/>
                <w:szCs w:val="18"/>
                <w:highlight w:val="none"/>
                <w:lang w:bidi="ar"/>
                <w14:textFill>
                  <w14:solidFill>
                    <w14:schemeClr w14:val="tx1"/>
                  </w14:solidFill>
                </w14:textFill>
              </w:rPr>
              <w:t>3</w:t>
            </w:r>
          </w:p>
        </w:tc>
        <w:tc>
          <w:tcPr>
            <w:tcW w:w="584" w:type="dxa"/>
            <w:shd w:val="clear" w:color="auto" w:fill="auto"/>
            <w:vAlign w:val="center"/>
          </w:tcPr>
          <w:p w14:paraId="36835CA6">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1056" w:type="dxa"/>
            <w:shd w:val="clear" w:color="auto" w:fill="auto"/>
            <w:noWrap/>
            <w:vAlign w:val="center"/>
          </w:tcPr>
          <w:p w14:paraId="618D3F3F">
            <w:pPr>
              <w:keepNext w:val="0"/>
              <w:keepLines w:val="0"/>
              <w:widowControl/>
              <w:suppressLineNumbers w:val="0"/>
              <w:spacing w:line="240" w:lineRule="auto"/>
              <w:ind w:firstLine="0" w:firstLineChars="0"/>
              <w:jc w:val="center"/>
              <w:textAlignment w:val="center"/>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10613.43</w:t>
            </w:r>
          </w:p>
        </w:tc>
        <w:tc>
          <w:tcPr>
            <w:tcW w:w="1164" w:type="dxa"/>
            <w:shd w:val="clear" w:color="auto" w:fill="auto"/>
            <w:noWrap/>
            <w:vAlign w:val="center"/>
          </w:tcPr>
          <w:p w14:paraId="22F52893">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1176" w:type="dxa"/>
            <w:shd w:val="clear" w:color="auto" w:fill="auto"/>
            <w:noWrap/>
            <w:vAlign w:val="center"/>
          </w:tcPr>
          <w:p w14:paraId="523A2E4D">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636" w:type="dxa"/>
            <w:shd w:val="clear" w:color="auto" w:fill="auto"/>
            <w:noWrap/>
            <w:vAlign w:val="center"/>
          </w:tcPr>
          <w:p w14:paraId="49853747">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960" w:type="dxa"/>
            <w:shd w:val="clear" w:color="auto" w:fill="auto"/>
            <w:noWrap/>
            <w:vAlign w:val="center"/>
          </w:tcPr>
          <w:p w14:paraId="621AA532">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c>
          <w:tcPr>
            <w:tcW w:w="408" w:type="dxa"/>
            <w:shd w:val="clear" w:color="auto" w:fill="auto"/>
            <w:noWrap/>
            <w:vAlign w:val="center"/>
          </w:tcPr>
          <w:p w14:paraId="27CDF0BE">
            <w:pPr>
              <w:widowControl/>
              <w:spacing w:line="400" w:lineRule="atLeast"/>
              <w:jc w:val="center"/>
              <w:rPr>
                <w:rFonts w:ascii="仿宋_GB2312" w:hAnsi="仿宋_GB2312" w:eastAsia="仿宋_GB2312" w:cs="仿宋_GB2312"/>
                <w:color w:val="000000" w:themeColor="text1"/>
                <w:sz w:val="18"/>
                <w:szCs w:val="18"/>
                <w:highlight w:val="none"/>
                <w14:textFill>
                  <w14:solidFill>
                    <w14:schemeClr w14:val="tx1"/>
                  </w14:solidFill>
                </w14:textFill>
              </w:rPr>
            </w:pPr>
          </w:p>
        </w:tc>
      </w:tr>
      <w:tr w14:paraId="654BC9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112" w:type="dxa"/>
            <w:gridSpan w:val="11"/>
            <w:shd w:val="clear" w:color="auto" w:fill="auto"/>
            <w:vAlign w:val="center"/>
          </w:tcPr>
          <w:p w14:paraId="558FB1B3">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b/>
                <w:bCs/>
                <w:color w:val="000000" w:themeColor="text1"/>
                <w:sz w:val="18"/>
                <w:szCs w:val="18"/>
                <w:highlight w:val="none"/>
                <w14:textFill>
                  <w14:solidFill>
                    <w14:schemeClr w14:val="tx1"/>
                  </w14:solidFill>
                </w14:textFill>
              </w:rPr>
              <w:t>不含增值税总价（暂定）</w:t>
            </w:r>
            <w:r>
              <w:rPr>
                <w:rFonts w:hint="eastAsia" w:ascii="仿宋_GB2312" w:hAnsi="仿宋_GB2312" w:eastAsia="仿宋_GB2312" w:cs="仿宋_GB2312"/>
                <w:color w:val="000000" w:themeColor="text1"/>
                <w:sz w:val="18"/>
                <w:szCs w:val="18"/>
                <w:highlight w:val="none"/>
                <w14:textFill>
                  <w14:solidFill>
                    <w14:schemeClr w14:val="tx1"/>
                  </w14:solidFill>
                </w14:textFill>
              </w:rPr>
              <w:t>：人民币</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 ）；</w:t>
            </w:r>
          </w:p>
        </w:tc>
      </w:tr>
      <w:tr w14:paraId="2568E3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12" w:type="dxa"/>
            <w:gridSpan w:val="11"/>
            <w:shd w:val="clear" w:color="auto" w:fill="auto"/>
            <w:vAlign w:val="center"/>
          </w:tcPr>
          <w:p w14:paraId="3C085548">
            <w:pPr>
              <w:widowControl/>
              <w:jc w:val="lef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b/>
                <w:bCs/>
                <w:color w:val="000000" w:themeColor="text1"/>
                <w:sz w:val="18"/>
                <w:szCs w:val="18"/>
                <w:highlight w:val="none"/>
                <w14:textFill>
                  <w14:solidFill>
                    <w14:schemeClr w14:val="tx1"/>
                  </w14:solidFill>
                </w14:textFill>
              </w:rPr>
              <w:t>含增值税总价（暂定）</w:t>
            </w:r>
            <w:r>
              <w:rPr>
                <w:rFonts w:hint="eastAsia" w:ascii="仿宋_GB2312" w:hAnsi="仿宋_GB2312" w:eastAsia="仿宋_GB2312" w:cs="仿宋_GB2312"/>
                <w:color w:val="000000" w:themeColor="text1"/>
                <w:sz w:val="18"/>
                <w:szCs w:val="18"/>
                <w:highlight w:val="none"/>
                <w14:textFill>
                  <w14:solidFill>
                    <w14:schemeClr w14:val="tx1"/>
                  </w14:solidFill>
                </w14:textFill>
              </w:rPr>
              <w:t>：不含增值税暂定总价*（1+增值税税率）=</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元（大写：</w:t>
            </w:r>
            <w:r>
              <w:rPr>
                <w:rFonts w:hint="eastAsia" w:ascii="仿宋_GB2312" w:hAnsi="仿宋_GB2312" w:eastAsia="仿宋_GB2312" w:cs="仿宋_GB2312"/>
                <w:color w:val="000000" w:themeColor="text1"/>
                <w:sz w:val="18"/>
                <w:szCs w:val="18"/>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18"/>
                <w:szCs w:val="18"/>
                <w:highlight w:val="none"/>
                <w14:textFill>
                  <w14:solidFill>
                    <w14:schemeClr w14:val="tx1"/>
                  </w14:solidFill>
                </w14:textFill>
              </w:rPr>
              <w:t>元）</w:t>
            </w:r>
          </w:p>
        </w:tc>
      </w:tr>
      <w:permEnd w:id="9"/>
    </w:tbl>
    <w:p w14:paraId="5A27BE0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说明：乙方主要原材生产厂家、产地、品牌如下</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1705"/>
      </w:tblGrid>
      <w:tr w14:paraId="2C9D7F2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2" w:type="dxa"/>
            <w:vAlign w:val="center"/>
          </w:tcPr>
          <w:p w14:paraId="685B55FF">
            <w:pPr>
              <w:jc w:val="center"/>
              <w:rPr>
                <w:rFonts w:ascii="仿宋" w:hAnsi="仿宋" w:eastAsia="仿宋"/>
                <w:b/>
                <w:bCs/>
                <w:sz w:val="24"/>
                <w:szCs w:val="24"/>
                <w:highlight w:val="none"/>
              </w:rPr>
            </w:pPr>
            <w:permStart w:id="10" w:edGrp="everyone"/>
            <w:r>
              <w:rPr>
                <w:rFonts w:hint="eastAsia" w:ascii="仿宋" w:hAnsi="仿宋" w:eastAsia="仿宋"/>
                <w:b/>
                <w:bCs/>
                <w:sz w:val="24"/>
                <w:szCs w:val="24"/>
                <w:highlight w:val="none"/>
              </w:rPr>
              <w:t>原材料名称</w:t>
            </w:r>
          </w:p>
        </w:tc>
        <w:tc>
          <w:tcPr>
            <w:tcW w:w="1812" w:type="dxa"/>
            <w:vAlign w:val="center"/>
          </w:tcPr>
          <w:p w14:paraId="0CAA35A2">
            <w:pPr>
              <w:jc w:val="center"/>
              <w:rPr>
                <w:rFonts w:ascii="仿宋" w:hAnsi="仿宋" w:eastAsia="仿宋"/>
                <w:b/>
                <w:bCs/>
                <w:sz w:val="24"/>
                <w:szCs w:val="24"/>
                <w:highlight w:val="none"/>
              </w:rPr>
            </w:pPr>
            <w:r>
              <w:rPr>
                <w:rFonts w:hint="eastAsia" w:ascii="仿宋" w:hAnsi="仿宋" w:eastAsia="仿宋"/>
                <w:b/>
                <w:bCs/>
                <w:sz w:val="24"/>
                <w:szCs w:val="24"/>
                <w:highlight w:val="none"/>
              </w:rPr>
              <w:t>生产厂家</w:t>
            </w:r>
          </w:p>
        </w:tc>
        <w:tc>
          <w:tcPr>
            <w:tcW w:w="1812" w:type="dxa"/>
            <w:vAlign w:val="center"/>
          </w:tcPr>
          <w:p w14:paraId="7077C53F">
            <w:pPr>
              <w:jc w:val="center"/>
              <w:rPr>
                <w:rFonts w:ascii="仿宋" w:hAnsi="仿宋" w:eastAsia="仿宋"/>
                <w:b/>
                <w:bCs/>
                <w:sz w:val="24"/>
                <w:szCs w:val="24"/>
                <w:highlight w:val="none"/>
              </w:rPr>
            </w:pPr>
            <w:r>
              <w:rPr>
                <w:rFonts w:hint="eastAsia" w:ascii="仿宋" w:hAnsi="仿宋" w:eastAsia="仿宋"/>
                <w:b/>
                <w:bCs/>
                <w:sz w:val="24"/>
                <w:szCs w:val="24"/>
                <w:highlight w:val="none"/>
              </w:rPr>
              <w:t>产地</w:t>
            </w:r>
          </w:p>
        </w:tc>
        <w:tc>
          <w:tcPr>
            <w:tcW w:w="1812" w:type="dxa"/>
            <w:vAlign w:val="center"/>
          </w:tcPr>
          <w:p w14:paraId="51BF172B">
            <w:pPr>
              <w:jc w:val="center"/>
              <w:rPr>
                <w:rFonts w:ascii="仿宋" w:hAnsi="仿宋" w:eastAsia="仿宋"/>
                <w:b/>
                <w:bCs/>
                <w:sz w:val="24"/>
                <w:szCs w:val="24"/>
                <w:highlight w:val="none"/>
              </w:rPr>
            </w:pPr>
            <w:r>
              <w:rPr>
                <w:rFonts w:hint="eastAsia" w:ascii="仿宋" w:hAnsi="仿宋" w:eastAsia="仿宋"/>
                <w:b/>
                <w:bCs/>
                <w:sz w:val="24"/>
                <w:szCs w:val="24"/>
                <w:highlight w:val="none"/>
              </w:rPr>
              <w:t>品牌</w:t>
            </w:r>
          </w:p>
        </w:tc>
        <w:tc>
          <w:tcPr>
            <w:tcW w:w="1812" w:type="dxa"/>
            <w:vAlign w:val="center"/>
          </w:tcPr>
          <w:p w14:paraId="65731D0E">
            <w:pPr>
              <w:jc w:val="center"/>
              <w:rPr>
                <w:rFonts w:ascii="仿宋" w:hAnsi="仿宋" w:eastAsia="仿宋"/>
                <w:b/>
                <w:bCs/>
                <w:sz w:val="24"/>
                <w:szCs w:val="24"/>
                <w:highlight w:val="none"/>
              </w:rPr>
            </w:pPr>
            <w:r>
              <w:rPr>
                <w:rFonts w:hint="eastAsia" w:ascii="仿宋" w:hAnsi="仿宋" w:eastAsia="仿宋"/>
                <w:b/>
                <w:bCs/>
                <w:sz w:val="24"/>
                <w:szCs w:val="24"/>
                <w:highlight w:val="none"/>
              </w:rPr>
              <w:t>备注</w:t>
            </w:r>
          </w:p>
        </w:tc>
      </w:tr>
      <w:tr w14:paraId="5BA5558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2" w:type="dxa"/>
            <w:vAlign w:val="center"/>
          </w:tcPr>
          <w:p w14:paraId="769C57D3">
            <w:pPr>
              <w:jc w:val="center"/>
              <w:rPr>
                <w:rFonts w:ascii="仿宋" w:hAnsi="仿宋" w:eastAsia="仿宋"/>
                <w:sz w:val="24"/>
                <w:szCs w:val="24"/>
                <w:highlight w:val="none"/>
              </w:rPr>
            </w:pPr>
            <w:r>
              <w:rPr>
                <w:rFonts w:hint="eastAsia" w:ascii="仿宋" w:hAnsi="仿宋" w:eastAsia="仿宋"/>
                <w:sz w:val="24"/>
                <w:szCs w:val="24"/>
                <w:highlight w:val="none"/>
              </w:rPr>
              <w:t>水泥</w:t>
            </w:r>
          </w:p>
        </w:tc>
        <w:tc>
          <w:tcPr>
            <w:tcW w:w="1812" w:type="dxa"/>
            <w:vAlign w:val="center"/>
          </w:tcPr>
          <w:p w14:paraId="2ACD1451">
            <w:pPr>
              <w:jc w:val="center"/>
              <w:rPr>
                <w:rFonts w:ascii="仿宋" w:hAnsi="仿宋" w:eastAsia="仿宋"/>
                <w:sz w:val="24"/>
                <w:szCs w:val="24"/>
                <w:highlight w:val="none"/>
              </w:rPr>
            </w:pPr>
          </w:p>
        </w:tc>
        <w:tc>
          <w:tcPr>
            <w:tcW w:w="1812" w:type="dxa"/>
            <w:vAlign w:val="center"/>
          </w:tcPr>
          <w:p w14:paraId="77A18FEB">
            <w:pPr>
              <w:jc w:val="center"/>
              <w:rPr>
                <w:rFonts w:ascii="仿宋" w:hAnsi="仿宋" w:eastAsia="仿宋"/>
                <w:sz w:val="24"/>
                <w:szCs w:val="24"/>
                <w:highlight w:val="none"/>
              </w:rPr>
            </w:pPr>
          </w:p>
        </w:tc>
        <w:tc>
          <w:tcPr>
            <w:tcW w:w="1812" w:type="dxa"/>
            <w:vAlign w:val="center"/>
          </w:tcPr>
          <w:p w14:paraId="3E9457C5">
            <w:pPr>
              <w:jc w:val="center"/>
              <w:rPr>
                <w:rFonts w:ascii="仿宋" w:hAnsi="仿宋" w:eastAsia="仿宋"/>
                <w:sz w:val="24"/>
                <w:szCs w:val="24"/>
                <w:highlight w:val="none"/>
              </w:rPr>
            </w:pPr>
          </w:p>
        </w:tc>
        <w:tc>
          <w:tcPr>
            <w:tcW w:w="1812" w:type="dxa"/>
            <w:vAlign w:val="center"/>
          </w:tcPr>
          <w:p w14:paraId="20620546">
            <w:pPr>
              <w:jc w:val="center"/>
              <w:rPr>
                <w:rFonts w:ascii="仿宋" w:hAnsi="仿宋" w:eastAsia="仿宋"/>
                <w:sz w:val="24"/>
                <w:szCs w:val="24"/>
                <w:highlight w:val="none"/>
              </w:rPr>
            </w:pPr>
          </w:p>
        </w:tc>
      </w:tr>
      <w:tr w14:paraId="73B2E67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2" w:type="dxa"/>
            <w:vAlign w:val="center"/>
          </w:tcPr>
          <w:p w14:paraId="7DF96126">
            <w:pPr>
              <w:jc w:val="center"/>
              <w:rPr>
                <w:rFonts w:ascii="仿宋" w:hAnsi="仿宋" w:eastAsia="仿宋"/>
                <w:sz w:val="24"/>
                <w:szCs w:val="24"/>
                <w:highlight w:val="none"/>
              </w:rPr>
            </w:pPr>
            <w:r>
              <w:rPr>
                <w:rFonts w:hint="eastAsia" w:ascii="仿宋" w:hAnsi="仿宋" w:eastAsia="仿宋"/>
                <w:sz w:val="24"/>
                <w:szCs w:val="24"/>
                <w:highlight w:val="none"/>
              </w:rPr>
              <w:t>外加剂</w:t>
            </w:r>
          </w:p>
        </w:tc>
        <w:tc>
          <w:tcPr>
            <w:tcW w:w="1812" w:type="dxa"/>
            <w:vAlign w:val="center"/>
          </w:tcPr>
          <w:p w14:paraId="69EE8B1B">
            <w:pPr>
              <w:jc w:val="center"/>
              <w:rPr>
                <w:rFonts w:ascii="仿宋" w:hAnsi="仿宋" w:eastAsia="仿宋"/>
                <w:sz w:val="24"/>
                <w:szCs w:val="24"/>
                <w:highlight w:val="none"/>
              </w:rPr>
            </w:pPr>
          </w:p>
        </w:tc>
        <w:tc>
          <w:tcPr>
            <w:tcW w:w="1812" w:type="dxa"/>
            <w:vAlign w:val="center"/>
          </w:tcPr>
          <w:p w14:paraId="1EA5DA3A">
            <w:pPr>
              <w:jc w:val="center"/>
              <w:rPr>
                <w:rFonts w:ascii="仿宋" w:hAnsi="仿宋" w:eastAsia="仿宋"/>
                <w:sz w:val="24"/>
                <w:szCs w:val="24"/>
                <w:highlight w:val="none"/>
              </w:rPr>
            </w:pPr>
          </w:p>
        </w:tc>
        <w:tc>
          <w:tcPr>
            <w:tcW w:w="1812" w:type="dxa"/>
            <w:vAlign w:val="center"/>
          </w:tcPr>
          <w:p w14:paraId="1DD115F4">
            <w:pPr>
              <w:jc w:val="center"/>
              <w:rPr>
                <w:rFonts w:ascii="仿宋" w:hAnsi="仿宋" w:eastAsia="仿宋"/>
                <w:sz w:val="24"/>
                <w:szCs w:val="24"/>
                <w:highlight w:val="none"/>
              </w:rPr>
            </w:pPr>
          </w:p>
        </w:tc>
        <w:tc>
          <w:tcPr>
            <w:tcW w:w="1812" w:type="dxa"/>
            <w:vAlign w:val="center"/>
          </w:tcPr>
          <w:p w14:paraId="192F1E4E">
            <w:pPr>
              <w:jc w:val="center"/>
              <w:rPr>
                <w:rFonts w:ascii="仿宋" w:hAnsi="仿宋" w:eastAsia="仿宋"/>
                <w:sz w:val="24"/>
                <w:szCs w:val="24"/>
                <w:highlight w:val="none"/>
              </w:rPr>
            </w:pPr>
          </w:p>
        </w:tc>
      </w:tr>
      <w:tr w14:paraId="720489B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2" w:type="dxa"/>
            <w:vAlign w:val="center"/>
          </w:tcPr>
          <w:p w14:paraId="7B489532">
            <w:pPr>
              <w:jc w:val="center"/>
              <w:rPr>
                <w:rFonts w:ascii="仿宋" w:hAnsi="仿宋" w:eastAsia="仿宋"/>
                <w:sz w:val="24"/>
                <w:szCs w:val="24"/>
                <w:highlight w:val="none"/>
              </w:rPr>
            </w:pPr>
            <w:r>
              <w:rPr>
                <w:rFonts w:hint="eastAsia" w:ascii="仿宋" w:hAnsi="仿宋" w:eastAsia="仿宋"/>
                <w:sz w:val="24"/>
                <w:szCs w:val="24"/>
                <w:highlight w:val="none"/>
              </w:rPr>
              <w:t>中砂</w:t>
            </w:r>
          </w:p>
        </w:tc>
        <w:tc>
          <w:tcPr>
            <w:tcW w:w="1812" w:type="dxa"/>
            <w:vAlign w:val="center"/>
          </w:tcPr>
          <w:p w14:paraId="3062654D">
            <w:pPr>
              <w:jc w:val="center"/>
              <w:rPr>
                <w:rFonts w:ascii="仿宋" w:hAnsi="仿宋" w:eastAsia="仿宋"/>
                <w:sz w:val="24"/>
                <w:szCs w:val="24"/>
                <w:highlight w:val="none"/>
              </w:rPr>
            </w:pPr>
          </w:p>
        </w:tc>
        <w:tc>
          <w:tcPr>
            <w:tcW w:w="1812" w:type="dxa"/>
            <w:vAlign w:val="center"/>
          </w:tcPr>
          <w:p w14:paraId="655B791C">
            <w:pPr>
              <w:jc w:val="center"/>
              <w:rPr>
                <w:rFonts w:ascii="仿宋" w:hAnsi="仿宋" w:eastAsia="仿宋"/>
                <w:sz w:val="24"/>
                <w:szCs w:val="24"/>
                <w:highlight w:val="none"/>
              </w:rPr>
            </w:pPr>
          </w:p>
        </w:tc>
        <w:tc>
          <w:tcPr>
            <w:tcW w:w="1812" w:type="dxa"/>
            <w:vAlign w:val="center"/>
          </w:tcPr>
          <w:p w14:paraId="7ABF2F1A">
            <w:pPr>
              <w:jc w:val="center"/>
              <w:rPr>
                <w:rFonts w:ascii="仿宋" w:hAnsi="仿宋" w:eastAsia="仿宋"/>
                <w:sz w:val="24"/>
                <w:szCs w:val="24"/>
                <w:highlight w:val="none"/>
              </w:rPr>
            </w:pPr>
          </w:p>
        </w:tc>
        <w:tc>
          <w:tcPr>
            <w:tcW w:w="1812" w:type="dxa"/>
            <w:vAlign w:val="center"/>
          </w:tcPr>
          <w:p w14:paraId="42D0E1DA">
            <w:pPr>
              <w:jc w:val="center"/>
              <w:rPr>
                <w:rFonts w:ascii="仿宋" w:hAnsi="仿宋" w:eastAsia="仿宋"/>
                <w:sz w:val="24"/>
                <w:szCs w:val="24"/>
                <w:highlight w:val="none"/>
              </w:rPr>
            </w:pPr>
          </w:p>
        </w:tc>
      </w:tr>
      <w:tr w14:paraId="0050E5D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2" w:type="dxa"/>
            <w:vAlign w:val="center"/>
          </w:tcPr>
          <w:p w14:paraId="555C0494">
            <w:pPr>
              <w:jc w:val="center"/>
              <w:rPr>
                <w:rFonts w:ascii="仿宋" w:hAnsi="仿宋" w:eastAsia="仿宋"/>
                <w:sz w:val="24"/>
                <w:szCs w:val="24"/>
                <w:highlight w:val="none"/>
              </w:rPr>
            </w:pPr>
            <w:r>
              <w:rPr>
                <w:rFonts w:hint="eastAsia" w:ascii="仿宋" w:hAnsi="仿宋" w:eastAsia="仿宋"/>
                <w:sz w:val="24"/>
                <w:szCs w:val="24"/>
                <w:highlight w:val="none"/>
              </w:rPr>
              <w:t>碎石</w:t>
            </w:r>
          </w:p>
        </w:tc>
        <w:tc>
          <w:tcPr>
            <w:tcW w:w="1812" w:type="dxa"/>
            <w:vAlign w:val="center"/>
          </w:tcPr>
          <w:p w14:paraId="4D3A82F4">
            <w:pPr>
              <w:jc w:val="center"/>
              <w:rPr>
                <w:rFonts w:ascii="仿宋" w:hAnsi="仿宋" w:eastAsia="仿宋"/>
                <w:sz w:val="24"/>
                <w:szCs w:val="24"/>
                <w:highlight w:val="none"/>
              </w:rPr>
            </w:pPr>
          </w:p>
        </w:tc>
        <w:tc>
          <w:tcPr>
            <w:tcW w:w="1812" w:type="dxa"/>
            <w:vAlign w:val="center"/>
          </w:tcPr>
          <w:p w14:paraId="541DAD02">
            <w:pPr>
              <w:jc w:val="center"/>
              <w:rPr>
                <w:rFonts w:ascii="仿宋" w:hAnsi="仿宋" w:eastAsia="仿宋"/>
                <w:sz w:val="24"/>
                <w:szCs w:val="24"/>
                <w:highlight w:val="none"/>
              </w:rPr>
            </w:pPr>
          </w:p>
        </w:tc>
        <w:tc>
          <w:tcPr>
            <w:tcW w:w="1812" w:type="dxa"/>
            <w:vAlign w:val="center"/>
          </w:tcPr>
          <w:p w14:paraId="36943F64">
            <w:pPr>
              <w:jc w:val="center"/>
              <w:rPr>
                <w:rFonts w:ascii="仿宋" w:hAnsi="仿宋" w:eastAsia="仿宋"/>
                <w:sz w:val="24"/>
                <w:szCs w:val="24"/>
                <w:highlight w:val="none"/>
              </w:rPr>
            </w:pPr>
          </w:p>
        </w:tc>
        <w:tc>
          <w:tcPr>
            <w:tcW w:w="1812" w:type="dxa"/>
            <w:vAlign w:val="center"/>
          </w:tcPr>
          <w:p w14:paraId="0CE2EBC9">
            <w:pPr>
              <w:jc w:val="center"/>
              <w:rPr>
                <w:rFonts w:ascii="仿宋" w:hAnsi="仿宋" w:eastAsia="仿宋"/>
                <w:sz w:val="24"/>
                <w:szCs w:val="24"/>
                <w:highlight w:val="none"/>
              </w:rPr>
            </w:pPr>
          </w:p>
        </w:tc>
      </w:tr>
      <w:tr w14:paraId="097FDBB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2" w:type="dxa"/>
            <w:vAlign w:val="center"/>
          </w:tcPr>
          <w:p w14:paraId="5E2EBA16">
            <w:pPr>
              <w:jc w:val="center"/>
              <w:rPr>
                <w:rFonts w:ascii="仿宋" w:hAnsi="仿宋" w:eastAsia="仿宋"/>
                <w:sz w:val="24"/>
                <w:szCs w:val="24"/>
                <w:highlight w:val="none"/>
              </w:rPr>
            </w:pPr>
            <w:r>
              <w:rPr>
                <w:rFonts w:ascii="仿宋" w:hAnsi="仿宋" w:eastAsia="仿宋"/>
                <w:sz w:val="24"/>
                <w:szCs w:val="24"/>
                <w:highlight w:val="none"/>
              </w:rPr>
              <w:t>…</w:t>
            </w:r>
          </w:p>
        </w:tc>
        <w:tc>
          <w:tcPr>
            <w:tcW w:w="1812" w:type="dxa"/>
            <w:vAlign w:val="center"/>
          </w:tcPr>
          <w:p w14:paraId="2F5B0F60">
            <w:pPr>
              <w:jc w:val="center"/>
              <w:rPr>
                <w:rFonts w:ascii="仿宋" w:hAnsi="仿宋" w:eastAsia="仿宋"/>
                <w:sz w:val="24"/>
                <w:szCs w:val="24"/>
                <w:highlight w:val="none"/>
              </w:rPr>
            </w:pPr>
          </w:p>
        </w:tc>
        <w:tc>
          <w:tcPr>
            <w:tcW w:w="1812" w:type="dxa"/>
            <w:vAlign w:val="center"/>
          </w:tcPr>
          <w:p w14:paraId="0C1A44CC">
            <w:pPr>
              <w:jc w:val="center"/>
              <w:rPr>
                <w:rFonts w:ascii="仿宋" w:hAnsi="仿宋" w:eastAsia="仿宋"/>
                <w:sz w:val="24"/>
                <w:szCs w:val="24"/>
                <w:highlight w:val="none"/>
              </w:rPr>
            </w:pPr>
          </w:p>
        </w:tc>
        <w:tc>
          <w:tcPr>
            <w:tcW w:w="1812" w:type="dxa"/>
            <w:vAlign w:val="center"/>
          </w:tcPr>
          <w:p w14:paraId="4783BA1A">
            <w:pPr>
              <w:jc w:val="center"/>
              <w:rPr>
                <w:rFonts w:ascii="仿宋" w:hAnsi="仿宋" w:eastAsia="仿宋"/>
                <w:sz w:val="24"/>
                <w:szCs w:val="24"/>
                <w:highlight w:val="none"/>
              </w:rPr>
            </w:pPr>
          </w:p>
        </w:tc>
        <w:tc>
          <w:tcPr>
            <w:tcW w:w="1812" w:type="dxa"/>
            <w:vAlign w:val="center"/>
          </w:tcPr>
          <w:p w14:paraId="71C9CB83">
            <w:pPr>
              <w:jc w:val="center"/>
              <w:rPr>
                <w:rFonts w:ascii="仿宋" w:hAnsi="仿宋" w:eastAsia="仿宋"/>
                <w:sz w:val="24"/>
                <w:szCs w:val="24"/>
                <w:highlight w:val="none"/>
              </w:rPr>
            </w:pPr>
          </w:p>
        </w:tc>
      </w:tr>
      <w:permEnd w:id="10"/>
    </w:tbl>
    <w:p w14:paraId="7265DC3F">
      <w:pPr>
        <w:pStyle w:val="16"/>
        <w:numPr>
          <w:ilvl w:val="0"/>
          <w:numId w:val="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合同单价：</w:t>
      </w:r>
      <w:r>
        <w:rPr>
          <w:rFonts w:hint="eastAsia" w:ascii="仿宋_GB2312" w:hAnsi="仿宋_GB2312" w:eastAsia="仿宋_GB2312" w:cs="仿宋_GB2312"/>
          <w:color w:val="000000" w:themeColor="text1"/>
          <w:highlight w:val="none"/>
          <w14:textFill>
            <w14:solidFill>
              <w14:schemeClr w14:val="tx1"/>
            </w14:solidFill>
          </w14:textFill>
        </w:rPr>
        <w:t>本合同综合单价适用第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1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1.1 </w:t>
      </w:r>
      <w:permEnd w:id="11"/>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条</w:t>
      </w:r>
    </w:p>
    <w:p w14:paraId="5964CD35">
      <w:pPr>
        <w:pStyle w:val="16"/>
        <w:numPr>
          <w:ilvl w:val="255"/>
          <w:numId w:val="0"/>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1.1本合同为固定单价合同；</w:t>
      </w:r>
      <w:r>
        <w:rPr>
          <w:rFonts w:hint="eastAsia" w:ascii="仿宋_GB2312" w:hAnsi="仿宋_GB2312" w:eastAsia="仿宋_GB2312" w:cs="仿宋_GB2312"/>
          <w:b/>
          <w:bCs/>
          <w:color w:val="000000" w:themeColor="text1"/>
          <w:highlight w:val="none"/>
          <w:u w:val="single"/>
          <w14:textFill>
            <w14:solidFill>
              <w14:schemeClr w14:val="tx1"/>
            </w14:solidFill>
          </w14:textFill>
        </w:rPr>
        <w:t>不含增值税综合单价为物资运至工地的单价包括</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但不限于</w:t>
      </w:r>
      <w:r>
        <w:rPr>
          <w:rFonts w:hint="eastAsia" w:ascii="仿宋_GB2312" w:hAnsi="仿宋_GB2312" w:eastAsia="仿宋_GB2312" w:cs="仿宋_GB2312"/>
          <w:b/>
          <w:bCs/>
          <w:color w:val="000000" w:themeColor="text1"/>
          <w:highlight w:val="none"/>
          <w:u w:val="single"/>
          <w14:textFill>
            <w14:solidFill>
              <w14:schemeClr w14:val="tx1"/>
            </w14:solidFill>
          </w14:textFill>
        </w:rPr>
        <w:t>材料费</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u w:val="single"/>
          <w14:textFill>
            <w14:solidFill>
              <w14:schemeClr w14:val="tx1"/>
            </w14:solidFill>
          </w14:textFill>
        </w:rPr>
        <w:t>通泵洗泵用水（热水）费、卸货前损耗费、用于工程前所需进行的检验试验费、卸货前保管费（如有）、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、码放费、现场倒运费用、保险费、仓储费、驻厂监造费、运输造成的道路污染的清理及维修费用、</w:t>
      </w:r>
      <w:r>
        <w:rPr>
          <w:rFonts w:hint="eastAsia" w:ascii="仿宋_GB2312" w:hAnsi="仿宋_GB2312" w:eastAsia="仿宋_GB2312" w:cs="仿宋_GB2312"/>
          <w:b/>
          <w:bCs/>
          <w:color w:val="000000" w:themeColor="text1"/>
          <w:highlight w:val="none"/>
          <w:u w:val="single"/>
          <w14:textFill>
            <w14:solidFill>
              <w14:schemeClr w14:val="tx1"/>
            </w14:solidFill>
          </w14:textFill>
        </w:rPr>
        <w:t>出库吊装费、运输费、过江过桥费、高速公路费等，含工地卸货费挂钩卸车人工费</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资料费、财务费、机械设备费、生产加工费、电费、水费、场地建设费、场地使用费、环境保护费、人工费、维修费、配合比设计及验证费、安全文明施工费、食宿费、措施费、技术指导服务费、</w:t>
      </w:r>
      <w:r>
        <w:rPr>
          <w:rFonts w:hint="eastAsia" w:ascii="仿宋_GB2312" w:hAnsi="仿宋_GB2312" w:eastAsia="仿宋_GB2312" w:cs="仿宋_GB2312"/>
          <w:b/>
          <w:bCs/>
          <w:color w:val="000000" w:themeColor="text1"/>
          <w:highlight w:val="none"/>
          <w:u w:val="single"/>
          <w14:textFill>
            <w14:solidFill>
              <w14:schemeClr w14:val="tx1"/>
            </w14:solidFill>
          </w14:textFill>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等一切费用</w:t>
      </w:r>
      <w:r>
        <w:rPr>
          <w:rFonts w:hint="eastAsia" w:ascii="仿宋_GB2312" w:hAnsi="仿宋_GB2312" w:eastAsia="仿宋_GB2312" w:cs="仿宋_GB2312"/>
          <w:b/>
          <w:bCs/>
          <w:color w:val="000000" w:themeColor="text1"/>
          <w:highlight w:val="none"/>
          <w:u w:val="single"/>
          <w14:textFill>
            <w14:solidFill>
              <w14:schemeClr w14:val="tx1"/>
            </w14:solidFill>
          </w14:textFill>
        </w:rPr>
        <w:t>，除本合同规定的因素外，不得因政府政策变动、市场环境改变、增值税以外其他税费税率调整等而调整。除合同条款另有约定外，乙方在合同签订前和签订时已确定采用的专利、专有技术、技术秘密的使用费已包含在签约合同价中。</w:t>
      </w:r>
    </w:p>
    <w:p w14:paraId="72C80ADF">
      <w:pPr>
        <w:pStyle w:val="16"/>
        <w:numPr>
          <w:ilvl w:val="255"/>
          <w:numId w:val="0"/>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1.2本合同为组合单价合同；</w:t>
      </w:r>
      <w:r>
        <w:rPr>
          <w:rFonts w:hint="eastAsia" w:ascii="仿宋_GB2312" w:hAnsi="仿宋_GB2312" w:eastAsia="仿宋_GB2312" w:cs="仿宋_GB2312"/>
          <w:color w:val="000000" w:themeColor="text1"/>
          <w:highlight w:val="none"/>
          <w:u w:val="single"/>
          <w14:textFill>
            <w14:solidFill>
              <w14:schemeClr w14:val="tx1"/>
            </w14:solidFill>
          </w14:textFill>
        </w:rPr>
        <w:t>本合同不适用本条款</w:t>
      </w:r>
      <w:r>
        <w:rPr>
          <w:rFonts w:hint="eastAsia" w:ascii="仿宋_GB2312" w:hAnsi="仿宋_GB2312" w:eastAsia="仿宋_GB2312" w:cs="仿宋_GB2312"/>
          <w:color w:val="000000" w:themeColor="text1"/>
          <w:highlight w:val="none"/>
          <w14:textFill>
            <w14:solidFill>
              <w14:schemeClr w14:val="tx1"/>
            </w14:solidFill>
          </w14:textFill>
        </w:rPr>
        <w:t>。</w:t>
      </w:r>
    </w:p>
    <w:p w14:paraId="5EBED3F9">
      <w:pPr>
        <w:pStyle w:val="16"/>
        <w:numPr>
          <w:ilvl w:val="255"/>
          <w:numId w:val="0"/>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1.3本合同为浮动单价合同；</w:t>
      </w:r>
    </w:p>
    <w:p w14:paraId="045FB0B6">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1.3.1结算单价：以</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12" w:edGrp="everyone"/>
      <w:r>
        <w:rPr>
          <w:rFonts w:hint="eastAsia" w:ascii="仿宋_GB2312" w:hAnsi="仿宋_GB2312" w:eastAsia="仿宋_GB2312" w:cs="仿宋_GB2312"/>
          <w:color w:val="000000" w:themeColor="text1"/>
          <w:highlight w:val="none"/>
          <w:u w:val="single"/>
          <w14:textFill>
            <w14:solidFill>
              <w14:schemeClr w14:val="tx1"/>
            </w14:solidFill>
          </w14:textFill>
        </w:rPr>
        <w:t>供货上一期</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市建筑工程信息价》</w:t>
      </w:r>
      <w:permEnd w:id="12"/>
      <w:r>
        <w:rPr>
          <w:rFonts w:hint="eastAsia" w:ascii="仿宋_GB2312" w:hAnsi="仿宋_GB2312" w:eastAsia="仿宋_GB2312" w:cs="仿宋_GB2312"/>
          <w:color w:val="000000" w:themeColor="text1"/>
          <w:highlight w:val="none"/>
          <w14:textFill>
            <w14:solidFill>
              <w14:schemeClr w14:val="tx1"/>
            </w14:solidFill>
          </w14:textFill>
        </w:rPr>
        <w:t>中对应标号混凝土</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1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不含增值税信息价 </w:t>
      </w:r>
      <w:r>
        <w:rPr>
          <w:rFonts w:hint="eastAsia" w:ascii="仿宋_GB2312" w:hAnsi="仿宋_GB2312" w:eastAsia="仿宋_GB2312" w:cs="仿宋_GB2312"/>
          <w:color w:val="000000" w:themeColor="text1"/>
          <w:highlight w:val="none"/>
          <w14:textFill>
            <w14:solidFill>
              <w14:schemeClr w14:val="tx1"/>
            </w14:solidFill>
          </w14:textFill>
        </w:rPr>
        <w:t>下浮</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ermEnd w:id="13"/>
      <w:r>
        <w:rPr>
          <w:rFonts w:hint="eastAsia" w:ascii="仿宋_GB2312" w:hAnsi="仿宋_GB2312" w:eastAsia="仿宋_GB2312" w:cs="仿宋_GB2312"/>
          <w:color w:val="000000" w:themeColor="text1"/>
          <w:highlight w:val="none"/>
          <w14:textFill>
            <w14:solidFill>
              <w14:schemeClr w14:val="tx1"/>
            </w14:solidFill>
          </w14:textFill>
        </w:rPr>
        <w:t>作为结算单价，</w:t>
      </w:r>
      <w:permStart w:id="14" w:edGrp="everyone"/>
      <w:r>
        <w:rPr>
          <w:rFonts w:hint="eastAsia" w:ascii="仿宋_GB2312" w:hAnsi="仿宋_GB2312" w:eastAsia="仿宋_GB2312" w:cs="仿宋_GB2312"/>
          <w:color w:val="000000" w:themeColor="text1"/>
          <w:highlight w:val="none"/>
          <w14:textFill>
            <w14:solidFill>
              <w14:schemeClr w14:val="tx1"/>
            </w14:solidFill>
          </w14:textFill>
        </w:rPr>
        <w:t>下浮后单价</w:t>
      </w:r>
      <w:r>
        <w:rPr>
          <w:rFonts w:hint="eastAsia" w:ascii="仿宋_GB2312" w:hAnsi="仿宋_GB2312" w:eastAsia="仿宋_GB2312" w:cs="仿宋_GB2312"/>
          <w:color w:val="000000" w:themeColor="text1"/>
          <w:highlight w:val="none"/>
          <w:u w:val="single"/>
          <w14:textFill>
            <w14:solidFill>
              <w14:schemeClr w14:val="tx1"/>
            </w14:solidFill>
          </w14:textFill>
        </w:rPr>
        <w:t>含泵送、不含增值税（</w:t>
      </w:r>
      <w:r>
        <w:rPr>
          <w:rFonts w:hint="eastAsia" w:ascii="仿宋_GB2312" w:hAnsi="仿宋_GB2312" w:eastAsia="仿宋_GB2312" w:cs="仿宋_GB2312"/>
          <w:color w:val="000000" w:themeColor="text1"/>
          <w:highlight w:val="none"/>
          <w14:textFill>
            <w14:solidFill>
              <w14:schemeClr w14:val="tx1"/>
            </w14:solidFill>
          </w14:textFill>
        </w:rPr>
        <w:t>税率为</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ermEnd w:id="14"/>
      <w:r>
        <w:rPr>
          <w:rFonts w:hint="eastAsia" w:ascii="仿宋_GB2312" w:hAnsi="仿宋_GB2312" w:eastAsia="仿宋_GB2312" w:cs="仿宋_GB2312"/>
          <w:color w:val="000000" w:themeColor="text1"/>
          <w:highlight w:val="none"/>
          <w14:textFill>
            <w14:solidFill>
              <w14:schemeClr w14:val="tx1"/>
            </w14:solidFill>
          </w14:textFill>
        </w:rPr>
        <w:t>。特殊加价部份是在同标号商品砼基础上加对应的单价。</w:t>
      </w:r>
    </w:p>
    <w:p w14:paraId="674B1CBA">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1.3.2单价包干内容：</w:t>
      </w:r>
      <w:r>
        <w:rPr>
          <w:rFonts w:hint="eastAsia" w:ascii="仿宋_GB2312" w:hAnsi="仿宋_GB2312" w:eastAsia="仿宋_GB2312" w:cs="仿宋_GB2312"/>
          <w:b/>
          <w:bCs/>
          <w:color w:val="000000" w:themeColor="text1"/>
          <w:highlight w:val="none"/>
          <w:u w:val="single"/>
          <w14:textFill>
            <w14:solidFill>
              <w14:schemeClr w14:val="tx1"/>
            </w14:solidFill>
          </w14:textFill>
        </w:rPr>
        <w:t>不含增值税综合单价为物资运至工地的单价包括</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但不限于</w:t>
      </w:r>
      <w:r>
        <w:rPr>
          <w:rFonts w:hint="eastAsia" w:ascii="仿宋_GB2312" w:hAnsi="仿宋_GB2312" w:eastAsia="仿宋_GB2312" w:cs="仿宋_GB2312"/>
          <w:b/>
          <w:bCs/>
          <w:color w:val="000000" w:themeColor="text1"/>
          <w:highlight w:val="none"/>
          <w:u w:val="single"/>
          <w14:textFill>
            <w14:solidFill>
              <w14:schemeClr w14:val="tx1"/>
            </w14:solidFill>
          </w14:textFill>
        </w:rPr>
        <w:t>材料费、泵送费、通泵洗泵用水（热水）费、卸货前损耗费、用于工程前所需进行的检验试验费、卸货前保管费（如有）、、税金、包装费、上车人力及机械资费（由乙方自行协调，甲方只进行指定场地和材料验收工作）、出库费、出厂检测费（包括但不限于到场后的第三方检测费用）</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、码放费、现场倒运费用、保险费、仓储费、驻厂监造费、运输造成的道路污染的清理及维修费用、</w:t>
      </w:r>
      <w:r>
        <w:rPr>
          <w:rFonts w:hint="eastAsia" w:ascii="仿宋_GB2312" w:hAnsi="仿宋_GB2312" w:eastAsia="仿宋_GB2312" w:cs="仿宋_GB2312"/>
          <w:b/>
          <w:bCs/>
          <w:color w:val="000000" w:themeColor="text1"/>
          <w:highlight w:val="none"/>
          <w:u w:val="single"/>
          <w14:textFill>
            <w14:solidFill>
              <w14:schemeClr w14:val="tx1"/>
            </w14:solidFill>
          </w14:textFill>
        </w:rPr>
        <w:t>出库吊装费、运输费、过江过桥费、高速公路费等，含工地卸货费挂钩卸车人工费</w:t>
      </w:r>
      <w:r>
        <w:rPr>
          <w:rFonts w:hint="eastAsia" w:ascii="仿宋_GB2312" w:hAnsi="仿宋_GB2312" w:eastAsia="仿宋_GB2312" w:cs="仿宋_GB2312"/>
          <w:b/>
          <w:bCs/>
          <w:color w:val="000000" w:themeColor="text1"/>
          <w:highlight w:val="none"/>
          <w:u w:val="singl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资料费、财务费、机械设备费、生产加工费、电费、水费、场地建设费、场地使用费、环境保护费、人工费、维修费、配合比设计及验证费、安全文明施工费、食宿费、措施费、</w:t>
      </w:r>
      <w:r>
        <w:rPr>
          <w:rFonts w:hint="eastAsia" w:ascii="仿宋_GB2312" w:hAnsi="仿宋_GB2312" w:eastAsia="仿宋_GB2312" w:cs="仿宋_GB2312"/>
          <w:b/>
          <w:bCs/>
          <w:color w:val="000000" w:themeColor="text1"/>
          <w:highlight w:val="none"/>
          <w:u w:val="single"/>
          <w14:textFill>
            <w14:solidFill>
              <w14:schemeClr w14:val="tx1"/>
            </w14:solidFill>
          </w14:textFill>
        </w:rPr>
        <w:t>乙方合理的利润、管理费、市场价格波动带来的风险、向有关部门缴纳的各项费用以及政策性文件所规定的各项应有费用等乙方履行本合同规定义务的全部价款与费税</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等一切费用</w:t>
      </w:r>
      <w:r>
        <w:rPr>
          <w:rFonts w:hint="eastAsia" w:ascii="仿宋_GB2312" w:hAnsi="仿宋_GB2312" w:eastAsia="仿宋_GB2312" w:cs="仿宋_GB2312"/>
          <w:b/>
          <w:bCs/>
          <w:color w:val="000000" w:themeColor="text1"/>
          <w:highlight w:val="none"/>
          <w:u w:val="single"/>
          <w14:textFill>
            <w14:solidFill>
              <w14:schemeClr w14:val="tx1"/>
            </w14:solidFill>
          </w14:textFill>
        </w:rPr>
        <w:t>，除本合同规定的因素外，不得因政府政策变动、市场环境改变、增值税以外其他税费税率调整等而调整。除合同条款另有约定外，乙方在合同签订前和签订时已确定采用的专利、专有技术、技术秘密的使用费已包含在签约合同价中。</w:t>
      </w:r>
    </w:p>
    <w:p w14:paraId="11E36DF4">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1.4其他：</w:t>
      </w:r>
      <w:permStart w:id="15"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5"/>
      <w:r>
        <w:rPr>
          <w:rFonts w:hint="eastAsia" w:ascii="仿宋_GB2312" w:hAnsi="仿宋_GB2312" w:eastAsia="仿宋_GB2312" w:cs="仿宋_GB2312"/>
          <w:color w:val="000000" w:themeColor="text1"/>
          <w:highlight w:val="none"/>
          <w14:textFill>
            <w14:solidFill>
              <w14:schemeClr w14:val="tx1"/>
            </w14:solidFill>
          </w14:textFill>
        </w:rPr>
        <w:t>。</w:t>
      </w:r>
    </w:p>
    <w:p w14:paraId="3629A4D2">
      <w:pPr>
        <w:pStyle w:val="16"/>
        <w:numPr>
          <w:ilvl w:val="0"/>
          <w:numId w:val="2"/>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 xml:space="preserve">合同工程量： </w:t>
      </w:r>
    </w:p>
    <w:p w14:paraId="623FD18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2.1本合同中约定货物工程量为暂定数量；甲乙双方最终结算数量以甲方最终签收的实际数量，并依据合同约定扣除不合格产品、损失等费用后的书面结算数额为准，</w:t>
      </w:r>
      <w:r>
        <w:rPr>
          <w:rFonts w:hint="eastAsia" w:ascii="仿宋_GB2312" w:hAnsi="仿宋_GB2312" w:eastAsia="仿宋_GB2312" w:cs="仿宋_GB2312"/>
          <w:b/>
          <w:bCs/>
          <w:color w:val="000000" w:themeColor="text1"/>
          <w:highlight w:val="none"/>
          <w14:textFill>
            <w14:solidFill>
              <w14:schemeClr w14:val="tx1"/>
            </w14:solidFill>
          </w14:textFill>
        </w:rPr>
        <w:t>乙方不得以合同暂定数量或合同暂定总金额为依据要求甲方支付任何款项，否则按合同所约定的第二部分第二条违约条款承担违约责任</w:t>
      </w:r>
      <w:r>
        <w:rPr>
          <w:rFonts w:hint="eastAsia" w:ascii="仿宋_GB2312" w:hAnsi="仿宋_GB2312" w:eastAsia="仿宋_GB2312" w:cs="仿宋_GB2312"/>
          <w:color w:val="000000" w:themeColor="text1"/>
          <w:highlight w:val="none"/>
          <w14:textFill>
            <w14:solidFill>
              <w14:schemeClr w14:val="tx1"/>
            </w14:solidFill>
          </w14:textFill>
        </w:rPr>
        <w:t>。</w:t>
      </w:r>
    </w:p>
    <w:p w14:paraId="745EE9EC">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7" w:name="_Toc16980"/>
      <w:r>
        <w:rPr>
          <w:rFonts w:hint="eastAsia" w:ascii="仿宋_GB2312" w:hAnsi="仿宋_GB2312" w:eastAsia="仿宋_GB2312" w:cs="仿宋_GB2312"/>
          <w:b/>
          <w:bCs/>
          <w:color w:val="000000" w:themeColor="text1"/>
          <w:highlight w:val="none"/>
          <w14:textFill>
            <w14:solidFill>
              <w14:schemeClr w14:val="tx1"/>
            </w14:solidFill>
          </w14:textFill>
        </w:rPr>
        <w:t>货物供应</w:t>
      </w:r>
      <w:bookmarkEnd w:id="7"/>
    </w:p>
    <w:p w14:paraId="56C4239F">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1、交货方式：</w:t>
      </w:r>
      <w:r>
        <w:rPr>
          <w:rFonts w:hint="eastAsia" w:ascii="仿宋_GB2312" w:hAnsi="仿宋_GB2312" w:eastAsia="仿宋_GB2312" w:cs="仿宋_GB2312"/>
          <w:color w:val="000000" w:themeColor="text1"/>
          <w:highlight w:val="none"/>
          <w14:textFill>
            <w14:solidFill>
              <w14:schemeClr w14:val="tx1"/>
            </w14:solidFill>
          </w14:textFill>
        </w:rPr>
        <w:t>双方协商一致，执行第</w:t>
      </w:r>
      <w:permStart w:id="1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1.1 </w:t>
      </w:r>
      <w:permEnd w:id="16"/>
      <w:r>
        <w:rPr>
          <w:rFonts w:hint="eastAsia" w:ascii="仿宋_GB2312" w:hAnsi="仿宋_GB2312" w:eastAsia="仿宋_GB2312" w:cs="仿宋_GB2312"/>
          <w:color w:val="000000" w:themeColor="text1"/>
          <w:highlight w:val="none"/>
          <w14:textFill>
            <w14:solidFill>
              <w14:schemeClr w14:val="tx1"/>
            </w14:solidFill>
          </w14:textFill>
        </w:rPr>
        <w:t>种交货方式；</w:t>
      </w:r>
    </w:p>
    <w:p w14:paraId="386227E2">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1.1送货卸车：</w:t>
      </w:r>
      <w:r>
        <w:rPr>
          <w:rFonts w:hint="eastAsia" w:ascii="仿宋_GB2312" w:hAnsi="仿宋_GB2312" w:eastAsia="仿宋_GB2312" w:cs="仿宋_GB2312"/>
          <w:color w:val="000000" w:themeColor="text1"/>
          <w:highlight w:val="none"/>
          <w14:textFill>
            <w14:solidFill>
              <w14:schemeClr w14:val="tx1"/>
            </w14:solidFill>
          </w14:textFill>
        </w:rPr>
        <w:t>乙方送货至甲方指定地点；合同综合单价已含卸车费用，卸车工作由乙方负责，若由甲方负责卸车，发生的相应费用结算款中扣除。</w:t>
      </w:r>
    </w:p>
    <w:p w14:paraId="1BA61046">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1.2送货不卸车：</w:t>
      </w:r>
      <w:r>
        <w:rPr>
          <w:rFonts w:hint="eastAsia" w:ascii="仿宋_GB2312" w:hAnsi="仿宋_GB2312" w:eastAsia="仿宋_GB2312" w:cs="仿宋_GB2312"/>
          <w:color w:val="000000" w:themeColor="text1"/>
          <w:highlight w:val="none"/>
          <w14:textFill>
            <w14:solidFill>
              <w14:schemeClr w14:val="tx1"/>
            </w14:solidFill>
          </w14:textFill>
        </w:rPr>
        <w:t>合同综合单价不含卸车费用，卸车工作由甲方组织。</w:t>
      </w:r>
    </w:p>
    <w:p w14:paraId="68E6B328">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2、交货时间：</w:t>
      </w:r>
      <w:r>
        <w:rPr>
          <w:rFonts w:hint="eastAsia" w:ascii="仿宋_GB2312" w:hAnsi="仿宋_GB2312" w:eastAsia="仿宋_GB2312" w:cs="仿宋_GB2312"/>
          <w:color w:val="000000" w:themeColor="text1"/>
          <w:highlight w:val="none"/>
          <w14:textFill>
            <w14:solidFill>
              <w14:schemeClr w14:val="tx1"/>
            </w14:solidFill>
          </w14:textFill>
        </w:rPr>
        <w:t>甲方施工现场材料负责人提前</w:t>
      </w:r>
      <w:permStart w:id="1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1 </w:t>
      </w:r>
      <w:permEnd w:id="17"/>
      <w:r>
        <w:rPr>
          <w:rFonts w:hint="eastAsia" w:ascii="仿宋_GB2312" w:hAnsi="仿宋_GB2312" w:eastAsia="仿宋_GB2312" w:cs="仿宋_GB2312"/>
          <w:color w:val="000000" w:themeColor="text1"/>
          <w:highlight w:val="none"/>
          <w14:textFill>
            <w14:solidFill>
              <w14:schemeClr w14:val="tx1"/>
            </w14:solidFill>
          </w14:textFill>
        </w:rPr>
        <w:t>天向乙方提供每批次的需用计划（云筑网订单、计划联系函、电子邮件等），乙方根据甲方所提供的需用计划及时将货物配送至甲方指定堆场。</w:t>
      </w:r>
      <w:r>
        <w:rPr>
          <w:rFonts w:hint="eastAsia" w:ascii="仿宋_GB2312" w:hAnsi="仿宋_GB2312" w:eastAsia="仿宋_GB2312" w:cs="仿宋_GB2312"/>
          <w:b/>
          <w:bCs/>
          <w:color w:val="000000" w:themeColor="text1"/>
          <w:highlight w:val="none"/>
          <w14:textFill>
            <w14:solidFill>
              <w14:schemeClr w14:val="tx1"/>
            </w14:solidFill>
          </w14:textFill>
        </w:rPr>
        <w:t>乙方延期供货次数不超过2次，否则乙方按照第二部分第二条违约条款承担相应违约责任。乙方不得因甲方更改需用计划及要求乙方延期交货而向甲方提出索赔。根据工程项目施工需要，甲方对所采购物资的数量和送货时间如有变更，及时书面通知乙方，乙方按变更后的数量和送货时间供货，新增或减少的物资价格不变。</w:t>
      </w:r>
      <w:r>
        <w:rPr>
          <w:rFonts w:hint="eastAsia" w:ascii="仿宋_GB2312" w:hAnsi="仿宋_GB2312" w:eastAsia="仿宋_GB2312" w:cs="仿宋_GB2312"/>
          <w:color w:val="000000" w:themeColor="text1"/>
          <w:highlight w:val="none"/>
          <w14:textFill>
            <w14:solidFill>
              <w14:schemeClr w14:val="tx1"/>
            </w14:solidFill>
          </w14:textFill>
        </w:rPr>
        <w:t>乙方承诺供应甲方零星混凝土，满足现场生产建设需求。乙方保证混凝土连续浇筑，间隔时间不能超过</w:t>
      </w:r>
      <w:permStart w:id="1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8"/>
      <w:r>
        <w:rPr>
          <w:rFonts w:hint="eastAsia" w:ascii="仿宋_GB2312" w:hAnsi="仿宋_GB2312" w:eastAsia="仿宋_GB2312" w:cs="仿宋_GB2312"/>
          <w:color w:val="000000" w:themeColor="text1"/>
          <w:highlight w:val="none"/>
          <w14:textFill>
            <w14:solidFill>
              <w14:schemeClr w14:val="tx1"/>
            </w14:solidFill>
          </w14:textFill>
        </w:rPr>
        <w:t>小时。如因乙方原因造成混凝土冷缝等质量问题，乙方承担由此导致的拆除、返工、修复及业主处罚损失等相关费用。</w:t>
      </w:r>
    </w:p>
    <w:p w14:paraId="0919360F">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3、乙方实际货物生产地点：</w:t>
      </w:r>
      <w:permStart w:id="19"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permEnd w:id="19"/>
      <w:r>
        <w:rPr>
          <w:rFonts w:hint="eastAsia" w:ascii="仿宋_GB2312" w:hAnsi="仿宋_GB2312" w:eastAsia="仿宋_GB2312" w:cs="仿宋_GB2312"/>
          <w:b/>
          <w:bCs/>
          <w:color w:val="000000" w:themeColor="text1"/>
          <w:highlight w:val="none"/>
          <w14:textFill>
            <w14:solidFill>
              <w14:schemeClr w14:val="tx1"/>
            </w14:solidFill>
          </w14:textFill>
        </w:rPr>
        <w:t>货物送达地点：</w:t>
      </w:r>
      <w:permStart w:id="20"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辽宁省本溪市平山区千金街道福金社区项目部指定地点</w:t>
      </w:r>
      <w:permEnd w:id="20"/>
      <w:r>
        <w:rPr>
          <w:rFonts w:hint="eastAsia" w:ascii="仿宋_GB2312" w:hAnsi="仿宋_GB2312" w:eastAsia="仿宋_GB2312" w:cs="仿宋_GB2312"/>
          <w:b/>
          <w:bCs/>
          <w:color w:val="000000" w:themeColor="text1"/>
          <w:highlight w:val="none"/>
          <w14:textFill>
            <w14:solidFill>
              <w14:schemeClr w14:val="tx1"/>
            </w14:solidFill>
          </w14:textFill>
        </w:rPr>
        <w:t>。</w:t>
      </w:r>
    </w:p>
    <w:p w14:paraId="2DBBC337">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4、交货内容：</w:t>
      </w:r>
      <w:r>
        <w:rPr>
          <w:rFonts w:hint="eastAsia" w:ascii="仿宋_GB2312" w:hAnsi="仿宋_GB2312" w:eastAsia="仿宋_GB2312" w:cs="仿宋_GB2312"/>
          <w:color w:val="000000" w:themeColor="text1"/>
          <w:highlight w:val="none"/>
          <w14:textFill>
            <w14:solidFill>
              <w14:schemeClr w14:val="tx1"/>
            </w14:solidFill>
          </w14:textFill>
        </w:rPr>
        <w:t>交货产品、配套产品及配套服务如下；</w:t>
      </w:r>
      <w:permStart w:id="2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21"/>
      <w:r>
        <w:rPr>
          <w:rFonts w:hint="eastAsia" w:ascii="仿宋_GB2312" w:hAnsi="仿宋_GB2312" w:eastAsia="仿宋_GB2312" w:cs="仿宋_GB2312"/>
          <w:color w:val="000000" w:themeColor="text1"/>
          <w:highlight w:val="none"/>
          <w14:textFill>
            <w14:solidFill>
              <w14:schemeClr w14:val="tx1"/>
            </w14:solidFill>
          </w14:textFill>
        </w:rPr>
        <w:t>。</w:t>
      </w:r>
    </w:p>
    <w:p w14:paraId="6127370B">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5、双方代表：</w:t>
      </w:r>
    </w:p>
    <w:p w14:paraId="7C92CB92">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甲方指定收货联系人：</w:t>
      </w:r>
      <w:permStart w:id="22" w:edGrp="everyone"/>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王佳乐</w:t>
      </w:r>
      <w:permEnd w:id="22"/>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permStart w:id="23" w:edGrp="everyone"/>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13752012381</w:t>
      </w:r>
      <w:permEnd w:id="2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permStart w:id="24" w:edGrp="everyone"/>
      <w:r>
        <w:rPr>
          <w:rFonts w:hint="eastAsia" w:ascii="仿宋_GB2312" w:hAnsi="仿宋_GB2312" w:eastAsia="仿宋_GB2312" w:cs="仿宋_GB2312"/>
          <w:color w:val="000000" w:themeColor="text1"/>
          <w:kern w:val="0"/>
          <w:sz w:val="24"/>
          <w:szCs w:val="24"/>
          <w:highlight w:val="none"/>
          <w:u w:val="single"/>
          <w:lang w:val="en-US" w:eastAsia="zh-CN"/>
          <w14:textFill>
            <w14:solidFill>
              <w14:schemeClr w14:val="tx1"/>
            </w14:solidFill>
          </w14:textFill>
        </w:rPr>
        <w:t>1458594007@qq.com</w:t>
      </w:r>
      <w:permEnd w:id="24"/>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14:paraId="0C3EA0D1">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乙方指定发货联系人：</w:t>
      </w:r>
      <w:permStart w:id="25"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 xml:space="preserve">     </w:t>
      </w:r>
      <w:permEnd w:id="25"/>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，电话：</w:t>
      </w:r>
      <w:permStart w:id="26"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26"/>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，电子邮箱：</w:t>
      </w:r>
      <w:permStart w:id="2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27"/>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p>
    <w:p w14:paraId="581728F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8" w:name="_Hlk126833838"/>
      <w:r>
        <w:rPr>
          <w:rFonts w:hint="eastAsia" w:ascii="仿宋_GB2312" w:hAnsi="仿宋_GB2312" w:eastAsia="仿宋_GB2312" w:cs="仿宋_GB2312"/>
          <w:color w:val="000000" w:themeColor="text1"/>
          <w:highlight w:val="none"/>
          <w14:textFill>
            <w14:solidFill>
              <w14:schemeClr w14:val="tx1"/>
            </w14:solidFill>
          </w14:textFill>
        </w:rPr>
        <w:t>合同双方更换代表时应及时书面通知对方，保证货物交接顺利。</w:t>
      </w:r>
      <w:r>
        <w:rPr>
          <w:rFonts w:hint="eastAsia" w:ascii="仿宋_GB2312" w:hAnsi="仿宋_GB2312" w:eastAsia="仿宋_GB2312" w:cs="仿宋_GB2312"/>
          <w:b/>
          <w:bCs/>
          <w:color w:val="000000" w:themeColor="text1"/>
          <w:highlight w:val="none"/>
          <w14:textFill>
            <w14:solidFill>
              <w14:schemeClr w14:val="tx1"/>
            </w14:solidFill>
          </w14:textFill>
        </w:rPr>
        <w:t>甲方已明确要求与指定发货联系人交接，若乙方实际发货为非指定联系人，视为乙方对实际发货人授权委托，当批次供货完成后7个工作日内乙方应为该实际发货人向甲方补充出具书面授权委托书，并承担本合同项下的义务和责任。</w:t>
      </w:r>
      <w:r>
        <w:rPr>
          <w:rFonts w:hint="eastAsia" w:ascii="仿宋_GB2312" w:hAnsi="仿宋_GB2312" w:eastAsia="仿宋_GB2312" w:cs="仿宋_GB2312"/>
          <w:color w:val="000000" w:themeColor="text1"/>
          <w:highlight w:val="none"/>
          <w14:textFill>
            <w14:solidFill>
              <w14:schemeClr w14:val="tx1"/>
            </w14:solidFill>
          </w14:textFill>
        </w:rPr>
        <w:t>为避免货物供应争议，甲方保留拒绝乙方非指定联系人供货的权利，由此产生的费用由乙方承担。甲乙双方授权内容详见附件一、附件二</w:t>
      </w:r>
      <w:bookmarkEnd w:id="8"/>
      <w:r>
        <w:rPr>
          <w:rFonts w:hint="eastAsia" w:ascii="仿宋_GB2312" w:hAnsi="仿宋_GB2312" w:eastAsia="仿宋_GB2312" w:cs="仿宋_GB2312"/>
          <w:color w:val="000000" w:themeColor="text1"/>
          <w:highlight w:val="none"/>
          <w14:textFill>
            <w14:solidFill>
              <w14:schemeClr w14:val="tx1"/>
            </w14:solidFill>
          </w14:textFill>
        </w:rPr>
        <w:t>。</w:t>
      </w:r>
    </w:p>
    <w:p w14:paraId="787122D2">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6、运输要求：</w:t>
      </w:r>
    </w:p>
    <w:p w14:paraId="3ABE9A4D">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6.1乙方须组织专用的运输工具将货物运至甲方指定的地点（工程所在地或甲方指定的其他地点），并应当和甲方共同协商，合理安排送货路线、停车地点。</w:t>
      </w:r>
    </w:p>
    <w:p w14:paraId="08F3CFFE">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6</w:t>
      </w:r>
      <w:r>
        <w:rPr>
          <w:rFonts w:ascii="仿宋_GB2312" w:hAnsi="仿宋_GB2312" w:eastAsia="仿宋_GB2312" w:cs="仿宋_GB2312"/>
          <w:color w:val="000000" w:themeColor="text1"/>
          <w:highlight w:val="none"/>
          <w14:textFill>
            <w14:solidFill>
              <w14:schemeClr w14:val="tx1"/>
            </w14:solidFill>
          </w14:textFill>
        </w:rPr>
        <w:t>.2</w:t>
      </w:r>
      <w:r>
        <w:rPr>
          <w:rFonts w:hint="eastAsia" w:ascii="仿宋_GB2312" w:hAnsi="仿宋_GB2312" w:eastAsia="仿宋_GB2312" w:cs="仿宋_GB2312"/>
          <w:color w:val="000000" w:themeColor="text1"/>
          <w:highlight w:val="none"/>
          <w14:textFill>
            <w14:solidFill>
              <w14:schemeClr w14:val="tx1"/>
            </w14:solidFill>
          </w14:textFill>
        </w:rPr>
        <w:t>运送过程中，运送车辆应保持产品拌和物的均匀性、和易性，不得产生离析、分层、泌水现象，否则将给予退回。</w:t>
      </w:r>
    </w:p>
    <w:p w14:paraId="2464C62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6</w:t>
      </w:r>
      <w:r>
        <w:rPr>
          <w:rFonts w:ascii="仿宋_GB2312" w:hAnsi="仿宋_GB2312" w:eastAsia="仿宋_GB2312" w:cs="仿宋_GB2312"/>
          <w:color w:val="000000" w:themeColor="text1"/>
          <w:highlight w:val="none"/>
          <w14:textFill>
            <w14:solidFill>
              <w14:schemeClr w14:val="tx1"/>
            </w14:solidFill>
          </w14:textFill>
        </w:rPr>
        <w:t>.3</w:t>
      </w:r>
      <w:r>
        <w:rPr>
          <w:rFonts w:hint="eastAsia" w:ascii="仿宋_GB2312" w:hAnsi="仿宋_GB2312" w:eastAsia="仿宋_GB2312" w:cs="仿宋_GB2312"/>
          <w:color w:val="000000" w:themeColor="text1"/>
          <w:highlight w:val="none"/>
          <w14:textFill>
            <w14:solidFill>
              <w14:schemeClr w14:val="tx1"/>
            </w14:solidFill>
          </w14:textFill>
        </w:rPr>
        <w:t>产品从搅拌站到工地的运输计划要考虑到从产品搅拌开始到运送到工地的时间、工地的输送设备、气候条件等。车辆调度计划应考虑到浇筑场所运输和停留时间。产品从搅拌站卸出后到浇筑完毕的延续时间不得超过</w:t>
      </w:r>
      <w:permStart w:id="28" w:edGrp="everyone"/>
      <w:r>
        <w:rPr>
          <w:rFonts w:hint="eastAsia" w:ascii="仿宋_GB2312" w:hAnsi="仿宋_GB2312" w:eastAsia="仿宋_GB2312" w:cs="仿宋_GB2312"/>
          <w:color w:val="000000" w:themeColor="text1"/>
          <w:highlight w:val="none"/>
          <w14:textFill>
            <w14:solidFill>
              <w14:schemeClr w14:val="tx1"/>
            </w14:solidFill>
          </w14:textFill>
        </w:rPr>
        <w:t>180</w:t>
      </w:r>
      <w:permEnd w:id="28"/>
      <w:r>
        <w:rPr>
          <w:rFonts w:hint="eastAsia" w:ascii="仿宋_GB2312" w:hAnsi="仿宋_GB2312" w:eastAsia="仿宋_GB2312" w:cs="仿宋_GB2312"/>
          <w:color w:val="000000" w:themeColor="text1"/>
          <w:highlight w:val="none"/>
          <w14:textFill>
            <w14:solidFill>
              <w14:schemeClr w14:val="tx1"/>
            </w14:solidFill>
          </w14:textFill>
        </w:rPr>
        <w:t>分钟，超过</w:t>
      </w:r>
      <w:permStart w:id="29" w:edGrp="everyone"/>
      <w:r>
        <w:rPr>
          <w:rFonts w:hint="eastAsia" w:ascii="仿宋_GB2312" w:hAnsi="仿宋_GB2312" w:eastAsia="仿宋_GB2312" w:cs="仿宋_GB2312"/>
          <w:color w:val="000000" w:themeColor="text1"/>
          <w:highlight w:val="none"/>
          <w14:textFill>
            <w14:solidFill>
              <w14:schemeClr w14:val="tx1"/>
            </w14:solidFill>
          </w14:textFill>
        </w:rPr>
        <w:t>180</w:t>
      </w:r>
      <w:permEnd w:id="29"/>
      <w:r>
        <w:rPr>
          <w:rFonts w:hint="eastAsia" w:ascii="仿宋_GB2312" w:hAnsi="仿宋_GB2312" w:eastAsia="仿宋_GB2312" w:cs="仿宋_GB2312"/>
          <w:color w:val="000000" w:themeColor="text1"/>
          <w:highlight w:val="none"/>
          <w14:textFill>
            <w14:solidFill>
              <w14:schemeClr w14:val="tx1"/>
            </w14:solidFill>
          </w14:textFill>
        </w:rPr>
        <w:t>分钟后不得使用，因</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方原因所造成损失由</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方承担。</w:t>
      </w:r>
    </w:p>
    <w:p w14:paraId="6EA15A54">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6</w:t>
      </w: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运输产品的容器和管道在冬季应有保温措施，夏季气温超过35℃时，应有隔热措施。</w:t>
      </w:r>
    </w:p>
    <w:p w14:paraId="378F54FB">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6.5</w:t>
      </w:r>
      <w:r>
        <w:rPr>
          <w:rFonts w:hint="eastAsia" w:ascii="仿宋_GB2312" w:hAnsi="仿宋_GB2312" w:eastAsia="仿宋_GB2312" w:cs="仿宋_GB2312"/>
          <w:color w:val="000000" w:themeColor="text1"/>
          <w:highlight w:val="none"/>
          <w14:textFill>
            <w14:solidFill>
              <w14:schemeClr w14:val="tx1"/>
            </w14:solidFill>
          </w14:textFill>
        </w:rPr>
        <w:t>不论何时何地均严禁加水，即：</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方司机及其他人员在运送产品过程中严禁加水，并且还应拒绝</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方操作人员可能因工作不便而自行加水，并且及时将情况报</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方工地负责人。</w:t>
      </w:r>
    </w:p>
    <w:p w14:paraId="33891D73">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6.6</w:t>
      </w:r>
      <w:r>
        <w:rPr>
          <w:rFonts w:hint="eastAsia" w:ascii="仿宋_GB2312" w:hAnsi="仿宋_GB2312" w:eastAsia="仿宋_GB2312" w:cs="仿宋_GB2312"/>
          <w:color w:val="000000" w:themeColor="text1"/>
          <w:highlight w:val="none"/>
          <w14:textFill>
            <w14:solidFill>
              <w14:schemeClr w14:val="tx1"/>
            </w14:solidFill>
          </w14:textFill>
        </w:rPr>
        <w:t>搅拌站与现场必须保持密切联系，现场必须派驻一名调度员和一名质量员，随时根据浇注进度及道路情况调整车辆密度，并根据实际情况适时调整运输车辆数量，确保现场混凝土浇注连续进行。因交通禁行时段无法连续浇筑时，</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方应采取技术措施或其它保证措施予以保障。</w:t>
      </w:r>
    </w:p>
    <w:p w14:paraId="635D7B1A">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6</w:t>
      </w:r>
      <w:r>
        <w:rPr>
          <w:rFonts w:ascii="仿宋_GB2312" w:hAnsi="仿宋_GB2312" w:eastAsia="仿宋_GB2312" w:cs="仿宋_GB2312"/>
          <w:color w:val="000000" w:themeColor="text1"/>
          <w:highlight w:val="none"/>
          <w14:textFill>
            <w14:solidFill>
              <w14:schemeClr w14:val="tx1"/>
            </w14:solidFill>
          </w14:textFill>
        </w:rPr>
        <w:t>.7</w:t>
      </w:r>
      <w:r>
        <w:rPr>
          <w:rFonts w:hint="eastAsia" w:ascii="仿宋_GB2312" w:hAnsi="仿宋_GB2312" w:eastAsia="仿宋_GB2312" w:cs="仿宋_GB2312"/>
          <w:color w:val="000000" w:themeColor="text1"/>
          <w:highlight w:val="none"/>
          <w14:textFill>
            <w14:solidFill>
              <w14:schemeClr w14:val="tx1"/>
            </w14:solidFill>
          </w14:textFill>
        </w:rPr>
        <w:t>供货速度必须满足现场要求，大体积混凝土需连续浇注，混凝土运输罐车到达率必须满足买方提出的要求，满足</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方浇筑混凝土的速度要求。</w:t>
      </w:r>
    </w:p>
    <w:p w14:paraId="0C146FCB">
      <w:pPr>
        <w:pStyle w:val="16"/>
        <w:spacing w:line="400" w:lineRule="atLeast"/>
        <w:ind w:firstLine="480"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6.</w:t>
      </w:r>
      <w:r>
        <w:rPr>
          <w:rFonts w:ascii="仿宋_GB2312" w:hAnsi="仿宋_GB2312" w:eastAsia="仿宋_GB2312" w:cs="仿宋_GB2312"/>
          <w:color w:val="000000" w:themeColor="text1"/>
          <w:highlight w:val="none"/>
          <w14:textFill>
            <w14:solidFill>
              <w14:schemeClr w14:val="tx1"/>
            </w14:solidFill>
          </w14:textFill>
        </w:rPr>
        <w:t>8</w:t>
      </w:r>
      <w:r>
        <w:rPr>
          <w:rFonts w:hint="eastAsia" w:ascii="仿宋_GB2312" w:hAnsi="仿宋_GB2312" w:eastAsia="仿宋_GB2312" w:cs="仿宋_GB2312"/>
          <w:color w:val="000000" w:themeColor="text1"/>
          <w:highlight w:val="none"/>
          <w14:textFill>
            <w14:solidFill>
              <w14:schemeClr w14:val="tx1"/>
            </w14:solidFill>
          </w14:textFill>
        </w:rPr>
        <w:t>其他注意事项</w:t>
      </w:r>
      <w:r>
        <w:rPr>
          <w:rFonts w:hint="eastAsia" w:ascii="仿宋_GB2312" w:hAnsi="仿宋_GB2312" w:eastAsia="仿宋_GB2312" w:cs="仿宋_GB2312"/>
          <w:b/>
          <w:bCs/>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14:textFill>
            <w14:solidFill>
              <w14:schemeClr w14:val="tx1"/>
            </w14:solidFill>
          </w14:textFill>
        </w:rPr>
        <w:t>乙方应自行勘察现场，熟悉施工现场位置和周围环境，货物运输过程中，要遵守工程所在地政府、建设单位及甲方有关道路交通、环保卫生等方面的规定。乙方负责与政府有关管理部门协调沟通，保障车辆在工程所在区域顺利通行至施工现场，并承担因违反有关规定造成的一切责任和经济损失，乙方保证甲方免予承担由此造成的任何法律责任，若甲方因此遭受到任何责任或损失，乙方需赔偿给甲方。</w:t>
      </w:r>
      <w:r>
        <w:rPr>
          <w:rFonts w:hint="eastAsia" w:ascii="仿宋_GB2312" w:hAnsi="仿宋_GB2312" w:eastAsia="仿宋_GB2312" w:cs="仿宋_GB2312"/>
          <w:b/>
          <w:bCs/>
          <w:color w:val="000000" w:themeColor="text1"/>
          <w:highlight w:val="none"/>
          <w14:textFill>
            <w14:solidFill>
              <w14:schemeClr w14:val="tx1"/>
            </w14:solidFill>
          </w14:textFill>
        </w:rPr>
        <w:t>乙方无法按甲方要求将产品送到指定地点卸货的，甲方有权不予验收，由此给甲方造成的损失由乙方承担。</w:t>
      </w:r>
    </w:p>
    <w:p w14:paraId="4E12437C">
      <w:pPr>
        <w:pStyle w:val="16"/>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6.9货物的装车、运输、车辆返回全过程出现的安全事故或其它任何意外均由乙方承担责任。装车和运输途中的物资品质发生变化或丢失由乙方负责，由此造成的损失由乙方承担。</w:t>
      </w:r>
    </w:p>
    <w:p w14:paraId="560180EE">
      <w:pPr>
        <w:pStyle w:val="16"/>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6.10乙方应对运输人员进行安全管理和安全教育，运输人员遵守交通法规。</w:t>
      </w:r>
    </w:p>
    <w:p w14:paraId="1FA8AE45">
      <w:pPr>
        <w:pStyle w:val="16"/>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应当给负责运送货物的车辆办理交强险及商业保险。如因运载车辆事故、卸货等</w:t>
      </w:r>
    </w:p>
    <w:p w14:paraId="71724276">
      <w:pPr>
        <w:pStyle w:val="16"/>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原因导致的乙方及任何第三方的人身伤害及经济损失均由乙方负责，并补偿甲方</w:t>
      </w:r>
    </w:p>
    <w:p w14:paraId="11C77F1D">
      <w:pPr>
        <w:pStyle w:val="16"/>
        <w:spacing w:line="400" w:lineRule="atLeast"/>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及其他方因此造成的损失。</w:t>
      </w:r>
    </w:p>
    <w:p w14:paraId="10E6E9BD">
      <w:pPr>
        <w:pStyle w:val="16"/>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6.11乙方必须保证运输人员不得阻止现场验收人员进行质量检验，不得阻止到达甲方指定地点的运输车辆过磅，卸料时必须服从甲方现场管理人员的安排和指挥。不合格的物资必须在规定时间内无条件运走调换，否则按废弃物处理，损失由乙方承担。</w:t>
      </w:r>
    </w:p>
    <w:p w14:paraId="496ECDEC">
      <w:pPr>
        <w:pStyle w:val="16"/>
        <w:spacing w:line="400" w:lineRule="atLeast"/>
        <w:ind w:firstLine="480" w:firstLineChars="200"/>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6.12乙方不得利用遥控等科技手段控制磅秤增加物资重量，不得进行任何形式的弄虚作假行为。一经发现，甲方将按发现作弊或弄虚作假数量占本批次运输物资百分比扣除发现作弊日前物资进场总数量对应的货款，并交由公安机关处理。</w:t>
      </w:r>
    </w:p>
    <w:p w14:paraId="224013A8">
      <w:pPr>
        <w:pStyle w:val="16"/>
        <w:spacing w:line="400" w:lineRule="atLeast"/>
        <w:ind w:firstLine="480" w:firstLineChars="200"/>
        <w:rPr>
          <w:rFonts w:hint="eastAsia" w:ascii="仿宋_GB2312" w:hAnsi="仿宋_GB2312" w:eastAsia="仿宋_GB2312" w:cs="仿宋_GB2312"/>
          <w:b w:val="0"/>
          <w:bCs w:val="0"/>
          <w:color w:val="000000" w:themeColor="text1"/>
          <w:highlight w:val="none"/>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6.13</w:t>
      </w:r>
      <w:r>
        <w:rPr>
          <w:rFonts w:hint="eastAsia" w:ascii="仿宋_GB2312" w:hAnsi="仿宋_GB2312" w:eastAsia="仿宋_GB2312" w:cs="仿宋_GB2312"/>
          <w:b w:val="0"/>
          <w:bCs w:val="0"/>
          <w:color w:val="000000" w:themeColor="text1"/>
          <w:highlight w:val="none"/>
          <w14:textFill>
            <w14:solidFill>
              <w14:schemeClr w14:val="tx1"/>
            </w14:solidFill>
          </w14:textFill>
        </w:rPr>
        <w:t>乙方保证在运输和卸货过程中应采取相应的环保措施，符合国家环保要求。车辆在进入项目现场要保证不沾泥土和脏物，车辆出入项目现场必须在项目大门内现场洗车。乙方在卸货过程中保证噪声白天小于或等于</w:t>
      </w:r>
      <w:r>
        <w:rPr>
          <w:rFonts w:hint="eastAsia" w:ascii="仿宋_GB2312" w:hAnsi="仿宋_GB2312" w:eastAsia="仿宋_GB2312" w:cs="仿宋_GB2312"/>
          <w:color w:val="000000" w:themeColor="text1"/>
          <w:kern w:val="0"/>
          <w:sz w:val="24"/>
          <w:szCs w:val="24"/>
          <w:highlight w:val="none"/>
          <w:u w:val="none"/>
          <w:lang w:val="en-US" w:eastAsia="zh-CN"/>
          <w14:textFill>
            <w14:solidFill>
              <w14:schemeClr w14:val="tx1"/>
            </w14:solidFill>
          </w14:textFill>
        </w:rPr>
        <w:t>85</w:t>
      </w:r>
      <w:r>
        <w:rPr>
          <w:rFonts w:hint="eastAsia" w:ascii="仿宋_GB2312" w:hAnsi="仿宋_GB2312" w:eastAsia="仿宋_GB2312" w:cs="仿宋_GB2312"/>
          <w:b w:val="0"/>
          <w:bCs w:val="0"/>
          <w:color w:val="000000" w:themeColor="text1"/>
          <w:highlight w:val="none"/>
          <w14:textFill>
            <w14:solidFill>
              <w14:schemeClr w14:val="tx1"/>
            </w14:solidFill>
          </w14:textFill>
        </w:rPr>
        <w:t>dB、夜间小于或等于</w:t>
      </w:r>
      <w:r>
        <w:rPr>
          <w:rFonts w:hint="eastAsia" w:ascii="仿宋_GB2312" w:hAnsi="仿宋_GB2312" w:eastAsia="仿宋_GB2312" w:cs="仿宋_GB2312"/>
          <w:color w:val="000000" w:themeColor="text1"/>
          <w:kern w:val="0"/>
          <w:sz w:val="24"/>
          <w:szCs w:val="24"/>
          <w:highlight w:val="none"/>
          <w:u w:val="none"/>
          <w:lang w:val="en-US" w:eastAsia="zh-CN"/>
          <w14:textFill>
            <w14:solidFill>
              <w14:schemeClr w14:val="tx1"/>
            </w14:solidFill>
          </w14:textFill>
        </w:rPr>
        <w:t>55</w:t>
      </w:r>
      <w:r>
        <w:rPr>
          <w:rFonts w:hint="eastAsia" w:ascii="仿宋_GB2312" w:hAnsi="仿宋_GB2312" w:eastAsia="仿宋_GB2312" w:cs="仿宋_GB2312"/>
          <w:b w:val="0"/>
          <w:bCs w:val="0"/>
          <w:color w:val="000000" w:themeColor="text1"/>
          <w:highlight w:val="none"/>
          <w14:textFill>
            <w14:solidFill>
              <w14:schemeClr w14:val="tx1"/>
            </w14:solidFill>
          </w14:textFill>
        </w:rPr>
        <w:t>dB。乙方保证乙方人员以及车辆进入本工地现场，应遵守现场的一切卫生环保、文明施工的规定，因违反环保要求所造成的一切罚款由乙方承担。</w:t>
      </w:r>
    </w:p>
    <w:p w14:paraId="37AB8EE1">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7、货物包装：</w:t>
      </w:r>
    </w:p>
    <w:p w14:paraId="5DDAC893">
      <w:pPr>
        <w:spacing w:line="400" w:lineRule="atLeast"/>
        <w:ind w:firstLine="482"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7.1包装标准：</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乙方按照国家或业务主管部门的技术规定执行（标准代号、标准编号及标准名称为</w:t>
      </w:r>
      <w:permStart w:id="30"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  </w:t>
      </w:r>
      <w:permEnd w:id="30"/>
      <w:r>
        <w:rPr>
          <w:rFonts w:hint="eastAsia" w:ascii="仿宋_GB2312" w:hAnsi="仿宋_GB2312" w:eastAsia="仿宋_GB2312" w:cs="仿宋_GB2312"/>
          <w:color w:val="000000" w:themeColor="text1"/>
          <w:sz w:val="24"/>
          <w:szCs w:val="24"/>
          <w:highlight w:val="none"/>
          <w14:textFill>
            <w14:solidFill>
              <w14:schemeClr w14:val="tx1"/>
            </w14:solidFill>
          </w14:textFill>
        </w:rPr>
        <w:t>）；没有上述标准的，或虽有上述标准，但甲方对包装有特殊要求，按如下约定执行：</w:t>
      </w:r>
      <w:permStart w:id="3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 </w:t>
      </w:r>
      <w:permEnd w:id="31"/>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14:paraId="115E6F71">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7.2包装回收：</w:t>
      </w:r>
      <w:r>
        <w:rPr>
          <w:rFonts w:hint="eastAsia" w:ascii="仿宋_GB2312" w:hAnsi="仿宋_GB2312" w:eastAsia="仿宋_GB2312" w:cs="仿宋_GB2312"/>
          <w:color w:val="000000" w:themeColor="text1"/>
          <w:highlight w:val="none"/>
          <w:u w:val="single"/>
          <w14:textFill>
            <w14:solidFill>
              <w14:schemeClr w14:val="tx1"/>
            </w14:solidFill>
          </w14:textFill>
        </w:rPr>
        <w:t>乙方无特别注明视为无包装物回收，有包装物回收时乙方应在收到甲方通知7天内完成包装回收。</w:t>
      </w:r>
    </w:p>
    <w:p w14:paraId="6BFBA919">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8、安装要求：</w:t>
      </w:r>
      <w:r>
        <w:rPr>
          <w:rFonts w:hint="eastAsia" w:ascii="仿宋_GB2312" w:hAnsi="仿宋_GB2312" w:eastAsia="仿宋_GB2312" w:cs="仿宋_GB2312"/>
          <w:color w:val="000000" w:themeColor="text1"/>
          <w:highlight w:val="none"/>
          <w14:textFill>
            <w14:solidFill>
              <w14:schemeClr w14:val="tx1"/>
            </w14:solidFill>
          </w14:textFill>
        </w:rPr>
        <w:t>若货物附带安装工作内容，单价已综合考虑不另计价，具体安装内容及要求如下：</w:t>
      </w:r>
      <w:permStart w:id="3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permEnd w:id="32"/>
      <w:r>
        <w:rPr>
          <w:rFonts w:hint="eastAsia" w:ascii="仿宋_GB2312" w:hAnsi="仿宋_GB2312" w:eastAsia="仿宋_GB2312" w:cs="仿宋_GB2312"/>
          <w:color w:val="000000" w:themeColor="text1"/>
          <w:highlight w:val="none"/>
          <w14:textFill>
            <w14:solidFill>
              <w14:schemeClr w14:val="tx1"/>
            </w14:solidFill>
          </w14:textFill>
        </w:rPr>
        <w:t>。</w:t>
      </w:r>
    </w:p>
    <w:p w14:paraId="68C449DD">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9、货物意外灭失风险：</w:t>
      </w:r>
      <w:r>
        <w:rPr>
          <w:rFonts w:hint="eastAsia" w:ascii="仿宋_GB2312" w:hAnsi="仿宋_GB2312" w:eastAsia="仿宋_GB2312" w:cs="仿宋_GB2312"/>
          <w:color w:val="000000" w:themeColor="text1"/>
          <w:highlight w:val="none"/>
          <w14:textFill>
            <w14:solidFill>
              <w14:schemeClr w14:val="tx1"/>
            </w14:solidFill>
          </w14:textFill>
        </w:rPr>
        <w:t>乙方须负责货物正式交货前的安全、保卫、防火、防盗工作，包括运输途中、装货中的人身和货物的安全，在正式交货前，包括运输途中、装货中如有人身伤害或货物受损失均由乙方负责。货物直至乙方送交甲方指定的交货地点，完成上述条款事项，经甲方验收合格入库，并办理验收手续后，该货物的毁损、灭失的风险方由乙方转移至甲方。</w:t>
      </w:r>
    </w:p>
    <w:p w14:paraId="3BD36650">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w:t>
      </w:r>
      <w:r>
        <w:rPr>
          <w:rFonts w:ascii="仿宋_GB2312" w:hAnsi="仿宋_GB2312" w:eastAsia="仿宋_GB2312" w:cs="仿宋_GB2312"/>
          <w:b/>
          <w:bCs/>
          <w:color w:val="000000" w:themeColor="text1"/>
          <w:highlight w:val="none"/>
          <w14:textFill>
            <w14:solidFill>
              <w14:schemeClr w14:val="tx1"/>
            </w14:solidFill>
          </w14:textFill>
        </w:rPr>
        <w:t>0</w:t>
      </w:r>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14:textFill>
            <w14:solidFill>
              <w14:schemeClr w14:val="tx1"/>
            </w14:solidFill>
          </w14:textFill>
        </w:rPr>
        <w:t>技术交底</w:t>
      </w:r>
      <w:r>
        <w:rPr>
          <w:rFonts w:hint="eastAsia" w:ascii="仿宋_GB2312" w:hAnsi="仿宋_GB2312" w:eastAsia="仿宋_GB2312" w:cs="仿宋_GB2312"/>
          <w:color w:val="000000" w:themeColor="text1"/>
          <w:highlight w:val="none"/>
          <w14:textFill>
            <w14:solidFill>
              <w14:schemeClr w14:val="tx1"/>
            </w14:solidFill>
          </w14:textFill>
        </w:rPr>
        <w:t>：在浇注大量或关键部位的混凝土时，</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方须派专人到现场协助解决混凝土的供应。</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方应提供大体积混凝土施工的技术咨询及服务，并针对其配合比和混凝土特性在施工前向</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方作详细的书面技术交底，并对其负责。首次或特殊混凝土浇筑前，</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方对项目部进行专项技术交底，明确使用要求，特殊混凝土浇筑时，</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方应派驻专业人员开展现场指导。</w:t>
      </w:r>
    </w:p>
    <w:p w14:paraId="05893A25">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9" w:name="_Toc22420"/>
      <w:r>
        <w:rPr>
          <w:rFonts w:hint="eastAsia" w:ascii="仿宋_GB2312" w:hAnsi="仿宋_GB2312" w:eastAsia="仿宋_GB2312" w:cs="仿宋_GB2312"/>
          <w:b/>
          <w:bCs/>
          <w:color w:val="000000" w:themeColor="text1"/>
          <w:highlight w:val="none"/>
          <w14:textFill>
            <w14:solidFill>
              <w14:schemeClr w14:val="tx1"/>
            </w14:solidFill>
          </w14:textFill>
        </w:rPr>
        <w:t>货物质量</w:t>
      </w:r>
      <w:bookmarkEnd w:id="9"/>
    </w:p>
    <w:p w14:paraId="69CCFCE2">
      <w:pPr>
        <w:pStyle w:val="2"/>
        <w:keepNext w:val="0"/>
        <w:keepLines w:val="0"/>
        <w:spacing w:line="240" w:lineRule="auto"/>
        <w:ind w:firstLine="482"/>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.1产品必须满足以下标准及要求</w:t>
      </w:r>
      <w:r>
        <w:rPr>
          <w:rFonts w:hint="eastAsia" w:ascii="仿宋_GB2312" w:hAnsi="仿宋" w:eastAsia="仿宋_GB2312"/>
          <w:b w:val="0"/>
          <w:bCs w:val="0"/>
          <w:sz w:val="24"/>
          <w:szCs w:val="24"/>
          <w:highlight w:val="none"/>
        </w:rPr>
        <w:t>，且满足中华人民共和国国家、地方及行业最新颁布的相关标准及技术规范，如果规范、标准、要求适用于同一种情况，则以标准高者为准。</w:t>
      </w:r>
    </w:p>
    <w:p w14:paraId="14715973">
      <w:pPr>
        <w:pStyle w:val="2"/>
        <w:keepNext w:val="0"/>
        <w:keepLines w:val="0"/>
        <w:spacing w:line="240" w:lineRule="auto"/>
        <w:ind w:firstLine="482"/>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.2产品技术标准和技术要求</w:t>
      </w:r>
      <w:r>
        <w:rPr>
          <w:rFonts w:hint="eastAsia" w:ascii="仿宋_GB2312" w:hAnsi="仿宋" w:eastAsia="仿宋_GB2312"/>
          <w:b w:val="0"/>
          <w:bCs w:val="0"/>
          <w:sz w:val="24"/>
          <w:szCs w:val="24"/>
          <w:highlight w:val="none"/>
        </w:rPr>
        <w:t>：</w:t>
      </w:r>
    </w:p>
    <w:p w14:paraId="02B25313">
      <w:pPr>
        <w:rPr>
          <w:rFonts w:hint="eastAsia"/>
        </w:rPr>
      </w:pPr>
      <w:r>
        <w:rPr>
          <w:rFonts w:ascii="仿宋_GB2312" w:hAnsi="仿宋" w:eastAsia="仿宋_GB2312"/>
          <w:sz w:val="24"/>
          <w:szCs w:val="24"/>
          <w:highlight w:val="none"/>
        </w:rPr>
        <w:t>1</w:t>
      </w:r>
      <w:r>
        <w:rPr>
          <w:rFonts w:hint="eastAsia" w:ascii="仿宋_GB2312" w:hAnsi="仿宋" w:eastAsia="仿宋_GB2312"/>
          <w:sz w:val="24"/>
          <w:szCs w:val="24"/>
          <w:highlight w:val="none"/>
        </w:rPr>
        <w:t>.2.1施工图纸设计要求</w:t>
      </w:r>
      <w:r>
        <w:rPr>
          <w:rFonts w:hint="eastAsia" w:ascii="仿宋_GB2312" w:hAnsi="仿宋" w:eastAsia="仿宋_GB2312"/>
          <w:b w:val="0"/>
          <w:bCs w:val="0"/>
          <w:sz w:val="24"/>
          <w:szCs w:val="24"/>
          <w:highlight w:val="none"/>
        </w:rPr>
        <w:t>：</w:t>
      </w:r>
      <w:permStart w:id="33" w:edGrp="everyone"/>
    </w:p>
    <w:p w14:paraId="11E7969E">
      <w:pPr>
        <w:pStyle w:val="3"/>
        <w:keepNext w:val="0"/>
        <w:keepLines w:val="0"/>
        <w:tabs>
          <w:tab w:val="left" w:pos="567"/>
        </w:tabs>
        <w:spacing w:before="0" w:line="240" w:lineRule="auto"/>
        <w:ind w:firstLine="480" w:firstLineChars="200"/>
        <w:rPr>
          <w:rFonts w:hint="eastAsia" w:ascii="仿宋_GB2312" w:hAnsi="仿宋" w:eastAsia="仿宋_GB2312"/>
          <w:b w:val="0"/>
          <w:bCs w:val="0"/>
          <w:color w:val="FF0000"/>
          <w:sz w:val="24"/>
          <w:szCs w:val="24"/>
          <w:highlight w:val="none"/>
          <w:lang w:val="en-US" w:eastAsia="zh-CN"/>
        </w:rPr>
      </w:pPr>
      <w:r>
        <w:rPr>
          <w:rFonts w:hint="eastAsia" w:ascii="仿宋_GB2312" w:hAnsi="仿宋" w:eastAsia="仿宋_GB2312"/>
          <w:b w:val="0"/>
          <w:bCs w:val="0"/>
          <w:color w:val="FF0000"/>
          <w:sz w:val="24"/>
          <w:szCs w:val="24"/>
          <w:highlight w:val="none"/>
          <w:lang w:val="en-US" w:eastAsia="zh-CN"/>
        </w:rPr>
        <w:t>1.2.1.1水泥：采用硅酸盐水泥或普通硅酸盐水泥，采用的水泥应符合现行国家标准《通用硅酸盐水泥》（GB175-2007）的规定。</w:t>
      </w:r>
    </w:p>
    <w:p w14:paraId="0495CB6C">
      <w:pPr>
        <w:pStyle w:val="3"/>
        <w:keepNext w:val="0"/>
        <w:keepLines w:val="0"/>
        <w:tabs>
          <w:tab w:val="left" w:pos="567"/>
        </w:tabs>
        <w:spacing w:before="0" w:line="240" w:lineRule="auto"/>
        <w:ind w:firstLine="480" w:firstLineChars="200"/>
        <w:rPr>
          <w:rFonts w:hint="eastAsia" w:ascii="仿宋_GB2312" w:hAnsi="仿宋" w:eastAsia="仿宋_GB2312"/>
          <w:b w:val="0"/>
          <w:bCs w:val="0"/>
          <w:color w:val="FF0000"/>
          <w:sz w:val="24"/>
          <w:szCs w:val="24"/>
          <w:highlight w:val="none"/>
          <w:lang w:val="en-US" w:eastAsia="zh-CN"/>
        </w:rPr>
      </w:pPr>
      <w:r>
        <w:rPr>
          <w:rFonts w:hint="eastAsia" w:ascii="仿宋_GB2312" w:hAnsi="仿宋" w:eastAsia="仿宋_GB2312"/>
          <w:b w:val="0"/>
          <w:bCs w:val="0"/>
          <w:color w:val="FF0000"/>
          <w:sz w:val="24"/>
          <w:szCs w:val="24"/>
          <w:highlight w:val="none"/>
          <w:lang w:val="en-US" w:eastAsia="zh-CN"/>
        </w:rPr>
        <w:t>1.2.1.2粗骨料：应采用连续级配。碎石粒径5~31.5mm，以防混凝土浇筑困难或振捣不密实。</w:t>
      </w:r>
    </w:p>
    <w:p w14:paraId="68464EFD">
      <w:pPr>
        <w:pStyle w:val="3"/>
        <w:keepNext w:val="0"/>
        <w:keepLines w:val="0"/>
        <w:tabs>
          <w:tab w:val="left" w:pos="567"/>
        </w:tabs>
        <w:spacing w:before="0" w:line="240" w:lineRule="auto"/>
        <w:ind w:firstLine="480" w:firstLineChars="200"/>
        <w:rPr>
          <w:rFonts w:hint="default"/>
          <w:lang w:val="en-US" w:eastAsia="zh-CN"/>
        </w:rPr>
      </w:pPr>
      <w:r>
        <w:rPr>
          <w:rFonts w:hint="eastAsia" w:ascii="仿宋_GB2312" w:hAnsi="仿宋" w:eastAsia="仿宋_GB2312"/>
          <w:b w:val="0"/>
          <w:bCs w:val="0"/>
          <w:color w:val="FF0000"/>
          <w:sz w:val="24"/>
          <w:szCs w:val="24"/>
          <w:highlight w:val="none"/>
          <w:lang w:val="en-US" w:eastAsia="zh-CN"/>
        </w:rPr>
        <w:t>1.2.1.3混凝土：混凝土强度等级C30，抗冻等级F200。</w:t>
      </w:r>
    </w:p>
    <w:permEnd w:id="33"/>
    <w:p w14:paraId="16DB681A">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按照图纸要求，各项原材料及产品性能指标应满足以下要求，包含但不限于最小水泥用量、水胶比、碱含量与水溶性氯离子含量等：</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00"/>
        <w:gridCol w:w="1408"/>
        <w:gridCol w:w="968"/>
        <w:gridCol w:w="1128"/>
        <w:gridCol w:w="1392"/>
        <w:gridCol w:w="1224"/>
      </w:tblGrid>
      <w:tr w14:paraId="0D943B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14:paraId="40E37307">
            <w:pPr>
              <w:jc w:val="center"/>
              <w:rPr>
                <w:rFonts w:ascii="仿宋_GB2312" w:hAnsi="仿宋" w:eastAsia="仿宋_GB2312"/>
                <w:sz w:val="24"/>
                <w:szCs w:val="24"/>
                <w:highlight w:val="none"/>
              </w:rPr>
            </w:pPr>
            <w:permStart w:id="34" w:edGrp="everyone"/>
            <w:r>
              <w:rPr>
                <w:rFonts w:hint="eastAsia" w:ascii="仿宋_GB2312" w:hAnsi="仿宋" w:eastAsia="仿宋_GB2312"/>
                <w:sz w:val="24"/>
                <w:szCs w:val="24"/>
                <w:highlight w:val="none"/>
              </w:rPr>
              <w:t>序号</w:t>
            </w:r>
          </w:p>
        </w:tc>
        <w:tc>
          <w:tcPr>
            <w:tcW w:w="1200" w:type="dxa"/>
            <w:vAlign w:val="center"/>
          </w:tcPr>
          <w:p w14:paraId="32DB1448">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材料名称</w:t>
            </w:r>
          </w:p>
        </w:tc>
        <w:tc>
          <w:tcPr>
            <w:tcW w:w="1408" w:type="dxa"/>
            <w:vAlign w:val="center"/>
          </w:tcPr>
          <w:p w14:paraId="21A995E8">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最小水泥用量</w:t>
            </w:r>
          </w:p>
        </w:tc>
        <w:tc>
          <w:tcPr>
            <w:tcW w:w="968" w:type="dxa"/>
            <w:vAlign w:val="center"/>
          </w:tcPr>
          <w:p w14:paraId="7039F63A">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水胶比</w:t>
            </w:r>
          </w:p>
        </w:tc>
        <w:tc>
          <w:tcPr>
            <w:tcW w:w="1128" w:type="dxa"/>
            <w:vAlign w:val="center"/>
          </w:tcPr>
          <w:p w14:paraId="012C313B">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碱含量</w:t>
            </w:r>
          </w:p>
        </w:tc>
        <w:tc>
          <w:tcPr>
            <w:tcW w:w="1392" w:type="dxa"/>
            <w:vAlign w:val="center"/>
          </w:tcPr>
          <w:p w14:paraId="7586E827">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水溶性氯离子含量</w:t>
            </w:r>
          </w:p>
        </w:tc>
        <w:tc>
          <w:tcPr>
            <w:tcW w:w="1224" w:type="dxa"/>
            <w:vAlign w:val="center"/>
          </w:tcPr>
          <w:p w14:paraId="4327B053">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备注</w:t>
            </w:r>
          </w:p>
        </w:tc>
      </w:tr>
      <w:tr w14:paraId="5D64BF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14:paraId="70A626E3">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1</w:t>
            </w:r>
          </w:p>
        </w:tc>
        <w:tc>
          <w:tcPr>
            <w:tcW w:w="1200" w:type="dxa"/>
            <w:vAlign w:val="center"/>
          </w:tcPr>
          <w:p w14:paraId="40563FF2">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rPr>
              <w:t>C</w:t>
            </w:r>
            <w:r>
              <w:rPr>
                <w:rFonts w:hint="eastAsia" w:ascii="仿宋_GB2312" w:hAnsi="仿宋" w:eastAsia="仿宋_GB2312"/>
                <w:color w:val="auto"/>
                <w:sz w:val="24"/>
                <w:szCs w:val="24"/>
                <w:highlight w:val="none"/>
                <w:lang w:val="en-US" w:eastAsia="zh-CN"/>
              </w:rPr>
              <w:t>20</w:t>
            </w:r>
          </w:p>
        </w:tc>
        <w:tc>
          <w:tcPr>
            <w:tcW w:w="1408" w:type="dxa"/>
            <w:vAlign w:val="center"/>
          </w:tcPr>
          <w:p w14:paraId="3A6339DF">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241kg/m</w:t>
            </w:r>
            <w:r>
              <w:rPr>
                <w:rFonts w:hint="eastAsia" w:ascii="微软雅黑" w:hAnsi="微软雅黑" w:eastAsia="微软雅黑" w:cs="微软雅黑"/>
                <w:color w:val="auto"/>
                <w:sz w:val="24"/>
                <w:szCs w:val="24"/>
                <w:highlight w:val="none"/>
                <w:lang w:val="en-US" w:eastAsia="zh-CN"/>
              </w:rPr>
              <w:t>³</w:t>
            </w:r>
          </w:p>
        </w:tc>
        <w:tc>
          <w:tcPr>
            <w:tcW w:w="968" w:type="dxa"/>
            <w:vAlign w:val="center"/>
          </w:tcPr>
          <w:p w14:paraId="7978C3A0">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&lt;</w:t>
            </w:r>
            <w:r>
              <w:rPr>
                <w:rFonts w:hint="eastAsia" w:ascii="仿宋_GB2312" w:hAnsi="仿宋" w:eastAsia="仿宋_GB2312"/>
                <w:sz w:val="24"/>
                <w:szCs w:val="24"/>
                <w:highlight w:val="none"/>
              </w:rPr>
              <w:t>0.45</w:t>
            </w:r>
          </w:p>
        </w:tc>
        <w:tc>
          <w:tcPr>
            <w:tcW w:w="1128" w:type="dxa"/>
            <w:vAlign w:val="center"/>
          </w:tcPr>
          <w:p w14:paraId="5AFD7A1F">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&lt;3kg/m</w:t>
            </w:r>
            <w:r>
              <w:rPr>
                <w:rFonts w:hint="eastAsia" w:ascii="微软雅黑" w:hAnsi="微软雅黑" w:eastAsia="微软雅黑" w:cs="微软雅黑"/>
                <w:color w:val="auto"/>
                <w:sz w:val="24"/>
                <w:szCs w:val="24"/>
                <w:highlight w:val="none"/>
                <w:lang w:val="en-US" w:eastAsia="zh-CN"/>
              </w:rPr>
              <w:t>³</w:t>
            </w:r>
          </w:p>
        </w:tc>
        <w:tc>
          <w:tcPr>
            <w:tcW w:w="1392" w:type="dxa"/>
            <w:vAlign w:val="center"/>
          </w:tcPr>
          <w:p w14:paraId="73C91084">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&lt;0.06%</w:t>
            </w:r>
          </w:p>
        </w:tc>
        <w:tc>
          <w:tcPr>
            <w:tcW w:w="1224" w:type="dxa"/>
            <w:vAlign w:val="center"/>
          </w:tcPr>
          <w:p w14:paraId="7650F9CD">
            <w:pPr>
              <w:jc w:val="center"/>
              <w:rPr>
                <w:rFonts w:ascii="仿宋_GB2312" w:hAnsi="仿宋" w:eastAsia="仿宋_GB2312"/>
                <w:sz w:val="24"/>
                <w:szCs w:val="24"/>
                <w:highlight w:val="none"/>
              </w:rPr>
            </w:pPr>
          </w:p>
        </w:tc>
      </w:tr>
      <w:tr w14:paraId="74D3C8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14:paraId="1C128507">
            <w:pPr>
              <w:jc w:val="center"/>
              <w:rPr>
                <w:rFonts w:ascii="仿宋_GB2312" w:hAnsi="仿宋" w:eastAsia="仿宋_GB2312"/>
                <w:sz w:val="24"/>
                <w:szCs w:val="24"/>
                <w:highlight w:val="none"/>
              </w:rPr>
            </w:pPr>
            <w:r>
              <w:rPr>
                <w:rFonts w:hint="eastAsia" w:ascii="仿宋_GB2312" w:hAnsi="仿宋" w:eastAsia="仿宋_GB2312"/>
                <w:sz w:val="24"/>
                <w:szCs w:val="24"/>
                <w:highlight w:val="none"/>
              </w:rPr>
              <w:t>2</w:t>
            </w:r>
          </w:p>
        </w:tc>
        <w:tc>
          <w:tcPr>
            <w:tcW w:w="1200" w:type="dxa"/>
            <w:vAlign w:val="center"/>
          </w:tcPr>
          <w:p w14:paraId="7AE49031">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C30</w:t>
            </w:r>
          </w:p>
        </w:tc>
        <w:tc>
          <w:tcPr>
            <w:tcW w:w="1408" w:type="dxa"/>
            <w:vAlign w:val="center"/>
          </w:tcPr>
          <w:p w14:paraId="7D610D3F">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296kg/m</w:t>
            </w:r>
            <w:r>
              <w:rPr>
                <w:rFonts w:hint="eastAsia" w:ascii="微软雅黑" w:hAnsi="微软雅黑" w:eastAsia="微软雅黑" w:cs="微软雅黑"/>
                <w:color w:val="auto"/>
                <w:sz w:val="24"/>
                <w:szCs w:val="24"/>
                <w:highlight w:val="none"/>
                <w:lang w:val="en-US" w:eastAsia="zh-CN"/>
              </w:rPr>
              <w:t>³</w:t>
            </w:r>
          </w:p>
        </w:tc>
        <w:tc>
          <w:tcPr>
            <w:tcW w:w="968" w:type="dxa"/>
            <w:vAlign w:val="center"/>
          </w:tcPr>
          <w:p w14:paraId="2F5EE98C">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&lt;</w:t>
            </w:r>
            <w:r>
              <w:rPr>
                <w:rFonts w:hint="eastAsia" w:ascii="仿宋_GB2312" w:hAnsi="仿宋" w:eastAsia="仿宋_GB2312"/>
                <w:sz w:val="24"/>
                <w:szCs w:val="24"/>
                <w:highlight w:val="none"/>
              </w:rPr>
              <w:t>0.45</w:t>
            </w:r>
          </w:p>
        </w:tc>
        <w:tc>
          <w:tcPr>
            <w:tcW w:w="1128" w:type="dxa"/>
            <w:vAlign w:val="center"/>
          </w:tcPr>
          <w:p w14:paraId="40881A53">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&lt;3kg/m</w:t>
            </w:r>
            <w:r>
              <w:rPr>
                <w:rFonts w:hint="eastAsia" w:ascii="微软雅黑" w:hAnsi="微软雅黑" w:eastAsia="微软雅黑" w:cs="微软雅黑"/>
                <w:color w:val="auto"/>
                <w:sz w:val="24"/>
                <w:szCs w:val="24"/>
                <w:highlight w:val="none"/>
                <w:lang w:val="en-US" w:eastAsia="zh-CN"/>
              </w:rPr>
              <w:t>³</w:t>
            </w:r>
          </w:p>
        </w:tc>
        <w:tc>
          <w:tcPr>
            <w:tcW w:w="1392" w:type="dxa"/>
            <w:vAlign w:val="center"/>
          </w:tcPr>
          <w:p w14:paraId="218225D8">
            <w:pPr>
              <w:jc w:val="center"/>
              <w:rPr>
                <w:rFonts w:ascii="仿宋_GB2312" w:hAnsi="仿宋" w:eastAsia="仿宋_GB2312"/>
                <w:sz w:val="24"/>
                <w:szCs w:val="24"/>
                <w:highlight w:val="none"/>
              </w:rPr>
            </w:pPr>
            <w:r>
              <w:rPr>
                <w:rFonts w:hint="eastAsia" w:ascii="仿宋_GB2312" w:hAnsi="仿宋" w:eastAsia="仿宋_GB2312"/>
                <w:color w:val="auto"/>
                <w:sz w:val="24"/>
                <w:szCs w:val="24"/>
                <w:highlight w:val="none"/>
                <w:lang w:val="en-US" w:eastAsia="zh-CN"/>
              </w:rPr>
              <w:t>&lt;0.06%</w:t>
            </w:r>
          </w:p>
        </w:tc>
        <w:tc>
          <w:tcPr>
            <w:tcW w:w="1224" w:type="dxa"/>
            <w:vAlign w:val="center"/>
          </w:tcPr>
          <w:p w14:paraId="0767D4D8">
            <w:pPr>
              <w:jc w:val="center"/>
              <w:rPr>
                <w:rFonts w:ascii="仿宋_GB2312" w:hAnsi="仿宋" w:eastAsia="仿宋_GB2312"/>
                <w:sz w:val="24"/>
                <w:szCs w:val="24"/>
                <w:highlight w:val="none"/>
              </w:rPr>
            </w:pPr>
          </w:p>
        </w:tc>
      </w:tr>
      <w:permEnd w:id="34"/>
    </w:tbl>
    <w:p w14:paraId="53558F00">
      <w:pPr>
        <w:pStyle w:val="2"/>
        <w:keepNext w:val="0"/>
        <w:keepLines w:val="0"/>
        <w:spacing w:line="240" w:lineRule="auto"/>
        <w:ind w:firstLine="482"/>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.3国家标准/行业标准/企业标准：</w:t>
      </w:r>
    </w:p>
    <w:p w14:paraId="79E4AD4F">
      <w:pPr>
        <w:ind w:firstLine="480" w:firstLineChars="200"/>
        <w:rPr>
          <w:rFonts w:ascii="仿宋_GB2312" w:hAnsi="仿宋" w:eastAsia="仿宋_GB2312"/>
          <w:sz w:val="24"/>
          <w:szCs w:val="24"/>
          <w:highlight w:val="none"/>
        </w:rPr>
      </w:pPr>
      <w:permStart w:id="35" w:edGrp="everyone"/>
      <w:r>
        <w:rPr>
          <w:rFonts w:hint="eastAsia" w:ascii="仿宋_GB2312" w:hAnsi="仿宋" w:eastAsia="仿宋_GB2312"/>
          <w:sz w:val="24"/>
          <w:szCs w:val="24"/>
          <w:highlight w:val="none"/>
        </w:rPr>
        <w:t>《建筑用砂》GB/T14684-2011</w:t>
      </w:r>
    </w:p>
    <w:p w14:paraId="1A6A01E2">
      <w:pPr>
        <w:widowControl/>
        <w:ind w:firstLine="480" w:firstLineChars="200"/>
        <w:jc w:val="left"/>
        <w:rPr>
          <w:rFonts w:ascii="仿宋_GB2312" w:hAnsi="仿宋" w:eastAsia="仿宋_GB2312"/>
          <w:sz w:val="24"/>
          <w:szCs w:val="24"/>
          <w:highlight w:val="none"/>
        </w:rPr>
      </w:pPr>
      <w:r>
        <w:rPr>
          <w:rFonts w:hint="eastAsia" w:ascii="仿宋_GB2312" w:hAnsi="仿宋" w:eastAsia="仿宋_GB2312"/>
          <w:sz w:val="24"/>
          <w:szCs w:val="24"/>
          <w:highlight w:val="none"/>
        </w:rPr>
        <w:t>《建设用卵石、碎石》（GB/T 14685-2011）</w:t>
      </w:r>
    </w:p>
    <w:p w14:paraId="0A227491">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《混凝土外加剂匀质性试验方法》(GB/T 8077-2012)</w:t>
      </w:r>
    </w:p>
    <w:p w14:paraId="7B924B9E">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《混凝土外加剂应用技术规范》(GB50119-2013)</w:t>
      </w:r>
    </w:p>
    <w:p w14:paraId="2BD986AD">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《混凝土结构设计规范》（GB50010-2010）</w:t>
      </w:r>
    </w:p>
    <w:p w14:paraId="3573A058">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《混凝土结构工程施工质量验收规范》(GB50204-2015)</w:t>
      </w:r>
    </w:p>
    <w:p w14:paraId="2E21AE23">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《混凝土结构耐久性设计规范》(GB/T50476-2008)</w:t>
      </w:r>
    </w:p>
    <w:p w14:paraId="77109D96">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《混凝土强度检验评定标准》(GB/T50107-2010)</w:t>
      </w:r>
    </w:p>
    <w:p w14:paraId="14360F92">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《混凝土质量控制标准》(GB50164-2011)</w:t>
      </w:r>
    </w:p>
    <w:p w14:paraId="36EFAB3A">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《普通混凝土配合比设计规程》(JGJ55-2011)</w:t>
      </w:r>
    </w:p>
    <w:p w14:paraId="6A5CDEDF">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《混凝土用水标准》(JGJ63-2006)</w:t>
      </w:r>
    </w:p>
    <w:p w14:paraId="4713F4A5">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《混凝土外加剂》(GB8076-2008)</w:t>
      </w:r>
    </w:p>
    <w:p w14:paraId="3DFDCC0A">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《通用硅酸盐水泥》(GB 175-2007/XG1-2009)</w:t>
      </w:r>
    </w:p>
    <w:p w14:paraId="2E9D62FC">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《普通混凝土用砂、石质量及检验方法标准》(JGJ52-2006)</w:t>
      </w:r>
    </w:p>
    <w:p w14:paraId="63E028A6">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《预拌混凝土》(GB/T 14902-2012)</w:t>
      </w:r>
    </w:p>
    <w:p w14:paraId="2E9EF025">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《混凝土泵送施工技术规程》（JGJ/T10-2011）</w:t>
      </w:r>
    </w:p>
    <w:p w14:paraId="7EA123B2">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《建筑工程冬期施工规程》（JGJ/T104-2011）</w:t>
      </w:r>
    </w:p>
    <w:p w14:paraId="55F592E0">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《用于水泥和混凝土中的粉煤灰》(GB/T1596-2017)</w:t>
      </w:r>
    </w:p>
    <w:p w14:paraId="2A19B412">
      <w:pPr>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《普通混凝土力学性能试验方法标准》（GB/T50081-2002）</w:t>
      </w:r>
      <w:permEnd w:id="35"/>
    </w:p>
    <w:p w14:paraId="7477B9BD">
      <w:pPr>
        <w:pStyle w:val="2"/>
        <w:keepNext w:val="0"/>
        <w:keepLines w:val="0"/>
        <w:spacing w:line="240" w:lineRule="auto"/>
        <w:ind w:firstLine="482"/>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.4产品有关参数要求：</w:t>
      </w:r>
    </w:p>
    <w:p w14:paraId="087F43A7">
      <w:pPr>
        <w:pStyle w:val="3"/>
        <w:keepNext w:val="0"/>
        <w:keepLines w:val="0"/>
        <w:tabs>
          <w:tab w:val="left" w:pos="567"/>
        </w:tabs>
        <w:spacing w:before="0" w:line="240" w:lineRule="auto"/>
        <w:ind w:firstLine="482" w:firstLineChars="200"/>
        <w:rPr>
          <w:rFonts w:ascii="仿宋_GB2312" w:hAnsi="仿宋" w:eastAsia="仿宋_GB2312"/>
          <w:sz w:val="24"/>
          <w:szCs w:val="24"/>
          <w:highlight w:val="none"/>
        </w:rPr>
      </w:pPr>
      <w:permStart w:id="36" w:edGrp="everyone"/>
      <w:r>
        <w:rPr>
          <w:rFonts w:ascii="仿宋_GB2312" w:hAnsi="仿宋" w:eastAsia="仿宋_GB2312"/>
          <w:sz w:val="24"/>
          <w:szCs w:val="24"/>
          <w:highlight w:val="none"/>
        </w:rPr>
        <w:t>1</w:t>
      </w:r>
      <w:r>
        <w:rPr>
          <w:rFonts w:hint="eastAsia" w:ascii="仿宋_GB2312" w:hAnsi="仿宋" w:eastAsia="仿宋_GB2312"/>
          <w:sz w:val="24"/>
          <w:szCs w:val="24"/>
          <w:highlight w:val="none"/>
        </w:rPr>
        <w:t>.4.1技术要求：</w:t>
      </w:r>
      <w:r>
        <w:rPr>
          <w:rFonts w:hint="eastAsia" w:ascii="仿宋_GB2312" w:hAnsi="仿宋" w:eastAsia="仿宋_GB2312"/>
          <w:b w:val="0"/>
          <w:bCs w:val="0"/>
          <w:sz w:val="24"/>
          <w:szCs w:val="24"/>
          <w:highlight w:val="none"/>
        </w:rPr>
        <w:t>满足《混凝土结构设计规范》（GB50010-2010）、《混凝土结构耐久性设计规范》（GB/T50476-2008）、工程设计图纸以及其他国家、</w:t>
      </w:r>
      <w:r>
        <w:rPr>
          <w:rFonts w:hint="eastAsia" w:ascii="仿宋_GB2312" w:hAnsi="仿宋" w:eastAsia="仿宋_GB2312"/>
          <w:b w:val="0"/>
          <w:bCs w:val="0"/>
          <w:color w:val="FF0000"/>
          <w:sz w:val="24"/>
          <w:szCs w:val="24"/>
          <w:highlight w:val="none"/>
          <w:u w:val="single"/>
        </w:rPr>
        <w:t xml:space="preserve"> </w:t>
      </w:r>
      <w:r>
        <w:rPr>
          <w:rFonts w:hint="eastAsia" w:ascii="仿宋_GB2312" w:hAnsi="仿宋" w:eastAsia="仿宋_GB2312"/>
          <w:b w:val="0"/>
          <w:bCs w:val="0"/>
          <w:color w:val="FF0000"/>
          <w:sz w:val="24"/>
          <w:szCs w:val="24"/>
          <w:highlight w:val="none"/>
          <w:u w:val="single"/>
          <w:lang w:val="en-US" w:eastAsia="zh-CN"/>
        </w:rPr>
        <w:t>本溪</w:t>
      </w:r>
      <w:r>
        <w:rPr>
          <w:rFonts w:hint="eastAsia" w:ascii="仿宋_GB2312" w:hAnsi="仿宋" w:eastAsia="仿宋_GB2312"/>
          <w:b w:val="0"/>
          <w:bCs w:val="0"/>
          <w:color w:val="FF0000"/>
          <w:sz w:val="24"/>
          <w:szCs w:val="24"/>
          <w:highlight w:val="none"/>
          <w:u w:val="single"/>
        </w:rPr>
        <w:t xml:space="preserve"> </w:t>
      </w:r>
      <w:r>
        <w:rPr>
          <w:rFonts w:hint="eastAsia" w:ascii="仿宋_GB2312" w:hAnsi="仿宋" w:eastAsia="仿宋_GB2312"/>
          <w:b w:val="0"/>
          <w:bCs w:val="0"/>
          <w:color w:val="FF0000"/>
          <w:sz w:val="24"/>
          <w:szCs w:val="24"/>
          <w:highlight w:val="none"/>
        </w:rPr>
        <w:t>（市）</w:t>
      </w:r>
      <w:r>
        <w:rPr>
          <w:rFonts w:hint="eastAsia" w:ascii="仿宋_GB2312" w:hAnsi="仿宋" w:eastAsia="仿宋_GB2312"/>
          <w:b w:val="0"/>
          <w:bCs w:val="0"/>
          <w:sz w:val="24"/>
          <w:szCs w:val="24"/>
          <w:highlight w:val="none"/>
        </w:rPr>
        <w:t>有关部门及建设单位颁布的关于产品供应的现行规范、标准、规程或规定等。</w:t>
      </w:r>
    </w:p>
    <w:p w14:paraId="541EDB62">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4.2抗渗要求：</w:t>
      </w:r>
      <w:r>
        <w:rPr>
          <w:rFonts w:hint="eastAsia" w:ascii="仿宋_GB2312" w:hAnsi="仿宋" w:eastAsia="仿宋_GB2312"/>
          <w:b w:val="0"/>
          <w:bCs w:val="0"/>
          <w:sz w:val="24"/>
          <w:szCs w:val="24"/>
          <w:highlight w:val="none"/>
        </w:rPr>
        <w:t>抗渗剂材料，严格按照工程设计图纸要求执行，应满足相关规范、标准及建设单位规定的要求。</w:t>
      </w:r>
    </w:p>
    <w:p w14:paraId="7D192F1C">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.4.3混凝土拌和物的最高温度及最低温度：</w:t>
      </w:r>
      <w:r>
        <w:rPr>
          <w:rFonts w:hint="eastAsia" w:ascii="仿宋_GB2312" w:hAnsi="仿宋" w:eastAsia="仿宋_GB2312"/>
          <w:b w:val="0"/>
          <w:bCs w:val="0"/>
          <w:sz w:val="24"/>
          <w:szCs w:val="24"/>
          <w:highlight w:val="none"/>
        </w:rPr>
        <w:t>高温季节拌制混凝土时，应综合控制原材料的温度、搅拌站卸料开始到浇筑完毕的延续时间，混凝土的入模温度不宜超过25℃。但冬季施工时，按冬施施工规程执行，最低不得低于5℃。</w:t>
      </w:r>
    </w:p>
    <w:p w14:paraId="7D887284">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.4.</w:t>
      </w:r>
      <w:r>
        <w:rPr>
          <w:rFonts w:ascii="仿宋_GB2312" w:hAnsi="仿宋" w:eastAsia="仿宋_GB2312"/>
          <w:sz w:val="24"/>
          <w:szCs w:val="24"/>
          <w:highlight w:val="none"/>
        </w:rPr>
        <w:t>4</w:t>
      </w:r>
      <w:r>
        <w:rPr>
          <w:rFonts w:hint="eastAsia" w:ascii="仿宋_GB2312" w:hAnsi="仿宋" w:eastAsia="仿宋_GB2312"/>
          <w:sz w:val="24"/>
          <w:szCs w:val="24"/>
          <w:highlight w:val="none"/>
        </w:rPr>
        <w:t>坍落度要求：</w:t>
      </w:r>
      <w:r>
        <w:rPr>
          <w:rFonts w:hint="eastAsia" w:ascii="仿宋_GB2312" w:hAnsi="仿宋" w:eastAsia="仿宋_GB2312"/>
          <w:b w:val="0"/>
          <w:bCs w:val="0"/>
          <w:sz w:val="24"/>
          <w:szCs w:val="24"/>
          <w:highlight w:val="none"/>
        </w:rPr>
        <w:t>施工用混凝土坍落度，应严格按照工程设计图纸要求执行，外加剂材料及使用，应满足</w:t>
      </w:r>
      <w:r>
        <w:rPr>
          <w:rFonts w:hint="eastAsia" w:ascii="仿宋_GB2312" w:hAnsi="仿宋" w:eastAsia="仿宋_GB2312"/>
          <w:b w:val="0"/>
          <w:bCs w:val="0"/>
          <w:sz w:val="24"/>
          <w:szCs w:val="24"/>
          <w:highlight w:val="none"/>
          <w:lang w:val="en-US" w:eastAsia="zh-CN"/>
        </w:rPr>
        <w:t>1</w:t>
      </w:r>
      <w:r>
        <w:rPr>
          <w:rFonts w:hint="eastAsia" w:ascii="仿宋_GB2312" w:hAnsi="仿宋" w:eastAsia="仿宋_GB2312"/>
          <w:b w:val="0"/>
          <w:bCs w:val="0"/>
          <w:sz w:val="24"/>
          <w:szCs w:val="24"/>
          <w:highlight w:val="none"/>
        </w:rPr>
        <w:t>.3条及相关规范、标准及建设单位规定的要求。</w:t>
      </w:r>
    </w:p>
    <w:p w14:paraId="69CD8A9C">
      <w:pPr>
        <w:pStyle w:val="2"/>
        <w:keepNext w:val="0"/>
        <w:keepLines w:val="0"/>
        <w:spacing w:line="240" w:lineRule="auto"/>
        <w:ind w:firstLine="482"/>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.5产品原材料要求：</w:t>
      </w:r>
      <w:r>
        <w:rPr>
          <w:rFonts w:hint="eastAsia" w:ascii="仿宋_GB2312" w:hAnsi="仿宋" w:eastAsia="仿宋_GB2312"/>
          <w:b w:val="0"/>
          <w:bCs w:val="0"/>
          <w:sz w:val="24"/>
          <w:szCs w:val="24"/>
          <w:highlight w:val="none"/>
        </w:rPr>
        <w:t>所有原材料（水泥、骨料、外加剂、水泥掺合料以及其它辅助材料等）必须符合本合同第</w:t>
      </w:r>
      <w:r>
        <w:rPr>
          <w:rFonts w:hint="eastAsia" w:ascii="仿宋_GB2312" w:hAnsi="仿宋" w:eastAsia="仿宋_GB2312"/>
          <w:b w:val="0"/>
          <w:bCs w:val="0"/>
          <w:sz w:val="24"/>
          <w:szCs w:val="24"/>
          <w:highlight w:val="none"/>
          <w:lang w:val="en-US" w:eastAsia="zh-CN"/>
        </w:rPr>
        <w:t>1</w:t>
      </w:r>
      <w:r>
        <w:rPr>
          <w:rFonts w:hint="eastAsia" w:ascii="仿宋_GB2312" w:hAnsi="仿宋" w:eastAsia="仿宋_GB2312"/>
          <w:b w:val="0"/>
          <w:bCs w:val="0"/>
          <w:sz w:val="24"/>
          <w:szCs w:val="24"/>
          <w:highlight w:val="none"/>
        </w:rPr>
        <w:t>.3条中相应的规范、规定、标准及</w:t>
      </w:r>
      <w:r>
        <w:rPr>
          <w:rFonts w:hint="eastAsia" w:ascii="仿宋_GB2312" w:hAnsi="仿宋" w:eastAsia="仿宋_GB2312"/>
          <w:b w:val="0"/>
          <w:bCs w:val="0"/>
          <w:color w:val="FF0000"/>
          <w:sz w:val="24"/>
          <w:szCs w:val="24"/>
          <w:highlight w:val="none"/>
          <w:u w:val="single"/>
        </w:rPr>
        <w:t xml:space="preserve"> </w:t>
      </w:r>
      <w:r>
        <w:rPr>
          <w:rFonts w:hint="eastAsia" w:ascii="仿宋_GB2312" w:hAnsi="仿宋" w:eastAsia="仿宋_GB2312"/>
          <w:b w:val="0"/>
          <w:bCs w:val="0"/>
          <w:color w:val="FF0000"/>
          <w:sz w:val="24"/>
          <w:szCs w:val="24"/>
          <w:highlight w:val="none"/>
          <w:u w:val="single"/>
          <w:lang w:val="en-US" w:eastAsia="zh-CN"/>
        </w:rPr>
        <w:t>本溪</w:t>
      </w:r>
      <w:r>
        <w:rPr>
          <w:rFonts w:hint="eastAsia" w:ascii="仿宋_GB2312" w:hAnsi="仿宋" w:eastAsia="仿宋_GB2312"/>
          <w:b w:val="0"/>
          <w:bCs w:val="0"/>
          <w:color w:val="FF0000"/>
          <w:sz w:val="24"/>
          <w:szCs w:val="24"/>
          <w:highlight w:val="none"/>
          <w:u w:val="single"/>
        </w:rPr>
        <w:t xml:space="preserve"> </w:t>
      </w:r>
      <w:r>
        <w:rPr>
          <w:rFonts w:hint="eastAsia" w:ascii="仿宋_GB2312" w:hAnsi="仿宋" w:eastAsia="仿宋_GB2312"/>
          <w:b w:val="0"/>
          <w:bCs w:val="0"/>
          <w:color w:val="FF0000"/>
          <w:sz w:val="24"/>
          <w:szCs w:val="24"/>
          <w:highlight w:val="none"/>
        </w:rPr>
        <w:t>（市）</w:t>
      </w:r>
      <w:r>
        <w:rPr>
          <w:rFonts w:hint="eastAsia" w:ascii="仿宋_GB2312" w:hAnsi="仿宋" w:eastAsia="仿宋_GB2312"/>
          <w:b w:val="0"/>
          <w:bCs w:val="0"/>
          <w:sz w:val="24"/>
          <w:szCs w:val="24"/>
          <w:highlight w:val="none"/>
        </w:rPr>
        <w:t>有关规范、规定、标准。</w:t>
      </w:r>
    </w:p>
    <w:p w14:paraId="3FE6BDDE">
      <w:pPr>
        <w:pStyle w:val="18"/>
        <w:spacing w:before="0" w:beforeLines="0"/>
        <w:ind w:firstLine="482"/>
        <w:rPr>
          <w:rFonts w:ascii="仿宋_GB2312" w:hAnsi="仿宋" w:eastAsia="仿宋_GB2312"/>
          <w:b/>
          <w:bCs/>
          <w:color w:val="auto"/>
          <w:sz w:val="24"/>
          <w:szCs w:val="24"/>
          <w:highlight w:val="none"/>
        </w:rPr>
      </w:pPr>
      <w:r>
        <w:rPr>
          <w:rFonts w:hint="eastAsia" w:ascii="仿宋_GB2312" w:hAnsi="仿宋" w:eastAsia="仿宋_GB2312"/>
          <w:b/>
          <w:bCs/>
          <w:color w:val="auto"/>
          <w:sz w:val="24"/>
          <w:szCs w:val="24"/>
          <w:highlight w:val="none"/>
        </w:rPr>
        <w:t>机制砂、混合砂、再生骨料等非传统原材料限制使用。</w:t>
      </w:r>
    </w:p>
    <w:p w14:paraId="467796DE">
      <w:pPr>
        <w:pStyle w:val="18"/>
        <w:spacing w:before="0" w:beforeLines="0"/>
        <w:ind w:firstLine="482"/>
        <w:rPr>
          <w:rFonts w:ascii="仿宋_GB2312" w:hAnsi="仿宋" w:eastAsia="仿宋_GB2312"/>
          <w:b/>
          <w:bCs/>
          <w:color w:val="auto"/>
          <w:sz w:val="24"/>
          <w:szCs w:val="24"/>
          <w:highlight w:val="none"/>
        </w:rPr>
      </w:pPr>
      <w:r>
        <w:rPr>
          <w:rFonts w:hint="eastAsia" w:ascii="仿宋_GB2312" w:hAnsi="仿宋" w:eastAsia="仿宋_GB2312"/>
          <w:b/>
          <w:bCs/>
          <w:color w:val="auto"/>
          <w:sz w:val="24"/>
          <w:szCs w:val="24"/>
          <w:highlight w:val="none"/>
        </w:rPr>
        <w:t>未经有效净化的海砂、钢渣等危害材料禁止使用。</w:t>
      </w:r>
    </w:p>
    <w:p w14:paraId="33E30ABC">
      <w:pPr>
        <w:pStyle w:val="3"/>
        <w:keepNext w:val="0"/>
        <w:keepLines w:val="0"/>
        <w:tabs>
          <w:tab w:val="left" w:pos="567"/>
        </w:tabs>
        <w:spacing w:before="0" w:line="240" w:lineRule="auto"/>
        <w:ind w:firstLine="482" w:firstLineChars="200"/>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.5.1水泥：</w:t>
      </w:r>
      <w:r>
        <w:rPr>
          <w:rFonts w:hint="eastAsia" w:ascii="仿宋_GB2312" w:hAnsi="仿宋" w:eastAsia="仿宋_GB2312"/>
          <w:b w:val="0"/>
          <w:bCs w:val="0"/>
          <w:sz w:val="24"/>
          <w:szCs w:val="24"/>
          <w:highlight w:val="none"/>
        </w:rPr>
        <w:t>配制耐久混凝土的水泥可采用硅酸盐水泥、普通硅酸盐水泥或矿渣硅酸盐水泥。不论骨料是否具有活性，水泥的含碱量（等效Na2O）均不宜超过水泥重的0.6%。在配制混凝土所用的各种原材料的氯离子含量分别不应超过胶凝材料重量的0.1%和0.06%。水泥必须保证同一厂家、同一品牌、同一强度等级产品。水泥存储超过三个月后，应重新进行物理性能检验，并按复验的结果使用，但不能用于结构的重要部位。</w:t>
      </w:r>
    </w:p>
    <w:p w14:paraId="38DF173D">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.5.2矿物掺合料：</w:t>
      </w:r>
      <w:r>
        <w:rPr>
          <w:rFonts w:hint="eastAsia" w:ascii="仿宋_GB2312" w:hAnsi="仿宋" w:eastAsia="仿宋_GB2312"/>
          <w:b w:val="0"/>
          <w:bCs w:val="0"/>
          <w:sz w:val="24"/>
          <w:szCs w:val="24"/>
          <w:highlight w:val="none"/>
        </w:rPr>
        <w:t>配制耐久性混凝土所用的粉煤灰应选用来料均匀、各项性能指标稳定的一级或二级灰。粉煤灰的烧失量应尽可能低并不大于4%，三氧化硫含量不大于3%，不宜超过在满足强度需要的前提下，粉煤灰掺量30%。磨细的粒化高炉矿渣的比表面积不宜小于3500cm2/g，但过高的细度也不利于控制水化热和混凝土的防裂。</w:t>
      </w:r>
    </w:p>
    <w:p w14:paraId="3AB34245">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.5.3粗细骨料：</w:t>
      </w:r>
      <w:r>
        <w:rPr>
          <w:rFonts w:hint="eastAsia" w:ascii="仿宋_GB2312" w:hAnsi="仿宋" w:eastAsia="仿宋_GB2312"/>
          <w:b w:val="0"/>
          <w:bCs w:val="0"/>
          <w:sz w:val="24"/>
          <w:szCs w:val="24"/>
          <w:highlight w:val="none"/>
        </w:rPr>
        <w:t>质地均匀坚固，粒形和级配良好，空隙率小（粗骨料堆积密度一般大于1500kg/m3，对较致密石子如石灰岩大于1600kg/m3，即空隙率约不超过40%，对不同细度模数的砂子，控制5mm、0.63mm和0.16mm筛的累计筛余量 分别为0~5%、40~70%和≥95%）粗骨料的压碎指标不大于10%，吸水率不大于2%。对于可能处于干湿循环下的混凝土，粗、细骨料中的含泥量应分别低于0.7%和1%，粗细骨料中的水溶性氯化物折合氯离子含量应均不超过骨料重的0.2%，硫酸盐和硫化物中的SO3离子含量应均不超过骨料重的0.5%。外加剂中的氯离子含量不得大于混凝土中胶凝材料重量的0.02%，高效减水剂中的硫酸钠含量不大于减水剂干重的15%。对于可能处于潮湿环境的砼，当砼中含碱量不明时，不得采用有潜在活性的骨料。如因条件所限制抑制碱骨料反应的可靠措施并通过专门的检测和论证。</w:t>
      </w:r>
    </w:p>
    <w:p w14:paraId="072AC6A3">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.5.4混凝土外加剂（包括抗裂防水剂）：</w:t>
      </w:r>
      <w:r>
        <w:rPr>
          <w:rFonts w:hint="eastAsia" w:ascii="仿宋_GB2312" w:hAnsi="仿宋" w:eastAsia="仿宋_GB2312"/>
          <w:b w:val="0"/>
          <w:bCs w:val="0"/>
          <w:sz w:val="24"/>
          <w:szCs w:val="24"/>
          <w:highlight w:val="none"/>
        </w:rPr>
        <w:t>砼的化学外加剂及其使用应符合以下要求：各种外加剂应有厂商提供的推荐掺量与相应减水率，主要成分（包括复合组分）的化学名称，氯离子含量百分比，含碱量，以及施工中必要的注意事项如超量或欠量使用时的有害影响，掺和方法和成功的使用证明等。当砼使用各种外加剂时，应事先测定它们之间的相溶性。混凝土外加剂必须选用符合国家政府部门及建设单位所规定批准使用的品种和生产厂家，使用前应得到买方的认可。</w:t>
      </w:r>
    </w:p>
    <w:p w14:paraId="4C2D65E1">
      <w:pPr>
        <w:pStyle w:val="2"/>
        <w:keepNext w:val="0"/>
        <w:keepLines w:val="0"/>
        <w:spacing w:line="240" w:lineRule="auto"/>
        <w:ind w:firstLine="482"/>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.6产品质量要求：</w:t>
      </w:r>
    </w:p>
    <w:p w14:paraId="7FB9E56B">
      <w:pPr>
        <w:pStyle w:val="3"/>
        <w:keepNext w:val="0"/>
        <w:keepLines w:val="0"/>
        <w:tabs>
          <w:tab w:val="left" w:pos="567"/>
        </w:tabs>
        <w:spacing w:before="0" w:line="240" w:lineRule="auto"/>
        <w:ind w:firstLine="482" w:firstLineChars="200"/>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.6.1</w:t>
      </w:r>
      <w:r>
        <w:rPr>
          <w:rFonts w:hint="eastAsia" w:ascii="仿宋_GB2312" w:hAnsi="仿宋" w:eastAsia="仿宋_GB2312"/>
          <w:sz w:val="24"/>
          <w:szCs w:val="24"/>
          <w:highlight w:val="none"/>
          <w:lang w:val="en-US" w:eastAsia="zh-CN"/>
        </w:rPr>
        <w:t>混凝土强度等级C30，抗冻等级F200。</w:t>
      </w:r>
    </w:p>
    <w:p w14:paraId="7A2097F5">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.6.2混凝土配合比：</w:t>
      </w:r>
      <w:r>
        <w:rPr>
          <w:rFonts w:hint="eastAsia" w:ascii="仿宋_GB2312" w:hAnsi="仿宋" w:eastAsia="仿宋_GB2312"/>
          <w:b w:val="0"/>
          <w:bCs w:val="0"/>
          <w:sz w:val="24"/>
          <w:szCs w:val="24"/>
          <w:highlight w:val="none"/>
          <w:lang w:val="en-US" w:eastAsia="zh-CN"/>
        </w:rPr>
        <w:t>乙</w:t>
      </w:r>
      <w:r>
        <w:rPr>
          <w:rFonts w:hint="eastAsia" w:ascii="仿宋_GB2312" w:hAnsi="仿宋" w:eastAsia="仿宋_GB2312"/>
          <w:b w:val="0"/>
          <w:bCs w:val="0"/>
          <w:sz w:val="24"/>
          <w:szCs w:val="24"/>
          <w:highlight w:val="none"/>
        </w:rPr>
        <w:t>方根据所选出的原材料及外加剂、掺和料等，依据本合同第2.3条中有关的规范、规定、标准进行混凝土试配，得出优化配合比。</w:t>
      </w:r>
    </w:p>
    <w:p w14:paraId="2CFE2DC7">
      <w:pPr>
        <w:pStyle w:val="3"/>
        <w:keepNext w:val="0"/>
        <w:keepLines w:val="0"/>
        <w:tabs>
          <w:tab w:val="left" w:pos="567"/>
        </w:tabs>
        <w:spacing w:before="0" w:line="240" w:lineRule="auto"/>
        <w:ind w:firstLine="480" w:firstLineChars="200"/>
        <w:rPr>
          <w:rFonts w:ascii="仿宋_GB2312" w:hAnsi="仿宋" w:eastAsia="仿宋_GB2312"/>
          <w:sz w:val="24"/>
          <w:szCs w:val="24"/>
          <w:highlight w:val="none"/>
        </w:rPr>
      </w:pPr>
      <w:r>
        <w:rPr>
          <w:rFonts w:hint="eastAsia" w:ascii="仿宋_GB2312" w:hAnsi="仿宋" w:eastAsia="仿宋_GB2312"/>
          <w:b w:val="0"/>
          <w:bCs w:val="0"/>
          <w:sz w:val="24"/>
          <w:szCs w:val="24"/>
          <w:highlight w:val="none"/>
        </w:rPr>
        <w:t>当出现下列情况之一时，卖方应对混凝土配合比重新设计：</w:t>
      </w:r>
    </w:p>
    <w:p w14:paraId="7870E6BB">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（1）原材料的生产厂家或品种有变化时；</w:t>
      </w:r>
    </w:p>
    <w:p w14:paraId="571F5F58">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（2）该配合比的混凝土生产间断半年以上；</w:t>
      </w:r>
    </w:p>
    <w:p w14:paraId="268B7046">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（3）</w:t>
      </w:r>
      <w:r>
        <w:rPr>
          <w:rFonts w:hint="eastAsia" w:ascii="仿宋_GB2312" w:hAnsi="仿宋" w:eastAsia="仿宋_GB2312"/>
          <w:sz w:val="24"/>
          <w:szCs w:val="24"/>
          <w:highlight w:val="none"/>
          <w:lang w:val="en-US" w:eastAsia="zh-CN"/>
        </w:rPr>
        <w:t>甲</w:t>
      </w:r>
      <w:r>
        <w:rPr>
          <w:rFonts w:hint="eastAsia" w:ascii="仿宋_GB2312" w:hAnsi="仿宋" w:eastAsia="仿宋_GB2312"/>
          <w:sz w:val="24"/>
          <w:szCs w:val="24"/>
          <w:highlight w:val="none"/>
        </w:rPr>
        <w:t>方、监理或建设单位提出更改意见。</w:t>
      </w:r>
    </w:p>
    <w:p w14:paraId="07271EFD">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.6.3凝结时间的控制：</w:t>
      </w:r>
      <w:r>
        <w:rPr>
          <w:rFonts w:hint="eastAsia" w:ascii="仿宋_GB2312" w:hAnsi="仿宋" w:eastAsia="仿宋_GB2312"/>
          <w:b w:val="0"/>
          <w:bCs w:val="0"/>
          <w:sz w:val="24"/>
          <w:szCs w:val="24"/>
          <w:highlight w:val="none"/>
          <w:lang w:val="en-US" w:eastAsia="zh-CN"/>
        </w:rPr>
        <w:t>乙</w:t>
      </w:r>
      <w:r>
        <w:rPr>
          <w:rFonts w:hint="eastAsia" w:ascii="仿宋_GB2312" w:hAnsi="仿宋" w:eastAsia="仿宋_GB2312"/>
          <w:b w:val="0"/>
          <w:bCs w:val="0"/>
          <w:sz w:val="24"/>
          <w:szCs w:val="24"/>
          <w:highlight w:val="none"/>
        </w:rPr>
        <w:t>方应根据至现场的交通状况在混凝土中适当添加缓凝剂，并考虑途中失水的情况，满足买方施工现场的使用要求。混凝土到场应按规定对每车混凝土进行诸如坍落度等的检查，不符合申请要求的无条件清退。如因</w:t>
      </w:r>
      <w:r>
        <w:rPr>
          <w:rFonts w:hint="eastAsia" w:ascii="仿宋_GB2312" w:hAnsi="仿宋" w:eastAsia="仿宋_GB2312"/>
          <w:b w:val="0"/>
          <w:bCs w:val="0"/>
          <w:sz w:val="24"/>
          <w:szCs w:val="24"/>
          <w:highlight w:val="none"/>
          <w:lang w:val="en-US" w:eastAsia="zh-CN"/>
        </w:rPr>
        <w:t>乙</w:t>
      </w:r>
      <w:r>
        <w:rPr>
          <w:rFonts w:hint="eastAsia" w:ascii="仿宋_GB2312" w:hAnsi="仿宋" w:eastAsia="仿宋_GB2312"/>
          <w:b w:val="0"/>
          <w:bCs w:val="0"/>
          <w:sz w:val="24"/>
          <w:szCs w:val="24"/>
          <w:highlight w:val="none"/>
        </w:rPr>
        <w:t>方混凝土坍落度原因造成的混凝土泵送困难，造成的损失由</w:t>
      </w:r>
      <w:r>
        <w:rPr>
          <w:rFonts w:hint="eastAsia" w:ascii="仿宋_GB2312" w:hAnsi="仿宋" w:eastAsia="仿宋_GB2312"/>
          <w:b w:val="0"/>
          <w:bCs w:val="0"/>
          <w:sz w:val="24"/>
          <w:szCs w:val="24"/>
          <w:highlight w:val="none"/>
          <w:lang w:val="en-US" w:eastAsia="zh-CN"/>
        </w:rPr>
        <w:t>乙</w:t>
      </w:r>
      <w:r>
        <w:rPr>
          <w:rFonts w:hint="eastAsia" w:ascii="仿宋_GB2312" w:hAnsi="仿宋" w:eastAsia="仿宋_GB2312"/>
          <w:b w:val="0"/>
          <w:bCs w:val="0"/>
          <w:sz w:val="24"/>
          <w:szCs w:val="24"/>
          <w:highlight w:val="none"/>
        </w:rPr>
        <w:t>方承担。</w:t>
      </w:r>
    </w:p>
    <w:p w14:paraId="58EE1938">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.6.4</w:t>
      </w:r>
      <w:r>
        <w:rPr>
          <w:rFonts w:hint="eastAsia" w:ascii="仿宋_GB2312" w:hAnsi="仿宋" w:eastAsia="仿宋_GB2312"/>
          <w:b w:val="0"/>
          <w:bCs w:val="0"/>
          <w:sz w:val="24"/>
          <w:szCs w:val="24"/>
          <w:highlight w:val="none"/>
        </w:rPr>
        <w:t>符合大体积混凝土施工的构件混凝土应加掺和料及外加剂(如掺粉煤灰及减水剂等)，以减少大体积混凝土水化热。</w:t>
      </w:r>
    </w:p>
    <w:p w14:paraId="73AF4B16">
      <w:pPr>
        <w:pStyle w:val="3"/>
        <w:keepNext w:val="0"/>
        <w:keepLines w:val="0"/>
        <w:tabs>
          <w:tab w:val="left" w:pos="567"/>
        </w:tabs>
        <w:spacing w:before="0" w:line="240" w:lineRule="auto"/>
        <w:ind w:firstLine="482" w:firstLineChars="200"/>
        <w:rPr>
          <w:rFonts w:ascii="仿宋_GB2312" w:hAnsi="仿宋" w:eastAsia="仿宋_GB2312"/>
          <w:b w:val="0"/>
          <w:bCs w:val="0"/>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w:t>
      </w:r>
      <w:r>
        <w:rPr>
          <w:rFonts w:ascii="仿宋_GB2312" w:hAnsi="仿宋" w:eastAsia="仿宋_GB2312"/>
          <w:sz w:val="24"/>
          <w:szCs w:val="24"/>
          <w:highlight w:val="none"/>
        </w:rPr>
        <w:t>5</w:t>
      </w:r>
      <w:r>
        <w:rPr>
          <w:rFonts w:hint="eastAsia" w:ascii="仿宋_GB2312" w:hAnsi="仿宋" w:eastAsia="仿宋_GB2312"/>
          <w:b w:val="0"/>
          <w:bCs w:val="0"/>
          <w:sz w:val="24"/>
          <w:szCs w:val="24"/>
          <w:highlight w:val="none"/>
        </w:rPr>
        <w:t>在风雨或暴热天气运输混凝土，罐车上应加遮盖或浇水降温，以防进水、水分蒸发、或混凝土温度过高。冬季施工时采取水泥投料前预热、砼运输罐体加以保温等措施以确保混凝土入模温度符合规范要求。</w:t>
      </w:r>
    </w:p>
    <w:p w14:paraId="657AB14F">
      <w:pPr>
        <w:pStyle w:val="3"/>
        <w:keepNext w:val="0"/>
        <w:keepLines w:val="0"/>
        <w:tabs>
          <w:tab w:val="left" w:pos="567"/>
        </w:tabs>
        <w:spacing w:before="0" w:line="240" w:lineRule="auto"/>
        <w:ind w:firstLine="482" w:firstLineChars="200"/>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.6.6</w:t>
      </w:r>
      <w:r>
        <w:rPr>
          <w:rFonts w:hint="eastAsia" w:ascii="仿宋_GB2312" w:hAnsi="仿宋" w:eastAsia="仿宋_GB2312"/>
          <w:b w:val="0"/>
          <w:bCs w:val="0"/>
          <w:sz w:val="24"/>
          <w:szCs w:val="24"/>
          <w:highlight w:val="none"/>
        </w:rPr>
        <w:t>产品的质量必须完全符合国家有关技术标准、规范的要求、达到</w:t>
      </w:r>
      <w:r>
        <w:rPr>
          <w:rFonts w:hint="eastAsia" w:ascii="仿宋_GB2312" w:hAnsi="仿宋" w:eastAsia="仿宋_GB2312"/>
          <w:b w:val="0"/>
          <w:bCs w:val="0"/>
          <w:sz w:val="24"/>
          <w:szCs w:val="24"/>
          <w:highlight w:val="none"/>
          <w:lang w:val="en-US" w:eastAsia="zh-CN"/>
        </w:rPr>
        <w:t>乙</w:t>
      </w:r>
      <w:r>
        <w:rPr>
          <w:rFonts w:hint="eastAsia" w:ascii="仿宋_GB2312" w:hAnsi="仿宋" w:eastAsia="仿宋_GB2312"/>
          <w:b w:val="0"/>
          <w:bCs w:val="0"/>
          <w:sz w:val="24"/>
          <w:szCs w:val="24"/>
          <w:highlight w:val="none"/>
        </w:rPr>
        <w:t>方提供的产品资料所述性能，并满足</w:t>
      </w:r>
      <w:r>
        <w:rPr>
          <w:rFonts w:hint="eastAsia" w:ascii="仿宋_GB2312" w:hAnsi="仿宋" w:eastAsia="仿宋_GB2312"/>
          <w:b w:val="0"/>
          <w:bCs w:val="0"/>
          <w:sz w:val="24"/>
          <w:szCs w:val="24"/>
          <w:highlight w:val="none"/>
          <w:lang w:val="en-US" w:eastAsia="zh-CN"/>
        </w:rPr>
        <w:t>甲</w:t>
      </w:r>
      <w:r>
        <w:rPr>
          <w:rFonts w:hint="eastAsia" w:ascii="仿宋_GB2312" w:hAnsi="仿宋" w:eastAsia="仿宋_GB2312"/>
          <w:b w:val="0"/>
          <w:bCs w:val="0"/>
          <w:sz w:val="24"/>
          <w:szCs w:val="24"/>
          <w:highlight w:val="none"/>
        </w:rPr>
        <w:t>方的要求。</w:t>
      </w:r>
      <w:r>
        <w:rPr>
          <w:rFonts w:hint="eastAsia" w:ascii="仿宋_GB2312" w:hAnsi="仿宋" w:eastAsia="仿宋_GB2312"/>
          <w:b w:val="0"/>
          <w:bCs w:val="0"/>
          <w:sz w:val="24"/>
          <w:szCs w:val="24"/>
          <w:highlight w:val="none"/>
          <w:lang w:val="en-US" w:eastAsia="zh-CN"/>
        </w:rPr>
        <w:t>乙</w:t>
      </w:r>
      <w:r>
        <w:rPr>
          <w:rFonts w:hint="eastAsia" w:ascii="仿宋_GB2312" w:hAnsi="仿宋" w:eastAsia="仿宋_GB2312"/>
          <w:b w:val="0"/>
          <w:bCs w:val="0"/>
          <w:sz w:val="24"/>
          <w:szCs w:val="24"/>
          <w:highlight w:val="none"/>
        </w:rPr>
        <w:t>方应保证产品经过正常使用条件下，在其设计期限内具有可靠的性能。混凝土配合比应按使用年限100年及所处环境类别进行设计，混凝土的抗裂性、护筋性、耐腐性、抗冻性、耐磨性及抗碱-骨料反应性等应符合结构的设计年限和所处环境类别及作用等级的要求，混凝土的电通量应满足下表规定：</w:t>
      </w:r>
    </w:p>
    <w:tbl>
      <w:tblPr>
        <w:tblStyle w:val="13"/>
        <w:tblW w:w="5810" w:type="dxa"/>
        <w:tblInd w:w="1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9"/>
        <w:gridCol w:w="2551"/>
      </w:tblGrid>
      <w:tr w14:paraId="3307F11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3259" w:type="dxa"/>
            <w:vAlign w:val="center"/>
          </w:tcPr>
          <w:p w14:paraId="7B4007B1">
            <w:pPr>
              <w:rPr>
                <w:rFonts w:ascii="仿宋_GB2312" w:hAnsi="仿宋" w:eastAsia="仿宋_GB2312"/>
                <w:sz w:val="24"/>
                <w:szCs w:val="24"/>
                <w:highlight w:val="none"/>
              </w:rPr>
            </w:pPr>
            <w:r>
              <w:rPr>
                <w:rFonts w:hint="eastAsia" w:ascii="仿宋_GB2312" w:hAnsi="仿宋" w:eastAsia="仿宋_GB2312"/>
                <w:sz w:val="24"/>
                <w:szCs w:val="24"/>
                <w:highlight w:val="none"/>
              </w:rPr>
              <w:t>混凝土强度等级</w:t>
            </w:r>
          </w:p>
        </w:tc>
        <w:tc>
          <w:tcPr>
            <w:tcW w:w="2551" w:type="dxa"/>
            <w:vAlign w:val="center"/>
          </w:tcPr>
          <w:p w14:paraId="0C99F56D">
            <w:pPr>
              <w:rPr>
                <w:rFonts w:ascii="仿宋_GB2312" w:hAnsi="仿宋" w:eastAsia="仿宋_GB2312"/>
                <w:sz w:val="24"/>
                <w:szCs w:val="24"/>
                <w:highlight w:val="none"/>
              </w:rPr>
            </w:pPr>
            <w:r>
              <w:rPr>
                <w:rFonts w:hint="eastAsia" w:ascii="仿宋_GB2312" w:hAnsi="仿宋" w:eastAsia="仿宋_GB2312"/>
                <w:sz w:val="24"/>
                <w:szCs w:val="24"/>
                <w:highlight w:val="none"/>
              </w:rPr>
              <w:t>电通量</w:t>
            </w:r>
          </w:p>
        </w:tc>
      </w:tr>
      <w:tr w14:paraId="729F81F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3259" w:type="dxa"/>
            <w:vAlign w:val="center"/>
          </w:tcPr>
          <w:p w14:paraId="0866B3BD">
            <w:pPr>
              <w:rPr>
                <w:rFonts w:ascii="仿宋_GB2312" w:hAnsi="仿宋" w:eastAsia="仿宋_GB2312"/>
                <w:sz w:val="24"/>
                <w:szCs w:val="24"/>
                <w:highlight w:val="none"/>
              </w:rPr>
            </w:pPr>
            <w:r>
              <w:rPr>
                <w:rFonts w:hint="eastAsia" w:ascii="仿宋_GB2312" w:hAnsi="仿宋" w:eastAsia="仿宋_GB2312"/>
                <w:sz w:val="24"/>
                <w:szCs w:val="24"/>
                <w:highlight w:val="none"/>
              </w:rPr>
              <w:t>＜C30</w:t>
            </w:r>
          </w:p>
        </w:tc>
        <w:tc>
          <w:tcPr>
            <w:tcW w:w="2551" w:type="dxa"/>
            <w:vAlign w:val="center"/>
          </w:tcPr>
          <w:p w14:paraId="6388BBB7">
            <w:pPr>
              <w:rPr>
                <w:rFonts w:ascii="仿宋_GB2312" w:hAnsi="仿宋" w:eastAsia="仿宋_GB2312"/>
                <w:sz w:val="24"/>
                <w:szCs w:val="24"/>
                <w:highlight w:val="none"/>
              </w:rPr>
            </w:pPr>
            <w:r>
              <w:rPr>
                <w:rFonts w:hint="eastAsia" w:ascii="仿宋_GB2312" w:hAnsi="仿宋" w:eastAsia="仿宋_GB2312"/>
                <w:sz w:val="24"/>
                <w:szCs w:val="24"/>
                <w:highlight w:val="none"/>
              </w:rPr>
              <w:t>＜2000</w:t>
            </w:r>
          </w:p>
        </w:tc>
      </w:tr>
      <w:tr w14:paraId="35AC27F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3259" w:type="dxa"/>
            <w:vAlign w:val="center"/>
          </w:tcPr>
          <w:p w14:paraId="6B3DB832">
            <w:pPr>
              <w:rPr>
                <w:rFonts w:ascii="仿宋_GB2312" w:hAnsi="仿宋" w:eastAsia="仿宋_GB2312"/>
                <w:sz w:val="24"/>
                <w:szCs w:val="24"/>
                <w:highlight w:val="none"/>
              </w:rPr>
            </w:pPr>
            <w:r>
              <w:rPr>
                <w:rFonts w:hint="eastAsia" w:ascii="仿宋_GB2312" w:hAnsi="仿宋" w:eastAsia="仿宋_GB2312"/>
                <w:sz w:val="24"/>
                <w:szCs w:val="24"/>
                <w:highlight w:val="none"/>
              </w:rPr>
              <w:t>C30~C45</w:t>
            </w:r>
          </w:p>
        </w:tc>
        <w:tc>
          <w:tcPr>
            <w:tcW w:w="2551" w:type="dxa"/>
            <w:vAlign w:val="center"/>
          </w:tcPr>
          <w:p w14:paraId="6C543F21">
            <w:pPr>
              <w:rPr>
                <w:rFonts w:ascii="仿宋_GB2312" w:hAnsi="仿宋" w:eastAsia="仿宋_GB2312"/>
                <w:sz w:val="24"/>
                <w:szCs w:val="24"/>
                <w:highlight w:val="none"/>
              </w:rPr>
            </w:pPr>
            <w:r>
              <w:rPr>
                <w:rFonts w:hint="eastAsia" w:ascii="仿宋_GB2312" w:hAnsi="仿宋" w:eastAsia="仿宋_GB2312"/>
                <w:sz w:val="24"/>
                <w:szCs w:val="24"/>
                <w:highlight w:val="none"/>
              </w:rPr>
              <w:t>＜1500</w:t>
            </w:r>
          </w:p>
        </w:tc>
      </w:tr>
      <w:tr w14:paraId="48986C6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3259" w:type="dxa"/>
            <w:vAlign w:val="center"/>
          </w:tcPr>
          <w:p w14:paraId="345F7971">
            <w:pPr>
              <w:rPr>
                <w:rFonts w:ascii="仿宋_GB2312" w:hAnsi="仿宋" w:eastAsia="仿宋_GB2312"/>
                <w:sz w:val="24"/>
                <w:szCs w:val="24"/>
                <w:highlight w:val="none"/>
              </w:rPr>
            </w:pPr>
            <w:r>
              <w:rPr>
                <w:rFonts w:hint="eastAsia" w:ascii="仿宋_GB2312" w:hAnsi="仿宋" w:eastAsia="仿宋_GB2312"/>
                <w:sz w:val="24"/>
                <w:szCs w:val="24"/>
                <w:highlight w:val="none"/>
              </w:rPr>
              <w:t>≥C50</w:t>
            </w:r>
          </w:p>
        </w:tc>
        <w:tc>
          <w:tcPr>
            <w:tcW w:w="2551" w:type="dxa"/>
            <w:vAlign w:val="center"/>
          </w:tcPr>
          <w:p w14:paraId="3A5B3377">
            <w:pPr>
              <w:rPr>
                <w:rFonts w:ascii="仿宋_GB2312" w:hAnsi="仿宋" w:eastAsia="仿宋_GB2312"/>
                <w:sz w:val="24"/>
                <w:szCs w:val="24"/>
                <w:highlight w:val="none"/>
              </w:rPr>
            </w:pPr>
            <w:r>
              <w:rPr>
                <w:rFonts w:hint="eastAsia" w:ascii="仿宋_GB2312" w:hAnsi="仿宋" w:eastAsia="仿宋_GB2312"/>
                <w:sz w:val="24"/>
                <w:szCs w:val="24"/>
                <w:highlight w:val="none"/>
              </w:rPr>
              <w:t>＜1000</w:t>
            </w:r>
          </w:p>
        </w:tc>
      </w:tr>
    </w:tbl>
    <w:p w14:paraId="38904CCD">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（1）</w:t>
      </w:r>
      <w:r>
        <w:rPr>
          <w:rFonts w:hint="eastAsia" w:ascii="仿宋_GB2312" w:hAnsi="仿宋" w:eastAsia="仿宋_GB2312"/>
          <w:sz w:val="24"/>
          <w:szCs w:val="24"/>
          <w:highlight w:val="none"/>
          <w:lang w:val="en-US" w:eastAsia="zh-CN"/>
        </w:rPr>
        <w:t>乙</w:t>
      </w:r>
      <w:r>
        <w:rPr>
          <w:rFonts w:hint="eastAsia" w:ascii="仿宋_GB2312" w:hAnsi="仿宋" w:eastAsia="仿宋_GB2312"/>
          <w:sz w:val="24"/>
          <w:szCs w:val="24"/>
          <w:highlight w:val="none"/>
        </w:rPr>
        <w:t>方所提供混凝土必须符合国家质量《预拌混凝土》(GBT14902-2012)标准，出现混凝土不合格时，一切责任及损失由卖方承担。对C50级及以上混凝土，尚需满足设计图纸中弹性模量的要求值。</w:t>
      </w:r>
    </w:p>
    <w:p w14:paraId="53B4D9BE">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（2）砂、石符合《普通混凝土用砂、石质量及检验方法标准》(JGJ52-2006)。</w:t>
      </w:r>
    </w:p>
    <w:p w14:paraId="55195F27">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（3）水泥符合《通用硅酸盐水泥》(GB 175-2007/XG1-2009)国家标准第1号修改单。</w:t>
      </w:r>
    </w:p>
    <w:p w14:paraId="66317EC4">
      <w:pPr>
        <w:pStyle w:val="18"/>
        <w:spacing w:before="0" w:beforeLines="0"/>
        <w:ind w:firstLine="480"/>
        <w:rPr>
          <w:rFonts w:hint="eastAsia" w:ascii="仿宋_GB2312" w:hAnsi="仿宋" w:eastAsia="仿宋_GB2312"/>
          <w:sz w:val="24"/>
          <w:szCs w:val="24"/>
          <w:highlight w:val="none"/>
        </w:rPr>
      </w:pPr>
      <w:r>
        <w:rPr>
          <w:rFonts w:hint="eastAsia" w:ascii="仿宋_GB2312" w:hAnsi="仿宋" w:eastAsia="仿宋_GB2312"/>
          <w:sz w:val="24"/>
          <w:szCs w:val="24"/>
          <w:highlight w:val="none"/>
        </w:rPr>
        <w:t>（4）混凝土外加剂符合《混凝土外加剂》(GB8076-2008)标准及《混凝土外加剂匀质性试验方法》(GB/T 8077-2012)。</w:t>
      </w:r>
    </w:p>
    <w:p w14:paraId="51D4A34B">
      <w:pPr>
        <w:pStyle w:val="18"/>
        <w:spacing w:before="0" w:beforeLines="0"/>
        <w:ind w:firstLine="480"/>
        <w:rPr>
          <w:rFonts w:hint="eastAsia" w:ascii="仿宋_GB2312" w:hAnsi="仿宋" w:eastAsia="仿宋_GB2312"/>
          <w:sz w:val="24"/>
          <w:szCs w:val="24"/>
          <w:highlight w:val="none"/>
        </w:rPr>
      </w:pPr>
      <w:r>
        <w:rPr>
          <w:rFonts w:hint="eastAsia" w:ascii="仿宋_GB2312" w:hAnsi="仿宋" w:eastAsia="仿宋_GB2312"/>
          <w:sz w:val="24"/>
          <w:szCs w:val="24"/>
          <w:highlight w:val="none"/>
        </w:rPr>
        <w:t>（</w:t>
      </w:r>
      <w:r>
        <w:rPr>
          <w:rFonts w:hint="eastAsia" w:ascii="仿宋_GB2312" w:hAnsi="仿宋" w:eastAsia="仿宋_GB2312"/>
          <w:sz w:val="24"/>
          <w:szCs w:val="24"/>
          <w:highlight w:val="none"/>
          <w:lang w:val="en-US" w:eastAsia="zh-CN"/>
        </w:rPr>
        <w:t>5</w:t>
      </w:r>
      <w:r>
        <w:rPr>
          <w:rFonts w:hint="eastAsia" w:ascii="仿宋_GB2312" w:hAnsi="仿宋" w:eastAsia="仿宋_GB2312"/>
          <w:sz w:val="24"/>
          <w:szCs w:val="24"/>
          <w:highlight w:val="none"/>
        </w:rPr>
        <w:t>）混凝土用粉煤灰符合《用于水泥和混凝土中的粉煤灰》 (GB/T1596-2017)。</w:t>
      </w:r>
    </w:p>
    <w:p w14:paraId="33F4EDAB">
      <w:pPr>
        <w:pStyle w:val="18"/>
        <w:spacing w:before="0" w:beforeLines="0"/>
        <w:ind w:firstLine="480"/>
        <w:rPr>
          <w:rFonts w:hint="eastAsia" w:ascii="仿宋_GB2312" w:hAnsi="仿宋" w:eastAsia="仿宋_GB2312"/>
          <w:sz w:val="24"/>
          <w:szCs w:val="24"/>
          <w:highlight w:val="none"/>
        </w:rPr>
      </w:pPr>
      <w:r>
        <w:rPr>
          <w:rFonts w:hint="eastAsia" w:ascii="仿宋_GB2312" w:hAnsi="仿宋" w:eastAsia="仿宋_GB2312"/>
          <w:sz w:val="24"/>
          <w:szCs w:val="24"/>
          <w:highlight w:val="none"/>
        </w:rPr>
        <w:t>（6）混凝土用水符合《混凝土用水标准》(JGJ63-2006)。</w:t>
      </w:r>
    </w:p>
    <w:p w14:paraId="693D192F">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（7）一般环境下混凝土的最大水胶比和胶凝材料用量应符合下表规定：</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8"/>
        <w:gridCol w:w="1277"/>
        <w:gridCol w:w="1560"/>
        <w:gridCol w:w="1984"/>
        <w:gridCol w:w="1978"/>
      </w:tblGrid>
      <w:tr w14:paraId="13A8332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vAlign w:val="center"/>
          </w:tcPr>
          <w:p w14:paraId="1182A1A7">
            <w:pPr>
              <w:rPr>
                <w:rFonts w:ascii="仿宋_GB2312" w:hAnsi="仿宋" w:eastAsia="仿宋_GB2312"/>
                <w:sz w:val="24"/>
                <w:szCs w:val="24"/>
                <w:highlight w:val="none"/>
              </w:rPr>
            </w:pPr>
            <w:r>
              <w:rPr>
                <w:rFonts w:hint="eastAsia" w:ascii="仿宋_GB2312" w:hAnsi="仿宋" w:eastAsia="仿宋_GB2312"/>
                <w:sz w:val="24"/>
                <w:szCs w:val="24"/>
                <w:highlight w:val="none"/>
              </w:rPr>
              <w:t>混凝土强度等级</w:t>
            </w:r>
          </w:p>
        </w:tc>
        <w:tc>
          <w:tcPr>
            <w:tcW w:w="1277" w:type="dxa"/>
            <w:vAlign w:val="center"/>
          </w:tcPr>
          <w:p w14:paraId="524B37D5">
            <w:pPr>
              <w:rPr>
                <w:rFonts w:ascii="仿宋_GB2312" w:hAnsi="仿宋" w:eastAsia="仿宋_GB2312"/>
                <w:sz w:val="24"/>
                <w:szCs w:val="24"/>
                <w:highlight w:val="none"/>
              </w:rPr>
            </w:pPr>
            <w:r>
              <w:rPr>
                <w:rFonts w:hint="eastAsia" w:ascii="仿宋_GB2312" w:hAnsi="仿宋" w:eastAsia="仿宋_GB2312"/>
                <w:sz w:val="24"/>
                <w:szCs w:val="24"/>
                <w:highlight w:val="none"/>
              </w:rPr>
              <w:t>最大水胶比</w:t>
            </w:r>
          </w:p>
        </w:tc>
        <w:tc>
          <w:tcPr>
            <w:tcW w:w="1560" w:type="dxa"/>
            <w:vAlign w:val="center"/>
          </w:tcPr>
          <w:p w14:paraId="2DA7FE8D">
            <w:pPr>
              <w:rPr>
                <w:rFonts w:ascii="仿宋_GB2312" w:hAnsi="仿宋" w:eastAsia="仿宋_GB2312"/>
                <w:sz w:val="24"/>
                <w:szCs w:val="24"/>
                <w:highlight w:val="none"/>
              </w:rPr>
            </w:pPr>
            <w:r>
              <w:rPr>
                <w:rFonts w:hint="eastAsia" w:ascii="仿宋_GB2312" w:hAnsi="仿宋" w:eastAsia="仿宋_GB2312"/>
                <w:sz w:val="24"/>
                <w:szCs w:val="24"/>
                <w:highlight w:val="none"/>
              </w:rPr>
              <w:t>水泥最小用量</w:t>
            </w:r>
          </w:p>
        </w:tc>
        <w:tc>
          <w:tcPr>
            <w:tcW w:w="1984" w:type="dxa"/>
            <w:vAlign w:val="center"/>
          </w:tcPr>
          <w:p w14:paraId="527F0574">
            <w:pPr>
              <w:rPr>
                <w:rFonts w:ascii="仿宋_GB2312" w:hAnsi="仿宋" w:eastAsia="仿宋_GB2312"/>
                <w:sz w:val="24"/>
                <w:szCs w:val="24"/>
                <w:highlight w:val="none"/>
              </w:rPr>
            </w:pPr>
            <w:r>
              <w:rPr>
                <w:rFonts w:hint="eastAsia" w:ascii="仿宋_GB2312" w:hAnsi="仿宋" w:eastAsia="仿宋_GB2312"/>
                <w:sz w:val="24"/>
                <w:szCs w:val="24"/>
                <w:highlight w:val="none"/>
              </w:rPr>
              <w:t>胶凝材料最小用量</w:t>
            </w:r>
          </w:p>
        </w:tc>
        <w:tc>
          <w:tcPr>
            <w:tcW w:w="1978" w:type="dxa"/>
            <w:vAlign w:val="center"/>
          </w:tcPr>
          <w:p w14:paraId="58E0A11D">
            <w:pPr>
              <w:rPr>
                <w:rFonts w:ascii="仿宋_GB2312" w:hAnsi="仿宋" w:eastAsia="仿宋_GB2312"/>
                <w:sz w:val="24"/>
                <w:szCs w:val="24"/>
                <w:highlight w:val="none"/>
              </w:rPr>
            </w:pPr>
            <w:r>
              <w:rPr>
                <w:rFonts w:hint="eastAsia" w:ascii="仿宋_GB2312" w:hAnsi="仿宋" w:eastAsia="仿宋_GB2312"/>
                <w:sz w:val="24"/>
                <w:szCs w:val="24"/>
                <w:highlight w:val="none"/>
              </w:rPr>
              <w:t>胶凝材料最大用量</w:t>
            </w:r>
          </w:p>
        </w:tc>
      </w:tr>
      <w:tr w14:paraId="48D6A5F9">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vAlign w:val="center"/>
          </w:tcPr>
          <w:p w14:paraId="3AD17A30">
            <w:pPr>
              <w:rPr>
                <w:rFonts w:ascii="仿宋_GB2312" w:hAnsi="仿宋" w:eastAsia="仿宋_GB2312"/>
                <w:sz w:val="24"/>
                <w:szCs w:val="24"/>
                <w:highlight w:val="none"/>
              </w:rPr>
            </w:pPr>
            <w:r>
              <w:rPr>
                <w:rFonts w:hint="eastAsia" w:ascii="仿宋_GB2312" w:hAnsi="仿宋" w:eastAsia="仿宋_GB2312"/>
                <w:sz w:val="24"/>
                <w:szCs w:val="24"/>
                <w:highlight w:val="none"/>
              </w:rPr>
              <w:t>＜C30</w:t>
            </w:r>
          </w:p>
        </w:tc>
        <w:tc>
          <w:tcPr>
            <w:tcW w:w="1277" w:type="dxa"/>
            <w:vAlign w:val="center"/>
          </w:tcPr>
          <w:p w14:paraId="0D237F50">
            <w:pPr>
              <w:rPr>
                <w:rFonts w:ascii="仿宋_GB2312" w:hAnsi="仿宋" w:eastAsia="仿宋_GB2312"/>
                <w:sz w:val="24"/>
                <w:szCs w:val="24"/>
                <w:highlight w:val="none"/>
              </w:rPr>
            </w:pPr>
            <w:r>
              <w:rPr>
                <w:rFonts w:hint="eastAsia" w:ascii="仿宋_GB2312" w:hAnsi="仿宋" w:eastAsia="仿宋_GB2312"/>
                <w:sz w:val="24"/>
                <w:szCs w:val="24"/>
                <w:highlight w:val="none"/>
              </w:rPr>
              <w:t>0.45</w:t>
            </w:r>
          </w:p>
        </w:tc>
        <w:tc>
          <w:tcPr>
            <w:tcW w:w="1560" w:type="dxa"/>
            <w:vAlign w:val="center"/>
          </w:tcPr>
          <w:p w14:paraId="654B05B4">
            <w:pPr>
              <w:rPr>
                <w:rFonts w:ascii="仿宋_GB2312" w:hAnsi="仿宋" w:eastAsia="仿宋_GB2312"/>
                <w:sz w:val="24"/>
                <w:szCs w:val="24"/>
                <w:highlight w:val="none"/>
              </w:rPr>
            </w:pPr>
            <w:r>
              <w:rPr>
                <w:rFonts w:hint="eastAsia" w:ascii="仿宋_GB2312" w:hAnsi="仿宋" w:eastAsia="仿宋_GB2312"/>
                <w:sz w:val="24"/>
                <w:szCs w:val="24"/>
                <w:highlight w:val="none"/>
              </w:rPr>
              <w:t>280</w:t>
            </w:r>
          </w:p>
        </w:tc>
        <w:tc>
          <w:tcPr>
            <w:tcW w:w="1984" w:type="dxa"/>
            <w:vAlign w:val="center"/>
          </w:tcPr>
          <w:p w14:paraId="0C45B36D">
            <w:pPr>
              <w:rPr>
                <w:rFonts w:ascii="仿宋_GB2312" w:hAnsi="仿宋" w:eastAsia="仿宋_GB2312"/>
                <w:sz w:val="24"/>
                <w:szCs w:val="24"/>
                <w:highlight w:val="none"/>
              </w:rPr>
            </w:pPr>
            <w:r>
              <w:rPr>
                <w:rFonts w:hint="eastAsia" w:ascii="仿宋_GB2312" w:hAnsi="仿宋" w:eastAsia="仿宋_GB2312"/>
                <w:sz w:val="24"/>
                <w:szCs w:val="24"/>
                <w:highlight w:val="none"/>
              </w:rPr>
              <w:t>320</w:t>
            </w:r>
          </w:p>
        </w:tc>
        <w:tc>
          <w:tcPr>
            <w:tcW w:w="1978" w:type="dxa"/>
            <w:vAlign w:val="center"/>
          </w:tcPr>
          <w:p w14:paraId="0E5F4643">
            <w:pPr>
              <w:rPr>
                <w:rFonts w:ascii="仿宋_GB2312" w:hAnsi="仿宋" w:eastAsia="仿宋_GB2312"/>
                <w:sz w:val="24"/>
                <w:szCs w:val="24"/>
                <w:highlight w:val="none"/>
              </w:rPr>
            </w:pPr>
            <w:r>
              <w:rPr>
                <w:rFonts w:hint="eastAsia" w:ascii="仿宋_GB2312" w:hAnsi="仿宋" w:eastAsia="仿宋_GB2312"/>
                <w:sz w:val="24"/>
                <w:szCs w:val="24"/>
                <w:highlight w:val="none"/>
              </w:rPr>
              <w:t>400</w:t>
            </w:r>
          </w:p>
        </w:tc>
      </w:tr>
      <w:tr w14:paraId="052E57AF">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vAlign w:val="center"/>
          </w:tcPr>
          <w:p w14:paraId="7326B123">
            <w:pPr>
              <w:rPr>
                <w:rFonts w:ascii="仿宋_GB2312" w:hAnsi="仿宋" w:eastAsia="仿宋_GB2312"/>
                <w:sz w:val="24"/>
                <w:szCs w:val="24"/>
                <w:highlight w:val="none"/>
              </w:rPr>
            </w:pPr>
            <w:r>
              <w:rPr>
                <w:rFonts w:hint="eastAsia" w:ascii="仿宋_GB2312" w:hAnsi="仿宋" w:eastAsia="仿宋_GB2312"/>
                <w:sz w:val="24"/>
                <w:szCs w:val="24"/>
                <w:highlight w:val="none"/>
              </w:rPr>
              <w:t>C30~C45</w:t>
            </w:r>
          </w:p>
        </w:tc>
        <w:tc>
          <w:tcPr>
            <w:tcW w:w="1277" w:type="dxa"/>
            <w:vAlign w:val="center"/>
          </w:tcPr>
          <w:p w14:paraId="1C3E88A5">
            <w:pPr>
              <w:rPr>
                <w:rFonts w:ascii="仿宋_GB2312" w:hAnsi="仿宋" w:eastAsia="仿宋_GB2312"/>
                <w:sz w:val="24"/>
                <w:szCs w:val="24"/>
                <w:highlight w:val="none"/>
              </w:rPr>
            </w:pPr>
            <w:r>
              <w:rPr>
                <w:rFonts w:hint="eastAsia" w:ascii="仿宋_GB2312" w:hAnsi="仿宋" w:eastAsia="仿宋_GB2312"/>
                <w:sz w:val="24"/>
                <w:szCs w:val="24"/>
                <w:highlight w:val="none"/>
              </w:rPr>
              <w:t>0.43</w:t>
            </w:r>
          </w:p>
        </w:tc>
        <w:tc>
          <w:tcPr>
            <w:tcW w:w="1560" w:type="dxa"/>
            <w:vAlign w:val="center"/>
          </w:tcPr>
          <w:p w14:paraId="75C57CD5">
            <w:pPr>
              <w:rPr>
                <w:rFonts w:ascii="仿宋_GB2312" w:hAnsi="仿宋" w:eastAsia="仿宋_GB2312"/>
                <w:sz w:val="24"/>
                <w:szCs w:val="24"/>
                <w:highlight w:val="none"/>
              </w:rPr>
            </w:pPr>
            <w:r>
              <w:rPr>
                <w:rFonts w:hint="eastAsia" w:ascii="仿宋_GB2312" w:hAnsi="仿宋" w:eastAsia="仿宋_GB2312"/>
                <w:sz w:val="24"/>
                <w:szCs w:val="24"/>
                <w:highlight w:val="none"/>
              </w:rPr>
              <w:t>300</w:t>
            </w:r>
          </w:p>
        </w:tc>
        <w:tc>
          <w:tcPr>
            <w:tcW w:w="1984" w:type="dxa"/>
            <w:vAlign w:val="center"/>
          </w:tcPr>
          <w:p w14:paraId="0A9BDD9E">
            <w:pPr>
              <w:rPr>
                <w:rFonts w:ascii="仿宋_GB2312" w:hAnsi="仿宋" w:eastAsia="仿宋_GB2312"/>
                <w:sz w:val="24"/>
                <w:szCs w:val="24"/>
                <w:highlight w:val="none"/>
              </w:rPr>
            </w:pPr>
            <w:r>
              <w:rPr>
                <w:rFonts w:hint="eastAsia" w:ascii="仿宋_GB2312" w:hAnsi="仿宋" w:eastAsia="仿宋_GB2312"/>
                <w:sz w:val="24"/>
                <w:szCs w:val="24"/>
                <w:highlight w:val="none"/>
              </w:rPr>
              <w:t>350</w:t>
            </w:r>
          </w:p>
        </w:tc>
        <w:tc>
          <w:tcPr>
            <w:tcW w:w="1978" w:type="dxa"/>
            <w:vAlign w:val="center"/>
          </w:tcPr>
          <w:p w14:paraId="65F0D57B">
            <w:pPr>
              <w:rPr>
                <w:rFonts w:ascii="仿宋_GB2312" w:hAnsi="仿宋" w:eastAsia="仿宋_GB2312"/>
                <w:sz w:val="24"/>
                <w:szCs w:val="24"/>
                <w:highlight w:val="none"/>
              </w:rPr>
            </w:pPr>
            <w:r>
              <w:rPr>
                <w:rFonts w:hint="eastAsia" w:ascii="仿宋_GB2312" w:hAnsi="仿宋" w:eastAsia="仿宋_GB2312"/>
                <w:sz w:val="24"/>
                <w:szCs w:val="24"/>
                <w:highlight w:val="none"/>
              </w:rPr>
              <w:t>450</w:t>
            </w:r>
          </w:p>
        </w:tc>
      </w:tr>
      <w:tr w14:paraId="6C3E93A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8" w:type="dxa"/>
            <w:vAlign w:val="center"/>
          </w:tcPr>
          <w:p w14:paraId="3BF32DAB">
            <w:pPr>
              <w:rPr>
                <w:rFonts w:ascii="仿宋_GB2312" w:hAnsi="仿宋" w:eastAsia="仿宋_GB2312"/>
                <w:sz w:val="24"/>
                <w:szCs w:val="24"/>
                <w:highlight w:val="none"/>
              </w:rPr>
            </w:pPr>
            <w:r>
              <w:rPr>
                <w:rFonts w:hint="eastAsia" w:ascii="仿宋_GB2312" w:hAnsi="仿宋" w:eastAsia="仿宋_GB2312"/>
                <w:sz w:val="24"/>
                <w:szCs w:val="24"/>
                <w:highlight w:val="none"/>
              </w:rPr>
              <w:t>≥C50</w:t>
            </w:r>
          </w:p>
        </w:tc>
        <w:tc>
          <w:tcPr>
            <w:tcW w:w="1277" w:type="dxa"/>
            <w:vAlign w:val="center"/>
          </w:tcPr>
          <w:p w14:paraId="6D6263CD">
            <w:pPr>
              <w:rPr>
                <w:rFonts w:ascii="仿宋_GB2312" w:hAnsi="仿宋" w:eastAsia="仿宋_GB2312"/>
                <w:sz w:val="24"/>
                <w:szCs w:val="24"/>
                <w:highlight w:val="none"/>
              </w:rPr>
            </w:pPr>
            <w:r>
              <w:rPr>
                <w:rFonts w:hint="eastAsia" w:ascii="仿宋_GB2312" w:hAnsi="仿宋" w:eastAsia="仿宋_GB2312"/>
                <w:sz w:val="24"/>
                <w:szCs w:val="24"/>
                <w:highlight w:val="none"/>
              </w:rPr>
              <w:t>0.38</w:t>
            </w:r>
          </w:p>
        </w:tc>
        <w:tc>
          <w:tcPr>
            <w:tcW w:w="1560" w:type="dxa"/>
            <w:vAlign w:val="center"/>
          </w:tcPr>
          <w:p w14:paraId="3665B679">
            <w:pPr>
              <w:rPr>
                <w:rFonts w:ascii="仿宋_GB2312" w:hAnsi="仿宋" w:eastAsia="仿宋_GB2312"/>
                <w:sz w:val="24"/>
                <w:szCs w:val="24"/>
                <w:highlight w:val="none"/>
              </w:rPr>
            </w:pPr>
            <w:r>
              <w:rPr>
                <w:rFonts w:hint="eastAsia" w:ascii="仿宋_GB2312" w:hAnsi="仿宋" w:eastAsia="仿宋_GB2312"/>
                <w:sz w:val="24"/>
                <w:szCs w:val="24"/>
                <w:highlight w:val="none"/>
              </w:rPr>
              <w:t>320</w:t>
            </w:r>
          </w:p>
        </w:tc>
        <w:tc>
          <w:tcPr>
            <w:tcW w:w="1984" w:type="dxa"/>
            <w:vAlign w:val="center"/>
          </w:tcPr>
          <w:p w14:paraId="5C59BC42">
            <w:pPr>
              <w:rPr>
                <w:rFonts w:ascii="仿宋_GB2312" w:hAnsi="仿宋" w:eastAsia="仿宋_GB2312"/>
                <w:sz w:val="24"/>
                <w:szCs w:val="24"/>
                <w:highlight w:val="none"/>
              </w:rPr>
            </w:pPr>
            <w:r>
              <w:rPr>
                <w:rFonts w:hint="eastAsia" w:ascii="仿宋_GB2312" w:hAnsi="仿宋" w:eastAsia="仿宋_GB2312"/>
                <w:sz w:val="24"/>
                <w:szCs w:val="24"/>
                <w:highlight w:val="none"/>
              </w:rPr>
              <w:t>400</w:t>
            </w:r>
          </w:p>
        </w:tc>
        <w:tc>
          <w:tcPr>
            <w:tcW w:w="1978" w:type="dxa"/>
            <w:vAlign w:val="center"/>
          </w:tcPr>
          <w:p w14:paraId="3298EAB2">
            <w:pPr>
              <w:rPr>
                <w:rFonts w:ascii="仿宋_GB2312" w:hAnsi="仿宋" w:eastAsia="仿宋_GB2312"/>
                <w:sz w:val="24"/>
                <w:szCs w:val="24"/>
                <w:highlight w:val="none"/>
              </w:rPr>
            </w:pPr>
            <w:r>
              <w:rPr>
                <w:rFonts w:hint="eastAsia" w:ascii="仿宋_GB2312" w:hAnsi="仿宋" w:eastAsia="仿宋_GB2312"/>
                <w:sz w:val="24"/>
                <w:szCs w:val="24"/>
                <w:highlight w:val="none"/>
              </w:rPr>
              <w:t>500</w:t>
            </w:r>
          </w:p>
        </w:tc>
      </w:tr>
    </w:tbl>
    <w:p w14:paraId="7A65A3E2">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（8）混凝土中的最大氯离子含量不应超过胶凝材料总量的0.06%。</w:t>
      </w:r>
    </w:p>
    <w:p w14:paraId="19F9EE9D">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（9）混凝土中的最大总碱含量为3.0kg/m</w:t>
      </w:r>
      <w:r>
        <w:rPr>
          <w:rFonts w:ascii="Calibri" w:hAnsi="Calibri" w:eastAsia="仿宋_GB2312" w:cs="Calibri"/>
          <w:sz w:val="24"/>
          <w:szCs w:val="24"/>
          <w:highlight w:val="none"/>
        </w:rPr>
        <w:t>³</w:t>
      </w:r>
      <w:r>
        <w:rPr>
          <w:rFonts w:hint="eastAsia" w:ascii="仿宋_GB2312" w:hAnsi="仿宋" w:eastAsia="仿宋_GB2312" w:cs="仿宋"/>
          <w:sz w:val="24"/>
          <w:szCs w:val="24"/>
          <w:highlight w:val="none"/>
        </w:rPr>
        <w:t>。</w:t>
      </w:r>
    </w:p>
    <w:p w14:paraId="522197D1">
      <w:pPr>
        <w:pStyle w:val="18"/>
        <w:spacing w:before="0" w:beforeLines="0"/>
        <w:ind w:firstLine="480"/>
        <w:rPr>
          <w:rFonts w:ascii="仿宋_GB2312" w:hAnsi="仿宋" w:eastAsia="仿宋_GB2312"/>
          <w:sz w:val="24"/>
          <w:szCs w:val="24"/>
          <w:highlight w:val="none"/>
        </w:rPr>
      </w:pPr>
      <w:r>
        <w:rPr>
          <w:rFonts w:hint="eastAsia" w:ascii="仿宋_GB2312" w:hAnsi="仿宋" w:eastAsia="仿宋_GB2312"/>
          <w:sz w:val="24"/>
          <w:szCs w:val="24"/>
          <w:highlight w:val="none"/>
        </w:rPr>
        <w:t>（10）高性能补偿收缩混凝土的限制膨胀率应符合下表规定：</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9"/>
        <w:gridCol w:w="2619"/>
        <w:gridCol w:w="2619"/>
      </w:tblGrid>
      <w:tr w14:paraId="5675E7D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9" w:type="dxa"/>
            <w:vAlign w:val="center"/>
          </w:tcPr>
          <w:p w14:paraId="24F1853B">
            <w:pPr>
              <w:rPr>
                <w:rFonts w:ascii="仿宋_GB2312" w:hAnsi="仿宋" w:eastAsia="仿宋_GB2312"/>
                <w:sz w:val="24"/>
                <w:szCs w:val="24"/>
                <w:highlight w:val="none"/>
              </w:rPr>
            </w:pPr>
            <w:r>
              <w:rPr>
                <w:rFonts w:hint="eastAsia" w:ascii="仿宋_GB2312" w:hAnsi="仿宋" w:eastAsia="仿宋_GB2312"/>
                <w:sz w:val="24"/>
                <w:szCs w:val="24"/>
                <w:highlight w:val="none"/>
              </w:rPr>
              <w:t>结构部位</w:t>
            </w:r>
          </w:p>
        </w:tc>
        <w:tc>
          <w:tcPr>
            <w:tcW w:w="2619" w:type="dxa"/>
            <w:vAlign w:val="center"/>
          </w:tcPr>
          <w:p w14:paraId="0366275E">
            <w:pPr>
              <w:rPr>
                <w:rFonts w:ascii="仿宋_GB2312" w:hAnsi="仿宋" w:eastAsia="仿宋_GB2312"/>
                <w:sz w:val="24"/>
                <w:szCs w:val="24"/>
                <w:highlight w:val="none"/>
              </w:rPr>
            </w:pPr>
            <w:r>
              <w:rPr>
                <w:rFonts w:hint="eastAsia" w:ascii="仿宋_GB2312" w:hAnsi="仿宋" w:eastAsia="仿宋_GB2312"/>
                <w:sz w:val="24"/>
                <w:szCs w:val="24"/>
                <w:highlight w:val="none"/>
              </w:rPr>
              <w:t>最小限制膨胀率*10</w:t>
            </w:r>
            <w:r>
              <w:rPr>
                <w:rFonts w:hint="eastAsia" w:ascii="仿宋_GB2312" w:hAnsi="仿宋" w:eastAsia="仿宋_GB2312"/>
                <w:sz w:val="24"/>
                <w:szCs w:val="24"/>
                <w:highlight w:val="none"/>
                <w:vertAlign w:val="superscript"/>
              </w:rPr>
              <w:t>-4</w:t>
            </w:r>
          </w:p>
        </w:tc>
        <w:tc>
          <w:tcPr>
            <w:tcW w:w="2619" w:type="dxa"/>
            <w:vAlign w:val="center"/>
          </w:tcPr>
          <w:p w14:paraId="365C4F06">
            <w:pPr>
              <w:rPr>
                <w:rFonts w:ascii="仿宋_GB2312" w:hAnsi="仿宋" w:eastAsia="仿宋_GB2312"/>
                <w:sz w:val="24"/>
                <w:szCs w:val="24"/>
                <w:highlight w:val="none"/>
              </w:rPr>
            </w:pPr>
            <w:r>
              <w:rPr>
                <w:rFonts w:hint="eastAsia" w:ascii="仿宋_GB2312" w:hAnsi="仿宋" w:eastAsia="仿宋_GB2312"/>
                <w:sz w:val="24"/>
                <w:szCs w:val="24"/>
                <w:highlight w:val="none"/>
              </w:rPr>
              <w:t>最大限制膨胀率*10</w:t>
            </w:r>
            <w:r>
              <w:rPr>
                <w:rFonts w:hint="eastAsia" w:ascii="仿宋_GB2312" w:hAnsi="仿宋" w:eastAsia="仿宋_GB2312"/>
                <w:sz w:val="24"/>
                <w:szCs w:val="24"/>
                <w:highlight w:val="none"/>
                <w:vertAlign w:val="superscript"/>
              </w:rPr>
              <w:t>-4</w:t>
            </w:r>
          </w:p>
        </w:tc>
      </w:tr>
      <w:tr w14:paraId="3B4F142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9" w:type="dxa"/>
            <w:vAlign w:val="center"/>
          </w:tcPr>
          <w:p w14:paraId="25F438BE">
            <w:pPr>
              <w:rPr>
                <w:rFonts w:ascii="仿宋_GB2312" w:hAnsi="仿宋" w:eastAsia="仿宋_GB2312"/>
                <w:sz w:val="24"/>
                <w:szCs w:val="24"/>
                <w:highlight w:val="none"/>
              </w:rPr>
            </w:pPr>
            <w:r>
              <w:rPr>
                <w:rFonts w:hint="eastAsia" w:ascii="仿宋_GB2312" w:hAnsi="仿宋" w:eastAsia="仿宋_GB2312"/>
                <w:sz w:val="24"/>
                <w:szCs w:val="24"/>
                <w:highlight w:val="none"/>
              </w:rPr>
              <w:t>平板结构</w:t>
            </w:r>
          </w:p>
        </w:tc>
        <w:tc>
          <w:tcPr>
            <w:tcW w:w="2619" w:type="dxa"/>
            <w:vAlign w:val="center"/>
          </w:tcPr>
          <w:p w14:paraId="23CAEA87">
            <w:pPr>
              <w:rPr>
                <w:rFonts w:ascii="仿宋_GB2312" w:hAnsi="仿宋" w:eastAsia="仿宋_GB2312"/>
                <w:sz w:val="24"/>
                <w:szCs w:val="24"/>
                <w:highlight w:val="none"/>
              </w:rPr>
            </w:pPr>
            <w:r>
              <w:rPr>
                <w:rFonts w:hint="eastAsia" w:ascii="仿宋_GB2312" w:hAnsi="仿宋" w:eastAsia="仿宋_GB2312"/>
                <w:sz w:val="24"/>
                <w:szCs w:val="24"/>
                <w:highlight w:val="none"/>
              </w:rPr>
              <w:t>2.0</w:t>
            </w:r>
          </w:p>
        </w:tc>
        <w:tc>
          <w:tcPr>
            <w:tcW w:w="2619" w:type="dxa"/>
            <w:vAlign w:val="center"/>
          </w:tcPr>
          <w:p w14:paraId="0FA1DD1A">
            <w:pPr>
              <w:rPr>
                <w:rFonts w:ascii="仿宋_GB2312" w:hAnsi="仿宋" w:eastAsia="仿宋_GB2312"/>
                <w:sz w:val="24"/>
                <w:szCs w:val="24"/>
                <w:highlight w:val="none"/>
              </w:rPr>
            </w:pPr>
            <w:r>
              <w:rPr>
                <w:rFonts w:hint="eastAsia" w:ascii="仿宋_GB2312" w:hAnsi="仿宋" w:eastAsia="仿宋_GB2312"/>
                <w:sz w:val="24"/>
                <w:szCs w:val="24"/>
                <w:highlight w:val="none"/>
              </w:rPr>
              <w:t>3.0</w:t>
            </w:r>
          </w:p>
        </w:tc>
      </w:tr>
      <w:tr w14:paraId="5D90D28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9" w:type="dxa"/>
            <w:vAlign w:val="center"/>
          </w:tcPr>
          <w:p w14:paraId="7B7C5115">
            <w:pPr>
              <w:rPr>
                <w:rFonts w:ascii="仿宋_GB2312" w:hAnsi="仿宋" w:eastAsia="仿宋_GB2312"/>
                <w:sz w:val="24"/>
                <w:szCs w:val="24"/>
                <w:highlight w:val="none"/>
              </w:rPr>
            </w:pPr>
            <w:r>
              <w:rPr>
                <w:rFonts w:hint="eastAsia" w:ascii="仿宋_GB2312" w:hAnsi="仿宋" w:eastAsia="仿宋_GB2312"/>
                <w:sz w:val="24"/>
                <w:szCs w:val="24"/>
                <w:highlight w:val="none"/>
              </w:rPr>
              <w:t>梁、墙结构</w:t>
            </w:r>
          </w:p>
        </w:tc>
        <w:tc>
          <w:tcPr>
            <w:tcW w:w="2619" w:type="dxa"/>
            <w:vAlign w:val="center"/>
          </w:tcPr>
          <w:p w14:paraId="1304F96B">
            <w:pPr>
              <w:rPr>
                <w:rFonts w:ascii="仿宋_GB2312" w:hAnsi="仿宋" w:eastAsia="仿宋_GB2312"/>
                <w:sz w:val="24"/>
                <w:szCs w:val="24"/>
                <w:highlight w:val="none"/>
              </w:rPr>
            </w:pPr>
            <w:r>
              <w:rPr>
                <w:rFonts w:hint="eastAsia" w:ascii="仿宋_GB2312" w:hAnsi="仿宋" w:eastAsia="仿宋_GB2312"/>
                <w:sz w:val="24"/>
                <w:szCs w:val="24"/>
                <w:highlight w:val="none"/>
              </w:rPr>
              <w:t>2.5</w:t>
            </w:r>
          </w:p>
        </w:tc>
        <w:tc>
          <w:tcPr>
            <w:tcW w:w="2619" w:type="dxa"/>
            <w:vAlign w:val="center"/>
          </w:tcPr>
          <w:p w14:paraId="0A3509D8">
            <w:pPr>
              <w:rPr>
                <w:rFonts w:ascii="仿宋_GB2312" w:hAnsi="仿宋" w:eastAsia="仿宋_GB2312"/>
                <w:sz w:val="24"/>
                <w:szCs w:val="24"/>
                <w:highlight w:val="none"/>
              </w:rPr>
            </w:pPr>
            <w:r>
              <w:rPr>
                <w:rFonts w:hint="eastAsia" w:ascii="仿宋_GB2312" w:hAnsi="仿宋" w:eastAsia="仿宋_GB2312"/>
                <w:sz w:val="24"/>
                <w:szCs w:val="24"/>
                <w:highlight w:val="none"/>
              </w:rPr>
              <w:t>4.0</w:t>
            </w:r>
          </w:p>
        </w:tc>
      </w:tr>
      <w:tr w14:paraId="7B527B34">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59" w:type="dxa"/>
            <w:vAlign w:val="center"/>
          </w:tcPr>
          <w:p w14:paraId="6BB04E6C">
            <w:pPr>
              <w:rPr>
                <w:rFonts w:ascii="仿宋_GB2312" w:hAnsi="仿宋" w:eastAsia="仿宋_GB2312"/>
                <w:sz w:val="24"/>
                <w:szCs w:val="24"/>
                <w:highlight w:val="none"/>
              </w:rPr>
            </w:pPr>
            <w:r>
              <w:rPr>
                <w:rFonts w:hint="eastAsia" w:ascii="仿宋_GB2312" w:hAnsi="仿宋" w:eastAsia="仿宋_GB2312"/>
                <w:sz w:val="24"/>
                <w:szCs w:val="24"/>
                <w:highlight w:val="none"/>
              </w:rPr>
              <w:t>倒浇带、膨胀加强带等填充部位</w:t>
            </w:r>
          </w:p>
        </w:tc>
        <w:tc>
          <w:tcPr>
            <w:tcW w:w="2619" w:type="dxa"/>
            <w:vAlign w:val="center"/>
          </w:tcPr>
          <w:p w14:paraId="5CFAEDE7">
            <w:pPr>
              <w:rPr>
                <w:rFonts w:ascii="仿宋_GB2312" w:hAnsi="仿宋" w:eastAsia="仿宋_GB2312"/>
                <w:sz w:val="24"/>
                <w:szCs w:val="24"/>
                <w:highlight w:val="none"/>
              </w:rPr>
            </w:pPr>
            <w:r>
              <w:rPr>
                <w:rFonts w:hint="eastAsia" w:ascii="仿宋_GB2312" w:hAnsi="仿宋" w:eastAsia="仿宋_GB2312"/>
                <w:sz w:val="24"/>
                <w:szCs w:val="24"/>
                <w:highlight w:val="none"/>
              </w:rPr>
              <w:t>3.0</w:t>
            </w:r>
          </w:p>
        </w:tc>
        <w:tc>
          <w:tcPr>
            <w:tcW w:w="2619" w:type="dxa"/>
            <w:vAlign w:val="center"/>
          </w:tcPr>
          <w:p w14:paraId="6C2B5213">
            <w:pPr>
              <w:rPr>
                <w:rFonts w:ascii="仿宋_GB2312" w:hAnsi="仿宋" w:eastAsia="仿宋_GB2312"/>
                <w:sz w:val="24"/>
                <w:szCs w:val="24"/>
                <w:highlight w:val="none"/>
              </w:rPr>
            </w:pPr>
            <w:r>
              <w:rPr>
                <w:rFonts w:hint="eastAsia" w:ascii="仿宋_GB2312" w:hAnsi="仿宋" w:eastAsia="仿宋_GB2312"/>
                <w:sz w:val="24"/>
                <w:szCs w:val="24"/>
                <w:highlight w:val="none"/>
              </w:rPr>
              <w:t>5.0</w:t>
            </w:r>
          </w:p>
        </w:tc>
      </w:tr>
      <w:permEnd w:id="36"/>
    </w:tbl>
    <w:p w14:paraId="2AF03348">
      <w:pPr>
        <w:pStyle w:val="2"/>
        <w:keepNext w:val="0"/>
        <w:keepLines w:val="0"/>
        <w:spacing w:line="240" w:lineRule="auto"/>
        <w:ind w:firstLine="482"/>
        <w:rPr>
          <w:rFonts w:ascii="仿宋_GB2312" w:hAnsi="仿宋" w:eastAsia="仿宋_GB2312"/>
          <w:sz w:val="24"/>
          <w:szCs w:val="24"/>
          <w:highlight w:val="none"/>
        </w:rPr>
      </w:pPr>
      <w:r>
        <w:rPr>
          <w:rFonts w:ascii="仿宋_GB2312" w:hAnsi="仿宋" w:eastAsia="仿宋_GB2312"/>
          <w:sz w:val="24"/>
          <w:szCs w:val="24"/>
          <w:highlight w:val="none"/>
        </w:rPr>
        <w:t>1</w:t>
      </w:r>
      <w:r>
        <w:rPr>
          <w:rFonts w:hint="eastAsia" w:ascii="仿宋_GB2312" w:hAnsi="仿宋" w:eastAsia="仿宋_GB2312"/>
          <w:sz w:val="24"/>
          <w:szCs w:val="24"/>
          <w:highlight w:val="none"/>
        </w:rPr>
        <w:t>.7产品生产：</w:t>
      </w:r>
      <w:r>
        <w:rPr>
          <w:rFonts w:hint="eastAsia" w:ascii="仿宋_GB2312" w:hAnsi="仿宋" w:eastAsia="仿宋_GB2312"/>
          <w:b w:val="0"/>
          <w:bCs w:val="0"/>
          <w:sz w:val="24"/>
          <w:szCs w:val="24"/>
          <w:highlight w:val="none"/>
        </w:rPr>
        <w:t>原材料储存、计量、搅拌过程中所需一切设备应满足2.3条有关规范、规程、标准及建设单位的规定。</w:t>
      </w:r>
    </w:p>
    <w:p w14:paraId="3EC5FD4E">
      <w:pPr>
        <w:pStyle w:val="16"/>
        <w:spacing w:line="400" w:lineRule="atLeast"/>
        <w:ind w:firstLine="482" w:firstLineChars="200"/>
        <w:rPr>
          <w:rFonts w:ascii="仿宋_GB2312" w:hAnsi="仿宋" w:eastAsia="仿宋_GB2312" w:cs="仿宋_GB2312"/>
          <w:b/>
          <w:bCs/>
          <w:color w:val="000000" w:themeColor="text1"/>
          <w:highlight w:val="none"/>
          <w14:textFill>
            <w14:solidFill>
              <w14:schemeClr w14:val="tx1"/>
            </w14:solidFill>
          </w14:textFill>
        </w:rPr>
      </w:pPr>
      <w:r>
        <w:rPr>
          <w:rFonts w:hint="eastAsia" w:ascii="仿宋_GB2312" w:hAnsi="仿宋" w:eastAsia="仿宋_GB2312" w:cs="仿宋_GB2312"/>
          <w:b/>
          <w:bCs/>
          <w:color w:val="000000" w:themeColor="text1"/>
          <w:highlight w:val="none"/>
          <w14:textFill>
            <w14:solidFill>
              <w14:schemeClr w14:val="tx1"/>
            </w14:solidFill>
          </w14:textFill>
        </w:rPr>
        <w:t>2、货物附件清单：</w:t>
      </w:r>
    </w:p>
    <w:p w14:paraId="385ED2A5">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w:t>
      </w:r>
      <w:r>
        <w:rPr>
          <w:rFonts w:hint="eastAsia" w:ascii="仿宋_GB2312" w:hAnsi="仿宋" w:eastAsia="仿宋_GB2312" w:cs="仿宋_GB2312"/>
          <w:color w:val="000000" w:themeColor="text1"/>
          <w:highlight w:val="none"/>
          <w14:textFill>
            <w14:solidFill>
              <w14:schemeClr w14:val="tx1"/>
            </w14:solidFill>
          </w14:textFill>
        </w:rPr>
        <w:t>.2.1</w:t>
      </w:r>
      <w:r>
        <w:rPr>
          <w:rFonts w:hint="eastAsia" w:ascii="仿宋_GB2312" w:hAnsi="仿宋" w:eastAsia="仿宋_GB2312" w:cs="仿宋_GB2312"/>
          <w:color w:val="000000" w:themeColor="text1"/>
          <w:highlight w:val="none"/>
          <w:lang w:val="en-US" w:eastAsia="zh-CN"/>
          <w14:textFill>
            <w14:solidFill>
              <w14:schemeClr w14:val="tx1"/>
            </w14:solidFill>
          </w14:textFill>
        </w:rPr>
        <w:t>乙</w:t>
      </w:r>
      <w:r>
        <w:rPr>
          <w:rFonts w:hint="eastAsia" w:ascii="仿宋_GB2312" w:hAnsi="仿宋" w:eastAsia="仿宋_GB2312" w:cs="仿宋_GB2312"/>
          <w:color w:val="000000" w:themeColor="text1"/>
          <w:highlight w:val="none"/>
          <w14:textFill>
            <w14:solidFill>
              <w14:schemeClr w14:val="tx1"/>
            </w14:solidFill>
          </w14:textFill>
        </w:rPr>
        <w:t>方必须按照本合同第2.3条中有关的规范、规定及标准要求及时向</w:t>
      </w:r>
      <w:r>
        <w:rPr>
          <w:rFonts w:hint="eastAsia" w:ascii="仿宋_GB2312" w:hAnsi="仿宋" w:eastAsia="仿宋_GB2312" w:cs="仿宋_GB2312"/>
          <w:color w:val="000000" w:themeColor="text1"/>
          <w:highlight w:val="none"/>
          <w:lang w:val="en-US" w:eastAsia="zh-CN"/>
          <w14:textFill>
            <w14:solidFill>
              <w14:schemeClr w14:val="tx1"/>
            </w14:solidFill>
          </w14:textFill>
        </w:rPr>
        <w:t>甲</w:t>
      </w:r>
      <w:r>
        <w:rPr>
          <w:rFonts w:hint="eastAsia" w:ascii="仿宋_GB2312" w:hAnsi="仿宋" w:eastAsia="仿宋_GB2312" w:cs="仿宋_GB2312"/>
          <w:color w:val="000000" w:themeColor="text1"/>
          <w:highlight w:val="none"/>
          <w14:textFill>
            <w14:solidFill>
              <w14:schemeClr w14:val="tx1"/>
            </w14:solidFill>
          </w14:textFill>
        </w:rPr>
        <w:t>方提供准确、完整、齐全的技术资料</w:t>
      </w:r>
      <w:r>
        <w:rPr>
          <w:rFonts w:hint="eastAsia" w:ascii="仿宋_GB2312" w:hAnsi="仿宋" w:eastAsia="仿宋_GB2312" w:cs="仿宋_GB2312"/>
          <w:color w:val="000000" w:themeColor="text1"/>
          <w:highlight w:val="none"/>
          <w:lang w:eastAsia="zh-CN"/>
          <w14:textFill>
            <w14:solidFill>
              <w14:schemeClr w14:val="tx1"/>
            </w14:solidFill>
          </w14:textFill>
        </w:rPr>
        <w:t>、</w:t>
      </w:r>
      <w:r>
        <w:rPr>
          <w:rFonts w:hint="eastAsia" w:ascii="仿宋_GB2312" w:hAnsi="仿宋" w:eastAsia="仿宋_GB2312" w:cs="仿宋_GB2312"/>
          <w:color w:val="000000" w:themeColor="text1"/>
          <w:highlight w:val="none"/>
          <w:lang w:val="en-US" w:eastAsia="zh-CN"/>
          <w14:textFill>
            <w14:solidFill>
              <w14:schemeClr w14:val="tx1"/>
            </w14:solidFill>
          </w14:textFill>
        </w:rPr>
        <w:t>原材料资料</w:t>
      </w:r>
      <w:r>
        <w:rPr>
          <w:rFonts w:hint="eastAsia" w:ascii="仿宋_GB2312" w:hAnsi="仿宋_GB2312" w:eastAsia="仿宋_GB2312" w:cs="仿宋_GB2312"/>
          <w:color w:val="auto"/>
          <w:highlight w:val="none"/>
          <w:u w:val="none"/>
          <w:lang w:val="en-US" w:eastAsia="zh-CN"/>
        </w:rPr>
        <w:t>以及</w:t>
      </w:r>
      <w:r>
        <w:rPr>
          <w:rFonts w:hint="eastAsia" w:ascii="仿宋_GB2312" w:hAnsi="仿宋_GB2312" w:eastAsia="仿宋_GB2312" w:cs="仿宋_GB2312"/>
          <w:color w:val="auto"/>
          <w:highlight w:val="none"/>
          <w:u w:val="none"/>
        </w:rPr>
        <w:t>甲方为完成计量、竣工资料所需要的所有资料</w:t>
      </w:r>
      <w:r>
        <w:rPr>
          <w:rFonts w:hint="eastAsia" w:ascii="仿宋_GB2312" w:hAnsi="仿宋" w:eastAsia="仿宋_GB2312"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highlight w:val="none"/>
          <w:lang w:val="en-US" w:eastAsia="zh-CN"/>
          <w14:textFill>
            <w14:solidFill>
              <w14:schemeClr w14:val="tx1"/>
            </w14:solidFill>
          </w14:textFill>
        </w:rPr>
        <w:t>乙</w:t>
      </w:r>
      <w:r>
        <w:rPr>
          <w:rFonts w:hint="eastAsia" w:ascii="仿宋_GB2312" w:hAnsi="仿宋" w:eastAsia="仿宋_GB2312" w:cs="仿宋_GB2312"/>
          <w:color w:val="000000" w:themeColor="text1"/>
          <w:highlight w:val="none"/>
          <w14:textFill>
            <w14:solidFill>
              <w14:schemeClr w14:val="tx1"/>
            </w14:solidFill>
          </w14:textFill>
        </w:rPr>
        <w:t>方提供的技术资料必须符合</w:t>
      </w:r>
      <w:r>
        <w:rPr>
          <w:rFonts w:hint="eastAsia" w:ascii="仿宋_GB2312" w:hAnsi="仿宋" w:eastAsia="仿宋_GB2312" w:cs="仿宋_GB2312"/>
          <w:color w:val="000000" w:themeColor="text1"/>
          <w:highlight w:val="none"/>
          <w:lang w:val="en-US" w:eastAsia="zh-CN"/>
          <w14:textFill>
            <w14:solidFill>
              <w14:schemeClr w14:val="tx1"/>
            </w14:solidFill>
          </w14:textFill>
        </w:rPr>
        <w:t>甲</w:t>
      </w:r>
      <w:r>
        <w:rPr>
          <w:rFonts w:hint="eastAsia" w:ascii="仿宋_GB2312" w:hAnsi="仿宋" w:eastAsia="仿宋_GB2312" w:cs="仿宋_GB2312"/>
          <w:color w:val="000000" w:themeColor="text1"/>
          <w:highlight w:val="none"/>
          <w14:textFill>
            <w14:solidFill>
              <w14:schemeClr w14:val="tx1"/>
            </w14:solidFill>
          </w14:textFill>
        </w:rPr>
        <w:t>方质量目标的要求。任何由于</w:t>
      </w:r>
      <w:r>
        <w:rPr>
          <w:rFonts w:hint="eastAsia" w:ascii="仿宋_GB2312" w:hAnsi="仿宋" w:eastAsia="仿宋_GB2312" w:cs="仿宋_GB2312"/>
          <w:color w:val="000000" w:themeColor="text1"/>
          <w:highlight w:val="none"/>
          <w:lang w:val="en-US" w:eastAsia="zh-CN"/>
          <w14:textFill>
            <w14:solidFill>
              <w14:schemeClr w14:val="tx1"/>
            </w14:solidFill>
          </w14:textFill>
        </w:rPr>
        <w:t>乙</w:t>
      </w:r>
      <w:r>
        <w:rPr>
          <w:rFonts w:hint="eastAsia" w:ascii="仿宋_GB2312" w:hAnsi="仿宋" w:eastAsia="仿宋_GB2312" w:cs="仿宋_GB2312"/>
          <w:color w:val="000000" w:themeColor="text1"/>
          <w:highlight w:val="none"/>
          <w14:textFill>
            <w14:solidFill>
              <w14:schemeClr w14:val="tx1"/>
            </w14:solidFill>
          </w14:textFill>
        </w:rPr>
        <w:t>方原因造成</w:t>
      </w:r>
      <w:r>
        <w:rPr>
          <w:rFonts w:hint="eastAsia" w:ascii="仿宋_GB2312" w:hAnsi="仿宋" w:eastAsia="仿宋_GB2312" w:cs="仿宋_GB2312"/>
          <w:color w:val="000000" w:themeColor="text1"/>
          <w:highlight w:val="none"/>
          <w:lang w:val="en-US" w:eastAsia="zh-CN"/>
          <w14:textFill>
            <w14:solidFill>
              <w14:schemeClr w14:val="tx1"/>
            </w14:solidFill>
          </w14:textFill>
        </w:rPr>
        <w:t>甲</w:t>
      </w:r>
      <w:r>
        <w:rPr>
          <w:rFonts w:hint="eastAsia" w:ascii="仿宋_GB2312" w:hAnsi="仿宋" w:eastAsia="仿宋_GB2312" w:cs="仿宋_GB2312"/>
          <w:color w:val="000000" w:themeColor="text1"/>
          <w:highlight w:val="none"/>
          <w14:textFill>
            <w14:solidFill>
              <w14:schemeClr w14:val="tx1"/>
            </w14:solidFill>
          </w14:textFill>
        </w:rPr>
        <w:t>方未能完成质量目标的要求，</w:t>
      </w:r>
      <w:r>
        <w:rPr>
          <w:rFonts w:hint="eastAsia" w:ascii="仿宋_GB2312" w:hAnsi="仿宋" w:eastAsia="仿宋_GB2312" w:cs="仿宋_GB2312"/>
          <w:color w:val="000000" w:themeColor="text1"/>
          <w:highlight w:val="none"/>
          <w:lang w:val="en-US" w:eastAsia="zh-CN"/>
          <w14:textFill>
            <w14:solidFill>
              <w14:schemeClr w14:val="tx1"/>
            </w14:solidFill>
          </w14:textFill>
        </w:rPr>
        <w:t>乙</w:t>
      </w:r>
      <w:r>
        <w:rPr>
          <w:rFonts w:hint="eastAsia" w:ascii="仿宋_GB2312" w:hAnsi="仿宋" w:eastAsia="仿宋_GB2312" w:cs="仿宋_GB2312"/>
          <w:color w:val="000000" w:themeColor="text1"/>
          <w:highlight w:val="none"/>
          <w14:textFill>
            <w14:solidFill>
              <w14:schemeClr w14:val="tx1"/>
            </w14:solidFill>
          </w14:textFill>
        </w:rPr>
        <w:t>方须承担由此给</w:t>
      </w:r>
      <w:r>
        <w:rPr>
          <w:rFonts w:hint="eastAsia" w:ascii="仿宋_GB2312" w:hAnsi="仿宋" w:eastAsia="仿宋_GB2312" w:cs="仿宋_GB2312"/>
          <w:color w:val="000000" w:themeColor="text1"/>
          <w:highlight w:val="none"/>
          <w:lang w:val="en-US" w:eastAsia="zh-CN"/>
          <w14:textFill>
            <w14:solidFill>
              <w14:schemeClr w14:val="tx1"/>
            </w14:solidFill>
          </w14:textFill>
        </w:rPr>
        <w:t>甲</w:t>
      </w:r>
      <w:r>
        <w:rPr>
          <w:rFonts w:hint="eastAsia" w:ascii="仿宋_GB2312" w:hAnsi="仿宋" w:eastAsia="仿宋_GB2312" w:cs="仿宋_GB2312"/>
          <w:color w:val="000000" w:themeColor="text1"/>
          <w:highlight w:val="none"/>
          <w14:textFill>
            <w14:solidFill>
              <w14:schemeClr w14:val="tx1"/>
            </w14:solidFill>
          </w14:textFill>
        </w:rPr>
        <w:t>方造成的损失。</w:t>
      </w:r>
    </w:p>
    <w:p w14:paraId="1C368207">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w:t>
      </w:r>
      <w:r>
        <w:rPr>
          <w:rFonts w:hint="eastAsia" w:ascii="仿宋_GB2312" w:hAnsi="仿宋" w:eastAsia="仿宋_GB2312" w:cs="仿宋_GB2312"/>
          <w:color w:val="000000" w:themeColor="text1"/>
          <w:highlight w:val="none"/>
          <w14:textFill>
            <w14:solidFill>
              <w14:schemeClr w14:val="tx1"/>
            </w14:solidFill>
          </w14:textFill>
        </w:rPr>
        <w:t>.2.2每次开盘随第一车混凝土提供给买方的资料：</w:t>
      </w:r>
    </w:p>
    <w:p w14:paraId="77A5A4F6">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(1)商品混凝土配合比通知单；</w:t>
      </w:r>
    </w:p>
    <w:p w14:paraId="3F838346">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(2)商品混凝土开盘鉴定；</w:t>
      </w:r>
    </w:p>
    <w:p w14:paraId="0705BF24">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(3)商品混凝土中水泥出厂合格证；</w:t>
      </w:r>
    </w:p>
    <w:p w14:paraId="6F34498C">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(4)商品混凝土中水泥进场复试试验报告(应有快测或3天强度值)；</w:t>
      </w:r>
    </w:p>
    <w:p w14:paraId="1190FBF9">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(5)商品混凝土砂试验报告；</w:t>
      </w:r>
    </w:p>
    <w:p w14:paraId="000189BA">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(6)商品混凝土中卵(碎)石试验报告；</w:t>
      </w:r>
    </w:p>
    <w:p w14:paraId="145C5C44">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(7)商品混凝土中外加剂出厂质量证明、使用说明；</w:t>
      </w:r>
    </w:p>
    <w:p w14:paraId="70E6D6DA">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(8)商品混凝土中外加剂进场复试报告；</w:t>
      </w:r>
    </w:p>
    <w:p w14:paraId="490BFA8C">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(9)商品混凝土中掺和料出厂质量证明；</w:t>
      </w:r>
    </w:p>
    <w:p w14:paraId="23C1CE75">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(10)商品混凝土中掺和料进场复试报告；</w:t>
      </w:r>
    </w:p>
    <w:p w14:paraId="4512B09A">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(11)商品混凝土中所有原材料的含碱量试验报告；</w:t>
      </w:r>
    </w:p>
    <w:p w14:paraId="745E9830">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(12)商品混凝土中混凝土碱含量及氯离子含量试验报告；</w:t>
      </w:r>
    </w:p>
    <w:p w14:paraId="5508F7F9">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(13)商品混凝土运输单；</w:t>
      </w:r>
    </w:p>
    <w:p w14:paraId="0ADE19B6">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w:t>
      </w:r>
      <w:r>
        <w:rPr>
          <w:rFonts w:ascii="仿宋_GB2312" w:hAnsi="仿宋" w:eastAsia="仿宋_GB2312" w:cs="仿宋_GB2312"/>
          <w:color w:val="000000" w:themeColor="text1"/>
          <w:highlight w:val="none"/>
          <w14:textFill>
            <w14:solidFill>
              <w14:schemeClr w14:val="tx1"/>
            </w14:solidFill>
          </w14:textFill>
        </w:rPr>
        <w:t>4</w:t>
      </w:r>
      <w:r>
        <w:rPr>
          <w:rFonts w:hint="eastAsia" w:ascii="仿宋_GB2312" w:hAnsi="仿宋" w:eastAsia="仿宋_GB2312" w:cs="仿宋_GB2312"/>
          <w:color w:val="000000" w:themeColor="text1"/>
          <w:highlight w:val="none"/>
          <w14:textFill>
            <w14:solidFill>
              <w14:schemeClr w14:val="tx1"/>
            </w14:solidFill>
          </w14:textFill>
        </w:rPr>
        <w:t>)商品混凝土各项原材料质量的第三方检测机构合格报告；</w:t>
      </w:r>
    </w:p>
    <w:p w14:paraId="1108EC8C">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(14)其他买方要求的资料；</w:t>
      </w:r>
    </w:p>
    <w:p w14:paraId="2C6E5588">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(15)其它卖方认为须提供的资料。</w:t>
      </w:r>
    </w:p>
    <w:p w14:paraId="7DC5DFC5">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2</w:t>
      </w:r>
      <w:r>
        <w:rPr>
          <w:rFonts w:hint="eastAsia" w:ascii="仿宋_GB2312" w:hAnsi="仿宋" w:eastAsia="仿宋_GB2312" w:cs="仿宋_GB2312"/>
          <w:color w:val="000000" w:themeColor="text1"/>
          <w:highlight w:val="none"/>
          <w14:textFill>
            <w14:solidFill>
              <w14:schemeClr w14:val="tx1"/>
            </w14:solidFill>
          </w14:textFill>
        </w:rPr>
        <w:t>.2.3混凝土浇注后30日之内应提供的资料：</w:t>
      </w:r>
    </w:p>
    <w:p w14:paraId="7D27F84E">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(1)商品混凝土中水泥材质证明28天强度补报单；</w:t>
      </w:r>
    </w:p>
    <w:p w14:paraId="223EA18B">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(2)商品混凝土出厂合格证；</w:t>
      </w:r>
    </w:p>
    <w:p w14:paraId="6A1E1091">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(3)商品混凝土出厂检验强度试验报告；</w:t>
      </w:r>
    </w:p>
    <w:p w14:paraId="76C71890">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(4)商品混凝土出厂抗渗性能试验报告(可延迟至45天之内)；</w:t>
      </w:r>
    </w:p>
    <w:p w14:paraId="71EE61D8">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(5)其他买方要求的资料。</w:t>
      </w:r>
    </w:p>
    <w:p w14:paraId="07782D52">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资料清单明确附件内容及份数同时加印乙方签章于收货时一并交由甲方核验，否则甲方不予办理收料手续。</w:t>
      </w:r>
    </w:p>
    <w:p w14:paraId="07B629E7">
      <w:pPr>
        <w:pStyle w:val="16"/>
        <w:spacing w:line="400" w:lineRule="atLeast"/>
        <w:ind w:firstLine="480" w:firstLineChars="20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2.</w:t>
      </w:r>
      <w:r>
        <w:rPr>
          <w:rFonts w:ascii="仿宋_GB2312" w:hAnsi="仿宋" w:eastAsia="仿宋_GB2312" w:cs="仿宋_GB2312"/>
          <w:color w:val="000000" w:themeColor="text1"/>
          <w:highlight w:val="none"/>
          <w14:textFill>
            <w14:solidFill>
              <w14:schemeClr w14:val="tx1"/>
            </w14:solidFill>
          </w14:textFill>
        </w:rPr>
        <w:t>3</w:t>
      </w:r>
      <w:r>
        <w:rPr>
          <w:rFonts w:hint="eastAsia" w:ascii="仿宋_GB2312" w:hAnsi="仿宋" w:eastAsia="仿宋_GB2312" w:cs="仿宋_GB2312"/>
          <w:color w:val="000000" w:themeColor="text1"/>
          <w:highlight w:val="none"/>
          <w14:textFill>
            <w14:solidFill>
              <w14:schemeClr w14:val="tx1"/>
            </w14:solidFill>
          </w14:textFill>
        </w:rPr>
        <w:t>乙方必须在按照时间要求将砼相关的技术质量资料提供给甲方。付款前乙方必须向甲方补齐所欠混凝土相关的技术质量资料，否则甲方有权不予支付该项目当期结算的材料款，直至乙方补齐所欠混凝土相关的技术质量资料时方可支付当期结算的材料款。</w:t>
      </w:r>
    </w:p>
    <w:p w14:paraId="08F4BC91">
      <w:pPr>
        <w:pStyle w:val="16"/>
        <w:numPr>
          <w:ilvl w:val="0"/>
          <w:numId w:val="2"/>
        </w:numPr>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货物质量保修期：</w:t>
      </w:r>
      <w:r>
        <w:rPr>
          <w:rFonts w:hint="eastAsia" w:ascii="仿宋_GB2312" w:hAnsi="仿宋_GB2312" w:eastAsia="仿宋_GB2312" w:cs="仿宋_GB2312"/>
          <w:color w:val="000000" w:themeColor="text1"/>
          <w:highlight w:val="none"/>
          <w14:textFill>
            <w14:solidFill>
              <w14:schemeClr w14:val="tx1"/>
            </w14:solidFill>
          </w14:textFill>
        </w:rPr>
        <w:t xml:space="preserve"> </w:t>
      </w:r>
    </w:p>
    <w:p w14:paraId="0941405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3.1货物质量保修期：无；</w:t>
      </w:r>
    </w:p>
    <w:p w14:paraId="7258DA6A">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3.2货物质量保证期：按国家有关法律法规的规定，货物质量保证期为终身；</w:t>
      </w:r>
    </w:p>
    <w:p w14:paraId="1095D9EF">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所有货物须保证满足现场使用要求，如货物在质量保修期内出现质量瑕疵或者缺陷的，由乙方按照甲方的时间要求免费维修或者更换，经甲方要求整改一次仍无法达到合同要求时，甲方可自行或委托第三方代为履行，并以实际发生费用从乙方的应付款中扣除。</w:t>
      </w:r>
    </w:p>
    <w:p w14:paraId="46399669">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0" w:name="_Toc15057"/>
      <w:r>
        <w:rPr>
          <w:rFonts w:hint="eastAsia" w:ascii="仿宋_GB2312" w:hAnsi="仿宋_GB2312" w:eastAsia="仿宋_GB2312" w:cs="仿宋_GB2312"/>
          <w:b/>
          <w:bCs/>
          <w:color w:val="000000" w:themeColor="text1"/>
          <w:highlight w:val="none"/>
          <w14:textFill>
            <w14:solidFill>
              <w14:schemeClr w14:val="tx1"/>
            </w14:solidFill>
          </w14:textFill>
        </w:rPr>
        <w:t>货物验收</w:t>
      </w:r>
      <w:bookmarkEnd w:id="10"/>
    </w:p>
    <w:p w14:paraId="11690D07">
      <w:pPr>
        <w:pStyle w:val="16"/>
        <w:numPr>
          <w:ilvl w:val="0"/>
          <w:numId w:val="3"/>
        </w:numPr>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验收人员：</w:t>
      </w:r>
      <w:r>
        <w:rPr>
          <w:rFonts w:hint="eastAsia" w:ascii="仿宋_GB2312" w:hAnsi="仿宋_GB2312" w:eastAsia="仿宋_GB2312" w:cs="仿宋_GB2312"/>
          <w:color w:val="000000" w:themeColor="text1"/>
          <w:highlight w:val="none"/>
          <w14:textFill>
            <w14:solidFill>
              <w14:schemeClr w14:val="tx1"/>
            </w14:solidFill>
          </w14:textFill>
        </w:rPr>
        <w:t>货物进场需由甲方收货联系人、</w:t>
      </w:r>
      <w:bookmarkStart w:id="11" w:name="_Hlk127189311"/>
      <w:r>
        <w:rPr>
          <w:rFonts w:hint="eastAsia" w:ascii="仿宋_GB2312" w:hAnsi="仿宋_GB2312" w:eastAsia="仿宋_GB2312" w:cs="仿宋_GB2312"/>
          <w:color w:val="000000" w:themeColor="text1"/>
          <w:highlight w:val="none"/>
          <w14:textFill>
            <w14:solidFill>
              <w14:schemeClr w14:val="tx1"/>
            </w14:solidFill>
          </w14:textFill>
        </w:rPr>
        <w:t>现场责任</w:t>
      </w:r>
      <w:bookmarkEnd w:id="11"/>
      <w:r>
        <w:rPr>
          <w:rFonts w:hint="eastAsia" w:ascii="仿宋_GB2312" w:hAnsi="仿宋_GB2312" w:eastAsia="仿宋_GB2312" w:cs="仿宋_GB2312"/>
          <w:color w:val="000000" w:themeColor="text1"/>
          <w:highlight w:val="none"/>
          <w14:textFill>
            <w14:solidFill>
              <w14:schemeClr w14:val="tx1"/>
            </w14:solidFill>
          </w14:textFill>
        </w:rPr>
        <w:t>工程师、分包单位和乙方发货联系人共同完成现场验收，现场验收不代表货物质量合格，质量是否合格需要进一步复核确定。</w:t>
      </w:r>
    </w:p>
    <w:p w14:paraId="3E9AB447">
      <w:pPr>
        <w:pStyle w:val="16"/>
        <w:numPr>
          <w:ilvl w:val="0"/>
          <w:numId w:val="3"/>
        </w:numPr>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验收方式：</w:t>
      </w:r>
      <w:r>
        <w:rPr>
          <w:rFonts w:hint="eastAsia" w:ascii="仿宋_GB2312" w:hAnsi="仿宋_GB2312" w:eastAsia="仿宋_GB2312" w:cs="仿宋_GB2312"/>
          <w:color w:val="000000" w:themeColor="text1"/>
          <w:highlight w:val="none"/>
          <w:u w:val="single"/>
          <w14:textFill>
            <w14:solidFill>
              <w14:schemeClr w14:val="tx1"/>
            </w14:solidFill>
          </w14:textFill>
        </w:rPr>
        <w:t>以智能地磅、云筑收验货系统为主要载体，结合视频监控系统，完成核对凭证、外观质量验收、数量验收和检测报告四步验收，甲方收货联系人出具收料单，甲方收货联系人及乙方发货联系人双方签字后视为验收完成</w:t>
      </w:r>
      <w:r>
        <w:rPr>
          <w:rFonts w:hint="eastAsia" w:ascii="仿宋_GB2312" w:hAnsi="仿宋_GB2312" w:eastAsia="仿宋_GB2312" w:cs="仿宋_GB2312"/>
          <w:color w:val="000000" w:themeColor="text1"/>
          <w:highlight w:val="none"/>
          <w14:textFill>
            <w14:solidFill>
              <w14:schemeClr w14:val="tx1"/>
            </w14:solidFill>
          </w14:textFill>
        </w:rPr>
        <w:t>。</w:t>
      </w:r>
    </w:p>
    <w:p w14:paraId="4DB27896">
      <w:pPr>
        <w:pStyle w:val="16"/>
        <w:numPr>
          <w:ilvl w:val="0"/>
          <w:numId w:val="3"/>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数量验收：</w:t>
      </w:r>
    </w:p>
    <w:p w14:paraId="55542896">
      <w:pPr>
        <w:pStyle w:val="16"/>
        <w:spacing w:line="400" w:lineRule="atLeast"/>
        <w:ind w:left="420" w:left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3.1数量验收方式：</w:t>
      </w:r>
      <w:r>
        <w:rPr>
          <w:rFonts w:hint="eastAsia" w:ascii="仿宋_GB2312" w:hAnsi="仿宋_GB2312" w:eastAsia="仿宋_GB2312" w:cs="仿宋_GB2312"/>
          <w:color w:val="000000" w:themeColor="text1"/>
          <w:highlight w:val="none"/>
          <w14:textFill>
            <w14:solidFill>
              <w14:schemeClr w14:val="tx1"/>
            </w14:solidFill>
          </w14:textFill>
        </w:rPr>
        <w:t>本合同商品混凝土工程量结算的具体方式为以下第</w:t>
      </w:r>
      <w:permStart w:id="37"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3.1.1</w:t>
      </w:r>
      <w:permEnd w:id="37"/>
      <w:r>
        <w:rPr>
          <w:rFonts w:hint="eastAsia" w:ascii="仿宋_GB2312" w:hAnsi="仿宋_GB2312" w:eastAsia="仿宋_GB2312" w:cs="仿宋_GB2312"/>
          <w:color w:val="000000" w:themeColor="text1"/>
          <w:highlight w:val="none"/>
          <w14:textFill>
            <w14:solidFill>
              <w14:schemeClr w14:val="tx1"/>
            </w14:solidFill>
          </w14:textFill>
        </w:rPr>
        <w:t>种。</w:t>
      </w:r>
    </w:p>
    <w:p w14:paraId="5478BD51">
      <w:pPr>
        <w:pStyle w:val="16"/>
        <w:spacing w:line="400" w:lineRule="exact"/>
        <w:ind w:firstLine="482" w:firstLineChars="200"/>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u w:val="single"/>
          <w14:textFill>
            <w14:solidFill>
              <w14:schemeClr w14:val="tx1"/>
            </w14:solidFill>
          </w14:textFill>
        </w:rPr>
        <w:t>3.1.1按混凝土进场验收过磅为依据进行结算，甲方按以下方式进行验收：</w:t>
      </w:r>
    </w:p>
    <w:p w14:paraId="1970860F">
      <w:pPr>
        <w:pStyle w:val="19"/>
        <w:spacing w:line="400" w:lineRule="exact"/>
        <w:ind w:firstLine="540" w:firstLineChars="225"/>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1）混凝土按照“过磅计量”方式结算，甲方对混凝土进行过磅，商品混凝土容重按照每批次混凝土进场时的开盘鉴定中配合比进行计算。</w:t>
      </w:r>
    </w:p>
    <w:p w14:paraId="71F198C9">
      <w:pPr>
        <w:pStyle w:val="19"/>
        <w:spacing w:line="360" w:lineRule="auto"/>
        <w:ind w:firstLine="540" w:firstLineChars="225"/>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2）供应过程中，甲方项目有地磅的必须每车进出场双检，出现小票未过磅确认的，甲方不予承认其数量。无地磅的项目有权进行抽查，且且保证抽查量不低于供应总量的50％。</w:t>
      </w:r>
    </w:p>
    <w:p w14:paraId="07545439">
      <w:pPr>
        <w:pStyle w:val="19"/>
        <w:spacing w:line="360" w:lineRule="auto"/>
        <w:ind w:firstLine="540" w:firstLineChars="225"/>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3）甲方将过磅量与小票量进行对比，当过磅量大于或等于小票量时方可视为方量满足要求，否则按亏方处理。发现亏方情况，有地磅项目本批次浇筑的每一车都扣相应的亏损量；无地磅项目本批次浇筑的每一车都扣相应相应亏损量的两倍。</w:t>
      </w:r>
    </w:p>
    <w:p w14:paraId="727C1D97">
      <w:pPr>
        <w:pStyle w:val="19"/>
        <w:spacing w:line="360" w:lineRule="auto"/>
        <w:ind w:firstLine="540" w:firstLineChars="225"/>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4）每批次浇筑完成，甲乙双方须在2个工作日内完成该批次混凝的数量确认，双方签字确认的作为混凝土结算办理数量依据。小票签收人员由项目部委托人员签字有效，其他人员签字无效。</w:t>
      </w:r>
    </w:p>
    <w:p w14:paraId="638B366B">
      <w:pPr>
        <w:pStyle w:val="19"/>
        <w:spacing w:line="360" w:lineRule="auto"/>
        <w:ind w:firstLine="540" w:firstLineChars="225"/>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5）为保证乙方混凝土容重的准确性，甲方有权随机抽查乙方搅拌站配合比容重，经实测的容重与配合比容重误差在±1.5％内视为符合要求，容重误差超过1.5％视为不符合要求，其中误差在1.5％-3％的处自上次容重抽查之日以来所有浇筑的混凝土方量扣减10％的处罚，误差在3％-5％的处自上次容重抽查之日以来所有浇筑的混凝土方量扣减20％的处罚，误差在5％以上的处自上次容重抽查之日以来所有浇筑的混凝土方量扣减30％的处罚，并解除供货合同，列入中建</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不合格供应商。</w:t>
      </w:r>
    </w:p>
    <w:p w14:paraId="0FFE8C45">
      <w:pPr>
        <w:pStyle w:val="16"/>
        <w:spacing w:line="400" w:lineRule="atLeast"/>
        <w:ind w:firstLine="482" w:firstLineChars="200"/>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u w:val="single"/>
          <w14:textFill>
            <w14:solidFill>
              <w14:schemeClr w14:val="tx1"/>
            </w14:solidFill>
          </w14:textFill>
        </w:rPr>
        <w:t>3.1.2按施工图纸计算工程量和小票验收量相结合的结算方式：</w:t>
      </w:r>
    </w:p>
    <w:p w14:paraId="0D602DBC">
      <w:pPr>
        <w:pStyle w:val="7"/>
        <w:snapToGrid w:val="0"/>
        <w:spacing w:line="400" w:lineRule="atLeast"/>
        <w:ind w:firstLine="480"/>
        <w:contextualSpacing/>
        <w:jc w:val="left"/>
        <w:rPr>
          <w:rFonts w:hAnsi="仿宋_GB2312" w:cs="仿宋_GB2312"/>
          <w:bCs w:val="0"/>
          <w:color w:val="000000" w:themeColor="text1"/>
          <w:sz w:val="24"/>
          <w:szCs w:val="24"/>
          <w:highlight w:val="none"/>
          <w14:textFill>
            <w14:solidFill>
              <w14:schemeClr w14:val="tx1"/>
            </w14:solidFill>
          </w14:textFill>
        </w:rPr>
      </w:pPr>
      <w:r>
        <w:rPr>
          <w:rFonts w:hint="eastAsia" w:hAnsi="仿宋_GB2312" w:cs="仿宋_GB2312"/>
          <w:bCs w:val="0"/>
          <w:color w:val="000000" w:themeColor="text1"/>
          <w:sz w:val="24"/>
          <w:szCs w:val="24"/>
          <w:highlight w:val="none"/>
          <w14:textFill>
            <w14:solidFill>
              <w14:schemeClr w14:val="tx1"/>
            </w14:solidFill>
          </w14:textFill>
        </w:rPr>
        <w:t>（1）按实际小票量结算的部位：①水沟、电缆沟、临时马路、塔吊基础、彩板房基础等临建基础。②.桩基、垫层、导墙、挡土墙、支撑系统（含支撑梁、冠梁及栈桥）、二次构件（含圈梁、过梁、构造柱、飘窗、线条、翻边）、地坪、细石砼楼地面、屋面找平层、保护层、坡屋面、女儿墙、花架、设备基础、填充砼、散水、后浇带。③.基础设施工程中的：支座垫石、楔块、防护栏杆、路基基础、系梁、地连墙、桥（路）面铺装。</w:t>
      </w:r>
    </w:p>
    <w:p w14:paraId="5006C3AC">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除按实际小票量结算部位外，其他部位以实际用量与结构层图纸预算数量相比，不能超过结构层图纸预算数量（含钢筋体积），若超过则按结构层图纸预算数量结算，没有超过则按实际用量结算（房屋建筑工程项目比较范围为每个结构层；市政桥梁工程项目比较范围为水平方向每个施工区段，竖向为每个分部工程）；</w:t>
      </w:r>
    </w:p>
    <w:p w14:paraId="0BC7B47C">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小票数量的确认方法：在浇筑过程中,乙方无条件服从甲方项目人员对任意车次的重量抽查。无论甲方抽查几车，只要抽查发现过磅偏差超出下表对应的偏差允许值，则需对该批次混凝土逐车进行扣减。（如果抽查中存在多个超出偏差允许值的情况，则按最大过磅偏差值，对该批混凝土逐车进行扣减）</w:t>
      </w:r>
    </w:p>
    <w:p w14:paraId="0738ADDC">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（4）商品混凝土容重：按项目与供应商约定的实际配合比计算。</w:t>
      </w:r>
    </w:p>
    <w:p w14:paraId="51354E04">
      <w:pPr>
        <w:pStyle w:val="16"/>
        <w:spacing w:line="400" w:lineRule="atLeast"/>
        <w:ind w:firstLine="482" w:firstLineChars="200"/>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u w:val="single"/>
          <w14:textFill>
            <w14:solidFill>
              <w14:schemeClr w14:val="tx1"/>
            </w14:solidFill>
          </w14:textFill>
        </w:rPr>
        <w:t>3.1.3按施工图纸计算工程量和小票验收量相结合的结算方式，商品混凝土实际结算量不超过图纸量（含设计变更、签证部分）。</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p w14:paraId="7D647D2F">
      <w:pPr>
        <w:pStyle w:val="7"/>
        <w:snapToGrid w:val="0"/>
        <w:spacing w:line="400" w:lineRule="atLeast"/>
        <w:ind w:firstLine="480"/>
        <w:contextualSpacing/>
        <w:jc w:val="left"/>
        <w:rPr>
          <w:rFonts w:hAnsi="仿宋_GB2312" w:cs="仿宋_GB2312"/>
          <w:bCs w:val="0"/>
          <w:color w:val="000000" w:themeColor="text1"/>
          <w:sz w:val="24"/>
          <w:szCs w:val="24"/>
          <w:highlight w:val="none"/>
          <w14:textFill>
            <w14:solidFill>
              <w14:schemeClr w14:val="tx1"/>
            </w14:solidFill>
          </w14:textFill>
        </w:rPr>
      </w:pPr>
      <w:r>
        <w:rPr>
          <w:rFonts w:hint="eastAsia" w:hAnsi="仿宋_GB2312" w:cs="仿宋_GB2312"/>
          <w:bCs w:val="0"/>
          <w:color w:val="000000" w:themeColor="text1"/>
          <w:sz w:val="24"/>
          <w:szCs w:val="24"/>
          <w:highlight w:val="none"/>
          <w14:textFill>
            <w14:solidFill>
              <w14:schemeClr w14:val="tx1"/>
            </w14:solidFill>
          </w14:textFill>
        </w:rPr>
        <w:t>（1）按实际小票量结算的部位：①水沟、电缆沟、临时马路、塔吊基础、彩板房基础等临建基础。②.桩基、垫层、导墙、挡土墙、支撑系统（含支撑梁、冠梁及栈桥）、二次构件（含圈梁、过梁、构造柱、飘窗、线条、翻边）、地坪、细石砼楼地面、屋面找平层、保护层、坡屋面、女儿墙、花架、设备基础、填充砼、散水、后浇带。③.基础设施工程中的：支座垫石、楔块、防护栏杆、路基基础、系梁、地连墙、桥（路）面铺装。</w:t>
      </w:r>
    </w:p>
    <w:p w14:paraId="1E29AD29">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除按实际小票量结算部位外，其他部位按照结构层图纸预算量进行结算，结构层图纸预算数量不扣除钢筋体积不另计损耗，房屋建筑工程项目为每个结构层；市政桥梁工程项目为水平方向每个施工区段，竖向为每个分部工程。工程量计算规则按2013年《建设工程工程量清单计价规范》（GB50500-2013）中混凝土的计算规则执行，《建设工程工程量清单计价规范》中以面积计量的，工程量=面积*厚度。</w:t>
      </w:r>
    </w:p>
    <w:p w14:paraId="7C84A074">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以上小票数量的确认和施工图纸预算计量的方法：在浇筑过程中,乙方无条件服从甲方项目人员对任意车次的重量抽查。其中小票计量抽查比例不低于70％，施工图纸预算计量抽查比例不低于10％。按照小票计量的，无论甲方抽查几车，只要抽查发现过磅偏差超出下表对应的偏差允许值，则需对该批次混凝土逐车进行扣减（如果抽查中存在多个超出偏差允许值的情况，则按最大过磅偏差值，对该批混凝土逐车进行扣减）。按照施工图纸预算计量的小票签收以及抽查，仅作为过程管理资料，不作为收方结算凭证。</w:t>
      </w:r>
    </w:p>
    <w:tbl>
      <w:tblPr>
        <w:tblStyle w:val="14"/>
        <w:tblW w:w="7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4450"/>
        <w:gridCol w:w="2740"/>
      </w:tblGrid>
      <w:tr w14:paraId="28BD46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Pr>
          <w:p w14:paraId="3FBD60BC">
            <w:pPr>
              <w:spacing w:before="120" w:after="120" w:line="400" w:lineRule="atLeast"/>
              <w:jc w:val="center"/>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序号</w:t>
            </w:r>
          </w:p>
        </w:tc>
        <w:tc>
          <w:tcPr>
            <w:tcW w:w="4450" w:type="dxa"/>
            <w:vAlign w:val="center"/>
          </w:tcPr>
          <w:p w14:paraId="54F6B7C5">
            <w:pPr>
              <w:spacing w:line="400" w:lineRule="atLeast"/>
              <w:ind w:firstLine="480" w:firstLineChars="200"/>
              <w:jc w:val="center"/>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项抽查</w:t>
            </w:r>
          </w:p>
        </w:tc>
        <w:tc>
          <w:tcPr>
            <w:tcW w:w="2740" w:type="dxa"/>
            <w:vAlign w:val="center"/>
          </w:tcPr>
          <w:p w14:paraId="1729F572">
            <w:pPr>
              <w:spacing w:line="400" w:lineRule="atLeast"/>
              <w:ind w:firstLine="480" w:firstLineChars="200"/>
              <w:jc w:val="center"/>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允许误差</w:t>
            </w:r>
          </w:p>
        </w:tc>
      </w:tr>
      <w:tr w14:paraId="6A76CC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00" w:type="dxa"/>
            <w:vAlign w:val="center"/>
          </w:tcPr>
          <w:p w14:paraId="4E98F486">
            <w:pPr>
              <w:spacing w:line="400" w:lineRule="atLeast"/>
              <w:jc w:val="center"/>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w:t>
            </w:r>
          </w:p>
        </w:tc>
        <w:tc>
          <w:tcPr>
            <w:tcW w:w="4450" w:type="dxa"/>
            <w:vAlign w:val="center"/>
          </w:tcPr>
          <w:p w14:paraId="14D62A05">
            <w:pPr>
              <w:spacing w:line="400" w:lineRule="atLeast"/>
              <w:jc w:val="left"/>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实测容重与乙方开盘鉴定提供标准容重</w:t>
            </w:r>
          </w:p>
        </w:tc>
        <w:tc>
          <w:tcPr>
            <w:tcW w:w="2740" w:type="dxa"/>
            <w:vAlign w:val="center"/>
          </w:tcPr>
          <w:p w14:paraId="751DB567">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-1％≤实测值≤0</w:t>
            </w:r>
          </w:p>
        </w:tc>
      </w:tr>
      <w:tr w14:paraId="129C14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14:paraId="74C00C50">
            <w:pPr>
              <w:spacing w:line="400" w:lineRule="atLeast"/>
              <w:jc w:val="center"/>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2</w:t>
            </w:r>
          </w:p>
        </w:tc>
        <w:tc>
          <w:tcPr>
            <w:tcW w:w="4450" w:type="dxa"/>
            <w:vAlign w:val="center"/>
          </w:tcPr>
          <w:p w14:paraId="13302D1A">
            <w:pPr>
              <w:spacing w:line="400" w:lineRule="atLeast"/>
              <w:jc w:val="left"/>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实测车载重量与乙方提供的按照标准容重、标准方量计算的重量</w:t>
            </w:r>
          </w:p>
        </w:tc>
        <w:tc>
          <w:tcPr>
            <w:tcW w:w="2740" w:type="dxa"/>
            <w:vAlign w:val="center"/>
          </w:tcPr>
          <w:p w14:paraId="2EBE15D0">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-1％≤实测值≤0</w:t>
            </w:r>
          </w:p>
        </w:tc>
      </w:tr>
    </w:tbl>
    <w:p w14:paraId="7FB7339E">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（4）商品混凝土容重：按项目与供应商约定的实际配合比计算。</w:t>
      </w:r>
    </w:p>
    <w:p w14:paraId="2A3820FF">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（5）乙方免费提供润泵砂浆，甲方不计量不计价。</w:t>
      </w:r>
    </w:p>
    <w:p w14:paraId="5B8F847B">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w:t>
      </w:r>
      <w:r>
        <w:rPr>
          <w:rFonts w:ascii="仿宋_GB2312" w:hAnsi="仿宋_GB2312" w:eastAsia="仿宋_GB2312" w:cs="仿宋_GB2312"/>
          <w:color w:val="000000" w:themeColor="text1"/>
          <w:sz w:val="24"/>
          <w:szCs w:val="24"/>
          <w:highlight w:val="none"/>
          <w14:textFill>
            <w14:solidFill>
              <w14:schemeClr w14:val="tx1"/>
            </w14:solidFill>
          </w14:textFill>
        </w:rPr>
        <w:t>.1.4</w:t>
      </w:r>
      <w:r>
        <w:rPr>
          <w:rFonts w:hint="eastAsia" w:ascii="仿宋_GB2312" w:hAnsi="仿宋_GB2312" w:eastAsia="仿宋_GB2312" w:cs="仿宋_GB2312"/>
          <w:color w:val="000000" w:themeColor="text1"/>
          <w:sz w:val="24"/>
          <w:szCs w:val="24"/>
          <w:highlight w:val="none"/>
          <w14:textFill>
            <w14:solidFill>
              <w14:schemeClr w14:val="tx1"/>
            </w14:solidFill>
          </w14:textFill>
        </w:rPr>
        <w:t>其他</w:t>
      </w:r>
      <w:permStart w:id="38"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w:t>
      </w:r>
      <w:r>
        <w:rPr>
          <w:rFonts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38"/>
    </w:p>
    <w:p w14:paraId="5E5EFA5C">
      <w:pPr>
        <w:pStyle w:val="7"/>
        <w:snapToGrid w:val="0"/>
        <w:spacing w:line="400" w:lineRule="atLeast"/>
        <w:ind w:firstLine="482"/>
        <w:contextualSpacing/>
        <w:jc w:val="left"/>
        <w:rPr>
          <w:rFonts w:hAnsi="仿宋_GB2312" w:cs="仿宋_GB2312"/>
          <w:b/>
          <w:color w:val="000000" w:themeColor="text1"/>
          <w:sz w:val="24"/>
          <w:szCs w:val="24"/>
          <w:highlight w:val="none"/>
          <w:u w:val="single"/>
          <w14:textFill>
            <w14:solidFill>
              <w14:schemeClr w14:val="tx1"/>
            </w14:solidFill>
          </w14:textFill>
        </w:rPr>
      </w:pPr>
      <w:r>
        <w:rPr>
          <w:rFonts w:hint="eastAsia" w:hAnsi="仿宋_GB2312" w:cs="仿宋_GB2312"/>
          <w:b/>
          <w:color w:val="000000" w:themeColor="text1"/>
          <w:sz w:val="24"/>
          <w:szCs w:val="24"/>
          <w:highlight w:val="none"/>
          <w:u w:val="single"/>
          <w14:textFill>
            <w14:solidFill>
              <w14:schemeClr w14:val="tx1"/>
            </w14:solidFill>
          </w14:textFill>
        </w:rPr>
        <w:t>3.2验收注意事项：</w:t>
      </w:r>
    </w:p>
    <w:p w14:paraId="2CD116A1">
      <w:pPr>
        <w:pStyle w:val="7"/>
        <w:numPr>
          <w:ilvl w:val="0"/>
          <w:numId w:val="4"/>
        </w:numPr>
        <w:snapToGrid w:val="0"/>
        <w:spacing w:line="400" w:lineRule="atLeast"/>
        <w:ind w:firstLine="480"/>
        <w:contextualSpacing/>
        <w:jc w:val="left"/>
        <w:rPr>
          <w:rFonts w:hAnsi="仿宋_GB2312" w:cs="仿宋_GB2312"/>
          <w:bCs w:val="0"/>
          <w:color w:val="000000" w:themeColor="text1"/>
          <w:sz w:val="24"/>
          <w:szCs w:val="24"/>
          <w:highlight w:val="none"/>
          <w14:textFill>
            <w14:solidFill>
              <w14:schemeClr w14:val="tx1"/>
            </w14:solidFill>
          </w14:textFill>
        </w:rPr>
      </w:pPr>
      <w:r>
        <w:rPr>
          <w:rFonts w:hint="eastAsia" w:hAnsi="仿宋_GB2312" w:cs="仿宋_GB2312"/>
          <w:bCs w:val="0"/>
          <w:color w:val="000000" w:themeColor="text1"/>
          <w:sz w:val="24"/>
          <w:szCs w:val="24"/>
          <w:highlight w:val="none"/>
          <w14:textFill>
            <w14:solidFill>
              <w14:schemeClr w14:val="tx1"/>
            </w14:solidFill>
          </w14:textFill>
        </w:rPr>
        <w:t>称重要求：以甲方现场安装的地磅作为抽查设备，除非乙方有证据证明甲方设备超过国家计量允许偏差范围。甲方现场没有安装称重设备的，可由双方共同委托符合要求的第三方计量单位完成抽样工作。相关费用由合同违约一方承担。</w:t>
      </w:r>
    </w:p>
    <w:p w14:paraId="69CCCCDC">
      <w:pPr>
        <w:pStyle w:val="7"/>
        <w:numPr>
          <w:ilvl w:val="0"/>
          <w:numId w:val="4"/>
        </w:numPr>
        <w:snapToGrid w:val="0"/>
        <w:spacing w:line="400" w:lineRule="atLeast"/>
        <w:ind w:firstLine="480"/>
        <w:contextualSpacing/>
        <w:jc w:val="left"/>
        <w:rPr>
          <w:rFonts w:hAnsi="仿宋_GB2312" w:cs="仿宋_GB2312"/>
          <w:bCs w:val="0"/>
          <w:color w:val="000000" w:themeColor="text1"/>
          <w:sz w:val="24"/>
          <w:szCs w:val="24"/>
          <w:highlight w:val="none"/>
          <w14:textFill>
            <w14:solidFill>
              <w14:schemeClr w14:val="tx1"/>
            </w14:solidFill>
          </w14:textFill>
        </w:rPr>
      </w:pPr>
      <w:r>
        <w:rPr>
          <w:rFonts w:hint="eastAsia" w:hAnsi="仿宋_GB2312" w:cs="仿宋_GB2312"/>
          <w:bCs w:val="0"/>
          <w:color w:val="000000" w:themeColor="text1"/>
          <w:sz w:val="24"/>
          <w:szCs w:val="24"/>
          <w:highlight w:val="none"/>
          <w14:textFill>
            <w14:solidFill>
              <w14:schemeClr w14:val="tx1"/>
            </w14:solidFill>
          </w14:textFill>
        </w:rPr>
        <w:t>超耗要求：若浇筑时出现跑模、胀模、爆管等混凝土超耗由责任方承担，按图纸计量部分若因甲方原因造成的超耗可办理签证予以计量。</w:t>
      </w:r>
    </w:p>
    <w:p w14:paraId="0CA5D13F">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资料要求：乙方具体现场验收及抽查人员以《商品混凝土需方验收人员一览表》（合同附件）为准，除此以外的任何机构或个人的任何盖章或签字均属无效，甲方不予认可。抽查结果以《商品混凝土进场验收验证记录表》（合同附件）为准。</w:t>
      </w:r>
    </w:p>
    <w:p w14:paraId="01ADA66B">
      <w:pPr>
        <w:pStyle w:val="7"/>
        <w:snapToGrid w:val="0"/>
        <w:spacing w:line="400" w:lineRule="atLeast"/>
        <w:ind w:firstLine="480"/>
        <w:contextualSpacing/>
        <w:jc w:val="left"/>
        <w:rPr>
          <w:rFonts w:hAnsi="仿宋_GB2312" w:cs="仿宋_GB2312"/>
          <w:bCs w:val="0"/>
          <w:color w:val="000000" w:themeColor="text1"/>
          <w:sz w:val="24"/>
          <w:szCs w:val="24"/>
          <w:highlight w:val="none"/>
          <w14:textFill>
            <w14:solidFill>
              <w14:schemeClr w14:val="tx1"/>
            </w14:solidFill>
          </w14:textFill>
        </w:rPr>
      </w:pPr>
      <w:r>
        <w:rPr>
          <w:rFonts w:hint="eastAsia" w:hAnsi="仿宋_GB2312" w:cs="仿宋_GB2312"/>
          <w:bCs w:val="0"/>
          <w:color w:val="000000" w:themeColor="text1"/>
          <w:sz w:val="24"/>
          <w:szCs w:val="24"/>
          <w:highlight w:val="none"/>
          <w14:textFill>
            <w14:solidFill>
              <w14:schemeClr w14:val="tx1"/>
            </w14:solidFill>
          </w14:textFill>
        </w:rPr>
        <w:t>（4）授权人员：乙方以书面形式委托的现场代表负责配合处理现场过磅、验收、核对方量、结算事宜。如未委派代表或现场代表以任何理由不参与，则乙方运输司机或其他人员的签署视为有效。如乙方无任何人员参与上述事宜，则视为供方默认甲方的现场签署意见，并以甲方签署的单据为有效结算依据。</w:t>
      </w:r>
    </w:p>
    <w:p w14:paraId="16083495">
      <w:pPr>
        <w:pStyle w:val="3"/>
        <w:keepNext w:val="0"/>
        <w:keepLines w:val="0"/>
        <w:tabs>
          <w:tab w:val="left" w:pos="567"/>
        </w:tabs>
        <w:spacing w:before="0" w:line="240" w:lineRule="auto"/>
        <w:ind w:firstLine="480" w:firstLineChars="200"/>
        <w:rPr>
          <w:rFonts w:ascii="仿宋" w:hAnsi="仿宋" w:eastAsia="仿宋"/>
          <w:color w:val="000000"/>
          <w:sz w:val="24"/>
          <w:szCs w:val="24"/>
          <w:highlight w:val="none"/>
        </w:rPr>
      </w:pPr>
      <w:r>
        <w:rPr>
          <w:rFonts w:hint="eastAsia" w:hAnsi="仿宋_GB2312" w:cs="仿宋_GB2312"/>
          <w:b w:val="0"/>
          <w:color w:val="000000" w:themeColor="text1"/>
          <w:sz w:val="24"/>
          <w:szCs w:val="24"/>
          <w:highlight w:val="none"/>
          <w14:textFill>
            <w14:solidFill>
              <w14:schemeClr w14:val="tx1"/>
            </w14:solidFill>
          </w14:textFill>
        </w:rPr>
        <w:t>（</w:t>
      </w:r>
      <w:r>
        <w:rPr>
          <w:rFonts w:hint="eastAsia" w:ascii="仿宋" w:hAnsi="仿宋" w:eastAsia="仿宋" w:cs="仿宋_GB2312"/>
          <w:b w:val="0"/>
          <w:color w:val="000000" w:themeColor="text1"/>
          <w:sz w:val="24"/>
          <w:szCs w:val="24"/>
          <w:highlight w:val="none"/>
          <w14:textFill>
            <w14:solidFill>
              <w14:schemeClr w14:val="tx1"/>
            </w14:solidFill>
          </w14:textFill>
        </w:rPr>
        <w:t>5）</w:t>
      </w:r>
      <w:r>
        <w:rPr>
          <w:rFonts w:hint="eastAsia" w:ascii="仿宋" w:hAnsi="仿宋" w:eastAsia="仿宋"/>
          <w:b w:val="0"/>
          <w:color w:val="000000"/>
          <w:sz w:val="24"/>
          <w:szCs w:val="24"/>
          <w:highlight w:val="none"/>
        </w:rPr>
        <w:t>不同强度混凝土密度、单方容重、偏差应满足下表：</w:t>
      </w:r>
    </w:p>
    <w:tbl>
      <w:tblPr>
        <w:tblStyle w:val="13"/>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873"/>
        <w:gridCol w:w="1008"/>
        <w:gridCol w:w="1008"/>
        <w:gridCol w:w="1009"/>
        <w:gridCol w:w="1009"/>
        <w:gridCol w:w="1009"/>
        <w:gridCol w:w="922"/>
      </w:tblGrid>
      <w:tr w14:paraId="76AD37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tcPr>
          <w:p w14:paraId="2624FA78">
            <w:pPr>
              <w:pStyle w:val="4"/>
              <w:ind w:left="480" w:hanging="480" w:hangingChars="200"/>
              <w:rPr>
                <w:rFonts w:ascii="仿宋" w:hAnsi="仿宋" w:eastAsia="仿宋"/>
                <w:color w:val="000000"/>
                <w:kern w:val="16"/>
                <w:sz w:val="24"/>
                <w:szCs w:val="24"/>
                <w:highlight w:val="none"/>
              </w:rPr>
            </w:pPr>
            <w:permStart w:id="39" w:edGrp="everyone"/>
            <w:r>
              <w:rPr>
                <w:rFonts w:hint="eastAsia" w:ascii="仿宋" w:hAnsi="仿宋" w:eastAsia="仿宋"/>
                <w:color w:val="000000"/>
                <w:kern w:val="16"/>
                <w:sz w:val="24"/>
                <w:szCs w:val="24"/>
                <w:highlight w:val="none"/>
              </w:rPr>
              <w:t>混凝土规格</w:t>
            </w:r>
          </w:p>
        </w:tc>
        <w:tc>
          <w:tcPr>
            <w:tcW w:w="873" w:type="dxa"/>
          </w:tcPr>
          <w:p w14:paraId="6B186FF8">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C15</w:t>
            </w:r>
          </w:p>
        </w:tc>
        <w:tc>
          <w:tcPr>
            <w:tcW w:w="1008" w:type="dxa"/>
          </w:tcPr>
          <w:p w14:paraId="0E6E4359">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C20</w:t>
            </w:r>
          </w:p>
        </w:tc>
        <w:tc>
          <w:tcPr>
            <w:tcW w:w="1008" w:type="dxa"/>
          </w:tcPr>
          <w:p w14:paraId="09FD5099">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C25</w:t>
            </w:r>
          </w:p>
        </w:tc>
        <w:tc>
          <w:tcPr>
            <w:tcW w:w="1009" w:type="dxa"/>
          </w:tcPr>
          <w:p w14:paraId="7DD4BD40">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C30</w:t>
            </w:r>
          </w:p>
        </w:tc>
        <w:tc>
          <w:tcPr>
            <w:tcW w:w="1009" w:type="dxa"/>
          </w:tcPr>
          <w:p w14:paraId="502097A3">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C35</w:t>
            </w:r>
          </w:p>
        </w:tc>
        <w:tc>
          <w:tcPr>
            <w:tcW w:w="1009" w:type="dxa"/>
          </w:tcPr>
          <w:p w14:paraId="1369CE33">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C40</w:t>
            </w:r>
          </w:p>
        </w:tc>
        <w:tc>
          <w:tcPr>
            <w:tcW w:w="922" w:type="dxa"/>
          </w:tcPr>
          <w:p w14:paraId="4CD585F2">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C45</w:t>
            </w:r>
          </w:p>
        </w:tc>
      </w:tr>
      <w:tr w14:paraId="0BF254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tcPr>
          <w:p w14:paraId="3904F418">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密度（㎏/m3）</w:t>
            </w:r>
          </w:p>
        </w:tc>
        <w:tc>
          <w:tcPr>
            <w:tcW w:w="873" w:type="dxa"/>
          </w:tcPr>
          <w:p w14:paraId="575A5AC0">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2325</w:t>
            </w:r>
          </w:p>
        </w:tc>
        <w:tc>
          <w:tcPr>
            <w:tcW w:w="1008" w:type="dxa"/>
          </w:tcPr>
          <w:p w14:paraId="2865CEEC">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2340</w:t>
            </w:r>
          </w:p>
        </w:tc>
        <w:tc>
          <w:tcPr>
            <w:tcW w:w="1008" w:type="dxa"/>
          </w:tcPr>
          <w:p w14:paraId="6328FE5A">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2355</w:t>
            </w:r>
          </w:p>
        </w:tc>
        <w:tc>
          <w:tcPr>
            <w:tcW w:w="1009" w:type="dxa"/>
          </w:tcPr>
          <w:p w14:paraId="768932DE">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2370</w:t>
            </w:r>
          </w:p>
        </w:tc>
        <w:tc>
          <w:tcPr>
            <w:tcW w:w="1009" w:type="dxa"/>
          </w:tcPr>
          <w:p w14:paraId="23E9CC74">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2385</w:t>
            </w:r>
          </w:p>
        </w:tc>
        <w:tc>
          <w:tcPr>
            <w:tcW w:w="1009" w:type="dxa"/>
          </w:tcPr>
          <w:p w14:paraId="6ECE9EEE">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2400</w:t>
            </w:r>
          </w:p>
        </w:tc>
        <w:tc>
          <w:tcPr>
            <w:tcW w:w="922" w:type="dxa"/>
          </w:tcPr>
          <w:p w14:paraId="58F42393">
            <w:pPr>
              <w:pStyle w:val="4"/>
              <w:ind w:left="480" w:hanging="480" w:hangingChars="200"/>
              <w:rPr>
                <w:rFonts w:ascii="仿宋" w:hAnsi="仿宋" w:eastAsia="仿宋"/>
                <w:color w:val="000000"/>
                <w:kern w:val="16"/>
                <w:sz w:val="24"/>
                <w:szCs w:val="24"/>
                <w:highlight w:val="none"/>
              </w:rPr>
            </w:pPr>
            <w:r>
              <w:rPr>
                <w:rFonts w:hint="eastAsia" w:ascii="仿宋" w:hAnsi="仿宋" w:eastAsia="仿宋"/>
                <w:color w:val="000000"/>
                <w:kern w:val="16"/>
                <w:sz w:val="24"/>
                <w:szCs w:val="24"/>
                <w:highlight w:val="none"/>
              </w:rPr>
              <w:t>2415</w:t>
            </w:r>
          </w:p>
        </w:tc>
      </w:tr>
      <w:permEnd w:id="39"/>
    </w:tbl>
    <w:p w14:paraId="11121F43">
      <w:pPr>
        <w:pStyle w:val="3"/>
        <w:keepNext w:val="0"/>
        <w:keepLines w:val="0"/>
        <w:tabs>
          <w:tab w:val="left" w:pos="567"/>
        </w:tabs>
        <w:spacing w:before="0" w:line="240" w:lineRule="auto"/>
        <w:rPr>
          <w:rFonts w:ascii="仿宋" w:hAnsi="仿宋" w:eastAsia="仿宋"/>
          <w:color w:val="000000"/>
          <w:sz w:val="21"/>
          <w:szCs w:val="21"/>
          <w:highlight w:val="non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2481"/>
        <w:gridCol w:w="2288"/>
        <w:gridCol w:w="2297"/>
      </w:tblGrid>
      <w:tr w14:paraId="7C67DA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56" w:type="dxa"/>
            <w:vAlign w:val="center"/>
          </w:tcPr>
          <w:p w14:paraId="7A2D5A29">
            <w:pPr>
              <w:jc w:val="both"/>
              <w:rPr>
                <w:rFonts w:ascii="仿宋" w:hAnsi="仿宋" w:eastAsia="仿宋"/>
                <w:color w:val="000000"/>
                <w:sz w:val="24"/>
                <w:szCs w:val="24"/>
                <w:highlight w:val="none"/>
              </w:rPr>
            </w:pPr>
            <w:permStart w:id="40" w:edGrp="everyone"/>
            <w:r>
              <w:rPr>
                <w:rFonts w:hint="eastAsia" w:ascii="仿宋" w:hAnsi="仿宋" w:eastAsia="仿宋"/>
                <w:color w:val="000000"/>
                <w:sz w:val="24"/>
                <w:szCs w:val="24"/>
                <w:highlight w:val="none"/>
              </w:rPr>
              <w:t>序号</w:t>
            </w:r>
          </w:p>
        </w:tc>
        <w:tc>
          <w:tcPr>
            <w:tcW w:w="2481" w:type="dxa"/>
            <w:vAlign w:val="center"/>
          </w:tcPr>
          <w:p w14:paraId="451985C2">
            <w:pPr>
              <w:jc w:val="both"/>
              <w:rPr>
                <w:rFonts w:ascii="仿宋" w:hAnsi="仿宋" w:eastAsia="仿宋"/>
                <w:color w:val="000000"/>
                <w:sz w:val="24"/>
                <w:szCs w:val="24"/>
                <w:highlight w:val="none"/>
              </w:rPr>
            </w:pPr>
            <w:r>
              <w:rPr>
                <w:rFonts w:hint="eastAsia" w:ascii="仿宋" w:hAnsi="仿宋" w:eastAsia="仿宋"/>
                <w:color w:val="000000"/>
                <w:sz w:val="24"/>
                <w:szCs w:val="24"/>
                <w:highlight w:val="none"/>
              </w:rPr>
              <w:t>材料名称</w:t>
            </w:r>
          </w:p>
        </w:tc>
        <w:tc>
          <w:tcPr>
            <w:tcW w:w="2288" w:type="dxa"/>
            <w:vAlign w:val="center"/>
          </w:tcPr>
          <w:p w14:paraId="212504DE">
            <w:pPr>
              <w:jc w:val="both"/>
              <w:rPr>
                <w:rFonts w:ascii="仿宋" w:hAnsi="仿宋" w:eastAsia="仿宋"/>
                <w:color w:val="000000"/>
                <w:sz w:val="24"/>
                <w:szCs w:val="24"/>
                <w:highlight w:val="none"/>
              </w:rPr>
            </w:pPr>
            <w:r>
              <w:rPr>
                <w:rFonts w:hint="eastAsia" w:ascii="仿宋" w:hAnsi="仿宋" w:eastAsia="仿宋"/>
                <w:color w:val="000000"/>
                <w:sz w:val="24"/>
                <w:szCs w:val="24"/>
                <w:highlight w:val="none"/>
              </w:rPr>
              <w:t>单方最小容重</w:t>
            </w:r>
          </w:p>
        </w:tc>
        <w:tc>
          <w:tcPr>
            <w:tcW w:w="2297" w:type="dxa"/>
            <w:vAlign w:val="center"/>
          </w:tcPr>
          <w:p w14:paraId="389DED05">
            <w:pPr>
              <w:jc w:val="both"/>
              <w:rPr>
                <w:rFonts w:ascii="仿宋" w:hAnsi="仿宋" w:eastAsia="仿宋"/>
                <w:color w:val="000000"/>
                <w:sz w:val="24"/>
                <w:szCs w:val="24"/>
                <w:highlight w:val="none"/>
              </w:rPr>
            </w:pPr>
            <w:r>
              <w:rPr>
                <w:rFonts w:hint="eastAsia" w:ascii="仿宋" w:hAnsi="仿宋" w:eastAsia="仿宋"/>
                <w:color w:val="000000"/>
                <w:sz w:val="24"/>
                <w:szCs w:val="24"/>
                <w:highlight w:val="none"/>
              </w:rPr>
              <w:t>允许偏差</w:t>
            </w:r>
          </w:p>
        </w:tc>
      </w:tr>
      <w:tr w14:paraId="3BDE62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56" w:type="dxa"/>
            <w:vAlign w:val="center"/>
          </w:tcPr>
          <w:p w14:paraId="610E1CF1">
            <w:pPr>
              <w:jc w:val="both"/>
              <w:rPr>
                <w:rFonts w:ascii="仿宋" w:hAnsi="仿宋" w:eastAsia="仿宋"/>
                <w:color w:val="FF0000"/>
                <w:sz w:val="24"/>
                <w:szCs w:val="24"/>
                <w:highlight w:val="none"/>
              </w:rPr>
            </w:pPr>
            <w:r>
              <w:rPr>
                <w:rFonts w:hint="eastAsia" w:ascii="仿宋" w:hAnsi="仿宋" w:eastAsia="仿宋"/>
                <w:color w:val="FF0000"/>
                <w:sz w:val="24"/>
                <w:szCs w:val="24"/>
                <w:highlight w:val="none"/>
                <w:lang w:val="en-US" w:eastAsia="zh-CN"/>
              </w:rPr>
              <w:t>1</w:t>
            </w:r>
          </w:p>
        </w:tc>
        <w:tc>
          <w:tcPr>
            <w:tcW w:w="2481" w:type="dxa"/>
            <w:vAlign w:val="center"/>
          </w:tcPr>
          <w:p w14:paraId="759411F2">
            <w:pPr>
              <w:jc w:val="both"/>
              <w:rPr>
                <w:rFonts w:ascii="仿宋" w:hAnsi="仿宋" w:eastAsia="仿宋"/>
                <w:color w:val="FF0000"/>
                <w:sz w:val="24"/>
                <w:szCs w:val="24"/>
                <w:highlight w:val="none"/>
              </w:rPr>
            </w:pPr>
            <w:r>
              <w:rPr>
                <w:rFonts w:hint="eastAsia" w:ascii="仿宋" w:hAnsi="仿宋" w:eastAsia="仿宋"/>
                <w:color w:val="FF0000"/>
                <w:sz w:val="24"/>
                <w:szCs w:val="24"/>
                <w:highlight w:val="none"/>
                <w:lang w:val="en-US" w:eastAsia="zh-CN"/>
              </w:rPr>
              <w:t>C20</w:t>
            </w:r>
          </w:p>
        </w:tc>
        <w:tc>
          <w:tcPr>
            <w:tcW w:w="2288" w:type="dxa"/>
            <w:vAlign w:val="center"/>
          </w:tcPr>
          <w:p w14:paraId="7BC4390B">
            <w:pPr>
              <w:jc w:val="both"/>
              <w:rPr>
                <w:rFonts w:ascii="仿宋" w:hAnsi="仿宋" w:eastAsia="仿宋"/>
                <w:color w:val="FF0000"/>
                <w:sz w:val="24"/>
                <w:szCs w:val="24"/>
                <w:highlight w:val="none"/>
              </w:rPr>
            </w:pPr>
            <w:r>
              <w:rPr>
                <w:rFonts w:hint="eastAsia" w:ascii="仿宋" w:hAnsi="仿宋" w:eastAsia="仿宋"/>
                <w:color w:val="FF0000"/>
                <w:sz w:val="24"/>
                <w:szCs w:val="24"/>
                <w:highlight w:val="none"/>
                <w:lang w:val="en-US" w:eastAsia="zh-CN"/>
              </w:rPr>
              <w:t>2340</w:t>
            </w:r>
          </w:p>
        </w:tc>
        <w:tc>
          <w:tcPr>
            <w:tcW w:w="2297" w:type="dxa"/>
            <w:vAlign w:val="center"/>
          </w:tcPr>
          <w:p w14:paraId="6DD6C2C8">
            <w:pPr>
              <w:jc w:val="both"/>
              <w:rPr>
                <w:rFonts w:ascii="仿宋" w:hAnsi="仿宋" w:eastAsia="仿宋"/>
                <w:color w:val="FF0000"/>
                <w:sz w:val="24"/>
                <w:szCs w:val="24"/>
                <w:highlight w:val="none"/>
              </w:rPr>
            </w:pPr>
            <w:r>
              <w:rPr>
                <w:rFonts w:hint="eastAsia" w:ascii="宋体" w:hAnsi="宋体" w:eastAsia="宋体" w:cs="宋体"/>
                <w:color w:val="FF0000"/>
                <w:sz w:val="24"/>
                <w:szCs w:val="24"/>
                <w:highlight w:val="none"/>
                <w:lang w:val="en-US" w:eastAsia="zh-CN"/>
              </w:rPr>
              <w:t>±</w:t>
            </w:r>
            <w:r>
              <w:rPr>
                <w:rFonts w:hint="eastAsia" w:ascii="仿宋" w:hAnsi="仿宋" w:eastAsia="仿宋"/>
                <w:color w:val="FF0000"/>
                <w:sz w:val="24"/>
                <w:szCs w:val="24"/>
                <w:highlight w:val="none"/>
                <w:lang w:val="en-US" w:eastAsia="zh-CN"/>
              </w:rPr>
              <w:t>1.5%</w:t>
            </w:r>
          </w:p>
        </w:tc>
      </w:tr>
      <w:tr w14:paraId="44BB8A2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56" w:type="dxa"/>
            <w:vAlign w:val="center"/>
          </w:tcPr>
          <w:p w14:paraId="57FC18DE">
            <w:pPr>
              <w:jc w:val="both"/>
              <w:rPr>
                <w:rFonts w:ascii="仿宋" w:hAnsi="仿宋" w:eastAsia="仿宋"/>
                <w:color w:val="FF0000"/>
                <w:sz w:val="24"/>
                <w:szCs w:val="24"/>
                <w:highlight w:val="none"/>
              </w:rPr>
            </w:pPr>
            <w:r>
              <w:rPr>
                <w:rFonts w:hint="eastAsia" w:ascii="仿宋" w:hAnsi="仿宋" w:eastAsia="仿宋"/>
                <w:color w:val="FF0000"/>
                <w:sz w:val="24"/>
                <w:szCs w:val="24"/>
                <w:highlight w:val="none"/>
                <w:lang w:val="en-US" w:eastAsia="zh-CN"/>
              </w:rPr>
              <w:t>2</w:t>
            </w:r>
          </w:p>
        </w:tc>
        <w:tc>
          <w:tcPr>
            <w:tcW w:w="2481" w:type="dxa"/>
            <w:vAlign w:val="center"/>
          </w:tcPr>
          <w:p w14:paraId="10557B0B">
            <w:pPr>
              <w:jc w:val="both"/>
              <w:rPr>
                <w:rFonts w:ascii="仿宋" w:hAnsi="仿宋" w:eastAsia="仿宋"/>
                <w:color w:val="FF0000"/>
                <w:sz w:val="24"/>
                <w:szCs w:val="24"/>
                <w:highlight w:val="none"/>
              </w:rPr>
            </w:pPr>
            <w:r>
              <w:rPr>
                <w:rFonts w:hint="eastAsia" w:ascii="仿宋" w:hAnsi="仿宋" w:eastAsia="仿宋"/>
                <w:color w:val="FF0000"/>
                <w:sz w:val="24"/>
                <w:szCs w:val="24"/>
                <w:highlight w:val="none"/>
                <w:lang w:val="en-US" w:eastAsia="zh-CN"/>
              </w:rPr>
              <w:t>C30</w:t>
            </w:r>
          </w:p>
        </w:tc>
        <w:tc>
          <w:tcPr>
            <w:tcW w:w="2288" w:type="dxa"/>
            <w:vAlign w:val="center"/>
          </w:tcPr>
          <w:p w14:paraId="4948FBF3">
            <w:pPr>
              <w:jc w:val="both"/>
              <w:rPr>
                <w:rFonts w:ascii="仿宋" w:hAnsi="仿宋" w:eastAsia="仿宋"/>
                <w:color w:val="FF0000"/>
                <w:sz w:val="24"/>
                <w:szCs w:val="24"/>
                <w:highlight w:val="none"/>
              </w:rPr>
            </w:pPr>
            <w:r>
              <w:rPr>
                <w:rFonts w:hint="eastAsia" w:ascii="仿宋" w:hAnsi="仿宋" w:eastAsia="仿宋"/>
                <w:color w:val="FF0000"/>
                <w:sz w:val="24"/>
                <w:szCs w:val="24"/>
                <w:highlight w:val="none"/>
                <w:lang w:val="en-US" w:eastAsia="zh-CN"/>
              </w:rPr>
              <w:t>2370</w:t>
            </w:r>
          </w:p>
        </w:tc>
        <w:tc>
          <w:tcPr>
            <w:tcW w:w="2297" w:type="dxa"/>
            <w:vAlign w:val="center"/>
          </w:tcPr>
          <w:p w14:paraId="2BC168B4">
            <w:pPr>
              <w:jc w:val="both"/>
              <w:rPr>
                <w:rFonts w:ascii="仿宋" w:hAnsi="仿宋" w:eastAsia="仿宋"/>
                <w:color w:val="FF0000"/>
                <w:sz w:val="24"/>
                <w:szCs w:val="24"/>
                <w:highlight w:val="none"/>
              </w:rPr>
            </w:pPr>
            <w:r>
              <w:rPr>
                <w:rFonts w:hint="eastAsia" w:ascii="宋体" w:hAnsi="宋体" w:eastAsia="宋体" w:cs="宋体"/>
                <w:color w:val="FF0000"/>
                <w:sz w:val="24"/>
                <w:szCs w:val="24"/>
                <w:highlight w:val="none"/>
                <w:lang w:val="en-US" w:eastAsia="zh-CN"/>
              </w:rPr>
              <w:t>±</w:t>
            </w:r>
            <w:r>
              <w:rPr>
                <w:rFonts w:hint="eastAsia" w:ascii="仿宋" w:hAnsi="仿宋" w:eastAsia="仿宋"/>
                <w:color w:val="FF0000"/>
                <w:sz w:val="24"/>
                <w:szCs w:val="24"/>
                <w:highlight w:val="none"/>
                <w:lang w:val="en-US" w:eastAsia="zh-CN"/>
              </w:rPr>
              <w:t>1.5%</w:t>
            </w:r>
          </w:p>
        </w:tc>
      </w:tr>
      <w:permEnd w:id="40"/>
    </w:tbl>
    <w:p w14:paraId="7ACD5F3F">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3.3数量验收凭据：</w:t>
      </w:r>
      <w:r>
        <w:rPr>
          <w:rFonts w:hint="eastAsia" w:ascii="仿宋_GB2312" w:hAnsi="仿宋_GB2312" w:eastAsia="仿宋_GB2312" w:cs="仿宋_GB2312"/>
          <w:highlight w:val="none"/>
          <w:u w:val="single"/>
        </w:rPr>
        <w:t>由甲方物资负责人及相应验收收料人员共同签署的收货凭据（包括但不限于过磅单据、收料单、供货小票、月度统计单或其他数量统计文件等）仅作为甲方收到乙方所供应物资的数量、型号、规格、到场时间等的证明，而不作为甲方付款及结算的唯一凭证，无论该收货凭据上是否载有单价、合价或合计等涉及价款的内容，且乙方不得以此要求甲方支付任何款项或承担任何责任。甲方项目经理部除物资负责人外的其他任何人员签署的任何形式的收货凭据不作为标的物进场的依据，乙方对甲方签字人员权限负有审查义务</w:t>
      </w:r>
      <w:r>
        <w:rPr>
          <w:rFonts w:hint="eastAsia" w:ascii="仿宋_GB2312" w:hAnsi="仿宋_GB2312" w:eastAsia="仿宋_GB2312" w:cs="仿宋_GB2312"/>
          <w:highlight w:val="none"/>
          <w:u w:val="single"/>
          <w:lang w:val="en-US" w:eastAsia="zh-CN"/>
        </w:rPr>
        <w:t>。</w:t>
      </w:r>
    </w:p>
    <w:p w14:paraId="0A678B33">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3.4数量争议：</w:t>
      </w:r>
      <w:r>
        <w:rPr>
          <w:rFonts w:hint="eastAsia" w:ascii="仿宋_GB2312" w:hAnsi="仿宋_GB2312" w:eastAsia="仿宋_GB2312" w:cs="仿宋_GB2312"/>
          <w:color w:val="000000" w:themeColor="text1"/>
          <w:highlight w:val="none"/>
          <w14:textFill>
            <w14:solidFill>
              <w14:schemeClr w14:val="tx1"/>
            </w14:solidFill>
          </w14:textFill>
        </w:rPr>
        <w:t>甲方如有数量异议，应在收货后7天内提出，</w:t>
      </w:r>
      <w:r>
        <w:rPr>
          <w:rFonts w:hint="eastAsia" w:ascii="仿宋_GB2312" w:hAnsi="仿宋_GB2312" w:eastAsia="仿宋_GB2312" w:cs="仿宋_GB2312"/>
          <w:b/>
          <w:bCs/>
          <w:color w:val="000000" w:themeColor="text1"/>
          <w:highlight w:val="none"/>
          <w14:textFill>
            <w14:solidFill>
              <w14:schemeClr w14:val="tx1"/>
            </w14:solidFill>
          </w14:textFill>
        </w:rPr>
        <w:t>乙方应在3天内作出答复，未回复视为认可甲方验收数量。</w:t>
      </w:r>
    </w:p>
    <w:p w14:paraId="5BD382F1">
      <w:pPr>
        <w:pStyle w:val="16"/>
        <w:spacing w:line="400" w:lineRule="atLeast"/>
        <w:ind w:firstLine="480" w:firstLineChars="200"/>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3.5其他：</w:t>
      </w:r>
    </w:p>
    <w:p w14:paraId="664CBD12">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3.5.1乙方对甲方在砼浇筑过程中有权进行监督，若乙方在甲方砼浇筑过程中未提出任何异议，双方均按合同结算方式执行，乙方不得在事后提出任何异议。</w:t>
      </w:r>
    </w:p>
    <w:p w14:paraId="7E4A4744">
      <w:pPr>
        <w:pStyle w:val="16"/>
        <w:numPr>
          <w:ilvl w:val="0"/>
          <w:numId w:val="3"/>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质量验收：</w:t>
      </w:r>
    </w:p>
    <w:p w14:paraId="4B17C468">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w:t>
      </w:r>
      <w:r>
        <w:rPr>
          <w:rFonts w:ascii="仿宋_GB2312" w:hAnsi="仿宋_GB2312" w:eastAsia="仿宋_GB2312" w:cs="仿宋_GB2312"/>
          <w:b/>
          <w:bCs/>
          <w:color w:val="000000" w:themeColor="text1"/>
          <w:highlight w:val="none"/>
          <w14:textFill>
            <w14:solidFill>
              <w14:schemeClr w14:val="tx1"/>
            </w14:solidFill>
          </w14:textFill>
        </w:rPr>
        <w:t>.1</w:t>
      </w:r>
      <w:r>
        <w:rPr>
          <w:rFonts w:hint="eastAsia" w:ascii="仿宋_GB2312" w:hAnsi="仿宋_GB2312" w:eastAsia="仿宋_GB2312" w:cs="仿宋_GB2312"/>
          <w:b/>
          <w:bCs/>
          <w:color w:val="000000" w:themeColor="text1"/>
          <w:highlight w:val="none"/>
          <w14:textFill>
            <w14:solidFill>
              <w14:schemeClr w14:val="tx1"/>
            </w14:solidFill>
          </w14:textFill>
        </w:rPr>
        <w:t>质量验收检查</w:t>
      </w:r>
    </w:p>
    <w:p w14:paraId="3BFF1E3E">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4.1.1</w:t>
      </w:r>
      <w:r>
        <w:rPr>
          <w:rFonts w:hint="eastAsia" w:ascii="仿宋_GB2312" w:hAnsi="仿宋_GB2312" w:eastAsia="仿宋_GB2312" w:cs="仿宋_GB2312"/>
          <w:color w:val="000000" w:themeColor="text1"/>
          <w:highlight w:val="none"/>
          <w14:textFill>
            <w14:solidFill>
              <w14:schemeClr w14:val="tx1"/>
            </w14:solidFill>
          </w14:textFill>
        </w:rPr>
        <w:t>检查项目包括：混凝土强度、混凝土抗渗性能、混凝土坍落度等。</w:t>
      </w:r>
    </w:p>
    <w:p w14:paraId="5758766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.1.2浇筑前需对混凝土施工配合比进行复核，混凝土原材料实际计量值需根据骨料含水率实时调整。</w:t>
      </w:r>
    </w:p>
    <w:p w14:paraId="1C0C6AD2">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.1.3混凝土运输单上需明确浇筑部位与强度，浇筑前需进行复核满足设计要求。</w:t>
      </w:r>
    </w:p>
    <w:p w14:paraId="4284ACF9">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.1.4混凝土运输单需记录好搅拌时间、出站时间、到场时间、开始浇筑时间、浇完时间，且应在混凝土初凝时间前完成浇筑。</w:t>
      </w:r>
    </w:p>
    <w:p w14:paraId="08C13852">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.1.5混凝土和易性满足设计或方案要求，做到首车必检，并记录在混凝土运输单上。</w:t>
      </w:r>
    </w:p>
    <w:p w14:paraId="3799D833">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.1.6双方共同完成现场取样试验、交货检验的取样试验，出厂检验的取样试验、出厂坍落度检验等工作由卖方承担。</w:t>
      </w:r>
    </w:p>
    <w:p w14:paraId="23502A4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.1.7以结构实体检验结果作为判断混凝土质量是否符合要求的依据。</w:t>
      </w:r>
    </w:p>
    <w:p w14:paraId="50DEDFE9">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ascii="仿宋_GB2312" w:hAnsi="仿宋_GB2312" w:eastAsia="仿宋_GB2312" w:cs="仿宋_GB2312"/>
          <w:b/>
          <w:bCs/>
          <w:color w:val="000000" w:themeColor="text1"/>
          <w:highlight w:val="none"/>
          <w14:textFill>
            <w14:solidFill>
              <w14:schemeClr w14:val="tx1"/>
            </w14:solidFill>
          </w14:textFill>
        </w:rPr>
        <w:t>4</w:t>
      </w:r>
      <w:r>
        <w:rPr>
          <w:rFonts w:hint="eastAsia" w:ascii="仿宋_GB2312" w:hAnsi="仿宋_GB2312" w:eastAsia="仿宋_GB2312" w:cs="仿宋_GB2312"/>
          <w:b/>
          <w:bCs/>
          <w:color w:val="000000" w:themeColor="text1"/>
          <w:highlight w:val="none"/>
          <w14:textFill>
            <w14:solidFill>
              <w14:schemeClr w14:val="tx1"/>
            </w14:solidFill>
          </w14:textFill>
        </w:rPr>
        <w:t>.2检验合格判定</w:t>
      </w:r>
    </w:p>
    <w:p w14:paraId="597BFD0F">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.2.1强度试验及抗渗性能试验结果符合2.3条中有关的规范、规定及标准要求，标养混凝土试块28d龄期强度达到设计要求的115%，其他各项指标均符合本合同的有关规定。</w:t>
      </w:r>
    </w:p>
    <w:p w14:paraId="11BA70BA">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.2.2坍落度等技术参数要求应符合</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方混凝土申请单要求。</w:t>
      </w:r>
    </w:p>
    <w:p w14:paraId="0E719CC6">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14:textFill>
            <w14:solidFill>
              <w14:schemeClr w14:val="tx1"/>
            </w14:solidFill>
          </w14:textFill>
        </w:rPr>
        <w:t>.2.3在混凝土使用前向</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方报送混凝土试配单，所提供的混凝土配合比必须是经</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方及监理确认的。商品混凝土进场时，按合同约定技术标准及质量要求进行验收。</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方提供商品混凝土必须符合本合同第二条技术标准及质量要求，如不符合，</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方应无条件立即更换符合本合同要求的商品混凝土给</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甲</w:t>
      </w:r>
      <w:r>
        <w:rPr>
          <w:rFonts w:hint="eastAsia" w:ascii="仿宋_GB2312" w:hAnsi="仿宋_GB2312" w:eastAsia="仿宋_GB2312" w:cs="仿宋_GB2312"/>
          <w:color w:val="000000" w:themeColor="text1"/>
          <w:highlight w:val="none"/>
          <w14:textFill>
            <w14:solidFill>
              <w14:schemeClr w14:val="tx1"/>
            </w14:solidFill>
          </w14:textFill>
        </w:rPr>
        <w:t>方，本合同商品混凝土交货日期不变，</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方未按照规定日期更换的按照</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w:t>
      </w:r>
      <w:r>
        <w:rPr>
          <w:rFonts w:hint="eastAsia" w:ascii="仿宋_GB2312" w:hAnsi="仿宋_GB2312" w:eastAsia="仿宋_GB2312" w:cs="仿宋_GB2312"/>
          <w:color w:val="000000" w:themeColor="text1"/>
          <w:highlight w:val="none"/>
          <w14:textFill>
            <w14:solidFill>
              <w14:schemeClr w14:val="tx1"/>
            </w14:solidFill>
          </w14:textFill>
        </w:rPr>
        <w:t>方违约条款处理。</w:t>
      </w:r>
    </w:p>
    <w:p w14:paraId="56195A25">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4.3质量检测：</w:t>
      </w:r>
      <w:r>
        <w:rPr>
          <w:rFonts w:hint="eastAsia" w:ascii="仿宋_GB2312" w:hAnsi="仿宋_GB2312" w:eastAsia="仿宋_GB2312" w:cs="仿宋_GB2312"/>
          <w:color w:val="000000" w:themeColor="text1"/>
          <w:highlight w:val="none"/>
          <w14:textFill>
            <w14:solidFill>
              <w14:schemeClr w14:val="tx1"/>
            </w14:solidFill>
          </w14:textFill>
        </w:rPr>
        <w:t>货物应在使用前，</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乙方配合甲方</w:t>
      </w:r>
      <w:r>
        <w:rPr>
          <w:rFonts w:hint="eastAsia" w:ascii="仿宋_GB2312" w:hAnsi="仿宋_GB2312" w:eastAsia="仿宋_GB2312" w:cs="仿宋_GB2312"/>
          <w:color w:val="000000" w:themeColor="text1"/>
          <w:highlight w:val="none"/>
          <w14:textFill>
            <w14:solidFill>
              <w14:schemeClr w14:val="tx1"/>
            </w14:solidFill>
          </w14:textFill>
        </w:rPr>
        <w:t>施工人员对涉及结构安全的试块进行取样并送检，若因乙方原因造成的送检试块质量不合格，乙方承担因此造成的工期损失、经济损失。</w:t>
      </w:r>
    </w:p>
    <w:p w14:paraId="46999B3C">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业主、监理、设计单位及甲方均有权随机抽样对货物进行第三方检测或测试，乙方有责任协助甲方完成相关测试工作，若供货材料抽样检测不合格，乙方应承担相应费用和损失。</w:t>
      </w:r>
    </w:p>
    <w:p w14:paraId="717A44FE">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4.4质量争议：</w:t>
      </w:r>
      <w:r>
        <w:rPr>
          <w:rFonts w:hint="eastAsia" w:ascii="仿宋_GB2312" w:hAnsi="仿宋_GB2312" w:eastAsia="仿宋_GB2312" w:cs="仿宋_GB2312"/>
          <w:color w:val="000000" w:themeColor="text1"/>
          <w:highlight w:val="none"/>
          <w14:textFill>
            <w14:solidFill>
              <w14:schemeClr w14:val="tx1"/>
            </w14:solidFill>
          </w14:textFill>
        </w:rPr>
        <w:t>货物如有质量异议，应在收货后7天向对方提出，乙方应在3天内作出答复，未回复视为认可货物质量瑕疵或缺陷。如混凝土结构出现开裂渗漏等质量问题，双方同意共同取样并送交</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4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permEnd w:id="41"/>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检测站进行检验，并以该机构的检验结果为准，因此而发生的费用由责任方承担。如出现不合格品，乙方应在甲方规定时间内包退包换，所发生的费用由乙方承担。</w:t>
      </w:r>
    </w:p>
    <w:p w14:paraId="0A67429E">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对不符合本合同约定要求的货物甲方有权拒绝签收，乙方应立即将该货物全部运离现场并承担相应费用，同时在供货期限内重新更换符合约定的货物。如不能及时运离并在供货期限内重新更换符合约定的货物送达交货地点，甲方有权单方面解除合同，并要求乙方承担甲方相应损失。</w:t>
      </w:r>
    </w:p>
    <w:p w14:paraId="033C48E8">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4.5更换原则：</w:t>
      </w:r>
      <w:r>
        <w:rPr>
          <w:rFonts w:hint="eastAsia" w:ascii="仿宋_GB2312" w:hAnsi="仿宋_GB2312" w:eastAsia="仿宋_GB2312" w:cs="仿宋_GB2312"/>
          <w:color w:val="000000" w:themeColor="text1"/>
          <w:highlight w:val="none"/>
          <w14:textFill>
            <w14:solidFill>
              <w14:schemeClr w14:val="tx1"/>
            </w14:solidFill>
          </w14:textFill>
        </w:rPr>
        <w:t>由于任何一方原因引起产品更换或补发的时间延长,均以不影响工程进度为原则，如造成影响，则由责任方承担由此导致的后果。</w:t>
      </w:r>
    </w:p>
    <w:p w14:paraId="580082B8">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4.6验收责任：</w:t>
      </w:r>
      <w:r>
        <w:rPr>
          <w:rFonts w:hint="eastAsia" w:ascii="仿宋_GB2312" w:hAnsi="仿宋_GB2312" w:eastAsia="仿宋_GB2312" w:cs="仿宋_GB2312"/>
          <w:color w:val="000000" w:themeColor="text1"/>
          <w:highlight w:val="none"/>
          <w14:textFill>
            <w14:solidFill>
              <w14:schemeClr w14:val="tx1"/>
            </w14:solidFill>
          </w14:textFill>
        </w:rPr>
        <w:t>甲方参与对乙方材料的验收并不能免除乙方应承担的责任，如在材料到场验收时未发现质量问题，但在使用时或使用后发现确实因该批材料质量未达到规定要求而造成相应损失，如返工、工期延长等经济和工期损失由乙方承担。</w:t>
      </w:r>
      <w:r>
        <w:rPr>
          <w:rFonts w:hint="eastAsia" w:ascii="仿宋_GB2312" w:hAnsi="仿宋_GB2312" w:eastAsia="仿宋_GB2312" w:cs="仿宋_GB2312"/>
          <w:b/>
          <w:bCs/>
          <w:color w:val="000000" w:themeColor="text1"/>
          <w:highlight w:val="none"/>
          <w14:textFill>
            <w14:solidFill>
              <w14:schemeClr w14:val="tx1"/>
            </w14:solidFill>
          </w14:textFill>
        </w:rPr>
        <w:t>所造成的经济损失，甲方可直接从应付款中扣除，乙方对此不持异议。</w:t>
      </w:r>
      <w:r>
        <w:rPr>
          <w:rFonts w:hint="eastAsia" w:ascii="仿宋_GB2312" w:hAnsi="仿宋_GB2312" w:eastAsia="仿宋_GB2312" w:cs="仿宋_GB2312"/>
          <w:color w:val="000000" w:themeColor="text1"/>
          <w:highlight w:val="none"/>
          <w14:textFill>
            <w14:solidFill>
              <w14:schemeClr w14:val="tx1"/>
            </w14:solidFill>
          </w14:textFill>
        </w:rPr>
        <w:t>对于由该质量问题引起的工程坍塌、人员伤亡等重大事故，乙方应承担直接经济和法律责任。</w:t>
      </w:r>
      <w:r>
        <w:rPr>
          <w:rFonts w:hint="eastAsia" w:ascii="仿宋_GB2312" w:hAnsi="仿宋_GB2312" w:eastAsia="仿宋_GB2312" w:cs="仿宋_GB2312"/>
          <w:b/>
          <w:bCs/>
          <w:color w:val="000000" w:themeColor="text1"/>
          <w:highlight w:val="none"/>
          <w14:textFill>
            <w14:solidFill>
              <w14:schemeClr w14:val="tx1"/>
            </w14:solidFill>
          </w14:textFill>
        </w:rPr>
        <w:t>若由甲方先行承担的，甲方可在任何一笔</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货</w:t>
      </w:r>
      <w:r>
        <w:rPr>
          <w:rFonts w:hint="eastAsia" w:ascii="仿宋_GB2312" w:hAnsi="仿宋_GB2312" w:eastAsia="仿宋_GB2312" w:cs="仿宋_GB2312"/>
          <w:b/>
          <w:bCs/>
          <w:color w:val="000000" w:themeColor="text1"/>
          <w:highlight w:val="none"/>
          <w14:textFill>
            <w14:solidFill>
              <w14:schemeClr w14:val="tx1"/>
            </w14:solidFill>
          </w14:textFill>
        </w:rPr>
        <w:t>款支付中予以扣除，乙方对此不持异议。</w:t>
      </w:r>
    </w:p>
    <w:p w14:paraId="288D92B7">
      <w:pPr>
        <w:pStyle w:val="16"/>
        <w:spacing w:line="400" w:lineRule="atLeast"/>
        <w:ind w:firstLine="480" w:firstLineChars="200"/>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highlight w:val="none"/>
          <w14:textFill>
            <w14:solidFill>
              <w14:schemeClr w14:val="tx1"/>
            </w14:solidFill>
          </w14:textFill>
        </w:rPr>
        <w:t>其他：</w:t>
      </w:r>
    </w:p>
    <w:p w14:paraId="5F748CBF">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highlight w:val="none"/>
          <w14:textFill>
            <w14:solidFill>
              <w14:schemeClr w14:val="tx1"/>
            </w14:solidFill>
          </w14:textFill>
        </w:rPr>
        <w:t>.1商品混凝土坍落度、和易性的要求：</w:t>
      </w:r>
    </w:p>
    <w:p w14:paraId="4C3C9549">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①坍落度、和易性适时调整：乙方根据气温条件、运输时间（白天或夜天）、运输道路的距离、混凝土原材料（水泥品种、外加剂品种等）变化、混凝土坍落度损失等情况来适当地调整原配合比，确保甲方混凝土浇筑时的坍落度、和易性等能够满足施工生产需要，确保混凝土质量。</w:t>
      </w:r>
    </w:p>
    <w:p w14:paraId="7C7219CA">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②坍落度抽检：甲乙双方均派专人负责到场砼坍落度抽检，保证坍落度符合规范及设计要求，如不符合，立即退回乙方，严禁使用，所发生的一切费用由责任方承担。砼到场后，乙方不听从甲方现场调度，私自向砼内加水，停止运输车罐体运转或车内尚有砼而将车开走的，每出现一次乙方向甲方支付5000元的违约金。</w:t>
      </w:r>
    </w:p>
    <w:p w14:paraId="429BB697">
      <w:pPr>
        <w:spacing w:line="400" w:lineRule="atLeast"/>
        <w:ind w:firstLine="480" w:firstLineChars="200"/>
        <w:textAlignment w:val="baseline"/>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4.</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.2、检验试验要求：砼的强度应保证符合设计要求，并按</w:t>
      </w:r>
      <w:permStart w:id="42" w:edGrp="everyone"/>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《预拌混凝土》（GB/T14902）和《砼强度检验评定标准》（GBJ107）</w:t>
      </w:r>
      <w:permEnd w:id="42"/>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的统计或非统计方法评定达到合格标准要求。甲方对乙方商砼标养砼试块及抗渗试块进行检验；如果检验不合格，由此引起的一切责任及损失均由乙方承担。</w:t>
      </w:r>
    </w:p>
    <w:p w14:paraId="138EDB8C">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4.</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.3原材料要求及其它技术要求：</w:t>
      </w:r>
    </w:p>
    <w:p w14:paraId="3FC1986B">
      <w:pPr>
        <w:spacing w:line="400" w:lineRule="atLeast"/>
        <w:ind w:firstLine="480" w:firstLineChars="200"/>
        <w:textAlignment w:val="baseline"/>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①乙方应保证水泥的各项性能指标满足图纸设计和规范要求。</w:t>
      </w:r>
    </w:p>
    <w:p w14:paraId="5216350C">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②掺合料为</w:t>
      </w:r>
      <w:permStart w:id="43" w:edGrp="everyone"/>
      <w:r>
        <w:rPr>
          <w:rFonts w:hint="eastAsia" w:ascii="仿宋_GB2312" w:hAnsi="仿宋_GB2312" w:eastAsia="仿宋_GB2312" w:cs="仿宋_GB2312"/>
          <w:color w:val="000000" w:themeColor="text1"/>
          <w:kern w:val="0"/>
          <w:sz w:val="24"/>
          <w:szCs w:val="24"/>
          <w:highlight w:val="none"/>
          <w:u w:val="single"/>
          <w14:textFill>
            <w14:solidFill>
              <w14:schemeClr w14:val="tx1"/>
            </w14:solidFill>
          </w14:textFill>
        </w:rPr>
        <w:t>粉煤灰、矿粉、膨胀剂</w:t>
      </w:r>
      <w:permEnd w:id="43"/>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等，必须符合相关规范要求。</w:t>
      </w:r>
    </w:p>
    <w:p w14:paraId="3BDFAEBE">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③混凝土到场后，甲方如发现砼存在离析、分层、泌水、石子过大、夹渣、坍落度过大或过小等影响混凝土强度及性能的情况，甲方有权要求退货，乙方必须立即派专业人员到场核查处理，由此引起的一切责任及经济损失均由乙方承担。</w:t>
      </w:r>
    </w:p>
    <w:p w14:paraId="245FA328">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④若混凝土质量不合格，乙方应无条件退货，并按照违约条款承担相应责任。</w:t>
      </w:r>
    </w:p>
    <w:p w14:paraId="72149948">
      <w:pPr>
        <w:spacing w:line="400" w:lineRule="atLeast"/>
        <w:ind w:firstLine="480" w:firstLineChars="200"/>
        <w:textAlignment w:val="baseline"/>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4.</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.4如果业主、监理或甲方在任何文件中规定的标准高于以上标准的，按相关文件中规定的标准执行；如果相关文件中规定的质量标准低于以上标准的，则按以上标准执行。</w:t>
      </w:r>
    </w:p>
    <w:p w14:paraId="4A749F25">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2" w:name="_Toc22928"/>
      <w:r>
        <w:rPr>
          <w:rFonts w:hint="eastAsia" w:ascii="仿宋_GB2312" w:hAnsi="仿宋_GB2312" w:eastAsia="仿宋_GB2312" w:cs="仿宋_GB2312"/>
          <w:b/>
          <w:bCs/>
          <w:color w:val="000000" w:themeColor="text1"/>
          <w:highlight w:val="none"/>
          <w14:textFill>
            <w14:solidFill>
              <w14:schemeClr w14:val="tx1"/>
            </w14:solidFill>
          </w14:textFill>
        </w:rPr>
        <w:t>货物结算</w:t>
      </w:r>
      <w:bookmarkEnd w:id="12"/>
    </w:p>
    <w:p w14:paraId="33431D24">
      <w:pPr>
        <w:pStyle w:val="16"/>
        <w:numPr>
          <w:ilvl w:val="0"/>
          <w:numId w:val="5"/>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结算周期：</w:t>
      </w:r>
    </w:p>
    <w:p w14:paraId="5F858FAF">
      <w:pPr>
        <w:pStyle w:val="16"/>
        <w:spacing w:line="400" w:lineRule="atLeast"/>
        <w:ind w:firstLine="480"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乙方每月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与甲方核对上月</w:t>
      </w:r>
      <w:r>
        <w:rPr>
          <w:rFonts w:hint="eastAsia" w:ascii="仿宋_GB2312" w:hAnsi="仿宋_GB2312" w:eastAsia="仿宋_GB2312" w:cs="仿宋_GB2312"/>
          <w:color w:val="000000" w:themeColor="text1"/>
          <w:highlight w:val="none"/>
          <w:u w:val="single"/>
          <w14:textFill>
            <w14:solidFill>
              <w14:schemeClr w14:val="tx1"/>
            </w14:solidFill>
          </w14:textFill>
        </w:rPr>
        <w:t>16日</w:t>
      </w:r>
      <w:r>
        <w:rPr>
          <w:rFonts w:hint="eastAsia" w:ascii="仿宋_GB2312" w:hAnsi="仿宋_GB2312" w:eastAsia="仿宋_GB2312" w:cs="仿宋_GB2312"/>
          <w:color w:val="000000" w:themeColor="text1"/>
          <w:highlight w:val="none"/>
          <w14:textFill>
            <w14:solidFill>
              <w14:schemeClr w14:val="tx1"/>
            </w14:solidFill>
          </w14:textFill>
        </w:rPr>
        <w:t>至本月</w:t>
      </w:r>
      <w:r>
        <w:rPr>
          <w:rFonts w:hint="eastAsia" w:ascii="仿宋_GB2312" w:hAnsi="仿宋_GB2312" w:eastAsia="仿宋_GB2312" w:cs="仿宋_GB2312"/>
          <w:color w:val="000000" w:themeColor="text1"/>
          <w:highlight w:val="none"/>
          <w:u w:val="single"/>
          <w14:textFill>
            <w14:solidFill>
              <w14:schemeClr w14:val="tx1"/>
            </w14:solidFill>
          </w14:textFill>
        </w:rPr>
        <w:t>15日</w:t>
      </w:r>
      <w:r>
        <w:rPr>
          <w:rFonts w:hint="eastAsia" w:ascii="仿宋_GB2312" w:hAnsi="仿宋_GB2312" w:eastAsia="仿宋_GB2312" w:cs="仿宋_GB2312"/>
          <w:color w:val="000000" w:themeColor="text1"/>
          <w:highlight w:val="none"/>
          <w14:textFill>
            <w14:solidFill>
              <w14:schemeClr w14:val="tx1"/>
            </w14:solidFill>
          </w14:textFill>
        </w:rPr>
        <w:t>所供材料数量，并办理完结算手续。</w:t>
      </w:r>
      <w:r>
        <w:rPr>
          <w:rFonts w:hint="eastAsia" w:ascii="仿宋_GB2312" w:hAnsi="仿宋_GB2312" w:eastAsia="仿宋_GB2312" w:cs="仿宋_GB2312"/>
          <w:b/>
          <w:bCs/>
          <w:color w:val="000000" w:themeColor="text1"/>
          <w:highlight w:val="none"/>
          <w14:textFill>
            <w14:solidFill>
              <w14:schemeClr w14:val="tx1"/>
            </w14:solidFill>
          </w14:textFill>
        </w:rPr>
        <w:t>因乙方不配合签认结算单等原因超出本合同规定时间未办理完结算手续，乙方在此期间无权要求甲方付款及追究甲方任何违约责任或要求赔偿资金占用费等损失，同时甲方保留单方办理结算的权利且视为乙方认可甲方审定的结算金额。</w:t>
      </w:r>
    </w:p>
    <w:p w14:paraId="6A6DC4A1">
      <w:pPr>
        <w:pStyle w:val="16"/>
        <w:numPr>
          <w:ilvl w:val="0"/>
          <w:numId w:val="5"/>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结算流程：</w:t>
      </w:r>
    </w:p>
    <w:p w14:paraId="5EAADFA7">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双方结算分为过程结算及最终结算。过程结算按下表流程进行。最终结算于供货完成、验收合格且未出现任何质量问题后一个月内办理，最终结算需附物资买卖合同结算协议书。</w:t>
      </w:r>
    </w:p>
    <w:p w14:paraId="48549688">
      <w:pPr>
        <w:pStyle w:val="16"/>
        <w:numPr>
          <w:ilvl w:val="0"/>
          <w:numId w:val="5"/>
        </w:numPr>
        <w:spacing w:line="400" w:lineRule="atLeast"/>
        <w:ind w:firstLine="482"/>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-12065</wp:posOffset>
                </wp:positionH>
                <wp:positionV relativeFrom="paragraph">
                  <wp:posOffset>101600</wp:posOffset>
                </wp:positionV>
                <wp:extent cx="5080000" cy="1210310"/>
                <wp:effectExtent l="4445" t="5080" r="249555" b="22860"/>
                <wp:wrapTopAndBottom/>
                <wp:docPr id="10" name="组合 10"/>
                <wp:cNvGraphicFramePr/>
                <a:graphic xmlns:a="http://schemas.openxmlformats.org/drawingml/2006/main">
                  <a:graphicData uri="http://schemas.microsoft.com/office/word/2010/wordprocessingGroup">
                    <wpg:wgp>
                      <wpg:cNvGrpSpPr/>
                      <wpg:grpSpPr>
                        <a:xfrm>
                          <a:off x="0" y="0"/>
                          <a:ext cx="5080000" cy="1210310"/>
                          <a:chOff x="2064" y="142451"/>
                          <a:chExt cx="8000" cy="1906"/>
                        </a:xfrm>
                      </wpg:grpSpPr>
                      <wpg:grpSp>
                        <wpg:cNvPr id="2" name="组合 5"/>
                        <wpg:cNvGrpSpPr/>
                        <wpg:grpSpPr>
                          <a:xfrm>
                            <a:off x="2064" y="142451"/>
                            <a:ext cx="8000" cy="1907"/>
                            <a:chOff x="4638" y="144974"/>
                            <a:chExt cx="8000" cy="2118"/>
                          </a:xfrm>
                        </wpg:grpSpPr>
                        <wps:wsp>
                          <wps:cNvPr id="1" name="文本框 3"/>
                          <wps:cNvSpPr txBox="1"/>
                          <wps:spPr>
                            <a:xfrm>
                              <a:off x="4655" y="144974"/>
                              <a:ext cx="3492" cy="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0D3F4B0">
                                <w:pPr>
                                  <w:pStyle w:val="16"/>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6"/>
                          <wps:cNvSpPr txBox="1"/>
                          <wps:spPr>
                            <a:xfrm>
                              <a:off x="8740" y="144974"/>
                              <a:ext cx="3898" cy="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AB566E5">
                                <w:pPr>
                                  <w:pStyle w:val="16"/>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14:paraId="64A2F93E">
                                <w:pPr>
                                  <w:pStyle w:val="16"/>
                                  <w:outlineLvl w:val="0"/>
                                  <w:rPr>
                                    <w:rFonts w:ascii="仿宋_GB2312" w:hAnsi="仿宋_GB2312" w:eastAsia="仿宋_GB2312" w:cs="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8"/>
                          <wps:cNvSpPr txBox="1"/>
                          <wps:spPr>
                            <a:xfrm>
                              <a:off x="4638" y="145859"/>
                              <a:ext cx="3507" cy="123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431DA73">
                                <w:pPr>
                                  <w:pStyle w:val="16"/>
                                  <w:outlineLvl w:val="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highlight w:val="none"/>
                                  </w:rPr>
                                  <w:t>.甲方公司复核结算，复核完成后按比例支付结算款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11"/>
                          <wps:cNvSpPr txBox="1"/>
                          <wps:spPr>
                            <a:xfrm>
                              <a:off x="8706" y="145858"/>
                              <a:ext cx="3927" cy="12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B75FDC4">
                                <w:pPr>
                                  <w:pStyle w:val="16"/>
                                  <w:outlineLvl w:val="0"/>
                                  <w:rPr>
                                    <w:rFonts w:ascii="仿宋_GB2312" w:hAnsi="仿宋_GB2312" w:eastAsia="仿宋_GB2312" w:cs="仿宋_GB2312"/>
                                    <w:highlight w:val="none"/>
                                  </w:rPr>
                                </w:pPr>
                                <w:r>
                                  <w:rPr>
                                    <w:rFonts w:hint="eastAsia" w:ascii="仿宋_GB2312" w:hAnsi="仿宋_GB2312" w:eastAsia="仿宋_GB2312" w:cs="仿宋_GB2312"/>
                                    <w:highlight w:val="none"/>
                                  </w:rPr>
                                  <w:t>3.甲方项目部初步审核过程结算，乙方依据金额开具等额发票。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肘形连接符 2"/>
                        <wps:cNvCnPr/>
                        <wps:spPr>
                          <a:xfrm flipH="1">
                            <a:off x="10059" y="142690"/>
                            <a:ext cx="5" cy="973"/>
                          </a:xfrm>
                          <a:prstGeom prst="bentConnector3">
                            <a:avLst>
                              <a:gd name="adj1" fmla="val -7500000"/>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21" name="直接箭头连接符 4"/>
                        <wps:cNvCnPr/>
                        <wps:spPr>
                          <a:xfrm>
                            <a:off x="5573" y="142689"/>
                            <a:ext cx="593" cy="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2" name="直接箭头连接符 7"/>
                        <wps:cNvCnPr/>
                        <wps:spPr>
                          <a:xfrm flipH="1">
                            <a:off x="5571" y="143663"/>
                            <a:ext cx="561" cy="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0.95pt;margin-top:8pt;height:95.3pt;width:400pt;mso-wrap-distance-bottom:0pt;mso-wrap-distance-top:0pt;z-index:251665408;mso-width-relative:page;mso-height-relative:page;" coordorigin="2064,142451" coordsize="8000,1906" o:gfxdata="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CyhJiY2QAAAAkBAAAPAAAAAAAAAAEAIAAAACIAAABkcnMvZG93&#10;bnJldi54bWxQSwECFAAUAAAACACHTuJAnJ3DM+QEAABpFgAADgAAAAAAAAABACAAAAAoAQAAZHJz&#10;L2Uyb0RvYy54bWxQSwUGAAAAAAYABgBZAQAAfggAAAAA&#10;">
                <o:lock v:ext="edit" aspectratio="f"/>
                <v:group id="组合 5" o:spid="_x0000_s1026" o:spt="203" style="position:absolute;left:2064;top:142451;height:1907;width:8000;" coordorigin="4638,144974" coordsize="8000,211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文本框 3" o:spid="_x0000_s1026" o:spt="202" type="#_x0000_t202" style="position:absolute;left:4655;top:144974;height:865;width:3492;" fillcolor="#FFFFFF [3201]" filled="t" stroked="t" coordsize="21600,21600" o:gfxdata="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mIqhotAAAANo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14:paraId="60D3F4B0">
                          <w:pPr>
                            <w:pStyle w:val="16"/>
                            <w:jc w:val="center"/>
                            <w:outlineLvl w:val="0"/>
                            <w:rPr>
                              <w:rFonts w:ascii="仿宋_GB2312" w:hAnsi="仿宋_GB2312" w:eastAsia="仿宋_GB2312" w:cs="仿宋_GB2312"/>
                            </w:rPr>
                          </w:pPr>
                          <w:r>
                            <w:rPr>
                              <w:rFonts w:hint="eastAsia" w:ascii="仿宋_GB2312" w:hAnsi="仿宋_GB2312" w:eastAsia="仿宋_GB2312" w:cs="仿宋_GB2312"/>
                            </w:rPr>
                            <w:t>1.甲乙双方核对收料单</w:t>
                          </w:r>
                        </w:p>
                      </w:txbxContent>
                    </v:textbox>
                  </v:shape>
                  <v:shape id="文本框 6" o:spid="_x0000_s1026" o:spt="202" type="#_x0000_t202" style="position:absolute;left:8740;top:144974;height:825;width:3898;" fillcolor="#FFFFFF [3201]" filled="t" stroked="t" coordsize="21600,21600"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14:paraId="4AB566E5">
                          <w:pPr>
                            <w:pStyle w:val="16"/>
                            <w:outlineLvl w:val="0"/>
                            <w:rPr>
                              <w:rFonts w:ascii="仿宋_GB2312" w:hAnsi="仿宋_GB2312" w:eastAsia="仿宋_GB2312" w:cs="仿宋_GB2312"/>
                            </w:rPr>
                          </w:pPr>
                          <w:r>
                            <w:rPr>
                              <w:rFonts w:hint="eastAsia" w:ascii="仿宋_GB2312" w:hAnsi="仿宋_GB2312" w:eastAsia="仿宋_GB2312" w:cs="仿宋_GB2312"/>
                            </w:rPr>
                            <w:t>2.甲方结算人员生成过程结算</w:t>
                          </w:r>
                          <w:r>
                            <w:rPr>
                              <w:rFonts w:hint="eastAsia" w:ascii="仿宋_GB2312" w:hAnsi="仿宋_GB2312" w:eastAsia="仿宋_GB2312" w:cs="仿宋_GB2312"/>
                              <w:lang w:val="en-US" w:eastAsia="zh-CN"/>
                            </w:rPr>
                            <w:t>资料</w:t>
                          </w:r>
                          <w:r>
                            <w:rPr>
                              <w:rFonts w:hint="eastAsia" w:ascii="仿宋_GB2312" w:hAnsi="仿宋_GB2312" w:eastAsia="仿宋_GB2312" w:cs="仿宋_GB2312"/>
                            </w:rPr>
                            <w:t>，乙方签字盖章确认</w:t>
                          </w:r>
                        </w:p>
                        <w:p w14:paraId="64A2F93E">
                          <w:pPr>
                            <w:pStyle w:val="16"/>
                            <w:outlineLvl w:val="0"/>
                            <w:rPr>
                              <w:rFonts w:ascii="仿宋_GB2312" w:hAnsi="仿宋_GB2312" w:eastAsia="仿宋_GB2312" w:cs="仿宋_GB2312"/>
                            </w:rPr>
                          </w:pPr>
                        </w:p>
                      </w:txbxContent>
                    </v:textbox>
                  </v:shape>
                  <v:shape id="文本框 8" o:spid="_x0000_s1026" o:spt="202" type="#_x0000_t202" style="position:absolute;left:4638;top:145859;height:1233;width:3507;" fillcolor="#FFFFFF [3201]" filled="t" stroked="t" coordsize="21600,21600" o:gfxdata="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nLMBy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14:paraId="2431DA73">
                          <w:pPr>
                            <w:pStyle w:val="16"/>
                            <w:outlineLvl w:val="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highlight w:val="none"/>
                            </w:rPr>
                            <w:t>.甲方公司复核结算，复核完成后按比例支付结算款</w:t>
                          </w:r>
                        </w:p>
                      </w:txbxContent>
                    </v:textbox>
                  </v:shape>
                  <v:shape id="文本框 11" o:spid="_x0000_s1026" o:spt="202" type="#_x0000_t202" style="position:absolute;left:8706;top:145858;height:1218;width:3927;" fillcolor="#FFFFFF [3201]" filled="t" stroked="t" coordsize="21600,21600" o:gfxdata="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aHlYe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14:paraId="2B75FDC4">
                          <w:pPr>
                            <w:pStyle w:val="16"/>
                            <w:outlineLvl w:val="0"/>
                            <w:rPr>
                              <w:rFonts w:ascii="仿宋_GB2312" w:hAnsi="仿宋_GB2312" w:eastAsia="仿宋_GB2312" w:cs="仿宋_GB2312"/>
                              <w:highlight w:val="none"/>
                            </w:rPr>
                          </w:pPr>
                          <w:r>
                            <w:rPr>
                              <w:rFonts w:hint="eastAsia" w:ascii="仿宋_GB2312" w:hAnsi="仿宋_GB2312" w:eastAsia="仿宋_GB2312" w:cs="仿宋_GB2312"/>
                              <w:highlight w:val="none"/>
                            </w:rPr>
                            <w:t>3.甲方项目部初步审核过程结算，乙方依据金额开具等额发票。</w:t>
                          </w:r>
                        </w:p>
                      </w:txbxContent>
                    </v:textbox>
                  </v:shape>
                </v:group>
                <v:shape id="肘形连接符 2" o:spid="_x0000_s1026" o:spt="34" type="#_x0000_t34" style="position:absolute;left:10059;top:142690;flip:x;height:973;width:5;" filled="f" stroked="t" coordsize="21600,21600" o:gfxdata="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hRnbsAAADb&#10;AAAADwAAAAAAAAABACAAAAAiAAAAZHJzL2Rvd25yZXYueG1sUEsBAhQAFAAAAAgAh07iQDMvBZ47&#10;AAAAOQAAABAAAAAAAAAAAQAgAAAACgEAAGRycy9zaGFwZXhtbC54bWxQSwUGAAAAAAYABgBbAQAA&#10;tAMAAAAA&#10;" adj="-1620000">
                  <v:fill on="f" focussize="0,0"/>
                  <v:stroke weight="1pt" color="#000000 [3200]" miterlimit="8" joinstyle="miter" startarrow="open" endarrow="open"/>
                  <v:imagedata o:title=""/>
                  <o:lock v:ext="edit" aspectratio="f"/>
                </v:shape>
                <v:shape id="直接箭头连接符 4" o:spid="_x0000_s1026" o:spt="32" type="#_x0000_t32" style="position:absolute;left:5573;top:142689;height:1;width:593;" filled="f" stroked="t" coordsize="21600,21600" o:gfxdata="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8zfrsAAADb&#10;AAAADwAAAAAAAAABACAAAAAiAAAAZHJzL2Rvd25yZXYueG1sUEsBAhQAFAAAAAgAh07iQDMvBZ47&#10;AAAAOQAAABAAAAAAAAAAAQAgAAAACgEAAGRycy9zaGFwZXhtbC54bWxQSwUGAAAAAAYABgBbAQAA&#10;tAMAAAAA&#10;">
                  <v:fill on="f" focussize="0,0"/>
                  <v:stroke weight="1pt" color="#000000 [3200]" miterlimit="8" joinstyle="miter" endarrow="open"/>
                  <v:imagedata o:title=""/>
                  <o:lock v:ext="edit" aspectratio="f"/>
                </v:shape>
                <v:shape id="直接箭头连接符 7" o:spid="_x0000_s1026" o:spt="32" type="#_x0000_t32" style="position:absolute;left:5571;top:143663;flip:x;height:7;width:561;" filled="f" stroked="t" coordsize="21600,21600" o:gfxdata="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uua/&#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w10:wrap type="topAndBottom"/>
              </v:group>
            </w:pict>
          </mc:Fallback>
        </mc:AlternateContent>
      </w:r>
      <w:r>
        <w:rPr>
          <w:rFonts w:hint="eastAsia" w:ascii="仿宋_GB2312" w:hAnsi="仿宋_GB2312" w:eastAsia="仿宋_GB2312" w:cs="仿宋_GB2312"/>
          <w:b/>
          <w:bCs/>
          <w:color w:val="000000" w:themeColor="text1"/>
          <w:highlight w:val="none"/>
          <w14:textFill>
            <w14:solidFill>
              <w14:schemeClr w14:val="tx1"/>
            </w14:solidFill>
          </w14:textFill>
        </w:rPr>
        <w:t>增值税专用发票：</w:t>
      </w:r>
    </w:p>
    <w:p w14:paraId="7147B420">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3.1增值税票要求：</w:t>
      </w:r>
    </w:p>
    <w:p w14:paraId="0B530357">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3.1.1税票信息：</w:t>
      </w:r>
      <w:r>
        <w:rPr>
          <w:rFonts w:hint="eastAsia" w:ascii="仿宋_GB2312" w:hAnsi="仿宋_GB2312" w:eastAsia="仿宋_GB2312" w:cs="仿宋_GB2312"/>
          <w:color w:val="000000" w:themeColor="text1"/>
          <w:highlight w:val="none"/>
          <w14:textFill>
            <w14:solidFill>
              <w14:schemeClr w14:val="tx1"/>
            </w14:solidFill>
          </w14:textFill>
        </w:rPr>
        <w:t>乙方应按甲方要求提供以其本单位名义开具，适用</w:t>
      </w:r>
      <w:permStart w:id="4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3％</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permEnd w:id="44"/>
      <w:r>
        <w:rPr>
          <w:rFonts w:hint="eastAsia" w:ascii="仿宋_GB2312" w:hAnsi="仿宋_GB2312" w:eastAsia="仿宋_GB2312" w:cs="仿宋_GB2312"/>
          <w:color w:val="000000" w:themeColor="text1"/>
          <w:highlight w:val="none"/>
          <w14:textFill>
            <w14:solidFill>
              <w14:schemeClr w14:val="tx1"/>
            </w14:solidFill>
          </w14:textFill>
        </w:rPr>
        <w:t>税率的增值税专用发票，开具金额需与结算金额一致，并加盖与本合同中乙方名称一致的发票专用章（如税务部门要求合同、发票等备案登记的，乙方承担相关费用并办理相关手续）。</w:t>
      </w:r>
    </w:p>
    <w:p w14:paraId="3FA68E62">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3.1.2计税方式：</w:t>
      </w:r>
      <w:r>
        <w:rPr>
          <w:rFonts w:hint="eastAsia" w:ascii="仿宋_GB2312" w:hAnsi="仿宋_GB2312" w:eastAsia="仿宋_GB2312" w:cs="仿宋_GB2312"/>
          <w:color w:val="000000" w:themeColor="text1"/>
          <w:highlight w:val="none"/>
          <w14:textFill>
            <w14:solidFill>
              <w14:schemeClr w14:val="tx1"/>
            </w14:solidFill>
          </w14:textFill>
        </w:rPr>
        <w:t>本合同所涉应税行为计税方法为</w:t>
      </w:r>
      <w:permStart w:id="4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简易</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计税方法 </w:t>
      </w:r>
      <w:permEnd w:id="45"/>
      <w:r>
        <w:rPr>
          <w:rFonts w:hint="eastAsia" w:ascii="仿宋_GB2312" w:hAnsi="仿宋_GB2312" w:eastAsia="仿宋_GB2312" w:cs="仿宋_GB2312"/>
          <w:color w:val="000000" w:themeColor="text1"/>
          <w:highlight w:val="none"/>
          <w14:textFill>
            <w14:solidFill>
              <w14:schemeClr w14:val="tx1"/>
            </w14:solidFill>
          </w14:textFill>
        </w:rPr>
        <w:t>。</w:t>
      </w:r>
    </w:p>
    <w:p w14:paraId="5E01C867">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3.1.3税票金额：</w:t>
      </w:r>
      <w:r>
        <w:rPr>
          <w:rFonts w:hint="eastAsia" w:ascii="仿宋_GB2312" w:hAnsi="仿宋_GB2312" w:eastAsia="仿宋_GB2312" w:cs="仿宋_GB2312"/>
          <w:color w:val="000000" w:themeColor="text1"/>
          <w:highlight w:val="none"/>
          <w14:textFill>
            <w14:solidFill>
              <w14:schemeClr w14:val="tx1"/>
            </w14:solidFill>
          </w14:textFill>
        </w:rPr>
        <w:t>乙方应按每期结算金额开具当期增值税专用发票，并于发票开具之日起7天内提供给甲方指定签收人员。乙方应开具合法、有效、准确的增值税专用发票，若汇总开具增值税专用发票的，则乙方需同时提供防伪税控系统开具的《销售货物或者提供应税劳务清单》，清单内容需与实际供货内容、结算内容相一致，并加盖发票专用章。</w:t>
      </w:r>
      <w:r>
        <w:rPr>
          <w:rFonts w:hint="eastAsia" w:ascii="仿宋_GB2312" w:hAnsi="仿宋_GB2312" w:eastAsia="仿宋_GB2312" w:cs="仿宋_GB2312"/>
          <w:b/>
          <w:bCs/>
          <w:color w:val="000000" w:themeColor="text1"/>
          <w:highlight w:val="none"/>
          <w14:textFill>
            <w14:solidFill>
              <w14:schemeClr w14:val="tx1"/>
            </w14:solidFill>
          </w14:textFill>
        </w:rPr>
        <w:t>如乙方未提供发票或提供发票不合规、不及时、无法认证，甲方有权拒绝付款，且不视为甲方付款逾期，乙方无权要求甲方支付利息、违约金或赔偿损失。</w:t>
      </w:r>
    </w:p>
    <w:p w14:paraId="1C4E73C9">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3.1.4税率变化：</w:t>
      </w:r>
      <w:r>
        <w:rPr>
          <w:rFonts w:hint="eastAsia" w:ascii="仿宋_GB2312" w:hAnsi="仿宋_GB2312" w:eastAsia="仿宋_GB2312" w:cs="仿宋_GB2312"/>
          <w:color w:val="000000" w:themeColor="text1"/>
          <w:highlight w:val="none"/>
          <w14:textFill>
            <w14:solidFill>
              <w14:schemeClr w14:val="tx1"/>
            </w14:solidFill>
          </w14:textFill>
        </w:rPr>
        <w:t>合同执行过程中如遇国家税务政策调整导致适用税率发生变化，以货物进场验收时间点依据适用政策调整，执行按照新的税率，合同含税价格依据新的税率相应调整，乙方承担相应的纳税义务提供新税率的增值税专用发票。</w:t>
      </w:r>
    </w:p>
    <w:p w14:paraId="714FD6F8">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3.2 税票丢失：</w:t>
      </w:r>
      <w:r>
        <w:rPr>
          <w:rFonts w:hint="eastAsia" w:ascii="仿宋_GB2312" w:hAnsi="仿宋_GB2312" w:eastAsia="仿宋_GB2312" w:cs="仿宋_GB2312"/>
          <w:color w:val="000000" w:themeColor="text1"/>
          <w:highlight w:val="none"/>
          <w14:textFill>
            <w14:solidFill>
              <w14:schemeClr w14:val="tx1"/>
            </w14:solidFill>
          </w14:textFill>
        </w:rPr>
        <w:t>若甲方丢失增值税专用发票联和抵扣联,乙方在接到甲方书面通知3个工作日内必须向甲方提供专用发票记账联复印件及其主管税务机关出具的《丢失增值税专用发票已报税证明单》，以作为甲方增值税进项税额的抵扣凭证。</w:t>
      </w:r>
    </w:p>
    <w:p w14:paraId="444D6BB3">
      <w:pPr>
        <w:pStyle w:val="16"/>
        <w:spacing w:line="400" w:lineRule="atLeast"/>
        <w:ind w:firstLine="482"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3.3税务信息：</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5"/>
        <w:gridCol w:w="6143"/>
      </w:tblGrid>
      <w:tr w14:paraId="2F8A46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34" w:type="dxa"/>
            <w:vMerge w:val="restart"/>
            <w:tcBorders>
              <w:top w:val="single" w:color="auto" w:sz="12" w:space="0"/>
              <w:left w:val="single" w:color="auto" w:sz="12" w:space="0"/>
            </w:tcBorders>
            <w:vAlign w:val="center"/>
          </w:tcPr>
          <w:p w14:paraId="78447753">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ermStart w:id="46" w:edGrp="everyone"/>
            <w:r>
              <w:rPr>
                <w:rFonts w:hint="eastAsia" w:ascii="仿宋_GB2312" w:hAnsi="仿宋_GB2312" w:eastAsia="仿宋_GB2312" w:cs="仿宋_GB2312"/>
                <w:b/>
                <w:color w:val="000000" w:themeColor="text1"/>
                <w:sz w:val="24"/>
                <w:szCs w:val="24"/>
                <w:highlight w:val="none"/>
                <w14:textFill>
                  <w14:solidFill>
                    <w14:schemeClr w14:val="tx1"/>
                  </w14:solidFill>
                </w14:textFill>
              </w:rPr>
              <w:t>甲方</w:t>
            </w:r>
          </w:p>
        </w:tc>
        <w:tc>
          <w:tcPr>
            <w:tcW w:w="1845" w:type="dxa"/>
            <w:tcBorders>
              <w:top w:val="single" w:color="auto" w:sz="12" w:space="0"/>
            </w:tcBorders>
            <w:vAlign w:val="center"/>
          </w:tcPr>
          <w:p w14:paraId="64DCA6C8">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single" w:color="auto" w:sz="12" w:space="0"/>
              <w:right w:val="single" w:color="auto" w:sz="12" w:space="0"/>
            </w:tcBorders>
            <w:vAlign w:val="center"/>
          </w:tcPr>
          <w:p w14:paraId="46DF00B1">
            <w:pPr>
              <w:spacing w:line="500" w:lineRule="exact"/>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中建路桥集团</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雄安发展</w:t>
            </w:r>
            <w:r>
              <w:rPr>
                <w:rFonts w:hint="eastAsia" w:ascii="仿宋_GB2312" w:hAnsi="仿宋_GB2312" w:eastAsia="仿宋_GB2312" w:cs="仿宋_GB2312"/>
                <w:color w:val="000000" w:themeColor="text1"/>
                <w:sz w:val="24"/>
                <w:szCs w:val="24"/>
                <w:highlight w:val="none"/>
                <w14:textFill>
                  <w14:solidFill>
                    <w14:schemeClr w14:val="tx1"/>
                  </w14:solidFill>
                </w14:textFill>
              </w:rPr>
              <w:t>有限公司</w:t>
            </w:r>
          </w:p>
        </w:tc>
      </w:tr>
      <w:tr w14:paraId="4C2B31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7B2DCDE6">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2D81F607">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vAlign w:val="center"/>
          </w:tcPr>
          <w:p w14:paraId="7588E0AE">
            <w:pPr>
              <w:spacing w:line="500" w:lineRule="exact"/>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一般纳税人</w:t>
            </w:r>
          </w:p>
        </w:tc>
      </w:tr>
      <w:tr w14:paraId="4FBFED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3904773B">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3565D3CB">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vAlign w:val="center"/>
          </w:tcPr>
          <w:p w14:paraId="1F2722AA">
            <w:pPr>
              <w:spacing w:line="500" w:lineRule="exact"/>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9113</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01007554928089</w:t>
            </w:r>
          </w:p>
        </w:tc>
      </w:tr>
      <w:tr w14:paraId="3B66A7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37DC0E11">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2BFB6E44">
            <w:pPr>
              <w:snapToGrid w:val="0"/>
              <w:spacing w:line="400" w:lineRule="atLeast"/>
              <w:contextualSpacing/>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vAlign w:val="center"/>
          </w:tcPr>
          <w:p w14:paraId="4EB523CE">
            <w:pPr>
              <w:snapToGrid w:val="0"/>
              <w:spacing w:line="400" w:lineRule="atLeast"/>
              <w:contextualSpacing/>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河北省雄安新区雄县保静公路北侧001号S6栋316</w:t>
            </w:r>
            <w:r>
              <w:rPr>
                <w:rFonts w:hint="eastAsia" w:ascii="仿宋_GB2312" w:hAnsi="仿宋_GB2312" w:eastAsia="仿宋_GB2312" w:cs="仿宋_GB2312"/>
                <w:color w:val="000000" w:themeColor="text1"/>
                <w:sz w:val="24"/>
                <w:szCs w:val="24"/>
                <w:highlight w:val="none"/>
                <w14:textFill>
                  <w14:solidFill>
                    <w14:schemeClr w14:val="tx1"/>
                  </w14:solidFill>
                </w14:textFill>
              </w:rPr>
              <w:t>、031</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27518163</w:t>
            </w:r>
          </w:p>
        </w:tc>
      </w:tr>
      <w:tr w14:paraId="6054DB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3C5AD72E">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vAlign w:val="center"/>
          </w:tcPr>
          <w:p w14:paraId="703ECE51">
            <w:pPr>
              <w:snapToGrid w:val="0"/>
              <w:spacing w:line="400" w:lineRule="atLeast"/>
              <w:contextualSpacing/>
              <w:jc w:val="left"/>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right w:val="single" w:color="auto" w:sz="12" w:space="0"/>
            </w:tcBorders>
            <w:vAlign w:val="center"/>
          </w:tcPr>
          <w:p w14:paraId="73775741">
            <w:pPr>
              <w:snapToGrid w:val="0"/>
              <w:spacing w:line="400" w:lineRule="atLeast"/>
              <w:contextualSpacing/>
              <w:jc w:val="left"/>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中国银行股份有限公司雄县支行</w:t>
            </w:r>
            <w:r>
              <w:rPr>
                <w:rFonts w:hint="eastAsia" w:ascii="仿宋_GB2312" w:hAnsi="仿宋_GB2312" w:eastAsia="仿宋_GB2312" w:cs="仿宋_GB2312"/>
                <w:color w:val="000000" w:themeColor="text1"/>
                <w:sz w:val="24"/>
                <w:szCs w:val="24"/>
                <w:highlight w:val="none"/>
                <w14:textFill>
                  <w14:solidFill>
                    <w14:schemeClr w14:val="tx1"/>
                  </w14:solidFill>
                </w14:textFill>
              </w:rPr>
              <w:t>1</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01758332733</w:t>
            </w:r>
          </w:p>
        </w:tc>
      </w:tr>
      <w:tr w14:paraId="4CDEF4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4" w:type="dxa"/>
            <w:vMerge w:val="continue"/>
            <w:tcBorders>
              <w:left w:val="single" w:color="auto" w:sz="12" w:space="0"/>
              <w:bottom w:val="double" w:color="auto" w:sz="4" w:space="0"/>
            </w:tcBorders>
            <w:vAlign w:val="center"/>
          </w:tcPr>
          <w:p w14:paraId="6550A7B5">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p>
        </w:tc>
        <w:tc>
          <w:tcPr>
            <w:tcW w:w="1845" w:type="dxa"/>
            <w:tcBorders>
              <w:bottom w:val="double" w:color="auto" w:sz="4" w:space="0"/>
            </w:tcBorders>
            <w:vAlign w:val="center"/>
          </w:tcPr>
          <w:p w14:paraId="00F251CE">
            <w:pPr>
              <w:snapToGrid w:val="0"/>
              <w:spacing w:line="400" w:lineRule="atLeast"/>
              <w:contextualSpacing/>
              <w:jc w:val="left"/>
              <w:rPr>
                <w:highlight w:val="none"/>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备      注</w:t>
            </w:r>
          </w:p>
        </w:tc>
        <w:tc>
          <w:tcPr>
            <w:tcW w:w="6143" w:type="dxa"/>
            <w:tcBorders>
              <w:bottom w:val="double" w:color="auto" w:sz="4" w:space="0"/>
              <w:right w:val="single" w:color="auto" w:sz="12" w:space="0"/>
            </w:tcBorders>
            <w:vAlign w:val="center"/>
          </w:tcPr>
          <w:p w14:paraId="6EF99DC6">
            <w:pPr>
              <w:snapToGrid w:val="0"/>
              <w:spacing w:line="400" w:lineRule="atLeast"/>
              <w:contextualSpacing/>
              <w:jc w:val="left"/>
              <w:rPr>
                <w:rFonts w:ascii="仿宋_GB2312" w:hAnsi="仿宋_GB2312" w:eastAsia="仿宋_GB2312" w:cs="仿宋_GB2312"/>
                <w:color w:val="000000" w:themeColor="text1"/>
                <w:sz w:val="24"/>
                <w:szCs w:val="24"/>
                <w:highlight w:val="none"/>
                <w14:textFill>
                  <w14:solidFill>
                    <w14:schemeClr w14:val="tx1"/>
                  </w14:solidFill>
                </w14:textFill>
              </w:rPr>
            </w:pPr>
          </w:p>
        </w:tc>
      </w:tr>
      <w:tr w14:paraId="7E4212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double" w:color="auto" w:sz="4" w:space="0"/>
              <w:left w:val="single" w:color="auto" w:sz="12" w:space="0"/>
            </w:tcBorders>
            <w:vAlign w:val="center"/>
          </w:tcPr>
          <w:p w14:paraId="57FD86A9">
            <w:pPr>
              <w:snapToGrid w:val="0"/>
              <w:spacing w:line="400" w:lineRule="atLeast"/>
              <w:contextualSpacing/>
              <w:jc w:val="center"/>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乙方</w:t>
            </w:r>
          </w:p>
        </w:tc>
        <w:tc>
          <w:tcPr>
            <w:tcW w:w="1845" w:type="dxa"/>
            <w:tcBorders>
              <w:top w:val="double" w:color="auto" w:sz="4" w:space="0"/>
            </w:tcBorders>
            <w:vAlign w:val="center"/>
          </w:tcPr>
          <w:p w14:paraId="690B5FDD">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名      称</w:t>
            </w:r>
          </w:p>
        </w:tc>
        <w:tc>
          <w:tcPr>
            <w:tcW w:w="6143" w:type="dxa"/>
            <w:tcBorders>
              <w:top w:val="double" w:color="auto" w:sz="4" w:space="0"/>
              <w:right w:val="single" w:color="auto" w:sz="12" w:space="0"/>
            </w:tcBorders>
            <w:vAlign w:val="center"/>
          </w:tcPr>
          <w:p w14:paraId="45E7DC6F">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14:paraId="572598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180E8EC1">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center"/>
          </w:tcPr>
          <w:p w14:paraId="7994C070">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纳税人身份</w:t>
            </w:r>
          </w:p>
        </w:tc>
        <w:tc>
          <w:tcPr>
            <w:tcW w:w="6143" w:type="dxa"/>
            <w:tcBorders>
              <w:right w:val="single" w:color="auto" w:sz="12" w:space="0"/>
            </w:tcBorders>
            <w:vAlign w:val="center"/>
          </w:tcPr>
          <w:p w14:paraId="0203E5E8">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14:paraId="2C7E24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7A3C22AE">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center"/>
          </w:tcPr>
          <w:p w14:paraId="4812114D">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纳税人识别号</w:t>
            </w:r>
          </w:p>
        </w:tc>
        <w:tc>
          <w:tcPr>
            <w:tcW w:w="6143" w:type="dxa"/>
            <w:tcBorders>
              <w:right w:val="single" w:color="auto" w:sz="12" w:space="0"/>
            </w:tcBorders>
            <w:vAlign w:val="center"/>
          </w:tcPr>
          <w:p w14:paraId="1A75BE22">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tr w14:paraId="0BFF23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vAlign w:val="center"/>
          </w:tcPr>
          <w:p w14:paraId="63EFC1DE">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vAlign w:val="center"/>
          </w:tcPr>
          <w:p w14:paraId="37254A4E">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地 址、电 话</w:t>
            </w:r>
          </w:p>
        </w:tc>
        <w:tc>
          <w:tcPr>
            <w:tcW w:w="6143" w:type="dxa"/>
            <w:tcBorders>
              <w:right w:val="single" w:color="auto" w:sz="12" w:space="0"/>
            </w:tcBorders>
            <w:vAlign w:val="center"/>
          </w:tcPr>
          <w:p w14:paraId="713D6CCC">
            <w:pPr>
              <w:pStyle w:val="16"/>
              <w:jc w:val="both"/>
              <w:rPr>
                <w:rFonts w:ascii="仿宋_GB2312" w:hAnsi="仿宋_GB2312" w:eastAsia="仿宋_GB2312" w:cs="仿宋_GB2312"/>
                <w:bCs/>
                <w:color w:val="000000" w:themeColor="text1"/>
                <w:kern w:val="2"/>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
        </w:tc>
      </w:tr>
      <w:tr w14:paraId="44AAC90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single" w:color="auto" w:sz="12" w:space="0"/>
            </w:tcBorders>
            <w:vAlign w:val="center"/>
          </w:tcPr>
          <w:p w14:paraId="21E0ECF7">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845" w:type="dxa"/>
            <w:tcBorders>
              <w:bottom w:val="single" w:color="auto" w:sz="12" w:space="0"/>
            </w:tcBorders>
            <w:vAlign w:val="center"/>
          </w:tcPr>
          <w:p w14:paraId="5B54C716">
            <w:pPr>
              <w:snapToGrid w:val="0"/>
              <w:spacing w:line="400" w:lineRule="atLeast"/>
              <w:contextualSpacing/>
              <w:jc w:val="both"/>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开户行及账号</w:t>
            </w:r>
          </w:p>
        </w:tc>
        <w:tc>
          <w:tcPr>
            <w:tcW w:w="6143" w:type="dxa"/>
            <w:tcBorders>
              <w:bottom w:val="single" w:color="auto" w:sz="12" w:space="0"/>
              <w:right w:val="single" w:color="auto" w:sz="12" w:space="0"/>
            </w:tcBorders>
            <w:vAlign w:val="center"/>
          </w:tcPr>
          <w:p w14:paraId="00614229">
            <w:pPr>
              <w:snapToGrid w:val="0"/>
              <w:spacing w:line="400" w:lineRule="atLeast"/>
              <w:contextualSpacing/>
              <w:jc w:val="both"/>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
        </w:tc>
      </w:tr>
      <w:permEnd w:id="46"/>
    </w:tbl>
    <w:p w14:paraId="2190E395">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任何一方如上述信息发生变更，应提前10日以书面方式通知另一方。如一方未按本合同规定通知而使另一方遭受损失的，应予以赔偿。</w:t>
      </w:r>
    </w:p>
    <w:p w14:paraId="300D821C">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3" w:name="_Toc20382"/>
      <w:r>
        <w:rPr>
          <w:rFonts w:hint="eastAsia" w:ascii="仿宋_GB2312" w:hAnsi="仿宋_GB2312" w:eastAsia="仿宋_GB2312" w:cs="仿宋_GB2312"/>
          <w:b/>
          <w:bCs/>
          <w:color w:val="000000" w:themeColor="text1"/>
          <w:highlight w:val="none"/>
          <w14:textFill>
            <w14:solidFill>
              <w14:schemeClr w14:val="tx1"/>
            </w14:solidFill>
          </w14:textFill>
        </w:rPr>
        <w:t>货物付款</w:t>
      </w:r>
      <w:bookmarkEnd w:id="13"/>
    </w:p>
    <w:p w14:paraId="4DB5A27B">
      <w:pPr>
        <w:pStyle w:val="16"/>
        <w:spacing w:line="400" w:lineRule="atLeast"/>
        <w:ind w:firstLine="482" w:firstLineChars="200"/>
        <w:jc w:val="both"/>
        <w:outlineLvl w:val="1"/>
        <w:rPr>
          <w:rFonts w:ascii="仿宋_GB2312" w:hAnsi="仿宋_GB2312" w:eastAsia="仿宋_GB2312" w:cs="仿宋_GB2312"/>
          <w:b/>
          <w:bCs/>
          <w:color w:val="000000" w:themeColor="text1"/>
          <w:highlight w:val="none"/>
          <w14:textFill>
            <w14:solidFill>
              <w14:schemeClr w14:val="tx1"/>
            </w14:solidFill>
          </w14:textFill>
        </w:rPr>
      </w:pPr>
      <w:bookmarkStart w:id="14" w:name="_Toc13188"/>
      <w:r>
        <w:rPr>
          <w:rFonts w:hint="eastAsia" w:ascii="仿宋_GB2312" w:hAnsi="仿宋_GB2312" w:eastAsia="仿宋_GB2312" w:cs="仿宋_GB2312"/>
          <w:b/>
          <w:bCs/>
          <w:color w:val="000000" w:themeColor="text1"/>
          <w:highlight w:val="none"/>
          <w14:textFill>
            <w14:solidFill>
              <w14:schemeClr w14:val="tx1"/>
            </w14:solidFill>
          </w14:textFill>
        </w:rPr>
        <w:t>1、支付周期及支付比例：</w:t>
      </w:r>
      <w:r>
        <w:rPr>
          <w:rFonts w:hint="eastAsia" w:ascii="仿宋_GB2312" w:hAnsi="仿宋_GB2312" w:eastAsia="仿宋_GB2312" w:cs="仿宋_GB2312"/>
          <w:color w:val="000000" w:themeColor="text1"/>
          <w:highlight w:val="none"/>
          <w14:textFill>
            <w14:solidFill>
              <w14:schemeClr w14:val="tx1"/>
            </w14:solidFill>
          </w14:textFill>
        </w:rPr>
        <w:t>双方办理完结算后，适用第</w:t>
      </w:r>
      <w:permStart w:id="4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1.1</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7"/>
      <w:r>
        <w:rPr>
          <w:rFonts w:hint="eastAsia" w:ascii="仿宋_GB2312" w:hAnsi="仿宋_GB2312" w:eastAsia="仿宋_GB2312" w:cs="仿宋_GB2312"/>
          <w:color w:val="000000" w:themeColor="text1"/>
          <w:highlight w:val="none"/>
          <w14:textFill>
            <w14:solidFill>
              <w14:schemeClr w14:val="tx1"/>
            </w14:solidFill>
          </w14:textFill>
        </w:rPr>
        <w:t>条付款条件：</w:t>
      </w:r>
    </w:p>
    <w:p w14:paraId="0DB8A9F6">
      <w:pPr>
        <w:pStyle w:val="16"/>
        <w:spacing w:line="400" w:lineRule="atLeast"/>
        <w:ind w:firstLine="480" w:firstLineChars="200"/>
        <w:jc w:val="both"/>
        <w:rPr>
          <w:rFonts w:ascii="仿宋_GB2312" w:hAnsi="仿宋_GB2312" w:eastAsia="仿宋_GB2312" w:cs="仿宋_GB2312"/>
          <w:color w:val="000000" w:themeColor="text1"/>
          <w:highlight w:val="none"/>
          <w:u w:val="singl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highlight w:val="none"/>
          <w14:textFill>
            <w14:solidFill>
              <w14:schemeClr w14:val="tx1"/>
            </w14:solidFill>
          </w14:textFill>
        </w:rPr>
        <w:t>本合同无预付款，货款来源于项目工程结算款。</w:t>
      </w:r>
      <w:r>
        <w:rPr>
          <w:rFonts w:hint="eastAsia" w:ascii="仿宋_GB2312" w:hAnsi="仿宋_GB2312" w:eastAsia="仿宋_GB2312" w:cs="仿宋_GB2312"/>
          <w:b/>
          <w:bCs/>
          <w:color w:val="000000" w:themeColor="text1"/>
          <w:highlight w:val="none"/>
          <w14:textFill>
            <w14:solidFill>
              <w14:schemeClr w14:val="tx1"/>
            </w14:solidFill>
          </w14:textFill>
        </w:rPr>
        <w:t>甲方按资金审批计划对货款进行支付。</w:t>
      </w:r>
      <w:r>
        <w:rPr>
          <w:rFonts w:hint="eastAsia" w:ascii="仿宋_GB2312" w:hAnsi="仿宋_GB2312" w:eastAsia="仿宋_GB2312" w:cs="仿宋_GB2312"/>
          <w:color w:val="000000" w:themeColor="text1"/>
          <w:highlight w:val="none"/>
          <w14:textFill>
            <w14:solidFill>
              <w14:schemeClr w14:val="tx1"/>
            </w14:solidFill>
          </w14:textFill>
        </w:rPr>
        <w:t>付款期限自双方确认结算金额之日起计算，暂定为在甲乙双方完成月度物资结算手续且甲方收到乙方相应全额发票后，</w:t>
      </w:r>
      <w:permStart w:id="4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一</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8"/>
      <w:r>
        <w:rPr>
          <w:rFonts w:hint="eastAsia" w:ascii="仿宋_GB2312" w:hAnsi="仿宋_GB2312" w:eastAsia="仿宋_GB2312" w:cs="仿宋_GB2312"/>
          <w:color w:val="000000" w:themeColor="text1"/>
          <w:highlight w:val="none"/>
          <w14:textFill>
            <w14:solidFill>
              <w14:schemeClr w14:val="tx1"/>
            </w14:solidFill>
          </w14:textFill>
        </w:rPr>
        <w:t>个月内支付当期</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货款的</w:t>
      </w:r>
      <w:permStart w:id="4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70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49"/>
      <w:r>
        <w:rPr>
          <w:rFonts w:hint="eastAsia" w:ascii="仿宋_GB2312" w:hAnsi="仿宋_GB2312" w:eastAsia="仿宋_GB2312" w:cs="仿宋_GB2312"/>
          <w:color w:val="000000" w:themeColor="text1"/>
          <w:highlight w:val="none"/>
          <w14:textFill>
            <w14:solidFill>
              <w14:schemeClr w14:val="tx1"/>
            </w14:solidFill>
          </w14:textFill>
        </w:rPr>
        <w:t>%，</w:t>
      </w:r>
      <w:permStart w:id="5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0"/>
      <w:r>
        <w:rPr>
          <w:rFonts w:hint="eastAsia" w:ascii="仿宋_GB2312" w:hAnsi="仿宋_GB2312" w:eastAsia="仿宋_GB2312" w:cs="仿宋_GB2312"/>
          <w:color w:val="000000" w:themeColor="text1"/>
          <w:highlight w:val="none"/>
          <w14:textFill>
            <w14:solidFill>
              <w14:schemeClr w14:val="tx1"/>
            </w14:solidFill>
          </w14:textFill>
        </w:rPr>
        <w:t>个月内支付至当期</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货款的</w:t>
      </w:r>
      <w:permStart w:id="5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1"/>
      <w:r>
        <w:rPr>
          <w:rFonts w:hint="eastAsia" w:ascii="仿宋_GB2312" w:hAnsi="仿宋_GB2312" w:eastAsia="仿宋_GB2312" w:cs="仿宋_GB2312"/>
          <w:color w:val="000000" w:themeColor="text1"/>
          <w:highlight w:val="none"/>
          <w14:textFill>
            <w14:solidFill>
              <w14:schemeClr w14:val="tx1"/>
            </w14:solidFill>
          </w14:textFill>
        </w:rPr>
        <w:t>%，余下</w:t>
      </w:r>
      <w:permStart w:id="5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2"/>
      <w:r>
        <w:rPr>
          <w:rFonts w:hint="eastAsia" w:ascii="仿宋_GB2312" w:hAnsi="仿宋_GB2312" w:eastAsia="仿宋_GB2312" w:cs="仿宋_GB2312"/>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结算</w:t>
      </w:r>
      <w:r>
        <w:rPr>
          <w:rFonts w:hint="eastAsia" w:ascii="仿宋_GB2312" w:hAnsi="仿宋_GB2312" w:eastAsia="仿宋_GB2312" w:cs="仿宋_GB2312"/>
          <w:color w:val="000000" w:themeColor="text1"/>
          <w:highlight w:val="none"/>
          <w14:textFill>
            <w14:solidFill>
              <w14:schemeClr w14:val="tx1"/>
            </w14:solidFill>
          </w14:textFill>
        </w:rPr>
        <w:t>货款在乙方</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供货完毕、办理完最终结算后</w:t>
      </w:r>
      <w:permStart w:id="53"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90 </w:t>
      </w:r>
      <w:permEnd w:id="53"/>
      <w:r>
        <w:rPr>
          <w:rFonts w:hint="eastAsia" w:ascii="仿宋_GB2312" w:hAnsi="仿宋_GB2312" w:eastAsia="仿宋_GB2312" w:cs="仿宋_GB2312"/>
          <w:color w:val="000000" w:themeColor="text1"/>
          <w:highlight w:val="none"/>
          <w:lang w:val="en-US" w:eastAsia="zh-CN"/>
          <w14:textFill>
            <w14:solidFill>
              <w14:schemeClr w14:val="tx1"/>
            </w14:solidFill>
          </w14:textFill>
        </w:rPr>
        <w:t>日内</w:t>
      </w:r>
      <w:r>
        <w:rPr>
          <w:rFonts w:hint="eastAsia" w:ascii="仿宋_GB2312" w:hAnsi="仿宋_GB2312" w:eastAsia="仿宋_GB2312" w:cs="仿宋_GB2312"/>
          <w:color w:val="000000" w:themeColor="text1"/>
          <w:highlight w:val="none"/>
          <w14:textFill>
            <w14:solidFill>
              <w14:schemeClr w14:val="tx1"/>
            </w14:solidFill>
          </w14:textFill>
        </w:rPr>
        <w:t>付清。以此类推。</w:t>
      </w:r>
    </w:p>
    <w:p w14:paraId="75EE427F">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highlight w:val="none"/>
          <w14:textFill>
            <w14:solidFill>
              <w14:schemeClr w14:val="tx1"/>
            </w14:solidFill>
          </w14:textFill>
        </w:rPr>
        <w:t>其他：</w:t>
      </w:r>
      <w:permStart w:id="5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permEnd w:id="54"/>
    </w:p>
    <w:p w14:paraId="4C477EF2">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2、支付形式：</w:t>
      </w:r>
      <w:r>
        <w:rPr>
          <w:rFonts w:hint="eastAsia" w:ascii="仿宋_GB2312" w:hAnsi="仿宋_GB2312" w:eastAsia="仿宋_GB2312" w:cs="仿宋_GB2312"/>
          <w:color w:val="000000" w:themeColor="text1"/>
          <w:highlight w:val="none"/>
          <w14:textFill>
            <w14:solidFill>
              <w14:schemeClr w14:val="tx1"/>
            </w14:solidFill>
          </w14:textFill>
        </w:rPr>
        <w:t>本合同付款形式适用第</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5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2.2  </w:t>
      </w:r>
      <w:permEnd w:id="55"/>
      <w:r>
        <w:rPr>
          <w:rFonts w:hint="eastAsia" w:ascii="仿宋_GB2312" w:hAnsi="仿宋_GB2312" w:eastAsia="仿宋_GB2312" w:cs="仿宋_GB2312"/>
          <w:color w:val="000000" w:themeColor="text1"/>
          <w:highlight w:val="none"/>
          <w14:textFill>
            <w14:solidFill>
              <w14:schemeClr w14:val="tx1"/>
            </w14:solidFill>
          </w14:textFill>
        </w:rPr>
        <w:t>条；</w:t>
      </w:r>
    </w:p>
    <w:p w14:paraId="6BA7741E">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2.1货币付款。</w:t>
      </w:r>
    </w:p>
    <w:p w14:paraId="34BF7AB2">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2.2货币及其他的形式（包括且不限于支票、电汇、银行承兑汇票、商业承兑汇票、保理、信用证、供应链融资等）向乙方付款。（其中非现金付款方式不低于合同总价的</w:t>
      </w:r>
      <w:permStart w:id="5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30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6"/>
      <w:r>
        <w:rPr>
          <w:rFonts w:hint="eastAsia" w:ascii="仿宋_GB2312" w:hAnsi="仿宋_GB2312" w:eastAsia="仿宋_GB2312" w:cs="仿宋_GB2312"/>
          <w:color w:val="000000" w:themeColor="text1"/>
          <w:highlight w:val="none"/>
          <w14:textFill>
            <w14:solidFill>
              <w14:schemeClr w14:val="tx1"/>
            </w14:solidFill>
          </w14:textFill>
        </w:rPr>
        <w:t>%，期限为六个月，因此产生的相关贴现成本由乙方承担。乙方须保证资金往来账户与本合同所约定账户一致，开票单位名称与合同约定名称一致。）</w:t>
      </w:r>
    </w:p>
    <w:p w14:paraId="6581BDAF">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3、付款条件：乙方向甲方申请付款时，应先行满足以下条件：</w:t>
      </w:r>
    </w:p>
    <w:p w14:paraId="22AF02B4">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3.1所供产品无质量缺陷，乙方无违约记录，产品出厂合格证明以及检测报告完整无误。</w:t>
      </w:r>
    </w:p>
    <w:p w14:paraId="1DD0627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3.2乙方申请付款依据的结算单已由甲方最终有效确认，付款期限已经届满。</w:t>
      </w:r>
    </w:p>
    <w:p w14:paraId="1E17095F">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3.3乙方已向甲方提供与结算等额增值税专用发票，且甲方已完成发票认证。</w:t>
      </w:r>
    </w:p>
    <w:p w14:paraId="016DDDBB">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在支付条件达成的基础上，甲方按以上方式向乙方付款，预付款不适用上述条件。</w:t>
      </w:r>
    </w:p>
    <w:p w14:paraId="52FD242D">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4、乙方收款账户：</w:t>
      </w:r>
    </w:p>
    <w:p w14:paraId="2D170C0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开户银行：</w:t>
      </w:r>
      <w:permStart w:id="5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7"/>
    </w:p>
    <w:p w14:paraId="052073AB">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银行帐号：</w:t>
      </w:r>
      <w:permStart w:id="58"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8"/>
    </w:p>
    <w:p w14:paraId="7C1F37B9">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乙方指定</w:t>
      </w:r>
      <w:permStart w:id="5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59"/>
      <w:r>
        <w:rPr>
          <w:rFonts w:hint="eastAsia" w:ascii="仿宋_GB2312" w:hAnsi="仿宋_GB2312" w:eastAsia="仿宋_GB2312" w:cs="仿宋_GB2312"/>
          <w:color w:val="000000" w:themeColor="text1"/>
          <w:highlight w:val="none"/>
          <w14:textFill>
            <w14:solidFill>
              <w14:schemeClr w14:val="tx1"/>
            </w14:solidFill>
          </w14:textFill>
        </w:rPr>
        <w:t>（身份证号：</w:t>
      </w:r>
      <w:permStart w:id="6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60"/>
      <w:r>
        <w:rPr>
          <w:rFonts w:hint="eastAsia" w:ascii="仿宋_GB2312" w:hAnsi="仿宋_GB2312" w:eastAsia="仿宋_GB2312" w:cs="仿宋_GB2312"/>
          <w:color w:val="000000" w:themeColor="text1"/>
          <w:highlight w:val="none"/>
          <w14:textFill>
            <w14:solidFill>
              <w14:schemeClr w14:val="tx1"/>
            </w14:solidFill>
          </w14:textFill>
        </w:rPr>
        <w:t>）作为收款经办人，同甲方相关人员沟通洽商付款具体事宜。</w:t>
      </w:r>
    </w:p>
    <w:p w14:paraId="40B5E4A4">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甲方仅向乙方本单位名下银行账户支付价款，未经甲方同意，乙方不得委托任何第三方代为收款，否则甲方有权拒绝付款。</w:t>
      </w:r>
    </w:p>
    <w:p w14:paraId="66A2B24B">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5、账户变动：</w:t>
      </w:r>
      <w:r>
        <w:rPr>
          <w:rFonts w:hint="eastAsia" w:ascii="仿宋_GB2312" w:hAnsi="仿宋_GB2312" w:eastAsia="仿宋_GB2312" w:cs="仿宋_GB2312"/>
          <w:color w:val="000000" w:themeColor="text1"/>
          <w:highlight w:val="none"/>
          <w14:textFill>
            <w14:solidFill>
              <w14:schemeClr w14:val="tx1"/>
            </w14:solidFill>
          </w14:textFill>
        </w:rPr>
        <w:t>当乙方收款银行账号发生变动时，应以函件的形式书面通知甲方，否则甲方有权拒绝付款。若甲方在收到乙方的书面通知之前已按原账号付款，则甲方不再另行支付，由此造成的一切损失均由乙方自行承担。</w:t>
      </w:r>
    </w:p>
    <w:p w14:paraId="378D2032">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6、履约保证金缴纳及退还：</w:t>
      </w:r>
    </w:p>
    <w:p w14:paraId="577052B5">
      <w:pPr>
        <w:spacing w:line="400" w:lineRule="atLeas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6.1履约保证金缴纳形式：</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乙方在签订合同前应向甲方缴纳合同额的</w:t>
      </w:r>
      <w:permStart w:id="6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 </w:t>
      </w:r>
      <w:permEnd w:id="61"/>
      <w:r>
        <w:rPr>
          <w:rFonts w:hint="eastAsia" w:ascii="仿宋_GB2312" w:hAnsi="仿宋_GB2312" w:eastAsia="仿宋_GB2312" w:cs="仿宋_GB2312"/>
          <w:color w:val="000000" w:themeColor="text1"/>
          <w:sz w:val="24"/>
          <w:szCs w:val="24"/>
          <w:highlight w:val="none"/>
          <w14:textFill>
            <w14:solidFill>
              <w14:schemeClr w14:val="tx1"/>
            </w14:solidFill>
          </w14:textFill>
        </w:rPr>
        <w:t>％或</w:t>
      </w:r>
      <w:permStart w:id="62"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50000</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2"/>
      <w:r>
        <w:rPr>
          <w:rFonts w:hint="eastAsia" w:ascii="仿宋_GB2312" w:hAnsi="仿宋_GB2312" w:eastAsia="仿宋_GB2312" w:cs="仿宋_GB2312"/>
          <w:color w:val="000000" w:themeColor="text1"/>
          <w:sz w:val="24"/>
          <w:szCs w:val="24"/>
          <w:highlight w:val="none"/>
          <w14:textFill>
            <w14:solidFill>
              <w14:schemeClr w14:val="tx1"/>
            </w14:solidFill>
          </w14:textFill>
        </w:rPr>
        <w:t>元的履约保证金，具体缴纳形式采用第</w:t>
      </w:r>
      <w:permStart w:id="6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6.1.2</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3"/>
      <w:r>
        <w:rPr>
          <w:rFonts w:hint="eastAsia" w:ascii="仿宋_GB2312" w:hAnsi="仿宋_GB2312" w:eastAsia="仿宋_GB2312" w:cs="仿宋_GB2312"/>
          <w:color w:val="000000" w:themeColor="text1"/>
          <w:sz w:val="24"/>
          <w:szCs w:val="24"/>
          <w:highlight w:val="none"/>
          <w14:textFill>
            <w14:solidFill>
              <w14:schemeClr w14:val="tx1"/>
            </w14:solidFill>
          </w14:textFill>
        </w:rPr>
        <w:t>种：</w:t>
      </w:r>
    </w:p>
    <w:p w14:paraId="2125B2BB">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6.1.1无需缴纳履约保证金。</w:t>
      </w:r>
    </w:p>
    <w:p w14:paraId="49DE9EC7">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6.1.2银行转账：乙方未参与甲方其他在建项目，采用银行转账方式缴纳履约保证金，并由项目相应会计根据财务部规定办理相应流程，开具证明件。</w:t>
      </w:r>
    </w:p>
    <w:p w14:paraId="5EF2BD91">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6.1.3应付款抵扣：乙方参与甲方其他在建项目，履约保证金从其他项目应付款中抵扣，并由项目相应会计根据财务部规定办理相应流程，开具证明件。</w:t>
      </w:r>
    </w:p>
    <w:p w14:paraId="4E189FA3">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6.1.4履约保函（只接受银行保函，不接受商业保函）。</w:t>
      </w:r>
    </w:p>
    <w:p w14:paraId="5ED709BD">
      <w:pPr>
        <w:spacing w:line="400" w:lineRule="atLeast"/>
        <w:ind w:firstLine="480" w:firstLineChars="200"/>
        <w:rPr>
          <w:rFonts w:ascii="仿宋_GB2312" w:hAnsi="仿宋_GB2312" w:eastAsia="仿宋_GB2312" w:cs="仿宋_GB2312"/>
          <w:color w:val="000000" w:themeColor="text1"/>
          <w:sz w:val="24"/>
          <w:szCs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6.1.5其他</w:t>
      </w:r>
      <w:r>
        <w:rPr>
          <w:rFonts w:hint="eastAsia" w:ascii="仿宋_GB2312" w:hAnsi="仿宋_GB2312" w:eastAsia="仿宋_GB2312" w:cs="仿宋_GB2312"/>
          <w:b/>
          <w:bCs/>
          <w:color w:val="000000" w:themeColor="text1"/>
          <w:sz w:val="24"/>
          <w:szCs w:val="24"/>
          <w:highlight w:val="none"/>
          <w:u w:val="single"/>
          <w14:textFill>
            <w14:solidFill>
              <w14:schemeClr w14:val="tx1"/>
            </w14:solidFill>
          </w14:textFill>
        </w:rPr>
        <w:t xml:space="preserve"> </w:t>
      </w:r>
      <w:permStart w:id="64"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64"/>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14:paraId="2EBAAC57">
      <w:pPr>
        <w:spacing w:line="400" w:lineRule="atLeas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6.1.6履约保证金缴纳账户：</w:t>
      </w:r>
    </w:p>
    <w:p w14:paraId="0EF7B8C9">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户名：</w:t>
      </w:r>
      <w:permStart w:id="65"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中建路桥集团雄安发展有限公司</w:t>
      </w:r>
      <w:permEnd w:id="65"/>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2A2F78D9">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帐号：</w:t>
      </w:r>
      <w:permStart w:id="66"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101758332733</w:t>
      </w:r>
      <w:permEnd w:id="66"/>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7DCF6C71">
      <w:pPr>
        <w:spacing w:line="400" w:lineRule="atLeast"/>
        <w:ind w:left="120"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开户行：</w:t>
      </w:r>
      <w:permStart w:id="6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中国银行股份有限公司雄县支行</w:t>
      </w:r>
      <w:permEnd w:id="67"/>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4B2D8F1B">
      <w:pPr>
        <w:pStyle w:val="16"/>
        <w:spacing w:line="400" w:lineRule="atLeast"/>
        <w:ind w:firstLine="482" w:firstLineChars="200"/>
        <w:rPr>
          <w:highlight w:val="none"/>
        </w:rPr>
      </w:pPr>
      <w:r>
        <w:rPr>
          <w:rFonts w:hint="eastAsia" w:ascii="仿宋_GB2312" w:hAnsi="仿宋_GB2312" w:eastAsia="仿宋_GB2312" w:cs="仿宋_GB2312"/>
          <w:b/>
          <w:bCs/>
          <w:color w:val="000000" w:themeColor="text1"/>
          <w:highlight w:val="none"/>
          <w14:textFill>
            <w14:solidFill>
              <w14:schemeClr w14:val="tx1"/>
            </w14:solidFill>
          </w14:textFill>
        </w:rPr>
        <w:t>6.2.履约保证金退还：</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在合同完成后</w:t>
      </w:r>
      <w:permStart w:id="68" w:edGrp="everyone"/>
      <w:r>
        <w:rPr>
          <w:rFonts w:hint="eastAsia" w:ascii="仿宋_GB2312" w:hAnsi="仿宋_GB2312" w:eastAsia="仿宋_GB2312" w:cs="仿宋_GB2312"/>
          <w:color w:val="000000" w:themeColor="text1"/>
          <w:kern w:val="2"/>
          <w:sz w:val="24"/>
          <w:szCs w:val="24"/>
          <w:highlight w:val="none"/>
          <w:u w:val="single"/>
          <w:lang w:val="en-US" w:eastAsia="zh-CN" w:bidi="ar-SA"/>
          <w14:textFill>
            <w14:solidFill>
              <w14:schemeClr w14:val="tx1"/>
            </w14:solidFill>
          </w14:textFill>
        </w:rPr>
        <w:t xml:space="preserve"> 90 </w:t>
      </w:r>
      <w:permEnd w:id="68"/>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工作日内甲方无息退还乙方履约保证金（扣除违约金及应扣除款项）</w:t>
      </w:r>
      <w:r>
        <w:rPr>
          <w:rFonts w:hint="eastAsia" w:ascii="仿宋_GB2312" w:hAnsi="仿宋_GB2312" w:eastAsia="仿宋_GB2312" w:cs="仿宋_GB2312"/>
          <w:color w:val="000000" w:themeColor="text1"/>
          <w:highlight w:val="none"/>
          <w14:textFill>
            <w14:solidFill>
              <w14:schemeClr w14:val="tx1"/>
            </w14:solidFill>
          </w14:textFill>
        </w:rPr>
        <w:t>。</w:t>
      </w:r>
    </w:p>
    <w:p w14:paraId="3398C43D">
      <w:pPr>
        <w:spacing w:line="400" w:lineRule="atLeast"/>
        <w:ind w:firstLine="482" w:firstLineChars="200"/>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已缴纳履约保证金的，如发生以下任何一种情况履约保证金不予退还：</w:t>
      </w:r>
    </w:p>
    <w:p w14:paraId="4753E104">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.1无法正常供货的情况，包括任何原因的不供货或连续5日历天未能按甲方要求的数量供货。</w:t>
      </w:r>
    </w:p>
    <w:p w14:paraId="469B9D52">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.2供应的物资不符合国家、甲方、业主和监理相关标准和要求，且在规定时间内不予调换、处理的情况。</w:t>
      </w:r>
    </w:p>
    <w:p w14:paraId="4BE03600">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.3不服从甲方管理的。</w:t>
      </w:r>
    </w:p>
    <w:p w14:paraId="0C565347">
      <w:pPr>
        <w:spacing w:line="400" w:lineRule="atLeast"/>
        <w:ind w:firstLine="480" w:firstLineChars="2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.4因乙方原因给甲方造成损失的。</w:t>
      </w:r>
    </w:p>
    <w:p w14:paraId="0C3842BE">
      <w:pPr>
        <w:spacing w:line="400" w:lineRule="atLeast"/>
        <w:ind w:firstLine="480" w:firstLineChars="200"/>
        <w:rPr>
          <w:rFonts w:hint="default"/>
          <w:highlight w:val="none"/>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6.3</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highlight w:val="none"/>
          <w14:textFill>
            <w14:solidFill>
              <w14:schemeClr w14:val="tx1"/>
            </w14:solidFill>
          </w14:textFill>
        </w:rPr>
        <w:t>如履约保证金不足以弥补甲方损失，甲方有权要求相应补偿。</w:t>
      </w:r>
    </w:p>
    <w:p w14:paraId="444224A7">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7、甲方禁止项目部及任何人员以甲方、甲方子企业或甲方项目部名义对外借款或者支取任何款项，如乙方或乙方有关人员以任何形式将款项出借或支付或返还给甲方项目部及任何人员，则不论该等款项是否实际用于甲方工程，均与甲方无关，该行为均属于乙方与相关人员个人之间的经济关系，乙方无权向甲方主张任何权利，亦不得要求甲方以货款抵偿。</w:t>
      </w:r>
    </w:p>
    <w:p w14:paraId="2462861B">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8、如双方因货款支付发生争议，对于争议解决前甲方存在迟付情形的已付款项，乙方放弃索要逾期利息、违约金或资金占用费的权利。非甲方原因延迟支付结算款的，甲方不承担逾期利息，如因其他原因需甲方承担逾期利息时，约定利率为不超过合同订立时1年期贷款市场报价利率。</w:t>
      </w:r>
    </w:p>
    <w:p w14:paraId="1B06CDB9">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9、甲方拖欠线索受理联系人：</w:t>
      </w:r>
    </w:p>
    <w:p w14:paraId="262E4549">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项目部联系人：</w:t>
      </w:r>
      <w:permStart w:id="69"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梁鹤松</w:t>
      </w:r>
      <w:permEnd w:id="69"/>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permStart w:id="70"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15232212508</w:t>
      </w:r>
      <w:permEnd w:id="70"/>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 xml:space="preserve">； </w:t>
      </w:r>
    </w:p>
    <w:p w14:paraId="2DC56477">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公司联系人：</w:t>
      </w:r>
      <w:permStart w:id="71"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李杨</w:t>
      </w:r>
      <w:permEnd w:id="71"/>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，联系电话：</w:t>
      </w:r>
      <w:permStart w:id="72"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18730907656</w:t>
      </w:r>
      <w:permEnd w:id="72"/>
    </w:p>
    <w:p w14:paraId="48225D86">
      <w:pPr>
        <w:spacing w:line="480" w:lineRule="exact"/>
        <w:ind w:firstLine="482" w:firstLineChars="200"/>
        <w:rPr>
          <w:rFonts w:hint="default"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公司信访投诉电话：</w:t>
      </w:r>
      <w:permStart w:id="73"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16631019782</w:t>
      </w:r>
      <w:permEnd w:id="73"/>
    </w:p>
    <w:p w14:paraId="45B17E52">
      <w:pPr>
        <w:spacing w:line="480" w:lineRule="exact"/>
        <w:ind w:firstLine="482" w:firstLineChars="200"/>
        <w:rPr>
          <w:rFonts w:hint="default"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信访投诉邮箱：</w:t>
      </w:r>
      <w:permStart w:id="74" w:edGrp="everyone"/>
      <w:r>
        <w:rPr>
          <w:rFonts w:hint="eastAsia" w:ascii="仿宋_GB2312" w:hAnsi="仿宋_GB2312" w:eastAsia="仿宋_GB2312" w:cs="仿宋_GB2312"/>
          <w:b/>
          <w:bCs/>
          <w:color w:val="000000" w:themeColor="text1"/>
          <w:sz w:val="24"/>
          <w:szCs w:val="24"/>
          <w:highlight w:val="none"/>
          <w:u w:val="single"/>
          <w:lang w:val="en-US" w:eastAsia="zh-CN"/>
          <w14:textFill>
            <w14:solidFill>
              <w14:schemeClr w14:val="tx1"/>
            </w14:solidFill>
          </w14:textFill>
        </w:rPr>
        <w:t>2427113720@qq.com</w:t>
      </w:r>
      <w:permEnd w:id="74"/>
    </w:p>
    <w:p w14:paraId="0ED31EDD">
      <w:pPr>
        <w:spacing w:line="480" w:lineRule="exact"/>
        <w:ind w:firstLine="482" w:firstLineChars="200"/>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云筑网中建系统账款投诉平台：https://ts.yzw.cn</w:t>
      </w:r>
    </w:p>
    <w:p w14:paraId="4155A44B">
      <w:pPr>
        <w:pStyle w:val="16"/>
        <w:spacing w:line="400" w:lineRule="atLeast"/>
        <w:ind w:firstLine="482" w:firstLineChars="200"/>
        <w:rPr>
          <w:rFonts w:ascii="仿宋_GB2312" w:hAnsi="仿宋_GB2312" w:eastAsia="仿宋_GB2312" w:cs="仿宋_GB2312"/>
          <w:b/>
          <w:bCs/>
          <w:color w:val="000000" w:themeColor="text1"/>
          <w:highlight w:val="none"/>
          <w:u w:val="singl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、其他：</w:t>
      </w:r>
      <w:permStart w:id="75" w:edGrp="everyone"/>
      <w:r>
        <w:rPr>
          <w:rFonts w:hint="eastAsia" w:ascii="仿宋_GB2312" w:hAnsi="仿宋_GB2312" w:eastAsia="仿宋_GB2312" w:cs="仿宋_GB2312"/>
          <w:b/>
          <w:bCs/>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b/>
          <w:bCs/>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5"/>
      <w:r>
        <w:rPr>
          <w:rFonts w:hint="eastAsia" w:ascii="仿宋_GB2312" w:hAnsi="仿宋_GB2312" w:eastAsia="仿宋_GB2312" w:cs="仿宋_GB2312"/>
          <w:color w:val="000000" w:themeColor="text1"/>
          <w:highlight w:val="none"/>
          <w14:textFill>
            <w14:solidFill>
              <w14:schemeClr w14:val="tx1"/>
            </w14:solidFill>
          </w14:textFill>
        </w:rPr>
        <w:t>。</w:t>
      </w:r>
    </w:p>
    <w:p w14:paraId="3E3D3EB6">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通知与送达</w:t>
      </w:r>
      <w:bookmarkEnd w:id="14"/>
    </w:p>
    <w:p w14:paraId="2EEF2887">
      <w:pPr>
        <w:pStyle w:val="16"/>
        <w:numPr>
          <w:ilvl w:val="0"/>
          <w:numId w:val="6"/>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本合同中涉及合同、文件、律师函、诉讼文书的送达地址或邮箱及法律后果作如下约定：</w:t>
      </w:r>
    </w:p>
    <w:p w14:paraId="0E50B765">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1.1甲方确认其有效的送达地址为：</w:t>
      </w:r>
      <w:permStart w:id="76"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辽宁省本溪市平山区千金街道福金社区中建路桥项目部</w:t>
      </w:r>
      <w:permEnd w:id="76"/>
      <w:r>
        <w:rPr>
          <w:rFonts w:hint="eastAsia" w:ascii="仿宋_GB2312" w:hAnsi="仿宋_GB2312" w:eastAsia="仿宋_GB2312" w:cs="仿宋_GB2312"/>
          <w:color w:val="000000" w:themeColor="text1"/>
          <w:highlight w:val="none"/>
          <w14:textFill>
            <w14:solidFill>
              <w14:schemeClr w14:val="tx1"/>
            </w14:solidFill>
          </w14:textFill>
        </w:rPr>
        <w:t>；</w:t>
      </w:r>
    </w:p>
    <w:p w14:paraId="01F0B3EE">
      <w:pPr>
        <w:pStyle w:val="16"/>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permStart w:id="77"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王佳乐，13752012381</w:t>
      </w:r>
      <w:permEnd w:id="77"/>
      <w:r>
        <w:rPr>
          <w:rFonts w:hint="eastAsia" w:ascii="仿宋_GB2312" w:hAnsi="仿宋_GB2312" w:eastAsia="仿宋_GB2312" w:cs="仿宋_GB2312"/>
          <w:color w:val="000000" w:themeColor="text1"/>
          <w:highlight w:val="none"/>
          <w14:textFill>
            <w14:solidFill>
              <w14:schemeClr w14:val="tx1"/>
            </w14:solidFill>
          </w14:textFill>
        </w:rPr>
        <w:t>；邮箱：</w:t>
      </w:r>
      <w:permStart w:id="78"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1458594007@qq.com</w:t>
      </w:r>
      <w:permEnd w:id="78"/>
      <w:r>
        <w:rPr>
          <w:rFonts w:hint="eastAsia" w:ascii="仿宋_GB2312" w:hAnsi="仿宋_GB2312" w:eastAsia="仿宋_GB2312" w:cs="仿宋_GB2312"/>
          <w:color w:val="000000" w:themeColor="text1"/>
          <w:highlight w:val="none"/>
          <w14:textFill>
            <w14:solidFill>
              <w14:schemeClr w14:val="tx1"/>
            </w14:solidFill>
          </w14:textFill>
        </w:rPr>
        <w:t>；</w:t>
      </w:r>
    </w:p>
    <w:p w14:paraId="2484EA37">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1.2乙方确认其有效的送达地址为：</w:t>
      </w:r>
      <w:permStart w:id="7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79"/>
      <w:r>
        <w:rPr>
          <w:rFonts w:hint="eastAsia" w:ascii="仿宋_GB2312" w:hAnsi="仿宋_GB2312" w:eastAsia="仿宋_GB2312" w:cs="仿宋_GB2312"/>
          <w:color w:val="000000" w:themeColor="text1"/>
          <w:highlight w:val="none"/>
          <w14:textFill>
            <w14:solidFill>
              <w14:schemeClr w14:val="tx1"/>
            </w14:solidFill>
          </w14:textFill>
        </w:rPr>
        <w:t>；</w:t>
      </w:r>
    </w:p>
    <w:p w14:paraId="424F0028">
      <w:pPr>
        <w:pStyle w:val="16"/>
        <w:spacing w:line="400" w:lineRule="atLeast"/>
        <w:ind w:firstLine="720" w:firstLineChars="3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联系人及电话：</w:t>
      </w:r>
      <w:permStart w:id="80"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0"/>
      <w:r>
        <w:rPr>
          <w:rFonts w:hint="eastAsia" w:ascii="仿宋_GB2312" w:hAnsi="仿宋_GB2312" w:eastAsia="仿宋_GB2312" w:cs="仿宋_GB2312"/>
          <w:color w:val="000000" w:themeColor="text1"/>
          <w:highlight w:val="none"/>
          <w14:textFill>
            <w14:solidFill>
              <w14:schemeClr w14:val="tx1"/>
            </w14:solidFill>
          </w14:textFill>
        </w:rPr>
        <w:t>；邮箱：</w:t>
      </w:r>
      <w:permStart w:id="81"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81"/>
      <w:r>
        <w:rPr>
          <w:rFonts w:hint="eastAsia" w:ascii="仿宋_GB2312" w:hAnsi="仿宋_GB2312" w:eastAsia="仿宋_GB2312" w:cs="仿宋_GB2312"/>
          <w:color w:val="000000" w:themeColor="text1"/>
          <w:highlight w:val="none"/>
          <w14:textFill>
            <w14:solidFill>
              <w14:schemeClr w14:val="tx1"/>
            </w14:solidFill>
          </w14:textFill>
        </w:rPr>
        <w:t>；</w:t>
      </w:r>
    </w:p>
    <w:p w14:paraId="532B87AB">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2、双方该送达地址或邮箱适用范围包括双方就合同发生纠纷时的律师函和法律文书的送达，同时包括在争议进入民事诉讼程序（如有）后的一审、二审、再审和执行程序。</w:t>
      </w:r>
    </w:p>
    <w:p w14:paraId="4ED52396">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乙方因提供的送达地址或邮箱不准确、变更后未及时书面告知甲方、其指定的接收人拒绝签收等原因，导致法律文书未能被其实际接收的，视为对乙方送达成功：邮寄送达的，以文件退回之日视为送达之日；直接送达的，送达人当场在送达回证上记明情况之日视为送达之日。</w:t>
      </w:r>
    </w:p>
    <w:p w14:paraId="58A159DA">
      <w:pPr>
        <w:pStyle w:val="16"/>
        <w:numPr>
          <w:ilvl w:val="0"/>
          <w:numId w:val="1"/>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15" w:name="_Toc16081"/>
      <w:r>
        <w:rPr>
          <w:rFonts w:hint="eastAsia" w:ascii="仿宋_GB2312" w:hAnsi="仿宋_GB2312" w:eastAsia="仿宋_GB2312" w:cs="仿宋_GB2312"/>
          <w:b/>
          <w:bCs/>
          <w:color w:val="000000" w:themeColor="text1"/>
          <w:highlight w:val="none"/>
          <w14:textFill>
            <w14:solidFill>
              <w14:schemeClr w14:val="tx1"/>
            </w14:solidFill>
          </w14:textFill>
        </w:rPr>
        <w:t>合同生效</w:t>
      </w:r>
      <w:bookmarkEnd w:id="15"/>
    </w:p>
    <w:p w14:paraId="572DF288">
      <w:pPr>
        <w:pStyle w:val="16"/>
        <w:numPr>
          <w:ilvl w:val="0"/>
          <w:numId w:val="7"/>
        </w:numPr>
        <w:spacing w:line="400" w:lineRule="atLeast"/>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本合同签约形式适用第</w:t>
      </w:r>
      <w:permStart w:id="82"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 xml:space="preserve">1.2 </w:t>
      </w:r>
      <w:permEnd w:id="82"/>
      <w:r>
        <w:rPr>
          <w:rFonts w:hint="eastAsia" w:ascii="仿宋_GB2312" w:hAnsi="仿宋_GB2312" w:eastAsia="仿宋_GB2312" w:cs="仿宋_GB2312"/>
          <w:color w:val="000000" w:themeColor="text1"/>
          <w:highlight w:val="none"/>
          <w14:textFill>
            <w14:solidFill>
              <w14:schemeClr w14:val="tx1"/>
            </w14:solidFill>
          </w14:textFill>
        </w:rPr>
        <w:t>条；</w:t>
      </w:r>
    </w:p>
    <w:p w14:paraId="774CDE60">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16" w:name="_Toc31827_WPSOffice_Level1"/>
      <w:bookmarkStart w:id="17" w:name="_Toc15785_WPSOffice_Level1"/>
      <w:bookmarkStart w:id="18" w:name="_Toc7989"/>
      <w:bookmarkStart w:id="19" w:name="_Toc24331"/>
      <w:bookmarkStart w:id="20" w:name="_Toc6851_WPSOffice_Level1"/>
      <w:r>
        <w:rPr>
          <w:rFonts w:hint="eastAsia" w:ascii="仿宋_GB2312" w:hAnsi="仿宋_GB2312" w:eastAsia="仿宋_GB2312" w:cs="仿宋_GB2312"/>
          <w:color w:val="000000" w:themeColor="text1"/>
          <w:highlight w:val="none"/>
          <w14:textFill>
            <w14:solidFill>
              <w14:schemeClr w14:val="tx1"/>
            </w14:solidFill>
          </w14:textFill>
        </w:rPr>
        <w:t>1.1双方同意通过云筑网以电子签章的方式签署本合同，本合同自双方加盖电子签章之日起生效。合同生效后，双方均可对本合同进行查阅、下载、打印。下载、打印后的合同可以与云筑网中的电子合同进行比对，如有不同，以云筑网中的电子合同为准。甲乙双方使用电子签章方式签署的合同，只有通过验证生效的电子原件具有法律效力，未经电子印章服务平台公司提供书面证明材料的电子合同打印版不能作为法律依据。如因乙方使用不当给甲方造成损失，乙方愿自行承担由此造成的全部经济损失和法律责任。</w:t>
      </w:r>
    </w:p>
    <w:p w14:paraId="07487602">
      <w:pPr>
        <w:pStyle w:val="16"/>
        <w:numPr>
          <w:ilvl w:val="0"/>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1.2双方同意通过加盖物理印章的方式签署本合同，合同自双方盖章后生效，完成合同约定的全部内容且保修期满后即告终止。合同壹式</w:t>
      </w:r>
      <w:permStart w:id="83"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陆</w:t>
      </w:r>
      <w:permEnd w:id="83"/>
      <w:r>
        <w:rPr>
          <w:rFonts w:hint="eastAsia" w:ascii="仿宋_GB2312" w:hAnsi="仿宋_GB2312" w:eastAsia="仿宋_GB2312" w:cs="仿宋_GB2312"/>
          <w:color w:val="000000" w:themeColor="text1"/>
          <w:highlight w:val="none"/>
          <w14:textFill>
            <w14:solidFill>
              <w14:schemeClr w14:val="tx1"/>
            </w14:solidFill>
          </w14:textFill>
        </w:rPr>
        <w:t>份，甲方执</w:t>
      </w:r>
      <w:permStart w:id="84" w:edGrp="everyone"/>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肆</w:t>
      </w:r>
      <w:permEnd w:id="84"/>
      <w:r>
        <w:rPr>
          <w:rFonts w:hint="eastAsia" w:ascii="仿宋_GB2312" w:hAnsi="仿宋_GB2312" w:eastAsia="仿宋_GB2312" w:cs="仿宋_GB2312"/>
          <w:color w:val="000000" w:themeColor="text1"/>
          <w:highlight w:val="none"/>
          <w14:textFill>
            <w14:solidFill>
              <w14:schemeClr w14:val="tx1"/>
            </w14:solidFill>
          </w14:textFill>
        </w:rPr>
        <w:t>份，乙方执</w:t>
      </w:r>
      <w:permStart w:id="85" w:edGrp="everyone"/>
      <w:r>
        <w:rPr>
          <w:rFonts w:hint="eastAsia" w:ascii="仿宋_GB2312" w:hAnsi="仿宋_GB2312" w:eastAsia="仿宋_GB2312" w:cs="仿宋_GB2312"/>
          <w:color w:val="000000" w:themeColor="text1"/>
          <w:highlight w:val="none"/>
          <w:lang w:val="en-US" w:eastAsia="zh-CN"/>
          <w14:textFill>
            <w14:solidFill>
              <w14:schemeClr w14:val="tx1"/>
            </w14:solidFill>
          </w14:textFill>
        </w:rPr>
        <w:t>贰</w:t>
      </w:r>
      <w:permEnd w:id="85"/>
      <w:r>
        <w:rPr>
          <w:rFonts w:hint="eastAsia" w:ascii="仿宋_GB2312" w:hAnsi="仿宋_GB2312" w:eastAsia="仿宋_GB2312" w:cs="仿宋_GB2312"/>
          <w:color w:val="000000" w:themeColor="text1"/>
          <w:highlight w:val="none"/>
          <w14:textFill>
            <w14:solidFill>
              <w14:schemeClr w14:val="tx1"/>
            </w14:solidFill>
          </w14:textFill>
        </w:rPr>
        <w:t>份。</w:t>
      </w:r>
    </w:p>
    <w:p w14:paraId="3A836478">
      <w:pPr>
        <w:spacing w:line="400" w:lineRule="atLeast"/>
        <w:ind w:firstLine="504" w:firstLineChars="200"/>
        <w:jc w:val="left"/>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pacing w:val="6"/>
          <w:sz w:val="24"/>
          <w:szCs w:val="24"/>
          <w:highlight w:val="none"/>
          <w14:textFill>
            <w14:solidFill>
              <w14:schemeClr w14:val="tx1"/>
            </w14:solidFill>
          </w14:textFill>
        </w:rPr>
        <w:t>以下无正文</w:t>
      </w:r>
      <w:bookmarkEnd w:id="16"/>
      <w:bookmarkEnd w:id="17"/>
      <w:bookmarkEnd w:id="18"/>
      <w:bookmarkEnd w:id="19"/>
      <w:bookmarkEnd w:id="20"/>
      <w:bookmarkStart w:id="21" w:name="_Toc6163_WPSOffice_Level1"/>
      <w:bookmarkStart w:id="22" w:name="_Toc8898_WPSOffice_Level1"/>
      <w:bookmarkStart w:id="23" w:name="_Toc19595_WPSOffice_Level1"/>
    </w:p>
    <w:p w14:paraId="631B3F70">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24" w:name="_Toc31108"/>
      <w:bookmarkStart w:id="25" w:name="_Toc7261"/>
      <w:bookmarkStart w:id="26" w:name="_Toc9256"/>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附件一 授权委托书</w:t>
      </w:r>
      <w:bookmarkEnd w:id="21"/>
      <w:bookmarkEnd w:id="22"/>
      <w:bookmarkEnd w:id="23"/>
      <w:bookmarkEnd w:id="24"/>
      <w:bookmarkEnd w:id="25"/>
      <w:bookmarkEnd w:id="26"/>
    </w:p>
    <w:p w14:paraId="23467A6C">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27" w:name="_Toc16133_WPSOffice_Level1"/>
      <w:bookmarkStart w:id="28" w:name="_Toc5250_WPSOffice_Level1"/>
      <w:bookmarkStart w:id="29" w:name="_Toc7056"/>
      <w:bookmarkStart w:id="30" w:name="_Toc27542"/>
      <w:bookmarkStart w:id="31" w:name="_Toc3383_WPSOffice_Level1"/>
      <w:bookmarkStart w:id="32" w:name="_Toc22539"/>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附件二 </w:t>
      </w:r>
      <w:bookmarkEnd w:id="27"/>
      <w:bookmarkEnd w:id="28"/>
      <w:bookmarkEnd w:id="29"/>
      <w:bookmarkEnd w:id="30"/>
      <w:bookmarkEnd w:id="31"/>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项目部合规权限告知书</w:t>
      </w:r>
      <w:bookmarkEnd w:id="32"/>
    </w:p>
    <w:p w14:paraId="7BFC044D">
      <w:pPr>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bookmarkStart w:id="33" w:name="_Toc22730_WPSOffice_Level1"/>
      <w:bookmarkStart w:id="34" w:name="_Toc19768_WPSOffice_Level1"/>
      <w:bookmarkStart w:id="35" w:name="_Toc641_WPSOffice_Level1"/>
      <w:bookmarkStart w:id="36" w:name="_Toc28671"/>
      <w:bookmarkStart w:id="37" w:name="_Toc660"/>
      <w:bookmarkStart w:id="38" w:name="_Toc6096"/>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附件三 </w:t>
      </w:r>
      <w:bookmarkEnd w:id="33"/>
      <w:bookmarkEnd w:id="34"/>
      <w:bookmarkEnd w:id="35"/>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安全管理协议书</w:t>
      </w:r>
      <w:bookmarkEnd w:id="36"/>
      <w:bookmarkEnd w:id="37"/>
      <w:bookmarkEnd w:id="38"/>
    </w:p>
    <w:p w14:paraId="2E5B9629">
      <w:pPr>
        <w:pStyle w:val="16"/>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bookmarkStart w:id="39" w:name="_Toc19161_WPSOffice_Level1"/>
      <w:bookmarkStart w:id="40" w:name="_Toc8260_WPSOffice_Level1"/>
      <w:bookmarkStart w:id="41" w:name="_Toc24584_WPSOffice_Level1"/>
      <w:bookmarkStart w:id="42" w:name="_Toc6044"/>
      <w:bookmarkStart w:id="43" w:name="_Toc12124"/>
      <w:bookmarkStart w:id="44" w:name="_Toc25961"/>
      <w:r>
        <w:rPr>
          <w:rFonts w:hint="eastAsia" w:ascii="仿宋_GB2312" w:hAnsi="仿宋_GB2312" w:eastAsia="仿宋_GB2312" w:cs="仿宋_GB2312"/>
          <w:color w:val="000000" w:themeColor="text1"/>
          <w:highlight w:val="none"/>
          <w14:textFill>
            <w14:solidFill>
              <w14:schemeClr w14:val="tx1"/>
            </w14:solidFill>
          </w14:textFill>
        </w:rPr>
        <w:t xml:space="preserve">附件四 </w:t>
      </w:r>
      <w:bookmarkEnd w:id="39"/>
      <w:bookmarkEnd w:id="40"/>
      <w:bookmarkEnd w:id="41"/>
      <w:r>
        <w:rPr>
          <w:rFonts w:hint="eastAsia" w:ascii="仿宋_GB2312" w:hAnsi="仿宋_GB2312" w:eastAsia="仿宋_GB2312" w:cs="仿宋_GB2312"/>
          <w:color w:val="000000" w:themeColor="text1"/>
          <w:highlight w:val="none"/>
          <w14:textFill>
            <w14:solidFill>
              <w14:schemeClr w14:val="tx1"/>
            </w14:solidFill>
          </w14:textFill>
        </w:rPr>
        <w:t>商品混凝土需方验收人员一览表</w:t>
      </w:r>
      <w:bookmarkEnd w:id="42"/>
      <w:bookmarkEnd w:id="43"/>
    </w:p>
    <w:p w14:paraId="768317D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45" w:name="_Toc9919"/>
      <w:bookmarkStart w:id="46" w:name="_Toc25350"/>
      <w:r>
        <w:rPr>
          <w:rFonts w:hint="eastAsia" w:ascii="仿宋_GB2312" w:hAnsi="仿宋_GB2312" w:eastAsia="仿宋_GB2312" w:cs="仿宋_GB2312"/>
          <w:color w:val="000000" w:themeColor="text1"/>
          <w:highlight w:val="none"/>
          <w14:textFill>
            <w14:solidFill>
              <w14:schemeClr w14:val="tx1"/>
            </w14:solidFill>
          </w14:textFill>
        </w:rPr>
        <w:t>附件五 廉洁从业共建协议</w:t>
      </w:r>
      <w:bookmarkEnd w:id="45"/>
      <w:bookmarkEnd w:id="46"/>
    </w:p>
    <w:p w14:paraId="062EF602">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bookmarkStart w:id="47" w:name="_Toc7291"/>
      <w:bookmarkStart w:id="48" w:name="_Toc16394"/>
      <w:r>
        <w:rPr>
          <w:rFonts w:hint="eastAsia" w:ascii="仿宋_GB2312" w:hAnsi="仿宋_GB2312" w:eastAsia="仿宋_GB2312" w:cs="仿宋_GB2312"/>
          <w:color w:val="000000" w:themeColor="text1"/>
          <w:highlight w:val="none"/>
          <w14:textFill>
            <w14:solidFill>
              <w14:schemeClr w14:val="tx1"/>
            </w14:solidFill>
          </w14:textFill>
        </w:rPr>
        <w:t xml:space="preserve">附件六 </w:t>
      </w:r>
      <w:bookmarkEnd w:id="44"/>
      <w:r>
        <w:rPr>
          <w:rFonts w:hint="eastAsia" w:ascii="仿宋_GB2312" w:hAnsi="仿宋_GB2312" w:eastAsia="仿宋_GB2312" w:cs="仿宋_GB2312"/>
          <w:color w:val="000000" w:themeColor="text1"/>
          <w:highlight w:val="none"/>
          <w14:textFill>
            <w14:solidFill>
              <w14:schemeClr w14:val="tx1"/>
            </w14:solidFill>
          </w14:textFill>
        </w:rPr>
        <w:t>商品混凝土进场验收验证记录表</w:t>
      </w:r>
      <w:bookmarkEnd w:id="47"/>
      <w:bookmarkEnd w:id="48"/>
    </w:p>
    <w:p w14:paraId="2B4D6ED3">
      <w:pPr>
        <w:pStyle w:val="16"/>
        <w:spacing w:line="400" w:lineRule="atLeast"/>
        <w:ind w:firstLine="480" w:firstLineChars="200"/>
        <w:rPr>
          <w:rFonts w:hint="default" w:ascii="仿宋_GB2312" w:hAnsi="仿宋_GB2312" w:eastAsia="仿宋_GB2312" w:cs="仿宋_GB2312"/>
          <w:color w:val="000000" w:themeColor="text1"/>
          <w:highlight w:val="none"/>
          <w:lang w:val="en-US" w:eastAsia="zh-CN"/>
          <w14:textFill>
            <w14:solidFill>
              <w14:schemeClr w14:val="tx1"/>
            </w14:solidFill>
          </w14:textFill>
        </w:rPr>
      </w:pPr>
      <w:permStart w:id="86" w:edGrp="everyone"/>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w:t>
      </w:r>
      <w:permEnd w:id="86"/>
    </w:p>
    <w:p w14:paraId="6A455F4F">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甲方（盖章）：                         乙方（</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盖</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章）：      </w:t>
      </w:r>
    </w:p>
    <w:p w14:paraId="4A2D4CC0">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p>
    <w:p w14:paraId="538EACC9">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5A904C51">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32C47281">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委托人：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6166F8DE">
      <w:pPr>
        <w:pStyle w:val="16"/>
        <w:spacing w:line="400" w:lineRule="atLeast"/>
        <w:rPr>
          <w:rFonts w:ascii="仿宋_GB2312" w:hAnsi="仿宋_GB2312" w:eastAsia="仿宋_GB2312" w:cs="仿宋_GB2312"/>
          <w:color w:val="000000" w:themeColor="text1"/>
          <w:highlight w:val="none"/>
          <w14:textFill>
            <w14:solidFill>
              <w14:schemeClr w14:val="tx1"/>
            </w14:solidFill>
          </w14:textFill>
        </w:rPr>
      </w:pPr>
    </w:p>
    <w:p w14:paraId="488FB333">
      <w:pPr>
        <w:rPr>
          <w:rFonts w:ascii="仿宋_GB2312" w:hAnsi="仿宋_GB2312" w:eastAsia="仿宋_GB2312" w:cs="仿宋_GB2312"/>
          <w:color w:val="000000" w:themeColor="text1"/>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br w:type="page"/>
      </w:r>
    </w:p>
    <w:p w14:paraId="2B6E7D05">
      <w:pPr>
        <w:autoSpaceDE w:val="0"/>
        <w:autoSpaceDN w:val="0"/>
        <w:adjustRightInd w:val="0"/>
        <w:spacing w:line="400" w:lineRule="exact"/>
        <w:outlineLvl w:val="0"/>
        <w:rPr>
          <w:rFonts w:ascii="仿宋_GB2312" w:hAnsi="仿宋_GB2312" w:eastAsia="仿宋_GB2312" w:cs="仿宋_GB2312"/>
          <w:color w:val="000000" w:themeColor="text1"/>
          <w:kern w:val="0"/>
          <w:sz w:val="30"/>
          <w:szCs w:val="30"/>
          <w:highlight w:val="none"/>
          <w14:textFill>
            <w14:solidFill>
              <w14:schemeClr w14:val="tx1"/>
            </w14:solidFill>
          </w14:textFill>
        </w:rPr>
      </w:pPr>
      <w:bookmarkStart w:id="49" w:name="_Toc13743"/>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附件一：</w:t>
      </w:r>
      <w:bookmarkEnd w:id="49"/>
    </w:p>
    <w:p w14:paraId="50C1467F">
      <w:pPr>
        <w:autoSpaceDE w:val="0"/>
        <w:autoSpaceDN w:val="0"/>
        <w:adjustRightInd w:val="0"/>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授权委托书</w:t>
      </w:r>
    </w:p>
    <w:p w14:paraId="04DD7809">
      <w:pPr>
        <w:autoSpaceDE w:val="0"/>
        <w:autoSpaceDN w:val="0"/>
        <w:adjustRightInd w:val="0"/>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p>
    <w:p w14:paraId="4809635A">
      <w:pPr>
        <w:autoSpaceDE w:val="0"/>
        <w:autoSpaceDN w:val="0"/>
        <w:adjustRightInd w:val="0"/>
        <w:spacing w:line="400" w:lineRule="exact"/>
        <w:ind w:firstLine="482"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本授权委托书声明：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w:t>
      </w:r>
      <w:permStart w:id="8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7"/>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88"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8"/>
      <w:r>
        <w:rPr>
          <w:rFonts w:hint="eastAsia" w:ascii="仿宋_GB2312" w:hAnsi="仿宋_GB2312" w:eastAsia="仿宋_GB2312" w:cs="仿宋_GB2312"/>
          <w:color w:val="000000" w:themeColor="text1"/>
          <w:sz w:val="24"/>
          <w:szCs w:val="24"/>
          <w:highlight w:val="none"/>
          <w14:textFill>
            <w14:solidFill>
              <w14:schemeClr w14:val="tx1"/>
            </w14:solidFill>
          </w14:textFill>
        </w:rPr>
        <w:t>）系</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Start w:id="89"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89"/>
      <w:r>
        <w:rPr>
          <w:rFonts w:hint="eastAsia" w:ascii="仿宋_GB2312" w:hAnsi="仿宋_GB2312" w:eastAsia="仿宋_GB2312" w:cs="仿宋_GB2312"/>
          <w:color w:val="000000" w:themeColor="text1"/>
          <w:sz w:val="24"/>
          <w:szCs w:val="24"/>
          <w:highlight w:val="none"/>
          <w14:textFill>
            <w14:solidFill>
              <w14:schemeClr w14:val="tx1"/>
            </w14:solidFill>
          </w14:textFill>
        </w:rPr>
        <w:t>公司（乙方）的法定代表人，现授权委托</w:t>
      </w:r>
      <w:permStart w:id="90"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0"/>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9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1"/>
      <w:r>
        <w:rPr>
          <w:rFonts w:hint="eastAsia" w:ascii="仿宋_GB2312" w:hAnsi="仿宋_GB2312" w:eastAsia="仿宋_GB2312" w:cs="仿宋_GB2312"/>
          <w:color w:val="000000" w:themeColor="text1"/>
          <w:sz w:val="24"/>
          <w:szCs w:val="24"/>
          <w:highlight w:val="none"/>
          <w14:textFill>
            <w14:solidFill>
              <w14:schemeClr w14:val="tx1"/>
            </w14:solidFill>
          </w14:textFill>
        </w:rPr>
        <w:t>）为我公司合法的代理人。以本公司的名义负责</w:t>
      </w:r>
      <w:permStart w:id="92"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本溪市平山区(福金沟、转山沟、花红沟)山洪沟防洪治理工程施工-(福金沟、转山沟)一标段</w:t>
      </w:r>
      <w:permEnd w:id="92"/>
      <w:r>
        <w:rPr>
          <w:rFonts w:hint="eastAsia" w:ascii="仿宋_GB2312" w:hAnsi="仿宋_GB2312" w:eastAsia="仿宋_GB2312" w:cs="仿宋_GB2312"/>
          <w:color w:val="000000" w:themeColor="text1"/>
          <w:sz w:val="24"/>
          <w:szCs w:val="24"/>
          <w:highlight w:val="none"/>
          <w14:textFill>
            <w14:solidFill>
              <w14:schemeClr w14:val="tx1"/>
            </w14:solidFill>
          </w14:textFill>
        </w:rPr>
        <w:t>项目招投标、合同签署及合同履行等事宜。</w:t>
      </w:r>
    </w:p>
    <w:p w14:paraId="5CB7D4BA">
      <w:pPr>
        <w:autoSpaceDE w:val="0"/>
        <w:autoSpaceDN w:val="0"/>
        <w:adjustRightInd w:val="0"/>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代理人在合同履行过程中所签署的一切文件和处理与之有关的一切事务，包括但不限于签署往来函件、签署会议纪要、货物供应、结算办理、</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货</w:t>
      </w:r>
      <w:r>
        <w:rPr>
          <w:rFonts w:hint="eastAsia" w:ascii="仿宋_GB2312" w:hAnsi="仿宋_GB2312" w:eastAsia="仿宋_GB2312" w:cs="仿宋_GB2312"/>
          <w:color w:val="000000" w:themeColor="text1"/>
          <w:sz w:val="24"/>
          <w:szCs w:val="24"/>
          <w:highlight w:val="none"/>
          <w14:textFill>
            <w14:solidFill>
              <w14:schemeClr w14:val="tx1"/>
            </w14:solidFill>
          </w14:textFill>
        </w:rPr>
        <w:t>款的收取、发票开具等均具有法律效力，授权人均予以认可。</w:t>
      </w:r>
    </w:p>
    <w:p w14:paraId="64A3BC5F">
      <w:pPr>
        <w:keepNext/>
        <w:keepLines/>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本授权委托的期限为自</w:t>
      </w:r>
      <w:permStart w:id="93"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ermEnd w:id="93"/>
      <w:r>
        <w:rPr>
          <w:rFonts w:hint="eastAsia" w:ascii="仿宋_GB2312" w:hAnsi="仿宋_GB2312" w:eastAsia="仿宋_GB2312" w:cs="仿宋_GB2312"/>
          <w:color w:val="000000" w:themeColor="text1"/>
          <w:sz w:val="24"/>
          <w:szCs w:val="24"/>
          <w:highlight w:val="none"/>
          <w14:textFill>
            <w14:solidFill>
              <w14:schemeClr w14:val="tx1"/>
            </w14:solidFill>
          </w14:textFill>
        </w:rPr>
        <w:t>至</w:t>
      </w:r>
      <w:permStart w:id="94"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ermEnd w:id="94"/>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14:paraId="60B29D6A">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代理人无转委托权。</w:t>
      </w:r>
    </w:p>
    <w:p w14:paraId="3FB2416C">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特此授权。</w:t>
      </w:r>
    </w:p>
    <w:p w14:paraId="3622B85F">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委托单位全称（</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盖</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章）：          </w:t>
      </w:r>
    </w:p>
    <w:p w14:paraId="1014EE5E">
      <w:pPr>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法定代表人：</w:t>
      </w:r>
    </w:p>
    <w:p w14:paraId="7BAD84F1">
      <w:pPr>
        <w:spacing w:line="400" w:lineRule="exact"/>
        <w:ind w:firstLine="480" w:firstLineChars="200"/>
        <w:jc w:val="righ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日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14:paraId="4A9D3967">
      <w:pPr>
        <w:spacing w:before="120" w:beforeLines="50" w:after="120" w:afterLines="50" w:line="400" w:lineRule="exact"/>
        <w:ind w:firstLine="482"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代理人声明</w:t>
      </w:r>
      <w:r>
        <w:rPr>
          <w:rFonts w:hint="eastAsia" w:ascii="仿宋_GB2312" w:hAnsi="仿宋_GB2312" w:eastAsia="仿宋_GB2312" w:cs="仿宋_GB2312"/>
          <w:color w:val="000000" w:themeColor="text1"/>
          <w:sz w:val="24"/>
          <w:szCs w:val="24"/>
          <w:highlight w:val="none"/>
          <w14:textFill>
            <w14:solidFill>
              <w14:schemeClr w14:val="tx1"/>
            </w14:solidFill>
          </w14:textFill>
        </w:rPr>
        <w:t>：我对以上授权委托事项完全接受，自愿履行。</w:t>
      </w:r>
    </w:p>
    <w:p w14:paraId="1159EE12">
      <w:pPr>
        <w:spacing w:line="400" w:lineRule="exact"/>
        <w:ind w:firstLine="480" w:firstLineChars="20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代理人（本人签字）：</w:t>
      </w:r>
    </w:p>
    <w:p w14:paraId="4BD0E440">
      <w:pPr>
        <w:spacing w:line="400" w:lineRule="exact"/>
        <w:ind w:firstLine="480" w:firstLineChars="200"/>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日</w:t>
      </w:r>
    </w:p>
    <w:tbl>
      <w:tblPr>
        <w:tblStyle w:val="13"/>
        <w:tblpPr w:leftFromText="180" w:rightFromText="180" w:vertAnchor="text" w:horzAnchor="page" w:tblpX="1551" w:tblpY="50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60"/>
      </w:tblGrid>
      <w:tr w14:paraId="6214EC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4470" w:type="dxa"/>
            <w:tcBorders>
              <w:right w:val="single" w:color="000000" w:sz="4" w:space="0"/>
            </w:tcBorders>
            <w:vAlign w:val="center"/>
          </w:tcPr>
          <w:p w14:paraId="33C1C133">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14:textFill>
                  <w14:solidFill>
                    <w14:schemeClr w14:val="tx1"/>
                  </w14:solidFill>
                </w14:textFill>
              </w:rPr>
            </w:pPr>
            <w:permStart w:id="95" w:edGrp="everyone"/>
          </w:p>
        </w:tc>
        <w:tc>
          <w:tcPr>
            <w:tcW w:w="4560" w:type="dxa"/>
            <w:tcBorders>
              <w:left w:val="single" w:color="000000" w:sz="4" w:space="0"/>
            </w:tcBorders>
            <w:vAlign w:val="center"/>
          </w:tcPr>
          <w:p w14:paraId="4D1B34C5">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permEnd w:id="95"/>
    </w:tbl>
    <w:p w14:paraId="06E76647">
      <w:pPr>
        <w:spacing w:line="400" w:lineRule="exact"/>
        <w:ind w:firstLine="482" w:firstLineChars="200"/>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代理人身份证复印件粘贴处</w:t>
      </w:r>
      <w:r>
        <w:rPr>
          <w:rFonts w:hint="eastAsia" w:ascii="仿宋_GB2312" w:hAnsi="仿宋_GB2312" w:eastAsia="仿宋_GB2312" w:cs="仿宋_GB2312"/>
          <w:b/>
          <w:color w:val="000000" w:themeColor="text1"/>
          <w:sz w:val="24"/>
          <w:szCs w:val="24"/>
          <w:highlight w:val="none"/>
          <w14:textFill>
            <w14:solidFill>
              <w14:schemeClr w14:val="tx1"/>
            </w14:solidFill>
          </w14:textFill>
        </w:rPr>
        <w:t>：</w:t>
      </w:r>
    </w:p>
    <w:tbl>
      <w:tblPr>
        <w:tblStyle w:val="13"/>
        <w:tblpPr w:leftFromText="180" w:rightFromText="180" w:vertAnchor="text" w:horzAnchor="page" w:tblpX="1551" w:tblpY="3249"/>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4530"/>
      </w:tblGrid>
      <w:tr w14:paraId="69707C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4485" w:type="dxa"/>
            <w:tcBorders>
              <w:right w:val="single" w:color="000000" w:sz="4" w:space="0"/>
            </w:tcBorders>
            <w:vAlign w:val="center"/>
          </w:tcPr>
          <w:p w14:paraId="5AF20422">
            <w:pPr>
              <w:autoSpaceDE w:val="0"/>
              <w:autoSpaceDN w:val="0"/>
              <w:adjustRightInd w:val="0"/>
              <w:spacing w:line="400" w:lineRule="exact"/>
              <w:jc w:val="center"/>
              <w:rPr>
                <w:rFonts w:ascii="仿宋_GB2312" w:hAnsi="仿宋_GB2312" w:eastAsia="仿宋_GB2312" w:cs="仿宋_GB2312"/>
                <w:color w:val="000000" w:themeColor="text1"/>
                <w:sz w:val="24"/>
                <w:szCs w:val="24"/>
                <w:highlight w:val="none"/>
                <w14:textFill>
                  <w14:solidFill>
                    <w14:schemeClr w14:val="tx1"/>
                  </w14:solidFill>
                </w14:textFill>
              </w:rPr>
            </w:pPr>
            <w:permStart w:id="96" w:edGrp="everyone"/>
          </w:p>
        </w:tc>
        <w:tc>
          <w:tcPr>
            <w:tcW w:w="4530" w:type="dxa"/>
            <w:tcBorders>
              <w:left w:val="single" w:color="000000" w:sz="4" w:space="0"/>
            </w:tcBorders>
            <w:vAlign w:val="center"/>
          </w:tcPr>
          <w:p w14:paraId="61CCD75A">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p>
        </w:tc>
      </w:tr>
      <w:permEnd w:id="96"/>
    </w:tbl>
    <w:p w14:paraId="0354F6ED">
      <w:pPr>
        <w:spacing w:line="400" w:lineRule="exact"/>
        <w:ind w:firstLine="482" w:firstLineChars="200"/>
        <w:rPr>
          <w:rFonts w:ascii="仿宋_GB2312" w:hAnsi="仿宋_GB2312" w:eastAsia="仿宋_GB2312" w:cs="仿宋_GB2312"/>
          <w:b/>
          <w:color w:val="000000" w:themeColor="text1"/>
          <w:sz w:val="24"/>
          <w:szCs w:val="24"/>
          <w:highlight w:val="none"/>
          <w:u w:val="dash"/>
          <w14:textFill>
            <w14:solidFill>
              <w14:schemeClr w14:val="tx1"/>
            </w14:solidFill>
          </w14:textFill>
        </w:rPr>
      </w:pPr>
      <w:r>
        <w:rPr>
          <w:rFonts w:hint="eastAsia" w:ascii="仿宋_GB2312" w:hAnsi="仿宋_GB2312" w:eastAsia="仿宋_GB2312" w:cs="仿宋_GB2312"/>
          <w:b/>
          <w:color w:val="000000" w:themeColor="text1"/>
          <w:sz w:val="24"/>
          <w:szCs w:val="24"/>
          <w:highlight w:val="none"/>
          <w:u w:val="dash"/>
          <w14:textFill>
            <w14:solidFill>
              <w14:schemeClr w14:val="tx1"/>
            </w14:solidFill>
          </w14:textFill>
        </w:rPr>
        <w:t>法定代表人身份证复印件粘贴处：</w:t>
      </w:r>
    </w:p>
    <w:p w14:paraId="37555A9D">
      <w:pPr>
        <w:pStyle w:val="16"/>
        <w:spacing w:line="400" w:lineRule="exact"/>
        <w:ind w:firstLine="480" w:firstLineChars="200"/>
        <w:rPr>
          <w:rFonts w:ascii="仿宋_GB2312" w:hAnsi="仿宋_GB2312" w:eastAsia="仿宋_GB2312" w:cs="仿宋_GB2312"/>
          <w:color w:val="000000" w:themeColor="text1"/>
          <w:highlight w:val="none"/>
          <w14:textFill>
            <w14:solidFill>
              <w14:schemeClr w14:val="tx1"/>
            </w14:solidFill>
          </w14:textFill>
        </w:rPr>
        <w:sectPr>
          <w:headerReference r:id="rId9" w:type="default"/>
          <w:footerReference r:id="rId10" w:type="default"/>
          <w:pgSz w:w="11906" w:h="16838"/>
          <w:pgMar w:top="1440" w:right="1800" w:bottom="1440" w:left="1800" w:header="850" w:footer="975" w:gutter="0"/>
          <w:pgNumType w:start="1"/>
          <w:cols w:space="0" w:num="1"/>
          <w:docGrid w:linePitch="312" w:charSpace="0"/>
        </w:sectPr>
      </w:pPr>
    </w:p>
    <w:p w14:paraId="587C4D5D">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50" w:name="_Toc4231"/>
      <w:r>
        <w:rPr>
          <w:rFonts w:hint="eastAsia" w:ascii="仿宋_GB2312" w:hAnsi="仿宋_GB2312" w:eastAsia="仿宋_GB2312" w:cs="仿宋_GB2312"/>
          <w:color w:val="000000" w:themeColor="text1"/>
          <w:sz w:val="30"/>
          <w:szCs w:val="30"/>
          <w:highlight w:val="none"/>
          <w14:textFill>
            <w14:solidFill>
              <w14:schemeClr w14:val="tx1"/>
            </w14:solidFill>
          </w14:textFill>
        </w:rPr>
        <w:t>附件二：</w:t>
      </w:r>
      <w:bookmarkEnd w:id="50"/>
    </w:p>
    <w:p w14:paraId="7AA3F067">
      <w:pPr>
        <w:spacing w:line="400" w:lineRule="exact"/>
        <w:jc w:val="center"/>
        <w:rPr>
          <w:rFonts w:ascii="仿宋_GB2312" w:hAnsi="仿宋_GB2312" w:eastAsia="仿宋_GB2312" w:cs="仿宋_GB2312"/>
          <w:b/>
          <w:bCs/>
          <w:color w:val="000000" w:themeColor="text1"/>
          <w:sz w:val="30"/>
          <w:szCs w:val="30"/>
          <w:highlight w:val="none"/>
          <w14:textFill>
            <w14:solidFill>
              <w14:schemeClr w14:val="tx1"/>
            </w14:solidFill>
          </w14:textFill>
        </w:rPr>
      </w:pPr>
      <w:r>
        <w:rPr>
          <w:rFonts w:hint="eastAsia" w:ascii="仿宋_GB2312" w:hAnsi="仿宋_GB2312" w:eastAsia="仿宋_GB2312" w:cs="仿宋_GB2312"/>
          <w:b/>
          <w:bCs/>
          <w:color w:val="000000" w:themeColor="text1"/>
          <w:sz w:val="30"/>
          <w:szCs w:val="30"/>
          <w:highlight w:val="none"/>
          <w14:textFill>
            <w14:solidFill>
              <w14:schemeClr w14:val="tx1"/>
            </w14:solidFill>
          </w14:textFill>
        </w:rPr>
        <w:t>项目部合规权限告知书</w:t>
      </w:r>
    </w:p>
    <w:p w14:paraId="5AAD047E">
      <w:pPr>
        <w:autoSpaceDE w:val="0"/>
        <w:autoSpaceDN w:val="0"/>
        <w:adjustRightInd w:val="0"/>
        <w:spacing w:before="240" w:beforeLines="100"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致：</w:t>
      </w:r>
      <w:permStart w:id="97"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 xml:space="preserve">            </w:t>
      </w:r>
      <w:permEnd w:id="97"/>
      <w:r>
        <w:rPr>
          <w:rFonts w:hint="eastAsia" w:ascii="仿宋_GB2312" w:hAnsi="仿宋_GB2312" w:eastAsia="仿宋_GB2312" w:cs="仿宋_GB2312"/>
          <w:color w:val="000000" w:themeColor="text1"/>
          <w:sz w:val="24"/>
          <w:szCs w:val="24"/>
          <w:highlight w:val="none"/>
          <w14:textFill>
            <w14:solidFill>
              <w14:schemeClr w14:val="tx1"/>
            </w14:solidFill>
          </w14:textFill>
        </w:rPr>
        <w:t>（乙方全称）</w:t>
      </w:r>
    </w:p>
    <w:p w14:paraId="2A0C004B">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Start w:id="51" w:name="_Hlk126830603"/>
      <w:permStart w:id="98"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雄安发展</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有限公司</w:t>
      </w:r>
      <w:bookmarkEnd w:id="51"/>
      <w:permEnd w:id="98"/>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采购方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全称，以下简称本公司），系依法成立并有效存续的公司。现向本公司</w:t>
      </w:r>
      <w:permStart w:id="99"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本溪市平山区(福金沟、转山沟、花红沟)山洪沟防洪治理工程施工-(福金沟、转山沟)一标段</w:t>
      </w:r>
      <w:permEnd w:id="99"/>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项目部(以下简称项目部)签发项目部合规权限告知书（以下简称本</w:t>
      </w:r>
      <w:r>
        <w:rPr>
          <w:rFonts w:hint="eastAsia" w:ascii="仿宋_GB2312" w:hAnsi="仿宋_GB2312" w:eastAsia="仿宋_GB2312" w:cs="仿宋_GB2312"/>
          <w:color w:val="000000" w:themeColor="text1"/>
          <w:sz w:val="24"/>
          <w:szCs w:val="24"/>
          <w:highlight w:val="none"/>
          <w14:textFill>
            <w14:solidFill>
              <w14:schemeClr w14:val="tx1"/>
            </w14:solidFill>
          </w14:textFill>
        </w:rPr>
        <w:t>告知</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书），项目经理</w:t>
      </w:r>
      <w:permStart w:id="100"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赵奇志</w:t>
      </w:r>
      <w:permEnd w:id="100"/>
      <w:r>
        <w:rPr>
          <w:rFonts w:hint="eastAsia" w:ascii="仿宋_GB2312" w:hAnsi="仿宋_GB2312" w:eastAsia="仿宋_GB2312" w:cs="仿宋_GB2312"/>
          <w:color w:val="000000" w:themeColor="text1"/>
          <w:sz w:val="24"/>
          <w:szCs w:val="24"/>
          <w:highlight w:val="none"/>
          <w14:textFill>
            <w14:solidFill>
              <w14:schemeClr w14:val="tx1"/>
            </w14:solidFill>
          </w14:textFill>
        </w:rPr>
        <w:t>（身份证号：</w:t>
      </w:r>
      <w:permStart w:id="101"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13018</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198</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0</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0</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827</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12</w:t>
      </w:r>
      <w:permEnd w:id="101"/>
      <w:r>
        <w:rPr>
          <w:rFonts w:hint="eastAsia" w:ascii="仿宋_GB2312" w:hAnsi="仿宋_GB2312" w:eastAsia="仿宋_GB2312" w:cs="仿宋_GB2312"/>
          <w:color w:val="000000" w:themeColor="text1"/>
          <w:sz w:val="24"/>
          <w:szCs w:val="24"/>
          <w:highlight w:val="none"/>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 xml:space="preserve">代表本公司行使权限。 </w:t>
      </w:r>
    </w:p>
    <w:p w14:paraId="2C713478">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一、</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项目部须严格按合同约定行使权利，履行义务。本授权书规定与合同约定相冲突的，以合同约定为准。</w:t>
      </w:r>
    </w:p>
    <w:p w14:paraId="12990BF0">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二、项目部行使权限，须由项目经理签字并加盖项目部公章，否则本公司不予认可，亦不承担任何责任。</w:t>
      </w:r>
    </w:p>
    <w:p w14:paraId="380231CF">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三、项目经理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不</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可将其部分权限以书面形式转授权项目部其他人员，项目部任何内设机构及项目经理</w:t>
      </w:r>
      <w:r>
        <w:rPr>
          <w:rFonts w:hint="eastAsia" w:ascii="仿宋_GB2312" w:hAnsi="仿宋_GB2312" w:eastAsia="仿宋_GB2312" w:cs="仿宋_GB2312"/>
          <w:color w:val="000000" w:themeColor="text1"/>
          <w:sz w:val="24"/>
          <w:szCs w:val="24"/>
          <w:highlight w:val="none"/>
          <w14:textFill>
            <w14:solidFill>
              <w14:schemeClr w14:val="tx1"/>
            </w14:solidFill>
          </w14:textFill>
        </w:rPr>
        <w:t>擅自</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转授权人员以任何形式签字、盖章本公司均不予认可，亦不承担任何责任。</w:t>
      </w:r>
    </w:p>
    <w:p w14:paraId="12E2AD5F">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四、未经</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甲方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授权的</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项目经理、</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任何</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项目部</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人员和项目印章均无权从事下列行为：（1）签订本合同的补充协议或签署其他合同类文件，包括但不限于采购合同、分包合同、租赁合同；（2）签署任何借贷、担保性质的文件，包括但不限于借条、保函、保证书、承诺书；（3）签署代他人清偿债务的文件，签署任何放弃债权的文件；（4）签署任何对总承包合同进行修改和补充的文件;（5）收取现金及任何款项；（6）签署合同价款的变更、结算及支付确认文件；（7）签署任何劳动关系确认文件、工资发放承诺文件。项目所有合同、协议等具有权利义务性质的文件均需加盖合同专用章，否则本公司不予认可，亦不承担任何责任。</w:t>
      </w:r>
    </w:p>
    <w:p w14:paraId="30B6065C">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五、凡涉及项目经济性事项，项目部须严格在本授权书规定的权限范围内行使，否则，即使经项目部加盖公章、项目经理签字，本公司亦不予认可，不承担任何责任。</w:t>
      </w:r>
    </w:p>
    <w:p w14:paraId="2D79E3B0">
      <w:pPr>
        <w:autoSpaceDE w:val="0"/>
        <w:autoSpaceDN w:val="0"/>
        <w:adjustRightIn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1.项目部有权审批如下事项：</w:t>
      </w:r>
    </w:p>
    <w:tbl>
      <w:tblPr>
        <w:tblStyle w:val="13"/>
        <w:tblpPr w:leftFromText="180" w:rightFromText="180" w:vertAnchor="text" w:horzAnchor="margin" w:tblpXSpec="center" w:tblpY="87"/>
        <w:tblOverlap w:val="never"/>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818"/>
      </w:tblGrid>
      <w:tr w14:paraId="37844E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1" w:type="dxa"/>
            <w:vAlign w:val="center"/>
          </w:tcPr>
          <w:p w14:paraId="4F5AFCC5">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bookmarkStart w:id="52" w:name="_Hlk127190034"/>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18" w:type="dxa"/>
            <w:vAlign w:val="center"/>
          </w:tcPr>
          <w:p w14:paraId="09B227BB">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授权性事项</w:t>
            </w:r>
          </w:p>
        </w:tc>
      </w:tr>
      <w:tr w14:paraId="25CB8D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71078AA9">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18" w:type="dxa"/>
            <w:shd w:val="clear" w:color="auto" w:fill="auto"/>
            <w:vAlign w:val="center"/>
          </w:tcPr>
          <w:p w14:paraId="7C3A432E">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向乙方发送物资进退场联系单</w:t>
            </w:r>
          </w:p>
        </w:tc>
      </w:tr>
      <w:tr w14:paraId="5EC3A5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38C4B111">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18" w:type="dxa"/>
            <w:shd w:val="clear" w:color="auto" w:fill="auto"/>
            <w:vAlign w:val="center"/>
          </w:tcPr>
          <w:p w14:paraId="3BFAA101">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对乙方进场物资进行外观检测，出具进场物资登记验收单，确认进场物资外观检测和进场登记</w:t>
            </w:r>
          </w:p>
        </w:tc>
      </w:tr>
      <w:tr w14:paraId="4BC08F3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51AF879D">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18" w:type="dxa"/>
            <w:shd w:val="clear" w:color="auto" w:fill="auto"/>
            <w:vAlign w:val="center"/>
          </w:tcPr>
          <w:p w14:paraId="012E358C">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办理物资收料单、初步编制物资采购结算单提交甲方公司确认</w:t>
            </w:r>
          </w:p>
        </w:tc>
      </w:tr>
      <w:tr w14:paraId="3C05252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3B03CE51">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18" w:type="dxa"/>
            <w:shd w:val="clear" w:color="auto" w:fill="auto"/>
            <w:vAlign w:val="center"/>
          </w:tcPr>
          <w:p w14:paraId="797CB2BB">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对乙方物资进行检验、试验、检测与计量，联系乙方退货或更换，出具进场物资不合格记录</w:t>
            </w:r>
          </w:p>
        </w:tc>
      </w:tr>
      <w:tr w14:paraId="4FD7A4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06CB5F9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18" w:type="dxa"/>
            <w:shd w:val="clear" w:color="auto" w:fill="auto"/>
            <w:vAlign w:val="center"/>
          </w:tcPr>
          <w:p w14:paraId="7C7A575A">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确认物资领料单、退货单、混凝土浇灌申请表</w:t>
            </w:r>
          </w:p>
        </w:tc>
      </w:tr>
      <w:tr w14:paraId="62BA86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77E66C0A">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6</w:t>
            </w:r>
          </w:p>
        </w:tc>
        <w:tc>
          <w:tcPr>
            <w:tcW w:w="8818" w:type="dxa"/>
            <w:shd w:val="clear" w:color="auto" w:fill="auto"/>
            <w:vAlign w:val="center"/>
          </w:tcPr>
          <w:p w14:paraId="6949B711">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出具料具进退场签收单（无审批权）</w:t>
            </w:r>
          </w:p>
        </w:tc>
      </w:tr>
      <w:tr w14:paraId="337D11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1" w:type="dxa"/>
            <w:shd w:val="clear" w:color="auto" w:fill="auto"/>
            <w:vAlign w:val="center"/>
          </w:tcPr>
          <w:p w14:paraId="5EEC234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7</w:t>
            </w:r>
          </w:p>
        </w:tc>
        <w:tc>
          <w:tcPr>
            <w:tcW w:w="8818" w:type="dxa"/>
            <w:shd w:val="clear" w:color="auto" w:fill="auto"/>
            <w:vAlign w:val="center"/>
          </w:tcPr>
          <w:p w14:paraId="46E073B1">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编制、审核料具结算单</w:t>
            </w:r>
          </w:p>
        </w:tc>
      </w:tr>
      <w:tr w14:paraId="0C5471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48A67378">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8</w:t>
            </w:r>
          </w:p>
        </w:tc>
        <w:tc>
          <w:tcPr>
            <w:tcW w:w="8818" w:type="dxa"/>
            <w:shd w:val="clear" w:color="auto" w:fill="auto"/>
            <w:vAlign w:val="center"/>
          </w:tcPr>
          <w:p w14:paraId="69F97158">
            <w:pPr>
              <w:autoSpaceDE w:val="0"/>
              <w:autoSpaceDN w:val="0"/>
              <w:adjustRightInd w:val="0"/>
              <w:spacing w:line="400" w:lineRule="exac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对不服从指挥的材料供应商作出处罚（追究违约责任）的决定</w:t>
            </w:r>
          </w:p>
        </w:tc>
      </w:tr>
      <w:tr w14:paraId="4D29B4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08BDE99E">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9</w:t>
            </w:r>
          </w:p>
        </w:tc>
        <w:tc>
          <w:tcPr>
            <w:tcW w:w="8818" w:type="dxa"/>
            <w:shd w:val="clear" w:color="auto" w:fill="auto"/>
            <w:vAlign w:val="center"/>
          </w:tcPr>
          <w:p w14:paraId="6600380F">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对乙方工程项目的履约情况进行监控和核查；发现问题后，通知要求乙方进行整改或调整</w:t>
            </w:r>
          </w:p>
        </w:tc>
      </w:tr>
      <w:tr w14:paraId="306757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70EB360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10</w:t>
            </w:r>
          </w:p>
        </w:tc>
        <w:tc>
          <w:tcPr>
            <w:tcW w:w="8818" w:type="dxa"/>
            <w:shd w:val="clear" w:color="auto" w:fill="auto"/>
            <w:vAlign w:val="center"/>
          </w:tcPr>
          <w:p w14:paraId="1F89BFE8">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组织实施质量验收工作</w:t>
            </w:r>
          </w:p>
        </w:tc>
      </w:tr>
      <w:tr w14:paraId="026AEC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146744D7">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11</w:t>
            </w:r>
          </w:p>
        </w:tc>
        <w:tc>
          <w:tcPr>
            <w:tcW w:w="8818" w:type="dxa"/>
            <w:shd w:val="clear" w:color="auto" w:fill="auto"/>
            <w:vAlign w:val="center"/>
          </w:tcPr>
          <w:p w14:paraId="0AB8D979">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向乙方发送维修整改通知</w:t>
            </w:r>
          </w:p>
        </w:tc>
      </w:tr>
      <w:tr w14:paraId="52F555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6E7D103B">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12</w:t>
            </w:r>
          </w:p>
        </w:tc>
        <w:tc>
          <w:tcPr>
            <w:tcW w:w="8818" w:type="dxa"/>
            <w:shd w:val="clear" w:color="auto" w:fill="auto"/>
            <w:vAlign w:val="center"/>
          </w:tcPr>
          <w:p w14:paraId="55CBBD45">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根据合同约定或公司规定扣除乙方质保金</w:t>
            </w:r>
          </w:p>
        </w:tc>
      </w:tr>
      <w:tr w14:paraId="08A7A5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2CFC2A8A">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13</w:t>
            </w:r>
          </w:p>
        </w:tc>
        <w:tc>
          <w:tcPr>
            <w:tcW w:w="8818" w:type="dxa"/>
            <w:shd w:val="clear" w:color="auto" w:fill="auto"/>
            <w:vAlign w:val="center"/>
          </w:tcPr>
          <w:p w14:paraId="144A3A28">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对存在的安全生产隐患，下达《安全隐患整改通知书》，对存在重大安全生产隐患，下达《安全隐患局部停工整改令》</w:t>
            </w:r>
          </w:p>
        </w:tc>
      </w:tr>
      <w:tr w14:paraId="76B37F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7715D772">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14</w:t>
            </w:r>
          </w:p>
        </w:tc>
        <w:tc>
          <w:tcPr>
            <w:tcW w:w="8818" w:type="dxa"/>
            <w:shd w:val="clear" w:color="auto" w:fill="auto"/>
            <w:vAlign w:val="center"/>
          </w:tcPr>
          <w:p w14:paraId="19DF7D00">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对检查中发现的不符合合同约定或国家规定标准的，要求乙方进行整改</w:t>
            </w:r>
          </w:p>
        </w:tc>
      </w:tr>
      <w:tr w14:paraId="7462827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1" w:type="dxa"/>
            <w:shd w:val="clear" w:color="auto" w:fill="auto"/>
            <w:vAlign w:val="center"/>
          </w:tcPr>
          <w:p w14:paraId="55DB64D8">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15</w:t>
            </w:r>
          </w:p>
        </w:tc>
        <w:tc>
          <w:tcPr>
            <w:tcW w:w="8818" w:type="dxa"/>
            <w:shd w:val="clear" w:color="auto" w:fill="auto"/>
            <w:vAlign w:val="center"/>
          </w:tcPr>
          <w:p w14:paraId="47CB43FA">
            <w:pPr>
              <w:widowControl/>
              <w:jc w:val="left"/>
              <w:rPr>
                <w:rFonts w:ascii="仿宋_GB2312" w:hAnsi="仿宋_GB2312" w:eastAsia="仿宋_GB2312" w:cs="仿宋_GB2312"/>
                <w:b/>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报送或接收工程履约相关的工作联系函</w:t>
            </w:r>
          </w:p>
        </w:tc>
      </w:tr>
      <w:bookmarkEnd w:id="52"/>
    </w:tbl>
    <w:p w14:paraId="424B77D6">
      <w:pPr>
        <w:numPr>
          <w:ilvl w:val="0"/>
          <w:numId w:val="8"/>
        </w:numPr>
        <w:autoSpaceDE w:val="0"/>
        <w:autoSpaceDN w:val="0"/>
        <w:adjustRightIn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bookmarkStart w:id="53" w:name="_Hlk126826460"/>
      <w:r>
        <w:rPr>
          <w:rFonts w:hint="eastAsia" w:ascii="仿宋_GB2312" w:hAnsi="仿宋_GB2312" w:eastAsia="仿宋_GB2312" w:cs="仿宋_GB2312"/>
          <w:color w:val="000000" w:themeColor="text1"/>
          <w:sz w:val="24"/>
          <w:szCs w:val="24"/>
          <w:highlight w:val="none"/>
          <w14:textFill>
            <w14:solidFill>
              <w14:schemeClr w14:val="tx1"/>
            </w14:solidFill>
          </w14:textFill>
        </w:rPr>
        <w:t>项目部无权审批以下事项：</w:t>
      </w:r>
    </w:p>
    <w:bookmarkEnd w:id="53"/>
    <w:tbl>
      <w:tblPr>
        <w:tblStyle w:val="13"/>
        <w:tblW w:w="9542" w:type="dxa"/>
        <w:jc w:val="center"/>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3"/>
        <w:gridCol w:w="8809"/>
      </w:tblGrid>
      <w:tr w14:paraId="2B27BE96">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510" w:hRule="exact"/>
          <w:jc w:val="center"/>
        </w:trPr>
        <w:tc>
          <w:tcPr>
            <w:tcW w:w="733" w:type="dxa"/>
            <w:tcBorders>
              <w:top w:val="single" w:color="auto" w:sz="4" w:space="0"/>
              <w:left w:val="single" w:color="auto" w:sz="4" w:space="0"/>
              <w:bottom w:val="single" w:color="auto" w:sz="4" w:space="0"/>
              <w:right w:val="single" w:color="auto" w:sz="4" w:space="0"/>
            </w:tcBorders>
            <w:vAlign w:val="center"/>
          </w:tcPr>
          <w:p w14:paraId="4ECBB99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bookmarkStart w:id="54" w:name="_Hlk127195047"/>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序号</w:t>
            </w:r>
          </w:p>
        </w:tc>
        <w:tc>
          <w:tcPr>
            <w:tcW w:w="8809" w:type="dxa"/>
            <w:tcBorders>
              <w:top w:val="single" w:color="auto" w:sz="4" w:space="0"/>
              <w:left w:val="single" w:color="auto" w:sz="4" w:space="0"/>
              <w:bottom w:val="single" w:color="auto" w:sz="4" w:space="0"/>
              <w:right w:val="single" w:color="auto" w:sz="4" w:space="0"/>
            </w:tcBorders>
            <w:vAlign w:val="center"/>
          </w:tcPr>
          <w:p w14:paraId="3FAD5F0C">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zh-CN"/>
                <w14:textFill>
                  <w14:solidFill>
                    <w14:schemeClr w14:val="tx1"/>
                  </w14:solidFill>
                </w14:textFill>
              </w:rPr>
              <w:t>禁止性事项</w:t>
            </w:r>
          </w:p>
        </w:tc>
      </w:tr>
      <w:tr w14:paraId="3F7E124E">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78F3B8A6">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1</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64563CBE">
            <w:pPr>
              <w:widowControl/>
              <w:jc w:val="left"/>
              <w:rPr>
                <w:rFonts w:ascii="仿宋_GB2312" w:hAnsi="仿宋_GB2312" w:eastAsia="仿宋_GB2312" w:cs="仿宋_GB2312"/>
                <w:b/>
                <w:bCs/>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进行银行贷款等融资活动</w:t>
            </w:r>
          </w:p>
        </w:tc>
      </w:tr>
      <w:tr w14:paraId="7166B5E6">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42C00B1C">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2</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484310F6">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对外提供担保</w:t>
            </w:r>
          </w:p>
        </w:tc>
      </w:tr>
      <w:tr w14:paraId="01198AED">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640E76ED">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3</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5034DC21">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对外开立各类保函</w:t>
            </w:r>
          </w:p>
        </w:tc>
      </w:tr>
      <w:tr w14:paraId="37A98031">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123823D6">
            <w:pPr>
              <w:tabs>
                <w:tab w:val="left" w:pos="534"/>
              </w:tabs>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4</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4D43A0F0">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对外拆借资金</w:t>
            </w:r>
          </w:p>
        </w:tc>
      </w:tr>
      <w:tr w14:paraId="529DAAE1">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5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14:paraId="15F773BE">
            <w:pPr>
              <w:autoSpaceDE w:val="0"/>
              <w:autoSpaceDN w:val="0"/>
              <w:adjustRightInd w:val="0"/>
              <w:spacing w:line="400" w:lineRule="exact"/>
              <w:jc w:val="center"/>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5</w:t>
            </w:r>
          </w:p>
        </w:tc>
        <w:tc>
          <w:tcPr>
            <w:tcW w:w="8809" w:type="dxa"/>
            <w:tcBorders>
              <w:top w:val="single" w:color="auto" w:sz="4" w:space="0"/>
              <w:left w:val="single" w:color="auto" w:sz="4" w:space="0"/>
              <w:bottom w:val="single" w:color="auto" w:sz="4" w:space="0"/>
              <w:right w:val="single" w:color="auto" w:sz="4" w:space="0"/>
            </w:tcBorders>
            <w:shd w:val="clear" w:color="auto" w:fill="auto"/>
            <w:vAlign w:val="center"/>
          </w:tcPr>
          <w:p w14:paraId="7A258B6C">
            <w:pPr>
              <w:widowControl/>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设立或变更劳动关系（包括签订劳动合同、确认劳动关系等）</w:t>
            </w:r>
          </w:p>
        </w:tc>
      </w:tr>
      <w:bookmarkEnd w:id="54"/>
    </w:tbl>
    <w:p w14:paraId="4C6004FC">
      <w:pPr>
        <w:numPr>
          <w:ilvl w:val="0"/>
          <w:numId w:val="9"/>
        </w:num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若项目经理发生变更，则由新委任的项目经理承继。</w:t>
      </w:r>
    </w:p>
    <w:p w14:paraId="286DDDB8">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70466F62">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p>
    <w:p w14:paraId="159A3631">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70079C92">
      <w:pPr>
        <w:autoSpaceDE w:val="0"/>
        <w:autoSpaceDN w:val="0"/>
        <w:adjustRightInd w:val="0"/>
        <w:spacing w:line="400" w:lineRule="exact"/>
        <w:ind w:firstLine="5040" w:firstLineChars="21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授权单位（盖章）：</w:t>
      </w:r>
    </w:p>
    <w:p w14:paraId="313C1F8E">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14:paraId="002F3F37">
      <w:pPr>
        <w:autoSpaceDE w:val="0"/>
        <w:autoSpaceDN w:val="0"/>
        <w:adjustRightInd w:val="0"/>
        <w:spacing w:line="400" w:lineRule="atLeast"/>
        <w:ind w:firstLine="480" w:firstLineChars="200"/>
        <w:rPr>
          <w:rFonts w:hint="eastAsia"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或</w:t>
      </w:r>
    </w:p>
    <w:p w14:paraId="1C8A581E">
      <w:pPr>
        <w:autoSpaceDE w:val="0"/>
        <w:autoSpaceDN w:val="0"/>
        <w:adjustRightInd w:val="0"/>
        <w:spacing w:line="400" w:lineRule="atLeast"/>
        <w:ind w:firstLine="5760" w:firstLineChars="24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r>
        <w:rPr>
          <w:rFonts w:hint="eastAsia" w:ascii="仿宋_GB2312" w:hAnsi="仿宋_GB2312" w:eastAsia="仿宋_GB2312" w:cs="仿宋_GB2312"/>
          <w:bCs/>
          <w:color w:val="000000" w:themeColor="text1"/>
          <w:sz w:val="24"/>
          <w:szCs w:val="24"/>
          <w:highlight w:val="none"/>
          <w14:textFill>
            <w14:solidFill>
              <w14:schemeClr w14:val="tx1"/>
            </w14:solidFill>
          </w14:textFill>
        </w:rPr>
        <w:t xml:space="preserve">           </w:t>
      </w:r>
    </w:p>
    <w:p w14:paraId="6EA0EFE2">
      <w:pPr>
        <w:autoSpaceDE w:val="0"/>
        <w:autoSpaceDN w:val="0"/>
        <w:adjustRightInd w:val="0"/>
        <w:spacing w:line="400" w:lineRule="exact"/>
        <w:rPr>
          <w:rFonts w:ascii="仿宋_GB2312" w:hAnsi="仿宋_GB2312" w:eastAsia="仿宋_GB2312" w:cs="仿宋_GB2312"/>
          <w:color w:val="000000" w:themeColor="text1"/>
          <w:sz w:val="24"/>
          <w:szCs w:val="24"/>
          <w:highlight w:val="none"/>
          <w:lang w:val="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14:paraId="58C9D481">
      <w:pPr>
        <w:autoSpaceDE w:val="0"/>
        <w:autoSpaceDN w:val="0"/>
        <w:adjustRightInd w:val="0"/>
        <w:spacing w:line="400" w:lineRule="exact"/>
        <w:ind w:firstLine="48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确认：我司已完全理解并清楚贵司对</w:t>
      </w:r>
      <w:bookmarkStart w:id="55" w:name="_Hlk48924799"/>
      <w:r>
        <w:rPr>
          <w:rFonts w:hint="eastAsia" w:ascii="仿宋_GB2312" w:hAnsi="仿宋_GB2312" w:eastAsia="仿宋_GB2312" w:cs="仿宋_GB2312"/>
          <w:color w:val="000000" w:themeColor="text1"/>
          <w:sz w:val="24"/>
          <w:szCs w:val="24"/>
          <w:highlight w:val="none"/>
          <w14:textFill>
            <w14:solidFill>
              <w14:schemeClr w14:val="tx1"/>
            </w14:solidFill>
          </w14:textFill>
        </w:rPr>
        <w:t>项目部及项目经理的授权范围，并严格遵照执行。</w:t>
      </w:r>
      <w:bookmarkEnd w:id="55"/>
      <w:r>
        <w:rPr>
          <w:rFonts w:hint="eastAsia" w:ascii="仿宋_GB2312" w:hAnsi="仿宋_GB2312" w:eastAsia="仿宋_GB2312" w:cs="仿宋_GB2312"/>
          <w:color w:val="000000" w:themeColor="text1"/>
          <w:sz w:val="24"/>
          <w:szCs w:val="24"/>
          <w:highlight w:val="none"/>
          <w14:textFill>
            <w14:solidFill>
              <w14:schemeClr w14:val="tx1"/>
            </w14:solidFill>
          </w14:textFill>
        </w:rPr>
        <w:t>超出</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授权范围的行为属于无权代理行为，对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无效，</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不承担任何法律责任。</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我</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司将</w:t>
      </w:r>
      <w:r>
        <w:rPr>
          <w:rFonts w:hint="eastAsia" w:ascii="仿宋_GB2312" w:hAnsi="仿宋_GB2312" w:eastAsia="仿宋_GB2312" w:cs="仿宋_GB2312"/>
          <w:color w:val="000000" w:themeColor="text1"/>
          <w:sz w:val="24"/>
          <w:szCs w:val="24"/>
          <w:highlight w:val="none"/>
          <w14:textFill>
            <w14:solidFill>
              <w14:schemeClr w14:val="tx1"/>
            </w14:solidFill>
          </w14:textFill>
        </w:rPr>
        <w:t>谨慎审查相关文件的签署主体资格和权限，对于无权代理人签署的相关文件，应及时与</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贵司</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核实。      </w:t>
      </w:r>
    </w:p>
    <w:p w14:paraId="0A5B8800">
      <w:pPr>
        <w:spacing w:line="400" w:lineRule="exact"/>
        <w:ind w:right="210" w:right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乙方（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盖</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章）：           </w:t>
      </w:r>
    </w:p>
    <w:p w14:paraId="4DBACEC4">
      <w:pPr>
        <w:autoSpaceDE w:val="0"/>
        <w:autoSpaceDN w:val="0"/>
        <w:adjustRightInd w:val="0"/>
        <w:spacing w:line="400" w:lineRule="atLeast"/>
        <w:ind w:firstLine="1680" w:firstLineChars="7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法定代表人：</w:t>
      </w:r>
    </w:p>
    <w:p w14:paraId="68D29E11">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112173CA">
      <w:pPr>
        <w:autoSpaceDE w:val="0"/>
        <w:autoSpaceDN w:val="0"/>
        <w:adjustRightInd w:val="0"/>
        <w:spacing w:line="400" w:lineRule="atLeast"/>
        <w:ind w:firstLine="1920" w:firstLineChars="8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7F0AA4A7">
      <w:pPr>
        <w:autoSpaceDE w:val="0"/>
        <w:autoSpaceDN w:val="0"/>
        <w:adjustRightInd w:val="0"/>
        <w:spacing w:line="400" w:lineRule="exact"/>
        <w:ind w:firstLine="48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签署日期：</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年</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月</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zh-CN"/>
          <w14:textFill>
            <w14:solidFill>
              <w14:schemeClr w14:val="tx1"/>
            </w14:solidFill>
          </w14:textFill>
        </w:rPr>
        <w:t>日</w:t>
      </w:r>
    </w:p>
    <w:p w14:paraId="757B6801">
      <w:pPr>
        <w:spacing w:line="400" w:lineRule="exact"/>
        <w:ind w:right="210" w:rightChars="100"/>
        <w:outlineLvl w:val="0"/>
        <w:rPr>
          <w:rFonts w:hint="eastAsia" w:ascii="仿宋_GB2312" w:hAnsi="仿宋_GB2312" w:eastAsia="仿宋_GB2312" w:cs="仿宋_GB2312"/>
          <w:color w:val="000000" w:themeColor="text1"/>
          <w:sz w:val="30"/>
          <w:szCs w:val="30"/>
          <w:highlight w:val="none"/>
          <w14:textFill>
            <w14:solidFill>
              <w14:schemeClr w14:val="tx1"/>
            </w14:solidFill>
          </w14:textFill>
        </w:rPr>
        <w:sectPr>
          <w:footerReference r:id="rId11" w:type="default"/>
          <w:pgSz w:w="11906" w:h="16838"/>
          <w:pgMar w:top="1440" w:right="1800" w:bottom="1440" w:left="1800" w:header="850" w:footer="975" w:gutter="0"/>
          <w:cols w:space="0" w:num="1"/>
          <w:docGrid w:linePitch="312" w:charSpace="0"/>
        </w:sectPr>
      </w:pPr>
      <w:bookmarkStart w:id="56" w:name="_Toc26388"/>
    </w:p>
    <w:p w14:paraId="0C420F3B">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附件三：</w:t>
      </w:r>
      <w:bookmarkEnd w:id="56"/>
    </w:p>
    <w:p w14:paraId="4B4AFBB2">
      <w:pPr>
        <w:spacing w:line="400" w:lineRule="exact"/>
        <w:jc w:val="center"/>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安全管理协议书</w:t>
      </w:r>
    </w:p>
    <w:p w14:paraId="40ADC19A">
      <w:pPr>
        <w:wordWrap w:val="0"/>
        <w:spacing w:line="400" w:lineRule="exact"/>
        <w:jc w:val="righ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788D87C2">
      <w:pPr>
        <w:spacing w:line="400" w:lineRule="exact"/>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甲方：</w:t>
      </w:r>
      <w:permStart w:id="102" w:edGrp="everyone"/>
      <w:bookmarkStart w:id="57" w:name="_Hlk126826529"/>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集团</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雄安发展</w:t>
      </w:r>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有限公司</w:t>
      </w:r>
      <w:bookmarkEnd w:id="57"/>
      <w:permEnd w:id="102"/>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14:textFill>
            <w14:solidFill>
              <w14:schemeClr w14:val="tx1"/>
            </w14:solidFill>
          </w14:textFill>
        </w:rPr>
        <w:t xml:space="preserve"> </w:t>
      </w:r>
    </w:p>
    <w:p w14:paraId="609E4025">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permStart w:id="103" w:edGrp="everyone"/>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permEnd w:id="103"/>
      <w:r>
        <w:rPr>
          <w:rFonts w:hint="eastAsia" w:ascii="仿宋_GB2312" w:hAnsi="仿宋_GB2312" w:eastAsia="仿宋_GB2312" w:cs="仿宋_GB2312"/>
          <w:b/>
          <w:color w:val="000000" w:themeColor="text1"/>
          <w:sz w:val="24"/>
          <w:szCs w:val="24"/>
          <w:highlight w:val="none"/>
          <w:u w:val="single"/>
          <w14:textFill>
            <w14:solidFill>
              <w14:schemeClr w14:val="tx1"/>
            </w14:solidFill>
          </w14:textFill>
        </w:rPr>
        <w:t xml:space="preserve"> </w:t>
      </w:r>
    </w:p>
    <w:p w14:paraId="6260A0BF">
      <w:pPr>
        <w:pStyle w:val="9"/>
        <w:tabs>
          <w:tab w:val="left" w:pos="2100"/>
        </w:tabs>
        <w:spacing w:line="400" w:lineRule="exact"/>
        <w:ind w:right="210" w:rightChars="100" w:firstLine="432"/>
        <w:rPr>
          <w:rFonts w:hAnsi="仿宋_GB2312" w:cs="仿宋_GB2312"/>
          <w:color w:val="000000" w:themeColor="text1"/>
          <w:sz w:val="24"/>
          <w:highlight w:val="none"/>
          <w14:textFill>
            <w14:solidFill>
              <w14:schemeClr w14:val="tx1"/>
            </w14:solidFill>
          </w14:textFill>
        </w:rPr>
      </w:pPr>
      <w:r>
        <w:rPr>
          <w:rFonts w:hint="eastAsia" w:hAnsi="仿宋_GB2312" w:cs="仿宋_GB2312"/>
          <w:color w:val="000000" w:themeColor="text1"/>
          <w:sz w:val="24"/>
          <w:highlight w:val="none"/>
          <w14:textFill>
            <w14:solidFill>
              <w14:schemeClr w14:val="tx1"/>
            </w14:solidFill>
          </w14:textFill>
        </w:rPr>
        <w:t xml:space="preserve">根据《中华人民共和国民法典》、《安全生产法》及有关法律规定，遵循平等、自愿、公平和诚实信用的原则，双方就合同范围内且在项目部施工现场范围内安全事项协商一致，订立本合同并共同遵守。 </w:t>
      </w:r>
    </w:p>
    <w:p w14:paraId="6DEC0110">
      <w:pPr>
        <w:snapToGrid w:val="0"/>
        <w:spacing w:line="400" w:lineRule="exact"/>
        <w:ind w:firstLine="555"/>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第一条 共同约定  </w:t>
      </w:r>
    </w:p>
    <w:p w14:paraId="08373397">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双方应共同遵守《安全生产法》、《中华人民共和国建筑法》、《建设工程安全生产管理条例》、《房屋建筑和市政基础设施工程分包管理办法》《安全生产许可证条例》等一系列有关安全生产的法律法规，严格执行建设部标准</w:t>
      </w:r>
      <w:permStart w:id="104"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JGJ59—2011《建筑安全施工检查标准》</w:t>
      </w:r>
      <w:permEnd w:id="104"/>
      <w:r>
        <w:rPr>
          <w:rFonts w:hint="eastAsia" w:ascii="仿宋_GB2312" w:hAnsi="仿宋_GB2312" w:eastAsia="仿宋_GB2312" w:cs="仿宋_GB2312"/>
          <w:color w:val="000000" w:themeColor="text1"/>
          <w:sz w:val="24"/>
          <w:szCs w:val="24"/>
          <w:highlight w:val="none"/>
          <w14:textFill>
            <w14:solidFill>
              <w14:schemeClr w14:val="tx1"/>
            </w14:solidFill>
          </w14:textFill>
        </w:rPr>
        <w:t>等一系列标准规程及</w:t>
      </w:r>
      <w:permStart w:id="105" w:edGrp="everyone"/>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本溪</w:t>
      </w:r>
      <w:permEnd w:id="105"/>
      <w:r>
        <w:rPr>
          <w:rFonts w:hint="eastAsia" w:ascii="仿宋_GB2312" w:hAnsi="仿宋_GB2312" w:eastAsia="仿宋_GB2312" w:cs="仿宋_GB2312"/>
          <w:color w:val="000000" w:themeColor="text1"/>
          <w:sz w:val="24"/>
          <w:szCs w:val="24"/>
          <w:highlight w:val="none"/>
          <w14:textFill>
            <w14:solidFill>
              <w14:schemeClr w14:val="tx1"/>
            </w14:solidFill>
          </w14:textFill>
        </w:rPr>
        <w:t>市有关安全生产的规章制度。</w:t>
      </w:r>
    </w:p>
    <w:p w14:paraId="54392D16">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2、双方应共同遵守</w:t>
      </w:r>
      <w:permStart w:id="106" w:edGrp="everyone"/>
      <w:r>
        <w:rPr>
          <w:rFonts w:hint="eastAsia" w:ascii="仿宋_GB2312" w:hAnsi="仿宋_GB2312" w:eastAsia="仿宋_GB2312" w:cs="仿宋_GB2312"/>
          <w:color w:val="000000" w:themeColor="text1"/>
          <w:sz w:val="24"/>
          <w:szCs w:val="24"/>
          <w:highlight w:val="none"/>
          <w:u w:val="single"/>
          <w14:textFill>
            <w14:solidFill>
              <w14:schemeClr w14:val="tx1"/>
            </w14:solidFill>
          </w14:textFill>
        </w:rPr>
        <w:t>中建总公司、中建交通</w:t>
      </w:r>
      <w:r>
        <w:rPr>
          <w:rFonts w:hint="eastAsia" w:ascii="仿宋_GB2312" w:hAnsi="仿宋_GB2312" w:eastAsia="仿宋_GB2312" w:cs="仿宋_GB2312"/>
          <w:color w:val="000000" w:themeColor="text1"/>
          <w:sz w:val="24"/>
          <w:szCs w:val="24"/>
          <w:highlight w:val="none"/>
          <w:u w:val="singl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u w:val="single"/>
          <w:lang w:val="en-US" w:eastAsia="zh-CN"/>
          <w14:textFill>
            <w14:solidFill>
              <w14:schemeClr w14:val="tx1"/>
            </w14:solidFill>
          </w14:textFill>
        </w:rPr>
        <w:t>中建路桥</w:t>
      </w:r>
      <w:permEnd w:id="106"/>
      <w:r>
        <w:rPr>
          <w:rFonts w:hint="eastAsia" w:ascii="仿宋_GB2312" w:hAnsi="仿宋_GB2312" w:eastAsia="仿宋_GB2312" w:cs="仿宋_GB2312"/>
          <w:color w:val="000000" w:themeColor="text1"/>
          <w:sz w:val="24"/>
          <w:szCs w:val="24"/>
          <w:highlight w:val="none"/>
          <w14:textFill>
            <w14:solidFill>
              <w14:schemeClr w14:val="tx1"/>
            </w14:solidFill>
          </w14:textFill>
        </w:rPr>
        <w:t>等系列安全生产规章制度。贯彻执行项目职业健康安全和环境管理体系的各项要求。</w:t>
      </w:r>
    </w:p>
    <w:p w14:paraId="1A066BF2">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3、安全文明施工管理目标、指标：以项目部总包单位制定的为准。</w:t>
      </w:r>
    </w:p>
    <w:p w14:paraId="5110F803">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4、在甲方施工区域以外场所安全工作及发生的不良后果由乙方自行承担。</w:t>
      </w:r>
    </w:p>
    <w:p w14:paraId="7C14FB92">
      <w:pPr>
        <w:pStyle w:val="16"/>
        <w:spacing w:line="400" w:lineRule="exact"/>
        <w:ind w:firstLine="482" w:firstLineChars="200"/>
        <w:rPr>
          <w:rFonts w:ascii="仿宋_GB2312" w:hAnsi="仿宋_GB2312" w:eastAsia="仿宋_GB2312" w:cs="仿宋_GB2312"/>
          <w:b/>
          <w:bCs/>
          <w:color w:val="000000" w:themeColor="text1"/>
          <w:kern w:val="2"/>
          <w:highlight w:val="none"/>
          <w14:textFill>
            <w14:solidFill>
              <w14:schemeClr w14:val="tx1"/>
            </w14:solidFill>
          </w14:textFill>
        </w:rPr>
      </w:pPr>
      <w:r>
        <w:rPr>
          <w:rFonts w:hint="eastAsia" w:ascii="仿宋_GB2312" w:hAnsi="仿宋_GB2312" w:eastAsia="仿宋_GB2312" w:cs="仿宋_GB2312"/>
          <w:b/>
          <w:bCs/>
          <w:color w:val="000000" w:themeColor="text1"/>
          <w:kern w:val="2"/>
          <w:highlight w:val="none"/>
          <w14:textFill>
            <w14:solidFill>
              <w14:schemeClr w14:val="tx1"/>
            </w14:solidFill>
          </w14:textFill>
        </w:rPr>
        <w:t>第二条 环境与职业健康安全</w:t>
      </w:r>
    </w:p>
    <w:p w14:paraId="7B99CAAE">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1、乙方车辆及材料在运输途中及到达甲方现场后应遵守国家和地方现行的有关环境保护、职业健康安全的法律、法规和其他要求。</w:t>
      </w:r>
    </w:p>
    <w:p w14:paraId="69642308">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2、乙方需遵守《道路交通安全法》，应当给负责运送货物的车辆办理交强险及商业保险，否则发生的人员伤亡事故或货物毁损由责任方承担，与甲方无关。</w:t>
      </w:r>
    </w:p>
    <w:p w14:paraId="4DE40B87">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货物到达指定堆场或仓库等甲方指定地点，装卸、运输过程中的人员、机械、车辆安全，应按国家及地方规定办理相关手续。如因运载车辆事故、卸货等原因导致的乙方及任何第三方的人身伤害及经济损失均由乙方负责，并补偿甲方及其他方因此造成的损失。</w:t>
      </w:r>
    </w:p>
    <w:p w14:paraId="7D28C13A">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4、乙方到施工现场的人员必须佩戴安全帽，穿戴整洁，严禁吸烟和大声喧哗，遵守需方项目的规章制度，否则将按需方有关制度处罚。</w:t>
      </w:r>
    </w:p>
    <w:p w14:paraId="01B11F0C">
      <w:pPr>
        <w:snapToGrid w:val="0"/>
        <w:spacing w:line="400" w:lineRule="exact"/>
        <w:ind w:firstLine="55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5、由于非甲方的任何第三方原因导致乙方人员伤亡及财产损害均由乙方承担相应损失。</w:t>
      </w:r>
    </w:p>
    <w:p w14:paraId="195121DF">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第三条 甲方的安全责任、权利和义务  </w:t>
      </w:r>
    </w:p>
    <w:p w14:paraId="36A76DF7">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1、甲方在现场履行管理、监督职责，认真履行第一条共同约定的内容，对乙方在进入总包施工现场的施工安全进行监督、指导、检查。 </w:t>
      </w:r>
    </w:p>
    <w:p w14:paraId="1B3FED5F">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2、对乙方安排生产、运输任务的同时，对按照规定程序审批的施工组织设计进行书面安全技术交底，并办理交底双方签字手续（如有）。 </w:t>
      </w:r>
    </w:p>
    <w:p w14:paraId="685D75A3">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3、在合同中约定由甲方向使用单位提供的安全防护设施，应完整齐全，并且符合安全要求，并整改乙方提出的不安全问题。</w:t>
      </w:r>
    </w:p>
    <w:p w14:paraId="65742556">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有权制止乙方的违章作业，对重大违章行为有权责令其停工整顿；对于乙方的违章行为，甲方有进行安全违约处罚的权利；因乙方责任造成防护设施、防护用品等损坏、改变或遗失，或者环境破坏，可要求乙方赔偿或恢复。 </w:t>
      </w:r>
    </w:p>
    <w:p w14:paraId="08B3F590">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5、对安全素质差、不服从安全生产管理的人员责令其限期退场，造成的工期损失、经济损失由乙方承担。对不执行规章制度的人员，可视情节轻重，按照项目奖罚制度进行安全违约处罚。</w:t>
      </w:r>
    </w:p>
    <w:p w14:paraId="6B718BE3">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6、对达不到规定的安全生产条件、存在重大安全隐患或发生安全事故，可要求乙方限期退场，或者中止合同，造成项目工期损失、经济损失由乙方承担。</w:t>
      </w:r>
    </w:p>
    <w:p w14:paraId="659BE9ED">
      <w:pPr>
        <w:snapToGrid w:val="0"/>
        <w:spacing w:line="400" w:lineRule="exact"/>
        <w:ind w:firstLine="555"/>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7、按照规定要求对乙方自有的材料和自带（含租赁）施工机具、起重 吊装设备、运输车辆等进行安全生产监督检查，有权拒绝乙方不合格产品进场（已进场的限期退场）。</w:t>
      </w:r>
    </w:p>
    <w:p w14:paraId="7742385B">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14:textFill>
            <w14:solidFill>
              <w14:schemeClr w14:val="tx1"/>
            </w14:solidFill>
          </w14:textFill>
        </w:rPr>
        <w:t>与安全生产关系直接的大型设备、特种设备、安全设施设备、防护用品进场时，项目安全生产监督管理部门应参与验收，验收合格签字后方可进场。</w:t>
      </w:r>
    </w:p>
    <w:p w14:paraId="43D31FC5">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第四条 乙方的安全责任、权利和义务  </w:t>
      </w:r>
    </w:p>
    <w:p w14:paraId="1CB43D3E">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1、乙方应认真履行第一条共同约定的内容，接受甲方的监督、检查工作。</w:t>
      </w:r>
    </w:p>
    <w:p w14:paraId="3F878FA5">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2、乙方应具备所供货物的运输资质或证照，不得跨资质承运相应货物。若乙方委托第三方单位承运相应货物，不解除乙方应承担本合同项下的义务和责任。</w:t>
      </w:r>
    </w:p>
    <w:p w14:paraId="255C4F68">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乙方运输前对货物性质、形状充分认识并制定相应运输措施，必要情况下准备运输防护用品及货物运输应急用品。如有特定需求运输超大、超重、异形等道路通行规定以外的货物，应按照设计文件提示等采用特定的运输方式并制定安全防范措施。</w:t>
      </w:r>
    </w:p>
    <w:p w14:paraId="3D055505">
      <w:pPr>
        <w:snapToGrid w:val="0"/>
        <w:spacing w:line="400" w:lineRule="exact"/>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负责本单位特种作业人员、运输车辆司机、起重吊装作业司机指挥等人的培训、考核和取证，必须做到进入施工现场的人员持证上岗。进入施工现场作业要有专人在现场履行管理职责，并对未认真履行职责的后果负责。</w:t>
      </w:r>
    </w:p>
    <w:p w14:paraId="66653C9C">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5、对本单位员工进行安全三级教育，进行安全技术交底，交底报甲方备案。保证进场人员符合相关要求，身体情况能适应本行业工作，熟悉现场一般安全规定及本工种安全操作规程，并进行进场岗前教育，未经过培训教育的工人不得安排进行现场工作；</w:t>
      </w:r>
    </w:p>
    <w:p w14:paraId="65368045">
      <w:pPr>
        <w:snapToGrid w:val="0"/>
        <w:spacing w:line="400" w:lineRule="exact"/>
        <w:ind w:firstLine="453"/>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6、不得违章指挥，或强令工人冒险作业，也不能强迫工人连续长时间作业，更不能进入指定禁区及非本工作作业区域。不得私自翻越防护，攀爬架体、私自接电等违章作业行为，不得在高处危险作业和各种提升机械的垂直下方穿行或停留（如：吊篮、电梯笼）。 </w:t>
      </w:r>
    </w:p>
    <w:p w14:paraId="09B510FE">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7、对甲方所提供的安全设施不能保证安全施工时，应及时提出，也可拒绝施工；在施工中不得未经甲方现场负责人同意私自拆除安全防护设施。 </w:t>
      </w:r>
    </w:p>
    <w:p w14:paraId="0E92DD06">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8、乙方自备的设备及工具必须保证环保、性能良好、各安全装置齐全灵敏有效。进工地前必须报项目监督试机，验收并填写验收表，达不到环保和</w:t>
      </w:r>
      <w:permStart w:id="107" w:edGrp="everyone"/>
      <w:r>
        <w:rPr>
          <w:rFonts w:hint="eastAsia" w:ascii="仿宋_GB2312" w:hAnsi="仿宋_GB2312" w:eastAsia="仿宋_GB2312" w:cs="仿宋_GB2312"/>
          <w:color w:val="000000" w:themeColor="text1"/>
          <w:sz w:val="24"/>
          <w:szCs w:val="24"/>
          <w:highlight w:val="none"/>
          <w14:textFill>
            <w14:solidFill>
              <w14:schemeClr w14:val="tx1"/>
            </w14:solidFill>
          </w14:textFill>
        </w:rPr>
        <w:t>《JGJ59—2011》标准</w:t>
      </w:r>
      <w:permEnd w:id="107"/>
      <w:r>
        <w:rPr>
          <w:rFonts w:hint="eastAsia" w:ascii="仿宋_GB2312" w:hAnsi="仿宋_GB2312" w:eastAsia="仿宋_GB2312" w:cs="仿宋_GB2312"/>
          <w:color w:val="000000" w:themeColor="text1"/>
          <w:sz w:val="24"/>
          <w:szCs w:val="24"/>
          <w:highlight w:val="none"/>
          <w14:textFill>
            <w14:solidFill>
              <w14:schemeClr w14:val="tx1"/>
            </w14:solidFill>
          </w14:textFill>
        </w:rPr>
        <w:t>的设备及工具严禁在工地使用。</w:t>
      </w:r>
    </w:p>
    <w:p w14:paraId="162372B7">
      <w:pPr>
        <w:spacing w:line="400" w:lineRule="exact"/>
        <w:ind w:firstLine="480" w:firstLineChars="200"/>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9、乙方自带设备或工具必须相匹配的质量合格的电缆线，并自备符合当地主管部门要求的末级标准配电箱。</w:t>
      </w:r>
    </w:p>
    <w:p w14:paraId="32F522BF">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10、必须按规定提取和使用安全技术措施经费，为作业人员提供符合国家标准或行业标准的劳动防护用品，并督促、教育作业人员按照使用规则佩戴、使用。 </w:t>
      </w:r>
    </w:p>
    <w:p w14:paraId="5B301C9E">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11、对甲方人员违章指挥或者可能危及人身安全、财产损失的指挥，乙方有权拒绝。 </w:t>
      </w:r>
    </w:p>
    <w:p w14:paraId="2D72B2CC">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12、不得进行违反安全法律和其他、安全生产规章制度的行为。</w:t>
      </w:r>
    </w:p>
    <w:p w14:paraId="50A21E0F">
      <w:pPr>
        <w:snapToGrid w:val="0"/>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13、乙方对供应的材料在甲方施工场地外运输过程发生的安全事故承担全部责任，不得向甲方提出索赔要求。</w:t>
      </w:r>
    </w:p>
    <w:p w14:paraId="0A9BED1C">
      <w:pPr>
        <w:spacing w:line="400" w:lineRule="exact"/>
        <w:jc w:val="left"/>
        <w:rPr>
          <w:rFonts w:ascii="仿宋_GB2312" w:hAnsi="仿宋_GB2312" w:eastAsia="仿宋_GB2312" w:cs="仿宋_GB2312"/>
          <w:color w:val="000000" w:themeColor="text1"/>
          <w:sz w:val="24"/>
          <w:szCs w:val="24"/>
          <w:highlight w:val="none"/>
          <w:shd w:val="clear" w:color="auto" w:fill="FF0000"/>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14、乙方对因自身原因发生的安全事故承担全部责任。由于乙方原因而引发的被当地有关部门处罚的各类事件，乙方承担相应罚款、工期损失及经济损失；</w:t>
      </w:r>
    </w:p>
    <w:p w14:paraId="02AB00C3">
      <w:pPr>
        <w:spacing w:line="400" w:lineRule="exact"/>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15、在施工现场发生事故时，应积极抢救伤员，保护事故现场，防止事故扩大，按甲方要求提供事故有关资料，并配合调查。</w:t>
      </w:r>
    </w:p>
    <w:p w14:paraId="4CCCEB11">
      <w:pPr>
        <w:spacing w:line="400" w:lineRule="exact"/>
        <w:jc w:val="left"/>
        <w:rPr>
          <w:rFonts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 xml:space="preserve">    第五条 事故处理 </w:t>
      </w:r>
    </w:p>
    <w:p w14:paraId="55F8E509">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若发生事故应立即启动事故应急预案，采取有效措施组织抢救，防止事故扩大，减少人员伤亡和财产损失，同时应按《生产安全事故报告和调查处理条例》(493号令)的规定进行事故处理及上报。乙方应及时将事故情况向甲方上报，不得迟报、漏报、谎报或瞒报。</w:t>
      </w:r>
    </w:p>
    <w:p w14:paraId="31B6E698">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2、在施工现场内发生重伤或死亡事故，由甲方主管部门牵头，乙方为主，甲乙双方共同参加，按照规定报告有关部门进行调查，查清事故原因，分清事故责任，提出对事故责任者的处理意见。 </w:t>
      </w:r>
    </w:p>
    <w:p w14:paraId="5A6A9C08">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3、由于没有认真履行安全责任，造成重大伤亡事故，情节严重的主要直接责任者，已触及国家刑律，应提请有关部门进行调查处理。 </w:t>
      </w:r>
    </w:p>
    <w:p w14:paraId="07702959">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4、对不认真履行本合同，违章指挥、违章作业、冒险进入施工禁区及损坏安全防护设施、不按规定进行安全技术交底及组织施工，造成伤亡事故的，应由事故责任方承担罚款及一切经济损失和责任。 </w:t>
      </w:r>
    </w:p>
    <w:p w14:paraId="17FFA277">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5、由于甲方主要责任造成的伤亡事故，乙方有权要求甲方进行经济赔偿。由于乙方主要责任造成的伤亡事故，甲方有权要求乙方承担违约责任。</w:t>
      </w:r>
    </w:p>
    <w:p w14:paraId="180EB06B">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6、由于第三方责任导致乙方人员伤亡，及由于乙方责任导致第三方人员伤亡，由乙方负责并处理。</w:t>
      </w:r>
    </w:p>
    <w:p w14:paraId="30BC1354">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对乙方因自身原因发生的安全事故，如因工人自身误操作、违章作业、冒险进入施工禁区、损坏安全设施、乙方不按规定对工人进行安全交底、班前活动等等，所造成的或主要责任在乙方的伤害事故，所发生的一切责任及费用由乙方承担。</w:t>
      </w:r>
    </w:p>
    <w:p w14:paraId="7D7B123F">
      <w:pPr>
        <w:snapToGrid w:val="0"/>
        <w:spacing w:line="400" w:lineRule="exact"/>
        <w:ind w:firstLine="555"/>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乙方积极配合甲方做好事故的善后处理工作，若伤亡人员为乙方雇佣、招录人员，乙方应及时负责伤亡人员及家属的接待善后工作，因此发生的医疗费、护理费、赔偿费等费用由乙方先垫付，最后由事故责任方一次性承担，因未积极配合甲方对事故进行善后处理而产生的一切法律责任及经济处罚由乙方自负。</w:t>
      </w:r>
    </w:p>
    <w:p w14:paraId="73B78812">
      <w:pPr>
        <w:spacing w:line="400" w:lineRule="exact"/>
        <w:ind w:firstLine="516" w:firstLineChars="214"/>
        <w:jc w:val="lef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第六条</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本合同生效条件与主合同相同。</w:t>
      </w:r>
    </w:p>
    <w:p w14:paraId="411A7147">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p>
    <w:p w14:paraId="5E4FD734">
      <w:pPr>
        <w:spacing w:line="400" w:lineRule="exact"/>
        <w:ind w:firstLine="57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Start w:id="58" w:name="_Hlk127203185"/>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甲方（盖章）：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盖</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章）：       </w:t>
      </w:r>
    </w:p>
    <w:p w14:paraId="4DDDA356">
      <w:pPr>
        <w:autoSpaceDE w:val="0"/>
        <w:autoSpaceDN w:val="0"/>
        <w:adjustRightInd w:val="0"/>
        <w:spacing w:line="400" w:lineRule="atLeast"/>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pPr>
    </w:p>
    <w:p w14:paraId="6903DCB3">
      <w:pPr>
        <w:autoSpaceDE w:val="0"/>
        <w:autoSpaceDN w:val="0"/>
        <w:adjustRightInd w:val="0"/>
        <w:spacing w:line="400" w:lineRule="atLeast"/>
        <w:ind w:firstLine="960" w:firstLineChars="4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4A56D6E2">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741740B7">
      <w:pPr>
        <w:autoSpaceDE w:val="0"/>
        <w:autoSpaceDN w:val="0"/>
        <w:adjustRightInd w:val="0"/>
        <w:spacing w:line="400" w:lineRule="atLeast"/>
        <w:ind w:firstLine="1200" w:firstLineChars="5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委托人：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53B42361">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14:paraId="042925CA">
      <w:pPr>
        <w:spacing w:line="400" w:lineRule="exact"/>
        <w:ind w:firstLine="5040" w:firstLineChars="2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bookmarkEnd w:id="58"/>
    </w:p>
    <w:p w14:paraId="02ED80CF">
      <w:pPr>
        <w:spacing w:line="400" w:lineRule="atLeas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br w:type="page"/>
      </w:r>
    </w:p>
    <w:p w14:paraId="4B794E4E">
      <w:pPr>
        <w:spacing w:before="120" w:after="120"/>
        <w:ind w:left="-850" w:firstLine="521"/>
        <w:outlineLvl w:val="0"/>
        <w:rPr>
          <w:rFonts w:hint="eastAsia" w:ascii="仿宋_GB2312" w:hAnsi="仿宋_GB2312" w:eastAsia="仿宋_GB2312" w:cs="仿宋_GB2312"/>
          <w:color w:val="000000" w:themeColor="text1"/>
          <w:sz w:val="30"/>
          <w:szCs w:val="30"/>
          <w:highlight w:val="none"/>
          <w14:textFill>
            <w14:solidFill>
              <w14:schemeClr w14:val="tx1"/>
            </w14:solidFill>
          </w14:textFill>
        </w:rPr>
      </w:pPr>
      <w:bookmarkStart w:id="59" w:name="_Toc24289"/>
      <w:r>
        <w:rPr>
          <w:rFonts w:hint="eastAsia" w:ascii="仿宋_GB2312" w:hAnsi="仿宋_GB2312" w:eastAsia="仿宋_GB2312" w:cs="仿宋_GB2312"/>
          <w:color w:val="000000" w:themeColor="text1"/>
          <w:sz w:val="30"/>
          <w:szCs w:val="30"/>
          <w:highlight w:val="none"/>
          <w14:textFill>
            <w14:solidFill>
              <w14:schemeClr w14:val="tx1"/>
            </w14:solidFill>
          </w14:textFill>
        </w:rPr>
        <w:t>附件四:</w:t>
      </w:r>
      <w:bookmarkEnd w:id="59"/>
      <w:r>
        <w:rPr>
          <w:rFonts w:hint="eastAsia" w:ascii="仿宋_GB2312" w:hAnsi="仿宋_GB2312" w:eastAsia="仿宋_GB2312" w:cs="仿宋_GB2312"/>
          <w:color w:val="000000" w:themeColor="text1"/>
          <w:sz w:val="30"/>
          <w:szCs w:val="30"/>
          <w:highlight w:val="none"/>
          <w14:textFill>
            <w14:solidFill>
              <w14:schemeClr w14:val="tx1"/>
            </w14:solidFill>
          </w14:textFill>
        </w:rPr>
        <w:t xml:space="preserve">   </w:t>
      </w:r>
    </w:p>
    <w:p w14:paraId="0F6DAFF2">
      <w:pPr>
        <w:spacing w:before="120" w:after="120"/>
        <w:ind w:left="-850" w:firstLine="521"/>
        <w:jc w:val="center"/>
        <w:outlineLvl w:val="0"/>
        <w:rPr>
          <w:rFonts w:ascii="仿宋_GB2312" w:hAnsi="仿宋_GB2312" w:eastAsia="仿宋_GB2312" w:cs="仿宋_GB2312"/>
          <w:b/>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商品混凝土需方</w:t>
      </w:r>
      <w:r>
        <w:rPr>
          <w:rFonts w:hint="eastAsia" w:ascii="仿宋_GB2312" w:hAnsi="仿宋_GB2312" w:eastAsia="仿宋_GB2312" w:cs="仿宋_GB2312"/>
          <w:b/>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b/>
          <w:color w:val="000000" w:themeColor="text1"/>
          <w:sz w:val="30"/>
          <w:szCs w:val="30"/>
          <w:highlight w:val="none"/>
          <w:lang w:val="en-US" w:eastAsia="zh-CN"/>
          <w14:textFill>
            <w14:solidFill>
              <w14:schemeClr w14:val="tx1"/>
            </w14:solidFill>
          </w14:textFill>
        </w:rPr>
        <w:t>甲方</w:t>
      </w:r>
      <w:r>
        <w:rPr>
          <w:rFonts w:hint="eastAsia" w:ascii="仿宋_GB2312" w:hAnsi="仿宋_GB2312" w:eastAsia="仿宋_GB2312" w:cs="仿宋_GB2312"/>
          <w:b/>
          <w:color w:val="000000" w:themeColor="text1"/>
          <w:sz w:val="30"/>
          <w:szCs w:val="30"/>
          <w:highlight w:val="none"/>
          <w:lang w:eastAsia="zh-CN"/>
          <w14:textFill>
            <w14:solidFill>
              <w14:schemeClr w14:val="tx1"/>
            </w14:solidFill>
          </w14:textFill>
        </w:rPr>
        <w:t>）</w:t>
      </w:r>
      <w:r>
        <w:rPr>
          <w:rFonts w:hint="eastAsia" w:ascii="仿宋_GB2312" w:hAnsi="仿宋_GB2312" w:eastAsia="仿宋_GB2312" w:cs="仿宋_GB2312"/>
          <w:b/>
          <w:color w:val="000000" w:themeColor="text1"/>
          <w:sz w:val="30"/>
          <w:szCs w:val="30"/>
          <w:highlight w:val="none"/>
          <w14:textFill>
            <w14:solidFill>
              <w14:schemeClr w14:val="tx1"/>
            </w14:solidFill>
          </w14:textFill>
        </w:rPr>
        <w:t>验收人员一览表</w:t>
      </w:r>
    </w:p>
    <w:p w14:paraId="0D3C111C">
      <w:pPr>
        <w:pStyle w:val="16"/>
        <w:rPr>
          <w:rFonts w:ascii="仿宋_GB2312" w:hAnsi="仿宋_GB2312" w:eastAsia="仿宋_GB2312" w:cs="仿宋_GB2312"/>
          <w:color w:val="000000" w:themeColor="text1"/>
          <w:highlight w:val="none"/>
          <w14:textFill>
            <w14:solidFill>
              <w14:schemeClr w14:val="tx1"/>
            </w14:solidFill>
          </w14:textFill>
        </w:rPr>
      </w:pPr>
    </w:p>
    <w:p w14:paraId="028CAD5E">
      <w:pPr>
        <w:spacing w:before="120" w:after="120" w:line="480" w:lineRule="auto"/>
        <w:ind w:left="-283"/>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w:t>
      </w:r>
      <w:permStart w:id="108" w:edGrp="everyone"/>
      <w:r>
        <w:rPr>
          <w:rFonts w:hint="eastAsia" w:ascii="仿宋_GB2312" w:hAnsi="仿宋_GB2312" w:eastAsia="仿宋_GB2312" w:cs="仿宋_GB2312"/>
          <w:color w:val="000000" w:themeColor="text1"/>
          <w:sz w:val="24"/>
          <w:highlight w:val="none"/>
          <w14:textFill>
            <w14:solidFill>
              <w14:schemeClr w14:val="tx1"/>
            </w14:solidFill>
          </w14:textFill>
        </w:rPr>
        <w:t>项目名称：本溪市平山区(福金沟、转山沟、花红沟)山洪沟防洪治理工程施工-(福</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ab/>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ab/>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ab/>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xml:space="preserve">金沟、转山沟)一标段         </w:t>
      </w:r>
    </w:p>
    <w:p w14:paraId="19CA8959">
      <w:pPr>
        <w:spacing w:before="120" w:after="120" w:line="480" w:lineRule="auto"/>
        <w:ind w:left="439" w:hanging="722"/>
        <w:rPr>
          <w:rFonts w:ascii="仿宋_GB2312" w:hAnsi="仿宋_GB2312" w:eastAsia="仿宋_GB2312" w:cs="仿宋_GB2312"/>
          <w:color w:val="000000" w:themeColor="text1"/>
          <w:sz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验收人：</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王佳乐</w:t>
      </w:r>
      <w:r>
        <w:rPr>
          <w:rFonts w:hint="eastAsia" w:ascii="仿宋_GB2312" w:hAnsi="仿宋_GB2312" w:eastAsia="仿宋_GB2312" w:cs="仿宋_GB2312"/>
          <w:color w:val="000000" w:themeColor="text1"/>
          <w:sz w:val="24"/>
          <w:highlight w:val="none"/>
          <w14:textFill>
            <w14:solidFill>
              <w14:schemeClr w14:val="tx1"/>
            </w14:solidFill>
          </w14:textFill>
        </w:rPr>
        <w:t xml:space="preserve">                          联系电话 ：</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13752012381</w:t>
      </w:r>
    </w:p>
    <w:p w14:paraId="754D7B47">
      <w:pPr>
        <w:spacing w:before="120" w:after="120" w:line="480" w:lineRule="auto"/>
        <w:ind w:left="439" w:hanging="722"/>
        <w:rPr>
          <w:rFonts w:ascii="仿宋_GB2312" w:hAnsi="仿宋_GB2312" w:eastAsia="仿宋_GB2312" w:cs="仿宋_GB2312"/>
          <w:color w:val="000000" w:themeColor="text1"/>
          <w:sz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验收人：</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梁鹤松</w:t>
      </w:r>
      <w:r>
        <w:rPr>
          <w:rFonts w:hint="eastAsia" w:ascii="仿宋_GB2312" w:hAnsi="仿宋_GB2312" w:eastAsia="仿宋_GB2312" w:cs="仿宋_GB2312"/>
          <w:color w:val="000000" w:themeColor="text1"/>
          <w:sz w:val="24"/>
          <w:highlight w:val="none"/>
          <w14:textFill>
            <w14:solidFill>
              <w14:schemeClr w14:val="tx1"/>
            </w14:solidFill>
          </w14:textFill>
        </w:rPr>
        <w:t xml:space="preserve">                          联系电话 ：</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15232212508</w:t>
      </w:r>
    </w:p>
    <w:p w14:paraId="5655CA3B">
      <w:pPr>
        <w:spacing w:before="120" w:after="120" w:line="480" w:lineRule="auto"/>
        <w:ind w:left="439" w:hanging="722"/>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验收人无法联系时请致电：         </w:t>
      </w:r>
    </w:p>
    <w:p w14:paraId="68A49645">
      <w:pPr>
        <w:spacing w:before="120" w:after="120" w:line="480" w:lineRule="auto"/>
        <w:ind w:left="1354" w:leftChars="-68" w:hanging="1497" w:hangingChars="416"/>
        <w:rPr>
          <w:rFonts w:ascii="仿宋_GB2312" w:hAnsi="仿宋_GB2312" w:eastAsia="仿宋_GB2312" w:cs="仿宋_GB2312"/>
          <w:color w:val="000000" w:themeColor="text1"/>
          <w:sz w:val="24"/>
          <w:highlight w:val="none"/>
          <w:u w:val="single"/>
          <w14:textFill>
            <w14:solidFill>
              <w14:schemeClr w14:val="tx1"/>
            </w14:solidFill>
          </w14:textFill>
        </w:rPr>
      </w:pPr>
      <w:r>
        <w:rPr>
          <w:rFonts w:hint="eastAsia" w:ascii="仿宋_GB2312" w:hAnsi="仿宋_GB2312" w:eastAsia="仿宋_GB2312" w:cs="仿宋_GB2312"/>
          <w:color w:val="000000" w:themeColor="text1"/>
          <w:spacing w:val="60"/>
          <w:sz w:val="24"/>
          <w:highlight w:val="none"/>
          <w14:textFill>
            <w14:solidFill>
              <w14:schemeClr w14:val="tx1"/>
            </w14:solidFill>
          </w14:textFill>
        </w:rPr>
        <w:t>项目经理</w:t>
      </w:r>
      <w:r>
        <w:rPr>
          <w:rFonts w:hint="eastAsia" w:ascii="仿宋_GB2312" w:hAnsi="仿宋_GB2312" w:eastAsia="仿宋_GB2312" w:cs="仿宋_GB2312"/>
          <w:color w:val="000000" w:themeColor="text1"/>
          <w:spacing w:val="40"/>
          <w:sz w:val="24"/>
          <w:highlight w:val="none"/>
          <w14:textFill>
            <w14:solidFill>
              <w14:schemeClr w14:val="tx1"/>
            </w14:solidFill>
          </w14:textFill>
        </w:rPr>
        <w:t>：</w:t>
      </w:r>
      <w:r>
        <w:rPr>
          <w:rFonts w:hint="eastAsia" w:ascii="仿宋_GB2312" w:hAnsi="仿宋_GB2312" w:eastAsia="仿宋_GB2312" w:cs="仿宋_GB2312"/>
          <w:color w:val="000000" w:themeColor="text1"/>
          <w:spacing w:val="40"/>
          <w:sz w:val="24"/>
          <w:highlight w:val="none"/>
          <w:lang w:val="en-US" w:eastAsia="zh-CN"/>
          <w14:textFill>
            <w14:solidFill>
              <w14:schemeClr w14:val="tx1"/>
            </w14:solidFill>
          </w14:textFill>
        </w:rPr>
        <w:t>赵经理</w:t>
      </w:r>
      <w:r>
        <w:rPr>
          <w:rFonts w:hint="eastAsia" w:ascii="仿宋_GB2312" w:hAnsi="仿宋_GB2312" w:eastAsia="仿宋_GB2312" w:cs="仿宋_GB2312"/>
          <w:color w:val="000000" w:themeColor="text1"/>
          <w:sz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联系电话 ：</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15830957860</w:t>
      </w:r>
    </w:p>
    <w:p w14:paraId="785B7417">
      <w:pPr>
        <w:spacing w:before="120" w:after="120" w:line="480" w:lineRule="auto"/>
        <w:ind w:left="439" w:hanging="722"/>
        <w:rPr>
          <w:rFonts w:ascii="仿宋_GB2312" w:hAnsi="仿宋_GB2312" w:eastAsia="仿宋_GB2312" w:cs="仿宋_GB2312"/>
          <w:color w:val="000000" w:themeColor="text1"/>
          <w:sz w:val="24"/>
          <w:highlight w:val="none"/>
          <w:u w:val="singl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子企业物资设备部经理：</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刘经理</w:t>
      </w:r>
      <w:r>
        <w:rPr>
          <w:rFonts w:hint="eastAsia" w:ascii="仿宋_GB2312" w:hAnsi="仿宋_GB2312" w:eastAsia="仿宋_GB2312" w:cs="仿宋_GB2312"/>
          <w:color w:val="000000" w:themeColor="text1"/>
          <w:sz w:val="24"/>
          <w:highlight w:val="none"/>
          <w14:textFill>
            <w14:solidFill>
              <w14:schemeClr w14:val="tx1"/>
            </w14:solidFill>
          </w14:textFill>
        </w:rPr>
        <w:t xml:space="preserve">            联系电话 ：</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13932116381</w:t>
      </w:r>
      <w:r>
        <w:rPr>
          <w:rFonts w:hint="eastAsia" w:ascii="仿宋_GB2312" w:hAnsi="仿宋_GB2312" w:eastAsia="仿宋_GB2312" w:cs="仿宋_GB2312"/>
          <w:color w:val="000000" w:themeColor="text1"/>
          <w:sz w:val="24"/>
          <w:highlight w:val="none"/>
          <w14:textFill>
            <w14:solidFill>
              <w14:schemeClr w14:val="tx1"/>
            </w14:solidFill>
          </w14:textFill>
        </w:rPr>
        <w:t xml:space="preserve"> </w:t>
      </w:r>
      <w:permEnd w:id="108"/>
      <w:r>
        <w:rPr>
          <w:rFonts w:hint="eastAsia" w:ascii="仿宋_GB2312" w:hAnsi="仿宋_GB2312" w:eastAsia="仿宋_GB2312" w:cs="仿宋_GB2312"/>
          <w:color w:val="000000" w:themeColor="text1"/>
          <w:sz w:val="24"/>
          <w:highlight w:val="none"/>
          <w14:textFill>
            <w14:solidFill>
              <w14:schemeClr w14:val="tx1"/>
            </w14:solidFill>
          </w14:textFill>
        </w:rPr>
        <w:t xml:space="preserve">         </w:t>
      </w:r>
    </w:p>
    <w:p w14:paraId="32B62B5B">
      <w:pPr>
        <w:spacing w:before="120" w:after="120" w:line="480" w:lineRule="auto"/>
        <w:jc w:val="left"/>
        <w:rPr>
          <w:rFonts w:ascii="仿宋_GB2312" w:hAnsi="仿宋_GB2312" w:eastAsia="仿宋_GB2312" w:cs="仿宋_GB2312"/>
          <w:color w:val="000000" w:themeColor="text1"/>
          <w:sz w:val="24"/>
          <w:highlight w:val="none"/>
          <w14:textFill>
            <w14:solidFill>
              <w14:schemeClr w14:val="tx1"/>
            </w14:solidFill>
          </w14:textFill>
        </w:rPr>
      </w:pPr>
      <w:bookmarkStart w:id="90" w:name="_GoBack"/>
      <w:bookmarkEnd w:id="90"/>
    </w:p>
    <w:p w14:paraId="454202E1">
      <w:pPr>
        <w:spacing w:line="400" w:lineRule="exact"/>
        <w:ind w:firstLine="57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636ED2AA">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br w:type="page"/>
      </w:r>
    </w:p>
    <w:p w14:paraId="069C4CE6">
      <w:pPr>
        <w:spacing w:line="400" w:lineRule="exact"/>
        <w:ind w:right="210" w:rightChars="10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60" w:name="_Toc13072"/>
      <w:bookmarkStart w:id="61" w:name="_Toc9726"/>
      <w:r>
        <w:rPr>
          <w:rFonts w:hint="eastAsia" w:ascii="仿宋_GB2312" w:hAnsi="仿宋_GB2312" w:eastAsia="仿宋_GB2312" w:cs="仿宋_GB2312"/>
          <w:color w:val="000000" w:themeColor="text1"/>
          <w:sz w:val="30"/>
          <w:szCs w:val="30"/>
          <w:highlight w:val="none"/>
          <w14:textFill>
            <w14:solidFill>
              <w14:schemeClr w14:val="tx1"/>
            </w14:solidFill>
          </w14:textFill>
        </w:rPr>
        <w:t>附件五：</w:t>
      </w:r>
      <w:bookmarkEnd w:id="60"/>
      <w:bookmarkEnd w:id="61"/>
    </w:p>
    <w:p w14:paraId="11F904FB">
      <w:pPr>
        <w:spacing w:line="400" w:lineRule="exact"/>
        <w:jc w:val="center"/>
        <w:rPr>
          <w:rFonts w:ascii="仿宋_GB2312" w:hAnsi="仿宋_GB2312" w:eastAsia="仿宋_GB2312" w:cs="仿宋_GB2312"/>
          <w:color w:val="000000" w:themeColor="text1"/>
          <w:sz w:val="30"/>
          <w:szCs w:val="30"/>
          <w:highlight w:val="none"/>
          <w14:textFill>
            <w14:solidFill>
              <w14:schemeClr w14:val="tx1"/>
            </w14:solidFill>
          </w14:textFill>
        </w:rPr>
      </w:pPr>
      <w:bookmarkStart w:id="62" w:name="_Toc16461"/>
      <w:r>
        <w:rPr>
          <w:rFonts w:hint="eastAsia" w:ascii="仿宋_GB2312" w:hAnsi="仿宋_GB2312" w:eastAsia="仿宋_GB2312" w:cs="仿宋_GB2312"/>
          <w:b/>
          <w:color w:val="000000" w:themeColor="text1"/>
          <w:sz w:val="30"/>
          <w:szCs w:val="30"/>
          <w:highlight w:val="none"/>
          <w14:textFill>
            <w14:solidFill>
              <w14:schemeClr w14:val="tx1"/>
            </w14:solidFill>
          </w14:textFill>
        </w:rPr>
        <w:t>廉洁从业共建协议</w:t>
      </w:r>
      <w:bookmarkEnd w:id="62"/>
    </w:p>
    <w:p w14:paraId="0F1F50D4">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甲方：</w:t>
      </w:r>
      <w:permStart w:id="109" w:edGrp="everyone"/>
      <w:bookmarkStart w:id="63" w:name="_Hlk127190139"/>
      <w:r>
        <w:rPr>
          <w:rFonts w:hint="eastAsia" w:ascii="仿宋_GB2312" w:hAnsi="宋体" w:eastAsia="仿宋_GB2312"/>
          <w:color w:val="000000" w:themeColor="text1"/>
          <w:sz w:val="24"/>
          <w:szCs w:val="24"/>
          <w:highlight w:val="none"/>
          <w:u w:val="single"/>
          <w14:textFill>
            <w14:solidFill>
              <w14:schemeClr w14:val="tx1"/>
            </w14:solidFill>
          </w14:textFill>
        </w:rPr>
        <w:t>中建</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路桥</w:t>
      </w:r>
      <w:r>
        <w:rPr>
          <w:rFonts w:hint="eastAsia" w:ascii="仿宋_GB2312" w:hAnsi="宋体" w:eastAsia="仿宋_GB2312"/>
          <w:color w:val="000000" w:themeColor="text1"/>
          <w:sz w:val="24"/>
          <w:szCs w:val="24"/>
          <w:highlight w:val="none"/>
          <w:u w:val="single"/>
          <w14:textFill>
            <w14:solidFill>
              <w14:schemeClr w14:val="tx1"/>
            </w14:solidFill>
          </w14:textFill>
        </w:rPr>
        <w:t>集团</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雄安发展</w:t>
      </w:r>
      <w:r>
        <w:rPr>
          <w:rFonts w:hint="eastAsia" w:ascii="仿宋_GB2312" w:hAnsi="宋体" w:eastAsia="仿宋_GB2312"/>
          <w:color w:val="000000" w:themeColor="text1"/>
          <w:sz w:val="24"/>
          <w:szCs w:val="24"/>
          <w:highlight w:val="none"/>
          <w:u w:val="single"/>
          <w14:textFill>
            <w14:solidFill>
              <w14:schemeClr w14:val="tx1"/>
            </w14:solidFill>
          </w14:textFill>
        </w:rPr>
        <w:t>有限公司</w:t>
      </w:r>
      <w:permEnd w:id="109"/>
      <w:bookmarkEnd w:id="63"/>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14:paraId="05E593AC">
      <w:pPr>
        <w:spacing w:line="46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乙方：</w:t>
      </w:r>
      <w:permStart w:id="110" w:edGrp="everyone"/>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r>
        <w:rPr>
          <w:rFonts w:ascii="仿宋_GB2312" w:hAnsi="宋体" w:eastAsia="仿宋_GB2312"/>
          <w:color w:val="000000" w:themeColor="text1"/>
          <w:sz w:val="24"/>
          <w:szCs w:val="24"/>
          <w:highlight w:val="none"/>
          <w:u w:val="single"/>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lang w:val="en-US" w:eastAsia="zh-CN"/>
          <w14:textFill>
            <w14:solidFill>
              <w14:schemeClr w14:val="tx1"/>
            </w14:solidFill>
          </w14:textFill>
        </w:rPr>
        <w:t xml:space="preserve">    </w:t>
      </w:r>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ermEnd w:id="110"/>
      <w:r>
        <w:rPr>
          <w:rFonts w:hint="eastAsia" w:ascii="仿宋_GB2312" w:hAnsi="宋体" w:eastAsia="仿宋_GB2312"/>
          <w:color w:val="000000" w:themeColor="text1"/>
          <w:sz w:val="24"/>
          <w:szCs w:val="24"/>
          <w:highlight w:val="none"/>
          <w:u w:val="single"/>
          <w14:textFill>
            <w14:solidFill>
              <w14:schemeClr w14:val="tx1"/>
            </w14:solidFill>
          </w14:textFill>
        </w:rPr>
        <w:t xml:space="preserve"> </w:t>
      </w:r>
    </w:p>
    <w:p w14:paraId="224FDDF5">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14:paraId="4EDF6ED1">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64" w:name="_Toc300671949"/>
      <w:r>
        <w:rPr>
          <w:rFonts w:hint="eastAsia" w:ascii="仿宋_GB2312" w:hAnsi="宋体" w:eastAsia="仿宋_GB2312" w:cs="宋体"/>
          <w:color w:val="000000" w:themeColor="text1"/>
          <w:kern w:val="0"/>
          <w:sz w:val="24"/>
          <w:szCs w:val="24"/>
          <w:highlight w:val="none"/>
          <w14:textFill>
            <w14:solidFill>
              <w14:schemeClr w14:val="tx1"/>
            </w14:solidFill>
          </w14:textFill>
        </w:rPr>
        <w:t>一、双方的责任</w:t>
      </w:r>
      <w:bookmarkEnd w:id="64"/>
    </w:p>
    <w:p w14:paraId="5BE4635E">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1.1应严格遵守国家关于建设工程的有关法律、法规，相关政策，以及廉政建设的各项规定。</w:t>
      </w:r>
    </w:p>
    <w:p w14:paraId="0F34AA88">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1.2严格执行建设工程合同文件，自觉按合同办事。</w:t>
      </w:r>
    </w:p>
    <w:p w14:paraId="43B5660B">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1.3各项活动必须坚持公开、公平、公正、诚信、透明的原则(除法律法规另有规定者外)，不得为获取不正当的利益，损害国家、集体和对方利益，不得违反建设工程管理的规章制度。</w:t>
      </w:r>
    </w:p>
    <w:p w14:paraId="118FA830">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65" w:name="_Hlk127535665"/>
      <w:r>
        <w:rPr>
          <w:rFonts w:hint="eastAsia" w:ascii="仿宋_GB2312" w:hAnsi="宋体" w:eastAsia="仿宋_GB2312" w:cs="宋体"/>
          <w:color w:val="000000" w:themeColor="text1"/>
          <w:kern w:val="0"/>
          <w:sz w:val="24"/>
          <w:szCs w:val="24"/>
          <w:highlight w:val="none"/>
          <w14:textFill>
            <w14:solidFill>
              <w14:schemeClr w14:val="tx1"/>
            </w14:solidFill>
          </w14:textFill>
        </w:rPr>
        <w:t>1.4发现双方在业务活动中有违规、违纪、违法行为的，应及时提醒对方，情节严重的，如实进行举报，一经查实，严肃处理。</w:t>
      </w:r>
    </w:p>
    <w:bookmarkEnd w:id="65"/>
    <w:p w14:paraId="33ED0209">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66" w:name="_Toc300671950"/>
      <w:r>
        <w:rPr>
          <w:rFonts w:hint="eastAsia" w:ascii="仿宋_GB2312" w:hAnsi="宋体" w:eastAsia="仿宋_GB2312" w:cs="宋体"/>
          <w:color w:val="000000" w:themeColor="text1"/>
          <w:kern w:val="0"/>
          <w:sz w:val="24"/>
          <w:szCs w:val="24"/>
          <w:highlight w:val="none"/>
          <w14:textFill>
            <w14:solidFill>
              <w14:schemeClr w14:val="tx1"/>
            </w14:solidFill>
          </w14:textFill>
        </w:rPr>
        <w:t>二、甲方责任</w:t>
      </w:r>
      <w:bookmarkEnd w:id="66"/>
    </w:p>
    <w:p w14:paraId="5F85086D">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甲方相关人员和从事该建设工程项目的工作人员，在工程建设的事前、事中、事后应遵守以下规定：</w:t>
      </w:r>
    </w:p>
    <w:p w14:paraId="6EBFF0D6">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2.1按照甲方的招（议）标程序确定供应商，确保公正、公平对待所有合作方；不得在招标文件中有针对性地故意设定条件，以不公正的方法确定供应商；</w:t>
      </w:r>
    </w:p>
    <w:p w14:paraId="4F7B28A2">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2.2</w:t>
      </w:r>
      <w:r>
        <w:rPr>
          <w:rFonts w:hint="eastAsia" w:ascii="仿宋_GB2312" w:hAnsi="宋体" w:eastAsia="仿宋_GB2312"/>
          <w:color w:val="000000" w:themeColor="text1"/>
          <w:sz w:val="24"/>
          <w:szCs w:val="24"/>
          <w:highlight w:val="none"/>
          <w14:textFill>
            <w14:solidFill>
              <w14:schemeClr w14:val="tx1"/>
            </w14:solidFill>
          </w14:textFill>
        </w:rPr>
        <w:t>按照甲方的项目管理流程办理乙方的各项业务（现场签证、验收、结算、付款等），对乙方员工的吃拿卡要行为坚决制止，如甲方员工出现上述情况以索贿论；</w:t>
      </w:r>
    </w:p>
    <w:p w14:paraId="6F8A7D94">
      <w:pPr>
        <w:widowControl/>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2.3</w:t>
      </w:r>
      <w:r>
        <w:rPr>
          <w:rFonts w:hint="eastAsia" w:ascii="仿宋_GB2312" w:hAnsi="宋体" w:eastAsia="仿宋_GB2312"/>
          <w:color w:val="000000" w:themeColor="text1"/>
          <w:sz w:val="24"/>
          <w:szCs w:val="24"/>
          <w:highlight w:val="none"/>
          <w14:textFill>
            <w14:solidFill>
              <w14:schemeClr w14:val="tx1"/>
            </w14:solidFill>
          </w14:textFill>
        </w:rPr>
        <w:t>不安排己方员工的亲友在乙方工作；</w:t>
      </w:r>
    </w:p>
    <w:p w14:paraId="0D649C32">
      <w:pPr>
        <w:widowControl/>
        <w:spacing w:line="400" w:lineRule="exact"/>
        <w:ind w:firstLine="480" w:firstLineChars="200"/>
        <w:rPr>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2.4</w:t>
      </w:r>
      <w:r>
        <w:rPr>
          <w:rFonts w:hint="eastAsia" w:ascii="仿宋_GB2312" w:hAnsi="宋体" w:eastAsia="仿宋_GB2312"/>
          <w:color w:val="000000" w:themeColor="text1"/>
          <w:sz w:val="24"/>
          <w:szCs w:val="24"/>
          <w:highlight w:val="none"/>
          <w14:textFill>
            <w14:solidFill>
              <w14:schemeClr w14:val="tx1"/>
            </w14:solidFill>
          </w14:textFill>
        </w:rPr>
        <w:t>不得以任何理由向乙方推荐分包单位，不得要求乙方购买合同规定外的材料和设备；</w:t>
      </w:r>
    </w:p>
    <w:p w14:paraId="1F21B131">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2.5不得向乙方和相关单位索要或接受回扣、礼金、有价证券、贵重物品和好处费、感谢费等。</w:t>
      </w:r>
    </w:p>
    <w:p w14:paraId="0A4E2314">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2.6不得在乙方和相关单位报销任何应由业主方或个人支付的费用。</w:t>
      </w:r>
    </w:p>
    <w:p w14:paraId="550901C7">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2.7不得要求、暗示或接受乙方和相关单位为个人装修住房、婚丧嫁娶、配偶子女的工作安排以及出国(境)、旅游等提供方便。</w:t>
      </w:r>
    </w:p>
    <w:p w14:paraId="619084FC">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2.8不得参加有可能影响公正执行公务的乙方和相关单位的宴请、健身、娱乐等活动。</w:t>
      </w:r>
    </w:p>
    <w:p w14:paraId="7AFA1C52">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67" w:name="_Toc300671951"/>
      <w:r>
        <w:rPr>
          <w:rFonts w:hint="eastAsia" w:ascii="仿宋_GB2312" w:hAnsi="宋体" w:eastAsia="仿宋_GB2312" w:cs="宋体"/>
          <w:color w:val="000000" w:themeColor="text1"/>
          <w:kern w:val="0"/>
          <w:sz w:val="24"/>
          <w:szCs w:val="24"/>
          <w:highlight w:val="none"/>
          <w14:textFill>
            <w14:solidFill>
              <w14:schemeClr w14:val="tx1"/>
            </w14:solidFill>
          </w14:textFill>
        </w:rPr>
        <w:t>三、乙方责任</w:t>
      </w:r>
      <w:bookmarkEnd w:id="67"/>
    </w:p>
    <w:p w14:paraId="7509B368">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应与甲方保持正常的业务交往，按照有关法律法规和程序开展业务工作，严格执行工程建设的有关方针、政策，执行工程建设强制性标准，并遵守以下规定：</w:t>
      </w:r>
    </w:p>
    <w:p w14:paraId="76004123">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3.1</w:t>
      </w:r>
      <w:r>
        <w:rPr>
          <w:rFonts w:hint="eastAsia" w:ascii="仿宋_GB2312" w:hAnsi="宋体" w:eastAsia="仿宋_GB2312"/>
          <w:color w:val="000000" w:themeColor="text1"/>
          <w:sz w:val="24"/>
          <w:szCs w:val="24"/>
          <w:highlight w:val="none"/>
          <w14:textFill>
            <w14:solidFill>
              <w14:schemeClr w14:val="tx1"/>
            </w14:solidFill>
          </w14:textFill>
        </w:rPr>
        <w:t>根据自己的实力参与甲方的招（议）标，遵守甲方的管理制度；不得在招标之前或过程中，以不正当手段谋求中标。</w:t>
      </w:r>
    </w:p>
    <w:p w14:paraId="4976E839">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3.2不得向甲方员工及其亲属输送任何个人利益以寻求合作机会，不得为甲方人员配偶、子女及特定关系人安排工作、谋取不正当利益或提供各类方便。</w:t>
      </w:r>
    </w:p>
    <w:p w14:paraId="59A7916F">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3.3不得以任何理由为甲方和相关单位报销应由对方或个人支付的费用，包括出差期间的交通费和住宿费等。</w:t>
      </w:r>
    </w:p>
    <w:p w14:paraId="495BCDA7">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3.4不得以甲方员工及其亲属的家庭装修、婚丧嫁娶、出国留学等事宜为由进行提供资金及物资资助等行贿行为。</w:t>
      </w:r>
    </w:p>
    <w:p w14:paraId="70AF7A70">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3.5</w:t>
      </w:r>
      <w:r>
        <w:rPr>
          <w:rFonts w:hint="eastAsia" w:ascii="仿宋_GB2312" w:eastAsia="仿宋_GB2312" w:cs="宋体"/>
          <w:color w:val="000000" w:themeColor="text1"/>
          <w:kern w:val="0"/>
          <w:sz w:val="24"/>
          <w:szCs w:val="24"/>
          <w:highlight w:val="none"/>
          <w14:textFill>
            <w14:solidFill>
              <w14:schemeClr w14:val="tx1"/>
            </w14:solidFill>
          </w14:textFill>
        </w:rPr>
        <w:t>不得向甲方员工提供礼品、礼金、贵重物品或消费卡、会员卡、礼品券等虚拟电子礼品，严禁快递送礼。</w:t>
      </w:r>
    </w:p>
    <w:p w14:paraId="32B47B1B">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6</w:t>
      </w:r>
      <w:r>
        <w:rPr>
          <w:rFonts w:hint="eastAsia" w:ascii="仿宋_GB2312" w:eastAsia="仿宋_GB2312" w:cs="宋体"/>
          <w:color w:val="000000" w:themeColor="text1"/>
          <w:kern w:val="0"/>
          <w:sz w:val="24"/>
          <w:szCs w:val="24"/>
          <w:highlight w:val="none"/>
          <w14:textFill>
            <w14:solidFill>
              <w14:schemeClr w14:val="tx1"/>
            </w14:solidFill>
          </w14:textFill>
        </w:rPr>
        <w:t>不得以任何理由为甲方、相关单位或个人组织有可能影响公正执行公务的宴请、健身、娱乐等活动。</w:t>
      </w:r>
    </w:p>
    <w:p w14:paraId="52C1737F">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3.7</w:t>
      </w:r>
      <w:r>
        <w:rPr>
          <w:rFonts w:hint="eastAsia" w:ascii="仿宋_GB2312" w:eastAsia="仿宋_GB2312" w:cs="宋体"/>
          <w:color w:val="000000" w:themeColor="text1"/>
          <w:kern w:val="0"/>
          <w:sz w:val="24"/>
          <w:szCs w:val="24"/>
          <w:highlight w:val="none"/>
          <w14:textFill>
            <w14:solidFill>
              <w14:schemeClr w14:val="tx1"/>
            </w14:solidFill>
          </w14:textFill>
        </w:rPr>
        <w:t>不得与甲方员工就标书合同条款中的利益条款进行私下协商或达成默契。</w:t>
      </w:r>
    </w:p>
    <w:p w14:paraId="0EC27474">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eastAsia="仿宋_GB2312" w:cs="宋体"/>
          <w:color w:val="000000" w:themeColor="text1"/>
          <w:kern w:val="0"/>
          <w:sz w:val="24"/>
          <w:szCs w:val="24"/>
          <w:highlight w:val="none"/>
          <w14:textFill>
            <w14:solidFill>
              <w14:schemeClr w14:val="tx1"/>
            </w14:solidFill>
          </w14:textFill>
        </w:rPr>
        <w:t>3</w:t>
      </w:r>
      <w:r>
        <w:rPr>
          <w:rFonts w:ascii="仿宋_GB2312" w:eastAsia="仿宋_GB2312" w:cs="宋体"/>
          <w:color w:val="000000" w:themeColor="text1"/>
          <w:kern w:val="0"/>
          <w:sz w:val="24"/>
          <w:szCs w:val="24"/>
          <w:highlight w:val="none"/>
          <w14:textFill>
            <w14:solidFill>
              <w14:schemeClr w14:val="tx1"/>
            </w14:solidFill>
          </w14:textFill>
        </w:rPr>
        <w:t>.8</w:t>
      </w:r>
      <w:r>
        <w:rPr>
          <w:rFonts w:hint="eastAsia" w:ascii="仿宋_GB2312" w:eastAsia="仿宋_GB2312" w:cs="宋体"/>
          <w:color w:val="000000" w:themeColor="text1"/>
          <w:kern w:val="0"/>
          <w:sz w:val="24"/>
          <w:szCs w:val="24"/>
          <w:highlight w:val="none"/>
          <w14:textFill>
            <w14:solidFill>
              <w14:schemeClr w14:val="tx1"/>
            </w14:solidFill>
          </w14:textFill>
        </w:rPr>
        <w:t>不得安排甲方员工及其亲属从事合资或合股经营行为，不向甲方打探商业秘密或提供兼职报酬。</w:t>
      </w:r>
    </w:p>
    <w:p w14:paraId="2C672A07">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3.9</w:t>
      </w:r>
      <w:r>
        <w:rPr>
          <w:rFonts w:hint="eastAsia" w:ascii="仿宋_GB2312" w:eastAsia="仿宋_GB2312" w:cs="宋体"/>
          <w:color w:val="000000" w:themeColor="text1"/>
          <w:kern w:val="0"/>
          <w:sz w:val="24"/>
          <w:szCs w:val="24"/>
          <w:highlight w:val="none"/>
          <w14:textFill>
            <w14:solidFill>
              <w14:schemeClr w14:val="tx1"/>
            </w14:solidFill>
          </w14:textFill>
        </w:rPr>
        <w:t>不在甲方人员进行市场调研、商务洽谈等期间违规提供公务接待。</w:t>
      </w:r>
    </w:p>
    <w:p w14:paraId="47867879">
      <w:pPr>
        <w:spacing w:line="400" w:lineRule="exact"/>
        <w:ind w:firstLine="480" w:firstLineChars="200"/>
        <w:rPr>
          <w:rFonts w:ascii="仿宋_GB2312" w:eastAsia="仿宋_GB2312" w:cs="宋体"/>
          <w:color w:val="000000" w:themeColor="text1"/>
          <w:kern w:val="0"/>
          <w:sz w:val="24"/>
          <w:szCs w:val="24"/>
          <w:highlight w:val="none"/>
          <w14:textFill>
            <w14:solidFill>
              <w14:schemeClr w14:val="tx1"/>
            </w14:solidFill>
          </w14:textFill>
        </w:rPr>
      </w:pPr>
      <w:r>
        <w:rPr>
          <w:rFonts w:ascii="仿宋_GB2312" w:eastAsia="仿宋_GB2312" w:cs="宋体"/>
          <w:color w:val="000000" w:themeColor="text1"/>
          <w:kern w:val="0"/>
          <w:sz w:val="24"/>
          <w:szCs w:val="24"/>
          <w:highlight w:val="none"/>
          <w14:textFill>
            <w14:solidFill>
              <w14:schemeClr w14:val="tx1"/>
            </w14:solidFill>
          </w14:textFill>
        </w:rPr>
        <w:t>3.10</w:t>
      </w:r>
      <w:r>
        <w:rPr>
          <w:rFonts w:hint="eastAsia" w:ascii="仿宋_GB2312" w:eastAsia="仿宋_GB2312" w:cs="宋体"/>
          <w:color w:val="000000" w:themeColor="text1"/>
          <w:kern w:val="0"/>
          <w:sz w:val="24"/>
          <w:szCs w:val="24"/>
          <w:highlight w:val="none"/>
          <w14:textFill>
            <w14:solidFill>
              <w14:schemeClr w14:val="tx1"/>
            </w14:solidFill>
          </w14:textFill>
        </w:rPr>
        <w:t>对甲方员工违反本协议的行为及时向甲方的上级监督部门报告。</w:t>
      </w:r>
    </w:p>
    <w:p w14:paraId="6EA363EE">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bookmarkStart w:id="68" w:name="_Toc300671952"/>
      <w:r>
        <w:rPr>
          <w:rFonts w:hint="eastAsia" w:ascii="仿宋_GB2312" w:hAnsi="宋体" w:eastAsia="仿宋_GB2312" w:cs="宋体"/>
          <w:color w:val="000000" w:themeColor="text1"/>
          <w:kern w:val="0"/>
          <w:sz w:val="24"/>
          <w:szCs w:val="24"/>
          <w:highlight w:val="none"/>
          <w14:textFill>
            <w14:solidFill>
              <w14:schemeClr w14:val="tx1"/>
            </w14:solidFill>
          </w14:textFill>
        </w:rPr>
        <w:t>四、违约责任</w:t>
      </w:r>
      <w:bookmarkEnd w:id="68"/>
    </w:p>
    <w:p w14:paraId="699B1343">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4.1甲方工作人员有违反本责任书第一、二条责任行为的，依据有关法律及甲方《员工守则》，提交甲方纪检部门进行处理。</w:t>
      </w:r>
    </w:p>
    <w:p w14:paraId="28EACA6E">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4.2乙方工作人员有违反本责任书第一、三条责任行为的，依据有关法律法规处理；向甲方行贿或给甲方单位造成经济损失的，按照受贿金额或损失金额的5-10倍进行处罚</w:t>
      </w:r>
      <w:r>
        <w:rPr>
          <w:rFonts w:hint="eastAsia" w:ascii="仿宋_GB2312" w:hAnsi="宋体" w:eastAsia="仿宋_GB2312"/>
          <w:color w:val="000000" w:themeColor="text1"/>
          <w:sz w:val="24"/>
          <w:szCs w:val="24"/>
          <w:highlight w:val="none"/>
          <w14:textFill>
            <w14:solidFill>
              <w14:schemeClr w14:val="tx1"/>
            </w14:solidFill>
          </w14:textFill>
        </w:rPr>
        <w:t>，立即清除出场，终止合同执行，给甲方造成经济损失的应予以赔偿，同时纳入供应商黑名单；如乙方和甲方的员工勾结虚增结算款，则按照虚增款项的5倍扣减乙方应结算的款项；如发现乙方接受甲方人员要求安排甲方人员亲友在乙方工作，违者除令被安插人员在两天内退出外，并对责任人按每人每次1000元给予</w:t>
      </w:r>
      <w:r>
        <w:rPr>
          <w:rFonts w:hint="eastAsia" w:ascii="仿宋_GB2312" w:hAnsi="宋体" w:eastAsia="仿宋_GB2312" w:cs="Times New Roman"/>
          <w:color w:val="000000" w:themeColor="text1"/>
          <w:sz w:val="24"/>
          <w:szCs w:val="24"/>
          <w:highlight w:val="none"/>
          <w14:textFill>
            <w14:solidFill>
              <w14:schemeClr w14:val="tx1"/>
            </w14:solidFill>
          </w14:textFill>
        </w:rPr>
        <w:t>罚款。</w:t>
      </w:r>
    </w:p>
    <w:p w14:paraId="54FC3C64">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4.3甲方工作人员不得接受可能影响公正执行公务的礼金（包括各种有价证券）、礼品馈赠。因各种原因未能拒收的，一律上交所属部门并登记。</w:t>
      </w:r>
    </w:p>
    <w:p w14:paraId="37D785C9">
      <w:pPr>
        <w:spacing w:line="400" w:lineRule="exact"/>
        <w:ind w:firstLine="480" w:firstLineChars="200"/>
        <w:rPr>
          <w:rFonts w:ascii="仿宋_GB2312" w:hAnsi="宋体" w:eastAsia="仿宋_GB2312"/>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sz w:val="24"/>
          <w:szCs w:val="24"/>
          <w:highlight w:val="none"/>
          <w14:textFill>
            <w14:solidFill>
              <w14:schemeClr w14:val="tx1"/>
            </w14:solidFill>
          </w14:textFill>
        </w:rPr>
        <w:t>4.4</w:t>
      </w:r>
      <w:r>
        <w:rPr>
          <w:rFonts w:hint="eastAsia" w:ascii="仿宋_GB2312" w:hAnsi="宋体" w:eastAsia="仿宋_GB2312" w:cs="宋体"/>
          <w:color w:val="000000" w:themeColor="text1"/>
          <w:kern w:val="0"/>
          <w:sz w:val="24"/>
          <w:szCs w:val="24"/>
          <w:highlight w:val="none"/>
          <w14:textFill>
            <w14:solidFill>
              <w14:schemeClr w14:val="tx1"/>
            </w14:solidFill>
          </w14:textFill>
        </w:rPr>
        <w:t>甲乙双方必须认真履行本协议，遵纪守法，相互监督，密切配合，共同搞好廉政建设。双方</w:t>
      </w:r>
      <w:r>
        <w:rPr>
          <w:rFonts w:hint="eastAsia" w:ascii="仿宋_GB2312" w:hAnsi="宋体" w:eastAsia="仿宋_GB2312"/>
          <w:color w:val="000000" w:themeColor="text1"/>
          <w:sz w:val="24"/>
          <w:szCs w:val="24"/>
          <w:highlight w:val="none"/>
          <w14:textFill>
            <w14:solidFill>
              <w14:schemeClr w14:val="tx1"/>
            </w14:solidFill>
          </w14:textFill>
        </w:rPr>
        <w:t>认可甲方建立不诚信合作方黑名单制度，如乙方发生向甲方员工的行贿行为、乙方和甲方的员工勾结虚增结算款项的行为，则该乙方进入甲方不诚信合作方黑名单，</w:t>
      </w:r>
      <w:r>
        <w:rPr>
          <w:rFonts w:hint="eastAsia" w:ascii="仿宋_GB2312" w:hAnsi="宋体" w:eastAsia="仿宋_GB2312" w:cs="宋体"/>
          <w:color w:val="000000" w:themeColor="text1"/>
          <w:kern w:val="0"/>
          <w:sz w:val="24"/>
          <w:szCs w:val="24"/>
          <w:highlight w:val="none"/>
          <w14:textFill>
            <w14:solidFill>
              <w14:schemeClr w14:val="tx1"/>
            </w14:solidFill>
          </w14:textFill>
        </w:rPr>
        <w:t>触犯刑律的，移交司法机关处理。</w:t>
      </w:r>
    </w:p>
    <w:p w14:paraId="526D71A6">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4.5本责任书作为主合同的组成部分，与本合同具有同等法律效力。生效条件与主合同相同。</w:t>
      </w:r>
    </w:p>
    <w:p w14:paraId="73EF97CD">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五、责任书有效期</w:t>
      </w:r>
    </w:p>
    <w:p w14:paraId="4052C7DA">
      <w:pPr>
        <w:widowControl/>
        <w:spacing w:line="400" w:lineRule="exact"/>
        <w:ind w:firstLine="480" w:firstLineChars="20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24"/>
          <w:szCs w:val="24"/>
          <w:highlight w:val="none"/>
          <w14:textFill>
            <w14:solidFill>
              <w14:schemeClr w14:val="tx1"/>
            </w14:solidFill>
          </w14:textFill>
        </w:rPr>
        <w:t>本责任书的有效期为双方签署之日起至该工程项目竣工验收合格时止。</w:t>
      </w:r>
    </w:p>
    <w:p w14:paraId="3D8CDCFA">
      <w:pPr>
        <w:pStyle w:val="16"/>
        <w:spacing w:line="400" w:lineRule="exact"/>
        <w:rPr>
          <w:rFonts w:ascii="仿宋_GB2312" w:hAnsi="仿宋_GB2312" w:eastAsia="仿宋_GB2312" w:cs="仿宋_GB2312"/>
          <w:bCs/>
          <w:color w:val="000000" w:themeColor="text1"/>
          <w:highlight w:val="none"/>
          <w14:textFill>
            <w14:solidFill>
              <w14:schemeClr w14:val="tx1"/>
            </w14:solidFill>
          </w14:textFill>
        </w:rPr>
      </w:pPr>
    </w:p>
    <w:p w14:paraId="0EF72610">
      <w:pPr>
        <w:spacing w:line="400" w:lineRule="exact"/>
        <w:ind w:firstLine="570"/>
        <w:rPr>
          <w:rFonts w:ascii="仿宋_GB2312" w:hAnsi="仿宋_GB2312" w:eastAsia="仿宋_GB2312" w:cs="仿宋_GB2312"/>
          <w:color w:val="000000" w:themeColor="text1"/>
          <w:sz w:val="24"/>
          <w:szCs w:val="24"/>
          <w:highlight w:val="none"/>
          <w14:textFill>
            <w14:solidFill>
              <w14:schemeClr w14:val="tx1"/>
            </w14:solidFill>
          </w14:textFill>
        </w:rPr>
      </w:pPr>
      <w:bookmarkStart w:id="69" w:name="_Hlk127200928"/>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甲方（盖章）：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乙方（</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盖</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章）：                    </w:t>
      </w:r>
    </w:p>
    <w:p w14:paraId="5EF41651">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bookmarkEnd w:id="69"/>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4E883C5B">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7306C2FB">
      <w:pPr>
        <w:autoSpaceDE w:val="0"/>
        <w:autoSpaceDN w:val="0"/>
        <w:adjustRightInd w:val="0"/>
        <w:spacing w:line="400" w:lineRule="atLeast"/>
        <w:ind w:firstLine="720" w:firstLineChars="3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委托人：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245F97EB">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14:paraId="11290E34">
      <w:pPr>
        <w:spacing w:line="400" w:lineRule="exact"/>
        <w:ind w:firstLine="5040" w:firstLineChars="2100"/>
        <w:rPr>
          <w:rFonts w:ascii="仿宋_GB2312" w:hAnsi="仿宋_GB2312" w:eastAsia="仿宋_GB2312" w:cs="仿宋_GB2312"/>
          <w:bCs/>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14:paraId="5516DDC8">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sectPr>
          <w:pgSz w:w="11906" w:h="16838"/>
          <w:pgMar w:top="1440" w:right="1800" w:bottom="1440" w:left="1800" w:header="850" w:footer="975" w:gutter="0"/>
          <w:cols w:space="0" w:num="1"/>
          <w:docGrid w:linePitch="312" w:charSpace="0"/>
        </w:sectPr>
      </w:pPr>
    </w:p>
    <w:p w14:paraId="4B057247">
      <w:pPr>
        <w:spacing w:before="120" w:after="120"/>
        <w:outlineLvl w:val="0"/>
        <w:rPr>
          <w:rFonts w:ascii="仿宋_GB2312" w:hAnsi="仿宋_GB2312" w:eastAsia="仿宋_GB2312" w:cs="仿宋_GB2312"/>
          <w:color w:val="000000" w:themeColor="text1"/>
          <w:sz w:val="30"/>
          <w:szCs w:val="30"/>
          <w:highlight w:val="none"/>
          <w14:textFill>
            <w14:solidFill>
              <w14:schemeClr w14:val="tx1"/>
            </w14:solidFill>
          </w14:textFill>
        </w:rPr>
      </w:pPr>
      <w:bookmarkStart w:id="70" w:name="_Toc14827"/>
      <w:r>
        <w:rPr>
          <w:rFonts w:hint="eastAsia" w:ascii="仿宋_GB2312" w:hAnsi="仿宋_GB2312" w:eastAsia="仿宋_GB2312" w:cs="仿宋_GB2312"/>
          <w:color w:val="000000" w:themeColor="text1"/>
          <w:sz w:val="30"/>
          <w:szCs w:val="30"/>
          <w:highlight w:val="none"/>
          <w14:textFill>
            <w14:solidFill>
              <w14:schemeClr w14:val="tx1"/>
            </w14:solidFill>
          </w14:textFill>
        </w:rPr>
        <w:t>附件六：</w:t>
      </w:r>
      <w:bookmarkEnd w:id="70"/>
    </w:p>
    <w:p w14:paraId="19649456">
      <w:pPr>
        <w:spacing w:before="120" w:after="120"/>
        <w:jc w:val="center"/>
        <w:rPr>
          <w:rFonts w:ascii="仿宋_GB2312" w:hAnsi="仿宋_GB2312" w:eastAsia="仿宋_GB2312" w:cs="仿宋_GB2312"/>
          <w:color w:val="000000" w:themeColor="text1"/>
          <w:sz w:val="30"/>
          <w:szCs w:val="30"/>
          <w:highlight w:val="none"/>
          <w14:textFill>
            <w14:solidFill>
              <w14:schemeClr w14:val="tx1"/>
            </w14:solidFill>
          </w14:textFill>
        </w:rPr>
      </w:pPr>
      <w:r>
        <w:rPr>
          <w:rFonts w:hint="eastAsia" w:ascii="仿宋_GB2312" w:hAnsi="仿宋_GB2312" w:eastAsia="仿宋_GB2312" w:cs="仿宋_GB2312"/>
          <w:b/>
          <w:color w:val="000000" w:themeColor="text1"/>
          <w:sz w:val="30"/>
          <w:szCs w:val="30"/>
          <w:highlight w:val="none"/>
          <w14:textFill>
            <w14:solidFill>
              <w14:schemeClr w14:val="tx1"/>
            </w14:solidFill>
          </w14:textFill>
        </w:rPr>
        <w:t>商品混凝土进场验收验证记录表</w:t>
      </w:r>
    </w:p>
    <w:p w14:paraId="68D50F9B">
      <w:pPr>
        <w:spacing w:before="120" w:after="120"/>
        <w:ind w:left="-422" w:firstLine="6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项目名称：                                    供货单位：                              浇筑部位：       </w:t>
      </w:r>
    </w:p>
    <w:tbl>
      <w:tblPr>
        <w:tblStyle w:val="13"/>
        <w:tblW w:w="14803" w:type="dxa"/>
        <w:tblInd w:w="-317" w:type="dxa"/>
        <w:tblLayout w:type="fixed"/>
        <w:tblCellMar>
          <w:top w:w="0" w:type="dxa"/>
          <w:left w:w="108" w:type="dxa"/>
          <w:bottom w:w="0" w:type="dxa"/>
          <w:right w:w="108" w:type="dxa"/>
        </w:tblCellMar>
      </w:tblPr>
      <w:tblGrid>
        <w:gridCol w:w="533"/>
        <w:gridCol w:w="767"/>
        <w:gridCol w:w="845"/>
        <w:gridCol w:w="628"/>
        <w:gridCol w:w="629"/>
        <w:gridCol w:w="880"/>
        <w:gridCol w:w="880"/>
        <w:gridCol w:w="880"/>
        <w:gridCol w:w="881"/>
        <w:gridCol w:w="880"/>
        <w:gridCol w:w="880"/>
        <w:gridCol w:w="826"/>
        <w:gridCol w:w="1174"/>
        <w:gridCol w:w="1080"/>
        <w:gridCol w:w="879"/>
        <w:gridCol w:w="1007"/>
        <w:gridCol w:w="1154"/>
      </w:tblGrid>
      <w:tr w14:paraId="22A00FFF">
        <w:tblPrEx>
          <w:tblCellMar>
            <w:top w:w="0" w:type="dxa"/>
            <w:left w:w="108" w:type="dxa"/>
            <w:bottom w:w="0" w:type="dxa"/>
            <w:right w:w="108" w:type="dxa"/>
          </w:tblCellMar>
        </w:tblPrEx>
        <w:tc>
          <w:tcPr>
            <w:tcW w:w="53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3069EE4">
            <w:pPr>
              <w:spacing w:before="120" w:after="120"/>
              <w:jc w:val="center"/>
              <w:rPr>
                <w:rFonts w:ascii="仿宋_GB2312" w:hAnsi="仿宋_GB2312" w:eastAsia="仿宋_GB2312" w:cs="仿宋_GB2312"/>
                <w:color w:val="000000" w:themeColor="text1"/>
                <w:position w:val="-40"/>
                <w:sz w:val="24"/>
                <w:szCs w:val="24"/>
                <w:highlight w:val="none"/>
                <w14:textFill>
                  <w14:solidFill>
                    <w14:schemeClr w14:val="tx1"/>
                  </w14:solidFill>
                </w14:textFill>
              </w:rPr>
            </w:pPr>
            <w:permStart w:id="111" w:edGrp="everyone"/>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序</w:t>
            </w:r>
          </w:p>
          <w:p w14:paraId="6336059D">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号</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5EB9462">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进场日期</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FA57D5D">
            <w:pPr>
              <w:spacing w:before="120" w:after="120"/>
              <w:ind w:right="-817"/>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60"/>
                <w:sz w:val="24"/>
                <w:szCs w:val="24"/>
                <w:highlight w:val="none"/>
                <w14:textFill>
                  <w14:solidFill>
                    <w14:schemeClr w14:val="tx1"/>
                  </w14:solidFill>
                </w14:textFill>
              </w:rPr>
              <w:t>车牌号</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C035A92">
            <w:pPr>
              <w:spacing w:before="120" w:after="120"/>
              <w:ind w:right="-817"/>
              <w:rPr>
                <w:rFonts w:ascii="仿宋_GB2312" w:hAnsi="仿宋_GB2312" w:eastAsia="仿宋_GB2312" w:cs="仿宋_GB2312"/>
                <w:color w:val="000000" w:themeColor="text1"/>
                <w:position w:val="-40"/>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小票</w:t>
            </w:r>
          </w:p>
          <w:p w14:paraId="02E37FB9">
            <w:pPr>
              <w:spacing w:before="120" w:after="120"/>
              <w:ind w:right="-817"/>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编号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4AC25D24">
            <w:pPr>
              <w:spacing w:before="120" w:after="120"/>
              <w:ind w:right="-817"/>
              <w:rPr>
                <w:rFonts w:ascii="仿宋_GB2312" w:hAnsi="仿宋_GB2312" w:eastAsia="仿宋_GB2312" w:cs="仿宋_GB2312"/>
                <w:color w:val="000000" w:themeColor="text1"/>
                <w:position w:val="-40"/>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强度</w:t>
            </w:r>
          </w:p>
          <w:p w14:paraId="16ECB01B">
            <w:pPr>
              <w:spacing w:before="120" w:after="120"/>
              <w:ind w:right="-817"/>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40"/>
                <w:sz w:val="24"/>
                <w:szCs w:val="24"/>
                <w:highlight w:val="none"/>
                <w14:textFill>
                  <w14:solidFill>
                    <w14:schemeClr w14:val="tx1"/>
                  </w14:solidFill>
                </w14:textFill>
              </w:rPr>
              <w:t>等级</w:t>
            </w:r>
          </w:p>
        </w:tc>
        <w:tc>
          <w:tcPr>
            <w:tcW w:w="176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2BBF922F">
            <w:pPr>
              <w:spacing w:before="120" w:after="120"/>
              <w:ind w:right="-817" w:firstLine="33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配合比容重</w:t>
            </w:r>
          </w:p>
          <w:p w14:paraId="6C4E6849">
            <w:pPr>
              <w:spacing w:before="120" w:after="120"/>
              <w:ind w:right="-817" w:firstLine="33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（kg/m3）</w:t>
            </w:r>
          </w:p>
        </w:tc>
        <w:tc>
          <w:tcPr>
            <w:tcW w:w="176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620DE70">
            <w:pPr>
              <w:spacing w:before="120" w:after="120"/>
              <w:ind w:firstLine="22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混凝土净重</w:t>
            </w:r>
          </w:p>
          <w:p w14:paraId="5DD314F5">
            <w:pPr>
              <w:spacing w:before="120" w:after="120"/>
              <w:ind w:firstLine="44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（kg）</w:t>
            </w:r>
          </w:p>
        </w:tc>
        <w:tc>
          <w:tcPr>
            <w:tcW w:w="176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AC9F58F">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混凝土体积</w:t>
            </w:r>
          </w:p>
          <w:p w14:paraId="784CF5B9">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（m3）</w:t>
            </w:r>
          </w:p>
        </w:tc>
        <w:tc>
          <w:tcPr>
            <w:tcW w:w="200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68AAEDD">
            <w:pPr>
              <w:spacing w:before="120" w:after="120"/>
              <w:ind w:firstLine="11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量差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28C05A75">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合同约定计合同约定量方式</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5F8409EC">
            <w:pPr>
              <w:spacing w:before="120" w:after="120"/>
              <w:ind w:firstLine="31"/>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0"/>
                <w:sz w:val="24"/>
                <w:szCs w:val="24"/>
                <w:highlight w:val="none"/>
                <w14:textFill>
                  <w14:solidFill>
                    <w14:schemeClr w14:val="tx1"/>
                  </w14:solidFill>
                </w14:textFill>
              </w:rPr>
              <w:t>实际验收方量</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6A15C0A8">
            <w:pPr>
              <w:spacing w:before="120" w:after="120"/>
              <w:ind w:firstLine="31"/>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0"/>
                <w:sz w:val="24"/>
                <w:szCs w:val="24"/>
                <w:highlight w:val="none"/>
                <w14:textFill>
                  <w14:solidFill>
                    <w14:schemeClr w14:val="tx1"/>
                  </w14:solidFill>
                </w14:textFill>
              </w:rPr>
              <w:t>验收（证）人员</w:t>
            </w:r>
          </w:p>
        </w:tc>
        <w:tc>
          <w:tcPr>
            <w:tcW w:w="115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42D83B3">
            <w:pPr>
              <w:spacing w:before="120" w:after="120"/>
              <w:ind w:firstLine="31"/>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0"/>
                <w:sz w:val="24"/>
                <w:szCs w:val="24"/>
                <w:highlight w:val="none"/>
                <w14:textFill>
                  <w14:solidFill>
                    <w14:schemeClr w14:val="tx1"/>
                  </w14:solidFill>
                </w14:textFill>
              </w:rPr>
              <w:t>供货单位确认人</w:t>
            </w:r>
          </w:p>
        </w:tc>
      </w:tr>
      <w:tr w14:paraId="7BDB45CF">
        <w:tblPrEx>
          <w:tblCellMar>
            <w:top w:w="0" w:type="dxa"/>
            <w:left w:w="108" w:type="dxa"/>
            <w:bottom w:w="0" w:type="dxa"/>
            <w:right w:w="108" w:type="dxa"/>
          </w:tblCellMar>
        </w:tblPrEx>
        <w:trPr>
          <w:trHeight w:val="941"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DCD1C22">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855A4AA">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5538AFA9">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690D57E0">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52FC6773">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A03217B">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标准值</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49EEF16">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实测值</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5C63758B">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标准值</w:t>
            </w:r>
          </w:p>
        </w:tc>
        <w:tc>
          <w:tcPr>
            <w:tcW w:w="8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216BEB03">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实测值</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D9EFD72">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标准值</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7D63224">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实测值</w:t>
            </w:r>
          </w:p>
        </w:tc>
        <w:tc>
          <w:tcPr>
            <w:tcW w:w="8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39F7F0E9">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数量</w:t>
            </w: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7DC43CB">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误差（±1％以内）</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15549AA">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51304546">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2ACE2747">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F57AA89">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r>
      <w:tr w14:paraId="1BC02ED8">
        <w:tblPrEx>
          <w:tblCellMar>
            <w:top w:w="0" w:type="dxa"/>
            <w:left w:w="108" w:type="dxa"/>
            <w:bottom w:w="0" w:type="dxa"/>
            <w:right w:w="108" w:type="dxa"/>
          </w:tblCellMar>
        </w:tblPrEx>
        <w:tc>
          <w:tcPr>
            <w:tcW w:w="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0997120">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7C5B9B07">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2CA7BE9">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3596219">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621BC01">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02CA385A">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a</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6EF83B48">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b</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1D7A677">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c=a*e</w:t>
            </w:r>
          </w:p>
        </w:tc>
        <w:tc>
          <w:tcPr>
            <w:tcW w:w="8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24E7051A">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d</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6B2820D4">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e</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2A380884">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f=d/b</w:t>
            </w:r>
          </w:p>
        </w:tc>
        <w:tc>
          <w:tcPr>
            <w:tcW w:w="8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528865FE">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b-a</w:t>
            </w: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612553C3">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(b-a)/a</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E6DD386">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02629FAC">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0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6CB46FF3">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1F3CB6E2">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r>
      <w:tr w14:paraId="18ADFBC0">
        <w:tblPrEx>
          <w:tblCellMar>
            <w:top w:w="0" w:type="dxa"/>
            <w:left w:w="108" w:type="dxa"/>
            <w:bottom w:w="0" w:type="dxa"/>
            <w:right w:w="108" w:type="dxa"/>
          </w:tblCellMar>
        </w:tblPrEx>
        <w:tc>
          <w:tcPr>
            <w:tcW w:w="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B7BE936">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4EA44B3E">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58311414">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46E89E0D">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0B6034AA">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135F1D50">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a</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6791F5B8">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b</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29425C1">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c=a*e</w:t>
            </w:r>
          </w:p>
        </w:tc>
        <w:tc>
          <w:tcPr>
            <w:tcW w:w="8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69DCEA0">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d</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57B36AFF">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e</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37C3DDE9">
            <w:pPr>
              <w:spacing w:before="120" w:after="120"/>
              <w:jc w:val="cente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position w:val="-32"/>
                <w:sz w:val="24"/>
                <w:szCs w:val="24"/>
                <w:highlight w:val="none"/>
                <w14:textFill>
                  <w14:solidFill>
                    <w14:schemeClr w14:val="tx1"/>
                  </w14:solidFill>
                </w14:textFill>
              </w:rPr>
              <w:t>f=d/b</w:t>
            </w:r>
          </w:p>
        </w:tc>
        <w:tc>
          <w:tcPr>
            <w:tcW w:w="8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3DB5B98">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d-c</w:t>
            </w: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38AC19E4">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(d-c)/c</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430279B3">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30749C06">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0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54D98824">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14:paraId="36808612">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r>
      <w:tr w14:paraId="0E0F6B7D">
        <w:tblPrEx>
          <w:tblCellMar>
            <w:top w:w="0" w:type="dxa"/>
            <w:left w:w="108" w:type="dxa"/>
            <w:bottom w:w="0" w:type="dxa"/>
            <w:right w:w="108" w:type="dxa"/>
          </w:tblCellMar>
        </w:tblPrEx>
        <w:trPr>
          <w:trHeight w:val="780" w:hRule="atLeast"/>
        </w:trPr>
        <w:tc>
          <w:tcPr>
            <w:tcW w:w="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279CDC2C">
            <w:pPr>
              <w:spacing w:before="120" w:after="120"/>
              <w:ind w:firstLine="24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46D34CE4">
            <w:pPr>
              <w:spacing w:before="120" w:after="120"/>
              <w:jc w:val="left"/>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259B43F">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FCD6E38">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7BA7937">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6FCEAEBC">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F6526B2">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E8C31D0">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B73B56D">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1FA4E4E9">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5D8C128">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F7EF882">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1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2EF07465">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35796424">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8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485AE65B">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0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0A31286">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c>
          <w:tcPr>
            <w:tcW w:w="11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14:paraId="07F218EF">
            <w:pPr>
              <w:spacing w:before="120" w:after="120"/>
              <w:rPr>
                <w:rFonts w:ascii="仿宋_GB2312" w:hAnsi="仿宋_GB2312" w:eastAsia="仿宋_GB2312" w:cs="仿宋_GB2312"/>
                <w:color w:val="000000" w:themeColor="text1"/>
                <w:sz w:val="24"/>
                <w:szCs w:val="24"/>
                <w:highlight w:val="none"/>
                <w14:textFill>
                  <w14:solidFill>
                    <w14:schemeClr w14:val="tx1"/>
                  </w14:solidFill>
                </w14:textFill>
              </w:rPr>
            </w:pPr>
          </w:p>
        </w:tc>
      </w:tr>
      <w:permEnd w:id="111"/>
    </w:tbl>
    <w:p w14:paraId="42E8777E">
      <w:pPr>
        <w:spacing w:before="120" w:after="120" w:line="400" w:lineRule="exact"/>
        <w:ind w:right="-816"/>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备注：1、配合比容重（kg/m3）：标准值指混凝土配合比设计报告标注的混凝土容重；实测值指现场实测实量的混凝土容重； 2、混凝土净重（kg）：标准值指混凝土配合比设计报告标注的混凝土容重*小票标称的方量；实测值指现场实际过磅的净重（毛重-皮重）；3、混凝土体积（m3）：标准值指小票标注的立方数；实测值指混凝土净重实测值/配合比容重实测值；4、《普通混凝土配合比设计规程JGJ 55-2000》第6章规定，混凝土表观密度（即容重）实测值与计算值之差的绝对值不超过计算值的1％时方可确定为配合比。</w:t>
      </w:r>
    </w:p>
    <w:p w14:paraId="23CFEE19">
      <w:pPr>
        <w:rPr>
          <w:color w:val="000000" w:themeColor="text1"/>
          <w:highlight w:val="none"/>
          <w14:textFill>
            <w14:solidFill>
              <w14:schemeClr w14:val="tx1"/>
            </w14:solidFill>
          </w14:textFill>
        </w:rPr>
        <w:sectPr>
          <w:headerReference r:id="rId12" w:type="default"/>
          <w:pgSz w:w="16838" w:h="11906" w:orient="landscape"/>
          <w:pgMar w:top="1803" w:right="1440" w:bottom="1803" w:left="1440" w:header="1134" w:footer="975" w:gutter="0"/>
          <w:cols w:space="0" w:num="1"/>
          <w:docGrid w:linePitch="312" w:charSpace="0"/>
        </w:sectPr>
      </w:pPr>
    </w:p>
    <w:p w14:paraId="2747AF21">
      <w:pPr>
        <w:pStyle w:val="16"/>
        <w:jc w:val="both"/>
        <w:outlineLvl w:val="0"/>
        <w:rPr>
          <w:rFonts w:hint="default" w:ascii="黑体" w:hAnsi="黑体" w:eastAsia="黑体" w:cs="黑体"/>
          <w:b/>
          <w:bCs/>
          <w:color w:val="000000" w:themeColor="text1"/>
          <w:sz w:val="32"/>
          <w:szCs w:val="32"/>
          <w:highlight w:val="none"/>
          <w:lang w:val="en-US" w:eastAsia="zh-CN"/>
          <w14:textFill>
            <w14:solidFill>
              <w14:schemeClr w14:val="tx1"/>
            </w14:solidFill>
          </w14:textFill>
        </w:rPr>
      </w:pPr>
      <w:bookmarkStart w:id="71" w:name="_Toc4762"/>
      <w:bookmarkStart w:id="72" w:name="_Toc14480"/>
      <w:bookmarkStart w:id="73" w:name="_Hlk127794870"/>
      <w:permStart w:id="112" w:edGrp="everyone"/>
      <w:r>
        <w:rPr>
          <w:rFonts w:hint="eastAsia" w:ascii="黑体" w:hAnsi="黑体" w:eastAsia="黑体" w:cs="黑体"/>
          <w:b/>
          <w:bCs/>
          <w:color w:val="000000" w:themeColor="text1"/>
          <w:sz w:val="32"/>
          <w:szCs w:val="32"/>
          <w:highlight w:val="none"/>
          <w:lang w:val="en-US" w:eastAsia="zh-CN"/>
          <w14:textFill>
            <w14:solidFill>
              <w14:schemeClr w14:val="tx1"/>
            </w14:solidFill>
          </w14:textFill>
        </w:rPr>
        <w:t xml:space="preserve">          </w:t>
      </w:r>
      <w:permEnd w:id="112"/>
    </w:p>
    <w:p w14:paraId="55AE4B00">
      <w:pPr>
        <w:pStyle w:val="16"/>
        <w:jc w:val="center"/>
        <w:outlineLvl w:val="0"/>
        <w:rPr>
          <w:rFonts w:hint="eastAsia" w:ascii="黑体" w:hAnsi="黑体" w:eastAsia="黑体" w:cs="黑体"/>
          <w:b/>
          <w:bCs/>
          <w:color w:val="000000" w:themeColor="text1"/>
          <w:sz w:val="32"/>
          <w:szCs w:val="32"/>
          <w:highlight w:val="none"/>
          <w14:textFill>
            <w14:solidFill>
              <w14:schemeClr w14:val="tx1"/>
            </w14:solidFill>
          </w14:textFill>
        </w:rPr>
      </w:pPr>
    </w:p>
    <w:p w14:paraId="3D0A01AF">
      <w:pPr>
        <w:pStyle w:val="16"/>
        <w:jc w:val="center"/>
        <w:outlineLvl w:val="0"/>
        <w:rPr>
          <w:rFonts w:ascii="仿宋" w:hAnsi="仿宋" w:eastAsia="仿宋" w:cs="仿宋"/>
          <w:b/>
          <w:bCs/>
          <w:color w:val="000000" w:themeColor="text1"/>
          <w:sz w:val="32"/>
          <w:szCs w:val="32"/>
          <w:highlight w:val="none"/>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第二部分 通用条款</w:t>
      </w:r>
      <w:bookmarkEnd w:id="71"/>
      <w:bookmarkEnd w:id="72"/>
    </w:p>
    <w:bookmarkEnd w:id="73"/>
    <w:p w14:paraId="608AD6F1">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74" w:name="_Toc27311"/>
      <w:r>
        <w:rPr>
          <w:rFonts w:hint="eastAsia" w:ascii="仿宋_GB2312" w:hAnsi="仿宋_GB2312" w:eastAsia="仿宋_GB2312" w:cs="仿宋_GB2312"/>
          <w:b/>
          <w:bCs/>
          <w:color w:val="000000" w:themeColor="text1"/>
          <w:highlight w:val="none"/>
          <w14:textFill>
            <w14:solidFill>
              <w14:schemeClr w14:val="tx1"/>
            </w14:solidFill>
          </w14:textFill>
        </w:rPr>
        <w:t>货物合同附随义务</w:t>
      </w:r>
      <w:bookmarkEnd w:id="74"/>
    </w:p>
    <w:p w14:paraId="16605C39">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1.乙方义务</w:t>
      </w:r>
    </w:p>
    <w:p w14:paraId="0AD1ECDA">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1.1乙方合规义务</w:t>
      </w:r>
    </w:p>
    <w:p w14:paraId="62902BE1">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1.1.1合规开展行业竞争：</w:t>
      </w:r>
      <w:r>
        <w:rPr>
          <w:rFonts w:hint="eastAsia" w:ascii="仿宋_GB2312" w:hAnsi="仿宋_GB2312" w:eastAsia="仿宋_GB2312" w:cs="仿宋_GB2312"/>
          <w:color w:val="000000" w:themeColor="text1"/>
          <w:highlight w:val="none"/>
          <w14:textFill>
            <w14:solidFill>
              <w14:schemeClr w14:val="tx1"/>
            </w14:solidFill>
          </w14:textFill>
        </w:rPr>
        <w:t>积极防范和制止垄断行为，不实施任何市场排除、限制竞争行为；不组织经营者集中等违法垄断行为，不实施不正当竞争行为和不正当价格行为，不从事商誉诋毁等违法违规竞争行为。</w:t>
      </w:r>
    </w:p>
    <w:p w14:paraId="750EF131">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1.1.2合规保障服务生产：</w:t>
      </w:r>
      <w:r>
        <w:rPr>
          <w:rFonts w:hint="eastAsia" w:ascii="仿宋_GB2312" w:hAnsi="仿宋_GB2312" w:eastAsia="仿宋_GB2312" w:cs="仿宋_GB2312"/>
          <w:color w:val="000000" w:themeColor="text1"/>
          <w:highlight w:val="none"/>
          <w14:textFill>
            <w14:solidFill>
              <w14:schemeClr w14:val="tx1"/>
            </w14:solidFill>
          </w14:textFill>
        </w:rPr>
        <w:t>恪守契约精神，严格按照合同约定时间和地点完成货物交付，全力保障项目物资设备供应需求。</w:t>
      </w:r>
    </w:p>
    <w:p w14:paraId="0076BC0B">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1.1.3合规履行安全管控职责：</w:t>
      </w:r>
      <w:r>
        <w:rPr>
          <w:rFonts w:hint="eastAsia" w:ascii="仿宋_GB2312" w:hAnsi="仿宋_GB2312" w:eastAsia="仿宋_GB2312" w:cs="仿宋_GB2312"/>
          <w:color w:val="000000" w:themeColor="text1"/>
          <w:highlight w:val="none"/>
          <w14:textFill>
            <w14:solidFill>
              <w14:schemeClr w14:val="tx1"/>
            </w14:solidFill>
          </w14:textFill>
        </w:rPr>
        <w:t>自觉遵守甲方施工现场有关安全文明施工、环境和职业健康安全方面的要求，绝不出现违反安全法律和其他安全生产规章制度的行为，具体要求详见合同附件三。</w:t>
      </w:r>
    </w:p>
    <w:p w14:paraId="70C9B4CC">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1.1.4合规履行质量管控职责：</w:t>
      </w:r>
      <w:r>
        <w:rPr>
          <w:rFonts w:hint="eastAsia" w:ascii="仿宋_GB2312" w:hAnsi="仿宋_GB2312" w:eastAsia="仿宋_GB2312" w:cs="仿宋_GB2312"/>
          <w:color w:val="000000" w:themeColor="text1"/>
          <w:highlight w:val="none"/>
          <w14:textFill>
            <w14:solidFill>
              <w14:schemeClr w14:val="tx1"/>
            </w14:solidFill>
          </w14:textFill>
        </w:rPr>
        <w:t>绝不供应质量不合格货物，加强自身各环节质量管理，绝不出现任何质量或数量瑕疵，严控假冒伪劣货物流通，严格按本合同约定质量标准和数量要求履约生产。</w:t>
      </w:r>
    </w:p>
    <w:p w14:paraId="230BA84C">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1.1.5合规依法纳税职责：</w:t>
      </w:r>
      <w:r>
        <w:rPr>
          <w:rFonts w:hint="eastAsia" w:ascii="仿宋_GB2312" w:hAnsi="仿宋_GB2312" w:eastAsia="仿宋_GB2312" w:cs="仿宋_GB2312"/>
          <w:color w:val="000000" w:themeColor="text1"/>
          <w:highlight w:val="none"/>
          <w14:textFill>
            <w14:solidFill>
              <w14:schemeClr w14:val="tx1"/>
            </w14:solidFill>
          </w14:textFill>
        </w:rPr>
        <w:t>严格按照国家税法规定，履行合法合规纳税义务，绝不虚开或伪造增值税专用发票。</w:t>
      </w:r>
    </w:p>
    <w:p w14:paraId="59E29D54">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1.1.6合规拥有货物所有权：</w:t>
      </w:r>
      <w:r>
        <w:rPr>
          <w:rFonts w:hint="eastAsia" w:ascii="仿宋_GB2312" w:hAnsi="仿宋_GB2312" w:eastAsia="仿宋_GB2312" w:cs="仿宋_GB2312"/>
          <w:color w:val="000000" w:themeColor="text1"/>
          <w:highlight w:val="none"/>
          <w14:textFill>
            <w14:solidFill>
              <w14:schemeClr w14:val="tx1"/>
            </w14:solidFill>
          </w14:textFill>
        </w:rPr>
        <w:t>保证对货物具有所有权或受委托代理销售权，并向甲方出具相关凭证。保证交付的货物不附有任何担保权、留置权或设定其他权利负担。</w:t>
      </w:r>
    </w:p>
    <w:p w14:paraId="1C0BC817">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1.1.7合规拥有</w:t>
      </w:r>
      <w:r>
        <w:rPr>
          <w:rFonts w:ascii="仿宋_GB2312" w:hAnsi="仿宋_GB2312" w:eastAsia="仿宋_GB2312" w:cs="仿宋_GB2312"/>
          <w:b/>
          <w:bCs/>
          <w:color w:val="000000" w:themeColor="text1"/>
          <w:highlight w:val="none"/>
          <w14:textFill>
            <w14:solidFill>
              <w14:schemeClr w14:val="tx1"/>
            </w14:solidFill>
          </w14:textFill>
        </w:rPr>
        <w:t>货物知识产权：</w:t>
      </w:r>
      <w:r>
        <w:rPr>
          <w:rFonts w:ascii="仿宋_GB2312" w:hAnsi="仿宋_GB2312" w:eastAsia="仿宋_GB2312" w:cs="仿宋_GB2312"/>
          <w:color w:val="000000" w:themeColor="text1"/>
          <w:highlight w:val="none"/>
          <w14:textFill>
            <w14:solidFill>
              <w14:schemeClr w14:val="tx1"/>
            </w14:solidFill>
          </w14:textFill>
        </w:rPr>
        <w:t>保障甲方在工程所在地使用其货物、服务及其任何部分不受到第三方关于侵犯专利权、商标权、工业设计权或其他知识产权的指控。任何第三方如果提起侵权诉讼，乙方负责与第三方交涉并承担由此而引起的一切法律责任和费用及赔偿甲方的一切损失。</w:t>
      </w:r>
    </w:p>
    <w:p w14:paraId="00C507A1">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1.1.8合规开展廉洁共建职责：</w:t>
      </w:r>
      <w:r>
        <w:rPr>
          <w:rFonts w:hint="eastAsia" w:ascii="仿宋_GB2312" w:hAnsi="仿宋_GB2312" w:eastAsia="仿宋_GB2312" w:cs="仿宋_GB2312"/>
          <w:color w:val="000000" w:themeColor="text1"/>
          <w:highlight w:val="none"/>
          <w14:textFill>
            <w14:solidFill>
              <w14:schemeClr w14:val="tx1"/>
            </w14:solidFill>
          </w14:textFill>
        </w:rPr>
        <w:t xml:space="preserve">绝不从事任何形式的商业贿赂、利益输送及其他不正当交易；绝不以任何理由为甲方、相关单位或个人组织有可能影响公正执行公务的宴请、娱乐等活动，具体要求详见合同附件五。 </w:t>
      </w:r>
    </w:p>
    <w:p w14:paraId="1F5986DE">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1.2乙方其他义务</w:t>
      </w:r>
    </w:p>
    <w:p w14:paraId="0753F578">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1.2.1增值服务：</w:t>
      </w:r>
      <w:r>
        <w:rPr>
          <w:rFonts w:hint="eastAsia" w:ascii="仿宋_GB2312" w:hAnsi="仿宋_GB2312" w:eastAsia="仿宋_GB2312" w:cs="仿宋_GB2312"/>
          <w:color w:val="000000" w:themeColor="text1"/>
          <w:highlight w:val="none"/>
          <w14:textFill>
            <w14:solidFill>
              <w14:schemeClr w14:val="tx1"/>
            </w14:solidFill>
          </w14:textFill>
        </w:rPr>
        <w:t>乙方应提供与货物配套的增值服务；包括但不限于技术支持、深化设计、现场培训及货物安装指导等工作，相应费用已在综合单价考虑。</w:t>
      </w:r>
    </w:p>
    <w:p w14:paraId="6EE54304">
      <w:pPr>
        <w:pStyle w:val="16"/>
        <w:spacing w:line="400" w:lineRule="atLeast"/>
        <w:ind w:firstLine="482"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1.2.2货物退货与置换：</w:t>
      </w:r>
      <w:r>
        <w:rPr>
          <w:rFonts w:hint="eastAsia" w:ascii="仿宋_GB2312" w:hAnsi="仿宋_GB2312" w:eastAsia="仿宋_GB2312" w:cs="仿宋_GB2312"/>
          <w:color w:val="000000" w:themeColor="text1"/>
          <w:highlight w:val="none"/>
          <w14:textFill>
            <w14:solidFill>
              <w14:schemeClr w14:val="tx1"/>
            </w14:solidFill>
          </w14:textFill>
        </w:rPr>
        <w:t>乙方供应的货物，根据不同情况甲方可选择直接向乙方退货或向乙方置换，乙方同意按甲方选择的方式办理：</w:t>
      </w:r>
    </w:p>
    <w:p w14:paraId="7FDF740B">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（1）对于未使用且不影响二次销售的材料，若甲方选择退货，则双方按甲方退货后实际收到合格货物数量办理结算。</w:t>
      </w:r>
    </w:p>
    <w:p w14:paraId="5912374B">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（2）对于已使用的材料，若甲方选择置换，则双方协商估算原材料残值并置换等价值新材料。</w:t>
      </w:r>
    </w:p>
    <w:p w14:paraId="48C10A0C">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（3）甲方原因产生的退货或者置换产生的运输费用由</w:t>
      </w:r>
      <w:permStart w:id="113"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permEnd w:id="113"/>
      <w:r>
        <w:rPr>
          <w:rFonts w:hint="eastAsia" w:ascii="仿宋_GB2312" w:hAnsi="仿宋_GB2312" w:eastAsia="仿宋_GB2312" w:cs="仿宋_GB2312"/>
          <w:color w:val="000000" w:themeColor="text1"/>
          <w:highlight w:val="none"/>
          <w14:textFill>
            <w14:solidFill>
              <w14:schemeClr w14:val="tx1"/>
            </w14:solidFill>
          </w14:textFill>
        </w:rPr>
        <w:t>承担，装卸费用由</w:t>
      </w:r>
      <w:permStart w:id="114"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甲方 </w:t>
      </w:r>
      <w:permEnd w:id="114"/>
      <w:r>
        <w:rPr>
          <w:rFonts w:hint="eastAsia" w:ascii="仿宋_GB2312" w:hAnsi="仿宋_GB2312" w:eastAsia="仿宋_GB2312" w:cs="仿宋_GB2312"/>
          <w:color w:val="000000" w:themeColor="text1"/>
          <w:highlight w:val="none"/>
          <w14:textFill>
            <w14:solidFill>
              <w14:schemeClr w14:val="tx1"/>
            </w14:solidFill>
          </w14:textFill>
        </w:rPr>
        <w:t>承担。</w:t>
      </w:r>
    </w:p>
    <w:p w14:paraId="48AB4F57">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1.2.3供应滞缓通知：</w:t>
      </w:r>
      <w:r>
        <w:rPr>
          <w:rFonts w:hint="eastAsia" w:ascii="仿宋_GB2312" w:hAnsi="仿宋_GB2312" w:eastAsia="仿宋_GB2312" w:cs="仿宋_GB2312"/>
          <w:color w:val="000000" w:themeColor="text1"/>
          <w:highlight w:val="none"/>
          <w14:textFill>
            <w14:solidFill>
              <w14:schemeClr w14:val="tx1"/>
            </w14:solidFill>
          </w14:textFill>
        </w:rPr>
        <w:t>混凝土浇筑前，由于乙方设备出现故障等特殊原因不能按时供应，乙方应在故障发生后1小时内及时通知甲方，否则承担由此造成的工期损失、经济损失。</w:t>
      </w:r>
    </w:p>
    <w:p w14:paraId="1D5882B7">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2.甲方义务</w:t>
      </w:r>
    </w:p>
    <w:p w14:paraId="651FA9F6">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2.1材料需用计划：</w:t>
      </w:r>
      <w:r>
        <w:rPr>
          <w:rFonts w:hint="eastAsia" w:ascii="仿宋_GB2312" w:hAnsi="仿宋_GB2312" w:eastAsia="仿宋_GB2312" w:cs="仿宋_GB2312"/>
          <w:color w:val="000000" w:themeColor="text1"/>
          <w:highlight w:val="none"/>
          <w14:textFill>
            <w14:solidFill>
              <w14:schemeClr w14:val="tx1"/>
            </w14:solidFill>
          </w14:textFill>
        </w:rPr>
        <w:t>甲方合理制定材料总需用计划及日常需用计划，并按照合同约定提前通知乙方，给予乙方充足备货期。</w:t>
      </w:r>
    </w:p>
    <w:p w14:paraId="647BAB12">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2.2配合材料卸货：</w:t>
      </w:r>
      <w:r>
        <w:rPr>
          <w:rFonts w:hint="eastAsia" w:ascii="仿宋_GB2312" w:hAnsi="仿宋_GB2312" w:eastAsia="仿宋_GB2312" w:cs="仿宋_GB2312"/>
          <w:color w:val="000000" w:themeColor="text1"/>
          <w:highlight w:val="none"/>
          <w14:textFill>
            <w14:solidFill>
              <w14:schemeClr w14:val="tx1"/>
            </w14:solidFill>
          </w14:textFill>
        </w:rPr>
        <w:t>乙方在材料运抵交货前</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1小时</w:t>
      </w:r>
      <w:r>
        <w:rPr>
          <w:rFonts w:hint="eastAsia" w:ascii="仿宋_GB2312" w:hAnsi="仿宋_GB2312" w:eastAsia="仿宋_GB2312" w:cs="仿宋_GB2312"/>
          <w:color w:val="000000" w:themeColor="text1"/>
          <w:highlight w:val="none"/>
          <w14:textFill>
            <w14:solidFill>
              <w14:schemeClr w14:val="tx1"/>
            </w14:solidFill>
          </w14:textFill>
        </w:rPr>
        <w:t>通知甲方，</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配合乙方材料卸货</w:t>
      </w:r>
      <w:r>
        <w:rPr>
          <w:rFonts w:hint="eastAsia" w:ascii="仿宋_GB2312" w:hAnsi="仿宋_GB2312" w:eastAsia="仿宋_GB2312" w:cs="仿宋_GB2312"/>
          <w:color w:val="000000" w:themeColor="text1"/>
          <w:highlight w:val="none"/>
          <w14:textFill>
            <w14:solidFill>
              <w14:schemeClr w14:val="tx1"/>
            </w14:solidFill>
          </w14:textFill>
        </w:rPr>
        <w:t>。</w:t>
      </w:r>
    </w:p>
    <w:p w14:paraId="0AE4AD16">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75" w:name="_Toc21274"/>
      <w:r>
        <w:rPr>
          <w:rFonts w:hint="eastAsia" w:ascii="仿宋_GB2312" w:hAnsi="仿宋_GB2312" w:eastAsia="仿宋_GB2312" w:cs="仿宋_GB2312"/>
          <w:b/>
          <w:bCs/>
          <w:color w:val="000000" w:themeColor="text1"/>
          <w:highlight w:val="none"/>
          <w14:textFill>
            <w14:solidFill>
              <w14:schemeClr w14:val="tx1"/>
            </w14:solidFill>
          </w14:textFill>
        </w:rPr>
        <w:t>货物违约责任</w:t>
      </w:r>
      <w:bookmarkEnd w:id="75"/>
    </w:p>
    <w:p w14:paraId="67EA1F72">
      <w:pPr>
        <w:pStyle w:val="16"/>
        <w:numPr>
          <w:ilvl w:val="0"/>
          <w:numId w:val="11"/>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未按计划时间供应：</w:t>
      </w:r>
    </w:p>
    <w:p w14:paraId="1298C365">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乙方未能按本合同第三条款中书面计划的要求供应材料，若因非甲方原因致使延期供货的次数超过</w:t>
      </w:r>
      <w:permStart w:id="115"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2 </w:t>
      </w:r>
      <w:permEnd w:id="115"/>
      <w:r>
        <w:rPr>
          <w:rFonts w:hint="eastAsia" w:ascii="仿宋_GB2312" w:hAnsi="仿宋_GB2312" w:eastAsia="仿宋_GB2312" w:cs="仿宋_GB2312"/>
          <w:color w:val="000000" w:themeColor="text1"/>
          <w:highlight w:val="none"/>
          <w:u w:val="single"/>
          <w14:textFill>
            <w14:solidFill>
              <w14:schemeClr w14:val="tx1"/>
            </w14:solidFill>
          </w14:textFill>
        </w:rPr>
        <w:t>次</w:t>
      </w:r>
      <w:r>
        <w:rPr>
          <w:rFonts w:hint="eastAsia" w:ascii="仿宋_GB2312" w:hAnsi="仿宋_GB2312" w:eastAsia="仿宋_GB2312" w:cs="仿宋_GB2312"/>
          <w:color w:val="000000" w:themeColor="text1"/>
          <w:highlight w:val="none"/>
          <w14:textFill>
            <w14:solidFill>
              <w14:schemeClr w14:val="tx1"/>
            </w14:solidFill>
          </w14:textFill>
        </w:rPr>
        <w:t>，乙方须向甲方支付违约金，</w:t>
      </w:r>
      <w:r>
        <w:rPr>
          <w:rFonts w:hint="eastAsia" w:ascii="仿宋_GB2312" w:hAnsi="仿宋_GB2312" w:eastAsia="仿宋_GB2312" w:cs="仿宋_GB2312"/>
          <w:b/>
          <w:bCs/>
          <w:color w:val="000000" w:themeColor="text1"/>
          <w:highlight w:val="none"/>
          <w14:textFill>
            <w14:solidFill>
              <w14:schemeClr w14:val="tx1"/>
            </w14:solidFill>
          </w14:textFill>
        </w:rPr>
        <w:t>违约金按照20000元每次计，且除违约金外乙方必须承担甲方项目实际工期损失及经济损失。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乙方延迟交付超</w:t>
      </w:r>
      <w:permStart w:id="116"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5</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End w:id="116"/>
      <w:r>
        <w:rPr>
          <w:rFonts w:hint="eastAsia" w:ascii="仿宋_GB2312" w:hAnsi="仿宋_GB2312" w:eastAsia="仿宋_GB2312" w:cs="仿宋_GB2312"/>
          <w:color w:val="000000" w:themeColor="text1"/>
          <w:highlight w:val="none"/>
          <w14:textFill>
            <w14:solidFill>
              <w14:schemeClr w14:val="tx1"/>
            </w14:solidFill>
          </w14:textFill>
        </w:rPr>
        <w:t>日的，甲方有权单方解除本合同。</w:t>
      </w:r>
    </w:p>
    <w:p w14:paraId="772B177A">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乙方应全力保障项目的供应，因乙方资源组织问题引起的供应困难，乙方不能或不愿解决的，甲方可寻找其他供应单位代为解决，因此引起的甲方成本增加等相关费用在结算中扣除。</w:t>
      </w:r>
    </w:p>
    <w:p w14:paraId="57CCA54F">
      <w:pPr>
        <w:pStyle w:val="16"/>
        <w:numPr>
          <w:ilvl w:val="0"/>
          <w:numId w:val="11"/>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未按指定地点或方式供应：</w:t>
      </w:r>
    </w:p>
    <w:p w14:paraId="138090A3">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乙方不能按本合同约定地点、方式供货的，甲方有权要求乙方按照合同履行，乙方应按甲方要求立即组织更换或完善不符合的条件及要求，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否则按照20000元每次承担违约金，且除违约金外乙方必须承担甲方项目实际工期损失及经济损失；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14:paraId="4E2D8EE3">
      <w:pPr>
        <w:pStyle w:val="16"/>
        <w:numPr>
          <w:ilvl w:val="0"/>
          <w:numId w:val="11"/>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不符合约定货物质量标准：</w:t>
      </w:r>
    </w:p>
    <w:p w14:paraId="652241C2">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3.1乙方货物不符合本合同约定的质量标准的，甲方有权要求乙方继续履行合同，乙方应按甲方要求立即组织更换或完善不符合的条件及要求，</w:t>
      </w:r>
      <w:r>
        <w:rPr>
          <w:rFonts w:hint="eastAsia" w:ascii="仿宋_GB2312" w:hAnsi="仿宋_GB2312" w:eastAsia="仿宋_GB2312" w:cs="仿宋_GB2312"/>
          <w:b/>
          <w:bCs/>
          <w:color w:val="000000" w:themeColor="text1"/>
          <w:highlight w:val="none"/>
          <w14:textFill>
            <w14:solidFill>
              <w14:schemeClr w14:val="tx1"/>
            </w14:solidFill>
          </w14:textFill>
        </w:rPr>
        <w:t>并按照20000元每次承担违约金，且除违约金外乙方必须承担甲方项目实际工期损失及经济损失；</w:t>
      </w:r>
      <w:r>
        <w:rPr>
          <w:rFonts w:hint="eastAsia" w:ascii="仿宋_GB2312" w:hAnsi="仿宋_GB2312" w:eastAsia="仿宋_GB2312" w:cs="仿宋_GB2312"/>
          <w:color w:val="000000" w:themeColor="text1"/>
          <w:highlight w:val="none"/>
          <w14:textFill>
            <w14:solidFill>
              <w14:schemeClr w14:val="tx1"/>
            </w14:solidFill>
          </w14:textFill>
        </w:rPr>
        <w:t>经甲方书面要求整改一次仍无法达到合同要求时，甲方有权单方解除合同。</w:t>
      </w:r>
    </w:p>
    <w:p w14:paraId="79673F1F">
      <w:pPr>
        <w:pStyle w:val="16"/>
        <w:spacing w:line="400" w:lineRule="atLeast"/>
        <w:ind w:firstLine="480"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3.2乙方以任何欺骗、舞弊、盗窃等手段致使交付的货物存在质量或数量瑕疵的，除赔偿甲方对应货物的货款外，</w:t>
      </w:r>
      <w:r>
        <w:rPr>
          <w:rFonts w:hint="eastAsia" w:ascii="仿宋_GB2312" w:hAnsi="仿宋_GB2312" w:eastAsia="仿宋_GB2312" w:cs="仿宋_GB2312"/>
          <w:b/>
          <w:bCs/>
          <w:color w:val="000000" w:themeColor="text1"/>
          <w:highlight w:val="none"/>
          <w14:textFill>
            <w14:solidFill>
              <w14:schemeClr w14:val="tx1"/>
            </w14:solidFill>
          </w14:textFill>
        </w:rPr>
        <w:t>并按照20000元每次承担违约金，且除违约金外乙方必须承担甲方项目实际工期损失及经济损失。</w:t>
      </w:r>
    </w:p>
    <w:p w14:paraId="643089F5">
      <w:pPr>
        <w:pStyle w:val="16"/>
        <w:spacing w:line="400" w:lineRule="atLeast"/>
        <w:ind w:firstLine="480" w:firstLineChars="200"/>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3.3如果由于物资质量问题，引起工程事故，导致甲方人员或财产损失的，乙方应承担相应的法律责任和经济责任，因此所导致的一切损失由乙方承担，该责任不因合同的终止而减小或解除。</w:t>
      </w:r>
    </w:p>
    <w:p w14:paraId="7F432F59">
      <w:pPr>
        <w:pStyle w:val="16"/>
        <w:numPr>
          <w:ilvl w:val="0"/>
          <w:numId w:val="11"/>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未履行开具增值税发票义务：</w:t>
      </w:r>
    </w:p>
    <w:p w14:paraId="071D7C4C">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乙方存在下列情形之一的，甲方有权单方解除合同，并有权直接从乙方应付款项中双倍扣除甲方未能抵扣的税金（扣除金额=不含税结算金额×</w:t>
      </w:r>
      <w:permStart w:id="117"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3 </w:t>
      </w:r>
      <w:r>
        <w:rPr>
          <w:rFonts w:hint="eastAsia" w:ascii="仿宋_GB2312" w:hAnsi="仿宋_GB2312" w:eastAsia="仿宋_GB2312" w:cs="仿宋_GB2312"/>
          <w:color w:val="000000" w:themeColor="text1"/>
          <w:highlight w:val="none"/>
          <w14:textFill>
            <w14:solidFill>
              <w14:schemeClr w14:val="tx1"/>
            </w14:solidFill>
          </w14:textFill>
        </w:rPr>
        <w:t>％</w:t>
      </w:r>
      <w:permEnd w:id="117"/>
      <w:r>
        <w:rPr>
          <w:rFonts w:hint="eastAsia" w:ascii="仿宋_GB2312" w:hAnsi="仿宋_GB2312" w:eastAsia="仿宋_GB2312" w:cs="仿宋_GB2312"/>
          <w:color w:val="000000" w:themeColor="text1"/>
          <w:highlight w:val="none"/>
          <w14:textFill>
            <w14:solidFill>
              <w14:schemeClr w14:val="tx1"/>
            </w14:solidFill>
          </w14:textFill>
        </w:rPr>
        <w:t>增值税税率×2）作为违约金：</w:t>
      </w:r>
    </w:p>
    <w:p w14:paraId="59C5916D">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4.1不具有开具增值税专用发票的纳税人资格。</w:t>
      </w:r>
    </w:p>
    <w:p w14:paraId="0DBD189B">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4.2未能按本合同约定的税率开具增值税专用发票。</w:t>
      </w:r>
    </w:p>
    <w:p w14:paraId="2FBDF09F">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4.3提供的增值税专用发票是乙方以外的主体开具。</w:t>
      </w:r>
    </w:p>
    <w:p w14:paraId="5E5B363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4.4拖欠增值税专用发票金额累计达100万元以上。</w:t>
      </w:r>
    </w:p>
    <w:p w14:paraId="23B0E007">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4.5</w:t>
      </w:r>
      <w:r>
        <w:rPr>
          <w:rFonts w:hint="eastAsia" w:ascii="仿宋_GB2312" w:hAnsi="仿宋_GB2312" w:eastAsia="仿宋_GB2312" w:cs="仿宋_GB2312"/>
          <w:strike w:val="0"/>
          <w:dstrike w:val="0"/>
          <w:color w:val="000000" w:themeColor="text1"/>
          <w:highlight w:val="none"/>
          <w14:textFill>
            <w14:solidFill>
              <w14:schemeClr w14:val="tx1"/>
            </w14:solidFill>
          </w14:textFill>
        </w:rPr>
        <w:t>如乙方未在税务机关要求的期限内缴纳税款，导致甲方无法抵扣进项税的，甲方有权拒绝付款，如已经支付的，甲方有权追回已支付的款项，并要求乙方支付违约金或赔偿损失</w:t>
      </w:r>
      <w:r>
        <w:rPr>
          <w:rFonts w:hint="eastAsia" w:ascii="仿宋_GB2312" w:hAnsi="仿宋_GB2312" w:eastAsia="仿宋_GB2312" w:cs="仿宋_GB2312"/>
          <w:color w:val="000000" w:themeColor="text1"/>
          <w:highlight w:val="none"/>
          <w14:textFill>
            <w14:solidFill>
              <w14:schemeClr w14:val="tx1"/>
            </w14:solidFill>
          </w14:textFill>
        </w:rPr>
        <w:t xml:space="preserve">。 </w:t>
      </w:r>
    </w:p>
    <w:p w14:paraId="4E06389D">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4.6提供伪造的增值税专用发票。</w:t>
      </w:r>
    </w:p>
    <w:p w14:paraId="709ECEBE">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4.7虚开增值税专用发票。</w:t>
      </w:r>
    </w:p>
    <w:p w14:paraId="4F7E8A3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4.8其它导致甲方无法进行增值税抵扣的情形。</w:t>
      </w:r>
    </w:p>
    <w:p w14:paraId="2135FF9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乙方存在以上情形的，除承担相应违约责任外，还应赔偿甲方因此所受损失，同时不免除乙方开具合法合规增值税专用发票的义务。</w:t>
      </w:r>
    </w:p>
    <w:p w14:paraId="0BD76500">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若乙方开具或提供的增值税专用发票发生本条第4款情形超过3次的或给甲方造成重大损失的，则乙方除按本款前述约定承担责任外，甲方有权单方解除本合同。</w:t>
      </w:r>
    </w:p>
    <w:p w14:paraId="704F91AC">
      <w:pPr>
        <w:pStyle w:val="16"/>
        <w:numPr>
          <w:ilvl w:val="0"/>
          <w:numId w:val="11"/>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未履行安全责任及义务：</w:t>
      </w:r>
    </w:p>
    <w:p w14:paraId="31A60538">
      <w:pPr>
        <w:pStyle w:val="16"/>
        <w:spacing w:line="400" w:lineRule="atLeas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highlight w:val="none"/>
          <w14:textFill>
            <w14:solidFill>
              <w14:schemeClr w14:val="tx1"/>
            </w14:solidFill>
          </w14:textFill>
        </w:rPr>
        <w:t>乙方不能满足甲方有关安全文明施工措施、环境和职业健康安全方面的要求时，乙方按照项目实际工期损失、经济损失承担违约金。</w:t>
      </w:r>
    </w:p>
    <w:p w14:paraId="56DB589D">
      <w:pPr>
        <w:spacing w:line="400" w:lineRule="exact"/>
        <w:ind w:firstLine="480" w:firstLineChars="200"/>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5.2由于乙方原因造成甲方人员人身伤害，乙方应立即采取补救措施，并全额赔偿甲方相关人员损失。</w:t>
      </w:r>
    </w:p>
    <w:p w14:paraId="421068F1">
      <w:pPr>
        <w:pStyle w:val="16"/>
        <w:numPr>
          <w:ilvl w:val="0"/>
          <w:numId w:val="11"/>
        </w:numPr>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未经同意转让权利及义务：</w:t>
      </w:r>
    </w:p>
    <w:p w14:paraId="4370502D">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未经甲方书面同意，乙方不得以对甲方享有之任何债权向其他第三方进行转让或提供任何形式之担保或保证等。经甲方同意转让合同权利，不解除乙方应承担本合同项下的义务和责任。</w:t>
      </w:r>
    </w:p>
    <w:p w14:paraId="248553A8">
      <w:pPr>
        <w:pStyle w:val="16"/>
        <w:spacing w:line="400" w:lineRule="atLeast"/>
        <w:ind w:firstLine="482"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7、未履行结算义务：</w:t>
      </w:r>
    </w:p>
    <w:p w14:paraId="112C672A">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若发现乙方存在以下行为，视为违约并处以相应的罚款，在当期结算款中扣除（当期结算款额度不够的在下期结算款中扣除），并保留追究相应责任的权利。</w:t>
      </w:r>
    </w:p>
    <w:p w14:paraId="7A095B91">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（1）伪造或虚开工程量数据，一经发现处以罚款2万元/次。</w:t>
      </w:r>
    </w:p>
    <w:p w14:paraId="0FB31FC6">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（2）伪造甲方管理人员签字盖章，一经发现处以罚款5万元/次。</w:t>
      </w:r>
    </w:p>
    <w:p w14:paraId="13560113">
      <w:pPr>
        <w:pStyle w:val="16"/>
        <w:spacing w:line="400" w:lineRule="atLeast"/>
        <w:ind w:firstLine="480" w:firstLineChars="20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（3）伪造结算书或其他结算相关材料，一经发现处以罚款10万元/次。</w:t>
      </w:r>
    </w:p>
    <w:p w14:paraId="0CD9A6F6">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bookmarkStart w:id="76" w:name="_Toc17076"/>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8</w:t>
      </w:r>
      <w:r>
        <w:rPr>
          <w:rFonts w:hint="eastAsia" w:ascii="仿宋_GB2312" w:hAnsi="仿宋_GB2312" w:eastAsia="仿宋_GB2312" w:cs="仿宋_GB2312"/>
          <w:b/>
          <w:bCs/>
          <w:color w:val="000000" w:themeColor="text1"/>
          <w:highlight w:val="none"/>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供货知识产权存在瑕疵</w:t>
      </w:r>
      <w:r>
        <w:rPr>
          <w:rFonts w:hint="eastAsia" w:ascii="仿宋_GB2312" w:hAnsi="仿宋_GB2312" w:eastAsia="仿宋_GB2312" w:cs="仿宋_GB2312"/>
          <w:b/>
          <w:bCs/>
          <w:color w:val="000000" w:themeColor="text1"/>
          <w:highlight w:val="none"/>
          <w14:textFill>
            <w14:solidFill>
              <w14:schemeClr w14:val="tx1"/>
            </w14:solidFill>
          </w14:textFill>
        </w:rPr>
        <w:t>：</w:t>
      </w:r>
    </w:p>
    <w:p w14:paraId="0F3CC178">
      <w:pPr>
        <w:pStyle w:val="16"/>
        <w:spacing w:line="400" w:lineRule="atLeast"/>
        <w:ind w:firstLine="480" w:firstLineChars="200"/>
        <w:jc w:val="both"/>
        <w:rPr>
          <w:rFonts w:hint="eastAsia"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若乙方提供物资侵犯他人知识产权（或专利权）导致他人向甲方索赔的，乙方承担由此给甲方造成的一切损失，包括但不限于甲方处理此纠纷发生的律师费、诉讼费、差旅费等一切损失。此外，乙方应向甲方支付合同价款</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u w:val="single"/>
          <w:lang w:val="en-US" w:eastAsia="zh-CN"/>
          <w14:textFill>
            <w14:solidFill>
              <w14:schemeClr w14:val="tx1"/>
            </w14:solidFill>
          </w14:textFill>
        </w:rPr>
        <w:t>20</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％的违约金。甲方针对上述一切损失有权从乙方结算货款中扣除或依法追索。</w:t>
      </w:r>
    </w:p>
    <w:p w14:paraId="760E193C">
      <w:pPr>
        <w:pStyle w:val="16"/>
        <w:spacing w:line="400" w:lineRule="atLeast"/>
        <w:ind w:firstLine="482"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9、私运项目物资</w:t>
      </w:r>
    </w:p>
    <w:p w14:paraId="6ED8A151">
      <w:pPr>
        <w:pStyle w:val="16"/>
        <w:spacing w:line="400" w:lineRule="atLeast"/>
        <w:ind w:firstLine="480" w:firstLineChars="200"/>
        <w:jc w:val="both"/>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highlight w:val="none"/>
          <w:lang w:val="en-US" w:eastAsia="zh-CN"/>
          <w14:textFill>
            <w14:solidFill>
              <w14:schemeClr w14:val="tx1"/>
            </w14:solidFill>
          </w14:textFill>
        </w:rPr>
        <w:t>若乙方私自运送甲方现场物资出场，乙方需向甲方支付所涉及物资原值【2】倍的违约金，情节严重的交由司法机关处理。</w:t>
      </w:r>
    </w:p>
    <w:p w14:paraId="22723004">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highlight w:val="none"/>
          <w14:textFill>
            <w14:solidFill>
              <w14:schemeClr w14:val="tx1"/>
            </w14:solidFill>
          </w14:textFill>
        </w:rPr>
        <w:t>、未履行本协议约定义务：</w:t>
      </w:r>
    </w:p>
    <w:p w14:paraId="547E8638">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乙方不履行本协议约定义务或中途终止履行合同（符合本合同约定的调价和合同解除条件除外）的，乙方按照项目实际工期损失、经济损失承担违约金。</w:t>
      </w:r>
    </w:p>
    <w:p w14:paraId="4BB6549D">
      <w:pPr>
        <w:pStyle w:val="16"/>
        <w:spacing w:line="400" w:lineRule="atLeast"/>
        <w:ind w:firstLine="482" w:firstLineChars="200"/>
        <w:jc w:val="both"/>
        <w:rPr>
          <w:rFonts w:hint="eastAsia"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highlight w:val="none"/>
          <w14:textFill>
            <w14:solidFill>
              <w14:schemeClr w14:val="tx1"/>
            </w14:solidFill>
          </w14:textFill>
        </w:rPr>
        <w:t>、违约后的处置方式：</w:t>
      </w:r>
    </w:p>
    <w:p w14:paraId="1A133B09">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乙方违约后，甲方有权直接从乙方结算款或应付款中扣除违约金；甲方决定合同继续履行的，乙方除承担上述违约责任，仍应继续履行合同。</w:t>
      </w:r>
    </w:p>
    <w:p w14:paraId="05A1CCF1">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货物缺陷索赔</w:t>
      </w:r>
      <w:bookmarkEnd w:id="76"/>
    </w:p>
    <w:p w14:paraId="5D5EB600">
      <w:pPr>
        <w:pStyle w:val="20"/>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1、质量缺陷索赔：</w:t>
      </w:r>
      <w:r>
        <w:rPr>
          <w:rFonts w:hint="eastAsia" w:ascii="仿宋_GB2312" w:hAnsi="仿宋_GB2312" w:eastAsia="仿宋_GB2312" w:cs="仿宋_GB2312"/>
          <w:color w:val="000000" w:themeColor="text1"/>
          <w:sz w:val="24"/>
          <w:highlight w:val="none"/>
          <w14:textFill>
            <w14:solidFill>
              <w14:schemeClr w14:val="tx1"/>
            </w14:solidFill>
          </w14:textFill>
        </w:rPr>
        <w:t>如甲方在各阶段的检验过程中发现货物不合格现象，可选择更换货物或提出索赔。若选择索赔，甲方有权邀请当地有关质量监督管理部门或其他鉴定机构进行检验，并出具检验证书，可以据此向乙方提出索赔。</w:t>
      </w:r>
    </w:p>
    <w:p w14:paraId="120320D5">
      <w:pPr>
        <w:pStyle w:val="20"/>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2、缺陷索赔解决方式：</w:t>
      </w:r>
      <w:r>
        <w:rPr>
          <w:rFonts w:hint="eastAsia" w:ascii="仿宋_GB2312" w:hAnsi="仿宋_GB2312" w:eastAsia="仿宋_GB2312" w:cs="仿宋_GB2312"/>
          <w:color w:val="000000" w:themeColor="text1"/>
          <w:sz w:val="24"/>
          <w:highlight w:val="none"/>
          <w14:textFill>
            <w14:solidFill>
              <w14:schemeClr w14:val="tx1"/>
            </w14:solidFill>
          </w14:textFill>
        </w:rPr>
        <w:t>对甲方在规定的检验、安装、调试和验收测试期限内和质量保修期内发现缺陷提出的索赔，乙方应按甲方同意的下述一种或多种方法解决索赔事宜：</w:t>
      </w:r>
    </w:p>
    <w:p w14:paraId="721878AE">
      <w:pPr>
        <w:pStyle w:val="20"/>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2.1乙方同意甲方部分或全部退货并把退货部分金额以合同规定的同类货币退还给甲方。乙方负担退货过程中发生的一切损失和费用，包括利息、银行费用、运输和保险费、检验费、仓储和装卸费以及为保管和保护退还货物所发生的其它必要费用，包括但不限于工期延误损失导致业主向甲方的索赔等。</w:t>
      </w:r>
    </w:p>
    <w:p w14:paraId="476353C6">
      <w:pPr>
        <w:pStyle w:val="20"/>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2.2根据货物的质量缺陷和受损程度以及甲方遭受损失的程度，经双方协商同意降低货物价格。</w:t>
      </w:r>
    </w:p>
    <w:p w14:paraId="3C688372">
      <w:pPr>
        <w:pStyle w:val="20"/>
        <w:spacing w:after="24" w:afterLines="10" w:line="400" w:lineRule="atLeast"/>
        <w:ind w:right="0"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2.3更换有缺陷的部分货物、零件、部件和设备，或修理缺陷部分，以达到合同规定的规格、质量和性能，乙方承担一切费用和风险，并负担甲方遭受的损失。</w:t>
      </w:r>
    </w:p>
    <w:p w14:paraId="55ED9430">
      <w:pPr>
        <w:pStyle w:val="20"/>
        <w:spacing w:after="24" w:afterLines="10" w:line="400" w:lineRule="atLeast"/>
        <w:ind w:right="0" w:firstLine="482"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b/>
          <w:bCs/>
          <w:color w:val="000000" w:themeColor="text1"/>
          <w:sz w:val="24"/>
          <w:highlight w:val="none"/>
          <w14:textFill>
            <w14:solidFill>
              <w14:schemeClr w14:val="tx1"/>
            </w14:solidFill>
          </w14:textFill>
        </w:rPr>
        <w:t>3、缺陷索赔程序：如果甲方提出索赔通知后7日内乙方未予以答复，该索赔应视为已被乙方接受。</w:t>
      </w:r>
      <w:r>
        <w:rPr>
          <w:rFonts w:hint="eastAsia" w:ascii="仿宋_GB2312" w:hAnsi="仿宋_GB2312" w:eastAsia="仿宋_GB2312" w:cs="仿宋_GB2312"/>
          <w:color w:val="000000" w:themeColor="text1"/>
          <w:sz w:val="24"/>
          <w:highlight w:val="none"/>
          <w14:textFill>
            <w14:solidFill>
              <w14:schemeClr w14:val="tx1"/>
            </w14:solidFill>
          </w14:textFill>
        </w:rPr>
        <w:t>若乙方未能在甲方提出索赔通知的合理时限（7日内）或甲方同意的延长期限内，按甲方同意的上述任何一种方式处理索赔事宜</w:t>
      </w:r>
      <w:r>
        <w:rPr>
          <w:rFonts w:hint="eastAsia" w:ascii="仿宋_GB2312" w:hAnsi="仿宋_GB2312" w:eastAsia="仿宋_GB2312" w:cs="仿宋_GB2312"/>
          <w:b/>
          <w:bCs/>
          <w:color w:val="000000" w:themeColor="text1"/>
          <w:sz w:val="24"/>
          <w:highlight w:val="none"/>
          <w14:textFill>
            <w14:solidFill>
              <w14:schemeClr w14:val="tx1"/>
            </w14:solidFill>
          </w14:textFill>
        </w:rPr>
        <w:t>，甲方有权从乙方货款中扣除索赔金额，不足部分，甲方有权向乙方追偿。</w:t>
      </w:r>
    </w:p>
    <w:p w14:paraId="39AC4938">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4、其他缺陷索赔：</w:t>
      </w:r>
      <w:r>
        <w:rPr>
          <w:rFonts w:hint="eastAsia" w:ascii="仿宋_GB2312" w:hAnsi="仿宋_GB2312" w:eastAsia="仿宋_GB2312" w:cs="仿宋_GB2312"/>
          <w:color w:val="000000" w:themeColor="text1"/>
          <w:highlight w:val="none"/>
          <w14:textFill>
            <w14:solidFill>
              <w14:schemeClr w14:val="tx1"/>
            </w14:solidFill>
          </w14:textFill>
        </w:rPr>
        <w:t>对于甲方提出的非质量缺陷的其他索赔通知，参照适用缺陷索赔规则。</w:t>
      </w:r>
    </w:p>
    <w:p w14:paraId="450E9C68">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77" w:name="_Toc13562"/>
      <w:bookmarkStart w:id="78" w:name="_Toc18889"/>
      <w:r>
        <w:rPr>
          <w:rFonts w:hint="eastAsia" w:ascii="仿宋_GB2312" w:hAnsi="仿宋_GB2312" w:eastAsia="仿宋_GB2312" w:cs="仿宋_GB2312"/>
          <w:b/>
          <w:bCs/>
          <w:color w:val="000000" w:themeColor="text1"/>
          <w:highlight w:val="none"/>
          <w14:textFill>
            <w14:solidFill>
              <w14:schemeClr w14:val="tx1"/>
            </w14:solidFill>
          </w14:textFill>
        </w:rPr>
        <w:t>合同变更</w:t>
      </w:r>
      <w:bookmarkEnd w:id="77"/>
      <w:bookmarkEnd w:id="78"/>
    </w:p>
    <w:p w14:paraId="7E6F9C24">
      <w:pPr>
        <w:pStyle w:val="16"/>
        <w:numPr>
          <w:ilvl w:val="0"/>
          <w:numId w:val="12"/>
        </w:numPr>
        <w:spacing w:line="400" w:lineRule="atLeast"/>
        <w:ind w:firstLine="480" w:firstLineChars="200"/>
        <w:jc w:val="both"/>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经双方协商一致可以对本合同条款进行修改、变更或增减，并成为本合同的补充文件</w:t>
      </w:r>
      <w:r>
        <w:rPr>
          <w:rFonts w:hint="eastAsia" w:ascii="仿宋_GB2312" w:hAnsi="仿宋_GB2312" w:eastAsia="仿宋_GB2312" w:cs="仿宋_GB2312"/>
          <w:b/>
          <w:bCs/>
          <w:color w:val="000000" w:themeColor="text1"/>
          <w:highlight w:val="none"/>
          <w14:textFill>
            <w14:solidFill>
              <w14:schemeClr w14:val="tx1"/>
            </w14:solidFill>
          </w14:textFill>
        </w:rPr>
        <w:t>，此类补充文件需按本合同约定的生效条件加盖与本合同相同的印章才可视为成立并生效，具有同等法律效力。</w:t>
      </w:r>
    </w:p>
    <w:p w14:paraId="256878DB">
      <w:pPr>
        <w:pStyle w:val="16"/>
        <w:numPr>
          <w:ilvl w:val="0"/>
          <w:numId w:val="0"/>
        </w:numPr>
        <w:spacing w:before="120" w:beforeLines="50" w:after="120" w:afterLines="50" w:line="400" w:lineRule="atLeast"/>
        <w:ind w:firstLine="482" w:firstLineChars="200"/>
        <w:outlineLvl w:val="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2.1若本合同单价适用方式一：</w:t>
      </w:r>
      <w:r>
        <w:rPr>
          <w:rFonts w:hint="eastAsia" w:ascii="仿宋_GB2312" w:hAnsi="仿宋_GB2312" w:eastAsia="仿宋_GB2312" w:cs="仿宋_GB2312"/>
          <w:b/>
          <w:bCs/>
          <w:color w:val="000000" w:themeColor="text1"/>
          <w:highlight w:val="none"/>
          <w:lang w:eastAsia="zh-Hans"/>
          <w14:textFill>
            <w14:solidFill>
              <w14:schemeClr w14:val="tx1"/>
            </w14:solidFill>
          </w14:textFill>
        </w:rPr>
        <w:t>固定</w:t>
      </w:r>
      <w:r>
        <w:rPr>
          <w:rFonts w:hint="eastAsia" w:ascii="仿宋_GB2312" w:hAnsi="仿宋_GB2312" w:eastAsia="仿宋_GB2312" w:cs="仿宋_GB2312"/>
          <w:b/>
          <w:bCs/>
          <w:color w:val="000000" w:themeColor="text1"/>
          <w:highlight w:val="none"/>
          <w14:textFill>
            <w14:solidFill>
              <w14:schemeClr w14:val="tx1"/>
            </w14:solidFill>
          </w14:textFill>
        </w:rPr>
        <w:t>单价合同</w:t>
      </w:r>
      <w:r>
        <w:rPr>
          <w:rFonts w:hint="eastAsia" w:ascii="仿宋_GB2312" w:hAnsi="仿宋_GB2312" w:eastAsia="仿宋_GB2312" w:cs="仿宋_GB2312"/>
          <w:b/>
          <w:bCs/>
          <w:color w:val="000000" w:themeColor="text1"/>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则</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当乙方所供物资超出分供合同标的物的金额不超过原合同金额的10%（含），正常办理结算；分供合同标的物的金额超过原合同金额的10%但不超过30%（含），甲乙双方签订补充协议；分供合同标的物的金额超过原合同金额的30%，则对原合同外的物资重新组织招标。</w:t>
      </w:r>
    </w:p>
    <w:p w14:paraId="0DADD84A">
      <w:pPr>
        <w:pStyle w:val="16"/>
        <w:numPr>
          <w:ilvl w:val="0"/>
          <w:numId w:val="0"/>
        </w:numPr>
        <w:spacing w:line="400" w:lineRule="atLeast"/>
        <w:ind w:firstLine="482" w:firstLineChars="200"/>
        <w:jc w:val="both"/>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2.2若本合同单价适用方式二：组合单价合同，则</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分供合同标的物数量不超过原合同数量的10%（含），由原分供商继续履行合同，正常办理结算；分供合同标的物数量超过原合同数量10%但不超过30%（含）提前与原分供商签订补充协议；分供合同标的物数量超过原合同数量30%，则应提前筹划，对原合同外的物资重新组织招标，签订新的分供合同。</w:t>
      </w:r>
    </w:p>
    <w:p w14:paraId="59669B06">
      <w:pPr>
        <w:pStyle w:val="16"/>
        <w:numPr>
          <w:ilvl w:val="0"/>
          <w:numId w:val="12"/>
        </w:numPr>
        <w:spacing w:line="400" w:lineRule="atLeast"/>
        <w:ind w:firstLine="480" w:firstLineChars="200"/>
        <w:jc w:val="both"/>
        <w:rPr>
          <w:rFonts w:hint="default" w:ascii="仿宋_GB2312" w:hAnsi="仿宋_GB2312" w:eastAsia="仿宋_GB2312" w:cs="仿宋_GB2312"/>
          <w:b/>
          <w:bCs/>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3、因工程建设单位、监理单位及相关部门出台的相关规定文件、市场准入制度造成合同不能执行，甲方不承担任何责任。</w:t>
      </w:r>
    </w:p>
    <w:p w14:paraId="5ABF5DDB">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79" w:name="_Toc29083"/>
      <w:bookmarkStart w:id="80" w:name="_Toc399"/>
      <w:r>
        <w:rPr>
          <w:rFonts w:hint="eastAsia" w:ascii="仿宋_GB2312" w:hAnsi="仿宋_GB2312" w:eastAsia="仿宋_GB2312" w:cs="仿宋_GB2312"/>
          <w:b/>
          <w:bCs/>
          <w:color w:val="000000" w:themeColor="text1"/>
          <w:highlight w:val="none"/>
          <w14:textFill>
            <w14:solidFill>
              <w14:schemeClr w14:val="tx1"/>
            </w14:solidFill>
          </w14:textFill>
        </w:rPr>
        <w:t>合同解除</w:t>
      </w:r>
      <w:bookmarkEnd w:id="79"/>
      <w:bookmarkEnd w:id="80"/>
    </w:p>
    <w:p w14:paraId="31C7506A">
      <w:pPr>
        <w:pStyle w:val="16"/>
        <w:numPr>
          <w:ilvl w:val="0"/>
          <w:numId w:val="13"/>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81" w:name="_Hlk126831282"/>
      <w:r>
        <w:rPr>
          <w:rFonts w:hint="eastAsia" w:ascii="仿宋_GB2312" w:hAnsi="仿宋_GB2312" w:eastAsia="仿宋_GB2312" w:cs="仿宋_GB2312"/>
          <w:color w:val="000000" w:themeColor="text1"/>
          <w:highlight w:val="none"/>
          <w14:textFill>
            <w14:solidFill>
              <w14:schemeClr w14:val="tx1"/>
            </w14:solidFill>
          </w14:textFill>
        </w:rPr>
        <w:t>因不可抗力致使不能实现合同目的等原因，经甲、乙双方协商一致同意可解除合同。</w:t>
      </w:r>
    </w:p>
    <w:p w14:paraId="7E64EA19">
      <w:pPr>
        <w:pStyle w:val="16"/>
        <w:numPr>
          <w:ilvl w:val="0"/>
          <w:numId w:val="13"/>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如甲方与业主签订的总承包合同解除或终止，或因业主变更导致甲方无需采购约定材料，则甲方以书面形式通知乙方终止本合同。</w:t>
      </w:r>
    </w:p>
    <w:p w14:paraId="256A2177">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3、乙方具有下列事由之一的，甲方可以单方全部解除合同或部分解除合同或终止合同，乙方已收款项全部无条件返还：</w:t>
      </w:r>
    </w:p>
    <w:p w14:paraId="1C3E6F2D">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3.1乙方所提供的产品无法通过相关部门（如质监、监理、设计方、甲方及当地相关政府部门等）验收合格；</w:t>
      </w:r>
    </w:p>
    <w:p w14:paraId="2257F116">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3.2在产品使用后发生因产品质量问题造成人员、财产受到损害的；</w:t>
      </w:r>
    </w:p>
    <w:p w14:paraId="0EC4086B">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3.3乙方将本合同项下权利义务全部或部分转让的；</w:t>
      </w:r>
    </w:p>
    <w:p w14:paraId="17581916">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3.4未按本合同约定时间交货累计延误达10日历天；</w:t>
      </w:r>
    </w:p>
    <w:p w14:paraId="657C9ECD">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3.5因产品质量未达到本合同专用条款第四条技术标准及质量要求和国家、地方政府相关部门的相关规范和要求，在甲方要求时间内无法更换或补充至甲方要求；</w:t>
      </w:r>
    </w:p>
    <w:p w14:paraId="34D23172">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3.6甲方发现产品不能满足本合同约定的质量标准时，或在本合同履行过程中，乙方未按甲方的要求及时进行整改的；</w:t>
      </w:r>
    </w:p>
    <w:p w14:paraId="6DD61353">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3.7在本合同履行过程中乙方漠视甲方、设计方指令的或未按甲方、设计方指令执行的；</w:t>
      </w:r>
    </w:p>
    <w:p w14:paraId="5AEBCA8A">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3.9其他法律规定可解除合同的事由。</w:t>
      </w:r>
    </w:p>
    <w:p w14:paraId="2B580A5E">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如发生上述事项，甲方将解除或终止合同的意思表示（书面或传真）通知乙方后合同解除或终止。合同解除后乙方仍应承担上述因乙方原因而产生的违约金和因此给甲方造成的全部直接和间接经济损失。乙方在收到解除或终止合同的通知后应无条件配合甲方处理善后事宜。</w:t>
      </w:r>
    </w:p>
    <w:p w14:paraId="71E703E3">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4、合同解除或终止后，乙方应当积极配合甲方及时办理合同结算及支付手续，否则甲方有权单方办理结算，视为乙方认可甲方审定的结算额</w:t>
      </w:r>
      <w:bookmarkEnd w:id="81"/>
      <w:r>
        <w:rPr>
          <w:rFonts w:hint="eastAsia" w:ascii="仿宋_GB2312" w:hAnsi="仿宋_GB2312" w:eastAsia="仿宋_GB2312" w:cs="仿宋_GB2312"/>
          <w:b/>
          <w:bCs/>
          <w:color w:val="000000" w:themeColor="text1"/>
          <w:highlight w:val="none"/>
          <w14:textFill>
            <w14:solidFill>
              <w14:schemeClr w14:val="tx1"/>
            </w14:solidFill>
          </w14:textFill>
        </w:rPr>
        <w:t>。</w:t>
      </w:r>
    </w:p>
    <w:p w14:paraId="73CE4F41">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82" w:name="_Toc18207"/>
      <w:r>
        <w:rPr>
          <w:rFonts w:hint="eastAsia" w:ascii="仿宋_GB2312" w:hAnsi="仿宋_GB2312" w:eastAsia="仿宋_GB2312" w:cs="仿宋_GB2312"/>
          <w:b/>
          <w:bCs/>
          <w:color w:val="000000" w:themeColor="text1"/>
          <w:highlight w:val="none"/>
          <w14:textFill>
            <w14:solidFill>
              <w14:schemeClr w14:val="tx1"/>
            </w14:solidFill>
          </w14:textFill>
        </w:rPr>
        <w:t>不可抗力</w:t>
      </w:r>
      <w:bookmarkEnd w:id="82"/>
    </w:p>
    <w:p w14:paraId="7599EC7A">
      <w:pPr>
        <w:pStyle w:val="16"/>
        <w:numPr>
          <w:ilvl w:val="0"/>
          <w:numId w:val="1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14:textFill>
            <w14:solidFill>
              <w14:schemeClr w14:val="tx1"/>
            </w14:solidFill>
          </w14:textFill>
        </w:rPr>
        <w:t>1、</w:t>
      </w:r>
      <w:r>
        <w:rPr>
          <w:rFonts w:hint="eastAsia" w:ascii="仿宋_GB2312" w:hAnsi="仿宋_GB2312" w:eastAsia="仿宋_GB2312" w:cs="仿宋_GB2312"/>
          <w:b/>
          <w:bCs/>
          <w:color w:val="000000" w:themeColor="text1"/>
          <w:highlight w:val="none"/>
          <w14:textFill>
            <w14:solidFill>
              <w14:schemeClr w14:val="tx1"/>
            </w14:solidFill>
          </w14:textFill>
        </w:rPr>
        <w:t>不可抗力的确认</w:t>
      </w:r>
    </w:p>
    <w:p w14:paraId="6FB787A1">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不可抗力是指合同当事人在签订合同时不可预见，在合同履行过程中不可避免且不能克服的自然灾害和社会性突发事件，如地震、海啸、火灾、特大风雪、连续暴雨、特大降水、洪水等自然灾害，瘟疫、骚乱、戒严、暴动、战争、爆发性传染疾病、雾霾停工及其它通知的政府行为。合同一方当事人遇到不可抗力事件，使其履行合同义务受到阻碍时，应立即通知合同另一方当事人，书面说明不可抗力和受阻碍的详细情况，并提供必要的证明。</w:t>
      </w:r>
    </w:p>
    <w:p w14:paraId="135FBE0D">
      <w:pPr>
        <w:pStyle w:val="16"/>
        <w:numPr>
          <w:ilvl w:val="0"/>
          <w:numId w:val="1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不可抗力的通知</w:t>
      </w:r>
    </w:p>
    <w:p w14:paraId="1184B9E9">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2.1 不可抗力事件发生后，乙方应立即通知甲方，并在力所能及的条件下迅速采取措施，尽力减少损失，甲方应协助乙方采取措施。若因乙方未能尽力挽救，导致损失扩大的，由乙方承担全部责任。</w:t>
      </w:r>
    </w:p>
    <w:p w14:paraId="3B45D466">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2.2 不可抗力事件结束后14天内，乙方应向甲方提交清理和修复费用的正式报告及有关资料。</w:t>
      </w:r>
    </w:p>
    <w:p w14:paraId="3CBF9C09">
      <w:pPr>
        <w:pStyle w:val="16"/>
        <w:numPr>
          <w:ilvl w:val="0"/>
          <w:numId w:val="1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不可抗力风险的承担</w:t>
      </w:r>
    </w:p>
    <w:p w14:paraId="3722F448">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3.1 不可抗力导致的人员伤亡、财产损失、费用增加和（或）作业期限延误等后果，由合同当事人按以下原则承担：</w:t>
      </w:r>
    </w:p>
    <w:p w14:paraId="5A9C8899">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（1）乙方施工设备的损坏由乙方承担；</w:t>
      </w:r>
    </w:p>
    <w:p w14:paraId="10B5C239">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（2）甲方和乙方承担各自人员伤亡和财产的损失；</w:t>
      </w:r>
    </w:p>
    <w:p w14:paraId="31BD3037">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（3）因不可抗力影响乙方履行合同约定的义务，已经引起或将引起工期延误的，应当顺延工期，由此导致乙方停工的费用损失由乙方承担；</w:t>
      </w:r>
    </w:p>
    <w:p w14:paraId="6A9A4D36">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（4）因不可抗力引起或将引起工期延误，甲方要求赶工的，由此增加的赶工费用由甲方承担；</w:t>
      </w:r>
    </w:p>
    <w:p w14:paraId="744D6B13">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（5）乙方在停工期间按照甲方要求照管和清理工程的费用由甲方承担。</w:t>
      </w:r>
    </w:p>
    <w:p w14:paraId="280E330E">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14:paraId="18EC21C2">
      <w:pPr>
        <w:pStyle w:val="16"/>
        <w:numPr>
          <w:ilvl w:val="255"/>
          <w:numId w:val="0"/>
        </w:numPr>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3.2 因合同一方迟延履行合同义务，在迟延履行期间遭遇不可抗力的，不免除其违约责任。</w:t>
      </w:r>
    </w:p>
    <w:p w14:paraId="1D673F7C">
      <w:pPr>
        <w:pStyle w:val="16"/>
        <w:numPr>
          <w:ilvl w:val="0"/>
          <w:numId w:val="14"/>
        </w:numPr>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因不可抗力解除合同</w:t>
      </w:r>
    </w:p>
    <w:p w14:paraId="225CCDB5">
      <w:pPr>
        <w:pStyle w:val="16"/>
        <w:numPr>
          <w:ilvl w:val="255"/>
          <w:numId w:val="0"/>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因不可抗力导致本合同无法履行连续超过84天或累计超过140天的，甲方和乙方均有权解除本合同。本合同解除后，甲方有权暂停对乙方的付款，直到双方就退场达成一致。</w:t>
      </w:r>
    </w:p>
    <w:p w14:paraId="5D357D82">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83" w:name="_Toc29685"/>
      <w:r>
        <w:rPr>
          <w:rFonts w:hint="eastAsia" w:ascii="仿宋_GB2312" w:hAnsi="仿宋_GB2312" w:eastAsia="仿宋_GB2312" w:cs="仿宋_GB2312"/>
          <w:b/>
          <w:bCs/>
          <w:color w:val="000000" w:themeColor="text1"/>
          <w:highlight w:val="none"/>
          <w14:textFill>
            <w14:solidFill>
              <w14:schemeClr w14:val="tx1"/>
            </w14:solidFill>
          </w14:textFill>
        </w:rPr>
        <w:t>争议解决</w:t>
      </w:r>
      <w:bookmarkEnd w:id="83"/>
    </w:p>
    <w:p w14:paraId="231129DA">
      <w:pPr>
        <w:pStyle w:val="16"/>
        <w:spacing w:line="400" w:lineRule="atLeast"/>
        <w:ind w:firstLine="482"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1、争议和解：</w:t>
      </w:r>
      <w:r>
        <w:rPr>
          <w:rFonts w:hint="eastAsia" w:ascii="仿宋_GB2312" w:hAnsi="仿宋_GB2312" w:eastAsia="仿宋_GB2312" w:cs="仿宋_GB2312"/>
          <w:color w:val="000000" w:themeColor="text1"/>
          <w:highlight w:val="none"/>
          <w14:textFill>
            <w14:solidFill>
              <w14:schemeClr w14:val="tx1"/>
            </w14:solidFill>
          </w14:textFill>
        </w:rPr>
        <w:t>对因本合同引起或与之相关的任何争议、纠纷或权利主张，任何一方如欲通过本条第2款约定的方式解决，须在提起第2款约定的争议解决方式前，向对方发出书面和解申请书，并告知对方争议、纠纷或权利主张之事实及依据。</w:t>
      </w:r>
    </w:p>
    <w:p w14:paraId="4A9497DF">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在对方收到上述通知之日起</w:t>
      </w:r>
      <w:r>
        <w:rPr>
          <w:rFonts w:hint="eastAsia" w:ascii="仿宋_GB2312" w:hAnsi="仿宋_GB2312" w:eastAsia="仿宋_GB2312" w:cs="仿宋_GB2312"/>
          <w:color w:val="000000" w:themeColor="text1"/>
          <w:highlight w:val="none"/>
          <w:u w:val="single"/>
          <w14:textFill>
            <w14:solidFill>
              <w14:schemeClr w14:val="tx1"/>
            </w14:solidFill>
          </w14:textFill>
        </w:rPr>
        <w:t>3个月</w:t>
      </w:r>
      <w:r>
        <w:rPr>
          <w:rFonts w:hint="eastAsia" w:ascii="仿宋_GB2312" w:hAnsi="仿宋_GB2312" w:eastAsia="仿宋_GB2312" w:cs="仿宋_GB2312"/>
          <w:color w:val="000000" w:themeColor="text1"/>
          <w:highlight w:val="none"/>
          <w14:textFill>
            <w14:solidFill>
              <w14:schemeClr w14:val="tx1"/>
            </w14:solidFill>
          </w14:textFill>
        </w:rPr>
        <w:t>为双方和解期限。在和解期限内，若双方达成和解协议的，双方的权利义务按照和解协议履行；若未达成和解协议的，任何一方可采取本条第2款约定的争议解决方式。</w:t>
      </w:r>
    </w:p>
    <w:p w14:paraId="41AAAD5B">
      <w:pPr>
        <w:spacing w:line="400" w:lineRule="exact"/>
        <w:ind w:firstLine="422" w:firstLineChars="200"/>
        <w:jc w:val="left"/>
        <w:rPr>
          <w:rFonts w:hint="default"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pPr>
      <w:bookmarkStart w:id="84" w:name="_Hlk126830485"/>
      <w:bookmarkStart w:id="85" w:name="_Hlk126770481"/>
      <w:bookmarkStart w:id="86" w:name="_Toc26705"/>
      <w:r>
        <w:rPr>
          <w:rFonts w:hint="eastAsia" w:ascii="仿宋_GB2312" w:hAnsi="仿宋_GB2312" w:eastAsia="仿宋_GB2312" w:cs="仿宋_GB2312"/>
          <w:b/>
          <w:bCs/>
          <w:color w:val="000000" w:themeColor="text1"/>
          <w:highlight w:val="none"/>
          <w14:textFill>
            <w14:solidFill>
              <w14:schemeClr w14:val="tx1"/>
            </w14:solidFill>
          </w14:textFill>
        </w:rPr>
        <w:t>2、</w:t>
      </w:r>
      <w:bookmarkStart w:id="87" w:name="_Hlk127194929"/>
      <w:r>
        <w:rPr>
          <w:rFonts w:hint="eastAsia" w:ascii="仿宋_GB2312" w:hAnsi="仿宋_GB2312" w:eastAsia="仿宋_GB2312" w:cs="仿宋_GB2312"/>
          <w:b/>
          <w:bCs/>
          <w:color w:val="000000" w:themeColor="text1"/>
          <w:kern w:val="0"/>
          <w:sz w:val="24"/>
          <w:szCs w:val="24"/>
          <w:highlight w:val="none"/>
          <w:lang w:val="en-US" w:eastAsia="zh-CN" w:bidi="ar-SA"/>
          <w14:textFill>
            <w14:solidFill>
              <w14:schemeClr w14:val="tx1"/>
            </w14:solidFill>
          </w14:textFill>
        </w:rPr>
        <w:t>争议仲裁或诉讼：</w:t>
      </w:r>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因本合同引起或与之相关任何争议、纠纷或权利主张，和解不成且已超过和解期的,按以下第</w:t>
      </w:r>
      <w:permStart w:id="118" w:edGrp="everyone"/>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 xml:space="preserve"> 2.1.1</w:t>
      </w:r>
      <w:permEnd w:id="118"/>
      <w:r>
        <w:rPr>
          <w:rFonts w:hint="eastAsia" w:ascii="仿宋_GB2312" w:hAnsi="仿宋_GB2312" w:eastAsia="仿宋_GB2312" w:cs="仿宋_GB2312"/>
          <w:color w:val="000000" w:themeColor="text1"/>
          <w:kern w:val="0"/>
          <w:sz w:val="24"/>
          <w:szCs w:val="24"/>
          <w:highlight w:val="none"/>
          <w:lang w:val="en-US" w:eastAsia="zh-CN" w:bidi="ar-SA"/>
          <w14:textFill>
            <w14:solidFill>
              <w14:schemeClr w14:val="tx1"/>
            </w14:solidFill>
          </w14:textFill>
        </w:rPr>
        <w:t>种方式解决。</w:t>
      </w:r>
    </w:p>
    <w:p w14:paraId="44CE8108">
      <w:pPr>
        <w:pStyle w:val="16"/>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2.1.1双方约定向甲方住所地有管辖权的人民法院提起诉讼。</w:t>
      </w:r>
    </w:p>
    <w:p w14:paraId="02AF0AE9">
      <w:pPr>
        <w:pStyle w:val="16"/>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2.1.2双方约定向合同签订地人民法院提起诉讼。</w:t>
      </w:r>
    </w:p>
    <w:p w14:paraId="34497A0C">
      <w:pPr>
        <w:pStyle w:val="16"/>
        <w:spacing w:line="400" w:lineRule="atLeast"/>
        <w:ind w:firstLine="48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2.2.3提交河北省石家庄市仲裁委员会裁决。</w:t>
      </w:r>
    </w:p>
    <w:p w14:paraId="2F204606">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highlight w:val="none"/>
          <w14:textFill>
            <w14:solidFill>
              <w14:schemeClr w14:val="tx1"/>
            </w14:solidFill>
          </w14:textFill>
        </w:rPr>
        <w:t>本合同中关于管辖权的约定是唯一的，任何一方不得通过债权转让或其它方式对涉及本合同约定事项或与之相关的事项的争议解决方式进行另行约定或对本合同关于管辖权的约定进行变更，如发生类似情形，该等约定亦属无效</w:t>
      </w:r>
      <w:bookmarkEnd w:id="84"/>
      <w:bookmarkEnd w:id="87"/>
      <w:r>
        <w:rPr>
          <w:rFonts w:hint="eastAsia" w:ascii="仿宋_GB2312" w:hAnsi="仿宋_GB2312" w:eastAsia="仿宋_GB2312" w:cs="仿宋_GB2312"/>
          <w:b/>
          <w:bCs/>
          <w:color w:val="000000" w:themeColor="text1"/>
          <w:highlight w:val="none"/>
          <w14:textFill>
            <w14:solidFill>
              <w14:schemeClr w14:val="tx1"/>
            </w14:solidFill>
          </w14:textFill>
        </w:rPr>
        <w:t>。</w:t>
      </w:r>
      <w:bookmarkEnd w:id="85"/>
    </w:p>
    <w:p w14:paraId="79EC98BC">
      <w:pPr>
        <w:pStyle w:val="16"/>
        <w:spacing w:line="400" w:lineRule="atLeast"/>
        <w:ind w:firstLine="482" w:firstLineChars="200"/>
        <w:jc w:val="both"/>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2.</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highlight w:val="none"/>
          <w14:textFill>
            <w14:solidFill>
              <w14:schemeClr w14:val="tx1"/>
            </w14:solidFill>
          </w14:textFill>
        </w:rPr>
        <w:t>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产生的各项</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合理</w:t>
      </w:r>
      <w:r>
        <w:rPr>
          <w:rFonts w:hint="eastAsia" w:ascii="仿宋_GB2312" w:hAnsi="仿宋_GB2312" w:eastAsia="仿宋_GB2312" w:cs="仿宋_GB2312"/>
          <w:b/>
          <w:bCs/>
          <w:color w:val="000000" w:themeColor="text1"/>
          <w:highlight w:val="none"/>
          <w14:textFill>
            <w14:solidFill>
              <w14:schemeClr w14:val="tx1"/>
            </w14:solidFill>
          </w14:textFill>
        </w:rPr>
        <w:t>费用由双方自行承担，包括但不限于</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案件受理费、</w:t>
      </w:r>
      <w:r>
        <w:rPr>
          <w:rFonts w:hint="eastAsia" w:ascii="仿宋_GB2312" w:hAnsi="仿宋_GB2312" w:eastAsia="仿宋_GB2312" w:cs="仿宋_GB2312"/>
          <w:b/>
          <w:bCs/>
          <w:color w:val="000000" w:themeColor="text1"/>
          <w:highlight w:val="none"/>
          <w14:textFill>
            <w14:solidFill>
              <w14:schemeClr w14:val="tx1"/>
            </w14:solidFill>
          </w14:textFill>
        </w:rPr>
        <w:t>律师费、仲裁费、保全费、保全保险费、差旅费、公证费及鉴定费等因仲裁</w:t>
      </w:r>
      <w:r>
        <w:rPr>
          <w:rFonts w:hint="eastAsia" w:ascii="仿宋_GB2312" w:hAnsi="仿宋_GB2312" w:eastAsia="仿宋_GB2312" w:cs="仿宋_GB2312"/>
          <w:b/>
          <w:bCs/>
          <w:color w:val="000000" w:themeColor="text1"/>
          <w:highlight w:val="none"/>
          <w:lang w:val="en-US" w:eastAsia="zh-CN"/>
          <w14:textFill>
            <w14:solidFill>
              <w14:schemeClr w14:val="tx1"/>
            </w14:solidFill>
          </w14:textFill>
        </w:rPr>
        <w:t>或诉讼</w:t>
      </w:r>
      <w:r>
        <w:rPr>
          <w:rFonts w:hint="eastAsia" w:ascii="仿宋_GB2312" w:hAnsi="仿宋_GB2312" w:eastAsia="仿宋_GB2312" w:cs="仿宋_GB2312"/>
          <w:b/>
          <w:bCs/>
          <w:color w:val="000000" w:themeColor="text1"/>
          <w:highlight w:val="none"/>
          <w14:textFill>
            <w14:solidFill>
              <w14:schemeClr w14:val="tx1"/>
            </w14:solidFill>
          </w14:textFill>
        </w:rPr>
        <w:t>引发的费用。</w:t>
      </w:r>
    </w:p>
    <w:p w14:paraId="708149E3">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highlight w:val="none"/>
          <w14:textFill>
            <w14:solidFill>
              <w14:schemeClr w14:val="tx1"/>
            </w14:solidFill>
          </w14:textFill>
        </w:rPr>
        <w:t>保密义务</w:t>
      </w:r>
      <w:bookmarkEnd w:id="86"/>
    </w:p>
    <w:p w14:paraId="4A38AF49">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1、除乙方为执行合同所雇人员外，在未经甲方书面许可的情况下，乙方不得将合同中的规定、有关规格、计划、图纸、式样、样本或甲方为上述内容向乙方提供的资料向本协议以外的任何第三方披露。乙方须在对外保密的前提下，对其雇用人员提供相关资料仅限于执行合同必须提供的范围之内。</w:t>
      </w:r>
    </w:p>
    <w:p w14:paraId="1A8FB8DB">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2、除合同另有约定以外，本合同列明的所有资料始终为甲方财产，若甲方要求，乙方应于其合同义务履行完毕以后退还甲方相应资料（包括所有副本）。</w:t>
      </w:r>
    </w:p>
    <w:p w14:paraId="1AFDF72A">
      <w:pPr>
        <w:pStyle w:val="16"/>
        <w:numPr>
          <w:ilvl w:val="0"/>
          <w:numId w:val="10"/>
        </w:numPr>
        <w:spacing w:before="120" w:beforeLines="50" w:after="120" w:afterLines="50" w:line="400" w:lineRule="atLeast"/>
        <w:ind w:firstLine="482" w:firstLineChars="200"/>
        <w:outlineLvl w:val="0"/>
        <w:rPr>
          <w:rFonts w:ascii="仿宋_GB2312" w:hAnsi="仿宋_GB2312" w:eastAsia="仿宋_GB2312" w:cs="仿宋_GB2312"/>
          <w:b/>
          <w:bCs/>
          <w:color w:val="000000" w:themeColor="text1"/>
          <w:highlight w:val="none"/>
          <w14:textFill>
            <w14:solidFill>
              <w14:schemeClr w14:val="tx1"/>
            </w14:solidFill>
          </w14:textFill>
        </w:rPr>
      </w:pPr>
      <w:bookmarkStart w:id="88" w:name="_Toc84"/>
      <w:r>
        <w:rPr>
          <w:rFonts w:hint="eastAsia" w:ascii="仿宋_GB2312" w:hAnsi="仿宋_GB2312" w:eastAsia="仿宋_GB2312" w:cs="仿宋_GB2312"/>
          <w:b/>
          <w:bCs/>
          <w:color w:val="000000" w:themeColor="text1"/>
          <w:highlight w:val="none"/>
          <w14:textFill>
            <w14:solidFill>
              <w14:schemeClr w14:val="tx1"/>
            </w14:solidFill>
          </w14:textFill>
        </w:rPr>
        <w:t>其他条款</w:t>
      </w:r>
      <w:bookmarkEnd w:id="88"/>
    </w:p>
    <w:p w14:paraId="69D434B0">
      <w:pPr>
        <w:pStyle w:val="16"/>
        <w:numPr>
          <w:ilvl w:val="0"/>
          <w:numId w:val="15"/>
        </w:numPr>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本合同与甲方招标文件、乙方投标文件有相抵触之处，均以本合同条款为准。</w:t>
      </w:r>
    </w:p>
    <w:p w14:paraId="07954803">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2、本合同附件是本合同有效组成部分，与本合同具有同等效力。</w:t>
      </w:r>
    </w:p>
    <w:p w14:paraId="3448F324">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3、本合同未尽事宜，按《中华人民共和国民法典》有关规定执行。</w:t>
      </w:r>
    </w:p>
    <w:p w14:paraId="53019A06">
      <w:pPr>
        <w:pStyle w:val="16"/>
        <w:spacing w:line="400" w:lineRule="atLeast"/>
        <w:ind w:firstLine="480" w:firstLineChars="200"/>
        <w:rPr>
          <w:rFonts w:ascii="仿宋_GB2312" w:hAnsi="仿宋_GB2312" w:eastAsia="仿宋_GB2312" w:cs="仿宋_GB2312"/>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highlight w:val="none"/>
          <w14:textFill>
            <w14:solidFill>
              <w14:schemeClr w14:val="tx1"/>
            </w14:solidFill>
          </w14:textFill>
        </w:rPr>
        <w:t>4、其他约定</w:t>
      </w:r>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permStart w:id="119" w:edGrp="everyone"/>
      <w:r>
        <w:rPr>
          <w:rFonts w:hint="eastAsia" w:ascii="仿宋_GB2312" w:hAnsi="仿宋_GB2312" w:eastAsia="仿宋_GB2312" w:cs="仿宋_GB2312"/>
          <w:color w:val="000000" w:themeColor="text1"/>
          <w:highlight w:val="none"/>
          <w:u w:val="single"/>
          <w14:textFill>
            <w14:solidFill>
              <w14:schemeClr w14:val="tx1"/>
            </w14:solidFill>
          </w14:textFill>
        </w:rPr>
        <w:t xml:space="preserve"> / </w:t>
      </w:r>
      <w:permEnd w:id="119"/>
      <w:r>
        <w:rPr>
          <w:rFonts w:hint="eastAsia" w:ascii="仿宋_GB2312" w:hAnsi="仿宋_GB2312" w:eastAsia="仿宋_GB2312" w:cs="仿宋_GB2312"/>
          <w:color w:val="000000" w:themeColor="text1"/>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highlight w:val="none"/>
          <w14:textFill>
            <w14:solidFill>
              <w14:schemeClr w14:val="tx1"/>
            </w14:solidFill>
          </w14:textFill>
        </w:rPr>
        <w:t>。</w:t>
      </w:r>
    </w:p>
    <w:p w14:paraId="1C38C89B">
      <w:pPr>
        <w:pStyle w:val="16"/>
        <w:spacing w:line="400" w:lineRule="atLeast"/>
        <w:ind w:firstLine="480" w:firstLineChars="200"/>
        <w:jc w:val="both"/>
        <w:rPr>
          <w:rFonts w:ascii="仿宋_GB2312" w:hAnsi="仿宋_GB2312" w:eastAsia="仿宋_GB2312" w:cs="仿宋_GB2312"/>
          <w:color w:val="000000" w:themeColor="text1"/>
          <w:highlight w:val="none"/>
          <w14:textFill>
            <w14:solidFill>
              <w14:schemeClr w14:val="tx1"/>
            </w14:solidFill>
          </w14:textFill>
        </w:rPr>
      </w:pPr>
      <w:bookmarkStart w:id="89" w:name="_Toc26614"/>
      <w:r>
        <w:rPr>
          <w:rFonts w:hint="eastAsia" w:ascii="仿宋_GB2312" w:hAnsi="仿宋_GB2312" w:eastAsia="仿宋_GB2312" w:cs="仿宋_GB2312"/>
          <w:color w:val="000000" w:themeColor="text1"/>
          <w:highlight w:val="none"/>
          <w14:textFill>
            <w14:solidFill>
              <w14:schemeClr w14:val="tx1"/>
            </w14:solidFill>
          </w14:textFill>
        </w:rPr>
        <w:t>以下无正文</w:t>
      </w:r>
      <w:bookmarkEnd w:id="89"/>
    </w:p>
    <w:p w14:paraId="131302CA">
      <w:pPr>
        <w:rPr>
          <w:rFonts w:ascii="仿宋_GB2312" w:hAnsi="仿宋_GB2312" w:eastAsia="仿宋_GB2312" w:cs="仿宋_GB2312"/>
          <w:color w:val="000000" w:themeColor="text1"/>
          <w:sz w:val="24"/>
          <w:szCs w:val="24"/>
          <w:highlight w:val="none"/>
          <w14:textFill>
            <w14:solidFill>
              <w14:schemeClr w14:val="tx1"/>
            </w14:solidFill>
          </w14:textFill>
        </w:rPr>
      </w:pPr>
    </w:p>
    <w:p w14:paraId="52102C54">
      <w:pPr>
        <w:pStyle w:val="16"/>
        <w:spacing w:line="400" w:lineRule="atLeast"/>
        <w:ind w:firstLine="480" w:firstLineChars="200"/>
        <w:jc w:val="both"/>
        <w:rPr>
          <w:rFonts w:hint="default"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highlight w:val="none"/>
          <w:lang w:val="en-US" w:eastAsia="zh-CN"/>
          <w14:textFill>
            <w14:solidFill>
              <w14:schemeClr w14:val="tx1"/>
            </w14:solidFill>
          </w14:textFill>
        </w:rPr>
        <w:t xml:space="preserve">  甲  方：                               乙  方：</w:t>
      </w:r>
    </w:p>
    <w:p w14:paraId="6D73F0D3">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法定代表人：                           法定代表人：</w:t>
      </w:r>
    </w:p>
    <w:p w14:paraId="3A8D37E5">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或</w:t>
      </w:r>
    </w:p>
    <w:p w14:paraId="0F333840">
      <w:pPr>
        <w:autoSpaceDE w:val="0"/>
        <w:autoSpaceDN w:val="0"/>
        <w:adjustRightInd w:val="0"/>
        <w:spacing w:line="400" w:lineRule="atLeast"/>
        <w:ind w:firstLine="480" w:firstLineChars="200"/>
        <w:rPr>
          <w:rFonts w:ascii="仿宋_GB2312" w:hAnsi="仿宋_GB2312" w:eastAsia="仿宋_GB2312" w:cs="仿宋_GB2312"/>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委托人：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highlight w:val="none"/>
          <w:lang w:val="en-US" w:eastAsia="zh-CN"/>
          <w14:textFill>
            <w14:solidFill>
              <w14:schemeClr w14:val="tx1"/>
            </w14:solidFill>
          </w14:textFill>
        </w:rPr>
        <w:t>被</w:t>
      </w:r>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委托人：</w:t>
      </w:r>
    </w:p>
    <w:p w14:paraId="14E55ADA">
      <w:pPr>
        <w:spacing w:line="400"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年  月  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年  月  日 </w:t>
      </w:r>
    </w:p>
    <w:p w14:paraId="309AECD2">
      <w:pPr>
        <w:rPr>
          <w:highlight w:val="none"/>
        </w:rPr>
      </w:pPr>
    </w:p>
    <w:sectPr>
      <w:headerReference r:id="rId13" w:type="default"/>
      <w:pgSz w:w="11906" w:h="16838"/>
      <w:pgMar w:top="1440" w:right="1803" w:bottom="1440" w:left="1803" w:header="850" w:footer="975"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B2B37F">
    <w:pPr>
      <w:pStyle w:val="10"/>
      <w:jc w:val="center"/>
      <w:rPr>
        <w:rFonts w:ascii="仿宋" w:hAnsi="仿宋" w:eastAsia="仿宋" w:cs="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30D62A">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CCDA19B">
    <w:pPr>
      <w:pStyle w:val="10"/>
      <w:jc w:val="center"/>
      <w:rPr>
        <w:rFonts w:ascii="仿宋" w:hAnsi="仿宋" w:eastAsia="仿宋" w:cs="仿宋"/>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3DCB4DC">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6D6CF6">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14:paraId="036D6CF6">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CF08E99">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35B294">
                          <w:pPr>
                            <w:pStyle w:val="1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14:paraId="5F35B294">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A3C0AD7">
    <w:pPr>
      <w:pBdr>
        <w:top w:val="none" w:color="auto" w:sz="0" w:space="1"/>
        <w:left w:val="none" w:color="auto" w:sz="0" w:space="4"/>
        <w:bottom w:val="none" w:color="auto" w:sz="0" w:space="1"/>
        <w:right w:val="none" w:color="auto" w:sz="0" w:space="4"/>
      </w:pBdr>
      <w:tabs>
        <w:tab w:val="center" w:pos="4153"/>
        <w:tab w:val="right" w:pos="8306"/>
      </w:tabs>
      <w:wordWrap w:val="0"/>
      <w:snapToGrid w:val="0"/>
    </w:pPr>
    <w:r>
      <w:drawing>
        <wp:anchor distT="0" distB="0" distL="114300" distR="114300" simplePos="0" relativeHeight="251664384"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3" name="图片 2"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sz w:val="18"/>
        <w:szCs w:val="24"/>
        <w:lang w:val="en-US" w:eastAsia="zh-CN"/>
      </w:rPr>
      <w:t xml:space="preserve">                            </w:t>
    </w:r>
    <w:r>
      <w:rPr>
        <w:rFonts w:hint="eastAsia"/>
        <w:sz w:val="18"/>
        <w:szCs w:val="24"/>
      </w:rPr>
      <w:t xml:space="preserve"> </w:t>
    </w:r>
    <w:r>
      <w:rPr>
        <w:rFonts w:hint="eastAsia" w:ascii="宋体" w:hAnsi="宋体" w:cs="宋体"/>
        <w:b/>
        <w:color w:val="000000"/>
        <w:szCs w:val="21"/>
      </w:rPr>
      <w:t>CSCEC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D97F8E3">
    <w:pPr>
      <w:pStyle w:val="11"/>
    </w:pPr>
    <w:r>
      <w:rPr>
        <w:rFonts w:hint="eastAsia"/>
      </w:rPr>
      <w:drawing>
        <wp:anchor distT="0" distB="0" distL="114300" distR="114300" simplePos="0" relativeHeight="251659264" behindDoc="0" locked="0" layoutInCell="1" allowOverlap="1">
          <wp:simplePos x="0" y="0"/>
          <wp:positionH relativeFrom="column">
            <wp:posOffset>-377825</wp:posOffset>
          </wp:positionH>
          <wp:positionV relativeFrom="paragraph">
            <wp:posOffset>389890</wp:posOffset>
          </wp:positionV>
          <wp:extent cx="2520315" cy="314325"/>
          <wp:effectExtent l="0" t="0" r="13335" b="9525"/>
          <wp:wrapSquare wrapText="bothSides"/>
          <wp:docPr id="4"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
                  <pic:cNvPicPr>
                    <a:picLocks noChangeAspect="1"/>
                  </pic:cNvPicPr>
                </pic:nvPicPr>
                <pic:blipFill>
                  <a:blip r:embed="rId1"/>
                  <a:stretch>
                    <a:fillRect/>
                  </a:stretch>
                </pic:blipFill>
                <pic:spPr>
                  <a:xfrm>
                    <a:off x="0" y="0"/>
                    <a:ext cx="2520315" cy="3143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503C67D">
    <w:pPr>
      <w:pBdr>
        <w:top w:val="none" w:color="auto" w:sz="0" w:space="1"/>
        <w:left w:val="none" w:color="auto" w:sz="0" w:space="4"/>
        <w:bottom w:val="none" w:color="auto" w:sz="0" w:space="1"/>
        <w:right w:val="none" w:color="auto" w:sz="0" w:space="4"/>
      </w:pBdr>
      <w:tabs>
        <w:tab w:val="center" w:pos="4153"/>
        <w:tab w:val="right" w:pos="8306"/>
      </w:tabs>
      <w:wordWrap w:val="0"/>
      <w:snapToGrid w:val="0"/>
    </w:pPr>
    <w:r>
      <w:drawing>
        <wp:anchor distT="0" distB="0" distL="114300" distR="114300" simplePos="0" relativeHeight="251665408"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5" name="图片 2"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sz w:val="18"/>
        <w:szCs w:val="24"/>
        <w:lang w:val="en-US" w:eastAsia="zh-CN"/>
      </w:rPr>
      <w:t xml:space="preserve">                                  </w:t>
    </w:r>
    <w:r>
      <w:rPr>
        <w:rFonts w:hint="eastAsia"/>
        <w:sz w:val="18"/>
        <w:szCs w:val="24"/>
      </w:rPr>
      <w:t xml:space="preserve"> </w:t>
    </w:r>
    <w:r>
      <w:rPr>
        <w:rFonts w:hint="eastAsia" w:ascii="宋体" w:hAnsi="宋体" w:cs="宋体"/>
        <w:b/>
        <w:color w:val="000000"/>
        <w:szCs w:val="21"/>
      </w:rPr>
      <w:t>CSCEC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7233BDB">
    <w:pPr>
      <w:pBdr>
        <w:top w:val="none" w:color="auto" w:sz="0" w:space="1"/>
        <w:left w:val="none" w:color="auto" w:sz="0" w:space="4"/>
        <w:bottom w:val="none" w:color="auto" w:sz="0" w:space="1"/>
        <w:right w:val="none" w:color="auto" w:sz="0" w:space="4"/>
      </w:pBdr>
      <w:tabs>
        <w:tab w:val="center" w:pos="4153"/>
        <w:tab w:val="right" w:pos="8306"/>
      </w:tabs>
      <w:wordWrap w:val="0"/>
      <w:snapToGrid w:val="0"/>
    </w:pPr>
    <w:r>
      <w:drawing>
        <wp:anchor distT="0" distB="0" distL="114300" distR="114300" simplePos="0" relativeHeight="251666432"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26" name="图片 2"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sz w:val="18"/>
        <w:szCs w:val="24"/>
        <w:lang w:val="en-US" w:eastAsia="zh-CN"/>
      </w:rPr>
      <w:t xml:space="preserve">                </w:t>
    </w:r>
    <w:r>
      <w:rPr>
        <w:rFonts w:hint="eastAsia" w:ascii="宋体" w:hAnsi="宋体" w:cs="宋体"/>
        <w:b/>
        <w:color w:val="000000"/>
        <w:szCs w:val="21"/>
      </w:rPr>
      <w:t>CSCEC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0ABCC3">
    <w:pPr>
      <w:pBdr>
        <w:top w:val="none" w:color="auto" w:sz="0" w:space="1"/>
        <w:left w:val="none" w:color="auto" w:sz="0" w:space="4"/>
        <w:bottom w:val="none" w:color="auto" w:sz="0" w:space="1"/>
        <w:right w:val="none" w:color="auto" w:sz="0" w:space="4"/>
      </w:pBdr>
      <w:tabs>
        <w:tab w:val="center" w:pos="4153"/>
        <w:tab w:val="right" w:pos="8306"/>
      </w:tabs>
      <w:wordWrap w:val="0"/>
      <w:snapToGrid w:val="0"/>
      <w:ind w:firstLine="5670" w:firstLineChars="2700"/>
    </w:pPr>
    <w:r>
      <w:drawing>
        <wp:anchor distT="0" distB="0" distL="114300" distR="114300" simplePos="0" relativeHeight="251667456"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8" name="图片 2"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sz w:val="18"/>
        <w:szCs w:val="24"/>
      </w:rPr>
      <w:t xml:space="preserve">                                                                      </w:t>
    </w:r>
    <w:r>
      <w:rPr>
        <w:rFonts w:hint="eastAsia"/>
        <w:sz w:val="18"/>
        <w:szCs w:val="24"/>
        <w:lang w:val="en-US" w:eastAsia="zh-CN"/>
      </w:rPr>
      <w:t xml:space="preserve">                </w:t>
    </w:r>
    <w:r>
      <w:rPr>
        <w:rFonts w:hint="eastAsia" w:ascii="宋体" w:hAnsi="宋体" w:cs="宋体"/>
        <w:b/>
        <w:color w:val="000000"/>
        <w:szCs w:val="21"/>
      </w:rPr>
      <w:t>CSCEC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D287DEF">
    <w:pPr>
      <w:pBdr>
        <w:top w:val="none" w:color="auto" w:sz="0" w:space="1"/>
        <w:left w:val="none" w:color="auto" w:sz="0" w:space="4"/>
        <w:bottom w:val="none" w:color="auto" w:sz="0" w:space="1"/>
        <w:right w:val="none" w:color="auto" w:sz="0" w:space="4"/>
      </w:pBdr>
      <w:tabs>
        <w:tab w:val="center" w:pos="4153"/>
        <w:tab w:val="right" w:pos="8306"/>
      </w:tabs>
      <w:wordWrap w:val="0"/>
      <w:snapToGrid w:val="0"/>
      <w:ind w:firstLine="5670" w:firstLineChars="2700"/>
    </w:pPr>
    <w:r>
      <w:drawing>
        <wp:anchor distT="0" distB="0" distL="114300" distR="114300" simplePos="0" relativeHeight="251668480" behindDoc="0" locked="0" layoutInCell="1" allowOverlap="1">
          <wp:simplePos x="0" y="0"/>
          <wp:positionH relativeFrom="column">
            <wp:posOffset>7620</wp:posOffset>
          </wp:positionH>
          <wp:positionV relativeFrom="paragraph">
            <wp:posOffset>-11430</wp:posOffset>
          </wp:positionV>
          <wp:extent cx="377190" cy="144145"/>
          <wp:effectExtent l="0" t="0" r="3810" b="8255"/>
          <wp:wrapNone/>
          <wp:docPr id="27" name="图片 2"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说明: 图片1"/>
                  <pic:cNvPicPr>
                    <a:picLocks noChangeAspect="1"/>
                  </pic:cNvPicPr>
                </pic:nvPicPr>
                <pic:blipFill>
                  <a:blip r:embed="rId1">
                    <a:clrChange>
                      <a:clrFrom>
                        <a:srgbClr val="FEFEFE"/>
                      </a:clrFrom>
                      <a:clrTo>
                        <a:srgbClr val="FEFEFE">
                          <a:alpha val="0"/>
                        </a:srgbClr>
                      </a:clrTo>
                    </a:clrChange>
                    <a:lum contrast="18000"/>
                  </a:blip>
                  <a:srcRect t="72632"/>
                  <a:stretch>
                    <a:fillRect/>
                  </a:stretch>
                </pic:blipFill>
                <pic:spPr>
                  <a:xfrm>
                    <a:off x="0" y="0"/>
                    <a:ext cx="377190" cy="144145"/>
                  </a:xfrm>
                  <a:prstGeom prst="rect">
                    <a:avLst/>
                  </a:prstGeom>
                  <a:noFill/>
                  <a:ln>
                    <a:noFill/>
                  </a:ln>
                </pic:spPr>
              </pic:pic>
            </a:graphicData>
          </a:graphic>
        </wp:anchor>
      </w:drawing>
    </w:r>
    <w:r>
      <w:rPr>
        <w:rFonts w:hint="eastAsia"/>
        <w:lang w:val="en-US" w:eastAsia="zh-CN"/>
      </w:rPr>
      <w:t xml:space="preserve">                    </w:t>
    </w:r>
    <w:r>
      <w:rPr>
        <w:rFonts w:hint="eastAsia" w:ascii="宋体" w:hAnsi="宋体" w:cs="宋体"/>
        <w:b/>
        <w:color w:val="000000"/>
        <w:szCs w:val="21"/>
      </w:rPr>
      <w:t>CSCEC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25A6D"/>
    <w:multiLevelType w:val="singleLevel"/>
    <w:tmpl w:val="9C525A6D"/>
    <w:lvl w:ilvl="0" w:tentative="0">
      <w:start w:val="1"/>
      <w:numFmt w:val="decimal"/>
      <w:suff w:val="nothing"/>
      <w:lvlText w:val="%1、"/>
      <w:lvlJc w:val="left"/>
    </w:lvl>
  </w:abstractNum>
  <w:abstractNum w:abstractNumId="1">
    <w:nsid w:val="BF2E4D01"/>
    <w:multiLevelType w:val="singleLevel"/>
    <w:tmpl w:val="BF2E4D01"/>
    <w:lvl w:ilvl="0" w:tentative="0">
      <w:start w:val="1"/>
      <w:numFmt w:val="decimal"/>
      <w:suff w:val="nothing"/>
      <w:lvlText w:val="（%1）"/>
      <w:lvlJc w:val="left"/>
    </w:lvl>
  </w:abstractNum>
  <w:abstractNum w:abstractNumId="2">
    <w:nsid w:val="CDF988A0"/>
    <w:multiLevelType w:val="singleLevel"/>
    <w:tmpl w:val="CDF988A0"/>
    <w:lvl w:ilvl="0" w:tentative="0">
      <w:start w:val="1"/>
      <w:numFmt w:val="decimal"/>
      <w:suff w:val="nothing"/>
      <w:lvlText w:val="%1、"/>
      <w:lvlJc w:val="left"/>
    </w:lvl>
  </w:abstractNum>
  <w:abstractNum w:abstractNumId="3">
    <w:nsid w:val="D6CC21DA"/>
    <w:multiLevelType w:val="singleLevel"/>
    <w:tmpl w:val="D6CC21DA"/>
    <w:lvl w:ilvl="0" w:tentative="0">
      <w:start w:val="1"/>
      <w:numFmt w:val="decimal"/>
      <w:suff w:val="nothing"/>
      <w:lvlText w:val="%1、"/>
      <w:lvlJc w:val="left"/>
    </w:lvl>
  </w:abstractNum>
  <w:abstractNum w:abstractNumId="4">
    <w:nsid w:val="DA2CD928"/>
    <w:multiLevelType w:val="singleLevel"/>
    <w:tmpl w:val="DA2CD928"/>
    <w:lvl w:ilvl="0" w:tentative="0">
      <w:start w:val="1"/>
      <w:numFmt w:val="decimal"/>
      <w:suff w:val="nothing"/>
      <w:lvlText w:val="%1、"/>
      <w:lvlJc w:val="left"/>
    </w:lvl>
  </w:abstractNum>
  <w:abstractNum w:abstractNumId="5">
    <w:nsid w:val="E0133784"/>
    <w:multiLevelType w:val="singleLevel"/>
    <w:tmpl w:val="E0133784"/>
    <w:lvl w:ilvl="0" w:tentative="0">
      <w:start w:val="1"/>
      <w:numFmt w:val="decimal"/>
      <w:suff w:val="nothing"/>
      <w:lvlText w:val="%1、"/>
      <w:lvlJc w:val="left"/>
    </w:lvl>
  </w:abstractNum>
  <w:abstractNum w:abstractNumId="6">
    <w:nsid w:val="EEFD7662"/>
    <w:multiLevelType w:val="singleLevel"/>
    <w:tmpl w:val="EEFD7662"/>
    <w:lvl w:ilvl="0" w:tentative="0">
      <w:start w:val="1"/>
      <w:numFmt w:val="decimal"/>
      <w:suff w:val="nothing"/>
      <w:lvlText w:val="%1、"/>
      <w:lvlJc w:val="left"/>
    </w:lvl>
  </w:abstractNum>
  <w:abstractNum w:abstractNumId="7">
    <w:nsid w:val="EFACCE70"/>
    <w:multiLevelType w:val="singleLevel"/>
    <w:tmpl w:val="EFACCE70"/>
    <w:lvl w:ilvl="0" w:tentative="0">
      <w:start w:val="1"/>
      <w:numFmt w:val="chineseCounting"/>
      <w:suff w:val="nothing"/>
      <w:lvlText w:val="%1、"/>
      <w:lvlJc w:val="left"/>
      <w:rPr>
        <w:rFonts w:hint="eastAsia"/>
      </w:rPr>
    </w:lvl>
  </w:abstractNum>
  <w:abstractNum w:abstractNumId="8">
    <w:nsid w:val="F4B4D53B"/>
    <w:multiLevelType w:val="singleLevel"/>
    <w:tmpl w:val="F4B4D53B"/>
    <w:lvl w:ilvl="0" w:tentative="0">
      <w:start w:val="1"/>
      <w:numFmt w:val="decimal"/>
      <w:suff w:val="nothing"/>
      <w:lvlText w:val="%1、"/>
      <w:lvlJc w:val="left"/>
    </w:lvl>
  </w:abstractNum>
  <w:abstractNum w:abstractNumId="9">
    <w:nsid w:val="17E12B1E"/>
    <w:multiLevelType w:val="singleLevel"/>
    <w:tmpl w:val="17E12B1E"/>
    <w:lvl w:ilvl="0" w:tentative="0">
      <w:start w:val="6"/>
      <w:numFmt w:val="chineseCounting"/>
      <w:suff w:val="nothing"/>
      <w:lvlText w:val="%1、"/>
      <w:lvlJc w:val="left"/>
      <w:pPr>
        <w:ind w:left="480" w:firstLine="0"/>
      </w:pPr>
      <w:rPr>
        <w:rFonts w:hint="eastAsia"/>
      </w:rPr>
    </w:lvl>
  </w:abstractNum>
  <w:abstractNum w:abstractNumId="10">
    <w:nsid w:val="1C870535"/>
    <w:multiLevelType w:val="singleLevel"/>
    <w:tmpl w:val="1C870535"/>
    <w:lvl w:ilvl="0" w:tentative="0">
      <w:start w:val="1"/>
      <w:numFmt w:val="decimal"/>
      <w:suff w:val="nothing"/>
      <w:lvlText w:val="%1、"/>
      <w:lvlJc w:val="left"/>
      <w:rPr>
        <w:rFonts w:hint="default"/>
        <w:b/>
        <w:bCs/>
      </w:rPr>
    </w:lvl>
  </w:abstractNum>
  <w:abstractNum w:abstractNumId="11">
    <w:nsid w:val="567023B9"/>
    <w:multiLevelType w:val="singleLevel"/>
    <w:tmpl w:val="567023B9"/>
    <w:lvl w:ilvl="0" w:tentative="0">
      <w:start w:val="1"/>
      <w:numFmt w:val="decimal"/>
      <w:suff w:val="nothing"/>
      <w:lvlText w:val="%1、"/>
      <w:lvlJc w:val="left"/>
    </w:lvl>
  </w:abstractNum>
  <w:abstractNum w:abstractNumId="12">
    <w:nsid w:val="5A99D076"/>
    <w:multiLevelType w:val="singleLevel"/>
    <w:tmpl w:val="5A99D076"/>
    <w:lvl w:ilvl="0" w:tentative="0">
      <w:start w:val="2"/>
      <w:numFmt w:val="decimal"/>
      <w:lvlText w:val="%1."/>
      <w:lvlJc w:val="left"/>
      <w:pPr>
        <w:tabs>
          <w:tab w:val="left" w:pos="312"/>
        </w:tabs>
        <w:ind w:left="480" w:firstLine="0"/>
      </w:pPr>
    </w:lvl>
  </w:abstractNum>
  <w:abstractNum w:abstractNumId="13">
    <w:nsid w:val="7B017038"/>
    <w:multiLevelType w:val="singleLevel"/>
    <w:tmpl w:val="7B017038"/>
    <w:lvl w:ilvl="0" w:tentative="0">
      <w:start w:val="1"/>
      <w:numFmt w:val="chineseCounting"/>
      <w:suff w:val="nothing"/>
      <w:lvlText w:val="%1、"/>
      <w:lvlJc w:val="left"/>
      <w:rPr>
        <w:rFonts w:hint="eastAsia"/>
      </w:rPr>
    </w:lvl>
  </w:abstractNum>
  <w:abstractNum w:abstractNumId="14">
    <w:nsid w:val="7C4E14C2"/>
    <w:multiLevelType w:val="multilevel"/>
    <w:tmpl w:val="7C4E14C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4"/>
  </w:num>
  <w:num w:numId="3">
    <w:abstractNumId w:val="10"/>
  </w:num>
  <w:num w:numId="4">
    <w:abstractNumId w:val="1"/>
  </w:num>
  <w:num w:numId="5">
    <w:abstractNumId w:val="6"/>
  </w:num>
  <w:num w:numId="6">
    <w:abstractNumId w:val="8"/>
  </w:num>
  <w:num w:numId="7">
    <w:abstractNumId w:val="14"/>
  </w:num>
  <w:num w:numId="8">
    <w:abstractNumId w:val="12"/>
  </w:num>
  <w:num w:numId="9">
    <w:abstractNumId w:val="9"/>
  </w:num>
  <w:num w:numId="10">
    <w:abstractNumId w:val="13"/>
  </w:num>
  <w:num w:numId="11">
    <w:abstractNumId w:val="11"/>
  </w:num>
  <w:num w:numId="12">
    <w:abstractNumId w:val="3"/>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XaJLJA7cr6Yl+7w6Fru8ad32qk8=" w:salt="4FdUQyH1joiX27AIkffvT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MjkwZDM3NTQzZGUwNGIyN2ZhZDBkYWVkMmI1MGIifQ=="/>
  </w:docVars>
  <w:rsids>
    <w:rsidRoot w:val="00000000"/>
    <w:rsid w:val="04E028AC"/>
    <w:rsid w:val="07904C6B"/>
    <w:rsid w:val="10211F7D"/>
    <w:rsid w:val="151B0063"/>
    <w:rsid w:val="1529330A"/>
    <w:rsid w:val="1E31039B"/>
    <w:rsid w:val="1F080061"/>
    <w:rsid w:val="2A440F35"/>
    <w:rsid w:val="35566576"/>
    <w:rsid w:val="39DF3BB8"/>
    <w:rsid w:val="410706D6"/>
    <w:rsid w:val="444C6F31"/>
    <w:rsid w:val="45736D30"/>
    <w:rsid w:val="45C55598"/>
    <w:rsid w:val="501608B8"/>
    <w:rsid w:val="51BF5E7B"/>
    <w:rsid w:val="54CA55D0"/>
    <w:rsid w:val="565A4C93"/>
    <w:rsid w:val="57F71B05"/>
    <w:rsid w:val="5AD826BB"/>
    <w:rsid w:val="5B697F52"/>
    <w:rsid w:val="5B7E5A88"/>
    <w:rsid w:val="5BEE727B"/>
    <w:rsid w:val="61B47FFE"/>
    <w:rsid w:val="691D21D3"/>
    <w:rsid w:val="693D127C"/>
    <w:rsid w:val="778C521A"/>
    <w:rsid w:val="78EF7891"/>
    <w:rsid w:val="7FC1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576" w:lineRule="auto"/>
      <w:ind w:firstLine="200" w:firstLineChars="200"/>
      <w:outlineLvl w:val="1"/>
    </w:pPr>
    <w:rPr>
      <w:rFonts w:ascii="宋体" w:hAnsi="宋体" w:eastAsia="宋体" w:cs="Times New Roman"/>
      <w:b/>
      <w:bCs/>
      <w:sz w:val="28"/>
      <w:szCs w:val="32"/>
    </w:rPr>
  </w:style>
  <w:style w:type="paragraph" w:styleId="3">
    <w:name w:val="heading 3"/>
    <w:basedOn w:val="1"/>
    <w:next w:val="1"/>
    <w:autoRedefine/>
    <w:qFormat/>
    <w:uiPriority w:val="0"/>
    <w:pPr>
      <w:keepNext/>
      <w:keepLines/>
      <w:spacing w:before="260" w:after="260" w:line="413" w:lineRule="auto"/>
      <w:outlineLvl w:val="2"/>
    </w:pPr>
    <w:rPr>
      <w:rFonts w:ascii="Calibri" w:hAnsi="Calibri" w:eastAsia="宋体" w:cs="Times New Roman"/>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widowControl/>
      <w:ind w:firstLine="420"/>
      <w:jc w:val="left"/>
    </w:pPr>
    <w:rPr>
      <w:rFonts w:ascii="MingLiU" w:hAnsi="MingLiU" w:eastAsia="MingLiU" w:cs="Arial Unicode MS"/>
      <w:snapToGrid w:val="0"/>
      <w:kern w:val="0"/>
      <w:sz w:val="20"/>
      <w:szCs w:val="20"/>
    </w:rPr>
  </w:style>
  <w:style w:type="paragraph" w:styleId="5">
    <w:name w:val="annotation text"/>
    <w:basedOn w:val="1"/>
    <w:autoRedefine/>
    <w:qFormat/>
    <w:uiPriority w:val="0"/>
    <w:pPr>
      <w:jc w:val="left"/>
    </w:pPr>
  </w:style>
  <w:style w:type="paragraph" w:styleId="6">
    <w:name w:val="Body Text"/>
    <w:basedOn w:val="1"/>
    <w:next w:val="1"/>
    <w:autoRedefine/>
    <w:qFormat/>
    <w:uiPriority w:val="0"/>
    <w:rPr>
      <w:szCs w:val="28"/>
    </w:rPr>
  </w:style>
  <w:style w:type="paragraph" w:styleId="7">
    <w:name w:val="Body Text Indent"/>
    <w:basedOn w:val="1"/>
    <w:autoRedefine/>
    <w:qFormat/>
    <w:uiPriority w:val="0"/>
    <w:pPr>
      <w:spacing w:line="360" w:lineRule="auto"/>
      <w:ind w:firstLine="600" w:firstLineChars="200"/>
    </w:pPr>
    <w:rPr>
      <w:rFonts w:ascii="仿宋_GB2312" w:hAnsi="Calibri" w:eastAsia="仿宋_GB2312" w:cs="Times New Roman"/>
      <w:bCs/>
      <w:sz w:val="30"/>
      <w:szCs w:val="20"/>
    </w:rPr>
  </w:style>
  <w:style w:type="paragraph" w:styleId="8">
    <w:name w:val="Plain Text"/>
    <w:basedOn w:val="1"/>
    <w:autoRedefine/>
    <w:qFormat/>
    <w:uiPriority w:val="0"/>
    <w:rPr>
      <w:rFonts w:ascii="黑体" w:hAnsi="Courier New" w:eastAsia="黑体" w:cs="Times New Roman"/>
      <w:szCs w:val="20"/>
    </w:rPr>
  </w:style>
  <w:style w:type="paragraph" w:styleId="9">
    <w:name w:val="Body Text Indent 2"/>
    <w:basedOn w:val="1"/>
    <w:autoRedefine/>
    <w:qFormat/>
    <w:uiPriority w:val="0"/>
    <w:pPr>
      <w:ind w:firstLine="540" w:firstLineChars="180"/>
    </w:pPr>
    <w:rPr>
      <w:rFonts w:ascii="仿宋_GB2312" w:hAnsi="Calibri" w:eastAsia="仿宋_GB2312" w:cs="Times New Roman"/>
      <w:sz w:val="30"/>
      <w:szCs w:val="24"/>
    </w:rPr>
  </w:style>
  <w:style w:type="paragraph" w:styleId="10">
    <w:name w:val="footer"/>
    <w:basedOn w:val="1"/>
    <w:autoRedefine/>
    <w:unhideWhenUsed/>
    <w:qFormat/>
    <w:uiPriority w:val="0"/>
    <w:pPr>
      <w:tabs>
        <w:tab w:val="center" w:pos="4153"/>
        <w:tab w:val="right" w:pos="8306"/>
      </w:tabs>
      <w:snapToGrid w:val="0"/>
      <w:jc w:val="left"/>
    </w:pPr>
    <w:rPr>
      <w:sz w:val="18"/>
      <w:szCs w:val="18"/>
    </w:rPr>
  </w:style>
  <w:style w:type="paragraph" w:styleId="1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rPr>
      <w:rFonts w:ascii="Calibri" w:hAnsi="Calibri" w:eastAsia="宋体" w:cs="Times New Roman"/>
    </w:rPr>
  </w:style>
  <w:style w:type="table" w:styleId="14">
    <w:name w:val="Table Grid"/>
    <w:basedOn w:val="13"/>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7">
    <w:name w:val="font41"/>
    <w:basedOn w:val="15"/>
    <w:autoRedefine/>
    <w:qFormat/>
    <w:uiPriority w:val="0"/>
    <w:rPr>
      <w:rFonts w:hint="eastAsia" w:ascii="宋体" w:hAnsi="宋体" w:eastAsia="宋体" w:cs="宋体"/>
      <w:color w:val="000000"/>
      <w:sz w:val="22"/>
      <w:szCs w:val="22"/>
      <w:u w:val="none"/>
      <w:vertAlign w:val="superscript"/>
    </w:rPr>
  </w:style>
  <w:style w:type="paragraph" w:customStyle="1" w:styleId="18">
    <w:name w:val="正文 首行缩进"/>
    <w:basedOn w:val="1"/>
    <w:autoRedefine/>
    <w:qFormat/>
    <w:uiPriority w:val="0"/>
    <w:pPr>
      <w:overflowPunct w:val="0"/>
      <w:topLinePunct/>
      <w:adjustRightInd w:val="0"/>
      <w:spacing w:before="156" w:beforeLines="50"/>
      <w:ind w:firstLine="420" w:firstLineChars="200"/>
      <w:textAlignment w:val="baseline"/>
    </w:pPr>
    <w:rPr>
      <w:rFonts w:ascii="宋体" w:hAnsi="宋体" w:cs="宋体"/>
      <w:color w:val="000000"/>
      <w:kern w:val="0"/>
      <w:szCs w:val="21"/>
    </w:rPr>
  </w:style>
  <w:style w:type="paragraph" w:customStyle="1" w:styleId="19">
    <w:name w:val="_Style 2"/>
    <w:basedOn w:val="1"/>
    <w:autoRedefine/>
    <w:qFormat/>
    <w:uiPriority w:val="99"/>
    <w:pPr>
      <w:ind w:firstLine="420" w:firstLineChars="200"/>
    </w:pPr>
    <w:rPr>
      <w:rFonts w:ascii="Calibri" w:hAnsi="Calibri" w:eastAsia="宋体" w:cs="Times New Roman"/>
    </w:rPr>
  </w:style>
  <w:style w:type="paragraph" w:customStyle="1" w:styleId="20">
    <w:name w:val="。"/>
    <w:basedOn w:val="1"/>
    <w:autoRedefine/>
    <w:qFormat/>
    <w:uiPriority w:val="0"/>
    <w:pPr>
      <w:adjustRightInd w:val="0"/>
      <w:spacing w:line="312" w:lineRule="atLeast"/>
      <w:ind w:right="679"/>
      <w:textAlignment w:val="baseline"/>
    </w:pPr>
    <w:rPr>
      <w:rFonts w:ascii="宋体" w:hAnsi="Calibri" w:eastAsia="宋体" w:cs="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30367</Words>
  <Characters>32164</Characters>
  <Lines>0</Lines>
  <Paragraphs>0</Paragraphs>
  <TotalTime>2</TotalTime>
  <ScaleCrop>false</ScaleCrop>
  <LinksUpToDate>false</LinksUpToDate>
  <CharactersWithSpaces>34521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2023-11-22T08:42:00Z</dcterms:created>
  <dc:creator>周轶群</dc:creator>
  <cp:lastModifiedBy>Smile Againゾ</cp:lastModifiedBy>
  <dcterms:modified xsi:type="dcterms:W3CDTF">2024-06-28T00:57:22Z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45EF708033C64D4B9006F8FB3C448C1C_13</vt:lpwstr>
  </property>
</Properties>
</file>