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0C77F">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ascii="宋体" w:hAnsi="宋体" w:eastAsia="宋体"/>
          <w:u w:val="single"/>
        </w:rPr>
        <w:t>ZJLQ-FG-宣恩建养01项目包-0</w:t>
      </w:r>
      <w:r>
        <w:rPr>
          <w:rFonts w:ascii="宋体" w:hAnsi="宋体" w:eastAsia="宋体"/>
          <w:u w:val="single"/>
        </w:rPr>
        <w:t>4</w:t>
      </w:r>
      <w:r>
        <w:rPr>
          <w:rFonts w:hint="eastAsia" w:ascii="宋体" w:hAnsi="宋体" w:eastAsia="宋体"/>
          <w:u w:val="single"/>
          <w:lang w:val="en-US" w:eastAsia="zh-CN"/>
        </w:rPr>
        <w:t>9</w:t>
      </w:r>
      <w:permEnd w:id="0"/>
    </w:p>
    <w:p w14:paraId="0EE7E09E">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r>
        <w:rPr>
          <w:rFonts w:hint="eastAsia" w:eastAsia="仿宋_GB2312"/>
          <w:bCs/>
          <w:color w:val="000000"/>
          <w:sz w:val="28"/>
          <w:szCs w:val="28"/>
          <w:highlight w:val="none"/>
          <w:u w:val="single"/>
          <w:lang w:val="en-US" w:eastAsia="zh-CN"/>
        </w:rPr>
        <w:t xml:space="preserve">                    </w:t>
      </w:r>
      <w:r>
        <w:rPr>
          <w:rFonts w:hint="eastAsia" w:eastAsia="仿宋_GB2312"/>
          <w:bCs/>
          <w:color w:val="000000"/>
          <w:sz w:val="28"/>
          <w:szCs w:val="28"/>
          <w:highlight w:val="none"/>
          <w:u w:val="single"/>
        </w:rPr>
        <w:t xml:space="preserve"> </w:t>
      </w:r>
      <w:permEnd w:id="1"/>
    </w:p>
    <w:p w14:paraId="4FA71E6C">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2336;mso-width-relative:page;mso-height-relative:page;" coordsize="21600,21600">
            <v:path/>
            <v:fill opacity="32768f" focussize="0,0"/>
            <v:stroke/>
            <v:imagedata o:title=""/>
            <o:lock v:ext="edit"/>
            <v:textpath on="t" fitshape="t" fitpath="t" trim="t" xscale="f" string="" style="font-size:36pt;v-text-align:center;"/>
          </v:shape>
        </w:pict>
      </w:r>
    </w:p>
    <w:p w14:paraId="6C93C120">
      <w:pPr>
        <w:pStyle w:val="4"/>
        <w:rPr>
          <w:rFonts w:hint="eastAsia"/>
          <w:highlight w:val="none"/>
        </w:rPr>
      </w:pPr>
    </w:p>
    <w:p w14:paraId="73462232">
      <w:pPr>
        <w:pStyle w:val="4"/>
        <w:rPr>
          <w:rFonts w:hint="eastAsia"/>
          <w:highlight w:val="none"/>
        </w:rPr>
      </w:pPr>
    </w:p>
    <w:p w14:paraId="57F64385">
      <w:pPr>
        <w:pStyle w:val="4"/>
        <w:rPr>
          <w:rFonts w:hint="eastAsia"/>
          <w:highlight w:val="none"/>
        </w:rPr>
      </w:pPr>
    </w:p>
    <w:p w14:paraId="704CA61A">
      <w:pPr>
        <w:spacing w:line="360" w:lineRule="auto"/>
        <w:jc w:val="center"/>
        <w:rPr>
          <w:rFonts w:hint="eastAsia" w:ascii="华文中宋" w:hAnsi="华文中宋" w:eastAsia="华文中宋" w:cs="华文中宋"/>
          <w:b/>
          <w:sz w:val="52"/>
          <w:szCs w:val="52"/>
          <w:highlight w:val="none"/>
        </w:rPr>
      </w:pPr>
      <w:permStart w:id="2" w:edGrp="everyone"/>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钢材</w:t>
      </w:r>
      <w:r>
        <w:rPr>
          <w:rFonts w:hint="eastAsia" w:ascii="华文中宋" w:hAnsi="华文中宋" w:eastAsia="华文中宋" w:cs="华文中宋"/>
          <w:b/>
          <w:sz w:val="52"/>
          <w:szCs w:val="52"/>
          <w:highlight w:val="none"/>
        </w:rPr>
        <w:t>】</w:t>
      </w:r>
      <w:permEnd w:id="2"/>
      <w:r>
        <w:rPr>
          <w:rFonts w:hint="eastAsia" w:ascii="华文中宋" w:hAnsi="华文中宋" w:eastAsia="华文中宋" w:cs="华文中宋"/>
          <w:b/>
          <w:sz w:val="52"/>
          <w:szCs w:val="52"/>
          <w:highlight w:val="none"/>
        </w:rPr>
        <w:t>采购与供应合同</w:t>
      </w:r>
    </w:p>
    <w:p w14:paraId="03E9059D">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1312"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4">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24341096">
      <w:pPr>
        <w:spacing w:line="360" w:lineRule="auto"/>
        <w:jc w:val="center"/>
        <w:rPr>
          <w:rFonts w:hint="eastAsia" w:ascii="宋体" w:hAnsi="宋体" w:cs="宋体"/>
          <w:b/>
          <w:sz w:val="28"/>
          <w:szCs w:val="28"/>
          <w:highlight w:val="none"/>
        </w:rPr>
      </w:pPr>
    </w:p>
    <w:p w14:paraId="1A470FC3">
      <w:pPr>
        <w:spacing w:line="360" w:lineRule="auto"/>
        <w:jc w:val="center"/>
        <w:rPr>
          <w:rFonts w:hint="eastAsia" w:ascii="宋体" w:hAnsi="宋体" w:cs="宋体"/>
          <w:b/>
          <w:sz w:val="28"/>
          <w:szCs w:val="28"/>
          <w:highlight w:val="none"/>
        </w:rPr>
      </w:pPr>
    </w:p>
    <w:p w14:paraId="4C12372C">
      <w:pPr>
        <w:spacing w:line="360" w:lineRule="auto"/>
        <w:jc w:val="center"/>
        <w:rPr>
          <w:rFonts w:hint="eastAsia" w:ascii="宋体" w:hAnsi="宋体" w:cs="宋体"/>
          <w:b/>
          <w:sz w:val="28"/>
          <w:szCs w:val="28"/>
          <w:highlight w:val="none"/>
        </w:rPr>
      </w:pPr>
    </w:p>
    <w:p w14:paraId="2E48CFCF">
      <w:pPr>
        <w:spacing w:line="360" w:lineRule="auto"/>
        <w:jc w:val="center"/>
        <w:rPr>
          <w:rFonts w:hint="eastAsia" w:ascii="宋体" w:hAnsi="宋体" w:cs="宋体"/>
          <w:b/>
          <w:sz w:val="28"/>
          <w:szCs w:val="28"/>
          <w:highlight w:val="none"/>
        </w:rPr>
      </w:pPr>
    </w:p>
    <w:p w14:paraId="66120082">
      <w:pPr>
        <w:spacing w:line="360" w:lineRule="auto"/>
        <w:rPr>
          <w:rFonts w:hint="eastAsia" w:ascii="宋体" w:hAnsi="宋体" w:cs="宋体"/>
          <w:b/>
          <w:sz w:val="28"/>
          <w:szCs w:val="28"/>
          <w:highlight w:val="none"/>
        </w:rPr>
      </w:pPr>
    </w:p>
    <w:p w14:paraId="11F73F94">
      <w:pPr>
        <w:pStyle w:val="2"/>
        <w:spacing w:after="120"/>
        <w:ind w:firstLine="560"/>
        <w:rPr>
          <w:rFonts w:hint="eastAsia" w:ascii="宋体" w:hAnsi="宋体" w:cs="宋体"/>
          <w:b/>
          <w:sz w:val="28"/>
          <w:szCs w:val="28"/>
          <w:highlight w:val="none"/>
        </w:rPr>
      </w:pPr>
    </w:p>
    <w:p w14:paraId="5208011E">
      <w:pPr>
        <w:pStyle w:val="2"/>
        <w:spacing w:after="120"/>
        <w:ind w:firstLine="560"/>
        <w:rPr>
          <w:rFonts w:hint="eastAsia" w:ascii="宋体" w:hAnsi="宋体" w:cs="宋体"/>
          <w:b/>
          <w:sz w:val="28"/>
          <w:szCs w:val="28"/>
          <w:highlight w:val="none"/>
        </w:rPr>
      </w:pPr>
    </w:p>
    <w:p w14:paraId="763FB8CC">
      <w:pPr>
        <w:spacing w:line="360" w:lineRule="auto"/>
        <w:rPr>
          <w:rFonts w:hint="eastAsia" w:ascii="仿宋_GB2312" w:hAnsi="仿宋_GB2312" w:eastAsia="仿宋_GB2312" w:cs="仿宋_GB2312"/>
          <w:b/>
          <w:bCs/>
          <w:sz w:val="28"/>
          <w:szCs w:val="28"/>
          <w:highlight w:val="none"/>
        </w:rPr>
      </w:pPr>
      <w:permStart w:id="3" w:edGrp="everyone"/>
    </w:p>
    <w:p w14:paraId="60CDC7AC">
      <w:pPr>
        <w:spacing w:line="360" w:lineRule="auto"/>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【宣恩县普通公路“建养一体化”01项目包</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351国道改扩建工程】</w:t>
      </w:r>
    </w:p>
    <w:p w14:paraId="644BCCC3">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bCs/>
          <w:sz w:val="28"/>
          <w:szCs w:val="28"/>
          <w:highlight w:val="none"/>
        </w:rPr>
        <w:t>中建路桥集团有限公司湖北宣恩分公司</w:t>
      </w:r>
      <w:r>
        <w:rPr>
          <w:rFonts w:hint="eastAsia" w:ascii="仿宋_GB2312" w:hAnsi="仿宋_GB2312" w:eastAsia="仿宋_GB2312" w:cs="仿宋_GB2312"/>
          <w:b/>
          <w:color w:val="000000"/>
          <w:sz w:val="28"/>
          <w:szCs w:val="28"/>
          <w:highlight w:val="none"/>
        </w:rPr>
        <w:t>】</w:t>
      </w:r>
    </w:p>
    <w:p w14:paraId="4CC5CAC4">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7CDEB950">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44C75E4C">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石家庄市桥西区      </w:t>
      </w:r>
      <w:r>
        <w:rPr>
          <w:rFonts w:hint="eastAsia" w:ascii="仿宋_GB2312" w:hAnsi="仿宋_GB2312" w:eastAsia="仿宋_GB2312" w:cs="仿宋_GB2312"/>
          <w:b/>
          <w:color w:val="000000"/>
          <w:sz w:val="28"/>
          <w:szCs w:val="28"/>
          <w:highlight w:val="none"/>
        </w:rPr>
        <w:t xml:space="preserve">   】</w:t>
      </w:r>
    </w:p>
    <w:bookmarkEnd w:id="0"/>
    <w:p w14:paraId="48AB9E39">
      <w:pPr>
        <w:spacing w:line="480" w:lineRule="auto"/>
        <w:ind w:firstLine="1280" w:firstLineChars="400"/>
        <w:jc w:val="left"/>
        <w:textAlignment w:val="baseline"/>
        <w:rPr>
          <w:rFonts w:ascii="仿宋_GB2312" w:hAnsi="仿宋" w:eastAsia="仿宋_GB2312" w:cs="仿宋"/>
          <w:bCs/>
          <w:color w:val="000000" w:themeColor="text1"/>
          <w:sz w:val="32"/>
          <w:szCs w:val="24"/>
          <w:highlight w:val="none"/>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0" w:footer="975" w:gutter="0"/>
          <w:pgNumType w:start="1"/>
          <w:cols w:space="0" w:num="1"/>
          <w:titlePg/>
          <w:docGrid w:linePitch="312" w:charSpace="0"/>
        </w:sectPr>
      </w:pPr>
    </w:p>
    <w:permEnd w:id="3"/>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1BC6EA21">
          <w:pPr>
            <w:pStyle w:val="2"/>
            <w:rPr>
              <w:highlight w:val="none"/>
            </w:rPr>
          </w:pPr>
          <w:permStart w:id="4" w:edGrp="everyone"/>
        </w:p>
        <w:p w14:paraId="76D90085">
          <w:pPr>
            <w:jc w:val="center"/>
            <w:rPr>
              <w:rFonts w:ascii="黑体" w:hAnsi="黑体" w:eastAsia="黑体" w:cs="黑体"/>
              <w:b/>
              <w:bCs/>
              <w:color w:val="000000" w:themeColor="text1"/>
              <w:sz w:val="36"/>
              <w:szCs w:val="36"/>
              <w:highlight w:val="none"/>
              <w14:textFill>
                <w14:solidFill>
                  <w14:schemeClr w14:val="tx1"/>
                </w14:solidFill>
              </w14:textFill>
            </w:rPr>
          </w:pPr>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7ABC2D86">
          <w:pPr>
            <w:pStyle w:val="2"/>
            <w:rPr>
              <w:highlight w:val="none"/>
            </w:rPr>
          </w:pPr>
        </w:p>
        <w:p w14:paraId="0912B3BA">
          <w:pPr>
            <w:pStyle w:val="8"/>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46C35FC5">
          <w:pPr>
            <w:pStyle w:val="8"/>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68DB1573">
          <w:pPr>
            <w:pStyle w:val="8"/>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highlight w:val="none"/>
            </w:rPr>
            <w:fldChar w:fldCharType="begin"/>
          </w:r>
          <w:r>
            <w:rPr>
              <w:highlight w:val="none"/>
            </w:rPr>
            <w:instrText xml:space="preserve"> PAGEREF _Toc6010 \h </w:instrText>
          </w:r>
          <w:r>
            <w:rPr>
              <w:highlight w:val="none"/>
            </w:rPr>
            <w:fldChar w:fldCharType="separate"/>
          </w:r>
          <w:r>
            <w:rPr>
              <w:highlight w:val="none"/>
            </w:rPr>
            <w:t>1</w:t>
          </w:r>
          <w:r>
            <w:rPr>
              <w:highlight w:val="none"/>
            </w:rPr>
            <w:fldChar w:fldCharType="end"/>
          </w:r>
          <w:r>
            <w:rPr>
              <w:highlight w:val="none"/>
            </w:rPr>
            <w:fldChar w:fldCharType="end"/>
          </w:r>
        </w:p>
        <w:p w14:paraId="503FD9E9">
          <w:pPr>
            <w:pStyle w:val="8"/>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4</w:t>
          </w:r>
          <w:r>
            <w:rPr>
              <w:highlight w:val="none"/>
            </w:rPr>
            <w:fldChar w:fldCharType="end"/>
          </w:r>
          <w:r>
            <w:rPr>
              <w:highlight w:val="none"/>
            </w:rPr>
            <w:fldChar w:fldCharType="end"/>
          </w:r>
        </w:p>
        <w:p w14:paraId="0E6FC784">
          <w:pPr>
            <w:pStyle w:val="8"/>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6</w:t>
          </w:r>
          <w:r>
            <w:rPr>
              <w:highlight w:val="none"/>
            </w:rPr>
            <w:fldChar w:fldCharType="end"/>
          </w:r>
          <w:r>
            <w:rPr>
              <w:highlight w:val="none"/>
            </w:rPr>
            <w:fldChar w:fldCharType="end"/>
          </w:r>
        </w:p>
        <w:p w14:paraId="11B15571">
          <w:pPr>
            <w:pStyle w:val="8"/>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7</w:t>
          </w:r>
          <w:r>
            <w:rPr>
              <w:highlight w:val="none"/>
            </w:rPr>
            <w:fldChar w:fldCharType="end"/>
          </w:r>
          <w:r>
            <w:rPr>
              <w:highlight w:val="none"/>
            </w:rPr>
            <w:fldChar w:fldCharType="end"/>
          </w:r>
        </w:p>
        <w:p w14:paraId="02ABE7C4">
          <w:pPr>
            <w:pStyle w:val="8"/>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9</w:t>
          </w:r>
          <w:r>
            <w:rPr>
              <w:highlight w:val="none"/>
            </w:rPr>
            <w:fldChar w:fldCharType="end"/>
          </w:r>
          <w:r>
            <w:rPr>
              <w:highlight w:val="none"/>
            </w:rPr>
            <w:fldChar w:fldCharType="end"/>
          </w:r>
        </w:p>
        <w:p w14:paraId="4D450CFA">
          <w:pPr>
            <w:pStyle w:val="8"/>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11</w:t>
          </w:r>
          <w:r>
            <w:rPr>
              <w:highlight w:val="none"/>
            </w:rPr>
            <w:fldChar w:fldCharType="end"/>
          </w:r>
          <w:r>
            <w:rPr>
              <w:highlight w:val="none"/>
            </w:rPr>
            <w:fldChar w:fldCharType="end"/>
          </w:r>
        </w:p>
        <w:p w14:paraId="76DC0090">
          <w:pPr>
            <w:pStyle w:val="8"/>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11</w:t>
          </w:r>
          <w:r>
            <w:rPr>
              <w:highlight w:val="none"/>
            </w:rPr>
            <w:fldChar w:fldCharType="end"/>
          </w:r>
          <w:r>
            <w:rPr>
              <w:highlight w:val="none"/>
            </w:rPr>
            <w:fldChar w:fldCharType="end"/>
          </w:r>
        </w:p>
        <w:p w14:paraId="043C4626">
          <w:pPr>
            <w:pStyle w:val="8"/>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14</w:t>
          </w:r>
          <w:r>
            <w:rPr>
              <w:highlight w:val="none"/>
            </w:rPr>
            <w:fldChar w:fldCharType="end"/>
          </w:r>
          <w:r>
            <w:rPr>
              <w:highlight w:val="none"/>
            </w:rPr>
            <w:fldChar w:fldCharType="end"/>
          </w:r>
        </w:p>
        <w:p w14:paraId="270973AE">
          <w:pPr>
            <w:pStyle w:val="8"/>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16</w:t>
          </w:r>
          <w:r>
            <w:rPr>
              <w:highlight w:val="none"/>
            </w:rPr>
            <w:fldChar w:fldCharType="end"/>
          </w:r>
          <w:r>
            <w:rPr>
              <w:highlight w:val="none"/>
            </w:rPr>
            <w:fldChar w:fldCharType="end"/>
          </w:r>
        </w:p>
        <w:p w14:paraId="61C5D035">
          <w:pPr>
            <w:pStyle w:val="8"/>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17</w:t>
          </w:r>
          <w:r>
            <w:rPr>
              <w:highlight w:val="none"/>
            </w:rPr>
            <w:fldChar w:fldCharType="end"/>
          </w:r>
          <w:r>
            <w:rPr>
              <w:highlight w:val="none"/>
            </w:rPr>
            <w:fldChar w:fldCharType="end"/>
          </w:r>
        </w:p>
        <w:p w14:paraId="073016E0">
          <w:pPr>
            <w:pStyle w:val="8"/>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20</w:t>
          </w:r>
          <w:r>
            <w:rPr>
              <w:highlight w:val="none"/>
            </w:rPr>
            <w:fldChar w:fldCharType="end"/>
          </w:r>
          <w:r>
            <w:rPr>
              <w:highlight w:val="none"/>
            </w:rPr>
            <w:fldChar w:fldCharType="end"/>
          </w:r>
        </w:p>
        <w:p w14:paraId="034996DF">
          <w:pPr>
            <w:pStyle w:val="8"/>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24</w:t>
          </w:r>
          <w:r>
            <w:rPr>
              <w:highlight w:val="none"/>
            </w:rPr>
            <w:fldChar w:fldCharType="end"/>
          </w:r>
          <w:r>
            <w:rPr>
              <w:highlight w:val="none"/>
            </w:rPr>
            <w:fldChar w:fldCharType="end"/>
          </w:r>
        </w:p>
        <w:p w14:paraId="065288D8">
          <w:pPr>
            <w:pStyle w:val="8"/>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28</w:t>
          </w:r>
          <w:r>
            <w:rPr>
              <w:highlight w:val="none"/>
            </w:rPr>
            <w:fldChar w:fldCharType="end"/>
          </w:r>
          <w:r>
            <w:rPr>
              <w:highlight w:val="none"/>
            </w:rPr>
            <w:fldChar w:fldCharType="end"/>
          </w:r>
        </w:p>
        <w:p w14:paraId="23B4C5DB">
          <w:pPr>
            <w:pStyle w:val="8"/>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28</w:t>
          </w:r>
          <w:r>
            <w:rPr>
              <w:highlight w:val="none"/>
            </w:rPr>
            <w:fldChar w:fldCharType="end"/>
          </w:r>
          <w:r>
            <w:rPr>
              <w:highlight w:val="none"/>
            </w:rPr>
            <w:fldChar w:fldCharType="end"/>
          </w:r>
        </w:p>
        <w:p w14:paraId="196B4F35">
          <w:pPr>
            <w:pStyle w:val="8"/>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29</w:t>
          </w:r>
          <w:r>
            <w:rPr>
              <w:highlight w:val="none"/>
            </w:rPr>
            <w:fldChar w:fldCharType="end"/>
          </w:r>
          <w:r>
            <w:rPr>
              <w:highlight w:val="none"/>
            </w:rPr>
            <w:fldChar w:fldCharType="end"/>
          </w:r>
        </w:p>
        <w:p w14:paraId="600A506E">
          <w:pPr>
            <w:pStyle w:val="8"/>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31</w:t>
          </w:r>
          <w:r>
            <w:rPr>
              <w:highlight w:val="none"/>
            </w:rPr>
            <w:fldChar w:fldCharType="end"/>
          </w:r>
          <w:r>
            <w:rPr>
              <w:highlight w:val="none"/>
            </w:rPr>
            <w:fldChar w:fldCharType="end"/>
          </w:r>
        </w:p>
        <w:p w14:paraId="5723C8AB">
          <w:pPr>
            <w:pStyle w:val="8"/>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32</w:t>
          </w:r>
          <w:r>
            <w:rPr>
              <w:highlight w:val="none"/>
            </w:rPr>
            <w:fldChar w:fldCharType="end"/>
          </w:r>
          <w:r>
            <w:rPr>
              <w:highlight w:val="none"/>
            </w:rPr>
            <w:fldChar w:fldCharType="end"/>
          </w:r>
        </w:p>
        <w:p w14:paraId="3CCFDA4F">
          <w:pPr>
            <w:pStyle w:val="8"/>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32</w:t>
          </w:r>
          <w:r>
            <w:rPr>
              <w:highlight w:val="none"/>
            </w:rPr>
            <w:fldChar w:fldCharType="end"/>
          </w:r>
          <w:r>
            <w:rPr>
              <w:highlight w:val="none"/>
            </w:rPr>
            <w:fldChar w:fldCharType="end"/>
          </w:r>
        </w:p>
        <w:p w14:paraId="23A910B0">
          <w:pPr>
            <w:pStyle w:val="8"/>
            <w:tabs>
              <w:tab w:val="right" w:leader="dot" w:pos="8306"/>
            </w:tabs>
            <w:spacing w:line="312" w:lineRule="auto"/>
            <w:rPr>
              <w:rFonts w:hint="eastAsia" w:eastAsia="宋体"/>
              <w:highlight w:val="none"/>
              <w:lang w:val="en-US" w:eastAsia="zh-CN"/>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rFonts w:hint="eastAsia"/>
              <w:highlight w:val="none"/>
              <w:lang w:val="en-US" w:eastAsia="zh-CN"/>
            </w:rPr>
            <w:t>3</w:t>
          </w:r>
          <w:r>
            <w:rPr>
              <w:highlight w:val="none"/>
            </w:rPr>
            <w:fldChar w:fldCharType="end"/>
          </w:r>
          <w:r>
            <w:rPr>
              <w:rFonts w:hint="eastAsia"/>
              <w:highlight w:val="none"/>
              <w:lang w:val="en-US" w:eastAsia="zh-CN"/>
            </w:rPr>
            <w:t>1</w:t>
          </w:r>
        </w:p>
        <w:p w14:paraId="0AB04FAB">
          <w:pPr>
            <w:pStyle w:val="8"/>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33</w:t>
          </w:r>
          <w:r>
            <w:rPr>
              <w:highlight w:val="none"/>
            </w:rPr>
            <w:fldChar w:fldCharType="end"/>
          </w:r>
          <w:r>
            <w:rPr>
              <w:highlight w:val="none"/>
            </w:rPr>
            <w:fldChar w:fldCharType="end"/>
          </w:r>
        </w:p>
        <w:p w14:paraId="05620E12">
          <w:pPr>
            <w:pStyle w:val="8"/>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34</w:t>
          </w:r>
          <w:r>
            <w:rPr>
              <w:highlight w:val="none"/>
            </w:rPr>
            <w:fldChar w:fldCharType="end"/>
          </w:r>
          <w:r>
            <w:rPr>
              <w:highlight w:val="none"/>
            </w:rPr>
            <w:fldChar w:fldCharType="end"/>
          </w:r>
        </w:p>
        <w:p w14:paraId="4040EFC6">
          <w:pPr>
            <w:pStyle w:val="8"/>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35</w:t>
          </w:r>
          <w:r>
            <w:rPr>
              <w:highlight w:val="none"/>
            </w:rPr>
            <w:fldChar w:fldCharType="end"/>
          </w:r>
          <w:r>
            <w:rPr>
              <w:highlight w:val="none"/>
            </w:rPr>
            <w:fldChar w:fldCharType="end"/>
          </w:r>
        </w:p>
        <w:p w14:paraId="1B342678">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7" w:type="first"/>
              <w:footerReference r:id="rId9" w:type="first"/>
              <w:footerReference r:id="rId8"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4"/>
        </w:p>
      </w:sdtContent>
    </w:sdt>
    <w:p w14:paraId="0B41BC07">
      <w:pPr>
        <w:pStyle w:val="14"/>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5953"/>
      <w:bookmarkStart w:id="3" w:name="_Toc31405"/>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14:paraId="026017FE">
      <w:pPr>
        <w:pStyle w:val="14"/>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中建路桥集团有限公司湖北宣恩分公司</w:t>
      </w:r>
      <w:permEnd w:id="5"/>
    </w:p>
    <w:p w14:paraId="3D50905C">
      <w:pPr>
        <w:pStyle w:val="14"/>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乙方（卖方）： </w:t>
      </w:r>
      <w:permStart w:id="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
    </w:p>
    <w:p w14:paraId="61550034">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43FF220C">
      <w:pPr>
        <w:pStyle w:val="14"/>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17203"/>
      <w:bookmarkStart w:id="5" w:name="_Toc29946"/>
      <w:bookmarkStart w:id="6" w:name="_Toc640"/>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14:paraId="50B561AF">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hint="eastAsia" w:ascii="仿宋_GB2312" w:hAnsi="仿宋_GB2312" w:eastAsia="仿宋_GB2312" w:cs="仿宋_GB2312"/>
          <w:b w:val="0"/>
          <w:bCs w:val="0"/>
          <w:color w:val="000000" w:themeColor="text1"/>
          <w:highlight w:val="none"/>
          <w:u w:val="single"/>
          <w14:textFill>
            <w14:solidFill>
              <w14:schemeClr w14:val="tx1"/>
            </w14:solidFill>
          </w14:textFill>
        </w:rPr>
        <w:t>宣恩县普通公路“建养一体化”01项目包351国道改扩建</w:t>
      </w:r>
      <w:r>
        <w:rPr>
          <w:rFonts w:hint="eastAsia" w:ascii="仿宋_GB2312" w:hAnsi="仿宋_GB2312" w:eastAsia="仿宋_GB2312" w:cs="仿宋_GB2312"/>
          <w:b w:val="0"/>
          <w:bCs w:val="0"/>
          <w:color w:val="000000" w:themeColor="text1"/>
          <w:highlight w:val="none"/>
          <w:u w:val="single"/>
          <w:lang w:val="en-US" w:eastAsia="zh-CN"/>
          <w14:textFill>
            <w14:solidFill>
              <w14:schemeClr w14:val="tx1"/>
            </w14:solidFill>
          </w14:textFill>
        </w:rPr>
        <w:t>工</w:t>
      </w:r>
      <w:r>
        <w:rPr>
          <w:rFonts w:hint="eastAsia" w:ascii="仿宋_GB2312" w:hAnsi="仿宋_GB2312" w:eastAsia="仿宋_GB2312" w:cs="仿宋_GB2312"/>
          <w:b w:val="0"/>
          <w:bCs w:val="0"/>
          <w:color w:val="000000" w:themeColor="text1"/>
          <w:highlight w:val="none"/>
          <w:u w:val="single"/>
          <w14:textFill>
            <w14:solidFill>
              <w14:schemeClr w14:val="tx1"/>
            </w14:solidFill>
          </w14:textFill>
        </w:rPr>
        <w:t>程</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2CFE34D7">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hint="eastAsia" w:ascii="仿宋_GB2312" w:hAnsi="仿宋_GB2312" w:eastAsia="仿宋_GB2312" w:cs="仿宋_GB2312"/>
          <w:color w:val="000000" w:themeColor="text1"/>
          <w:highlight w:val="none"/>
          <w:u w:val="single"/>
          <w14:textFill>
            <w14:solidFill>
              <w14:schemeClr w14:val="tx1"/>
            </w14:solidFill>
          </w14:textFill>
        </w:rPr>
        <w:t>湖北省恩施土家族苗族自治州宣恩县</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78C75265">
      <w:pPr>
        <w:pStyle w:val="14"/>
        <w:numPr>
          <w:ilvl w:val="0"/>
          <w:numId w:val="1"/>
        </w:numPr>
        <w:spacing w:before="120" w:beforeLines="50" w:after="120" w:afterLines="50" w:line="400" w:lineRule="atLeast"/>
        <w:ind w:firstLine="482" w:firstLineChars="200"/>
        <w:outlineLvl w:val="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bookmarkStart w:id="7" w:name="_Toc23103"/>
      <w:bookmarkStart w:id="8" w:name="_Toc2931"/>
      <w:bookmarkStart w:id="9" w:name="_Toc6010"/>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7"/>
      <w:bookmarkEnd w:id="8"/>
      <w:bookmarkEnd w:id="9"/>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p w14:paraId="0DAC3FDB">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 合同单价</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本合同适用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以下</w:t>
      </w:r>
      <w:r>
        <w:rPr>
          <w:rFonts w:hint="eastAsia" w:ascii="仿宋_GB2312" w:hAnsi="仿宋_GB2312" w:eastAsia="仿宋_GB2312" w:cs="仿宋_GB2312"/>
          <w:color w:val="000000" w:themeColor="text1"/>
          <w:highlight w:val="none"/>
          <w14:textFill>
            <w14:solidFill>
              <w14:schemeClr w14:val="tx1"/>
            </w14:solidFill>
          </w14:textFill>
        </w:rPr>
        <w:t>第</w:t>
      </w:r>
      <w:permStart w:id="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9"/>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条方式</w:t>
      </w:r>
      <w:permStart w:id="1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二 </w:t>
      </w:r>
      <w:permEnd w:id="10"/>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 xml:space="preserve"> ：</w:t>
      </w:r>
      <w:permStart w:id="1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组合单价合同 </w:t>
      </w:r>
      <w:permEnd w:id="11"/>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单价方式。</w:t>
      </w:r>
    </w:p>
    <w:p w14:paraId="62275B49">
      <w:pPr>
        <w:pStyle w:val="14"/>
        <w:numPr>
          <w:ilvl w:val="1"/>
          <w:numId w:val="2"/>
        </w:numPr>
        <w:spacing w:before="120" w:beforeLines="50" w:after="120" w:afterLines="50" w:line="400" w:lineRule="atLeast"/>
        <w:outlineLvl w:val="0"/>
        <w:rPr>
          <w:rFonts w:hint="default" w:ascii="仿宋_GB2312" w:hAnsi="仿宋_GB2312" w:eastAsia="仿宋_GB2312" w:cs="仿宋_GB2312"/>
          <w:b/>
          <w:bCs/>
          <w:color w:val="000000" w:themeColor="text1"/>
          <w:highlight w:val="none"/>
          <w:u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
        <w:gridCol w:w="1037"/>
        <w:gridCol w:w="869"/>
        <w:gridCol w:w="551"/>
        <w:gridCol w:w="803"/>
        <w:gridCol w:w="837"/>
        <w:gridCol w:w="977"/>
        <w:gridCol w:w="549"/>
        <w:gridCol w:w="1103"/>
        <w:gridCol w:w="810"/>
        <w:gridCol w:w="561"/>
      </w:tblGrid>
      <w:tr w14:paraId="0A0E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06ED0A77">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12" w:edGrp="everyone"/>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清单</w:t>
            </w:r>
          </w:p>
        </w:tc>
      </w:tr>
      <w:tr w14:paraId="14C45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0" w:type="pct"/>
            <w:shd w:val="clear" w:color="auto" w:fill="auto"/>
            <w:vAlign w:val="center"/>
          </w:tcPr>
          <w:p w14:paraId="6058134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09" w:type="pct"/>
            <w:shd w:val="clear" w:color="auto" w:fill="auto"/>
            <w:vAlign w:val="center"/>
          </w:tcPr>
          <w:p w14:paraId="223E1264">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510" w:type="pct"/>
            <w:shd w:val="clear" w:color="auto" w:fill="auto"/>
            <w:vAlign w:val="center"/>
          </w:tcPr>
          <w:p w14:paraId="6FCB49A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323" w:type="pct"/>
            <w:shd w:val="clear" w:color="auto" w:fill="auto"/>
            <w:vAlign w:val="center"/>
          </w:tcPr>
          <w:p w14:paraId="1EAA244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466154A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471" w:type="pct"/>
            <w:shd w:val="clear" w:color="auto" w:fill="auto"/>
            <w:vAlign w:val="center"/>
          </w:tcPr>
          <w:p w14:paraId="467804C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306117F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91" w:type="pct"/>
            <w:shd w:val="clear" w:color="auto" w:fill="auto"/>
            <w:vAlign w:val="center"/>
          </w:tcPr>
          <w:p w14:paraId="024165B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49CE984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3009EF6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73" w:type="pct"/>
            <w:shd w:val="clear" w:color="auto" w:fill="auto"/>
            <w:vAlign w:val="center"/>
          </w:tcPr>
          <w:p w14:paraId="548244C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05BFE6E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2F023FF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22" w:type="pct"/>
            <w:shd w:val="clear" w:color="auto" w:fill="auto"/>
            <w:vAlign w:val="center"/>
          </w:tcPr>
          <w:p w14:paraId="7DAAAE4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53EEC93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47" w:type="pct"/>
            <w:shd w:val="clear" w:color="auto" w:fill="auto"/>
            <w:vAlign w:val="center"/>
          </w:tcPr>
          <w:p w14:paraId="75C44C1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621B110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546D65C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75" w:type="pct"/>
            <w:shd w:val="clear" w:color="auto" w:fill="auto"/>
            <w:vAlign w:val="center"/>
          </w:tcPr>
          <w:p w14:paraId="2247875F">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D52D38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53BDA69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26" w:type="pct"/>
            <w:shd w:val="clear" w:color="auto" w:fill="auto"/>
            <w:vAlign w:val="center"/>
          </w:tcPr>
          <w:p w14:paraId="156D26D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279D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50" w:type="pct"/>
            <w:shd w:val="clear" w:color="auto" w:fill="auto"/>
            <w:vAlign w:val="center"/>
          </w:tcPr>
          <w:p w14:paraId="6215F84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609" w:type="pct"/>
            <w:shd w:val="clear" w:color="auto" w:fill="auto"/>
            <w:vAlign w:val="center"/>
          </w:tcPr>
          <w:p w14:paraId="3EAAA38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510" w:type="pct"/>
            <w:shd w:val="clear" w:color="auto" w:fill="auto"/>
            <w:vAlign w:val="center"/>
          </w:tcPr>
          <w:p w14:paraId="4DC885B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323" w:type="pct"/>
            <w:shd w:val="clear" w:color="auto" w:fill="auto"/>
            <w:vAlign w:val="center"/>
          </w:tcPr>
          <w:p w14:paraId="41D91AD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471" w:type="pct"/>
            <w:shd w:val="clear" w:color="auto" w:fill="auto"/>
            <w:vAlign w:val="center"/>
          </w:tcPr>
          <w:p w14:paraId="796B8633">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491" w:type="pct"/>
            <w:shd w:val="clear" w:color="auto" w:fill="auto"/>
            <w:noWrap/>
            <w:vAlign w:val="center"/>
          </w:tcPr>
          <w:p w14:paraId="4088421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573" w:type="pct"/>
            <w:shd w:val="clear" w:color="auto" w:fill="auto"/>
            <w:noWrap/>
            <w:vAlign w:val="center"/>
          </w:tcPr>
          <w:p w14:paraId="3D6258F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322" w:type="pct"/>
            <w:shd w:val="clear" w:color="auto" w:fill="auto"/>
            <w:noWrap/>
            <w:vAlign w:val="center"/>
          </w:tcPr>
          <w:p w14:paraId="49FE6C43">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647" w:type="pct"/>
            <w:shd w:val="clear" w:color="auto" w:fill="auto"/>
            <w:noWrap/>
            <w:vAlign w:val="center"/>
          </w:tcPr>
          <w:p w14:paraId="2D200E0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475" w:type="pct"/>
            <w:shd w:val="clear" w:color="auto" w:fill="auto"/>
            <w:noWrap/>
            <w:vAlign w:val="center"/>
          </w:tcPr>
          <w:p w14:paraId="42BD419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326" w:type="pct"/>
            <w:shd w:val="clear" w:color="auto" w:fill="auto"/>
            <w:vAlign w:val="center"/>
          </w:tcPr>
          <w:p w14:paraId="1D9B5EB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r>
      <w:tr w14:paraId="0E07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50" w:type="pct"/>
            <w:shd w:val="clear" w:color="auto" w:fill="auto"/>
            <w:vAlign w:val="center"/>
          </w:tcPr>
          <w:p w14:paraId="566C338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609" w:type="pct"/>
            <w:shd w:val="clear" w:color="auto" w:fill="auto"/>
            <w:vAlign w:val="center"/>
          </w:tcPr>
          <w:p w14:paraId="63A9D1A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510" w:type="pct"/>
            <w:shd w:val="clear" w:color="auto" w:fill="auto"/>
            <w:vAlign w:val="center"/>
          </w:tcPr>
          <w:p w14:paraId="14628C2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323" w:type="pct"/>
            <w:shd w:val="clear" w:color="auto" w:fill="auto"/>
            <w:noWrap/>
            <w:vAlign w:val="center"/>
          </w:tcPr>
          <w:p w14:paraId="6701692F">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471" w:type="pct"/>
            <w:shd w:val="clear" w:color="auto" w:fill="auto"/>
            <w:vAlign w:val="center"/>
          </w:tcPr>
          <w:p w14:paraId="40ECF1C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491" w:type="pct"/>
            <w:shd w:val="clear" w:color="auto" w:fill="auto"/>
            <w:noWrap/>
            <w:vAlign w:val="center"/>
          </w:tcPr>
          <w:p w14:paraId="299989A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573" w:type="pct"/>
            <w:shd w:val="clear" w:color="auto" w:fill="auto"/>
            <w:noWrap/>
            <w:vAlign w:val="center"/>
          </w:tcPr>
          <w:p w14:paraId="5A716AA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322" w:type="pct"/>
            <w:shd w:val="clear" w:color="auto" w:fill="auto"/>
            <w:noWrap/>
            <w:vAlign w:val="center"/>
          </w:tcPr>
          <w:p w14:paraId="2D1A8D0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647" w:type="pct"/>
            <w:shd w:val="clear" w:color="auto" w:fill="auto"/>
            <w:noWrap/>
            <w:vAlign w:val="center"/>
          </w:tcPr>
          <w:p w14:paraId="2F16F41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475" w:type="pct"/>
            <w:shd w:val="clear" w:color="auto" w:fill="auto"/>
            <w:noWrap/>
            <w:vAlign w:val="center"/>
          </w:tcPr>
          <w:p w14:paraId="39C02AD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326" w:type="pct"/>
            <w:shd w:val="clear" w:color="auto" w:fill="auto"/>
            <w:noWrap/>
            <w:vAlign w:val="center"/>
          </w:tcPr>
          <w:p w14:paraId="3F77CD0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r>
      <w:tr w14:paraId="6B6E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79F1A9DC">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24F5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46874A0B">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12"/>
    </w:tbl>
    <w:p w14:paraId="735F5B73">
      <w:pPr>
        <w:pStyle w:val="14"/>
        <w:spacing w:line="400" w:lineRule="atLeast"/>
        <w:ind w:left="479" w:leftChars="228"/>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189EE147">
      <w:pPr>
        <w:pStyle w:val="14"/>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w:t>
      </w:r>
      <w:bookmarkStart w:id="10" w:name="_Hlk127188815"/>
      <w:r>
        <w:rPr>
          <w:rFonts w:hint="eastAsia" w:ascii="仿宋_GB2312" w:hAnsi="仿宋_GB2312" w:eastAsia="仿宋_GB2312" w:cs="仿宋_GB2312"/>
          <w:b/>
          <w:bCs/>
          <w:color w:val="000000" w:themeColor="text1"/>
          <w:highlight w:val="none"/>
          <w:u w:val="single"/>
          <w14:textFill>
            <w14:solidFill>
              <w14:schemeClr w14:val="tx1"/>
            </w14:solidFill>
          </w14:textFill>
        </w:rPr>
        <w:t>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0D699060">
      <w:pPr>
        <w:pStyle w:val="14"/>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4E09E7E2">
      <w:pPr>
        <w:pStyle w:val="14"/>
        <w:numPr>
          <w:ilvl w:val="0"/>
          <w:numId w:val="0"/>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3"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 </w:t>
      </w:r>
      <w:permEnd w:id="13"/>
    </w:p>
    <w:p w14:paraId="4C46648C">
      <w:pPr>
        <w:pStyle w:val="14"/>
        <w:numPr>
          <w:ilvl w:val="1"/>
          <w:numId w:val="2"/>
        </w:numPr>
        <w:spacing w:before="120" w:beforeLines="50" w:after="120" w:afterLines="50" w:line="400" w:lineRule="atLeast"/>
        <w:outlineLvl w:val="0"/>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方式二：组合单价合同</w:t>
      </w:r>
      <w:r>
        <w:rPr>
          <w:rFonts w:hint="eastAsia" w:ascii="仿宋_GB2312" w:hAnsi="仿宋_GB2312" w:eastAsia="仿宋_GB2312" w:cs="仿宋_GB2312"/>
          <w:color w:val="000000" w:themeColor="text1"/>
          <w:highlight w:val="none"/>
          <w:u w:val="single"/>
          <w14:textFill>
            <w14:solidFill>
              <w14:schemeClr w14:val="tx1"/>
            </w14:solidFill>
          </w14:textFill>
        </w:rPr>
        <w:t>含税综合单价=含税基准价（P1）+含税附加费(P2)+其他。</w:t>
      </w:r>
    </w:p>
    <w:tbl>
      <w:tblPr>
        <w:tblStyle w:val="10"/>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611"/>
        <w:gridCol w:w="846"/>
        <w:gridCol w:w="890"/>
        <w:gridCol w:w="519"/>
        <w:gridCol w:w="767"/>
        <w:gridCol w:w="667"/>
        <w:gridCol w:w="599"/>
        <w:gridCol w:w="690"/>
        <w:gridCol w:w="1127"/>
        <w:gridCol w:w="838"/>
        <w:gridCol w:w="1196"/>
        <w:gridCol w:w="315"/>
      </w:tblGrid>
      <w:tr w14:paraId="2B677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548" w:type="dxa"/>
            <w:gridSpan w:val="13"/>
            <w:vAlign w:val="center"/>
          </w:tcPr>
          <w:p w14:paraId="7FB30F98">
            <w:pPr>
              <w:pStyle w:val="14"/>
              <w:numPr>
                <w:ilvl w:val="0"/>
                <w:numId w:val="0"/>
              </w:numPr>
              <w:spacing w:before="120" w:beforeLines="50" w:after="120" w:afterLines="50" w:line="400" w:lineRule="atLeast"/>
              <w:ind w:left="0" w:leftChars="0" w:firstLine="0" w:firstLineChars="0"/>
              <w:outlineLvl w:val="0"/>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bookmarkStart w:id="11" w:name="_Hlk126833074"/>
            <w:permStart w:id="14" w:edGrp="everyone"/>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方式二：组合单价合同清单</w:t>
            </w:r>
          </w:p>
        </w:tc>
      </w:tr>
      <w:tr w14:paraId="746C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483" w:type="dxa"/>
            <w:vMerge w:val="restart"/>
            <w:vAlign w:val="center"/>
          </w:tcPr>
          <w:p w14:paraId="08875E5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序</w:t>
            </w:r>
          </w:p>
          <w:p w14:paraId="1E0F2D5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号</w:t>
            </w:r>
          </w:p>
        </w:tc>
        <w:tc>
          <w:tcPr>
            <w:tcW w:w="611" w:type="dxa"/>
            <w:vMerge w:val="restart"/>
            <w:vAlign w:val="center"/>
          </w:tcPr>
          <w:p w14:paraId="55E0F1E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名称</w:t>
            </w:r>
          </w:p>
        </w:tc>
        <w:tc>
          <w:tcPr>
            <w:tcW w:w="846" w:type="dxa"/>
            <w:vMerge w:val="restart"/>
            <w:vAlign w:val="center"/>
          </w:tcPr>
          <w:p w14:paraId="6D7D405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牌号</w:t>
            </w:r>
          </w:p>
        </w:tc>
        <w:tc>
          <w:tcPr>
            <w:tcW w:w="890" w:type="dxa"/>
            <w:vMerge w:val="restart"/>
            <w:vAlign w:val="center"/>
          </w:tcPr>
          <w:p w14:paraId="2D33348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规</w:t>
            </w:r>
          </w:p>
          <w:p w14:paraId="211FDE7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格</w:t>
            </w:r>
          </w:p>
        </w:tc>
        <w:tc>
          <w:tcPr>
            <w:tcW w:w="519" w:type="dxa"/>
            <w:vMerge w:val="restart"/>
            <w:vAlign w:val="center"/>
          </w:tcPr>
          <w:p w14:paraId="43BDD72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计量单位</w:t>
            </w:r>
          </w:p>
        </w:tc>
        <w:tc>
          <w:tcPr>
            <w:tcW w:w="767" w:type="dxa"/>
            <w:vAlign w:val="center"/>
          </w:tcPr>
          <w:p w14:paraId="6F4A6CC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数量</w:t>
            </w:r>
          </w:p>
        </w:tc>
        <w:tc>
          <w:tcPr>
            <w:tcW w:w="667" w:type="dxa"/>
            <w:vAlign w:val="center"/>
          </w:tcPr>
          <w:p w14:paraId="7EC8DAF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含税基准价</w:t>
            </w:r>
          </w:p>
          <w:p w14:paraId="7D1A494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599" w:type="dxa"/>
            <w:vAlign w:val="center"/>
          </w:tcPr>
          <w:p w14:paraId="2CF83FD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含税附加费</w:t>
            </w:r>
          </w:p>
          <w:p w14:paraId="09F069F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690" w:type="dxa"/>
            <w:vAlign w:val="center"/>
          </w:tcPr>
          <w:p w14:paraId="69BC777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税率</w:t>
            </w:r>
          </w:p>
          <w:p w14:paraId="1838669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w:t>
            </w:r>
          </w:p>
        </w:tc>
        <w:tc>
          <w:tcPr>
            <w:tcW w:w="1127" w:type="dxa"/>
            <w:vAlign w:val="center"/>
          </w:tcPr>
          <w:p w14:paraId="3B385E5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不含税综合单价</w:t>
            </w:r>
          </w:p>
          <w:p w14:paraId="44CC265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838" w:type="dxa"/>
            <w:vAlign w:val="center"/>
          </w:tcPr>
          <w:p w14:paraId="3EECEFA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含税综合单价</w:t>
            </w:r>
          </w:p>
          <w:p w14:paraId="7405440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1196" w:type="dxa"/>
            <w:vAlign w:val="center"/>
          </w:tcPr>
          <w:p w14:paraId="2B292A8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含税合价</w:t>
            </w:r>
          </w:p>
          <w:p w14:paraId="31341CE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315" w:type="dxa"/>
            <w:vAlign w:val="center"/>
          </w:tcPr>
          <w:p w14:paraId="722D51C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备注</w:t>
            </w:r>
          </w:p>
        </w:tc>
      </w:tr>
      <w:tr w14:paraId="3C84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483" w:type="dxa"/>
            <w:vMerge w:val="continue"/>
            <w:tcBorders>
              <w:bottom w:val="single" w:color="auto" w:sz="4" w:space="0"/>
            </w:tcBorders>
            <w:vAlign w:val="center"/>
          </w:tcPr>
          <w:p w14:paraId="0251EC0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11" w:type="dxa"/>
            <w:vMerge w:val="continue"/>
            <w:tcBorders>
              <w:bottom w:val="single" w:color="auto" w:sz="4" w:space="0"/>
            </w:tcBorders>
            <w:vAlign w:val="center"/>
          </w:tcPr>
          <w:p w14:paraId="119642C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46" w:type="dxa"/>
            <w:vMerge w:val="continue"/>
            <w:tcBorders>
              <w:bottom w:val="single" w:color="auto" w:sz="4" w:space="0"/>
            </w:tcBorders>
            <w:vAlign w:val="center"/>
          </w:tcPr>
          <w:p w14:paraId="4A60789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90" w:type="dxa"/>
            <w:vMerge w:val="continue"/>
            <w:tcBorders>
              <w:bottom w:val="single" w:color="auto" w:sz="4" w:space="0"/>
            </w:tcBorders>
            <w:vAlign w:val="center"/>
          </w:tcPr>
          <w:p w14:paraId="006EDD4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19" w:type="dxa"/>
            <w:vMerge w:val="continue"/>
            <w:tcBorders>
              <w:bottom w:val="single" w:color="auto" w:sz="4" w:space="0"/>
            </w:tcBorders>
          </w:tcPr>
          <w:p w14:paraId="689E301D">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p>
        </w:tc>
        <w:tc>
          <w:tcPr>
            <w:tcW w:w="767" w:type="dxa"/>
            <w:tcBorders>
              <w:bottom w:val="single" w:color="auto" w:sz="4" w:space="0"/>
            </w:tcBorders>
            <w:vAlign w:val="center"/>
          </w:tcPr>
          <w:p w14:paraId="1C780F09">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hint="eastAsia" w:ascii="仿宋_GB2312" w:hAnsi="宋体" w:eastAsia="仿宋_GB2312"/>
                <w:b/>
                <w:color w:val="000000" w:themeColor="text1"/>
                <w:sz w:val="18"/>
                <w:szCs w:val="18"/>
                <w:highlight w:val="none"/>
                <w14:textFill>
                  <w14:solidFill>
                    <w14:schemeClr w14:val="tx1"/>
                  </w14:solidFill>
                </w14:textFill>
              </w:rPr>
              <w:t>A</w:t>
            </w:r>
          </w:p>
        </w:tc>
        <w:tc>
          <w:tcPr>
            <w:tcW w:w="667" w:type="dxa"/>
            <w:tcBorders>
              <w:bottom w:val="single" w:color="auto" w:sz="4" w:space="0"/>
            </w:tcBorders>
            <w:vAlign w:val="center"/>
          </w:tcPr>
          <w:p w14:paraId="10E1BE17">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P1</w:t>
            </w:r>
          </w:p>
        </w:tc>
        <w:tc>
          <w:tcPr>
            <w:tcW w:w="599" w:type="dxa"/>
            <w:tcBorders>
              <w:bottom w:val="single" w:color="auto" w:sz="4" w:space="0"/>
            </w:tcBorders>
            <w:vAlign w:val="center"/>
          </w:tcPr>
          <w:p w14:paraId="2EF019F3">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P2</w:t>
            </w:r>
          </w:p>
        </w:tc>
        <w:tc>
          <w:tcPr>
            <w:tcW w:w="690" w:type="dxa"/>
            <w:tcBorders>
              <w:bottom w:val="single" w:color="auto" w:sz="4" w:space="0"/>
            </w:tcBorders>
            <w:vAlign w:val="center"/>
          </w:tcPr>
          <w:p w14:paraId="4DD7A715">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B</w:t>
            </w:r>
          </w:p>
        </w:tc>
        <w:tc>
          <w:tcPr>
            <w:tcW w:w="1127" w:type="dxa"/>
            <w:tcBorders>
              <w:bottom w:val="single" w:color="auto" w:sz="4" w:space="0"/>
            </w:tcBorders>
            <w:vAlign w:val="center"/>
          </w:tcPr>
          <w:p w14:paraId="65F404E2">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C</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/(1+</w:t>
            </w:r>
            <w:r>
              <w:rPr>
                <w:rFonts w:ascii="仿宋_GB2312" w:hAnsi="宋体" w:eastAsia="仿宋_GB2312"/>
                <w:b/>
                <w:color w:val="000000" w:themeColor="text1"/>
                <w:sz w:val="18"/>
                <w:szCs w:val="18"/>
                <w:highlight w:val="none"/>
                <w14:textFill>
                  <w14:solidFill>
                    <w14:schemeClr w14:val="tx1"/>
                  </w14:solidFill>
                </w14:textFill>
              </w:rPr>
              <w:t>B</w:t>
            </w:r>
            <w:r>
              <w:rPr>
                <w:rFonts w:hint="eastAsia" w:ascii="仿宋_GB2312" w:hAnsi="宋体" w:eastAsia="仿宋_GB2312"/>
                <w:b/>
                <w:color w:val="000000" w:themeColor="text1"/>
                <w:sz w:val="18"/>
                <w:szCs w:val="18"/>
                <w:highlight w:val="none"/>
                <w14:textFill>
                  <w14:solidFill>
                    <w14:schemeClr w14:val="tx1"/>
                  </w14:solidFill>
                </w14:textFill>
              </w:rPr>
              <w:t>)</w:t>
            </w:r>
          </w:p>
        </w:tc>
        <w:tc>
          <w:tcPr>
            <w:tcW w:w="838" w:type="dxa"/>
            <w:tcBorders>
              <w:bottom w:val="single" w:color="auto" w:sz="4" w:space="0"/>
            </w:tcBorders>
            <w:vAlign w:val="center"/>
          </w:tcPr>
          <w:p w14:paraId="7C743CE3">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P1+P2</w:t>
            </w:r>
          </w:p>
        </w:tc>
        <w:tc>
          <w:tcPr>
            <w:tcW w:w="1196" w:type="dxa"/>
            <w:tcBorders>
              <w:bottom w:val="single" w:color="auto" w:sz="4" w:space="0"/>
            </w:tcBorders>
            <w:vAlign w:val="center"/>
          </w:tcPr>
          <w:p w14:paraId="7CB95AEB">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E</w:t>
            </w:r>
            <w:r>
              <w:rPr>
                <w:rFonts w:hint="eastAsia" w:ascii="仿宋_GB2312" w:hAnsi="宋体" w:eastAsia="仿宋_GB2312"/>
                <w:b/>
                <w:color w:val="000000" w:themeColor="text1"/>
                <w:sz w:val="18"/>
                <w:szCs w:val="18"/>
                <w:highlight w:val="none"/>
                <w14:textFill>
                  <w14:solidFill>
                    <w14:schemeClr w14:val="tx1"/>
                  </w14:solidFill>
                </w14:textFill>
              </w:rPr>
              <w:t>=A*D</w:t>
            </w:r>
          </w:p>
        </w:tc>
        <w:tc>
          <w:tcPr>
            <w:tcW w:w="315" w:type="dxa"/>
            <w:tcBorders>
              <w:bottom w:val="single" w:color="auto" w:sz="4" w:space="0"/>
            </w:tcBorders>
            <w:vAlign w:val="center"/>
          </w:tcPr>
          <w:p w14:paraId="7290765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222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14:paraId="0A074225">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1</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8A27270">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钢筋</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3FEDDD5A">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HPB300</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61B63C0C">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6</w:t>
            </w:r>
          </w:p>
        </w:tc>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14:paraId="529E1483">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吨</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09555BA3">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135</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2338479">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3970</w:t>
            </w:r>
          </w:p>
        </w:tc>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14:paraId="090F156D">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6EE241D2">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13</w:t>
            </w:r>
          </w:p>
        </w:tc>
        <w:tc>
          <w:tcPr>
            <w:tcW w:w="1127" w:type="dxa"/>
            <w:tcBorders>
              <w:top w:val="single" w:color="auto" w:sz="4" w:space="0"/>
              <w:left w:val="single" w:color="auto" w:sz="4" w:space="0"/>
              <w:bottom w:val="single" w:color="auto" w:sz="4" w:space="0"/>
              <w:right w:val="single" w:color="auto" w:sz="4" w:space="0"/>
            </w:tcBorders>
            <w:vAlign w:val="center"/>
          </w:tcPr>
          <w:p w14:paraId="53AA1D68">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838" w:type="dxa"/>
            <w:tcBorders>
              <w:top w:val="single" w:color="auto" w:sz="4" w:space="0"/>
              <w:left w:val="single" w:color="auto" w:sz="4" w:space="0"/>
              <w:bottom w:val="single" w:color="auto" w:sz="4" w:space="0"/>
              <w:right w:val="single" w:color="auto" w:sz="4" w:space="0"/>
            </w:tcBorders>
            <w:vAlign w:val="center"/>
          </w:tcPr>
          <w:p w14:paraId="2CCD42D0">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vAlign w:val="center"/>
          </w:tcPr>
          <w:p w14:paraId="31E6D291">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vAlign w:val="center"/>
          </w:tcPr>
          <w:p w14:paraId="4E325BC8">
            <w:pPr>
              <w:jc w:val="center"/>
              <w:rPr>
                <w:rFonts w:ascii="仿宋_GB2312" w:hAnsi="宋体" w:eastAsia="仿宋_GB2312"/>
                <w:color w:val="000000" w:themeColor="text1"/>
                <w:sz w:val="18"/>
                <w:szCs w:val="18"/>
                <w:highlight w:val="none"/>
                <w14:textFill>
                  <w14:solidFill>
                    <w14:schemeClr w14:val="tx1"/>
                  </w14:solidFill>
                </w14:textFill>
              </w:rPr>
            </w:pPr>
          </w:p>
        </w:tc>
      </w:tr>
      <w:tr w14:paraId="1EEC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14:paraId="10BA5B88">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2</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50F13FC">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钢筋</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49E30932">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HRB400E</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2A6F4F47">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8</w:t>
            </w:r>
          </w:p>
        </w:tc>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14:paraId="5EA748AA">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吨</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20FBF0CE">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164</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E6313B6">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3870</w:t>
            </w:r>
          </w:p>
        </w:tc>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14:paraId="19AE7C87">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4E4F3051">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13</w:t>
            </w:r>
          </w:p>
        </w:tc>
        <w:tc>
          <w:tcPr>
            <w:tcW w:w="1127" w:type="dxa"/>
            <w:tcBorders>
              <w:top w:val="single" w:color="auto" w:sz="4" w:space="0"/>
              <w:left w:val="single" w:color="auto" w:sz="4" w:space="0"/>
              <w:bottom w:val="single" w:color="auto" w:sz="4" w:space="0"/>
              <w:right w:val="single" w:color="auto" w:sz="4" w:space="0"/>
            </w:tcBorders>
            <w:vAlign w:val="center"/>
          </w:tcPr>
          <w:p w14:paraId="296E8AA6">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838" w:type="dxa"/>
            <w:tcBorders>
              <w:top w:val="single" w:color="auto" w:sz="4" w:space="0"/>
              <w:left w:val="single" w:color="auto" w:sz="4" w:space="0"/>
              <w:bottom w:val="single" w:color="auto" w:sz="4" w:space="0"/>
              <w:right w:val="single" w:color="auto" w:sz="4" w:space="0"/>
            </w:tcBorders>
            <w:vAlign w:val="center"/>
          </w:tcPr>
          <w:p w14:paraId="4C8A0E86">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vAlign w:val="center"/>
          </w:tcPr>
          <w:p w14:paraId="26C04DBD">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vAlign w:val="center"/>
          </w:tcPr>
          <w:p w14:paraId="5B0AA23D">
            <w:pPr>
              <w:jc w:val="center"/>
              <w:rPr>
                <w:rFonts w:ascii="仿宋_GB2312" w:hAnsi="宋体" w:eastAsia="仿宋_GB2312"/>
                <w:color w:val="000000" w:themeColor="text1"/>
                <w:sz w:val="18"/>
                <w:szCs w:val="18"/>
                <w:highlight w:val="none"/>
                <w14:textFill>
                  <w14:solidFill>
                    <w14:schemeClr w14:val="tx1"/>
                  </w14:solidFill>
                </w14:textFill>
              </w:rPr>
            </w:pPr>
          </w:p>
        </w:tc>
      </w:tr>
      <w:tr w14:paraId="681D1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14:paraId="5878A954">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3</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4C798A2E">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钢筋</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2B1F47E1">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HRB400E</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1E780BC4">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10</w:t>
            </w:r>
          </w:p>
        </w:tc>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14:paraId="2F763C7B">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吨</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483994DF">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2001</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AB6AD2F">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3870</w:t>
            </w:r>
          </w:p>
        </w:tc>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14:paraId="40170473">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4181C000">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13</w:t>
            </w:r>
          </w:p>
        </w:tc>
        <w:tc>
          <w:tcPr>
            <w:tcW w:w="1127" w:type="dxa"/>
            <w:tcBorders>
              <w:top w:val="single" w:color="auto" w:sz="4" w:space="0"/>
              <w:left w:val="single" w:color="auto" w:sz="4" w:space="0"/>
              <w:bottom w:val="single" w:color="auto" w:sz="4" w:space="0"/>
              <w:right w:val="single" w:color="auto" w:sz="4" w:space="0"/>
            </w:tcBorders>
            <w:vAlign w:val="center"/>
          </w:tcPr>
          <w:p w14:paraId="37C357C7">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838" w:type="dxa"/>
            <w:tcBorders>
              <w:top w:val="single" w:color="auto" w:sz="4" w:space="0"/>
              <w:left w:val="single" w:color="auto" w:sz="4" w:space="0"/>
              <w:bottom w:val="single" w:color="auto" w:sz="4" w:space="0"/>
              <w:right w:val="single" w:color="auto" w:sz="4" w:space="0"/>
            </w:tcBorders>
            <w:vAlign w:val="center"/>
          </w:tcPr>
          <w:p w14:paraId="30481680">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vAlign w:val="center"/>
          </w:tcPr>
          <w:p w14:paraId="5FDF3DAD">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vAlign w:val="center"/>
          </w:tcPr>
          <w:p w14:paraId="4E8FB982">
            <w:pPr>
              <w:jc w:val="center"/>
              <w:rPr>
                <w:rFonts w:ascii="仿宋_GB2312" w:hAnsi="宋体" w:eastAsia="仿宋_GB2312"/>
                <w:color w:val="000000" w:themeColor="text1"/>
                <w:sz w:val="18"/>
                <w:szCs w:val="18"/>
                <w:highlight w:val="none"/>
                <w14:textFill>
                  <w14:solidFill>
                    <w14:schemeClr w14:val="tx1"/>
                  </w14:solidFill>
                </w14:textFill>
              </w:rPr>
            </w:pPr>
          </w:p>
        </w:tc>
      </w:tr>
      <w:tr w14:paraId="455D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14:paraId="61638FE6">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4</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062B6FA">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钢筋</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6CC242F3">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HRB400E</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27888CBF">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12</w:t>
            </w:r>
          </w:p>
        </w:tc>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14:paraId="5294F6EA">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吨</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543302D3">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3812</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8E4F393">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3860</w:t>
            </w:r>
          </w:p>
        </w:tc>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14:paraId="779AB25B">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33BDA504">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13</w:t>
            </w:r>
          </w:p>
        </w:tc>
        <w:tc>
          <w:tcPr>
            <w:tcW w:w="1127" w:type="dxa"/>
            <w:tcBorders>
              <w:top w:val="single" w:color="auto" w:sz="4" w:space="0"/>
              <w:left w:val="single" w:color="auto" w:sz="4" w:space="0"/>
              <w:bottom w:val="single" w:color="auto" w:sz="4" w:space="0"/>
              <w:right w:val="single" w:color="auto" w:sz="4" w:space="0"/>
            </w:tcBorders>
            <w:vAlign w:val="center"/>
          </w:tcPr>
          <w:p w14:paraId="5D334E13">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838" w:type="dxa"/>
            <w:tcBorders>
              <w:top w:val="single" w:color="auto" w:sz="4" w:space="0"/>
              <w:left w:val="single" w:color="auto" w:sz="4" w:space="0"/>
              <w:bottom w:val="single" w:color="auto" w:sz="4" w:space="0"/>
              <w:right w:val="single" w:color="auto" w:sz="4" w:space="0"/>
            </w:tcBorders>
            <w:vAlign w:val="center"/>
          </w:tcPr>
          <w:p w14:paraId="362E157A">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vAlign w:val="center"/>
          </w:tcPr>
          <w:p w14:paraId="15AF774D">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vAlign w:val="center"/>
          </w:tcPr>
          <w:p w14:paraId="12666AF2">
            <w:pPr>
              <w:jc w:val="center"/>
              <w:rPr>
                <w:rFonts w:ascii="仿宋_GB2312" w:hAnsi="宋体" w:eastAsia="仿宋_GB2312"/>
                <w:color w:val="000000" w:themeColor="text1"/>
                <w:sz w:val="18"/>
                <w:szCs w:val="18"/>
                <w:highlight w:val="none"/>
                <w14:textFill>
                  <w14:solidFill>
                    <w14:schemeClr w14:val="tx1"/>
                  </w14:solidFill>
                </w14:textFill>
              </w:rPr>
            </w:pPr>
          </w:p>
        </w:tc>
      </w:tr>
      <w:tr w14:paraId="5AFB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14:paraId="45A7C460">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5</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CA04547">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钢筋</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41ECBA9A">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HRB400E</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27096B69">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14</w:t>
            </w:r>
          </w:p>
        </w:tc>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14:paraId="0DA205D6">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吨</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347D27CC">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40</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018E4A4">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3780</w:t>
            </w:r>
          </w:p>
        </w:tc>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14:paraId="7CBE316D">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20161463">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13</w:t>
            </w:r>
          </w:p>
        </w:tc>
        <w:tc>
          <w:tcPr>
            <w:tcW w:w="1127" w:type="dxa"/>
            <w:tcBorders>
              <w:top w:val="single" w:color="auto" w:sz="4" w:space="0"/>
              <w:left w:val="single" w:color="auto" w:sz="4" w:space="0"/>
              <w:bottom w:val="single" w:color="auto" w:sz="4" w:space="0"/>
              <w:right w:val="single" w:color="auto" w:sz="4" w:space="0"/>
            </w:tcBorders>
            <w:vAlign w:val="center"/>
          </w:tcPr>
          <w:p w14:paraId="7BD03BDB">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838" w:type="dxa"/>
            <w:tcBorders>
              <w:top w:val="single" w:color="auto" w:sz="4" w:space="0"/>
              <w:left w:val="single" w:color="auto" w:sz="4" w:space="0"/>
              <w:bottom w:val="single" w:color="auto" w:sz="4" w:space="0"/>
              <w:right w:val="single" w:color="auto" w:sz="4" w:space="0"/>
            </w:tcBorders>
            <w:vAlign w:val="center"/>
          </w:tcPr>
          <w:p w14:paraId="4789948D">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vAlign w:val="center"/>
          </w:tcPr>
          <w:p w14:paraId="4CF43757">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vAlign w:val="center"/>
          </w:tcPr>
          <w:p w14:paraId="3CAC7DF1">
            <w:pPr>
              <w:jc w:val="center"/>
              <w:rPr>
                <w:rFonts w:ascii="仿宋_GB2312" w:hAnsi="宋体" w:eastAsia="仿宋_GB2312"/>
                <w:color w:val="000000" w:themeColor="text1"/>
                <w:sz w:val="18"/>
                <w:szCs w:val="18"/>
                <w:highlight w:val="none"/>
                <w14:textFill>
                  <w14:solidFill>
                    <w14:schemeClr w14:val="tx1"/>
                  </w14:solidFill>
                </w14:textFill>
              </w:rPr>
            </w:pPr>
          </w:p>
        </w:tc>
      </w:tr>
      <w:tr w14:paraId="3B9C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14:paraId="788F9575">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6</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6BEB442">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钢筋</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7E272E2D">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HRB400E</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622B7378">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16</w:t>
            </w:r>
          </w:p>
        </w:tc>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14:paraId="1BFB4372">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吨</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2B1FF6D4">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1034</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485B74F">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3710</w:t>
            </w:r>
          </w:p>
        </w:tc>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14:paraId="53512A74">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5D1A11D6">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13</w:t>
            </w:r>
          </w:p>
        </w:tc>
        <w:tc>
          <w:tcPr>
            <w:tcW w:w="1127" w:type="dxa"/>
            <w:tcBorders>
              <w:top w:val="single" w:color="auto" w:sz="4" w:space="0"/>
              <w:left w:val="single" w:color="auto" w:sz="4" w:space="0"/>
              <w:bottom w:val="single" w:color="auto" w:sz="4" w:space="0"/>
              <w:right w:val="single" w:color="auto" w:sz="4" w:space="0"/>
            </w:tcBorders>
            <w:vAlign w:val="center"/>
          </w:tcPr>
          <w:p w14:paraId="119A38D6">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838" w:type="dxa"/>
            <w:tcBorders>
              <w:top w:val="single" w:color="auto" w:sz="4" w:space="0"/>
              <w:left w:val="single" w:color="auto" w:sz="4" w:space="0"/>
              <w:bottom w:val="single" w:color="auto" w:sz="4" w:space="0"/>
              <w:right w:val="single" w:color="auto" w:sz="4" w:space="0"/>
            </w:tcBorders>
            <w:vAlign w:val="center"/>
          </w:tcPr>
          <w:p w14:paraId="085DE606">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vAlign w:val="center"/>
          </w:tcPr>
          <w:p w14:paraId="7FD6F499">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vAlign w:val="center"/>
          </w:tcPr>
          <w:p w14:paraId="2C8A0E31">
            <w:pPr>
              <w:jc w:val="center"/>
              <w:rPr>
                <w:rFonts w:ascii="仿宋_GB2312" w:hAnsi="宋体" w:eastAsia="仿宋_GB2312"/>
                <w:color w:val="000000" w:themeColor="text1"/>
                <w:sz w:val="18"/>
                <w:szCs w:val="18"/>
                <w:highlight w:val="none"/>
                <w14:textFill>
                  <w14:solidFill>
                    <w14:schemeClr w14:val="tx1"/>
                  </w14:solidFill>
                </w14:textFill>
              </w:rPr>
            </w:pPr>
          </w:p>
        </w:tc>
      </w:tr>
      <w:tr w14:paraId="5026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14:paraId="2DBCA270">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7</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D8AC628">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钢筋</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767EFAB0">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HRB400E</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27399098">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18</w:t>
            </w:r>
          </w:p>
        </w:tc>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14:paraId="4C3263DF">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吨</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3F4FD180">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90</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9DAAE80">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3640</w:t>
            </w:r>
          </w:p>
        </w:tc>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14:paraId="778803D1">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1EC66B2B">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13</w:t>
            </w:r>
          </w:p>
        </w:tc>
        <w:tc>
          <w:tcPr>
            <w:tcW w:w="1127" w:type="dxa"/>
            <w:tcBorders>
              <w:top w:val="single" w:color="auto" w:sz="4" w:space="0"/>
              <w:left w:val="single" w:color="auto" w:sz="4" w:space="0"/>
              <w:bottom w:val="single" w:color="auto" w:sz="4" w:space="0"/>
              <w:right w:val="single" w:color="auto" w:sz="4" w:space="0"/>
            </w:tcBorders>
            <w:vAlign w:val="center"/>
          </w:tcPr>
          <w:p w14:paraId="3194F9E8">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838" w:type="dxa"/>
            <w:tcBorders>
              <w:top w:val="single" w:color="auto" w:sz="4" w:space="0"/>
              <w:left w:val="single" w:color="auto" w:sz="4" w:space="0"/>
              <w:bottom w:val="single" w:color="auto" w:sz="4" w:space="0"/>
              <w:right w:val="single" w:color="auto" w:sz="4" w:space="0"/>
            </w:tcBorders>
            <w:vAlign w:val="center"/>
          </w:tcPr>
          <w:p w14:paraId="1205A1AA">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vAlign w:val="center"/>
          </w:tcPr>
          <w:p w14:paraId="17C52840">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vAlign w:val="center"/>
          </w:tcPr>
          <w:p w14:paraId="59733767">
            <w:pPr>
              <w:jc w:val="center"/>
              <w:rPr>
                <w:rFonts w:ascii="仿宋_GB2312" w:hAnsi="宋体" w:eastAsia="仿宋_GB2312"/>
                <w:color w:val="000000" w:themeColor="text1"/>
                <w:sz w:val="18"/>
                <w:szCs w:val="18"/>
                <w:highlight w:val="none"/>
                <w14:textFill>
                  <w14:solidFill>
                    <w14:schemeClr w14:val="tx1"/>
                  </w14:solidFill>
                </w14:textFill>
              </w:rPr>
            </w:pPr>
          </w:p>
        </w:tc>
      </w:tr>
      <w:tr w14:paraId="2D18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14:paraId="22BA7123">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8</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9574DD8">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钢筋</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0B886A56">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HRB400E</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100DD311">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20</w:t>
            </w:r>
          </w:p>
        </w:tc>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14:paraId="6A7E82A7">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吨</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5C2C4E9F">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387</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D30478F">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3710</w:t>
            </w:r>
          </w:p>
        </w:tc>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14:paraId="0D2A0808">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7D4A75D9">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13</w:t>
            </w:r>
          </w:p>
        </w:tc>
        <w:tc>
          <w:tcPr>
            <w:tcW w:w="1127" w:type="dxa"/>
            <w:tcBorders>
              <w:top w:val="single" w:color="auto" w:sz="4" w:space="0"/>
              <w:left w:val="single" w:color="auto" w:sz="4" w:space="0"/>
              <w:bottom w:val="single" w:color="auto" w:sz="4" w:space="0"/>
              <w:right w:val="single" w:color="auto" w:sz="4" w:space="0"/>
            </w:tcBorders>
            <w:vAlign w:val="center"/>
          </w:tcPr>
          <w:p w14:paraId="490C57C3">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838" w:type="dxa"/>
            <w:tcBorders>
              <w:top w:val="single" w:color="auto" w:sz="4" w:space="0"/>
              <w:left w:val="single" w:color="auto" w:sz="4" w:space="0"/>
              <w:bottom w:val="single" w:color="auto" w:sz="4" w:space="0"/>
              <w:right w:val="single" w:color="auto" w:sz="4" w:space="0"/>
            </w:tcBorders>
            <w:vAlign w:val="center"/>
          </w:tcPr>
          <w:p w14:paraId="38EEABA5">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vAlign w:val="center"/>
          </w:tcPr>
          <w:p w14:paraId="7D50C5E6">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vAlign w:val="center"/>
          </w:tcPr>
          <w:p w14:paraId="6D6137BC">
            <w:pPr>
              <w:jc w:val="center"/>
              <w:rPr>
                <w:rFonts w:ascii="仿宋_GB2312" w:hAnsi="宋体" w:eastAsia="仿宋_GB2312"/>
                <w:color w:val="000000" w:themeColor="text1"/>
                <w:sz w:val="18"/>
                <w:szCs w:val="18"/>
                <w:highlight w:val="none"/>
                <w14:textFill>
                  <w14:solidFill>
                    <w14:schemeClr w14:val="tx1"/>
                  </w14:solidFill>
                </w14:textFill>
              </w:rPr>
            </w:pPr>
          </w:p>
        </w:tc>
      </w:tr>
      <w:tr w14:paraId="3987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14:paraId="2997EF21">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9</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0F44827">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钢筋</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66C4999A">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HRB400E</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0C699CD5">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22</w:t>
            </w:r>
          </w:p>
        </w:tc>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14:paraId="3101CD5F">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吨</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2E3A004F">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329</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33026C6">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3690</w:t>
            </w:r>
          </w:p>
        </w:tc>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14:paraId="19950F20">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076FA4F6">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13</w:t>
            </w:r>
          </w:p>
        </w:tc>
        <w:tc>
          <w:tcPr>
            <w:tcW w:w="1127" w:type="dxa"/>
            <w:tcBorders>
              <w:top w:val="single" w:color="auto" w:sz="4" w:space="0"/>
              <w:left w:val="single" w:color="auto" w:sz="4" w:space="0"/>
              <w:bottom w:val="single" w:color="auto" w:sz="4" w:space="0"/>
              <w:right w:val="single" w:color="auto" w:sz="4" w:space="0"/>
            </w:tcBorders>
            <w:vAlign w:val="center"/>
          </w:tcPr>
          <w:p w14:paraId="6616B1AE">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838" w:type="dxa"/>
            <w:tcBorders>
              <w:top w:val="single" w:color="auto" w:sz="4" w:space="0"/>
              <w:left w:val="single" w:color="auto" w:sz="4" w:space="0"/>
              <w:bottom w:val="single" w:color="auto" w:sz="4" w:space="0"/>
              <w:right w:val="single" w:color="auto" w:sz="4" w:space="0"/>
            </w:tcBorders>
            <w:vAlign w:val="center"/>
          </w:tcPr>
          <w:p w14:paraId="07021239">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vAlign w:val="center"/>
          </w:tcPr>
          <w:p w14:paraId="7F693BD3">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vAlign w:val="center"/>
          </w:tcPr>
          <w:p w14:paraId="5836B22C">
            <w:pPr>
              <w:jc w:val="center"/>
              <w:rPr>
                <w:rFonts w:ascii="仿宋_GB2312" w:hAnsi="宋体" w:eastAsia="仿宋_GB2312"/>
                <w:color w:val="000000" w:themeColor="text1"/>
                <w:sz w:val="18"/>
                <w:szCs w:val="18"/>
                <w:highlight w:val="none"/>
                <w14:textFill>
                  <w14:solidFill>
                    <w14:schemeClr w14:val="tx1"/>
                  </w14:solidFill>
                </w14:textFill>
              </w:rPr>
            </w:pPr>
          </w:p>
        </w:tc>
      </w:tr>
      <w:tr w14:paraId="64C03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14:paraId="620B6DC5">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10</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F971A56">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钢筋</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42E257FB">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HRB400E</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4A02ED3B">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25</w:t>
            </w:r>
          </w:p>
        </w:tc>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14:paraId="57751257">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吨</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7A6932AB">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214</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EB96A88">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3730</w:t>
            </w:r>
          </w:p>
        </w:tc>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14:paraId="608F3C2B">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15C3FF9B">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13</w:t>
            </w:r>
          </w:p>
        </w:tc>
        <w:tc>
          <w:tcPr>
            <w:tcW w:w="1127" w:type="dxa"/>
            <w:tcBorders>
              <w:top w:val="single" w:color="auto" w:sz="4" w:space="0"/>
              <w:left w:val="single" w:color="auto" w:sz="4" w:space="0"/>
              <w:bottom w:val="single" w:color="auto" w:sz="4" w:space="0"/>
              <w:right w:val="single" w:color="auto" w:sz="4" w:space="0"/>
            </w:tcBorders>
            <w:vAlign w:val="center"/>
          </w:tcPr>
          <w:p w14:paraId="54F44294">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838" w:type="dxa"/>
            <w:tcBorders>
              <w:top w:val="single" w:color="auto" w:sz="4" w:space="0"/>
              <w:left w:val="single" w:color="auto" w:sz="4" w:space="0"/>
              <w:bottom w:val="single" w:color="auto" w:sz="4" w:space="0"/>
              <w:right w:val="single" w:color="auto" w:sz="4" w:space="0"/>
            </w:tcBorders>
            <w:vAlign w:val="center"/>
          </w:tcPr>
          <w:p w14:paraId="591E6B0F">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vAlign w:val="center"/>
          </w:tcPr>
          <w:p w14:paraId="02238DF8">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vAlign w:val="center"/>
          </w:tcPr>
          <w:p w14:paraId="7F76EFBE">
            <w:pPr>
              <w:jc w:val="center"/>
              <w:rPr>
                <w:rFonts w:ascii="仿宋_GB2312" w:hAnsi="宋体" w:eastAsia="仿宋_GB2312"/>
                <w:color w:val="000000" w:themeColor="text1"/>
                <w:sz w:val="18"/>
                <w:szCs w:val="18"/>
                <w:highlight w:val="none"/>
                <w14:textFill>
                  <w14:solidFill>
                    <w14:schemeClr w14:val="tx1"/>
                  </w14:solidFill>
                </w14:textFill>
              </w:rPr>
            </w:pPr>
          </w:p>
        </w:tc>
      </w:tr>
      <w:tr w14:paraId="065E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14:paraId="31BCE5A9">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11</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C066BC0">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钢筋</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37F17C4B">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HRB400E</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0D1641F0">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28</w:t>
            </w:r>
          </w:p>
        </w:tc>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14:paraId="3E4980A0">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吨</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6635E8BF">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1389</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A9B48FD">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3780</w:t>
            </w:r>
          </w:p>
        </w:tc>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14:paraId="059D7BD6">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7365F543">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13</w:t>
            </w:r>
          </w:p>
        </w:tc>
        <w:tc>
          <w:tcPr>
            <w:tcW w:w="1127" w:type="dxa"/>
            <w:tcBorders>
              <w:top w:val="single" w:color="auto" w:sz="4" w:space="0"/>
              <w:left w:val="single" w:color="auto" w:sz="4" w:space="0"/>
              <w:bottom w:val="single" w:color="auto" w:sz="4" w:space="0"/>
              <w:right w:val="single" w:color="auto" w:sz="4" w:space="0"/>
            </w:tcBorders>
            <w:vAlign w:val="center"/>
          </w:tcPr>
          <w:p w14:paraId="15766BDF">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838" w:type="dxa"/>
            <w:tcBorders>
              <w:top w:val="single" w:color="auto" w:sz="4" w:space="0"/>
              <w:left w:val="single" w:color="auto" w:sz="4" w:space="0"/>
              <w:bottom w:val="single" w:color="auto" w:sz="4" w:space="0"/>
              <w:right w:val="single" w:color="auto" w:sz="4" w:space="0"/>
            </w:tcBorders>
            <w:vAlign w:val="center"/>
          </w:tcPr>
          <w:p w14:paraId="18BBA611">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vAlign w:val="center"/>
          </w:tcPr>
          <w:p w14:paraId="76C5B887">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vAlign w:val="center"/>
          </w:tcPr>
          <w:p w14:paraId="7DACE6AC">
            <w:pPr>
              <w:jc w:val="center"/>
              <w:rPr>
                <w:rFonts w:ascii="仿宋_GB2312" w:hAnsi="宋体" w:eastAsia="仿宋_GB2312"/>
                <w:color w:val="000000" w:themeColor="text1"/>
                <w:sz w:val="18"/>
                <w:szCs w:val="18"/>
                <w:highlight w:val="none"/>
                <w14:textFill>
                  <w14:solidFill>
                    <w14:schemeClr w14:val="tx1"/>
                  </w14:solidFill>
                </w14:textFill>
              </w:rPr>
            </w:pPr>
          </w:p>
        </w:tc>
      </w:tr>
      <w:tr w14:paraId="08CF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14:paraId="129F7A23">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12</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253C2E19">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钢筋</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5DFA4EA0">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HRB400E</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04D383D1">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32</w:t>
            </w:r>
          </w:p>
        </w:tc>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14:paraId="434E1773">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吨</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1CE0666D">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450</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95F6634">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3810</w:t>
            </w:r>
          </w:p>
        </w:tc>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14:paraId="4F707940">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0A447607">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13</w:t>
            </w:r>
          </w:p>
        </w:tc>
        <w:tc>
          <w:tcPr>
            <w:tcW w:w="1127" w:type="dxa"/>
            <w:tcBorders>
              <w:top w:val="single" w:color="auto" w:sz="4" w:space="0"/>
              <w:left w:val="single" w:color="auto" w:sz="4" w:space="0"/>
              <w:bottom w:val="single" w:color="auto" w:sz="4" w:space="0"/>
              <w:right w:val="single" w:color="auto" w:sz="4" w:space="0"/>
            </w:tcBorders>
            <w:vAlign w:val="center"/>
          </w:tcPr>
          <w:p w14:paraId="4C2ECE5E">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838" w:type="dxa"/>
            <w:tcBorders>
              <w:top w:val="single" w:color="auto" w:sz="4" w:space="0"/>
              <w:left w:val="single" w:color="auto" w:sz="4" w:space="0"/>
              <w:bottom w:val="single" w:color="auto" w:sz="4" w:space="0"/>
              <w:right w:val="single" w:color="auto" w:sz="4" w:space="0"/>
            </w:tcBorders>
            <w:vAlign w:val="center"/>
          </w:tcPr>
          <w:p w14:paraId="1FDC343C">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vAlign w:val="center"/>
          </w:tcPr>
          <w:p w14:paraId="7E779485">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vAlign w:val="center"/>
          </w:tcPr>
          <w:p w14:paraId="4A912CB9">
            <w:pPr>
              <w:jc w:val="center"/>
              <w:rPr>
                <w:rFonts w:ascii="仿宋_GB2312" w:hAnsi="宋体" w:eastAsia="仿宋_GB2312"/>
                <w:color w:val="000000" w:themeColor="text1"/>
                <w:sz w:val="18"/>
                <w:szCs w:val="18"/>
                <w:highlight w:val="none"/>
                <w14:textFill>
                  <w14:solidFill>
                    <w14:schemeClr w14:val="tx1"/>
                  </w14:solidFill>
                </w14:textFill>
              </w:rPr>
            </w:pPr>
          </w:p>
        </w:tc>
      </w:tr>
      <w:tr w14:paraId="564B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14:paraId="1D6F45DB">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13</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B2A9249">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钢绞线</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2B885557">
            <w:pPr>
              <w:jc w:val="center"/>
              <w:rPr>
                <w:rFonts w:hint="default"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t>1860Mpa</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6D64DA7A">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Φ15.2</w:t>
            </w:r>
          </w:p>
        </w:tc>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14:paraId="21B54E75">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吨</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22342534">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637</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CCE7C7B">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4850</w:t>
            </w:r>
          </w:p>
        </w:tc>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14:paraId="6FA79D28">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4A3AAF5D">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13</w:t>
            </w:r>
          </w:p>
        </w:tc>
        <w:tc>
          <w:tcPr>
            <w:tcW w:w="1127" w:type="dxa"/>
            <w:tcBorders>
              <w:top w:val="single" w:color="auto" w:sz="4" w:space="0"/>
              <w:left w:val="single" w:color="auto" w:sz="4" w:space="0"/>
              <w:bottom w:val="single" w:color="auto" w:sz="4" w:space="0"/>
              <w:right w:val="single" w:color="auto" w:sz="4" w:space="0"/>
            </w:tcBorders>
            <w:vAlign w:val="center"/>
          </w:tcPr>
          <w:p w14:paraId="2F9E53C2">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838" w:type="dxa"/>
            <w:tcBorders>
              <w:top w:val="single" w:color="auto" w:sz="4" w:space="0"/>
              <w:left w:val="single" w:color="auto" w:sz="4" w:space="0"/>
              <w:bottom w:val="single" w:color="auto" w:sz="4" w:space="0"/>
              <w:right w:val="single" w:color="auto" w:sz="4" w:space="0"/>
            </w:tcBorders>
            <w:vAlign w:val="center"/>
          </w:tcPr>
          <w:p w14:paraId="57866B60">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vAlign w:val="center"/>
          </w:tcPr>
          <w:p w14:paraId="11224D94">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vAlign w:val="center"/>
          </w:tcPr>
          <w:p w14:paraId="49E86762">
            <w:pPr>
              <w:jc w:val="center"/>
              <w:rPr>
                <w:rFonts w:ascii="仿宋_GB2312" w:hAnsi="宋体" w:eastAsia="仿宋_GB2312"/>
                <w:color w:val="000000" w:themeColor="text1"/>
                <w:sz w:val="18"/>
                <w:szCs w:val="18"/>
                <w:highlight w:val="none"/>
                <w14:textFill>
                  <w14:solidFill>
                    <w14:schemeClr w14:val="tx1"/>
                  </w14:solidFill>
                </w14:textFill>
              </w:rPr>
            </w:pPr>
          </w:p>
        </w:tc>
      </w:tr>
      <w:tr w14:paraId="6BBD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14:paraId="395F496D">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14</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758A5DC">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角钢</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6A9B3E93">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t>Q235</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367B76EA">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eastAsia" w:ascii="仿宋_GB2312" w:hAnsi="宋体" w:eastAsia="仿宋_GB2312" w:cs="仿宋_GB2312"/>
                <w:i w:val="0"/>
                <w:iCs w:val="0"/>
                <w:color w:val="000000"/>
                <w:kern w:val="0"/>
                <w:sz w:val="18"/>
                <w:szCs w:val="18"/>
                <w:u w:val="none"/>
                <w:lang w:val="en-US" w:eastAsia="zh-CN" w:bidi="ar"/>
              </w:rPr>
              <w:t>75*75*</w:t>
            </w:r>
            <w:r>
              <w:rPr>
                <w:rFonts w:hint="default" w:ascii="仿宋_GB2312" w:hAnsi="宋体" w:eastAsia="仿宋_GB2312" w:cs="仿宋_GB2312"/>
                <w:i w:val="0"/>
                <w:iCs w:val="0"/>
                <w:color w:val="000000"/>
                <w:kern w:val="0"/>
                <w:sz w:val="18"/>
                <w:szCs w:val="18"/>
                <w:u w:val="none"/>
                <w:lang w:val="en-US" w:eastAsia="zh-CN" w:bidi="ar"/>
              </w:rPr>
              <w:t>8</w:t>
            </w:r>
          </w:p>
        </w:tc>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14:paraId="69693F71">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吨</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22220F13">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eastAsia" w:ascii="仿宋_GB2312" w:hAnsi="宋体" w:eastAsia="仿宋_GB2312" w:cs="仿宋_GB2312"/>
                <w:i w:val="0"/>
                <w:iCs w:val="0"/>
                <w:color w:val="000000"/>
                <w:kern w:val="0"/>
                <w:sz w:val="18"/>
                <w:szCs w:val="18"/>
                <w:u w:val="none"/>
                <w:lang w:val="en-US" w:eastAsia="zh-CN" w:bidi="ar"/>
              </w:rPr>
              <w:t>4.45</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C7C26AF">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3</w:t>
            </w:r>
            <w:r>
              <w:rPr>
                <w:rFonts w:hint="eastAsia" w:ascii="仿宋_GB2312" w:hAnsi="宋体" w:eastAsia="仿宋_GB2312" w:cs="仿宋_GB2312"/>
                <w:i w:val="0"/>
                <w:iCs w:val="0"/>
                <w:color w:val="000000"/>
                <w:kern w:val="0"/>
                <w:sz w:val="18"/>
                <w:szCs w:val="18"/>
                <w:u w:val="none"/>
                <w:lang w:val="en-US" w:eastAsia="zh-CN" w:bidi="ar"/>
              </w:rPr>
              <w:t>9</w:t>
            </w:r>
            <w:r>
              <w:rPr>
                <w:rFonts w:hint="default" w:ascii="仿宋_GB2312" w:hAnsi="宋体" w:eastAsia="仿宋_GB2312" w:cs="仿宋_GB2312"/>
                <w:i w:val="0"/>
                <w:iCs w:val="0"/>
                <w:color w:val="000000"/>
                <w:kern w:val="0"/>
                <w:sz w:val="18"/>
                <w:szCs w:val="18"/>
                <w:u w:val="none"/>
                <w:lang w:val="en-US" w:eastAsia="zh-CN" w:bidi="ar"/>
              </w:rPr>
              <w:t>30</w:t>
            </w:r>
          </w:p>
        </w:tc>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14:paraId="67CDE50F">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218C8B44">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18"/>
                <w:szCs w:val="18"/>
                <w:u w:val="none"/>
                <w:lang w:val="en-US" w:eastAsia="zh-CN" w:bidi="ar"/>
              </w:rPr>
              <w:t>13</w:t>
            </w:r>
          </w:p>
        </w:tc>
        <w:tc>
          <w:tcPr>
            <w:tcW w:w="1127" w:type="dxa"/>
            <w:tcBorders>
              <w:top w:val="single" w:color="auto" w:sz="4" w:space="0"/>
              <w:left w:val="single" w:color="auto" w:sz="4" w:space="0"/>
              <w:bottom w:val="single" w:color="auto" w:sz="4" w:space="0"/>
              <w:right w:val="single" w:color="auto" w:sz="4" w:space="0"/>
            </w:tcBorders>
            <w:vAlign w:val="center"/>
          </w:tcPr>
          <w:p w14:paraId="072DAFFA">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838" w:type="dxa"/>
            <w:tcBorders>
              <w:top w:val="single" w:color="auto" w:sz="4" w:space="0"/>
              <w:left w:val="single" w:color="auto" w:sz="4" w:space="0"/>
              <w:bottom w:val="single" w:color="auto" w:sz="4" w:space="0"/>
              <w:right w:val="single" w:color="auto" w:sz="4" w:space="0"/>
            </w:tcBorders>
            <w:vAlign w:val="center"/>
          </w:tcPr>
          <w:p w14:paraId="3746BF1A">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vAlign w:val="center"/>
          </w:tcPr>
          <w:p w14:paraId="5C3AEDB0">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vAlign w:val="center"/>
          </w:tcPr>
          <w:p w14:paraId="6B0609D7">
            <w:pPr>
              <w:jc w:val="center"/>
              <w:rPr>
                <w:rFonts w:ascii="仿宋_GB2312" w:hAnsi="宋体" w:eastAsia="仿宋_GB2312"/>
                <w:color w:val="000000" w:themeColor="text1"/>
                <w:sz w:val="18"/>
                <w:szCs w:val="18"/>
                <w:highlight w:val="none"/>
                <w14:textFill>
                  <w14:solidFill>
                    <w14:schemeClr w14:val="tx1"/>
                  </w14:solidFill>
                </w14:textFill>
              </w:rPr>
            </w:pPr>
          </w:p>
        </w:tc>
      </w:tr>
      <w:tr w14:paraId="7853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14:paraId="54A62EB0">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15</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E7EF548">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角钢</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20526623">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t>Q235</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0E1C4F61">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eastAsia" w:ascii="仿宋_GB2312" w:hAnsi="宋体" w:eastAsia="仿宋_GB2312" w:cs="仿宋_GB2312"/>
                <w:i w:val="0"/>
                <w:iCs w:val="0"/>
                <w:color w:val="000000"/>
                <w:kern w:val="0"/>
                <w:sz w:val="18"/>
                <w:szCs w:val="18"/>
                <w:u w:val="none"/>
                <w:lang w:val="en-US" w:eastAsia="zh-CN" w:bidi="ar"/>
              </w:rPr>
              <w:t>100*100*</w:t>
            </w:r>
            <w:r>
              <w:rPr>
                <w:rFonts w:hint="default" w:ascii="仿宋_GB2312" w:hAnsi="宋体" w:eastAsia="仿宋_GB2312" w:cs="仿宋_GB2312"/>
                <w:i w:val="0"/>
                <w:iCs w:val="0"/>
                <w:color w:val="000000"/>
                <w:kern w:val="0"/>
                <w:sz w:val="18"/>
                <w:szCs w:val="18"/>
                <w:u w:val="none"/>
                <w:lang w:val="en-US" w:eastAsia="zh-CN" w:bidi="ar"/>
              </w:rPr>
              <w:t>8</w:t>
            </w:r>
          </w:p>
        </w:tc>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14:paraId="3886ECC9">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吨</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45EBD817">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7.55</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44C0F19">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3930</w:t>
            </w:r>
          </w:p>
        </w:tc>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14:paraId="07E59D2C">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53BD82D7">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13</w:t>
            </w:r>
          </w:p>
        </w:tc>
        <w:tc>
          <w:tcPr>
            <w:tcW w:w="1127" w:type="dxa"/>
            <w:tcBorders>
              <w:top w:val="single" w:color="auto" w:sz="4" w:space="0"/>
              <w:left w:val="single" w:color="auto" w:sz="4" w:space="0"/>
              <w:bottom w:val="single" w:color="auto" w:sz="4" w:space="0"/>
              <w:right w:val="single" w:color="auto" w:sz="4" w:space="0"/>
            </w:tcBorders>
            <w:vAlign w:val="center"/>
          </w:tcPr>
          <w:p w14:paraId="47EC93D5">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838" w:type="dxa"/>
            <w:tcBorders>
              <w:top w:val="single" w:color="auto" w:sz="4" w:space="0"/>
              <w:left w:val="single" w:color="auto" w:sz="4" w:space="0"/>
              <w:bottom w:val="single" w:color="auto" w:sz="4" w:space="0"/>
              <w:right w:val="single" w:color="auto" w:sz="4" w:space="0"/>
            </w:tcBorders>
            <w:vAlign w:val="center"/>
          </w:tcPr>
          <w:p w14:paraId="1F0A337F">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vAlign w:val="center"/>
          </w:tcPr>
          <w:p w14:paraId="1E9FD0FA">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vAlign w:val="center"/>
          </w:tcPr>
          <w:p w14:paraId="550456F5">
            <w:pPr>
              <w:jc w:val="center"/>
              <w:rPr>
                <w:rFonts w:ascii="仿宋_GB2312" w:hAnsi="宋体" w:eastAsia="仿宋_GB2312"/>
                <w:color w:val="000000" w:themeColor="text1"/>
                <w:sz w:val="18"/>
                <w:szCs w:val="18"/>
                <w:highlight w:val="none"/>
                <w14:textFill>
                  <w14:solidFill>
                    <w14:schemeClr w14:val="tx1"/>
                  </w14:solidFill>
                </w14:textFill>
              </w:rPr>
            </w:pPr>
          </w:p>
        </w:tc>
      </w:tr>
      <w:tr w14:paraId="5EE7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483" w:type="dxa"/>
            <w:tcBorders>
              <w:top w:val="single" w:color="auto" w:sz="4" w:space="0"/>
            </w:tcBorders>
            <w:vAlign w:val="center"/>
          </w:tcPr>
          <w:p w14:paraId="55EE29E7">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2347" w:type="dxa"/>
            <w:gridSpan w:val="3"/>
            <w:tcBorders>
              <w:top w:val="single" w:color="auto" w:sz="4" w:space="0"/>
            </w:tcBorders>
            <w:vAlign w:val="center"/>
          </w:tcPr>
          <w:p w14:paraId="1F6E8375">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合计</w:t>
            </w:r>
          </w:p>
        </w:tc>
        <w:tc>
          <w:tcPr>
            <w:tcW w:w="519" w:type="dxa"/>
            <w:tcBorders>
              <w:top w:val="single" w:color="auto" w:sz="4" w:space="0"/>
            </w:tcBorders>
            <w:vAlign w:val="top"/>
          </w:tcPr>
          <w:p w14:paraId="521BED63">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767" w:type="dxa"/>
            <w:tcBorders>
              <w:top w:val="single" w:color="auto" w:sz="4" w:space="0"/>
            </w:tcBorders>
            <w:vAlign w:val="center"/>
          </w:tcPr>
          <w:p w14:paraId="14F31D82">
            <w:pPr>
              <w:tabs>
                <w:tab w:val="left" w:pos="2857"/>
              </w:tabs>
              <w:jc w:val="center"/>
              <w:rPr>
                <w:rFonts w:hint="default"/>
                <w:lang w:val="en-US" w:eastAsia="zh-CN"/>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10694</w:t>
            </w:r>
          </w:p>
        </w:tc>
        <w:tc>
          <w:tcPr>
            <w:tcW w:w="667" w:type="dxa"/>
            <w:tcBorders>
              <w:top w:val="single" w:color="auto" w:sz="4" w:space="0"/>
            </w:tcBorders>
            <w:vAlign w:val="center"/>
          </w:tcPr>
          <w:p w14:paraId="0E795E99">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599" w:type="dxa"/>
            <w:tcBorders>
              <w:top w:val="single" w:color="auto" w:sz="4" w:space="0"/>
            </w:tcBorders>
            <w:vAlign w:val="center"/>
          </w:tcPr>
          <w:p w14:paraId="1F677585">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690" w:type="dxa"/>
            <w:tcBorders>
              <w:top w:val="single" w:color="auto" w:sz="4" w:space="0"/>
            </w:tcBorders>
            <w:vAlign w:val="center"/>
          </w:tcPr>
          <w:p w14:paraId="4FCEABE4">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1127" w:type="dxa"/>
            <w:tcBorders>
              <w:top w:val="single" w:color="auto" w:sz="4" w:space="0"/>
            </w:tcBorders>
            <w:vAlign w:val="center"/>
          </w:tcPr>
          <w:p w14:paraId="129503C5">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838" w:type="dxa"/>
            <w:tcBorders>
              <w:top w:val="single" w:color="auto" w:sz="4" w:space="0"/>
            </w:tcBorders>
            <w:vAlign w:val="center"/>
          </w:tcPr>
          <w:p w14:paraId="443F6413">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1196" w:type="dxa"/>
            <w:tcBorders>
              <w:top w:val="single" w:color="auto" w:sz="4" w:space="0"/>
            </w:tcBorders>
            <w:vAlign w:val="center"/>
          </w:tcPr>
          <w:p w14:paraId="227D74AE">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p>
        </w:tc>
        <w:tc>
          <w:tcPr>
            <w:tcW w:w="315" w:type="dxa"/>
            <w:tcBorders>
              <w:top w:val="single" w:color="auto" w:sz="4" w:space="0"/>
            </w:tcBorders>
            <w:vAlign w:val="center"/>
          </w:tcPr>
          <w:p w14:paraId="6D13A51E">
            <w:pPr>
              <w:keepNext w:val="0"/>
              <w:keepLines w:val="0"/>
              <w:widowControl/>
              <w:suppressLineNumbers w:val="0"/>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r>
      <w:tr w14:paraId="7A0F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548" w:type="dxa"/>
            <w:gridSpan w:val="13"/>
            <w:vAlign w:val="center"/>
          </w:tcPr>
          <w:p w14:paraId="0BF8000C">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 xml:space="preserve"> ）； </w:t>
            </w:r>
          </w:p>
        </w:tc>
      </w:tr>
      <w:tr w14:paraId="3DF29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548" w:type="dxa"/>
            <w:gridSpan w:val="13"/>
            <w:vAlign w:val="center"/>
          </w:tcPr>
          <w:p w14:paraId="1A85A74A">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 xml:space="preserve"> ）；</w:t>
            </w:r>
          </w:p>
        </w:tc>
      </w:tr>
      <w:tr w14:paraId="2EC02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548" w:type="dxa"/>
            <w:gridSpan w:val="13"/>
            <w:vAlign w:val="center"/>
          </w:tcPr>
          <w:p w14:paraId="65E81399">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注：</w:t>
            </w:r>
            <w:r>
              <w:rPr>
                <w:rFonts w:hint="eastAsia" w:ascii="仿宋_GB2312" w:hAnsi="宋体" w:eastAsia="仿宋_GB2312"/>
                <w:color w:val="000000" w:themeColor="text1"/>
                <w:sz w:val="18"/>
                <w:szCs w:val="18"/>
                <w:highlight w:val="none"/>
                <w:lang w:val="en-US" w:eastAsia="zh-CN"/>
                <w14:textFill>
                  <w14:solidFill>
                    <w14:schemeClr w14:val="tx1"/>
                  </w14:solidFill>
                </w14:textFill>
              </w:rPr>
              <w:t>1：以上价格为含税到货价，卸车由甲方负责，数量为暂定数量实际执行合同以到货数量为准。</w:t>
            </w:r>
          </w:p>
        </w:tc>
      </w:tr>
      <w:bookmarkEnd w:id="11"/>
      <w:permEnd w:id="14"/>
    </w:tbl>
    <w:p w14:paraId="301B864B">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5C9C2E45">
      <w:pPr>
        <w:pStyle w:val="14"/>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1.2.1包干内容：</w:t>
      </w:r>
      <w:r>
        <w:rPr>
          <w:rFonts w:hint="eastAsia" w:ascii="仿宋_GB2312" w:hAnsi="仿宋_GB2312" w:eastAsia="仿宋_GB2312" w:cs="仿宋_GB2312"/>
          <w:color w:val="000000" w:themeColor="text1"/>
          <w:highlight w:val="none"/>
          <w14:textFill>
            <w14:solidFill>
              <w14:schemeClr w14:val="tx1"/>
            </w14:solidFill>
          </w14:textFill>
        </w:rPr>
        <w:t>含增值税综合单价</w:t>
      </w:r>
      <w:r>
        <w:rPr>
          <w:rFonts w:hint="eastAsia" w:ascii="仿宋_GB2312" w:hAnsi="仿宋_GB2312" w:eastAsia="仿宋_GB2312" w:cs="仿宋_GB2312"/>
          <w:b w:val="0"/>
          <w:bCs w:val="0"/>
          <w:color w:val="000000" w:themeColor="text1"/>
          <w:highlight w:val="none"/>
          <w:u w:val="none"/>
          <w14:textFill>
            <w14:solidFill>
              <w14:schemeClr w14:val="tx1"/>
            </w14:solidFill>
          </w14:textFill>
        </w:rPr>
        <w:t>为物资运至工地的</w:t>
      </w:r>
      <w:r>
        <w:rPr>
          <w:rFonts w:hint="eastAsia" w:ascii="仿宋_GB2312" w:hAnsi="仿宋_GB2312" w:eastAsia="仿宋_GB2312" w:cs="仿宋_GB2312"/>
          <w:b w:val="0"/>
          <w:bCs w:val="0"/>
          <w:color w:val="000000" w:themeColor="text1"/>
          <w:highlight w:val="none"/>
          <w:u w:val="none"/>
          <w:lang w:val="en-US" w:eastAsia="zh-CN"/>
          <w14:textFill>
            <w14:solidFill>
              <w14:schemeClr w14:val="tx1"/>
            </w14:solidFill>
          </w14:textFill>
        </w:rPr>
        <w:t>含税</w:t>
      </w:r>
      <w:r>
        <w:rPr>
          <w:rFonts w:hint="eastAsia" w:ascii="仿宋_GB2312" w:hAnsi="仿宋_GB2312" w:eastAsia="仿宋_GB2312" w:cs="仿宋_GB2312"/>
          <w:b w:val="0"/>
          <w:bCs w:val="0"/>
          <w:color w:val="000000" w:themeColor="text1"/>
          <w:highlight w:val="none"/>
          <w:u w:val="none"/>
          <w14:textFill>
            <w14:solidFill>
              <w14:schemeClr w14:val="tx1"/>
            </w14:solidFill>
          </w14:textFill>
        </w:rPr>
        <w:t>单价包括</w:t>
      </w:r>
      <w:r>
        <w:rPr>
          <w:rFonts w:hint="eastAsia" w:ascii="仿宋_GB2312" w:hAnsi="仿宋_GB2312" w:eastAsia="仿宋_GB2312" w:cs="仿宋_GB2312"/>
          <w:b w:val="0"/>
          <w:bCs w:val="0"/>
          <w:color w:val="000000" w:themeColor="text1"/>
          <w:highlight w:val="none"/>
          <w:u w:val="none"/>
          <w:lang w:val="en-US" w:eastAsia="zh-CN"/>
          <w14:textFill>
            <w14:solidFill>
              <w14:schemeClr w14:val="tx1"/>
            </w14:solidFill>
          </w14:textFill>
        </w:rPr>
        <w:t>但不限于</w:t>
      </w:r>
      <w:r>
        <w:rPr>
          <w:rFonts w:hint="eastAsia" w:ascii="仿宋_GB2312" w:hAnsi="仿宋_GB2312" w:eastAsia="仿宋_GB2312" w:cs="仿宋_GB2312"/>
          <w:color w:val="000000" w:themeColor="text1"/>
          <w:highlight w:val="none"/>
          <w14:textFill>
            <w14:solidFill>
              <w14:schemeClr w14:val="tx1"/>
            </w14:solidFill>
          </w14:textFill>
        </w:rPr>
        <w:t>材料款、税金、包装费、上车人力及机械资费（由乙方自行协调，甲方只进行指定场地和材料验收工作）、出库费、出厂检测费（包括但不限于到场后的第三方检测费用）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color w:val="000000" w:themeColor="text1"/>
          <w:highlight w:val="none"/>
          <w:lang w:eastAsia="zh-CN"/>
          <w14:textFill>
            <w14:solidFill>
              <w14:schemeClr w14:val="tx1"/>
            </w14:solidFill>
          </w14:textFill>
        </w:rPr>
        <w:t>、码放费、保险费、仓储费、驻厂监造费、运输造成的道路污染的清理及维修费用、</w:t>
      </w:r>
      <w:r>
        <w:rPr>
          <w:rFonts w:hint="eastAsia" w:ascii="仿宋_GB2312" w:hAnsi="仿宋_GB2312" w:eastAsia="仿宋_GB2312" w:cs="仿宋_GB2312"/>
          <w:color w:val="000000" w:themeColor="text1"/>
          <w:highlight w:val="none"/>
          <w14:textFill>
            <w14:solidFill>
              <w14:schemeClr w14:val="tx1"/>
            </w14:solidFill>
          </w14:textFill>
        </w:rPr>
        <w:t>出库吊装费、运输费、过江过桥费、高速公路费等，含工地卸货费挂钩卸车人工费</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资料费、财务费、</w:t>
      </w:r>
      <w:r>
        <w:rPr>
          <w:rFonts w:hint="eastAsia" w:ascii="仿宋_GB2312" w:hAnsi="仿宋_GB2312" w:eastAsia="仿宋_GB2312" w:cs="仿宋_GB2312"/>
          <w:color w:val="000000" w:themeColor="text1"/>
          <w:highlight w:val="non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等一切费用</w:t>
      </w:r>
      <w:r>
        <w:rPr>
          <w:rFonts w:hint="eastAsia" w:ascii="仿宋_GB2312" w:hAnsi="仿宋_GB2312" w:eastAsia="仿宋_GB2312" w:cs="仿宋_GB2312"/>
          <w:color w:val="000000" w:themeColor="text1"/>
          <w:highlight w:val="none"/>
          <w14:textFill>
            <w14:solidFill>
              <w14:schemeClr w14:val="tx1"/>
            </w14:solidFill>
          </w14:textFill>
        </w:rPr>
        <w:t>，除本合同规定的因素外，不得因政府政策变动、市场环境改变、税率调整等而调整。除合同条款另有约定外，乙方在合同签订前和签订时已确定采用的专利、专有技术、技术秘密的使用费已包含在签约合同价中。</w:t>
      </w:r>
    </w:p>
    <w:p w14:paraId="5E535D52">
      <w:pPr>
        <w:pStyle w:val="14"/>
        <w:numPr>
          <w:ilvl w:val="255"/>
          <w:numId w:val="0"/>
        </w:numPr>
        <w:spacing w:line="400" w:lineRule="atLeast"/>
        <w:ind w:firstLine="482" w:firstLineChars="200"/>
        <w:jc w:val="both"/>
        <w:outlineLvl w:val="2"/>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1.2.2单价依据</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22D99EB4">
      <w:pPr>
        <w:pStyle w:val="14"/>
        <w:keepNext w:val="0"/>
        <w:keepLines w:val="0"/>
        <w:pageBreakBefore w:val="0"/>
        <w:widowControl w:val="0"/>
        <w:numPr>
          <w:ilvl w:val="255"/>
          <w:numId w:val="0"/>
        </w:numPr>
        <w:kinsoku/>
        <w:wordWrap/>
        <w:overflowPunct/>
        <w:topLinePunct w:val="0"/>
        <w:autoSpaceDE w:val="0"/>
        <w:autoSpaceDN w:val="0"/>
        <w:bidi w:val="0"/>
        <w:adjustRightInd w:val="0"/>
        <w:snapToGrid/>
        <w:spacing w:line="400" w:lineRule="atLeast"/>
        <w:ind w:firstLine="480" w:firstLineChars="200"/>
        <w:jc w:val="both"/>
        <w:textAlignment w:val="auto"/>
        <w:outlineLvl w:val="2"/>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bookmarkStart w:id="12" w:name="_Hlk126832804"/>
      <w:r>
        <w:rPr>
          <w:rFonts w:hint="eastAsia" w:ascii="仿宋_GB2312" w:hAnsi="仿宋_GB2312" w:eastAsia="仿宋_GB2312" w:cs="仿宋_GB2312"/>
          <w:color w:val="000000" w:themeColor="text1"/>
          <w:highlight w:val="none"/>
          <w14:textFill>
            <w14:solidFill>
              <w14:schemeClr w14:val="tx1"/>
            </w14:solidFill>
          </w14:textFill>
        </w:rPr>
        <w:t>含税基准价（P1）：货物清单中的含税基准价是</w:t>
      </w:r>
      <w:permStart w:id="1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5"/>
      <w:r>
        <w:rPr>
          <w:rFonts w:hint="eastAsia" w:ascii="仿宋_GB2312" w:hAnsi="仿宋_GB2312" w:eastAsia="仿宋_GB2312" w:cs="仿宋_GB2312"/>
          <w:color w:val="000000" w:themeColor="text1"/>
          <w:highlight w:val="none"/>
          <w14:textFill>
            <w14:solidFill>
              <w14:schemeClr w14:val="tx1"/>
            </w14:solidFill>
          </w14:textFill>
        </w:rPr>
        <w:t>年</w:t>
      </w:r>
      <w:permStart w:id="1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6"/>
      <w:r>
        <w:rPr>
          <w:rFonts w:hint="eastAsia" w:ascii="仿宋_GB2312" w:hAnsi="仿宋_GB2312" w:eastAsia="仿宋_GB2312" w:cs="仿宋_GB2312"/>
          <w:color w:val="000000" w:themeColor="text1"/>
          <w:highlight w:val="none"/>
          <w14:textFill>
            <w14:solidFill>
              <w14:schemeClr w14:val="tx1"/>
            </w14:solidFill>
          </w14:textFill>
        </w:rPr>
        <w:t>月</w:t>
      </w:r>
      <w:permStart w:id="1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7"/>
      <w:r>
        <w:rPr>
          <w:rFonts w:hint="eastAsia" w:ascii="仿宋_GB2312" w:hAnsi="仿宋_GB2312" w:eastAsia="仿宋_GB2312" w:cs="仿宋_GB2312"/>
          <w:color w:val="000000" w:themeColor="text1"/>
          <w:highlight w:val="none"/>
          <w14:textFill>
            <w14:solidFill>
              <w14:schemeClr w14:val="tx1"/>
            </w14:solidFill>
          </w14:textFill>
        </w:rPr>
        <w:t>日（双方约定的）</w:t>
      </w:r>
      <w:permStart w:id="18" w:edGrp="everyone"/>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w:t>
      </w:r>
      <w:permEnd w:id="18"/>
      <w:r>
        <w:rPr>
          <w:rFonts w:hint="eastAsia" w:ascii="仿宋_GB2312" w:hAnsi="仿宋_GB2312" w:eastAsia="仿宋_GB2312" w:cs="仿宋_GB2312"/>
          <w:color w:val="000000" w:themeColor="text1"/>
          <w:highlight w:val="none"/>
          <w14:textFill>
            <w14:solidFill>
              <w14:schemeClr w14:val="tx1"/>
            </w14:solidFill>
          </w14:textFill>
        </w:rPr>
        <w:t>网</w:t>
      </w:r>
      <w:permStart w:id="19"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 </w:t>
      </w:r>
      <w:permEnd w:id="19"/>
      <w:r>
        <w:rPr>
          <w:rFonts w:hint="eastAsia" w:ascii="仿宋_GB2312" w:hAnsi="仿宋_GB2312" w:eastAsia="仿宋_GB2312" w:cs="仿宋_GB2312"/>
          <w:color w:val="000000" w:themeColor="text1"/>
          <w:highlight w:val="none"/>
          <w14:textFill>
            <w14:solidFill>
              <w14:schemeClr w14:val="tx1"/>
            </w14:solidFill>
          </w14:textFill>
        </w:rPr>
        <w:t>市场建筑钢材价格行情价格第一次公布的价格，此价格只用来暂估合同总额，实际结算价格以供应计划中双方约定的到货当日</w:t>
      </w:r>
      <w:permStart w:id="20" w:edGrp="everyone"/>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w:t>
      </w:r>
      <w:permEnd w:id="20"/>
      <w:r>
        <w:rPr>
          <w:rFonts w:hint="eastAsia" w:ascii="仿宋_GB2312" w:hAnsi="仿宋_GB2312" w:eastAsia="仿宋_GB2312" w:cs="仿宋_GB2312"/>
          <w:color w:val="000000" w:themeColor="text1"/>
          <w:highlight w:val="none"/>
          <w14:textFill>
            <w14:solidFill>
              <w14:schemeClr w14:val="tx1"/>
            </w14:solidFill>
          </w14:textFill>
        </w:rPr>
        <w:t xml:space="preserve">网 </w:t>
      </w:r>
      <w:permStart w:id="2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2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市场建筑</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钢材价格行情公布的同材质规格、同品牌的网刊价格为基准价</w:t>
      </w:r>
      <w:permStart w:id="22" w:edGrp="everyone"/>
    </w:p>
    <w:p w14:paraId="50F092E3">
      <w:pPr>
        <w:pStyle w:val="14"/>
        <w:keepNext w:val="0"/>
        <w:keepLines w:val="0"/>
        <w:pageBreakBefore w:val="0"/>
        <w:widowControl w:val="0"/>
        <w:numPr>
          <w:ilvl w:val="255"/>
          <w:numId w:val="0"/>
        </w:numPr>
        <w:kinsoku/>
        <w:wordWrap/>
        <w:overflowPunct/>
        <w:topLinePunct w:val="0"/>
        <w:autoSpaceDE w:val="0"/>
        <w:autoSpaceDN w:val="0"/>
        <w:bidi w:val="0"/>
        <w:adjustRightInd w:val="0"/>
        <w:snapToGrid/>
        <w:spacing w:line="400" w:lineRule="atLeast"/>
        <w:ind w:firstLine="480" w:firstLineChars="200"/>
        <w:jc w:val="both"/>
        <w:textAlignment w:val="auto"/>
        <w:outlineLvl w:val="2"/>
        <w:rPr>
          <w:rFonts w:hint="eastAsia" w:ascii="仿宋_GB2312" w:hAnsi="仿宋_GB2312" w:eastAsia="仿宋_GB2312" w:cs="仿宋_GB2312"/>
          <w:color w:val="000000" w:themeColor="text1"/>
          <w:kern w:val="0"/>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u w:val="none"/>
          <w:lang w:val="en-US" w:eastAsia="zh-CN" w:bidi="ar-SA"/>
          <w14:textFill>
            <w14:solidFill>
              <w14:schemeClr w14:val="tx1"/>
            </w14:solidFill>
          </w14:textFill>
        </w:rPr>
        <w:t>货物清单中的</w:t>
      </w:r>
      <w:r>
        <w:rPr>
          <w:rFonts w:hint="eastAsia" w:ascii="仿宋_GB2312" w:hAnsi="仿宋_GB2312" w:eastAsia="仿宋_GB2312" w:cs="仿宋_GB2312"/>
          <w:b/>
          <w:bCs/>
          <w:color w:val="000000" w:themeColor="text1"/>
          <w:kern w:val="0"/>
          <w:sz w:val="24"/>
          <w:szCs w:val="24"/>
          <w:highlight w:val="none"/>
          <w:u w:val="none"/>
          <w:lang w:val="en-US" w:eastAsia="zh-CN" w:bidi="ar-SA"/>
          <w14:textFill>
            <w14:solidFill>
              <w14:schemeClr w14:val="tx1"/>
            </w14:solidFill>
          </w14:textFill>
        </w:rPr>
        <w:t>钢筋</w:t>
      </w:r>
      <w:r>
        <w:rPr>
          <w:rFonts w:hint="eastAsia" w:ascii="仿宋_GB2312" w:hAnsi="仿宋_GB2312" w:eastAsia="仿宋_GB2312" w:cs="仿宋_GB2312"/>
          <w:color w:val="000000" w:themeColor="text1"/>
          <w:kern w:val="0"/>
          <w:sz w:val="24"/>
          <w:szCs w:val="24"/>
          <w:highlight w:val="none"/>
          <w:u w:val="none"/>
          <w:lang w:val="en-US" w:eastAsia="zh-CN" w:bidi="ar-SA"/>
          <w14:textFill>
            <w14:solidFill>
              <w14:schemeClr w14:val="tx1"/>
            </w14:solidFill>
          </w14:textFill>
        </w:rPr>
        <w:t>含税基准价是</w:t>
      </w:r>
      <w:r>
        <w:rPr>
          <w:rFonts w:hint="eastAsia" w:ascii="仿宋_GB2312" w:hAnsi="仿宋_GB2312" w:eastAsia="仿宋_GB2312" w:cs="仿宋_GB2312"/>
          <w:color w:val="000000" w:themeColor="text1"/>
          <w:kern w:val="0"/>
          <w:sz w:val="24"/>
          <w:szCs w:val="24"/>
          <w:highlight w:val="none"/>
          <w:u w:val="single"/>
          <w:lang w:val="en-US" w:eastAsia="zh-CN" w:bidi="ar-SA"/>
          <w14:textFill>
            <w14:solidFill>
              <w14:schemeClr w14:val="tx1"/>
            </w14:solidFill>
          </w14:textFill>
        </w:rPr>
        <w:t>2024年4月7日（双方约定的）“我的钢铁”网湖北武汉市场</w:t>
      </w:r>
      <w:r>
        <w:rPr>
          <w:rFonts w:hint="eastAsia" w:ascii="仿宋_GB2312" w:hAnsi="仿宋_GB2312" w:eastAsia="仿宋_GB2312" w:cs="仿宋_GB2312"/>
          <w:b/>
          <w:bCs/>
          <w:color w:val="auto"/>
          <w:kern w:val="0"/>
          <w:sz w:val="24"/>
          <w:szCs w:val="24"/>
          <w:highlight w:val="none"/>
          <w:u w:val="single"/>
          <w:lang w:val="en-US" w:eastAsia="zh-CN" w:bidi="ar-SA"/>
        </w:rPr>
        <w:t>建筑钢材</w:t>
      </w:r>
      <w:r>
        <w:rPr>
          <w:rFonts w:hint="eastAsia" w:ascii="仿宋_GB2312" w:hAnsi="仿宋_GB2312" w:eastAsia="仿宋_GB2312" w:cs="仿宋_GB2312"/>
          <w:color w:val="000000" w:themeColor="text1"/>
          <w:kern w:val="0"/>
          <w:sz w:val="24"/>
          <w:szCs w:val="24"/>
          <w:highlight w:val="none"/>
          <w:u w:val="single"/>
          <w:lang w:val="en-US" w:eastAsia="zh-CN" w:bidi="ar-SA"/>
          <w14:textFill>
            <w14:solidFill>
              <w14:schemeClr w14:val="tx1"/>
            </w14:solidFill>
          </w14:textFill>
        </w:rPr>
        <w:t>工程采购价格行情,宝武鄂钢品牌</w:t>
      </w:r>
      <w:r>
        <w:rPr>
          <w:rFonts w:hint="eastAsia" w:ascii="仿宋_GB2312" w:hAnsi="仿宋_GB2312" w:eastAsia="仿宋_GB2312" w:cs="仿宋_GB2312"/>
          <w:color w:val="000000" w:themeColor="text1"/>
          <w:kern w:val="0"/>
          <w:sz w:val="24"/>
          <w:szCs w:val="24"/>
          <w:highlight w:val="none"/>
          <w:u w:val="none"/>
          <w:lang w:val="en-US" w:eastAsia="zh-CN" w:bidi="ar-SA"/>
          <w14:textFill>
            <w14:solidFill>
              <w14:schemeClr w14:val="tx1"/>
            </w14:solidFill>
          </w14:textFill>
        </w:rPr>
        <w:t>中对应同材质规格型号第一次公布的价格，此价格只用来暂估合同总额，实际结算价格以供应计划中双方约定的到货当日</w:t>
      </w:r>
      <w:r>
        <w:rPr>
          <w:rFonts w:hint="eastAsia" w:ascii="仿宋_GB2312" w:hAnsi="仿宋_GB2312" w:eastAsia="仿宋_GB2312" w:cs="仿宋_GB2312"/>
          <w:color w:val="000000" w:themeColor="text1"/>
          <w:kern w:val="0"/>
          <w:sz w:val="24"/>
          <w:szCs w:val="24"/>
          <w:highlight w:val="none"/>
          <w:u w:val="single"/>
          <w:lang w:val="en-US" w:eastAsia="zh-CN" w:bidi="ar-SA"/>
          <w14:textFill>
            <w14:solidFill>
              <w14:schemeClr w14:val="tx1"/>
            </w14:solidFill>
          </w14:textFill>
        </w:rPr>
        <w:t>“我的钢铁”网湖北武汉市场</w:t>
      </w:r>
      <w:r>
        <w:rPr>
          <w:rFonts w:hint="eastAsia" w:ascii="仿宋_GB2312" w:hAnsi="仿宋_GB2312" w:eastAsia="仿宋_GB2312" w:cs="仿宋_GB2312"/>
          <w:b w:val="0"/>
          <w:bCs w:val="0"/>
          <w:color w:val="000000" w:themeColor="text1"/>
          <w:kern w:val="0"/>
          <w:sz w:val="24"/>
          <w:szCs w:val="24"/>
          <w:highlight w:val="none"/>
          <w:u w:val="single"/>
          <w:lang w:val="en-US" w:eastAsia="zh-CN" w:bidi="ar-SA"/>
          <w14:textFill>
            <w14:solidFill>
              <w14:schemeClr w14:val="tx1"/>
            </w14:solidFill>
          </w14:textFill>
        </w:rPr>
        <w:t>建筑钢材工程采</w:t>
      </w:r>
      <w:r>
        <w:rPr>
          <w:rFonts w:hint="eastAsia" w:ascii="仿宋_GB2312" w:hAnsi="仿宋_GB2312" w:eastAsia="仿宋_GB2312" w:cs="仿宋_GB2312"/>
          <w:color w:val="000000" w:themeColor="text1"/>
          <w:kern w:val="0"/>
          <w:sz w:val="24"/>
          <w:szCs w:val="24"/>
          <w:highlight w:val="none"/>
          <w:u w:val="single"/>
          <w:lang w:val="en-US" w:eastAsia="zh-CN" w:bidi="ar-SA"/>
          <w14:textFill>
            <w14:solidFill>
              <w14:schemeClr w14:val="tx1"/>
            </w14:solidFill>
          </w14:textFill>
        </w:rPr>
        <w:t>购价格行情</w:t>
      </w:r>
      <w:r>
        <w:rPr>
          <w:rFonts w:hint="eastAsia" w:ascii="仿宋_GB2312" w:hAnsi="仿宋_GB2312" w:eastAsia="仿宋_GB2312" w:cs="仿宋_GB2312"/>
          <w:color w:val="000000" w:themeColor="text1"/>
          <w:kern w:val="0"/>
          <w:sz w:val="24"/>
          <w:szCs w:val="24"/>
          <w:highlight w:val="none"/>
          <w:u w:val="none"/>
          <w:lang w:val="en-US" w:eastAsia="zh-CN" w:bidi="ar-SA"/>
          <w14:textFill>
            <w14:solidFill>
              <w14:schemeClr w14:val="tx1"/>
            </w14:solidFill>
          </w14:textFill>
        </w:rPr>
        <w:t>公布的同材质规格、同品牌的网刊价格为基准价；</w:t>
      </w:r>
    </w:p>
    <w:p w14:paraId="108C766A">
      <w:pPr>
        <w:pStyle w:val="14"/>
        <w:keepNext w:val="0"/>
        <w:keepLines w:val="0"/>
        <w:pageBreakBefore w:val="0"/>
        <w:widowControl w:val="0"/>
        <w:numPr>
          <w:ilvl w:val="255"/>
          <w:numId w:val="0"/>
        </w:numPr>
        <w:kinsoku/>
        <w:wordWrap/>
        <w:overflowPunct/>
        <w:topLinePunct w:val="0"/>
        <w:autoSpaceDE w:val="0"/>
        <w:autoSpaceDN w:val="0"/>
        <w:bidi w:val="0"/>
        <w:adjustRightInd w:val="0"/>
        <w:snapToGrid/>
        <w:spacing w:line="400" w:lineRule="atLeast"/>
        <w:ind w:firstLine="480" w:firstLineChars="200"/>
        <w:jc w:val="both"/>
        <w:textAlignment w:val="auto"/>
        <w:outlineLvl w:val="2"/>
        <w:rPr>
          <w:rFonts w:hint="eastAsia" w:ascii="仿宋_GB2312" w:hAnsi="仿宋_GB2312" w:eastAsia="仿宋_GB2312" w:cs="仿宋_GB2312"/>
          <w:color w:val="000000" w:themeColor="text1"/>
          <w:kern w:val="0"/>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u w:val="none"/>
          <w:lang w:val="en-US" w:eastAsia="zh-CN" w:bidi="ar-SA"/>
          <w14:textFill>
            <w14:solidFill>
              <w14:schemeClr w14:val="tx1"/>
            </w14:solidFill>
          </w14:textFill>
        </w:rPr>
        <w:t>货物清单中的</w:t>
      </w:r>
      <w:r>
        <w:rPr>
          <w:rFonts w:hint="default" w:ascii="仿宋_GB2312" w:hAnsi="仿宋_GB2312" w:eastAsia="仿宋_GB2312" w:cs="仿宋_GB2312"/>
          <w:b/>
          <w:bCs/>
          <w:color w:val="000000" w:themeColor="text1"/>
          <w:kern w:val="0"/>
          <w:sz w:val="24"/>
          <w:szCs w:val="24"/>
          <w:highlight w:val="none"/>
          <w:u w:val="none"/>
          <w:lang w:val="en-US" w:eastAsia="zh-CN" w:bidi="ar-SA"/>
          <w14:textFill>
            <w14:solidFill>
              <w14:schemeClr w14:val="tx1"/>
            </w14:solidFill>
          </w14:textFill>
        </w:rPr>
        <w:t>钢绞线</w:t>
      </w:r>
      <w:r>
        <w:rPr>
          <w:rFonts w:hint="eastAsia" w:ascii="仿宋_GB2312" w:hAnsi="仿宋_GB2312" w:eastAsia="仿宋_GB2312" w:cs="仿宋_GB2312"/>
          <w:color w:val="000000" w:themeColor="text1"/>
          <w:kern w:val="0"/>
          <w:sz w:val="24"/>
          <w:szCs w:val="24"/>
          <w:highlight w:val="none"/>
          <w:u w:val="none"/>
          <w:lang w:val="en-US" w:eastAsia="zh-CN" w:bidi="ar-SA"/>
          <w14:textFill>
            <w14:solidFill>
              <w14:schemeClr w14:val="tx1"/>
            </w14:solidFill>
          </w14:textFill>
        </w:rPr>
        <w:t>含税基准价是</w:t>
      </w:r>
      <w:r>
        <w:rPr>
          <w:rFonts w:hint="eastAsia" w:ascii="仿宋_GB2312" w:hAnsi="仿宋_GB2312" w:eastAsia="仿宋_GB2312" w:cs="仿宋_GB2312"/>
          <w:color w:val="000000" w:themeColor="text1"/>
          <w:kern w:val="0"/>
          <w:sz w:val="24"/>
          <w:szCs w:val="24"/>
          <w:highlight w:val="none"/>
          <w:u w:val="single"/>
          <w:lang w:val="en-US" w:eastAsia="zh-CN" w:bidi="ar-SA"/>
          <w14:textFill>
            <w14:solidFill>
              <w14:schemeClr w14:val="tx1"/>
            </w14:solidFill>
          </w14:textFill>
        </w:rPr>
        <w:t>2024年4月7日（双方约定的）“我的钢铁”网湖北武汉市场</w:t>
      </w:r>
      <w:r>
        <w:rPr>
          <w:rFonts w:hint="eastAsia" w:ascii="仿宋_GB2312" w:hAnsi="仿宋_GB2312" w:eastAsia="仿宋_GB2312" w:cs="仿宋_GB2312"/>
          <w:b/>
          <w:bCs/>
          <w:color w:val="000000" w:themeColor="text1"/>
          <w:kern w:val="0"/>
          <w:sz w:val="24"/>
          <w:szCs w:val="24"/>
          <w:highlight w:val="none"/>
          <w:u w:val="single"/>
          <w:lang w:val="en-US" w:eastAsia="zh-CN" w:bidi="ar-SA"/>
          <w14:textFill>
            <w14:solidFill>
              <w14:schemeClr w14:val="tx1"/>
            </w14:solidFill>
          </w14:textFill>
        </w:rPr>
        <w:t>钢绞线</w:t>
      </w:r>
      <w:r>
        <w:rPr>
          <w:rFonts w:hint="eastAsia" w:ascii="仿宋_GB2312" w:hAnsi="仿宋_GB2312" w:eastAsia="仿宋_GB2312" w:cs="仿宋_GB2312"/>
          <w:color w:val="000000" w:themeColor="text1"/>
          <w:kern w:val="0"/>
          <w:sz w:val="24"/>
          <w:szCs w:val="24"/>
          <w:highlight w:val="none"/>
          <w:u w:val="single"/>
          <w:lang w:val="en-US" w:eastAsia="zh-CN" w:bidi="ar-SA"/>
          <w14:textFill>
            <w14:solidFill>
              <w14:schemeClr w14:val="tx1"/>
            </w14:solidFill>
          </w14:textFill>
        </w:rPr>
        <w:t>价格行情，天津银龙品牌</w:t>
      </w:r>
      <w:r>
        <w:rPr>
          <w:rFonts w:hint="eastAsia" w:ascii="仿宋_GB2312" w:hAnsi="仿宋_GB2312" w:eastAsia="仿宋_GB2312" w:cs="仿宋_GB2312"/>
          <w:color w:val="000000" w:themeColor="text1"/>
          <w:kern w:val="0"/>
          <w:sz w:val="24"/>
          <w:szCs w:val="24"/>
          <w:highlight w:val="none"/>
          <w:u w:val="none"/>
          <w:lang w:val="en-US" w:eastAsia="zh-CN" w:bidi="ar-SA"/>
          <w14:textFill>
            <w14:solidFill>
              <w14:schemeClr w14:val="tx1"/>
            </w14:solidFill>
          </w14:textFill>
        </w:rPr>
        <w:t>中对应同材质规格型号第一次公布的价格，此价格只用来暂估合同总额，实际结算价格以供应计划中双方约定的到货当日</w:t>
      </w:r>
      <w:r>
        <w:rPr>
          <w:rFonts w:hint="eastAsia" w:ascii="仿宋_GB2312" w:hAnsi="仿宋_GB2312" w:eastAsia="仿宋_GB2312" w:cs="仿宋_GB2312"/>
          <w:color w:val="000000" w:themeColor="text1"/>
          <w:kern w:val="0"/>
          <w:sz w:val="24"/>
          <w:szCs w:val="24"/>
          <w:highlight w:val="none"/>
          <w:u w:val="single"/>
          <w:lang w:val="en-US" w:eastAsia="zh-CN" w:bidi="ar-SA"/>
          <w14:textFill>
            <w14:solidFill>
              <w14:schemeClr w14:val="tx1"/>
            </w14:solidFill>
          </w14:textFill>
        </w:rPr>
        <w:t>“我的钢铁”网湖北武汉市场</w:t>
      </w:r>
      <w:r>
        <w:rPr>
          <w:rFonts w:hint="eastAsia" w:ascii="仿宋_GB2312" w:hAnsi="仿宋_GB2312" w:eastAsia="仿宋_GB2312" w:cs="仿宋_GB2312"/>
          <w:b/>
          <w:bCs/>
          <w:color w:val="000000" w:themeColor="text1"/>
          <w:kern w:val="0"/>
          <w:sz w:val="24"/>
          <w:szCs w:val="24"/>
          <w:highlight w:val="none"/>
          <w:u w:val="single"/>
          <w:lang w:val="en-US" w:eastAsia="zh-CN" w:bidi="ar-SA"/>
          <w14:textFill>
            <w14:solidFill>
              <w14:schemeClr w14:val="tx1"/>
            </w14:solidFill>
          </w14:textFill>
        </w:rPr>
        <w:t>钢绞线</w:t>
      </w:r>
      <w:r>
        <w:rPr>
          <w:rFonts w:hint="eastAsia" w:ascii="仿宋_GB2312" w:hAnsi="仿宋_GB2312" w:eastAsia="仿宋_GB2312" w:cs="仿宋_GB2312"/>
          <w:color w:val="000000" w:themeColor="text1"/>
          <w:kern w:val="0"/>
          <w:sz w:val="24"/>
          <w:szCs w:val="24"/>
          <w:highlight w:val="none"/>
          <w:u w:val="single"/>
          <w:lang w:val="en-US" w:eastAsia="zh-CN" w:bidi="ar-SA"/>
          <w14:textFill>
            <w14:solidFill>
              <w14:schemeClr w14:val="tx1"/>
            </w14:solidFill>
          </w14:textFill>
        </w:rPr>
        <w:t>价格行情</w:t>
      </w:r>
      <w:r>
        <w:rPr>
          <w:rFonts w:hint="eastAsia" w:ascii="仿宋_GB2312" w:hAnsi="仿宋_GB2312" w:eastAsia="仿宋_GB2312" w:cs="仿宋_GB2312"/>
          <w:color w:val="000000" w:themeColor="text1"/>
          <w:kern w:val="0"/>
          <w:sz w:val="24"/>
          <w:szCs w:val="24"/>
          <w:highlight w:val="none"/>
          <w:u w:val="none"/>
          <w:lang w:val="en-US" w:eastAsia="zh-CN" w:bidi="ar-SA"/>
          <w14:textFill>
            <w14:solidFill>
              <w14:schemeClr w14:val="tx1"/>
            </w14:solidFill>
          </w14:textFill>
        </w:rPr>
        <w:t>公布的同材质规格、同品牌的网刊价格为基准价；</w:t>
      </w:r>
    </w:p>
    <w:p w14:paraId="163F35B5">
      <w:pPr>
        <w:pStyle w:val="14"/>
        <w:keepNext w:val="0"/>
        <w:keepLines w:val="0"/>
        <w:pageBreakBefore w:val="0"/>
        <w:widowControl w:val="0"/>
        <w:numPr>
          <w:ilvl w:val="255"/>
          <w:numId w:val="0"/>
        </w:numPr>
        <w:kinsoku/>
        <w:wordWrap/>
        <w:overflowPunct/>
        <w:topLinePunct w:val="0"/>
        <w:autoSpaceDE w:val="0"/>
        <w:autoSpaceDN w:val="0"/>
        <w:bidi w:val="0"/>
        <w:adjustRightInd w:val="0"/>
        <w:snapToGrid/>
        <w:spacing w:line="400" w:lineRule="atLeast"/>
        <w:ind w:firstLine="480" w:firstLineChars="200"/>
        <w:jc w:val="both"/>
        <w:textAlignment w:val="auto"/>
        <w:outlineLvl w:val="2"/>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u w:val="none"/>
          <w:lang w:val="en-US" w:eastAsia="zh-CN" w:bidi="ar-SA"/>
          <w14:textFill>
            <w14:solidFill>
              <w14:schemeClr w14:val="tx1"/>
            </w14:solidFill>
          </w14:textFill>
        </w:rPr>
        <w:t>货物清单中的</w:t>
      </w:r>
      <w:r>
        <w:rPr>
          <w:rFonts w:hint="eastAsia" w:ascii="仿宋_GB2312" w:hAnsi="仿宋_GB2312" w:eastAsia="仿宋_GB2312" w:cs="仿宋_GB2312"/>
          <w:b/>
          <w:bCs/>
          <w:color w:val="000000" w:themeColor="text1"/>
          <w:kern w:val="0"/>
          <w:sz w:val="24"/>
          <w:szCs w:val="24"/>
          <w:highlight w:val="none"/>
          <w:u w:val="none"/>
          <w:lang w:val="en-US" w:eastAsia="zh-CN" w:bidi="ar-SA"/>
          <w14:textFill>
            <w14:solidFill>
              <w14:schemeClr w14:val="tx1"/>
            </w14:solidFill>
          </w14:textFill>
        </w:rPr>
        <w:t>角钢</w:t>
      </w:r>
      <w:r>
        <w:rPr>
          <w:rFonts w:hint="eastAsia" w:ascii="仿宋_GB2312" w:hAnsi="仿宋_GB2312" w:eastAsia="仿宋_GB2312" w:cs="仿宋_GB2312"/>
          <w:color w:val="000000" w:themeColor="text1"/>
          <w:kern w:val="0"/>
          <w:sz w:val="24"/>
          <w:szCs w:val="24"/>
          <w:highlight w:val="none"/>
          <w:u w:val="none"/>
          <w:lang w:val="en-US" w:eastAsia="zh-CN" w:bidi="ar-SA"/>
          <w14:textFill>
            <w14:solidFill>
              <w14:schemeClr w14:val="tx1"/>
            </w14:solidFill>
          </w14:textFill>
        </w:rPr>
        <w:t>含税基准价是</w:t>
      </w:r>
      <w:r>
        <w:rPr>
          <w:rFonts w:hint="eastAsia" w:ascii="仿宋_GB2312" w:hAnsi="仿宋_GB2312" w:eastAsia="仿宋_GB2312" w:cs="仿宋_GB2312"/>
          <w:color w:val="000000" w:themeColor="text1"/>
          <w:kern w:val="0"/>
          <w:sz w:val="24"/>
          <w:szCs w:val="24"/>
          <w:highlight w:val="none"/>
          <w:u w:val="single"/>
          <w:lang w:val="en-US" w:eastAsia="zh-CN" w:bidi="ar-SA"/>
          <w14:textFill>
            <w14:solidFill>
              <w14:schemeClr w14:val="tx1"/>
            </w14:solidFill>
          </w14:textFill>
        </w:rPr>
        <w:t>2024年4月7日（双方约定的）“我的钢铁”网湖北武汉市场</w:t>
      </w:r>
      <w:r>
        <w:rPr>
          <w:rFonts w:hint="eastAsia" w:ascii="仿宋_GB2312" w:hAnsi="仿宋_GB2312" w:eastAsia="仿宋_GB2312" w:cs="仿宋_GB2312"/>
          <w:b/>
          <w:bCs/>
          <w:color w:val="000000" w:themeColor="text1"/>
          <w:kern w:val="0"/>
          <w:sz w:val="24"/>
          <w:szCs w:val="24"/>
          <w:highlight w:val="none"/>
          <w:u w:val="single"/>
          <w:lang w:val="en-US" w:eastAsia="zh-CN" w:bidi="ar-SA"/>
          <w14:textFill>
            <w14:solidFill>
              <w14:schemeClr w14:val="tx1"/>
            </w14:solidFill>
          </w14:textFill>
        </w:rPr>
        <w:t>工角槽钢</w:t>
      </w:r>
      <w:r>
        <w:rPr>
          <w:rFonts w:hint="eastAsia" w:ascii="仿宋_GB2312" w:hAnsi="仿宋_GB2312" w:eastAsia="仿宋_GB2312" w:cs="仿宋_GB2312"/>
          <w:color w:val="000000" w:themeColor="text1"/>
          <w:kern w:val="0"/>
          <w:sz w:val="24"/>
          <w:szCs w:val="24"/>
          <w:highlight w:val="none"/>
          <w:u w:val="single"/>
          <w:lang w:val="en-US" w:eastAsia="zh-CN" w:bidi="ar-SA"/>
          <w14:textFill>
            <w14:solidFill>
              <w14:schemeClr w14:val="tx1"/>
            </w14:solidFill>
          </w14:textFill>
        </w:rPr>
        <w:t>价格行情，</w:t>
      </w:r>
      <w:r>
        <w:rPr>
          <w:rFonts w:hint="eastAsia" w:ascii="仿宋_GB2312" w:hAnsi="仿宋_GB2312" w:eastAsia="仿宋_GB2312" w:cs="仿宋_GB2312"/>
          <w:b w:val="0"/>
          <w:bCs w:val="0"/>
          <w:color w:val="000000" w:themeColor="text1"/>
          <w:kern w:val="0"/>
          <w:sz w:val="24"/>
          <w:szCs w:val="24"/>
          <w:highlight w:val="none"/>
          <w:u w:val="single"/>
          <w:lang w:val="en-US" w:eastAsia="zh-CN" w:bidi="ar-SA"/>
          <w14:textFill>
            <w14:solidFill>
              <w14:schemeClr w14:val="tx1"/>
            </w14:solidFill>
          </w14:textFill>
        </w:rPr>
        <w:t>山西晋南</w:t>
      </w:r>
      <w:r>
        <w:rPr>
          <w:rFonts w:hint="eastAsia" w:ascii="仿宋_GB2312" w:hAnsi="仿宋_GB2312" w:eastAsia="仿宋_GB2312" w:cs="仿宋_GB2312"/>
          <w:color w:val="000000" w:themeColor="text1"/>
          <w:kern w:val="0"/>
          <w:sz w:val="24"/>
          <w:szCs w:val="24"/>
          <w:highlight w:val="none"/>
          <w:u w:val="single"/>
          <w:lang w:val="en-US" w:eastAsia="zh-CN" w:bidi="ar-SA"/>
          <w14:textFill>
            <w14:solidFill>
              <w14:schemeClr w14:val="tx1"/>
            </w14:solidFill>
          </w14:textFill>
        </w:rPr>
        <w:t>品牌</w:t>
      </w:r>
      <w:r>
        <w:rPr>
          <w:rFonts w:hint="eastAsia" w:ascii="仿宋_GB2312" w:hAnsi="仿宋_GB2312" w:eastAsia="仿宋_GB2312" w:cs="仿宋_GB2312"/>
          <w:color w:val="000000" w:themeColor="text1"/>
          <w:kern w:val="0"/>
          <w:sz w:val="24"/>
          <w:szCs w:val="24"/>
          <w:highlight w:val="none"/>
          <w:u w:val="none"/>
          <w:lang w:val="en-US" w:eastAsia="zh-CN" w:bidi="ar-SA"/>
          <w14:textFill>
            <w14:solidFill>
              <w14:schemeClr w14:val="tx1"/>
            </w14:solidFill>
          </w14:textFill>
        </w:rPr>
        <w:t>中对应同材质规格型号第一次公布的价格，此价格只用来暂估合同总额，实际结算价格以供应计划中双方约定的到货当日“我的钢铁”网湖北武汉市场</w:t>
      </w:r>
      <w:r>
        <w:rPr>
          <w:rFonts w:hint="eastAsia" w:ascii="仿宋_GB2312" w:hAnsi="仿宋_GB2312" w:eastAsia="仿宋_GB2312" w:cs="仿宋_GB2312"/>
          <w:b/>
          <w:bCs/>
          <w:color w:val="000000" w:themeColor="text1"/>
          <w:kern w:val="0"/>
          <w:sz w:val="24"/>
          <w:szCs w:val="24"/>
          <w:highlight w:val="none"/>
          <w:u w:val="none"/>
          <w:lang w:val="en-US" w:eastAsia="zh-CN" w:bidi="ar-SA"/>
          <w14:textFill>
            <w14:solidFill>
              <w14:schemeClr w14:val="tx1"/>
            </w14:solidFill>
          </w14:textFill>
        </w:rPr>
        <w:t>工角槽钢</w:t>
      </w:r>
      <w:r>
        <w:rPr>
          <w:rFonts w:hint="eastAsia" w:ascii="仿宋_GB2312" w:hAnsi="仿宋_GB2312" w:eastAsia="仿宋_GB2312" w:cs="仿宋_GB2312"/>
          <w:color w:val="000000" w:themeColor="text1"/>
          <w:kern w:val="0"/>
          <w:sz w:val="24"/>
          <w:szCs w:val="24"/>
          <w:highlight w:val="none"/>
          <w:u w:val="none"/>
          <w:lang w:val="en-US" w:eastAsia="zh-CN" w:bidi="ar-SA"/>
          <w14:textFill>
            <w14:solidFill>
              <w14:schemeClr w14:val="tx1"/>
            </w14:solidFill>
          </w14:textFill>
        </w:rPr>
        <w:t>价格行情公布的同材质规格、同品牌的网刊价格为基准价；</w:t>
      </w:r>
      <w:permEnd w:id="22"/>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当一天中有多次挂牌价时，采用当日平均价；若当日没有网价时，采用该日前最近一日的最后一次挂牌价与该日后最近一日的第一次挂牌价的平均价为准。若乙方产品超过约定到货当日后送达，送达当日网价高于约定到货当日网价的，按约定到货当日网价执行，送达当日网价低于约定到货当日网价的，按送达当日网价执行。若供应的钢筋品牌没有发布相对应同品牌同规格同材质网价时，则以对应同地区同材质钢筋行情中，同规格型号最低价为基准价。</w:t>
      </w:r>
    </w:p>
    <w:p w14:paraId="1837C70B">
      <w:pPr>
        <w:spacing w:line="360" w:lineRule="auto"/>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附加费（P2）：乙方综合考虑了出库、运输、装车、卸车、增值税金、利润等费用。</w:t>
      </w:r>
    </w:p>
    <w:p w14:paraId="27BD615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480" w:firstLineChars="200"/>
        <w:rPr>
          <w:rFonts w:hint="default"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其他：</w:t>
      </w:r>
      <w:permStart w:id="23" w:edGrp="everyone"/>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 </w:t>
      </w:r>
    </w:p>
    <w:permEnd w:id="23"/>
    <w:p w14:paraId="30627960">
      <w:pPr>
        <w:spacing w:line="360" w:lineRule="auto"/>
        <w:ind w:firstLine="480" w:firstLineChars="200"/>
        <w:rPr>
          <w:rFonts w:hint="default"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pPr>
    </w:p>
    <w:p w14:paraId="684B2650">
      <w:pPr>
        <w:autoSpaceDE w:val="0"/>
        <w:autoSpaceDN w:val="0"/>
        <w:adjustRightInd w:val="0"/>
        <w:spacing w:line="400" w:lineRule="atLeast"/>
        <w:ind w:firstLine="482" w:firstLineChars="200"/>
        <w:rPr>
          <w:rFonts w:hint="default"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1.2.3合同价格调整：</w:t>
      </w: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若甲方年度集采或相关同区域最新集采定标发布后，根据定标执行日期以及框架协议价格调整合同单价，合同暂定总价不调整。</w:t>
      </w:r>
    </w:p>
    <w:bookmarkEnd w:id="12"/>
    <w:p w14:paraId="5C8733FF">
      <w:pPr>
        <w:autoSpaceDE w:val="0"/>
        <w:autoSpaceDN w:val="0"/>
        <w:adjustRightInd w:val="0"/>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钢材品牌：</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所供钢材生产厂家品牌要求如下：</w:t>
      </w:r>
      <w:permStart w:id="2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b/>
          <w:bCs/>
          <w:color w:val="FF0000"/>
          <w:kern w:val="0"/>
          <w:sz w:val="24"/>
          <w:szCs w:val="24"/>
          <w:highlight w:val="none"/>
          <w:u w:val="single"/>
          <w:lang w:val="en-US" w:eastAsia="zh-CN"/>
        </w:rPr>
        <w:t>钢筋：宝武鄂钢、宝武武钢、安钢、马钢；钢绞线：天津银龙；角钢：山西晋南、安钢</w:t>
      </w:r>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如乙方在实际供货过程中，因厂家品牌货源原因需供应本项目指定厂家之外其他钢厂的产品时，需提前向甲方提出增加品牌的申请，并提供厂家介绍、生产企业资质证书、产品检验报告、复检资料等有效材料，经甲方书面批准同意后方可供应乙方申请增加的品牌，否则不予验收。</w:t>
      </w:r>
    </w:p>
    <w:p w14:paraId="350B53C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482" w:firstLineChars="200"/>
        <w:rPr>
          <w:rFonts w:hint="default"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其他</w:t>
      </w:r>
      <w:r>
        <w:rPr>
          <w:rFonts w:hint="eastAsia" w:ascii="仿宋_GB2312" w:hAnsi="仿宋_GB2312" w:eastAsia="仿宋_GB2312" w:cs="仿宋_GB2312"/>
          <w:color w:val="000000" w:themeColor="text1"/>
          <w:highlight w:val="none"/>
          <w14:textFill>
            <w14:solidFill>
              <w14:schemeClr w14:val="tx1"/>
            </w14:solidFill>
          </w14:textFill>
        </w:rPr>
        <w:t>：</w:t>
      </w:r>
      <w:permStart w:id="2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auto"/>
          <w:kern w:val="0"/>
          <w:sz w:val="24"/>
          <w:szCs w:val="24"/>
          <w:highlight w:val="none"/>
          <w:lang w:val="en-US" w:eastAsia="zh-CN" w:bidi="ar-SA"/>
        </w:rPr>
        <w:t>/</w:t>
      </w:r>
    </w:p>
    <w:permEnd w:id="25"/>
    <w:p w14:paraId="2DD1B2A7">
      <w:pPr>
        <w:pStyle w:val="14"/>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p>
    <w:p w14:paraId="585D54C8">
      <w:pPr>
        <w:pStyle w:val="14"/>
        <w:numPr>
          <w:ilvl w:val="0"/>
          <w:numId w:val="0"/>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46F63123">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4.1</w:t>
      </w:r>
      <w:r>
        <w:rPr>
          <w:rFonts w:hint="eastAsia" w:ascii="仿宋_GB2312" w:hAnsi="仿宋_GB2312" w:eastAsia="仿宋_GB2312" w:cs="仿宋_GB2312"/>
          <w:color w:val="000000" w:themeColor="text1"/>
          <w:highlight w:val="none"/>
          <w14:textFill>
            <w14:solidFill>
              <w14:schemeClr w14:val="tx1"/>
            </w14:solidFill>
          </w14:textFill>
        </w:rPr>
        <w:t>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bookmarkEnd w:id="10"/>
      <w:r>
        <w:rPr>
          <w:rFonts w:hint="eastAsia" w:ascii="仿宋_GB2312" w:hAnsi="仿宋_GB2312" w:eastAsia="仿宋_GB2312" w:cs="仿宋_GB2312"/>
          <w:b/>
          <w:bCs/>
          <w:color w:val="000000" w:themeColor="text1"/>
          <w:highlight w:val="none"/>
          <w14:textFill>
            <w14:solidFill>
              <w14:schemeClr w14:val="tx1"/>
            </w14:solidFill>
          </w14:textFill>
        </w:rPr>
        <w:t xml:space="preserve">   </w:t>
      </w:r>
    </w:p>
    <w:p w14:paraId="2788F354">
      <w:pPr>
        <w:pStyle w:val="14"/>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3" w:name="_Toc15703"/>
      <w:bookmarkStart w:id="14" w:name="_Toc13168"/>
      <w:bookmarkStart w:id="15" w:name="_Toc23444"/>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13"/>
      <w:bookmarkEnd w:id="14"/>
      <w:bookmarkEnd w:id="15"/>
    </w:p>
    <w:p w14:paraId="589C5824">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2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26"/>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1F2140E6">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4905E384">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67A6C896">
      <w:pPr>
        <w:pStyle w:val="14"/>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permStart w:id="2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5</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27"/>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4CE3A778">
      <w:pPr>
        <w:pStyle w:val="14"/>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28" w:edGrp="everyone"/>
      <w:r>
        <w:rPr>
          <w:rFonts w:hint="eastAsia" w:ascii="仿宋_GB2312" w:hAnsi="仿宋_GB2312" w:eastAsia="仿宋_GB2312" w:cs="仿宋_GB2312"/>
          <w:color w:val="000000" w:themeColor="text1"/>
          <w:highlight w:val="none"/>
          <w:u w:val="single"/>
          <w:lang w:eastAsia="zh-CN"/>
          <w14:textFill>
            <w14:solidFill>
              <w14:schemeClr w14:val="tx1"/>
            </w14:solidFill>
          </w14:textFill>
        </w:rPr>
        <w:t>项目部指定地点</w:t>
      </w:r>
      <w:r>
        <w:rPr>
          <w:rFonts w:hint="eastAsia" w:ascii="仿宋_GB2312" w:hAnsi="仿宋_GB2312" w:eastAsia="仿宋_GB2312" w:cs="仿宋_GB2312"/>
          <w:color w:val="FF0000"/>
          <w:highlight w:val="none"/>
          <w:u w:val="single"/>
          <w:lang w:eastAsia="zh-CN"/>
        </w:rPr>
        <w:t>（</w:t>
      </w:r>
      <w:r>
        <w:rPr>
          <w:rFonts w:hint="eastAsia" w:ascii="仿宋_GB2312" w:hAnsi="仿宋_GB2312" w:eastAsia="仿宋_GB2312" w:cs="仿宋_GB2312"/>
          <w:color w:val="FF0000"/>
          <w:highlight w:val="none"/>
          <w:u w:val="single"/>
          <w:lang w:val="en-US" w:eastAsia="zh-CN"/>
        </w:rPr>
        <w:t>乙方运输车辆可以到达的位置）</w:t>
      </w:r>
      <w:permEnd w:id="28"/>
    </w:p>
    <w:p w14:paraId="12B9E77F">
      <w:pPr>
        <w:pStyle w:val="14"/>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permStart w:id="29" w:edGrp="everyone"/>
      <w:r>
        <w:rPr>
          <w:rFonts w:hint="eastAsia" w:ascii="仿宋_GB2312" w:hAnsi="仿宋_GB2312" w:eastAsia="仿宋_GB2312" w:cs="仿宋_GB2312"/>
          <w:b w:val="0"/>
          <w:bCs w:val="0"/>
          <w:color w:val="000000" w:themeColor="text1"/>
          <w:highlight w:val="none"/>
          <w:u w:val="single"/>
          <w:lang w:eastAsia="zh-CN"/>
          <w14:textFill>
            <w14:solidFill>
              <w14:schemeClr w14:val="tx1"/>
            </w14:solidFill>
          </w14:textFill>
        </w:rPr>
        <w:t>钢筋、</w:t>
      </w:r>
      <w:r>
        <w:rPr>
          <w:rFonts w:hint="default" w:ascii="仿宋_GB2312" w:hAnsi="仿宋_GB2312" w:eastAsia="仿宋_GB2312" w:cs="仿宋_GB2312"/>
          <w:b w:val="0"/>
          <w:bCs w:val="0"/>
          <w:color w:val="000000" w:themeColor="text1"/>
          <w:highlight w:val="none"/>
          <w:u w:val="single"/>
          <w:lang w:val="en-US" w:eastAsia="zh-CN"/>
          <w14:textFill>
            <w14:solidFill>
              <w14:schemeClr w14:val="tx1"/>
            </w14:solidFill>
          </w14:textFill>
        </w:rPr>
        <w:t>钢绞线</w:t>
      </w:r>
      <w:r>
        <w:rPr>
          <w:rFonts w:hint="eastAsia" w:ascii="仿宋_GB2312" w:hAnsi="仿宋_GB2312" w:eastAsia="仿宋_GB2312" w:cs="仿宋_GB2312"/>
          <w:b w:val="0"/>
          <w:bCs w:val="0"/>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val="0"/>
          <w:bCs w:val="0"/>
          <w:color w:val="000000" w:themeColor="text1"/>
          <w:highlight w:val="none"/>
          <w:u w:val="single"/>
          <w:lang w:val="en-US" w:eastAsia="zh-CN"/>
          <w14:textFill>
            <w14:solidFill>
              <w14:schemeClr w14:val="tx1"/>
            </w14:solidFill>
          </w14:textFill>
        </w:rPr>
        <w:t>角钢</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29"/>
      <w:r>
        <w:rPr>
          <w:rFonts w:hint="eastAsia" w:ascii="仿宋_GB2312" w:hAnsi="仿宋_GB2312" w:eastAsia="仿宋_GB2312" w:cs="仿宋_GB2312"/>
          <w:color w:val="000000" w:themeColor="text1"/>
          <w:highlight w:val="none"/>
          <w14:textFill>
            <w14:solidFill>
              <w14:schemeClr w14:val="tx1"/>
            </w14:solidFill>
          </w14:textFill>
        </w:rPr>
        <w:t>。</w:t>
      </w:r>
    </w:p>
    <w:p w14:paraId="4FAB8EC4">
      <w:pPr>
        <w:pStyle w:val="14"/>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51CB9FDE">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30" w:edGrp="everyone"/>
      <w:r>
        <w:rPr>
          <w:rFonts w:hint="eastAsia" w:ascii="仿宋_GB2312" w:hAnsi="仿宋_GB2312" w:eastAsia="仿宋_GB2312" w:cs="仿宋_GB2312"/>
          <w:color w:val="000000" w:themeColor="text1"/>
          <w:kern w:val="0"/>
          <w:sz w:val="24"/>
          <w:szCs w:val="24"/>
          <w:u w:val="single"/>
          <w14:textFill>
            <w14:solidFill>
              <w14:schemeClr w14:val="tx1"/>
            </w14:solidFill>
          </w14:textFill>
        </w:rPr>
        <w:t>荣庆江</w:t>
      </w:r>
      <w:permEnd w:id="3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31" w:edGrp="everyone"/>
      <w:r>
        <w:rPr>
          <w:rFonts w:ascii="仿宋_GB2312" w:hAnsi="仿宋_GB2312" w:eastAsia="仿宋_GB2312" w:cs="仿宋_GB2312"/>
          <w:color w:val="000000" w:themeColor="text1"/>
          <w:kern w:val="0"/>
          <w:sz w:val="24"/>
          <w:szCs w:val="24"/>
          <w:u w:val="single"/>
          <w14:textFill>
            <w14:solidFill>
              <w14:schemeClr w14:val="tx1"/>
            </w14:solidFill>
          </w14:textFill>
        </w:rPr>
        <w:t>18231156883</w:t>
      </w:r>
      <w:permEnd w:id="3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32"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3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44079FFD">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33" w:edGrp="everyone"/>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ermEnd w:id="3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34" w:edGrp="everyone"/>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ermEnd w:id="3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35"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3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564EA767">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6"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6"/>
      <w:r>
        <w:rPr>
          <w:rFonts w:hint="eastAsia" w:ascii="仿宋_GB2312" w:hAnsi="仿宋_GB2312" w:eastAsia="仿宋_GB2312" w:cs="仿宋_GB2312"/>
          <w:color w:val="000000" w:themeColor="text1"/>
          <w:highlight w:val="none"/>
          <w14:textFill>
            <w14:solidFill>
              <w14:schemeClr w14:val="tx1"/>
            </w14:solidFill>
          </w14:textFill>
        </w:rPr>
        <w:t>。</w:t>
      </w:r>
    </w:p>
    <w:p w14:paraId="66230341">
      <w:pPr>
        <w:pStyle w:val="14"/>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0A38A354">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6ED540CF">
      <w:pPr>
        <w:pStyle w:val="14"/>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建设单位及甲方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7"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7"/>
      <w:r>
        <w:rPr>
          <w:rFonts w:hint="eastAsia" w:ascii="仿宋_GB2312" w:hAnsi="仿宋_GB2312" w:eastAsia="仿宋_GB2312" w:cs="仿宋_GB2312"/>
          <w:b/>
          <w:bCs/>
          <w:color w:val="000000" w:themeColor="text1"/>
          <w:highlight w:val="none"/>
          <w14:textFill>
            <w14:solidFill>
              <w14:schemeClr w14:val="tx1"/>
            </w14:solidFill>
          </w14:textFill>
        </w:rPr>
        <w:t>。</w:t>
      </w:r>
    </w:p>
    <w:p w14:paraId="66E4146F">
      <w:pPr>
        <w:pStyle w:val="14"/>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1F7AD4AF">
      <w:pPr>
        <w:pStyle w:val="14"/>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3A5CEF4D">
      <w:pPr>
        <w:pStyle w:val="14"/>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606D0F77">
      <w:pPr>
        <w:pStyle w:val="14"/>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1FB97497">
      <w:pPr>
        <w:pStyle w:val="14"/>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3D3AC423">
      <w:pPr>
        <w:pStyle w:val="14"/>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274E1CC8">
      <w:pPr>
        <w:pStyle w:val="14"/>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064D6560">
      <w:pPr>
        <w:pStyle w:val="14"/>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7E0B2183">
      <w:pPr>
        <w:pStyle w:val="14"/>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7、货物包装：</w:t>
      </w:r>
    </w:p>
    <w:p w14:paraId="071B04B0">
      <w:pPr>
        <w:spacing w:line="400" w:lineRule="atLeast"/>
        <w:ind w:firstLine="482" w:firstLineChars="2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7.1包装标准：</w:t>
      </w:r>
      <w:r>
        <w:rPr>
          <w:rFonts w:hint="eastAsia" w:ascii="仿宋_GB2312" w:hAnsi="仿宋_GB2312" w:eastAsia="仿宋_GB2312" w:cs="仿宋_GB2312"/>
          <w:color w:val="auto"/>
          <w:sz w:val="24"/>
          <w:szCs w:val="24"/>
          <w:highlight w:val="none"/>
        </w:rPr>
        <w:t>乙方按照国家或业务主管部门的技术规定执行（标准代号、标准编号及标准名称为</w:t>
      </w:r>
      <w:permStart w:id="36" w:edGrp="everyone"/>
      <w:r>
        <w:rPr>
          <w:rFonts w:hint="eastAsia" w:ascii="仿宋_GB2312" w:hAnsi="仿宋_GB2312" w:eastAsia="仿宋_GB2312" w:cs="仿宋_GB2312"/>
          <w:color w:val="auto"/>
          <w:sz w:val="24"/>
          <w:szCs w:val="24"/>
          <w:highlight w:val="none"/>
          <w:u w:val="single"/>
        </w:rPr>
        <w:t xml:space="preserve"> / </w:t>
      </w:r>
      <w:permEnd w:id="36"/>
      <w:r>
        <w:rPr>
          <w:rFonts w:hint="eastAsia" w:ascii="仿宋_GB2312" w:hAnsi="仿宋_GB2312" w:eastAsia="仿宋_GB2312" w:cs="仿宋_GB2312"/>
          <w:color w:val="auto"/>
          <w:sz w:val="24"/>
          <w:szCs w:val="24"/>
          <w:highlight w:val="none"/>
        </w:rPr>
        <w:t>）；没有上述标准的，或虽有上述标准，但甲方对包装有特殊要求，按如下约定执行：</w:t>
      </w:r>
      <w:permStart w:id="37" w:edGrp="everyone"/>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w:t>
      </w:r>
      <w:r>
        <w:rPr>
          <w:rFonts w:hint="eastAsia" w:ascii="仿宋_GB2312" w:hAnsi="仿宋_GB2312" w:eastAsia="仿宋_GB2312" w:cs="仿宋_GB2312"/>
          <w:color w:val="auto"/>
          <w:sz w:val="24"/>
          <w:szCs w:val="24"/>
          <w:highlight w:val="none"/>
          <w:u w:val="single"/>
        </w:rPr>
        <w:t xml:space="preserve"> </w:t>
      </w:r>
      <w:permEnd w:id="37"/>
      <w:r>
        <w:rPr>
          <w:rFonts w:hint="eastAsia" w:ascii="仿宋_GB2312" w:hAnsi="仿宋_GB2312" w:eastAsia="仿宋_GB2312" w:cs="仿宋_GB2312"/>
          <w:color w:val="auto"/>
          <w:sz w:val="24"/>
          <w:szCs w:val="24"/>
          <w:highlight w:val="none"/>
        </w:rPr>
        <w:t>。</w:t>
      </w:r>
    </w:p>
    <w:p w14:paraId="0D1B9F84">
      <w:pPr>
        <w:pStyle w:val="14"/>
        <w:spacing w:line="400" w:lineRule="atLeast"/>
        <w:ind w:firstLine="48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7.2包装回收：</w:t>
      </w:r>
      <w:permStart w:id="38" w:edGrp="everyone"/>
      <w:r>
        <w:rPr>
          <w:rFonts w:hint="eastAsia" w:ascii="仿宋_GB2312" w:hAnsi="仿宋_GB2312" w:eastAsia="仿宋_GB2312" w:cs="仿宋_GB2312"/>
          <w:b/>
          <w:bCs/>
          <w:color w:val="auto"/>
          <w:highlight w:val="none"/>
          <w:lang w:val="en-US" w:eastAsia="zh-CN"/>
        </w:rPr>
        <w:t xml:space="preserve"> </w:t>
      </w:r>
      <w:r>
        <w:rPr>
          <w:rFonts w:hint="eastAsia" w:ascii="仿宋_GB2312" w:hAnsi="仿宋_GB2312" w:eastAsia="仿宋_GB2312" w:cs="仿宋_GB2312"/>
          <w:color w:val="auto"/>
          <w:highlight w:val="none"/>
          <w:u w:val="single"/>
        </w:rPr>
        <w:t>乙方无特别注明视为无包装物回收，有包装物回收时乙方应在收到甲方通知7天内完成包装回收</w:t>
      </w:r>
      <w:permEnd w:id="38"/>
      <w:r>
        <w:rPr>
          <w:rFonts w:hint="eastAsia" w:ascii="仿宋_GB2312" w:hAnsi="仿宋_GB2312" w:eastAsia="仿宋_GB2312" w:cs="仿宋_GB2312"/>
          <w:color w:val="auto"/>
          <w:highlight w:val="none"/>
          <w:u w:val="single"/>
        </w:rPr>
        <w:t>。</w:t>
      </w:r>
    </w:p>
    <w:p w14:paraId="39AFD57A">
      <w:pPr>
        <w:pStyle w:val="14"/>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8、安装要求：</w:t>
      </w:r>
      <w:r>
        <w:rPr>
          <w:rFonts w:hint="eastAsia" w:ascii="仿宋_GB2312" w:hAnsi="仿宋_GB2312" w:eastAsia="仿宋_GB2312" w:cs="仿宋_GB2312"/>
          <w:color w:val="auto"/>
          <w:highlight w:val="none"/>
        </w:rPr>
        <w:t>若货物附带安装工作内容，单价已综合考虑不另计价，具体安装内容及要求如下：</w:t>
      </w:r>
      <w:permStart w:id="39" w:edGrp="everyone"/>
      <w:r>
        <w:rPr>
          <w:rFonts w:hint="eastAsia" w:ascii="仿宋_GB2312" w:hAnsi="仿宋_GB2312" w:eastAsia="仿宋_GB2312" w:cs="仿宋_GB2312"/>
          <w:color w:val="auto"/>
          <w:highlight w:val="none"/>
          <w:u w:val="single"/>
        </w:rPr>
        <w:t xml:space="preserve"> / </w:t>
      </w:r>
      <w:permEnd w:id="39"/>
      <w:r>
        <w:rPr>
          <w:rFonts w:hint="eastAsia" w:ascii="仿宋_GB2312" w:hAnsi="仿宋_GB2312" w:eastAsia="仿宋_GB2312" w:cs="仿宋_GB2312"/>
          <w:color w:val="auto"/>
          <w:highlight w:val="none"/>
        </w:rPr>
        <w:t>。</w:t>
      </w:r>
    </w:p>
    <w:p w14:paraId="7819D147">
      <w:pPr>
        <w:pStyle w:val="14"/>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9、货物意外灭失风险：</w:t>
      </w:r>
      <w:r>
        <w:rPr>
          <w:rFonts w:hint="eastAsia" w:ascii="仿宋_GB2312" w:hAnsi="仿宋_GB2312" w:eastAsia="仿宋_GB2312" w:cs="仿宋_GB2312"/>
          <w:color w:val="auto"/>
          <w:highlight w:val="none"/>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4B1C9089">
      <w:pPr>
        <w:pStyle w:val="14"/>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auto"/>
          <w:highlight w:val="none"/>
        </w:rPr>
      </w:pPr>
      <w:bookmarkStart w:id="18" w:name="_Toc15437"/>
      <w:bookmarkStart w:id="19" w:name="_Toc29361"/>
      <w:bookmarkStart w:id="20" w:name="_Toc12447"/>
      <w:r>
        <w:rPr>
          <w:rFonts w:hint="eastAsia" w:ascii="仿宋_GB2312" w:hAnsi="仿宋_GB2312" w:eastAsia="仿宋_GB2312" w:cs="仿宋_GB2312"/>
          <w:b/>
          <w:bCs/>
          <w:color w:val="auto"/>
          <w:highlight w:val="none"/>
        </w:rPr>
        <w:t>货物质量</w:t>
      </w:r>
      <w:bookmarkEnd w:id="18"/>
      <w:bookmarkEnd w:id="19"/>
      <w:bookmarkEnd w:id="20"/>
    </w:p>
    <w:p w14:paraId="3E801ADF">
      <w:pPr>
        <w:pStyle w:val="14"/>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1、质量要求及技术标准：</w:t>
      </w:r>
    </w:p>
    <w:p w14:paraId="3AA803F0">
      <w:pPr>
        <w:pStyle w:val="14"/>
        <w:spacing w:line="400" w:lineRule="atLeast"/>
        <w:ind w:firstLine="480" w:firstLineChars="200"/>
        <w:jc w:val="both"/>
        <w:rPr>
          <w:rFonts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1.1</w:t>
      </w:r>
      <w:permStart w:id="40" w:edGrp="everyone"/>
      <w:r>
        <w:rPr>
          <w:rFonts w:hint="eastAsia" w:ascii="仿宋_GB2312" w:hAnsi="仿宋_GB2312" w:eastAsia="仿宋_GB2312" w:cs="仿宋_GB2312"/>
          <w:color w:val="auto"/>
          <w:highlight w:val="none"/>
        </w:rPr>
        <w:t>按照国家标准执行</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按国家标准执行，螺纹钢执行GB1499.2-2018《钢筋混凝土结构用热轧带肋钢筋》标准、盘圆钢执行GB701-2008《低碳热轧圆盘条》标准、圆钢执行GB/T1499.1-2017《钢筋混凝土用热轧光圆钢筋》标准；</w:t>
      </w:r>
      <w:r>
        <w:rPr>
          <w:rFonts w:hint="eastAsia" w:ascii="仿宋_GB2312" w:hAnsi="仿宋_GB2312" w:eastAsia="仿宋_GB2312" w:cs="仿宋_GB2312"/>
          <w:color w:val="000000" w:themeColor="text1"/>
          <w:u w:val="single"/>
          <w14:textFill>
            <w14:solidFill>
              <w14:schemeClr w14:val="tx1"/>
            </w14:solidFill>
          </w14:textFill>
        </w:rPr>
        <w:t>钢绞线执行《预应力混凝土用钢绞线》（G</w:t>
      </w:r>
      <w:r>
        <w:rPr>
          <w:rFonts w:ascii="仿宋_GB2312" w:hAnsi="仿宋_GB2312" w:eastAsia="仿宋_GB2312" w:cs="仿宋_GB2312"/>
          <w:color w:val="000000" w:themeColor="text1"/>
          <w:u w:val="single"/>
          <w14:textFill>
            <w14:solidFill>
              <w14:schemeClr w14:val="tx1"/>
            </w14:solidFill>
          </w14:textFill>
        </w:rPr>
        <w:t>B/T5224-2014</w:t>
      </w:r>
      <w:r>
        <w:rPr>
          <w:rFonts w:hint="eastAsia" w:ascii="仿宋_GB2312" w:hAnsi="仿宋_GB2312" w:eastAsia="仿宋_GB2312" w:cs="仿宋_GB2312"/>
          <w:color w:val="000000" w:themeColor="text1"/>
          <w:u w:val="single"/>
          <w14:textFill>
            <w14:solidFill>
              <w14:schemeClr w14:val="tx1"/>
            </w14:solidFill>
          </w14:textFill>
        </w:rPr>
        <w:t>）、螺纹钢执行GB1499.2-2018《钢筋混凝土结构用热轧带肋钢筋》标准、盘圆钢执行GB701-2008《低碳热轧圆盘条》标准、圆钢执行GB/T1499.1-2017《钢筋混凝土用热轧光圆钢筋》标准、角钢执行《热轧、热轧复辊辊化钢等角钢尺寸、形状、重量和允许偏差》（G</w:t>
      </w:r>
      <w:r>
        <w:rPr>
          <w:rFonts w:ascii="仿宋_GB2312" w:hAnsi="仿宋_GB2312" w:eastAsia="仿宋_GB2312" w:cs="仿宋_GB2312"/>
          <w:color w:val="000000" w:themeColor="text1"/>
          <w:u w:val="single"/>
          <w14:textFill>
            <w14:solidFill>
              <w14:schemeClr w14:val="tx1"/>
            </w14:solidFill>
          </w14:textFill>
        </w:rPr>
        <w:t>B/T706-2008</w:t>
      </w:r>
      <w:r>
        <w:rPr>
          <w:rFonts w:hint="eastAsia" w:ascii="仿宋_GB2312" w:hAnsi="仿宋_GB2312" w:eastAsia="仿宋_GB2312" w:cs="仿宋_GB2312"/>
          <w:color w:val="000000" w:themeColor="text1"/>
          <w:u w:val="single"/>
          <w14:textFill>
            <w14:solidFill>
              <w14:schemeClr w14:val="tx1"/>
            </w14:solidFill>
          </w14:textFill>
        </w:rPr>
        <w:t>）</w:t>
      </w:r>
      <w:r>
        <w:rPr>
          <w:rFonts w:hint="eastAsia" w:ascii="仿宋_GB2312" w:hAnsi="仿宋_GB2312" w:eastAsia="仿宋_GB2312" w:cs="仿宋_GB2312"/>
          <w:color w:val="000000" w:themeColor="text1"/>
          <w:u w:val="single"/>
          <w:lang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hint="eastAsia" w:ascii="仿宋_GB2312" w:hAnsi="仿宋_GB2312" w:eastAsia="仿宋_GB2312" w:cs="仿宋_GB2312"/>
          <w:color w:val="000000" w:themeColor="text1"/>
          <w:highlight w:val="none"/>
          <w:u w:val="single"/>
          <w:lang w:eastAsia="zh-CN"/>
          <w14:textFill>
            <w14:solidFill>
              <w14:schemeClr w14:val="tx1"/>
            </w14:solidFill>
          </w14:textFill>
        </w:rPr>
        <w:t>热轧型钢</w:t>
      </w:r>
      <w:r>
        <w:rPr>
          <w:rFonts w:hint="eastAsia" w:ascii="仿宋_GB2312" w:hAnsi="仿宋_GB2312" w:eastAsia="仿宋_GB2312" w:cs="仿宋_GB2312"/>
          <w:color w:val="000000" w:themeColor="text1"/>
          <w:highlight w:val="none"/>
          <w:u w:val="single"/>
          <w14:textFill>
            <w14:solidFill>
              <w14:schemeClr w14:val="tx1"/>
            </w14:solidFill>
          </w14:textFill>
        </w:rPr>
        <w:t>》(GB/T 706-2016)</w:t>
      </w:r>
      <w:r>
        <w:rPr>
          <w:rFonts w:hint="eastAsia" w:ascii="仿宋_GB2312" w:hAnsi="仿宋_GB2312" w:eastAsia="仿宋_GB2312" w:cs="仿宋_GB2312"/>
          <w:color w:val="000000" w:themeColor="text1"/>
          <w:u w:val="single"/>
          <w14:textFill>
            <w14:solidFill>
              <w14:schemeClr w14:val="tx1"/>
            </w14:solidFill>
          </w14:textFill>
        </w:rPr>
        <w:t>；若合同执行期间出现新的国家标准，则参照新的国家标准执行</w:t>
      </w:r>
      <w:r>
        <w:rPr>
          <w:rFonts w:hint="eastAsia" w:ascii="仿宋_GB2312" w:hAnsi="仿宋_GB2312" w:eastAsia="仿宋_GB2312" w:cs="仿宋_GB2312"/>
          <w:color w:val="000000" w:themeColor="text1"/>
          <w14:textFill>
            <w14:solidFill>
              <w14:schemeClr w14:val="tx1"/>
            </w14:solidFill>
          </w14:textFill>
        </w:rPr>
        <w:t>）</w:t>
      </w:r>
      <w:permEnd w:id="40"/>
      <w:r>
        <w:rPr>
          <w:rFonts w:hint="eastAsia" w:ascii="仿宋_GB2312" w:hAnsi="仿宋_GB2312" w:eastAsia="仿宋_GB2312" w:cs="仿宋_GB2312"/>
          <w:color w:val="auto"/>
          <w:highlight w:val="none"/>
        </w:rPr>
        <w:t>。</w:t>
      </w:r>
    </w:p>
    <w:p w14:paraId="5462DE76">
      <w:pPr>
        <w:pStyle w:val="14"/>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1.2无国家标准而有部颁标准的，按部颁标准执行。</w:t>
      </w:r>
    </w:p>
    <w:p w14:paraId="018B9650">
      <w:pPr>
        <w:pStyle w:val="14"/>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1.3无国家和部颁标准的，按企业标准执行。</w:t>
      </w:r>
    </w:p>
    <w:p w14:paraId="61E766ED">
      <w:pPr>
        <w:pStyle w:val="14"/>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1.4没有上述标准的，或虽有上述标准，但甲方有特殊要求的，按甲乙双方在合同中商定的技术条件、样品或补充的技术要求执行（具体要求</w:t>
      </w:r>
      <w:permStart w:id="41"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w:t>
      </w:r>
      <w:r>
        <w:rPr>
          <w:rFonts w:hint="eastAsia" w:ascii="仿宋_GB2312" w:hAnsi="仿宋_GB2312" w:eastAsia="仿宋_GB2312" w:cs="仿宋_GB2312"/>
          <w:color w:val="auto"/>
          <w:highlight w:val="none"/>
          <w:u w:val="single"/>
        </w:rPr>
        <w:t xml:space="preserve"> </w:t>
      </w:r>
      <w:permEnd w:id="41"/>
      <w:r>
        <w:rPr>
          <w:rFonts w:hint="eastAsia" w:ascii="仿宋_GB2312" w:hAnsi="仿宋_GB2312" w:eastAsia="仿宋_GB2312" w:cs="仿宋_GB2312"/>
          <w:color w:val="auto"/>
          <w:highlight w:val="none"/>
        </w:rPr>
        <w:t>）。</w:t>
      </w:r>
    </w:p>
    <w:p w14:paraId="3E94393C">
      <w:pPr>
        <w:pStyle w:val="14"/>
        <w:spacing w:line="400" w:lineRule="atLeast"/>
        <w:ind w:firstLine="480" w:firstLineChars="200"/>
        <w:rPr>
          <w:rFonts w:hint="eastAsia" w:ascii="仿宋_GB2312" w:hAnsi="仿宋_GB2312" w:eastAsia="宋体" w:cs="仿宋_GB2312"/>
          <w:color w:val="0000FF"/>
          <w:highlight w:val="none"/>
          <w:lang w:eastAsia="zh-CN"/>
        </w:rPr>
      </w:pPr>
      <w:r>
        <w:rPr>
          <w:rFonts w:hint="eastAsia" w:ascii="仿宋_GB2312" w:hAnsi="仿宋_GB2312" w:eastAsia="仿宋_GB2312" w:cs="仿宋_GB2312"/>
          <w:color w:val="auto"/>
          <w:highlight w:val="none"/>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r>
        <w:rPr>
          <w:rFonts w:hint="eastAsia" w:ascii="仿宋_GB2312" w:hAnsi="仿宋_GB2312" w:eastAsia="仿宋_GB2312" w:cs="仿宋_GB2312"/>
          <w:color w:val="auto"/>
          <w:highlight w:val="none"/>
          <w:lang w:eastAsia="zh-CN"/>
        </w:rPr>
        <w:t>。</w:t>
      </w:r>
    </w:p>
    <w:p w14:paraId="13472558">
      <w:pPr>
        <w:pStyle w:val="14"/>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1.6其他：</w:t>
      </w:r>
      <w:r>
        <w:rPr>
          <w:rFonts w:hint="eastAsia" w:ascii="仿宋_GB2312" w:hAnsi="仿宋_GB2312" w:eastAsia="仿宋_GB2312" w:cs="仿宋_GB2312"/>
          <w:b/>
          <w:bCs/>
          <w:color w:val="auto"/>
          <w:highlight w:val="none"/>
          <w:u w:val="single"/>
        </w:rPr>
        <w:t xml:space="preserve"> </w:t>
      </w:r>
      <w:permStart w:id="42" w:edGrp="everyone"/>
      <w:r>
        <w:rPr>
          <w:rFonts w:hint="eastAsia" w:ascii="仿宋_GB2312" w:hAnsi="仿宋_GB2312" w:eastAsia="仿宋_GB2312" w:cs="仿宋_GB2312"/>
          <w:b/>
          <w:bCs/>
          <w:color w:val="auto"/>
          <w:highlight w:val="none"/>
          <w:u w:val="single"/>
          <w:lang w:val="en-US" w:eastAsia="zh-CN"/>
        </w:rPr>
        <w:t xml:space="preserve"> / </w:t>
      </w:r>
      <w:permEnd w:id="42"/>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4D17819D">
      <w:pPr>
        <w:pStyle w:val="14"/>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2、货物附件清单：</w:t>
      </w:r>
      <w:r>
        <w:rPr>
          <w:rFonts w:hint="eastAsia" w:ascii="仿宋_GB2312" w:hAnsi="仿宋_GB2312" w:eastAsia="仿宋_GB2312" w:cs="仿宋_GB2312"/>
          <w:color w:val="auto"/>
          <w:highlight w:val="none"/>
        </w:rPr>
        <w:t>乙方应按甲方要求在交货时提供货物附件清单：</w:t>
      </w:r>
      <w:r>
        <w:rPr>
          <w:rFonts w:hint="eastAsia" w:ascii="仿宋_GB2312" w:hAnsi="仿宋_GB2312" w:eastAsia="仿宋_GB2312" w:cs="仿宋_GB2312"/>
          <w:color w:val="auto"/>
          <w:highlight w:val="none"/>
          <w:u w:val="single"/>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r>
        <w:rPr>
          <w:rFonts w:hint="eastAsia" w:ascii="仿宋_GB2312" w:hAnsi="仿宋_GB2312" w:eastAsia="仿宋_GB2312" w:cs="仿宋_GB2312"/>
          <w:color w:val="auto"/>
          <w:highlight w:val="none"/>
        </w:rPr>
        <w:t>，附件清单明确附件内容及份数同时加印乙方签章于收货时一并交由甲方核验，否则甲方不予办理收料手续。</w:t>
      </w:r>
    </w:p>
    <w:p w14:paraId="45CE38DF">
      <w:pPr>
        <w:pStyle w:val="14"/>
        <w:spacing w:line="400" w:lineRule="atLeast"/>
        <w:ind w:firstLine="482" w:firstLineChars="200"/>
        <w:outlineLvl w:val="1"/>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3、货物质量保修期：</w:t>
      </w:r>
    </w:p>
    <w:p w14:paraId="477AA893">
      <w:pPr>
        <w:pStyle w:val="14"/>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3.1</w:t>
      </w:r>
      <w:r>
        <w:rPr>
          <w:rFonts w:hint="eastAsia" w:ascii="仿宋_GB2312" w:hAnsi="仿宋_GB2312" w:eastAsia="仿宋_GB2312" w:cs="仿宋_GB2312"/>
          <w:color w:val="auto"/>
          <w:highlight w:val="none"/>
        </w:rPr>
        <w:t>质量保修期按下列第</w:t>
      </w:r>
      <w:permStart w:id="43" w:edGrp="everyone"/>
      <w:r>
        <w:rPr>
          <w:rFonts w:hint="eastAsia" w:ascii="仿宋_GB2312" w:hAnsi="仿宋_GB2312" w:eastAsia="仿宋_GB2312" w:cs="仿宋_GB2312"/>
          <w:color w:val="auto"/>
          <w:highlight w:val="none"/>
        </w:rPr>
        <w:t xml:space="preserve">  3.</w:t>
      </w:r>
      <w:r>
        <w:rPr>
          <w:rFonts w:hint="eastAsia" w:ascii="仿宋_GB2312" w:hAnsi="仿宋_GB2312" w:eastAsia="仿宋_GB2312" w:cs="仿宋_GB2312"/>
          <w:color w:val="auto"/>
          <w:highlight w:val="none"/>
          <w:lang w:val="en-US" w:eastAsia="zh-CN"/>
        </w:rPr>
        <w:t>1.3</w:t>
      </w:r>
      <w:r>
        <w:rPr>
          <w:rFonts w:hint="eastAsia" w:ascii="仿宋_GB2312" w:hAnsi="仿宋_GB2312" w:eastAsia="仿宋_GB2312" w:cs="仿宋_GB2312"/>
          <w:color w:val="auto"/>
          <w:highlight w:val="none"/>
        </w:rPr>
        <w:t xml:space="preserve"> </w:t>
      </w:r>
      <w:permEnd w:id="43"/>
      <w:r>
        <w:rPr>
          <w:rFonts w:hint="eastAsia" w:ascii="仿宋_GB2312" w:hAnsi="仿宋_GB2312" w:eastAsia="仿宋_GB2312" w:cs="仿宋_GB2312"/>
          <w:color w:val="auto"/>
          <w:highlight w:val="none"/>
        </w:rPr>
        <w:t xml:space="preserve"> 项执行（如货物明示或设计的质量保修期/缺陷责任期较长的，以较长者为准）：</w:t>
      </w:r>
    </w:p>
    <w:p w14:paraId="03BBA6F9">
      <w:pPr>
        <w:pStyle w:val="14"/>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质量保修期无</w:t>
      </w:r>
    </w:p>
    <w:p w14:paraId="1E4C27BF">
      <w:pPr>
        <w:pStyle w:val="14"/>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2质量保修期为</w:t>
      </w:r>
      <w:permStart w:id="44" w:edGrp="everyone"/>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highlight w:val="none"/>
        </w:rPr>
        <w:t xml:space="preserve">  </w:t>
      </w:r>
      <w:permEnd w:id="44"/>
      <w:r>
        <w:rPr>
          <w:rFonts w:hint="eastAsia" w:ascii="仿宋_GB2312" w:hAnsi="仿宋_GB2312" w:eastAsia="仿宋_GB2312" w:cs="仿宋_GB2312"/>
          <w:color w:val="auto"/>
          <w:highlight w:val="none"/>
        </w:rPr>
        <w:t>个月，自货物进场验收合格之日起算；</w:t>
      </w:r>
    </w:p>
    <w:p w14:paraId="0C3EDAA0">
      <w:pPr>
        <w:pStyle w:val="14"/>
        <w:spacing w:line="400" w:lineRule="atLeas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3质量保修期为</w:t>
      </w:r>
      <w:permStart w:id="45" w:edGrp="everyone"/>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val="en-US" w:eastAsia="zh-CN"/>
        </w:rPr>
        <w:t>24</w:t>
      </w:r>
      <w:r>
        <w:rPr>
          <w:rFonts w:hint="eastAsia" w:ascii="仿宋_GB2312" w:hAnsi="仿宋_GB2312" w:eastAsia="仿宋_GB2312" w:cs="仿宋_GB2312"/>
          <w:color w:val="auto"/>
          <w:highlight w:val="none"/>
        </w:rPr>
        <w:t xml:space="preserve">  </w:t>
      </w:r>
      <w:permEnd w:id="45"/>
      <w:r>
        <w:rPr>
          <w:rFonts w:hint="eastAsia" w:ascii="仿宋_GB2312" w:hAnsi="仿宋_GB2312" w:eastAsia="仿宋_GB2312" w:cs="仿宋_GB2312"/>
          <w:color w:val="auto"/>
          <w:highlight w:val="none"/>
        </w:rPr>
        <w:t>个月，从工程（送货地工程）竣工验收合格之日（以业主颁发竣工证书所载日期为准）起计算；</w:t>
      </w:r>
    </w:p>
    <w:p w14:paraId="0F52CB43">
      <w:pPr>
        <w:pStyle w:val="14"/>
        <w:spacing w:line="400" w:lineRule="atLeast"/>
        <w:ind w:firstLine="482" w:firstLineChars="200"/>
        <w:jc w:val="both"/>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lang w:val="en-US" w:eastAsia="zh-CN"/>
        </w:rPr>
        <w:t>3.2</w:t>
      </w:r>
      <w:r>
        <w:rPr>
          <w:rFonts w:hint="eastAsia" w:ascii="仿宋_GB2312" w:hAnsi="仿宋_GB2312" w:eastAsia="仿宋_GB2312" w:cs="仿宋_GB2312"/>
          <w:color w:val="000000" w:themeColor="text1"/>
          <w:highlight w:val="none"/>
          <w14:textFill>
            <w14:solidFill>
              <w14:schemeClr w14:val="tx1"/>
            </w14:solidFill>
          </w14:textFill>
        </w:rPr>
        <w:t>货物质量保证期：按国家有关法律法规的规定，货物质量保证期为终身</w:t>
      </w:r>
      <w:r>
        <w:rPr>
          <w:rFonts w:hint="eastAsia" w:ascii="仿宋_GB2312" w:hAnsi="仿宋_GB2312" w:eastAsia="仿宋_GB2312" w:cs="仿宋_GB2312"/>
          <w:color w:val="000000" w:themeColor="text1"/>
          <w:highlight w:val="none"/>
          <w:lang w:eastAsia="zh-CN"/>
          <w14:textFill>
            <w14:solidFill>
              <w14:schemeClr w14:val="tx1"/>
            </w14:solidFill>
          </w14:textFill>
        </w:rPr>
        <w:t>。</w:t>
      </w:r>
    </w:p>
    <w:p w14:paraId="38B86060">
      <w:pPr>
        <w:pStyle w:val="14"/>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4717F6EB">
      <w:pPr>
        <w:pStyle w:val="14"/>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1" w:name="_Toc22036"/>
      <w:bookmarkStart w:id="22" w:name="_Toc12481"/>
      <w:bookmarkStart w:id="23" w:name="_Toc3621"/>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21"/>
      <w:bookmarkEnd w:id="22"/>
      <w:bookmarkEnd w:id="23"/>
    </w:p>
    <w:p w14:paraId="78F1E83B">
      <w:pPr>
        <w:pStyle w:val="14"/>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000000" w:themeColor="text1"/>
          <w:highlight w:val="none"/>
          <w14:textFill>
            <w14:solidFill>
              <w14:schemeClr w14:val="tx1"/>
            </w14:solidFill>
          </w14:textFill>
        </w:rPr>
        <w:t>货物进场需由甲方物资管理人员</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不少于2人</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w:t>
      </w:r>
      <w:bookmarkStart w:id="24" w:name="_Hlk127189311"/>
      <w:r>
        <w:rPr>
          <w:rFonts w:hint="eastAsia" w:ascii="仿宋_GB2312" w:hAnsi="仿宋_GB2312" w:eastAsia="仿宋_GB2312" w:cs="仿宋_GB2312"/>
          <w:color w:val="000000" w:themeColor="text1"/>
          <w:highlight w:val="none"/>
          <w14:textFill>
            <w14:solidFill>
              <w14:schemeClr w14:val="tx1"/>
            </w14:solidFill>
          </w14:textFill>
        </w:rPr>
        <w:t>现场责任</w:t>
      </w:r>
      <w:bookmarkEnd w:id="24"/>
      <w:r>
        <w:rPr>
          <w:rFonts w:hint="eastAsia" w:ascii="仿宋_GB2312" w:hAnsi="仿宋_GB2312" w:eastAsia="仿宋_GB2312" w:cs="仿宋_GB2312"/>
          <w:color w:val="000000" w:themeColor="text1"/>
          <w:highlight w:val="none"/>
          <w14:textFill>
            <w14:solidFill>
              <w14:schemeClr w14:val="tx1"/>
            </w14:solidFill>
          </w14:textFill>
        </w:rPr>
        <w:t>工程师、分包单位和乙方发货联系人共同完成现场验收，现场验收不代表货物质量合格，质量是否合格需要进一步复核确定。</w:t>
      </w:r>
    </w:p>
    <w:p w14:paraId="394D1353">
      <w:pPr>
        <w:pStyle w:val="14"/>
        <w:numPr>
          <w:ilvl w:val="0"/>
          <w:numId w:val="3"/>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14:paraId="1FFECA30">
      <w:pPr>
        <w:pStyle w:val="14"/>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4CF42DE8">
      <w:pPr>
        <w:pStyle w:val="14"/>
        <w:spacing w:line="400" w:lineRule="atLeast"/>
        <w:ind w:firstLine="482" w:firstLineChars="200"/>
        <w:rPr>
          <w:rFonts w:hint="eastAsia"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color w:val="000000" w:themeColor="text1"/>
          <w:highlight w:val="none"/>
          <w14:textFill>
            <w14:solidFill>
              <w14:schemeClr w14:val="tx1"/>
            </w14:solidFill>
          </w14:textFill>
        </w:rPr>
        <w:t>甲乙双方在交货现场以</w:t>
      </w:r>
      <w:permStart w:id="46" w:edGrp="everyone"/>
      <w:r>
        <w:rPr>
          <w:rFonts w:hint="eastAsia" w:ascii="仿宋_GB2312" w:hAnsi="仿宋_GB2312" w:eastAsia="仿宋_GB2312" w:cs="仿宋_GB2312"/>
          <w:highlight w:val="none"/>
          <w:lang w:eastAsia="zh-CN"/>
        </w:rPr>
        <w:t>☑</w:t>
      </w:r>
      <w:permEnd w:id="46"/>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47" w:edGrp="everyone"/>
      <w:r>
        <w:rPr>
          <w:rFonts w:hint="eastAsia" w:ascii="仿宋_GB2312" w:hAnsi="仿宋_GB2312" w:eastAsia="仿宋_GB2312" w:cs="仿宋_GB2312"/>
          <w:highlight w:val="none"/>
        </w:rPr>
        <w:t xml:space="preserve">□ </w:t>
      </w:r>
      <w:permEnd w:id="47"/>
      <w:r>
        <w:rPr>
          <w:rFonts w:hint="eastAsia" w:ascii="仿宋_GB2312" w:hAnsi="仿宋_GB2312" w:eastAsia="仿宋_GB2312" w:cs="仿宋_GB2312"/>
          <w:highlight w:val="none"/>
        </w:rPr>
        <w:t>计件</w:t>
      </w:r>
      <w:r>
        <w:rPr>
          <w:rFonts w:hint="eastAsia" w:ascii="仿宋_GB2312" w:hAnsi="仿宋_GB2312" w:eastAsia="仿宋_GB2312" w:cs="仿宋_GB2312"/>
          <w:highlight w:val="none"/>
          <w:lang w:val="en-US" w:eastAsia="zh-CN"/>
        </w:rPr>
        <w:t>/</w:t>
      </w:r>
      <w:permStart w:id="48" w:edGrp="everyone"/>
      <w:r>
        <w:rPr>
          <w:rFonts w:hint="eastAsia" w:ascii="仿宋_GB2312" w:hAnsi="仿宋_GB2312" w:eastAsia="仿宋_GB2312" w:cs="仿宋_GB2312"/>
          <w:highlight w:val="none"/>
          <w:lang w:eastAsia="zh-CN"/>
        </w:rPr>
        <w:t>☑</w:t>
      </w:r>
      <w:permEnd w:id="48"/>
      <w:r>
        <w:rPr>
          <w:rFonts w:hint="eastAsia" w:ascii="仿宋_GB2312" w:hAnsi="仿宋_GB2312" w:eastAsia="仿宋_GB2312" w:cs="仿宋_GB2312"/>
          <w:highlight w:val="none"/>
        </w:rPr>
        <w:t xml:space="preserve"> 检尺</w:t>
      </w:r>
      <w:r>
        <w:rPr>
          <w:rFonts w:hint="eastAsia" w:ascii="仿宋_GB2312" w:hAnsi="仿宋_GB2312" w:eastAsia="仿宋_GB2312" w:cs="仿宋_GB2312"/>
          <w:highlight w:val="none"/>
          <w:lang w:val="en-US" w:eastAsia="zh-CN"/>
        </w:rPr>
        <w:t>/</w:t>
      </w:r>
      <w:permStart w:id="49" w:edGrp="everyone"/>
      <w:r>
        <w:rPr>
          <w:rFonts w:hint="eastAsia" w:ascii="仿宋_GB2312" w:hAnsi="仿宋_GB2312" w:eastAsia="仿宋_GB2312" w:cs="仿宋_GB2312"/>
          <w:highlight w:val="none"/>
        </w:rPr>
        <w:t xml:space="preserve">□ </w:t>
      </w:r>
      <w:permEnd w:id="49"/>
      <w:r>
        <w:rPr>
          <w:rFonts w:hint="eastAsia" w:ascii="仿宋_GB2312" w:hAnsi="仿宋_GB2312" w:eastAsia="仿宋_GB2312" w:cs="仿宋_GB2312"/>
          <w:highlight w:val="none"/>
        </w:rPr>
        <w:t>其他计量方式</w:t>
      </w:r>
      <w:permStart w:id="50" w:edGrp="everyone"/>
      <w:r>
        <w:rPr>
          <w:rFonts w:hint="eastAsia" w:ascii="仿宋" w:hAnsi="仿宋" w:eastAsia="仿宋"/>
          <w:color w:val="E54C5E" w:themeColor="accent6"/>
          <w:u w:val="single"/>
          <w14:textFill>
            <w14:solidFill>
              <w14:schemeClr w14:val="accent6"/>
            </w14:solidFill>
          </w14:textFill>
        </w:rPr>
        <w:t>盘圆</w:t>
      </w:r>
      <w:r>
        <w:rPr>
          <w:rFonts w:hint="eastAsia" w:ascii="仿宋" w:hAnsi="仿宋" w:eastAsia="仿宋"/>
          <w:color w:val="E54C5E" w:themeColor="accent6"/>
          <w:u w:val="single"/>
          <w:lang w:eastAsia="zh-Hans"/>
          <w14:textFill>
            <w14:solidFill>
              <w14:schemeClr w14:val="accent6"/>
            </w14:solidFill>
          </w14:textFill>
        </w:rPr>
        <w:t>、盘螺</w:t>
      </w:r>
      <w:r>
        <w:rPr>
          <w:rFonts w:hint="eastAsia" w:ascii="仿宋" w:hAnsi="仿宋" w:eastAsia="仿宋"/>
          <w:color w:val="E54C5E" w:themeColor="accent6"/>
          <w:u w:val="single"/>
          <w14:textFill>
            <w14:solidFill>
              <w14:schemeClr w14:val="accent6"/>
            </w14:solidFill>
          </w14:textFill>
        </w:rPr>
        <w:t>、</w:t>
      </w:r>
      <w:r>
        <w:rPr>
          <w:rFonts w:hint="eastAsia" w:ascii="仿宋" w:hAnsi="仿宋" w:eastAsia="仿宋"/>
          <w:color w:val="E54C5E" w:themeColor="accent6"/>
          <w:u w:val="single"/>
          <w:lang w:eastAsia="zh-Hans"/>
          <w14:textFill>
            <w14:solidFill>
              <w14:schemeClr w14:val="accent6"/>
            </w14:solidFill>
          </w14:textFill>
        </w:rPr>
        <w:t>钢绞线以过磅方式计量</w:t>
      </w:r>
      <w:r>
        <w:rPr>
          <w:rFonts w:hint="eastAsia" w:ascii="仿宋" w:hAnsi="仿宋" w:eastAsia="仿宋"/>
          <w:color w:val="E54C5E" w:themeColor="accent6"/>
          <w:u w:val="single"/>
          <w:lang w:eastAsia="zh-CN"/>
          <w14:textFill>
            <w14:solidFill>
              <w14:schemeClr w14:val="accent6"/>
            </w14:solidFill>
          </w14:textFill>
        </w:rPr>
        <w:t>；</w:t>
      </w:r>
      <w:r>
        <w:rPr>
          <w:rFonts w:hint="eastAsia" w:ascii="仿宋" w:hAnsi="仿宋" w:eastAsia="仿宋"/>
          <w:color w:val="E54C5E" w:themeColor="accent6"/>
          <w:u w:val="single"/>
          <w:lang w:eastAsia="zh-Hans"/>
          <w14:textFill>
            <w14:solidFill>
              <w14:schemeClr w14:val="accent6"/>
            </w14:solidFill>
          </w14:textFill>
        </w:rPr>
        <w:t>螺纹钢</w:t>
      </w:r>
      <w:r>
        <w:rPr>
          <w:rFonts w:hint="eastAsia" w:ascii="仿宋" w:hAnsi="仿宋" w:eastAsia="仿宋"/>
          <w:color w:val="E54C5E" w:themeColor="accent6"/>
          <w:u w:val="single"/>
          <w:lang w:eastAsia="zh-CN"/>
          <w14:textFill>
            <w14:solidFill>
              <w14:schemeClr w14:val="accent6"/>
            </w14:solidFill>
          </w14:textFill>
        </w:rPr>
        <w:t>、</w:t>
      </w:r>
      <w:r>
        <w:rPr>
          <w:rFonts w:hint="eastAsia" w:ascii="仿宋" w:hAnsi="仿宋" w:eastAsia="仿宋"/>
          <w:color w:val="E54C5E" w:themeColor="accent6"/>
          <w:u w:val="single"/>
          <w:lang w:val="en-US" w:eastAsia="zh-CN"/>
          <w14:textFill>
            <w14:solidFill>
              <w14:schemeClr w14:val="accent6"/>
            </w14:solidFill>
          </w14:textFill>
        </w:rPr>
        <w:t>角钢</w:t>
      </w:r>
      <w:r>
        <w:rPr>
          <w:rFonts w:hint="eastAsia" w:ascii="仿宋" w:hAnsi="仿宋" w:eastAsia="仿宋"/>
          <w:color w:val="E54C5E" w:themeColor="accent6"/>
          <w:u w:val="single"/>
          <w:lang w:eastAsia="zh-Hans"/>
          <w14:textFill>
            <w14:solidFill>
              <w14:schemeClr w14:val="accent6"/>
            </w14:solidFill>
          </w14:textFill>
        </w:rPr>
        <w:t>以检尺计量</w:t>
      </w:r>
      <w:r>
        <w:rPr>
          <w:rFonts w:hint="eastAsia" w:ascii="仿宋" w:hAnsi="仿宋" w:eastAsia="仿宋" w:cs="宋体"/>
          <w:color w:val="E54C5E" w:themeColor="accent6"/>
          <w:u w:val="single"/>
          <w14:textFill>
            <w14:solidFill>
              <w14:schemeClr w14:val="accent6"/>
            </w14:solidFill>
          </w14:textFill>
        </w:rPr>
        <w:t>，过磅复核</w:t>
      </w:r>
      <w:permEnd w:id="50"/>
      <w:r>
        <w:rPr>
          <w:rFonts w:hint="eastAsia" w:ascii="仿宋_GB2312" w:hAnsi="仿宋_GB2312" w:eastAsia="仿宋_GB2312" w:cs="仿宋_GB2312"/>
          <w:color w:val="000000" w:themeColor="text1"/>
          <w:highlight w:val="none"/>
          <w14:textFill>
            <w14:solidFill>
              <w14:schemeClr w14:val="tx1"/>
            </w14:solidFill>
          </w14:textFill>
        </w:rPr>
        <w:t>方式进行数量验收，乙方应对在甲方工地现场的数量验收数据进行确认。</w:t>
      </w:r>
    </w:p>
    <w:p w14:paraId="35CA2704">
      <w:pPr>
        <w:pStyle w:val="14"/>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highlight w:val="none"/>
        </w:rPr>
        <w:t>3.2数量验收凭据：</w:t>
      </w:r>
      <w:r>
        <w:rPr>
          <w:rFonts w:hint="eastAsia" w:ascii="仿宋_GB2312" w:hAnsi="仿宋_GB2312" w:eastAsia="仿宋_GB2312" w:cs="仿宋_GB2312"/>
          <w:highlight w:val="none"/>
          <w:u w:val="singl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w:t>
      </w:r>
    </w:p>
    <w:p w14:paraId="0B139A17">
      <w:pPr>
        <w:pStyle w:val="14"/>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highlight w:val="none"/>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highlight w:val="none"/>
          <w14:textFill>
            <w14:solidFill>
              <w14:schemeClr w14:val="tx1"/>
            </w14:solidFill>
          </w14:textFill>
        </w:rPr>
        <w:t>。</w:t>
      </w:r>
    </w:p>
    <w:p w14:paraId="72F8012B">
      <w:pPr>
        <w:pStyle w:val="14"/>
        <w:spacing w:line="400" w:lineRule="atLeast"/>
        <w:ind w:firstLine="482" w:firstLineChars="200"/>
        <w:jc w:val="both"/>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3.4其他：</w:t>
      </w:r>
    </w:p>
    <w:p w14:paraId="3D19E56F">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3.4.1钢筋计量方式：</w:t>
      </w:r>
      <w:r>
        <w:rPr>
          <w:rFonts w:hint="eastAsia" w:ascii="仿宋_GB2312" w:hAnsi="仿宋_GB2312" w:eastAsia="仿宋_GB2312" w:cs="仿宋_GB2312"/>
          <w:color w:val="000000" w:themeColor="text1"/>
          <w:highlight w:val="none"/>
          <w:u w:val="single"/>
          <w14:textFill>
            <w14:solidFill>
              <w14:schemeClr w14:val="tx1"/>
            </w14:solidFill>
          </w14:textFill>
        </w:rPr>
        <w:t>全面检查，甲方随机截取一定长度尺寸的钢筋进行称重验收、使用游标卡尺和皮尺对钢筋几何尺寸进行验收；螺纹钢及圆钢（直条）按理论计重，理论重量=理论重量表*每根钢筋米数*每件钢筋根数*件数,盘螺、盘圆、高线过磅计重</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乙方无论是以理论计重交付还是以过磅交付，甲方有权过磅复核重量偏差，该偏差满足现行国家标准规范要求</w:t>
      </w:r>
      <w:r>
        <w:rPr>
          <w:rFonts w:hint="eastAsia" w:ascii="仿宋_GB2312" w:hAnsi="仿宋_GB2312" w:eastAsia="仿宋_GB2312" w:cs="仿宋_GB2312"/>
          <w:color w:val="000000" w:themeColor="text1"/>
          <w:highlight w:val="none"/>
          <w14:textFill>
            <w14:solidFill>
              <w14:schemeClr w14:val="tx1"/>
            </w14:solidFill>
          </w14:textFill>
        </w:rPr>
        <w:t>。</w:t>
      </w:r>
    </w:p>
    <w:p w14:paraId="4609CCA2">
      <w:pPr>
        <w:spacing w:line="400" w:lineRule="atLeast"/>
        <w:ind w:firstLine="480" w:firstLineChars="200"/>
        <w:rPr>
          <w:rFonts w:ascii="仿宋_GB2312" w:hAnsi="仿宋_GB2312" w:eastAsia="仿宋_GB2312" w:cs="仿宋_GB2312"/>
          <w:color w:val="000000" w:themeColor="text1"/>
          <w:kern w:val="0"/>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3.4.2数量偏差：</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盘螺、盘圆、高线项目现场过磅数量与出厂磅单数量偏差在国标范围（±0.3％）以内，按照现场过磅数量结算；磅差超出国标范围的（质量合格），按照现场过磅数量与出厂过磅数量取小值，若质量不合格乙方需按照甲方要求及时组织退换货。</w:t>
      </w:r>
    </w:p>
    <w:p w14:paraId="68B05511">
      <w:pPr>
        <w:pStyle w:val="14"/>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乙方如对过磅数量产生异议，验收当日甲乙双方可寻求双方均认可的第三方进行复磅。若复磅结果在国标范围内，则仍以出厂磅单数量为结算依据，复磅费用由甲方承担；若复磅结果超出国标范围，复磅费用由乙方承担</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w:t>
      </w:r>
    </w:p>
    <w:p w14:paraId="4F4AEA90">
      <w:pPr>
        <w:pStyle w:val="14"/>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0E79CFCA">
      <w:pPr>
        <w:pStyle w:val="14"/>
        <w:spacing w:line="400" w:lineRule="atLeast"/>
        <w:ind w:firstLine="482" w:firstLineChars="200"/>
        <w:rPr>
          <w:rFonts w:ascii="仿宋_GB2312" w:hAnsi="仿宋_GB2312" w:eastAsia="仿宋_GB2312" w:cs="仿宋_GB2312"/>
          <w:color w:val="FF0000"/>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1DAD5CEB">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质量检测：</w:t>
      </w:r>
      <w:r>
        <w:rPr>
          <w:rFonts w:hint="eastAsia" w:ascii="仿宋_GB2312" w:hAnsi="仿宋_GB2312" w:eastAsia="仿宋_GB2312" w:cs="仿宋_GB2312"/>
          <w:color w:val="000000" w:themeColor="text1"/>
          <w:highlight w:val="none"/>
          <w14:textFill>
            <w14:solidFill>
              <w14:schemeClr w14:val="tx1"/>
            </w14:solidFill>
          </w14:textFill>
        </w:rPr>
        <w:t>货物应在使用前进行检测，待检测合格后方可使用；如检测不合格，由乙方负责在48小时内包退包换，并承担往来运输费、上下车的力资费及相应工期损失、经济损失。</w:t>
      </w:r>
    </w:p>
    <w:p w14:paraId="427399AB">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49329D91">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5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中建路桥集团科技发展有限公司</w:t>
      </w:r>
      <w:permEnd w:id="51"/>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7FCA7871">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34F54464">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highlight w:val="none"/>
          <w14:textFill>
            <w14:solidFill>
              <w14:schemeClr w14:val="tx1"/>
            </w14:solidFill>
          </w14:textFill>
        </w:rPr>
        <w:t>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07DF6A73">
      <w:pPr>
        <w:pStyle w:val="14"/>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highlight w:val="none"/>
          <w14:textFill>
            <w14:solidFill>
              <w14:schemeClr w14:val="tx1"/>
            </w14:solidFill>
          </w14:textFill>
        </w:rPr>
        <w:t>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w:t>
      </w:r>
      <w:r>
        <w:rPr>
          <w:rFonts w:hint="eastAsia" w:ascii="仿宋_GB2312" w:hAnsi="仿宋_GB2312" w:eastAsia="仿宋_GB2312" w:cs="仿宋_GB2312"/>
          <w:b/>
          <w:bCs/>
          <w:color w:val="000000" w:themeColor="text1"/>
          <w:highlight w:val="none"/>
          <w14:textFill>
            <w14:solidFill>
              <w14:schemeClr w14:val="tx1"/>
            </w14:solidFill>
          </w14:textFill>
        </w:rPr>
        <w:t>款支付中予以扣除，乙方对此不持</w:t>
      </w:r>
      <w:r>
        <w:rPr>
          <w:rFonts w:hint="eastAsia" w:ascii="仿宋_GB2312" w:hAnsi="仿宋_GB2312" w:eastAsia="仿宋_GB2312" w:cs="仿宋_GB2312"/>
          <w:b/>
          <w:bCs/>
          <w:highlight w:val="none"/>
        </w:rPr>
        <w:t>异议。</w:t>
      </w:r>
    </w:p>
    <w:p w14:paraId="668633A0">
      <w:pPr>
        <w:pStyle w:val="14"/>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5" w:name="_Toc23953"/>
      <w:bookmarkStart w:id="26" w:name="_Toc22166"/>
      <w:bookmarkStart w:id="27" w:name="_Toc24231"/>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4.6</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合同含税单价的</w:t>
      </w:r>
      <w:permStart w:id="52"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w:t>
      </w:r>
      <w:permEnd w:id="52"/>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727614A2">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其他：</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Start w:id="53"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53"/>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w:t>
      </w:r>
    </w:p>
    <w:p w14:paraId="700A9D1C">
      <w:pPr>
        <w:pStyle w:val="14"/>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5"/>
      <w:bookmarkEnd w:id="26"/>
      <w:bookmarkEnd w:id="27"/>
    </w:p>
    <w:p w14:paraId="357EC187">
      <w:pPr>
        <w:pStyle w:val="14"/>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44D9F25A">
      <w:pPr>
        <w:pStyle w:val="14"/>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61FF6C6F">
      <w:pPr>
        <w:pStyle w:val="14"/>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77E7757C">
      <w:pPr>
        <w:pStyle w:val="14"/>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47FC4E46">
      <w:pPr>
        <w:pStyle w:val="14"/>
        <w:numPr>
          <w:ilvl w:val="0"/>
          <w:numId w:val="4"/>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64384"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 name="组合 1"/>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4" name="组合 5"/>
                        <wpg:cNvGrpSpPr/>
                        <wpg:grpSpPr>
                          <a:xfrm>
                            <a:off x="2064" y="142451"/>
                            <a:ext cx="8000" cy="1907"/>
                            <a:chOff x="4638" y="144974"/>
                            <a:chExt cx="8000" cy="2118"/>
                          </a:xfrm>
                        </wpg:grpSpPr>
                        <wps:wsp>
                          <wps:cNvPr id="9"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188DBA3">
                                <w:pPr>
                                  <w:pStyle w:val="14"/>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9CE0842">
                                <w:pPr>
                                  <w:pStyle w:val="14"/>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35D63FBF">
                                <w:pPr>
                                  <w:pStyle w:val="14"/>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D522DEA">
                                <w:pPr>
                                  <w:pStyle w:val="14"/>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8FD2DDA">
                                <w:pPr>
                                  <w:pStyle w:val="14"/>
                                  <w:outlineLvl w:val="0"/>
                                  <w:rPr>
                                    <w:rFonts w:ascii="仿宋_GB2312" w:hAnsi="仿宋_GB2312" w:eastAsia="仿宋_GB2312" w:cs="仿宋_GB2312"/>
                                    <w:highlight w:val="none"/>
                                  </w:rPr>
                                </w:pPr>
                                <w:r>
                                  <w:rPr>
                                    <w:rFonts w:hint="eastAsia" w:ascii="仿宋_GB2312" w:hAnsi="仿宋_GB2312" w:eastAsia="仿宋_GB2312" w:cs="仿宋_GB2312"/>
                                    <w:highlight w:val="none"/>
                                  </w:rPr>
                                  <w:t>3.甲方项目部初步审核过程结算，乙方依据金额开具等额发票。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6438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">
                <o:lock v:ext="edit" aspectratio="f"/>
                <v:group id="组合 5" o:spid="_x0000_s1026" o:spt="203" style="position:absolute;left:2064;top:142451;height:1907;width:8000;" coordorigin="4638,144974" coordsize="8000,211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2188DBA3">
                          <w:pPr>
                            <w:pStyle w:val="14"/>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49CE0842">
                          <w:pPr>
                            <w:pStyle w:val="14"/>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35D63FBF">
                          <w:pPr>
                            <w:pStyle w:val="14"/>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0D522DEA">
                          <w:pPr>
                            <w:pStyle w:val="14"/>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38FD2DDA">
                          <w:pPr>
                            <w:pStyle w:val="14"/>
                            <w:outlineLvl w:val="0"/>
                            <w:rPr>
                              <w:rFonts w:ascii="仿宋_GB2312" w:hAnsi="仿宋_GB2312" w:eastAsia="仿宋_GB2312" w:cs="仿宋_GB2312"/>
                              <w:highlight w:val="none"/>
                            </w:rPr>
                          </w:pPr>
                          <w:r>
                            <w:rPr>
                              <w:rFonts w:hint="eastAsia" w:ascii="仿宋_GB2312" w:hAnsi="仿宋_GB2312" w:eastAsia="仿宋_GB2312" w:cs="仿宋_GB2312"/>
                              <w:highlight w:val="none"/>
                            </w:rPr>
                            <w:t>3.甲方项目部初步审核过程结算，乙方依据金额开具等额发票。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sRhRnbsAAADb&#10;AAAADwAAAGRycy9kb3ducmV2LnhtbEVPz2vCMBS+D/wfwht4m2krFOmMgpOBDnbQbfdn82yqzUvX&#10;RNv+98th4PHj+71cD7YRd+p87VhBOktAEJdO11wp+P56f1mA8AFZY+OYFIzkYb2aPC2x0K7nA92P&#10;oRIxhH2BCkwIbSGlLw1Z9DPXEkfu7DqLIcKukrrDPobbRmZJkkuLNccGgy29GSqvx5tVsM8/5pfx&#10;tC1/fJ997q6/5rC5bJSaPqfJK4hAQ3iI/907rSCL6+OX+AP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hRnbsAAADb&#10;AAAADwAAAAAAAAABACAAAAAiAAAAZHJzL2Rvd25yZXYueG1sUEsBAhQAFAAAAAgAh07iQDMvBZ47&#10;AAAAOQAAABAAAAAAAAAAAQAgAAAACgEAAGRycy9zaGFwZXhtbC54bWxQSwUGAAAAAAYABgBbAQAA&#10;tAMAAAAA&#10;" adj="-1620000">
                  <v:fill on="f" focussize="0,0"/>
                  <v:stroke weight="1pt" color="#000000 [3200]" miterlimit="8" joinstyle="miter" startarrow="open"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36D5180D">
      <w:pPr>
        <w:pStyle w:val="14"/>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6F2C7CF4">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5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w:t>
      </w:r>
      <w:permEnd w:id="54"/>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5AB16E18">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55" w:edGrp="everyone"/>
      <w:r>
        <w:rPr>
          <w:rFonts w:hint="eastAsia" w:ascii="仿宋_GB2312" w:hAnsi="仿宋_GB2312" w:eastAsia="仿宋_GB2312" w:cs="仿宋_GB2312"/>
          <w:color w:val="000000" w:themeColor="text1"/>
          <w:highlight w:val="none"/>
          <w:u w:val="single"/>
          <w14:textFill>
            <w14:solidFill>
              <w14:schemeClr w14:val="tx1"/>
            </w14:solidFill>
          </w14:textFill>
        </w:rPr>
        <w:t>一般计税方法</w:t>
      </w:r>
      <w:permEnd w:id="55"/>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w:t>
      </w:r>
    </w:p>
    <w:p w14:paraId="01DA408D">
      <w:pPr>
        <w:pStyle w:val="14"/>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8"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8"/>
    <w:p w14:paraId="56E49A38">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0364FFEB">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319E2734">
      <w:pPr>
        <w:pStyle w:val="14"/>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6BF4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286FF15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56"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5BCDB789">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vAlign w:val="top"/>
          </w:tcPr>
          <w:p w14:paraId="1C1155C7">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中建路桥集团有限公司湖北宣恩分公司</w:t>
            </w:r>
          </w:p>
        </w:tc>
      </w:tr>
      <w:tr w14:paraId="101D9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226ACAD7">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3BACB15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vAlign w:val="top"/>
          </w:tcPr>
          <w:p w14:paraId="3FAB95B7">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5657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61ED70F4">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1FB6B5D8">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vAlign w:val="top"/>
          </w:tcPr>
          <w:p w14:paraId="2DCC02E2">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91422825MA49DDJT7C</w:t>
            </w:r>
          </w:p>
        </w:tc>
      </w:tr>
      <w:tr w14:paraId="0C9C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2E083AD1">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66325AB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top"/>
          </w:tcPr>
          <w:p w14:paraId="59D618E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宣恩县椒园镇金狮路生态产业园区8幢 13373435952</w:t>
            </w:r>
          </w:p>
        </w:tc>
      </w:tr>
      <w:tr w14:paraId="2285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77CA8B7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1740D7B0">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2088FF0B">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中国农业银行股份有限公司宣恩县支行营业部 17752301040013437</w:t>
            </w:r>
          </w:p>
        </w:tc>
      </w:tr>
      <w:tr w14:paraId="58BD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38E960A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7C555F16">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7AFB9857">
            <w:pPr>
              <w:rPr>
                <w:highlight w:val="none"/>
              </w:rPr>
            </w:pPr>
          </w:p>
        </w:tc>
        <w:tc>
          <w:tcPr>
            <w:tcW w:w="6143" w:type="dxa"/>
            <w:tcBorders>
              <w:bottom w:val="double" w:color="auto" w:sz="4" w:space="0"/>
              <w:right w:val="single" w:color="auto" w:sz="12" w:space="0"/>
            </w:tcBorders>
            <w:vAlign w:val="top"/>
          </w:tcPr>
          <w:p w14:paraId="7FAD23F1">
            <w:pPr>
              <w:snapToGrid w:val="0"/>
              <w:spacing w:line="400" w:lineRule="atLeast"/>
              <w:contextualSpacing/>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项目名称：宣恩县普通公路“建养一体化”01项目包</w:t>
            </w:r>
          </w:p>
          <w:p w14:paraId="7190A80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项目地址：湖北省恩施州宣恩县</w:t>
            </w:r>
          </w:p>
        </w:tc>
      </w:tr>
      <w:tr w14:paraId="3EAA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34" w:type="dxa"/>
            <w:vMerge w:val="restart"/>
            <w:tcBorders>
              <w:top w:val="double" w:color="auto" w:sz="4" w:space="0"/>
              <w:left w:val="single" w:color="auto" w:sz="12" w:space="0"/>
            </w:tcBorders>
            <w:vAlign w:val="center"/>
          </w:tcPr>
          <w:p w14:paraId="425A6FB2">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10979E0C">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32666B11">
            <w:pPr>
              <w:snapToGrid w:val="0"/>
              <w:spacing w:line="400" w:lineRule="atLeast"/>
              <w:contextualSpacing/>
              <w:rPr>
                <w:rFonts w:ascii="仿宋_GB2312" w:hAnsi="仿宋_GB2312" w:eastAsia="仿宋_GB2312" w:cs="仿宋_GB2312"/>
                <w:color w:val="000000" w:themeColor="text1"/>
                <w:sz w:val="24"/>
                <w:szCs w:val="24"/>
                <w:highlight w:val="none"/>
                <w:u w:val="none"/>
                <w14:textFill>
                  <w14:solidFill>
                    <w14:schemeClr w14:val="tx1"/>
                  </w14:solidFill>
                </w14:textFill>
              </w:rPr>
            </w:pPr>
          </w:p>
        </w:tc>
      </w:tr>
      <w:tr w14:paraId="00B4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0190C85B">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F4FB64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0624A713">
            <w:pPr>
              <w:snapToGrid w:val="0"/>
              <w:spacing w:line="400" w:lineRule="atLeast"/>
              <w:contextualSpacing/>
              <w:rPr>
                <w:rFonts w:ascii="仿宋_GB2312" w:hAnsi="仿宋_GB2312" w:eastAsia="仿宋_GB2312" w:cs="仿宋_GB2312"/>
                <w:color w:val="000000" w:themeColor="text1"/>
                <w:sz w:val="24"/>
                <w:szCs w:val="24"/>
                <w:highlight w:val="none"/>
                <w:u w:val="none"/>
                <w14:textFill>
                  <w14:solidFill>
                    <w14:schemeClr w14:val="tx1"/>
                  </w14:solidFill>
                </w14:textFill>
              </w:rPr>
            </w:pPr>
          </w:p>
        </w:tc>
      </w:tr>
      <w:tr w14:paraId="57E3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4022D83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7063800B">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6B4D37B2">
            <w:pPr>
              <w:snapToGrid w:val="0"/>
              <w:spacing w:line="400" w:lineRule="atLeast"/>
              <w:contextualSpacing/>
              <w:rPr>
                <w:rFonts w:ascii="仿宋_GB2312" w:hAnsi="仿宋_GB2312" w:eastAsia="仿宋_GB2312" w:cs="仿宋_GB2312"/>
                <w:color w:val="000000" w:themeColor="text1"/>
                <w:sz w:val="24"/>
                <w:szCs w:val="24"/>
                <w:highlight w:val="none"/>
                <w:u w:val="none"/>
                <w14:textFill>
                  <w14:solidFill>
                    <w14:schemeClr w14:val="tx1"/>
                  </w14:solidFill>
                </w14:textFill>
              </w:rPr>
            </w:pPr>
          </w:p>
        </w:tc>
      </w:tr>
      <w:tr w14:paraId="3D72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5E4AEA1D">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6BF0291D">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48B48D24">
            <w:pPr>
              <w:pStyle w:val="14"/>
              <w:ind w:left="240" w:hanging="240" w:hangingChars="100"/>
              <w:jc w:val="left"/>
              <w:rPr>
                <w:rFonts w:ascii="仿宋_GB2312" w:hAnsi="仿宋_GB2312" w:eastAsia="仿宋_GB2312" w:cs="仿宋_GB2312"/>
                <w:bCs/>
                <w:color w:val="000000" w:themeColor="text1"/>
                <w:kern w:val="2"/>
                <w:highlight w:val="none"/>
                <w:u w:val="none"/>
                <w14:textFill>
                  <w14:solidFill>
                    <w14:schemeClr w14:val="tx1"/>
                  </w14:solidFill>
                </w14:textFill>
              </w:rPr>
            </w:pPr>
          </w:p>
        </w:tc>
      </w:tr>
      <w:tr w14:paraId="6BE1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5A8F4DB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783264C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23A66581">
            <w:pPr>
              <w:snapToGrid w:val="0"/>
              <w:spacing w:line="400" w:lineRule="atLeast"/>
              <w:ind w:left="240" w:hanging="240" w:hangingChars="100"/>
              <w:contextualSpacing/>
              <w:jc w:val="left"/>
              <w:rPr>
                <w:rFonts w:ascii="仿宋_GB2312" w:hAnsi="仿宋_GB2312" w:eastAsia="仿宋_GB2312" w:cs="仿宋_GB2312"/>
                <w:color w:val="000000" w:themeColor="text1"/>
                <w:kern w:val="0"/>
                <w:sz w:val="24"/>
                <w:szCs w:val="24"/>
                <w:highlight w:val="none"/>
                <w:u w:val="none"/>
                <w14:textFill>
                  <w14:solidFill>
                    <w14:schemeClr w14:val="tx1"/>
                  </w14:solidFill>
                </w14:textFill>
              </w:rPr>
            </w:pPr>
          </w:p>
        </w:tc>
      </w:tr>
      <w:permEnd w:id="56"/>
    </w:tbl>
    <w:p w14:paraId="432DF5E3">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4A682C05">
      <w:pPr>
        <w:pStyle w:val="14"/>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9" w:name="_Toc21859"/>
      <w:bookmarkStart w:id="30" w:name="_Toc27325"/>
      <w:bookmarkStart w:id="31" w:name="_Toc32138"/>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9"/>
      <w:bookmarkEnd w:id="30"/>
      <w:bookmarkEnd w:id="31"/>
    </w:p>
    <w:p w14:paraId="41DF8B87">
      <w:pPr>
        <w:pStyle w:val="14"/>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bookmarkStart w:id="32" w:name="_Toc12208"/>
      <w:bookmarkStart w:id="33" w:name="_Toc24664"/>
      <w:bookmarkStart w:id="34" w:name="_Toc10245"/>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5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7"/>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454A56CD">
      <w:pPr>
        <w:pStyle w:val="14"/>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5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8"/>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9"/>
      <w:r>
        <w:rPr>
          <w:rFonts w:hint="eastAsia" w:ascii="仿宋_GB2312" w:hAnsi="仿宋_GB2312" w:eastAsia="仿宋_GB2312" w:cs="仿宋_GB2312"/>
          <w:color w:val="000000" w:themeColor="text1"/>
          <w:highlight w:val="none"/>
          <w14:textFill>
            <w14:solidFill>
              <w14:schemeClr w14:val="tx1"/>
            </w14:solidFill>
          </w14:textFill>
        </w:rPr>
        <w:t>%，</w:t>
      </w:r>
      <w:permStart w:id="6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0"/>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6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1"/>
      <w:r>
        <w:rPr>
          <w:rFonts w:hint="eastAsia" w:ascii="仿宋_GB2312" w:hAnsi="仿宋_GB2312" w:eastAsia="仿宋_GB2312" w:cs="仿宋_GB2312"/>
          <w:color w:val="000000" w:themeColor="text1"/>
          <w:highlight w:val="none"/>
          <w14:textFill>
            <w14:solidFill>
              <w14:schemeClr w14:val="tx1"/>
            </w14:solidFill>
          </w14:textFill>
        </w:rPr>
        <w:t>%，余下</w:t>
      </w:r>
      <w:permStart w:id="6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2"/>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63"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  </w:t>
      </w:r>
      <w:permEnd w:id="63"/>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27156A77">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64" w:edGrp="everyone"/>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r>
        <w:rPr>
          <w:rFonts w:hint="eastAsia" w:ascii="仿宋_GB2312" w:hAnsi="仿宋_GB2312" w:eastAsia="仿宋_GB2312" w:cs="仿宋_GB2312"/>
          <w:color w:val="FF0000"/>
          <w:u w:val="single"/>
          <w:lang w:val="en-US" w:eastAsia="zh-CN"/>
        </w:rPr>
        <w:t>1</w:t>
      </w:r>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r>
        <w:rPr>
          <w:rFonts w:ascii="仿宋_GB2312" w:hAnsi="仿宋_GB2312" w:eastAsia="仿宋_GB2312" w:cs="仿宋_GB2312"/>
          <w:color w:val="FF0000"/>
          <w:u w:val="single"/>
        </w:rPr>
        <w:t>5</w:t>
      </w:r>
      <w:r>
        <w:rPr>
          <w:rFonts w:hint="eastAsia" w:ascii="仿宋_GB2312" w:hAnsi="仿宋_GB2312" w:eastAsia="仿宋_GB2312" w:cs="仿宋_GB2312"/>
          <w:color w:val="FF0000"/>
          <w:u w:val="single"/>
        </w:rPr>
        <w:t>0</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FF0000"/>
          <w:highlight w:val="none"/>
          <w:u w:val="single"/>
          <w:lang w:val="en-US" w:eastAsia="zh-CN"/>
        </w:rPr>
        <w:t>2</w:t>
      </w:r>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r>
        <w:rPr>
          <w:rFonts w:hint="eastAsia" w:ascii="仿宋_GB2312" w:hAnsi="仿宋_GB2312" w:eastAsia="仿宋_GB2312" w:cs="仿宋_GB2312"/>
          <w:color w:val="FF0000"/>
          <w:highlight w:val="none"/>
          <w:u w:val="single"/>
          <w:lang w:val="en-US" w:eastAsia="zh-CN"/>
        </w:rPr>
        <w:t>60</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，余下</w:t>
      </w:r>
      <w:r>
        <w:rPr>
          <w:rFonts w:hint="eastAsia" w:ascii="仿宋_GB2312" w:hAnsi="仿宋_GB2312" w:eastAsia="仿宋_GB2312" w:cs="仿宋_GB2312"/>
          <w:color w:val="FF0000"/>
          <w:highlight w:val="none"/>
          <w:u w:val="single"/>
          <w:lang w:val="en-US" w:eastAsia="zh-CN"/>
        </w:rPr>
        <w:t>40</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w:t>
      </w:r>
      <w:r>
        <w:rPr>
          <w:rFonts w:hint="eastAsia" w:ascii="仿宋_GB2312" w:hAnsi="仿宋_GB2312" w:eastAsia="仿宋_GB2312" w:cs="仿宋_GB2312"/>
          <w:color w:val="FF0000"/>
          <w:highlight w:val="none"/>
          <w:u w:val="single"/>
          <w:lang w:val="en-US" w:eastAsia="zh-CN"/>
        </w:rPr>
        <w:t>甲乙双方完成月度物资结算手续，收到乙方全额发票后6个月内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4A95D34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right="0" w:firstLine="480" w:firstLineChars="200"/>
        <w:rPr>
          <w:rFonts w:hint="eastAsia" w:ascii="仿宋_GB2312" w:hAnsi="仿宋_GB2312" w:eastAsia="仿宋_GB2312" w:cs="仿宋_GB2312"/>
          <w:color w:val="auto"/>
          <w:kern w:val="0"/>
          <w:sz w:val="24"/>
          <w:szCs w:val="24"/>
          <w:highlight w:val="none"/>
          <w:lang w:val="en-US" w:eastAsia="zh-CN" w:bidi="ar-SA"/>
        </w:rPr>
      </w:pPr>
      <w:r>
        <w:rPr>
          <w:rFonts w:hint="default" w:ascii="仿宋_GB2312" w:hAnsi="仿宋_GB2312" w:eastAsia="仿宋_GB2312" w:cs="仿宋_GB2312"/>
          <w:color w:val="auto"/>
          <w:kern w:val="0"/>
          <w:sz w:val="24"/>
          <w:szCs w:val="24"/>
          <w:highlight w:val="none"/>
          <w:lang w:val="en-US" w:eastAsia="zh-CN" w:bidi="ar-SA"/>
        </w:rPr>
        <w:t>为确保本项目工程顺利推进及合同履行的严肃性，现就合同工期内的供货稳定性及支付条款作如下</w:t>
      </w:r>
      <w:r>
        <w:rPr>
          <w:rFonts w:hint="eastAsia" w:ascii="仿宋_GB2312" w:hAnsi="仿宋_GB2312" w:eastAsia="仿宋_GB2312" w:cs="仿宋_GB2312"/>
          <w:color w:val="auto"/>
          <w:kern w:val="0"/>
          <w:sz w:val="24"/>
          <w:szCs w:val="24"/>
          <w:highlight w:val="none"/>
          <w:lang w:val="en-US" w:eastAsia="zh-CN" w:bidi="ar-SA"/>
        </w:rPr>
        <w:t>附加约定</w:t>
      </w:r>
      <w:r>
        <w:rPr>
          <w:rFonts w:hint="default" w:ascii="仿宋_GB2312" w:hAnsi="仿宋_GB2312" w:eastAsia="仿宋_GB2312" w:cs="仿宋_GB2312"/>
          <w:color w:val="auto"/>
          <w:kern w:val="0"/>
          <w:sz w:val="24"/>
          <w:szCs w:val="24"/>
          <w:highlight w:val="none"/>
          <w:lang w:val="en-US" w:eastAsia="zh-CN" w:bidi="ar-SA"/>
        </w:rPr>
        <w:t>：</w:t>
      </w:r>
      <w:r>
        <w:rPr>
          <w:rFonts w:hint="eastAsia" w:ascii="仿宋_GB2312" w:hAnsi="仿宋_GB2312" w:eastAsia="仿宋_GB2312" w:cs="仿宋_GB2312"/>
          <w:color w:val="auto"/>
          <w:kern w:val="0"/>
          <w:sz w:val="24"/>
          <w:szCs w:val="24"/>
          <w:highlight w:val="none"/>
          <w:lang w:val="en-US" w:eastAsia="zh-CN" w:bidi="ar-SA"/>
        </w:rPr>
        <w:t xml:space="preserve">                                 </w:t>
      </w:r>
    </w:p>
    <w:p w14:paraId="1C42509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right="0" w:firstLine="480" w:firstLineChars="200"/>
        <w:jc w:val="left"/>
        <w:rPr>
          <w:rFonts w:hint="default" w:ascii="仿宋_GB2312" w:hAnsi="仿宋_GB2312" w:eastAsia="仿宋_GB2312" w:cs="仿宋_GB2312"/>
          <w:color w:val="auto"/>
          <w:kern w:val="0"/>
          <w:sz w:val="24"/>
          <w:szCs w:val="24"/>
          <w:highlight w:val="none"/>
          <w:lang w:val="en-US" w:eastAsia="zh-CN" w:bidi="ar-SA"/>
        </w:rPr>
      </w:pPr>
      <w:r>
        <w:rPr>
          <w:rFonts w:hint="default" w:ascii="仿宋_GB2312" w:hAnsi="仿宋_GB2312" w:eastAsia="仿宋_GB2312" w:cs="仿宋_GB2312"/>
          <w:color w:val="auto"/>
          <w:kern w:val="0"/>
          <w:sz w:val="24"/>
          <w:szCs w:val="24"/>
          <w:highlight w:val="none"/>
          <w:lang w:val="en-US" w:eastAsia="zh-CN" w:bidi="ar-SA"/>
        </w:rPr>
        <w:t>1</w:t>
      </w:r>
      <w:r>
        <w:rPr>
          <w:rFonts w:hint="eastAsia" w:ascii="仿宋_GB2312" w:hAnsi="仿宋_GB2312" w:eastAsia="仿宋_GB2312" w:cs="仿宋_GB2312"/>
          <w:color w:val="auto"/>
          <w:kern w:val="0"/>
          <w:sz w:val="24"/>
          <w:szCs w:val="24"/>
          <w:highlight w:val="none"/>
          <w:lang w:val="en-US" w:eastAsia="zh-CN" w:bidi="ar-SA"/>
        </w:rPr>
        <w:t>、</w:t>
      </w:r>
      <w:r>
        <w:rPr>
          <w:rFonts w:hint="default" w:ascii="仿宋_GB2312" w:hAnsi="仿宋_GB2312" w:eastAsia="仿宋_GB2312" w:cs="仿宋_GB2312"/>
          <w:color w:val="auto"/>
          <w:kern w:val="0"/>
          <w:sz w:val="24"/>
          <w:szCs w:val="24"/>
          <w:highlight w:val="none"/>
          <w:lang w:val="en-US" w:eastAsia="zh-CN" w:bidi="ar-SA"/>
        </w:rPr>
        <w:t>本合同所涉工期，自乙方实际送货之日起至本项目工程全面完工之日止。在此期间，乙方需严格遵循合同约定的供货计划，确保材料供应的连续性与及时性。</w:t>
      </w:r>
    </w:p>
    <w:p w14:paraId="0DFF77F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480" w:firstLineChars="200"/>
        <w:rPr>
          <w:rFonts w:hint="default"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w:t>
      </w:r>
      <w:r>
        <w:rPr>
          <w:rFonts w:hint="default" w:ascii="仿宋_GB2312" w:hAnsi="仿宋_GB2312" w:eastAsia="仿宋_GB2312" w:cs="仿宋_GB2312"/>
          <w:color w:val="auto"/>
          <w:kern w:val="0"/>
          <w:sz w:val="24"/>
          <w:szCs w:val="24"/>
          <w:highlight w:val="none"/>
          <w:lang w:val="en-US" w:eastAsia="zh-CN" w:bidi="ar-SA"/>
        </w:rPr>
        <w:t>若乙方出现中途断供、恶意解除合同等违反合同约定的行为，将视为严重违约，甲方有权依据本通知调整支付周期及支付比例，并采取相应的违约追偿。</w:t>
      </w:r>
      <w:r>
        <w:rPr>
          <w:rFonts w:hint="eastAsia" w:ascii="仿宋_GB2312" w:hAnsi="仿宋_GB2312" w:eastAsia="仿宋_GB2312" w:cs="仿宋_GB2312"/>
          <w:color w:val="auto"/>
          <w:kern w:val="0"/>
          <w:sz w:val="24"/>
          <w:szCs w:val="24"/>
          <w:highlight w:val="none"/>
          <w:lang w:val="en-US" w:eastAsia="zh-CN" w:bidi="ar-SA"/>
        </w:rPr>
        <w:t xml:space="preserve">  </w:t>
      </w:r>
      <w:r>
        <w:rPr>
          <w:rFonts w:hint="eastAsia" w:ascii="仿宋_GB2312" w:hAnsi="仿宋_GB2312" w:eastAsia="仿宋_GB2312" w:cs="仿宋_GB2312"/>
          <w:b/>
          <w:bCs/>
          <w:color w:val="auto"/>
          <w:kern w:val="0"/>
          <w:sz w:val="24"/>
          <w:szCs w:val="24"/>
          <w:highlight w:val="none"/>
          <w:lang w:val="en-US" w:eastAsia="zh-CN" w:bidi="ar-SA"/>
        </w:rPr>
        <w:t xml:space="preserve">                                                               </w:t>
      </w:r>
    </w:p>
    <w:p w14:paraId="28923FB0">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32" w:name="_GoBack"/>
      <w:bookmarkEnd w:id="132"/>
      <w:r>
        <w:rPr>
          <w:rFonts w:hint="eastAsia" w:ascii="仿宋_GB2312" w:hAnsi="仿宋_GB2312" w:eastAsia="仿宋_GB2312" w:cs="仿宋_GB2312"/>
          <w:color w:val="auto"/>
          <w:kern w:val="0"/>
          <w:sz w:val="24"/>
          <w:szCs w:val="24"/>
          <w:highlight w:val="none"/>
          <w:lang w:val="en-US" w:eastAsia="zh-CN" w:bidi="ar-SA"/>
        </w:rPr>
        <w:t>3、</w:t>
      </w:r>
      <w:r>
        <w:rPr>
          <w:rFonts w:hint="default" w:ascii="仿宋_GB2312" w:hAnsi="仿宋_GB2312" w:eastAsia="仿宋_GB2312" w:cs="仿宋_GB2312"/>
          <w:color w:val="auto"/>
          <w:kern w:val="0"/>
          <w:sz w:val="24"/>
          <w:szCs w:val="24"/>
          <w:highlight w:val="none"/>
          <w:lang w:val="en-US" w:eastAsia="zh-CN" w:bidi="ar-SA"/>
        </w:rPr>
        <w:t>若乙方出现上述违约行为，甲方</w:t>
      </w:r>
      <w:r>
        <w:rPr>
          <w:rFonts w:hint="eastAsia" w:ascii="仿宋_GB2312" w:hAnsi="仿宋_GB2312" w:eastAsia="仿宋_GB2312" w:cs="仿宋_GB2312"/>
          <w:color w:val="auto"/>
          <w:kern w:val="0"/>
          <w:sz w:val="24"/>
          <w:szCs w:val="24"/>
          <w:highlight w:val="none"/>
          <w:lang w:val="en-US" w:eastAsia="zh-CN" w:bidi="ar-SA"/>
        </w:rPr>
        <w:t>扣</w:t>
      </w:r>
      <w:r>
        <w:rPr>
          <w:rFonts w:hint="default" w:ascii="仿宋_GB2312" w:hAnsi="仿宋_GB2312" w:eastAsia="仿宋_GB2312" w:cs="仿宋_GB2312"/>
          <w:color w:val="auto"/>
          <w:kern w:val="0"/>
          <w:sz w:val="24"/>
          <w:szCs w:val="24"/>
          <w:highlight w:val="none"/>
          <w:lang w:val="en-US" w:eastAsia="zh-CN" w:bidi="ar-SA"/>
        </w:rPr>
        <w:t>除乙方已缴纳的履约保证金</w:t>
      </w:r>
      <w:r>
        <w:rPr>
          <w:rFonts w:hint="eastAsia" w:ascii="仿宋_GB2312" w:hAnsi="仿宋_GB2312" w:eastAsia="仿宋_GB2312" w:cs="仿宋_GB2312"/>
          <w:color w:val="auto"/>
          <w:kern w:val="0"/>
          <w:sz w:val="24"/>
          <w:szCs w:val="24"/>
          <w:highlight w:val="none"/>
          <w:lang w:val="en-US" w:eastAsia="zh-CN" w:bidi="ar-SA"/>
        </w:rPr>
        <w:t>，对甲方造成实际损失超过履约保证金额额度，甲方将在乙方</w:t>
      </w:r>
      <w:r>
        <w:rPr>
          <w:rFonts w:hint="default" w:ascii="仿宋_GB2312" w:hAnsi="仿宋_GB2312" w:eastAsia="仿宋_GB2312" w:cs="仿宋_GB2312"/>
          <w:color w:val="auto"/>
          <w:kern w:val="0"/>
          <w:sz w:val="24"/>
          <w:szCs w:val="24"/>
          <w:highlight w:val="none"/>
          <w:lang w:val="en-US" w:eastAsia="zh-CN" w:bidi="ar-SA"/>
        </w:rPr>
        <w:t>已供货部分</w:t>
      </w:r>
      <w:r>
        <w:rPr>
          <w:rFonts w:hint="eastAsia" w:ascii="仿宋_GB2312" w:hAnsi="仿宋_GB2312" w:eastAsia="仿宋_GB2312" w:cs="仿宋_GB2312"/>
          <w:color w:val="auto"/>
          <w:kern w:val="0"/>
          <w:sz w:val="24"/>
          <w:szCs w:val="24"/>
          <w:highlight w:val="none"/>
          <w:lang w:val="en-US" w:eastAsia="zh-CN" w:bidi="ar-SA"/>
        </w:rPr>
        <w:t>的</w:t>
      </w:r>
      <w:r>
        <w:rPr>
          <w:rFonts w:hint="default" w:ascii="仿宋_GB2312" w:hAnsi="仿宋_GB2312" w:eastAsia="仿宋_GB2312" w:cs="仿宋_GB2312"/>
          <w:color w:val="auto"/>
          <w:kern w:val="0"/>
          <w:sz w:val="24"/>
          <w:szCs w:val="24"/>
          <w:highlight w:val="none"/>
          <w:lang w:val="en-US" w:eastAsia="zh-CN" w:bidi="ar-SA"/>
        </w:rPr>
        <w:t>剩余40%货款</w:t>
      </w:r>
      <w:r>
        <w:rPr>
          <w:rFonts w:hint="eastAsia" w:ascii="仿宋_GB2312" w:hAnsi="仿宋_GB2312" w:eastAsia="仿宋_GB2312" w:cs="仿宋_GB2312"/>
          <w:color w:val="auto"/>
          <w:kern w:val="0"/>
          <w:sz w:val="24"/>
          <w:szCs w:val="24"/>
          <w:highlight w:val="none"/>
          <w:lang w:val="en-US" w:eastAsia="zh-CN" w:bidi="ar-SA"/>
        </w:rPr>
        <w:t>内扣除</w:t>
      </w:r>
      <w:r>
        <w:rPr>
          <w:rFonts w:hint="default" w:ascii="仿宋_GB2312" w:hAnsi="仿宋_GB2312" w:eastAsia="仿宋_GB2312" w:cs="仿宋_GB2312"/>
          <w:color w:val="auto"/>
          <w:kern w:val="0"/>
          <w:sz w:val="24"/>
          <w:szCs w:val="24"/>
          <w:highlight w:val="none"/>
          <w:lang w:val="en-US" w:eastAsia="zh-CN" w:bidi="ar-SA"/>
        </w:rPr>
        <w:t>，作为对甲方损失的补偿。</w:t>
      </w:r>
      <w:permEnd w:id="64"/>
    </w:p>
    <w:p w14:paraId="132FE980">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6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permEnd w:id="65"/>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条；</w:t>
      </w:r>
    </w:p>
    <w:p w14:paraId="388C7919">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5B29715E">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66"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permEnd w:id="66"/>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3B5B5D14">
      <w:pPr>
        <w:pStyle w:val="14"/>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415B6616">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220061B8">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697EE3B5">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4B85872A">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79D08F33">
      <w:pPr>
        <w:pStyle w:val="14"/>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
    <w:p w14:paraId="04A7F24A">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6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7"/>
    </w:p>
    <w:p w14:paraId="443F5356">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6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8"/>
    </w:p>
    <w:p w14:paraId="5D771229">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6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9"/>
      <w:r>
        <w:rPr>
          <w:rFonts w:hint="eastAsia" w:ascii="仿宋_GB2312" w:hAnsi="仿宋_GB2312" w:eastAsia="仿宋_GB2312" w:cs="仿宋_GB2312"/>
          <w:color w:val="000000" w:themeColor="text1"/>
          <w:highlight w:val="none"/>
          <w14:textFill>
            <w14:solidFill>
              <w14:schemeClr w14:val="tx1"/>
            </w14:solidFill>
          </w14:textFill>
        </w:rPr>
        <w:t>（身份证号：</w:t>
      </w:r>
      <w:permStart w:id="7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0"/>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32EE3C84">
      <w:pPr>
        <w:pStyle w:val="14"/>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7548C4CE">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500F89FB">
      <w:pPr>
        <w:pStyle w:val="14"/>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5871B593">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7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71"/>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7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300000.00</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2"/>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7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6.1.5</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3"/>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31DBD32C">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2E5113DD">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2B073C55">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2FFA6D65">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5B8B327D">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74"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投标保证金转为履约保证金 </w:t>
      </w:r>
      <w:permEnd w:id="74"/>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5E87E5DA">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63BD184C">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75"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中建路桥集团有限公司湖北宣恩分公司</w:t>
      </w:r>
      <w:permEnd w:id="7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D647657">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7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17752301040013437</w:t>
      </w:r>
      <w:permEnd w:id="76"/>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10FBF79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77"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中国农业银行股份有限公司宣恩县支行营业部</w:t>
      </w:r>
      <w:permEnd w:id="77"/>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30AC07F2">
      <w:pPr>
        <w:pStyle w:val="14"/>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78"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90 </w:t>
      </w:r>
      <w:permEnd w:id="78"/>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4E56B3F2">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5AE863DC">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575ACA29">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7D3E70A3">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57FB5404">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4D7AB043">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1FF465FE">
      <w:pPr>
        <w:pStyle w:val="14"/>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7524CC25">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22477EEF">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394228DB">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79"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谢雷彬</w:t>
      </w:r>
      <w:permEnd w:id="79"/>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80"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18081080868</w:t>
      </w:r>
      <w:permEnd w:id="80"/>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38A89F50">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8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王凯 </w:t>
      </w:r>
      <w:permEnd w:id="81"/>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82"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0571-83696072</w:t>
      </w:r>
      <w:permEnd w:id="82"/>
    </w:p>
    <w:p w14:paraId="0A2E86B7">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83"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0571-83696072</w:t>
      </w:r>
      <w:permEnd w:id="83"/>
    </w:p>
    <w:p w14:paraId="7CCCD0F7">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84" w:edGrp="everyone"/>
      <w:r>
        <w:rPr>
          <w:rFonts w:hint="eastAsia" w:ascii="仿宋_GB2312" w:hAnsi="仿宋_GB2312" w:eastAsia="仿宋_GB2312" w:cs="仿宋_GB2312"/>
          <w:b/>
          <w:bCs/>
          <w:color w:val="auto"/>
          <w:sz w:val="24"/>
          <w:szCs w:val="24"/>
          <w:highlight w:val="none"/>
          <w:u w:val="single"/>
          <w:lang w:val="en-US" w:eastAsia="zh-CN"/>
        </w:rPr>
        <w:fldChar w:fldCharType="begin"/>
      </w:r>
      <w:r>
        <w:rPr>
          <w:rFonts w:hint="eastAsia" w:ascii="仿宋_GB2312" w:hAnsi="仿宋_GB2312" w:eastAsia="仿宋_GB2312" w:cs="仿宋_GB2312"/>
          <w:b/>
          <w:bCs/>
          <w:color w:val="auto"/>
          <w:sz w:val="24"/>
          <w:szCs w:val="24"/>
          <w:highlight w:val="none"/>
          <w:u w:val="single"/>
          <w:lang w:val="en-US" w:eastAsia="zh-CN"/>
        </w:rPr>
        <w:instrText xml:space="preserve"> HYPERLINK "mailto:810704998@QQ.COM" </w:instrText>
      </w:r>
      <w:r>
        <w:rPr>
          <w:rFonts w:hint="eastAsia" w:ascii="仿宋_GB2312" w:hAnsi="仿宋_GB2312" w:eastAsia="仿宋_GB2312" w:cs="仿宋_GB2312"/>
          <w:b/>
          <w:bCs/>
          <w:color w:val="auto"/>
          <w:sz w:val="24"/>
          <w:szCs w:val="24"/>
          <w:highlight w:val="none"/>
          <w:u w:val="single"/>
          <w:lang w:val="en-US" w:eastAsia="zh-CN"/>
        </w:rPr>
        <w:fldChar w:fldCharType="separate"/>
      </w:r>
      <w:r>
        <w:rPr>
          <w:rStyle w:val="13"/>
          <w:rFonts w:hint="eastAsia" w:ascii="仿宋_GB2312" w:hAnsi="仿宋_GB2312" w:eastAsia="仿宋_GB2312" w:cs="仿宋_GB2312"/>
          <w:b/>
          <w:bCs/>
          <w:color w:val="auto"/>
          <w:sz w:val="24"/>
          <w:szCs w:val="24"/>
          <w:highlight w:val="none"/>
          <w:lang w:val="en-US" w:eastAsia="zh-CN"/>
        </w:rPr>
        <w:t>810704998@QQ.COM</w:t>
      </w:r>
      <w:r>
        <w:rPr>
          <w:rFonts w:hint="eastAsia" w:ascii="仿宋_GB2312" w:hAnsi="仿宋_GB2312" w:eastAsia="仿宋_GB2312" w:cs="仿宋_GB2312"/>
          <w:b/>
          <w:bCs/>
          <w:color w:val="auto"/>
          <w:sz w:val="24"/>
          <w:szCs w:val="24"/>
          <w:highlight w:val="none"/>
          <w:u w:val="single"/>
          <w:lang w:val="en-US" w:eastAsia="zh-CN"/>
        </w:rPr>
        <w:fldChar w:fldCharType="end"/>
      </w:r>
      <w:permEnd w:id="84"/>
    </w:p>
    <w:p w14:paraId="72E23170">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2C11311F">
      <w:pPr>
        <w:pStyle w:val="14"/>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85"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highlight w:val="none"/>
          <w14:textFill>
            <w14:solidFill>
              <w14:schemeClr w14:val="tx1"/>
            </w14:solidFill>
          </w14:textFill>
        </w:rPr>
        <w:t>。</w:t>
      </w:r>
    </w:p>
    <w:p w14:paraId="093DE103">
      <w:pPr>
        <w:pStyle w:val="14"/>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32"/>
      <w:bookmarkEnd w:id="33"/>
      <w:bookmarkEnd w:id="34"/>
    </w:p>
    <w:p w14:paraId="14A60479">
      <w:pPr>
        <w:pStyle w:val="14"/>
        <w:numPr>
          <w:ilvl w:val="0"/>
          <w:numId w:val="5"/>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3F1C3243">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86"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湖北省恩施市宣恩县大卧龙村中建路桥集团有限公司351项目部</w:t>
      </w:r>
      <w:permEnd w:id="86"/>
      <w:r>
        <w:rPr>
          <w:rFonts w:hint="eastAsia" w:ascii="仿宋_GB2312" w:hAnsi="仿宋_GB2312" w:eastAsia="仿宋_GB2312" w:cs="仿宋_GB2312"/>
          <w:color w:val="000000" w:themeColor="text1"/>
          <w:highlight w:val="none"/>
          <w14:textFill>
            <w14:solidFill>
              <w14:schemeClr w14:val="tx1"/>
            </w14:solidFill>
          </w14:textFill>
        </w:rPr>
        <w:t>；</w:t>
      </w:r>
    </w:p>
    <w:p w14:paraId="6D2BA62C">
      <w:pPr>
        <w:pStyle w:val="14"/>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8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罗斐1552561341</w:t>
      </w:r>
      <w:permEnd w:id="87"/>
      <w:r>
        <w:rPr>
          <w:rFonts w:hint="eastAsia" w:ascii="仿宋_GB2312" w:hAnsi="仿宋_GB2312" w:eastAsia="仿宋_GB2312" w:cs="仿宋_GB2312"/>
          <w:color w:val="000000" w:themeColor="text1"/>
          <w:highlight w:val="none"/>
          <w14:textFill>
            <w14:solidFill>
              <w14:schemeClr w14:val="tx1"/>
            </w14:solidFill>
          </w14:textFill>
        </w:rPr>
        <w:t>；邮箱：</w:t>
      </w:r>
      <w:permStart w:id="8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highlight w:val="none"/>
          <w14:textFill>
            <w14:solidFill>
              <w14:schemeClr w14:val="tx1"/>
            </w14:solidFill>
          </w14:textFill>
        </w:rPr>
        <w:t>；</w:t>
      </w:r>
    </w:p>
    <w:p w14:paraId="066A82DD">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89"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permEnd w:id="89"/>
      <w:r>
        <w:rPr>
          <w:rFonts w:hint="eastAsia" w:ascii="仿宋_GB2312" w:hAnsi="仿宋_GB2312" w:eastAsia="仿宋_GB2312" w:cs="仿宋_GB2312"/>
          <w:color w:val="000000" w:themeColor="text1"/>
          <w:highlight w:val="none"/>
          <w14:textFill>
            <w14:solidFill>
              <w14:schemeClr w14:val="tx1"/>
            </w14:solidFill>
          </w14:textFill>
        </w:rPr>
        <w:t>；</w:t>
      </w:r>
    </w:p>
    <w:p w14:paraId="6210E11E">
      <w:pPr>
        <w:pStyle w:val="14"/>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9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90"/>
      <w:r>
        <w:rPr>
          <w:rFonts w:hint="eastAsia" w:ascii="仿宋_GB2312" w:hAnsi="仿宋_GB2312" w:eastAsia="仿宋_GB2312" w:cs="仿宋_GB2312"/>
          <w:color w:val="000000" w:themeColor="text1"/>
          <w:highlight w:val="none"/>
          <w14:textFill>
            <w14:solidFill>
              <w14:schemeClr w14:val="tx1"/>
            </w14:solidFill>
          </w14:textFill>
        </w:rPr>
        <w:t>；邮箱：</w:t>
      </w:r>
      <w:permStart w:id="9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highlight w:val="none"/>
          <w14:textFill>
            <w14:solidFill>
              <w14:schemeClr w14:val="tx1"/>
            </w14:solidFill>
          </w14:textFill>
        </w:rPr>
        <w:t>；</w:t>
      </w:r>
    </w:p>
    <w:p w14:paraId="0F86E6F1">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4620F0D0">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4EC08EED">
      <w:pPr>
        <w:pStyle w:val="14"/>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5" w:name="_Toc4701"/>
      <w:bookmarkStart w:id="36" w:name="_Toc21843"/>
      <w:bookmarkStart w:id="37" w:name="_Toc26478"/>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5"/>
      <w:bookmarkEnd w:id="36"/>
      <w:bookmarkEnd w:id="37"/>
    </w:p>
    <w:p w14:paraId="2A1586BF">
      <w:pPr>
        <w:pStyle w:val="14"/>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9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highlight w:val="none"/>
          <w14:textFill>
            <w14:solidFill>
              <w14:schemeClr w14:val="tx1"/>
            </w14:solidFill>
          </w14:textFill>
        </w:rPr>
        <w:t>条；</w:t>
      </w:r>
    </w:p>
    <w:p w14:paraId="43D150C3">
      <w:pPr>
        <w:pStyle w:val="14"/>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8" w:name="_Toc15785_WPSOffice_Level1"/>
      <w:bookmarkStart w:id="39" w:name="_Toc31827_WPSOffice_Level1"/>
      <w:bookmarkStart w:id="40" w:name="_Toc6851_WPSOffice_Level1"/>
      <w:bookmarkStart w:id="41" w:name="_Toc21939"/>
      <w:bookmarkStart w:id="42" w:name="_Toc7989"/>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6E93DE9D">
      <w:pPr>
        <w:pStyle w:val="14"/>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93"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捌</w:t>
      </w:r>
      <w:permEnd w:id="93"/>
      <w:r>
        <w:rPr>
          <w:rFonts w:hint="eastAsia" w:ascii="仿宋_GB2312" w:hAnsi="仿宋_GB2312" w:eastAsia="仿宋_GB2312" w:cs="仿宋_GB2312"/>
          <w:color w:val="000000" w:themeColor="text1"/>
          <w:highlight w:val="none"/>
          <w14:textFill>
            <w14:solidFill>
              <w14:schemeClr w14:val="tx1"/>
            </w14:solidFill>
          </w14:textFill>
        </w:rPr>
        <w:t>份，甲方执</w:t>
      </w:r>
      <w:permStart w:id="94"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94"/>
      <w:r>
        <w:rPr>
          <w:rFonts w:hint="eastAsia" w:ascii="仿宋_GB2312" w:hAnsi="仿宋_GB2312" w:eastAsia="仿宋_GB2312" w:cs="仿宋_GB2312"/>
          <w:color w:val="000000" w:themeColor="text1"/>
          <w:highlight w:val="none"/>
          <w14:textFill>
            <w14:solidFill>
              <w14:schemeClr w14:val="tx1"/>
            </w14:solidFill>
          </w14:textFill>
        </w:rPr>
        <w:t>份，乙方执</w:t>
      </w:r>
      <w:permStart w:id="95"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贰</w:t>
      </w:r>
      <w:permEnd w:id="95"/>
      <w:r>
        <w:rPr>
          <w:rFonts w:hint="eastAsia" w:ascii="仿宋_GB2312" w:hAnsi="仿宋_GB2312" w:eastAsia="仿宋_GB2312" w:cs="仿宋_GB2312"/>
          <w:color w:val="000000" w:themeColor="text1"/>
          <w:highlight w:val="none"/>
          <w14:textFill>
            <w14:solidFill>
              <w14:schemeClr w14:val="tx1"/>
            </w14:solidFill>
          </w14:textFill>
        </w:rPr>
        <w:t>份。</w:t>
      </w:r>
    </w:p>
    <w:p w14:paraId="3F24E15E">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8"/>
      <w:bookmarkEnd w:id="39"/>
      <w:bookmarkEnd w:id="40"/>
      <w:bookmarkEnd w:id="41"/>
      <w:bookmarkEnd w:id="42"/>
      <w:bookmarkStart w:id="43" w:name="_Toc19595_WPSOffice_Level1"/>
      <w:bookmarkStart w:id="44" w:name="_Toc8898_WPSOffice_Level1"/>
      <w:bookmarkStart w:id="45" w:name="_Toc6163_WPSOffice_Level1"/>
    </w:p>
    <w:p w14:paraId="2ACF9D46">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6" w:name="_Toc31108"/>
      <w:bookmarkStart w:id="47" w:name="_Toc23374"/>
      <w:bookmarkStart w:id="48" w:name="_Toc2377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3"/>
      <w:bookmarkEnd w:id="44"/>
      <w:bookmarkEnd w:id="45"/>
      <w:bookmarkEnd w:id="46"/>
      <w:bookmarkEnd w:id="47"/>
      <w:bookmarkEnd w:id="48"/>
    </w:p>
    <w:p w14:paraId="6AAEE03D">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9" w:name="_Toc27542"/>
      <w:bookmarkStart w:id="50" w:name="_Toc3383_WPSOffice_Level1"/>
      <w:bookmarkStart w:id="51" w:name="_Toc16133_WPSOffice_Level1"/>
      <w:bookmarkStart w:id="52" w:name="_Toc5250_WPSOffice_Level1"/>
      <w:bookmarkStart w:id="53" w:name="_Toc14040"/>
      <w:bookmarkStart w:id="54"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9"/>
      <w:bookmarkEnd w:id="50"/>
      <w:bookmarkEnd w:id="51"/>
      <w:bookmarkEnd w:id="52"/>
      <w:bookmarkEnd w:id="5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4"/>
    </w:p>
    <w:p w14:paraId="2A7D31DC">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5" w:name="_Toc641_WPSOffice_Level1"/>
      <w:bookmarkStart w:id="56" w:name="_Toc22730_WPSOffice_Level1"/>
      <w:bookmarkStart w:id="57" w:name="_Toc19768_WPSOffice_Level1"/>
      <w:bookmarkStart w:id="58" w:name="_Toc3486"/>
      <w:bookmarkStart w:id="59" w:name="_Toc660"/>
      <w:bookmarkStart w:id="60" w:name="_Toc2659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5"/>
      <w:bookmarkEnd w:id="56"/>
      <w:bookmarkEnd w:id="57"/>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8"/>
      <w:bookmarkEnd w:id="59"/>
      <w:bookmarkEnd w:id="60"/>
    </w:p>
    <w:p w14:paraId="6AE56255">
      <w:pPr>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bookmarkStart w:id="61" w:name="_Toc8260_WPSOffice_Level1"/>
      <w:bookmarkStart w:id="62" w:name="_Toc19161_WPSOffice_Level1"/>
      <w:bookmarkStart w:id="63" w:name="_Toc24584_WPSOffice_Level1"/>
      <w:bookmarkStart w:id="64" w:name="_Toc25961"/>
      <w:bookmarkStart w:id="65" w:name="_Toc459"/>
      <w:bookmarkStart w:id="66" w:name="_Toc699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附件四 </w:t>
      </w:r>
      <w:bookmarkEnd w:id="61"/>
      <w:bookmarkEnd w:id="62"/>
      <w:bookmarkEnd w:id="6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廉洁从业共建协议</w:t>
      </w:r>
      <w:bookmarkEnd w:id="64"/>
      <w:bookmarkEnd w:id="65"/>
      <w:bookmarkEnd w:id="66"/>
    </w:p>
    <w:p w14:paraId="00149E0D">
      <w:pPr>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附件五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钢筋供应承诺函</w:t>
      </w:r>
    </w:p>
    <w:p w14:paraId="31545E37">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13E51048">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6B728A72">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2739DEF5">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7B1C4673">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36769A0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3C68F74">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7E6487ED">
      <w:pPr>
        <w:pStyle w:val="14"/>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308154A8">
      <w:pPr>
        <w:pStyle w:val="14"/>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00792942">
      <w:pPr>
        <w:pStyle w:val="14"/>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10" w:type="default"/>
          <w:footerReference r:id="rId11" w:type="default"/>
          <w:pgSz w:w="11906" w:h="16838"/>
          <w:pgMar w:top="1440" w:right="1800" w:bottom="1440" w:left="1800" w:header="850" w:footer="975" w:gutter="0"/>
          <w:pgNumType w:start="1"/>
          <w:cols w:space="0" w:num="1"/>
          <w:docGrid w:linePitch="312" w:charSpace="0"/>
        </w:sectPr>
      </w:pPr>
    </w:p>
    <w:p w14:paraId="23E2D877">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67" w:name="_Toc31445"/>
      <w:bookmarkStart w:id="68" w:name="_Toc25426"/>
      <w:bookmarkStart w:id="69" w:name="_Toc7321"/>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7"/>
      <w:bookmarkEnd w:id="68"/>
      <w:bookmarkEnd w:id="69"/>
    </w:p>
    <w:p w14:paraId="4CBD34B2">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32610464">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1095AB31">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9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6"/>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9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7"/>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9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8"/>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99" w:edGrp="everyone"/>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0"/>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101"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1"/>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702674E0">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1E82DC00">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102" w:edGrp="everyone"/>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ermEnd w:id="102"/>
      <w:r>
        <w:rPr>
          <w:rFonts w:hint="eastAsia" w:ascii="仿宋_GB2312" w:hAnsi="仿宋_GB2312" w:eastAsia="仿宋_GB2312" w:cs="仿宋_GB2312"/>
          <w:color w:val="000000" w:themeColor="text1"/>
          <w:sz w:val="24"/>
          <w:szCs w:val="24"/>
          <w:highlight w:val="none"/>
          <w14:textFill>
            <w14:solidFill>
              <w14:schemeClr w14:val="tx1"/>
            </w14:solidFill>
          </w14:textFill>
        </w:rPr>
        <w:t>至</w:t>
      </w:r>
      <w:permStart w:id="10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03"/>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451319EA">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144C7F9F">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6A5C83EA">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393CB981">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18825554">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7352282D">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6EBF3D8A">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0366C2E2">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tbl>
      <w:tblPr>
        <w:tblStyle w:val="10"/>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09F0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2D4C3392">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104" w:edGrp="everyone"/>
          </w:p>
        </w:tc>
        <w:tc>
          <w:tcPr>
            <w:tcW w:w="4560" w:type="dxa"/>
            <w:tcBorders>
              <w:left w:val="single" w:color="000000" w:sz="4" w:space="0"/>
            </w:tcBorders>
            <w:vAlign w:val="center"/>
          </w:tcPr>
          <w:p w14:paraId="2C4860F1">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104"/>
    </w:tbl>
    <w:p w14:paraId="72724A8F">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10"/>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403B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6F630A68">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105" w:edGrp="everyone"/>
          </w:p>
        </w:tc>
        <w:tc>
          <w:tcPr>
            <w:tcW w:w="4530" w:type="dxa"/>
            <w:tcBorders>
              <w:left w:val="single" w:color="000000" w:sz="4" w:space="0"/>
            </w:tcBorders>
            <w:vAlign w:val="center"/>
          </w:tcPr>
          <w:p w14:paraId="78F03579">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105"/>
    </w:tbl>
    <w:p w14:paraId="44F1AEFF">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108D46E6">
      <w:pPr>
        <w:pStyle w:val="14"/>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6CC3CED1">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70" w:name="_Toc21254"/>
      <w:bookmarkStart w:id="71" w:name="_Toc4519"/>
      <w:bookmarkStart w:id="72" w:name="_Toc16973"/>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70"/>
      <w:bookmarkEnd w:id="71"/>
      <w:bookmarkEnd w:id="72"/>
    </w:p>
    <w:p w14:paraId="0F314D16">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00C25866">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10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16AC2D3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ermStart w:id="107" w:edGrp="everyone"/>
      <w:r>
        <w:rPr>
          <w:rFonts w:hint="eastAsia" w:ascii="仿宋_GB2312" w:hAnsi="仿宋_GB2312" w:eastAsia="仿宋_GB2312" w:cs="仿宋_GB2312"/>
          <w:color w:val="000000" w:themeColor="text1"/>
          <w:sz w:val="24"/>
          <w:szCs w:val="24"/>
          <w:highlight w:val="none"/>
          <w:u w:val="single"/>
          <w:lang w:val="zh-CN"/>
          <w14:textFill>
            <w14:solidFill>
              <w14:schemeClr w14:val="tx1"/>
            </w14:solidFill>
          </w14:textFill>
        </w:rPr>
        <w:t>中建路桥集团有限公司湖北宣恩分公司</w:t>
      </w:r>
      <w:permEnd w:id="107"/>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10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zh-CN"/>
          <w14:textFill>
            <w14:solidFill>
              <w14:schemeClr w14:val="tx1"/>
            </w14:solidFill>
          </w14:textFill>
        </w:rPr>
        <w:t>中建路桥集团有限公司湖北宣恩分公司</w:t>
      </w:r>
      <w:permEnd w:id="108"/>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谢雷彬 </w:t>
      </w:r>
      <w:permEnd w:id="109"/>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1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130527197812081812</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ermEnd w:id="110"/>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24C7DE06">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09128093">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22F3F529">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053717A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21090B41">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51EBE338">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10"/>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3861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3F39811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4551E1F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14BF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528AA7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34B72DA5">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61D4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B59ABE2">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06803648">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19CA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041363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55981993">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24C5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249A63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581147F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311D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216FBD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261ACCB8">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074C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1FEFD2A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01E2906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08B7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790968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572547E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631B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4B33EA72">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1D2A2859">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3CA6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1EEE40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3135920E">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189E2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1B05C7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7DB809CD">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21AE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6420DBB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30BEDFC6">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4B3A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3924D8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608B9212">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6AFC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39E6CB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4B5E82BC">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70F6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6B45A0A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6CA42EDA">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72628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8BAB10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57FDCBC4">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54438078">
      <w:pPr>
        <w:numPr>
          <w:ilvl w:val="0"/>
          <w:numId w:val="6"/>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73"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73"/>
    <w:tbl>
      <w:tblPr>
        <w:tblStyle w:val="10"/>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52519F8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2BE7646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74"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361D44A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35A85374">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7BB25F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18C0F62A">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0C639C6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05EFF4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AAEBB50">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6A81740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EED22D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42BDE125">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2C0C6EC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DE57C85">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06DF89F1">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52F861E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E7018A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6124AD8">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74"/>
    </w:tbl>
    <w:p w14:paraId="2D4EA4C5">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16EC6FAD">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6E3220E">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D4687F3">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5563CE2">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060D01C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712D58C0">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511E81DC">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2CE9D13E">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0F19AD87">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75"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75"/>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0A52BF74">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5E7BED08">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435D0224">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37A03E6F">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2BBE4BEA">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740EB51D">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12" w:type="default"/>
          <w:pgSz w:w="11906" w:h="16838"/>
          <w:pgMar w:top="1440" w:right="1800" w:bottom="1440" w:left="1800" w:header="850" w:footer="975" w:gutter="0"/>
          <w:cols w:space="0" w:num="1"/>
          <w:docGrid w:linePitch="312" w:charSpace="0"/>
        </w:sectPr>
      </w:pPr>
      <w:bookmarkStart w:id="76" w:name="_Toc20069"/>
      <w:bookmarkStart w:id="77" w:name="_Toc11293"/>
      <w:bookmarkStart w:id="78" w:name="_Toc15118"/>
    </w:p>
    <w:p w14:paraId="3D74B967">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6"/>
      <w:bookmarkEnd w:id="77"/>
      <w:bookmarkEnd w:id="78"/>
    </w:p>
    <w:p w14:paraId="001DE67A">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0C6DC182">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634EEEB">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permStart w:id="111" w:edGrp="everyone"/>
      <w:r>
        <w:rPr>
          <w:rFonts w:hint="eastAsia" w:ascii="仿宋_GB2312" w:hAnsi="仿宋_GB2312" w:eastAsia="仿宋_GB2312" w:cs="仿宋_GB2312"/>
          <w:color w:val="000000" w:themeColor="text1"/>
          <w:sz w:val="24"/>
          <w:szCs w:val="24"/>
          <w:highlight w:val="none"/>
          <w:u w:val="single"/>
          <w:lang w:val="zh-CN"/>
          <w14:textFill>
            <w14:solidFill>
              <w14:schemeClr w14:val="tx1"/>
            </w14:solidFill>
          </w14:textFill>
        </w:rPr>
        <w:t>中建路桥集团有限公司湖北宣恩分公司</w:t>
      </w:r>
      <w:permEnd w:id="111"/>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057B15D4">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12" w:edGrp="everyone"/>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ermEnd w:id="112"/>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
    <w:p w14:paraId="13CBB8F2">
      <w:pPr>
        <w:pStyle w:val="5"/>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71E04580">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7AD773BB">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13"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13"/>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1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恩施土家苗族自治州 </w:t>
      </w:r>
      <w:permEnd w:id="114"/>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7946E334">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permStart w:id="11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中建总公司、中建交通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permEnd w:id="115"/>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7444AA75">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59FAEEC7">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4929883C">
      <w:pPr>
        <w:pStyle w:val="14"/>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18C4DD1D">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2349B216">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44119A6B">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57FD9B5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19EC479B">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0F7032D1">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51A072B3">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7772431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310F4CBB">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719A439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7A14132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4853763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2EEF0014">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167E76D3">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03BFAA45">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5C8EF805">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2FC4A455">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28633100">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468D2E6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266078A9">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3492093B">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08AEB350">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273CC510">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16"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16"/>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738B1ED1">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39FDC523">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6B774A3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7B06E88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56C3EF67">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61955BFB">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35C9F227">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6C770A75">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68B5AB0F">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生产安全事故报告和调查处理条例》(493号令)的规定进行事故处理及上报。乙方应及时将事故情况向甲方上报，不得迟报、漏报、谎报或瞒报。</w:t>
      </w:r>
    </w:p>
    <w:p w14:paraId="75A94EBF">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3D370F2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5AFE200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6563ED60">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06749E8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58163793">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68FE560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0B12461F">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270F973A">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38F08982">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79"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13CDE584">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5056C762">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4F2DD17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ED26AC4">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2AC7FC8F">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1684D160">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79"/>
    </w:p>
    <w:p w14:paraId="530D4466">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0D6F2E8B">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80" w:name="_Toc9726"/>
      <w:bookmarkStart w:id="81" w:name="_Toc24322"/>
      <w:bookmarkStart w:id="82" w:name="_Toc776"/>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80"/>
      <w:bookmarkEnd w:id="81"/>
      <w:bookmarkEnd w:id="82"/>
    </w:p>
    <w:p w14:paraId="431BC789">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3"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3"/>
    </w:p>
    <w:p w14:paraId="0DD0843E">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permStart w:id="117" w:edGrp="everyone"/>
      <w:r>
        <w:rPr>
          <w:rFonts w:hint="eastAsia" w:ascii="仿宋_GB2312" w:hAnsi="宋体" w:eastAsia="仿宋_GB2312"/>
          <w:color w:val="000000" w:themeColor="text1"/>
          <w:sz w:val="24"/>
          <w:szCs w:val="24"/>
          <w:highlight w:val="none"/>
          <w:u w:val="single"/>
          <w14:textFill>
            <w14:solidFill>
              <w14:schemeClr w14:val="tx1"/>
            </w14:solidFill>
          </w14:textFill>
        </w:rPr>
        <w:t>中建路桥集团有限公司湖北宣恩分公司</w:t>
      </w:r>
      <w:permEnd w:id="117"/>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5705A9C8">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18" w:edGrp="everyone"/>
      <w:r>
        <w:rPr>
          <w:rFonts w:hint="eastAsia" w:ascii="仿宋_GB2312" w:hAnsi="宋体" w:eastAsia="仿宋_GB2312"/>
          <w:color w:val="000000" w:themeColor="text1"/>
          <w:sz w:val="24"/>
          <w:szCs w:val="24"/>
          <w:highlight w:val="none"/>
          <w:lang w:val="en-US" w:eastAsia="zh-CN"/>
          <w14:textFill>
            <w14:solidFill>
              <w14:schemeClr w14:val="tx1"/>
            </w14:solidFill>
          </w14:textFill>
        </w:rPr>
        <w:t xml:space="preserve">                                  </w:t>
      </w:r>
      <w:permEnd w:id="118"/>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6D5434E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2AA0D4E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4"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4"/>
    </w:p>
    <w:p w14:paraId="1D1B294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5366CBB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0F53822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2EC1471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5"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5"/>
    <w:p w14:paraId="2A93010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6"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6"/>
    </w:p>
    <w:p w14:paraId="014B6EC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09CBEF6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765349B2">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0447D9A1">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72BB9B9F">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4868021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5FA64C1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583B039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314F78B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67D2211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87"/>
    </w:p>
    <w:p w14:paraId="26F5D7E2">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3D47CC48">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3CCF987B">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2FFC9750">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2313EFC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6322228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113289E3">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572C344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0CE2573D">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3ACBD28D">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51107A4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4D86A31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8"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88"/>
    </w:p>
    <w:p w14:paraId="7515F79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25AD815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34116F8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4B8A29EF">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03FD7BE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3D92624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五、责任书有效期</w:t>
      </w:r>
    </w:p>
    <w:p w14:paraId="34570493">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6342B1C9">
      <w:pPr>
        <w:pStyle w:val="14"/>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A41641D">
      <w:pPr>
        <w:pStyle w:val="14"/>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甲方（盖章）：                        乙方（公章）：</w:t>
      </w:r>
    </w:p>
    <w:p w14:paraId="7913F720">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p w14:paraId="46D4FC0E">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20B067C">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25A18C5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A621D27">
      <w:pPr>
        <w:spacing w:line="400" w:lineRule="exac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4AE5D9C0">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FC8554C">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0AD2AA1">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A594516">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1D6C9EE3">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A02357C">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580948D">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06A1ACD">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3A55789">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22122C3">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3189B94">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C239AAD">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53D9A2E">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F6CBF36">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66AA5E2">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40D3637">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4F80490">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BD3D121">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A05B1A3">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1784E13D">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5A57784">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612075D">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E4C0D56">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1E6289E3">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48CDDBE">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9B215DD">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89" w:name="_Toc3613"/>
      <w:bookmarkStart w:id="90" w:name="_Toc27557"/>
      <w:bookmarkStart w:id="91" w:name="_Toc19557"/>
      <w:bookmarkStart w:id="92" w:name="_Toc16483"/>
      <w:r>
        <w:rPr>
          <w:rFonts w:hint="eastAsia" w:ascii="仿宋_GB2312" w:hAnsi="仿宋_GB2312" w:eastAsia="仿宋_GB2312" w:cs="仿宋_GB2312"/>
          <w:color w:val="000000" w:themeColor="text1"/>
          <w:sz w:val="30"/>
          <w:szCs w:val="30"/>
          <w:highlight w:val="none"/>
          <w14:textFill>
            <w14:solidFill>
              <w14:schemeClr w14:val="tx1"/>
            </w14:solidFill>
          </w14:textFill>
        </w:rPr>
        <w:t>附件五：</w:t>
      </w:r>
      <w:bookmarkEnd w:id="89"/>
      <w:bookmarkEnd w:id="90"/>
      <w:r>
        <w:rPr>
          <w:rFonts w:hint="eastAsia" w:ascii="仿宋_GB2312" w:hAnsi="仿宋_GB2312" w:eastAsia="仿宋_GB2312" w:cs="仿宋_GB2312"/>
          <w:color w:val="000000" w:themeColor="text1"/>
          <w:sz w:val="30"/>
          <w:szCs w:val="30"/>
          <w:highlight w:val="none"/>
          <w14:textFill>
            <w14:solidFill>
              <w14:schemeClr w14:val="tx1"/>
            </w14:solidFill>
          </w14:textFill>
        </w:rPr>
        <w:t xml:space="preserve">            </w:t>
      </w:r>
    </w:p>
    <w:bookmarkEnd w:id="91"/>
    <w:bookmarkEnd w:id="92"/>
    <w:p w14:paraId="0BF51709">
      <w:pPr>
        <w:widowControl/>
        <w:jc w:val="center"/>
        <w:textAlignment w:val="center"/>
        <w:rPr>
          <w:rFonts w:ascii="仿宋_GB2312" w:hAnsi="仿宋_GB2312" w:eastAsia="仿宋_GB2312" w:cs="仿宋_GB2312"/>
          <w:color w:val="000000" w:themeColor="text1"/>
          <w:kern w:val="0"/>
          <w:sz w:val="30"/>
          <w:szCs w:val="30"/>
          <w:highlight w:val="none"/>
          <w:lang w:bidi="ar"/>
          <w14:textFill>
            <w14:solidFill>
              <w14:schemeClr w14:val="tx1"/>
            </w14:solidFill>
          </w14:textFill>
        </w:rPr>
      </w:pPr>
      <w:r>
        <w:rPr>
          <w:rFonts w:hint="eastAsia" w:ascii="仿宋_GB2312" w:hAnsi="仿宋_GB2312" w:eastAsia="仿宋_GB2312" w:cs="仿宋_GB2312"/>
          <w:b/>
          <w:bCs/>
          <w:color w:val="000000" w:themeColor="text1"/>
          <w:kern w:val="0"/>
          <w:sz w:val="30"/>
          <w:szCs w:val="30"/>
          <w:highlight w:val="none"/>
          <w:lang w:bidi="ar"/>
          <w14:textFill>
            <w14:solidFill>
              <w14:schemeClr w14:val="tx1"/>
            </w14:solidFill>
          </w14:textFill>
        </w:rPr>
        <w:t>钢筋供应承诺函</w:t>
      </w:r>
    </w:p>
    <w:p w14:paraId="69AB6758">
      <w:pPr>
        <w:pStyle w:val="16"/>
        <w:spacing w:before="240" w:beforeLines="100" w:line="400" w:lineRule="exact"/>
        <w:ind w:firstLine="0"/>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致：</w:t>
      </w:r>
      <w:permStart w:id="119" w:edGrp="everyone"/>
      <w:r>
        <w:rPr>
          <w:rFonts w:hint="eastAsia" w:ascii="仿宋_GB2312" w:hAnsi="宋体" w:eastAsia="仿宋_GB2312"/>
          <w:color w:val="000000" w:themeColor="text1"/>
          <w:sz w:val="24"/>
          <w:szCs w:val="24"/>
          <w:highlight w:val="none"/>
          <w:u w:val="single"/>
          <w14:textFill>
            <w14:solidFill>
              <w14:schemeClr w14:val="tx1"/>
            </w14:solidFill>
          </w14:textFill>
        </w:rPr>
        <w:t>中建路桥集团有限公司湖北宣恩分公司</w:t>
      </w:r>
      <w:permEnd w:id="119"/>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14:paraId="5C371754">
      <w:pPr>
        <w:pStyle w:val="16"/>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为确保我司供应贵司项目的</w:t>
      </w:r>
      <w:r>
        <w:rPr>
          <w:rFonts w:hint="eastAsia" w:ascii="仿宋_GB2312" w:hAnsi="仿宋_GB2312" w:eastAsia="仿宋_GB2312" w:cs="仿宋_GB2312"/>
          <w:color w:val="000000" w:themeColor="text1"/>
          <w:sz w:val="24"/>
          <w:szCs w:val="24"/>
          <w:highlight w:val="none"/>
          <w14:textFill>
            <w14:solidFill>
              <w14:schemeClr w14:val="tx1"/>
            </w14:solidFill>
          </w14:textFill>
        </w:rPr>
        <w:t>钢筋原材</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合格、供应过程管控到位</w:t>
      </w:r>
      <w:r>
        <w:rPr>
          <w:rFonts w:hint="eastAsia" w:ascii="仿宋_GB2312" w:hAnsi="仿宋_GB2312" w:eastAsia="仿宋_GB2312" w:cs="仿宋_GB2312"/>
          <w:color w:val="000000" w:themeColor="text1"/>
          <w:sz w:val="24"/>
          <w:szCs w:val="24"/>
          <w:highlight w:val="none"/>
          <w14:textFill>
            <w14:solidFill>
              <w14:schemeClr w14:val="tx1"/>
            </w14:solidFill>
          </w14:textFill>
        </w:rPr>
        <w:t>，我司做如下承诺：</w:t>
      </w:r>
    </w:p>
    <w:p w14:paraId="6B62C5AC">
      <w:pPr>
        <w:pStyle w:val="16"/>
        <w:spacing w:line="400" w:lineRule="exact"/>
        <w:ind w:firstLine="480" w:firstLineChars="200"/>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t>1.我司承诺严格按照合同约定品牌供应合格钢筋，绝不配送“地条钢”、“瘦身钢筋”、“截肢钢筋”等质量或数量不合格钢筋。</w:t>
      </w:r>
    </w:p>
    <w:p w14:paraId="292058B4">
      <w:pPr>
        <w:pStyle w:val="16"/>
        <w:spacing w:line="400" w:lineRule="exact"/>
        <w:ind w:firstLine="480" w:firstLineChars="200"/>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t>2.我司承诺钢筋进场100</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t>验收，不以任何理由在无项目管理人员验收的情况下直接卸车。</w:t>
      </w:r>
    </w:p>
    <w:p w14:paraId="0A34DA8C">
      <w:pPr>
        <w:pStyle w:val="16"/>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t>3.我司承诺无</w:t>
      </w:r>
      <w:r>
        <w:rPr>
          <w:rFonts w:hint="eastAsia" w:ascii="仿宋_GB2312" w:hAnsi="仿宋_GB2312" w:eastAsia="仿宋_GB2312" w:cs="仿宋_GB2312"/>
          <w:color w:val="000000" w:themeColor="text1"/>
          <w:sz w:val="24"/>
          <w:szCs w:val="24"/>
          <w:highlight w:val="none"/>
          <w14:textFill>
            <w14:solidFill>
              <w14:schemeClr w14:val="tx1"/>
            </w14:solidFill>
          </w14:textFill>
        </w:rPr>
        <w:t>解捆偷支、截断原材、地磅作弊等失信行为，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如被发现有相关情况，自愿接受贵司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追究相应经济责任（假一罚十），追究相应人员法律责任</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相关单位直接纳入不合格</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供应商</w:t>
      </w:r>
      <w:r>
        <w:rPr>
          <w:rFonts w:hint="eastAsia" w:ascii="仿宋_GB2312" w:hAnsi="仿宋_GB2312" w:eastAsia="仿宋_GB2312" w:cs="仿宋_GB2312"/>
          <w:color w:val="000000" w:themeColor="text1"/>
          <w:sz w:val="24"/>
          <w:szCs w:val="24"/>
          <w:highlight w:val="none"/>
          <w14:textFill>
            <w14:solidFill>
              <w14:schemeClr w14:val="tx1"/>
            </w14:solidFill>
          </w14:textFill>
        </w:rPr>
        <w:t>，全</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公司</w:t>
      </w:r>
      <w:r>
        <w:rPr>
          <w:rFonts w:hint="eastAsia" w:ascii="仿宋_GB2312" w:hAnsi="仿宋_GB2312" w:eastAsia="仿宋_GB2312" w:cs="仿宋_GB2312"/>
          <w:color w:val="000000" w:themeColor="text1"/>
          <w:sz w:val="24"/>
          <w:szCs w:val="24"/>
          <w:highlight w:val="none"/>
          <w14:textFill>
            <w14:solidFill>
              <w14:schemeClr w14:val="tx1"/>
            </w14:solidFill>
          </w14:textFill>
        </w:rPr>
        <w:t>通报禁用</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的处罚</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63D113E8">
      <w:pPr>
        <w:pStyle w:val="16"/>
        <w:spacing w:line="400" w:lineRule="exact"/>
        <w:ind w:firstLine="480" w:firstLineChars="200"/>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t>4.我司承诺重点加强</w:t>
      </w:r>
      <w:r>
        <w:rPr>
          <w:rFonts w:hint="eastAsia" w:ascii="仿宋_GB2312" w:hAnsi="仿宋_GB2312" w:eastAsia="仿宋_GB2312" w:cs="仿宋_GB2312"/>
          <w:color w:val="000000" w:themeColor="text1"/>
          <w:sz w:val="24"/>
          <w:szCs w:val="24"/>
          <w:highlight w:val="none"/>
          <w14:textFill>
            <w14:solidFill>
              <w14:schemeClr w14:val="tx1"/>
            </w14:solidFill>
          </w14:textFill>
        </w:rPr>
        <w:t>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一线送货人员、物流车队的监督管控以及</w:t>
      </w:r>
      <w:r>
        <w:rPr>
          <w:rFonts w:hint="eastAsia" w:ascii="仿宋_GB2312" w:hAnsi="仿宋_GB2312" w:eastAsia="仿宋_GB2312" w:cs="仿宋_GB2312"/>
          <w:color w:val="000000" w:themeColor="text1"/>
          <w:sz w:val="24"/>
          <w:szCs w:val="24"/>
          <w:highlight w:val="none"/>
          <w14:textFill>
            <w14:solidFill>
              <w14:schemeClr w14:val="tx1"/>
            </w14:solidFill>
          </w14:textFill>
        </w:rPr>
        <w:t>交底工作，对相关人员加强教育和管理</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严禁“以次充好、内外勾结”等行为。</w:t>
      </w:r>
    </w:p>
    <w:p w14:paraId="3069C74E">
      <w:pPr>
        <w:pStyle w:val="16"/>
        <w:spacing w:line="400" w:lineRule="exact"/>
        <w:ind w:firstLine="560"/>
        <w:jc w:val="left"/>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若我司违反上述规定</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我司自愿终止与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w:t>
      </w:r>
      <w:r>
        <w:rPr>
          <w:rFonts w:hint="eastAsia" w:ascii="仿宋_GB2312" w:hAnsi="仿宋_GB2312" w:eastAsia="仿宋_GB2312" w:cs="仿宋_GB2312"/>
          <w:color w:val="000000" w:themeColor="text1"/>
          <w:sz w:val="24"/>
          <w:szCs w:val="24"/>
          <w:highlight w:val="none"/>
          <w14:textFill>
            <w14:solidFill>
              <w14:schemeClr w14:val="tx1"/>
            </w14:solidFill>
          </w14:textFill>
        </w:rPr>
        <w:t>公司的合作。</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若因我司人员管理失职导致的损失，我司愿承担一切责任。</w:t>
      </w:r>
    </w:p>
    <w:p w14:paraId="7C604DB1">
      <w:pPr>
        <w:pStyle w:val="16"/>
        <w:spacing w:line="560" w:lineRule="exact"/>
        <w:ind w:firstLine="560"/>
        <w:jc w:val="left"/>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p>
    <w:p w14:paraId="5D10A2E8">
      <w:pPr>
        <w:pStyle w:val="16"/>
        <w:spacing w:line="560" w:lineRule="exact"/>
        <w:ind w:firstLine="560"/>
        <w:jc w:val="left"/>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p>
    <w:p w14:paraId="27BB9E63">
      <w:pPr>
        <w:spacing w:line="400" w:lineRule="exact"/>
        <w:ind w:left="4" w:leftChars="2" w:right="210" w:rightChars="100" w:firstLine="4761" w:firstLineChars="1984"/>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承</w:t>
      </w:r>
      <w:r>
        <w:rPr>
          <w:rFonts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诺</w:t>
      </w:r>
      <w:r>
        <w:rPr>
          <w:rFonts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人（公章）：         </w:t>
      </w:r>
    </w:p>
    <w:p w14:paraId="5F7A7443">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524F951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6DF9A72">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4AC00D24">
      <w:pPr>
        <w:pStyle w:val="16"/>
        <w:spacing w:line="400" w:lineRule="exact"/>
        <w:ind w:firstLine="4800" w:firstLineChars="2000"/>
        <w:rPr>
          <w:rFonts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ascii="仿宋_GB2312" w:hAnsi="仿宋_GB2312" w:eastAsia="仿宋_GB2312" w:cs="仿宋_GB2312"/>
          <w:color w:val="000000" w:themeColor="text1"/>
          <w:sz w:val="24"/>
          <w:szCs w:val="24"/>
          <w:highlight w:val="none"/>
          <w14:textFill>
            <w14:solidFill>
              <w14:schemeClr w14:val="tx1"/>
            </w14:solidFill>
          </w14:textFill>
        </w:rPr>
        <w:t xml:space="preserve">   年   月   </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日</w:t>
      </w:r>
    </w:p>
    <w:p w14:paraId="65B025A7">
      <w:pPr>
        <w:pStyle w:val="14"/>
        <w:spacing w:line="400" w:lineRule="atLeast"/>
        <w:jc w:val="both"/>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92" w:gutter="0"/>
          <w:pgNumType w:fmt="decimal"/>
          <w:cols w:space="0" w:num="1"/>
          <w:docGrid w:linePitch="312" w:charSpace="0"/>
        </w:sectPr>
      </w:pPr>
    </w:p>
    <w:p w14:paraId="35608FE3">
      <w:pPr>
        <w:spacing w:line="400" w:lineRule="exact"/>
        <w:jc w:val="center"/>
        <w:rPr>
          <w:rFonts w:ascii="仿宋" w:hAnsi="仿宋" w:eastAsia="仿宋" w:cs="仿宋"/>
          <w:b/>
          <w:bCs/>
          <w:color w:val="000000" w:themeColor="text1"/>
          <w:sz w:val="32"/>
          <w:szCs w:val="32"/>
          <w:highlight w:val="none"/>
          <w14:textFill>
            <w14:solidFill>
              <w14:schemeClr w14:val="tx1"/>
            </w14:solidFill>
          </w14:textFill>
        </w:rPr>
      </w:pPr>
      <w:bookmarkStart w:id="93" w:name="_Toc18674"/>
      <w:bookmarkStart w:id="94" w:name="_Hlk127794870"/>
      <w:bookmarkStart w:id="95" w:name="_Toc1869"/>
      <w:bookmarkStart w:id="96"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93"/>
      <w:bookmarkEnd w:id="94"/>
      <w:bookmarkEnd w:id="95"/>
    </w:p>
    <w:p w14:paraId="4CCD0BB8">
      <w:pPr>
        <w:pStyle w:val="14"/>
        <w:numPr>
          <w:ilvl w:val="0"/>
          <w:numId w:val="8"/>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97" w:name="_Toc3066"/>
      <w:bookmarkStart w:id="98" w:name="_Toc11168"/>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6"/>
      <w:bookmarkEnd w:id="97"/>
      <w:bookmarkEnd w:id="98"/>
    </w:p>
    <w:p w14:paraId="24785846">
      <w:pPr>
        <w:pStyle w:val="14"/>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6210518A">
      <w:pPr>
        <w:pStyle w:val="14"/>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35A48B2B">
      <w:pPr>
        <w:pStyle w:val="14"/>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348F6C7E">
      <w:pPr>
        <w:pStyle w:val="14"/>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4F1C36EB">
      <w:pPr>
        <w:pStyle w:val="14"/>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5C4D6FE0">
      <w:pPr>
        <w:pStyle w:val="14"/>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2F10165C">
      <w:pPr>
        <w:pStyle w:val="14"/>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4C8B9BB2">
      <w:pPr>
        <w:pStyle w:val="14"/>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6E8AC38C">
      <w:pPr>
        <w:pStyle w:val="14"/>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666BAC38">
      <w:pPr>
        <w:pStyle w:val="14"/>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1A2B4FF0">
      <w:pPr>
        <w:pStyle w:val="14"/>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43355854">
      <w:pPr>
        <w:pStyle w:val="14"/>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79CA92FF">
      <w:pPr>
        <w:pStyle w:val="14"/>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71BEA1C8">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2CEF877B">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5E04F9B3">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2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甲方 </w:t>
      </w:r>
      <w:permEnd w:id="120"/>
      <w:r>
        <w:rPr>
          <w:rFonts w:hint="eastAsia" w:ascii="仿宋_GB2312" w:hAnsi="仿宋_GB2312" w:eastAsia="仿宋_GB2312" w:cs="仿宋_GB2312"/>
          <w:color w:val="000000" w:themeColor="text1"/>
          <w:highlight w:val="none"/>
          <w14:textFill>
            <w14:solidFill>
              <w14:schemeClr w14:val="tx1"/>
            </w14:solidFill>
          </w14:textFill>
        </w:rPr>
        <w:t>承担，装卸费用由</w:t>
      </w:r>
      <w:permStart w:id="12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permEnd w:id="121"/>
      <w:r>
        <w:rPr>
          <w:rFonts w:hint="eastAsia" w:ascii="仿宋_GB2312" w:hAnsi="仿宋_GB2312" w:eastAsia="仿宋_GB2312" w:cs="仿宋_GB2312"/>
          <w:color w:val="000000" w:themeColor="text1"/>
          <w:highlight w:val="none"/>
          <w14:textFill>
            <w14:solidFill>
              <w14:schemeClr w14:val="tx1"/>
            </w14:solidFill>
          </w14:textFill>
        </w:rPr>
        <w:t>承担。</w:t>
      </w:r>
    </w:p>
    <w:p w14:paraId="0D58B64F">
      <w:pPr>
        <w:pStyle w:val="14"/>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57B6623A">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4AC95328">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097A5E94">
      <w:pPr>
        <w:pStyle w:val="14"/>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9" w:name="_Toc965"/>
      <w:bookmarkStart w:id="100" w:name="_Toc1717"/>
      <w:bookmarkStart w:id="101" w:name="_Toc13486"/>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99"/>
      <w:bookmarkEnd w:id="100"/>
      <w:bookmarkEnd w:id="101"/>
    </w:p>
    <w:p w14:paraId="698011A2">
      <w:pPr>
        <w:pStyle w:val="14"/>
        <w:numPr>
          <w:ilvl w:val="0"/>
          <w:numId w:val="9"/>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43C86BBF">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02" w:name="_Hlk127198856"/>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w:t>
      </w:r>
      <w:r>
        <w:rPr>
          <w:rFonts w:hint="eastAsia" w:ascii="仿宋_GB2312" w:hAnsi="仿宋_GB2312" w:eastAsia="仿宋_GB2312" w:cs="仿宋_GB2312"/>
          <w:color w:val="000000" w:themeColor="text1"/>
          <w:highlight w:val="none"/>
          <w14:textFill>
            <w14:solidFill>
              <w14:schemeClr w14:val="tx1"/>
            </w14:solidFill>
          </w14:textFill>
        </w:rPr>
        <w:t>次，乙方须向甲方支付违约金，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违约金按照20000元每次计，且除违约金外乙方必须承担甲方项目实际工期损失及经济损失。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51AC47C5">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bookmarkEnd w:id="102"/>
    <w:p w14:paraId="79AB5714">
      <w:pPr>
        <w:pStyle w:val="14"/>
        <w:numPr>
          <w:ilvl w:val="0"/>
          <w:numId w:val="9"/>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26FBF4DB">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否则按照20000元每次承担违约金，且除违约金外乙方必须承担甲方项目实际工期损失及经济损失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1313C598">
      <w:pPr>
        <w:pStyle w:val="14"/>
        <w:numPr>
          <w:ilvl w:val="0"/>
          <w:numId w:val="9"/>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73DC09BB">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并按照20000元每次承担违约金，且除违约金外乙方必须承担甲方项目实际工期损失及经济损失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7F25F5F8">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并按照20000元每次承担违约金，且除违约金外乙方必须承担甲方项目实际工期损失及经济损失。</w:t>
      </w:r>
    </w:p>
    <w:p w14:paraId="64FCBD8F">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1B23D918">
      <w:pPr>
        <w:pStyle w:val="14"/>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1BCBD521">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2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122"/>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4DBEBF18">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7B35F859">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2B5C3B21">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58B33147">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211E7807">
      <w:pPr>
        <w:pStyle w:val="14"/>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strike w:val="0"/>
          <w:dstrike w:val="0"/>
          <w:color w:val="000000" w:themeColor="text1"/>
          <w:highlight w:val="none"/>
          <w14:textFill>
            <w14:solidFill>
              <w14:schemeClr w14:val="tx1"/>
            </w14:solidFill>
          </w14:textFill>
        </w:rPr>
        <w:t>4.5如乙方未在税务机关要求的期限内缴纳税款，导致甲方无法抵扣进项税的，甲方有权拒绝付款，如已经支付的，甲方有权追回已支付的款项，并要求乙方支付违约金或赔偿损失。</w:t>
      </w:r>
    </w:p>
    <w:p w14:paraId="6C4D4513">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提供伪造的增值税专用发票。</w:t>
      </w:r>
    </w:p>
    <w:p w14:paraId="2623BF42">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虚开增值税专用发票。</w:t>
      </w:r>
    </w:p>
    <w:p w14:paraId="60427F6C">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其它导致甲方无法进行增值税抵扣的情形。</w:t>
      </w:r>
    </w:p>
    <w:p w14:paraId="72A7C302">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7F79BFB8">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67D50924">
      <w:pPr>
        <w:pStyle w:val="14"/>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402AC247">
      <w:pPr>
        <w:pStyle w:val="14"/>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34F62AAC">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793628F1">
      <w:pPr>
        <w:pStyle w:val="14"/>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74053FA5">
      <w:pPr>
        <w:pStyle w:val="14"/>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03" w:name="_Hlk126830271"/>
      <w:bookmarkStart w:id="104" w:name="_Hlk126830163"/>
      <w:r>
        <w:rPr>
          <w:rFonts w:hint="eastAsia" w:ascii="仿宋_GB2312" w:hAnsi="仿宋_GB2312" w:eastAsia="仿宋_GB2312" w:cs="仿宋_GB2312"/>
          <w:b/>
          <w:bCs/>
          <w:color w:val="000000" w:themeColor="text1"/>
          <w:highlight w:val="none"/>
          <w14:textFill>
            <w14:solidFill>
              <w14:schemeClr w14:val="tx1"/>
            </w14:solidFill>
          </w14:textFill>
        </w:rPr>
        <w:t>未经甲方书面同意，乙方不得以对甲方享有之任何债权向其他第三方进行转让或提供任何形式之担保或保证等。</w:t>
      </w:r>
      <w:r>
        <w:rPr>
          <w:rFonts w:hint="eastAsia" w:ascii="仿宋_GB2312" w:hAnsi="仿宋_GB2312" w:eastAsia="仿宋_GB2312" w:cs="仿宋_GB2312"/>
          <w:color w:val="000000" w:themeColor="text1"/>
          <w:highlight w:val="none"/>
          <w14:textFill>
            <w14:solidFill>
              <w14:schemeClr w14:val="tx1"/>
            </w14:solidFill>
          </w14:textFill>
        </w:rPr>
        <w:t>乙方擅自转让或提供担保的，转让及对外提供担保无效，乙方应在违约转让债权之日起五日内，按照违约转让债权总额的5％向甲方支付违约金，逾期支付并应承担违约付款责任，同时债权转让不发生法律效力。经甲方同意转让合同权利，不解除乙方应承担本合同项下的义务和责任</w:t>
      </w:r>
      <w:bookmarkEnd w:id="103"/>
      <w:r>
        <w:rPr>
          <w:rFonts w:hint="eastAsia" w:ascii="仿宋_GB2312" w:hAnsi="仿宋_GB2312" w:eastAsia="仿宋_GB2312" w:cs="仿宋_GB2312"/>
          <w:color w:val="000000" w:themeColor="text1"/>
          <w:highlight w:val="none"/>
          <w14:textFill>
            <w14:solidFill>
              <w14:schemeClr w14:val="tx1"/>
            </w14:solidFill>
          </w14:textFill>
        </w:rPr>
        <w:t>。</w:t>
      </w:r>
      <w:bookmarkEnd w:id="104"/>
    </w:p>
    <w:p w14:paraId="70985A86">
      <w:pPr>
        <w:pStyle w:val="14"/>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5" w:name="_Hlk126834115"/>
      <w:bookmarkStart w:id="106"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107"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75753521">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0143BA28">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（1）伪造或虚开工程量数据，一经发现处以罚款2万元/次。</w:t>
      </w:r>
    </w:p>
    <w:p w14:paraId="1CF003DA">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1FDA3A30">
      <w:pPr>
        <w:pStyle w:val="14"/>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105"/>
      <w:r>
        <w:rPr>
          <w:rFonts w:hint="eastAsia" w:ascii="仿宋_GB2312" w:hAnsi="仿宋_GB2312" w:eastAsia="仿宋_GB2312" w:cs="仿宋_GB2312"/>
          <w:color w:val="000000" w:themeColor="text1"/>
          <w:highlight w:val="none"/>
          <w14:textFill>
            <w14:solidFill>
              <w14:schemeClr w14:val="tx1"/>
            </w14:solidFill>
          </w14:textFill>
        </w:rPr>
        <w:t>。</w:t>
      </w:r>
      <w:bookmarkEnd w:id="106"/>
      <w:bookmarkEnd w:id="107"/>
    </w:p>
    <w:p w14:paraId="4101FF82">
      <w:pPr>
        <w:pStyle w:val="14"/>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8" w:name="_Toc20335"/>
      <w:bookmarkStart w:id="109" w:name="_Toc19191"/>
      <w:bookmarkStart w:id="110" w:name="_Toc11521"/>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3225E150">
      <w:pPr>
        <w:pStyle w:val="14"/>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4FB9F9F6">
      <w:pPr>
        <w:pStyle w:val="14"/>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60C63A1E">
      <w:pPr>
        <w:pStyle w:val="14"/>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6C40DC1A">
      <w:pPr>
        <w:pStyle w:val="14"/>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1B5DA524">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15B26AF6">
      <w:pPr>
        <w:pStyle w:val="14"/>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79A36FC5">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06C17674">
      <w:pPr>
        <w:pStyle w:val="14"/>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08"/>
      <w:bookmarkEnd w:id="109"/>
      <w:bookmarkEnd w:id="110"/>
    </w:p>
    <w:p w14:paraId="2E48C4B5">
      <w:pPr>
        <w:pStyle w:val="15"/>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623AFB20">
      <w:pPr>
        <w:pStyle w:val="15"/>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45A99D98">
      <w:pPr>
        <w:pStyle w:val="15"/>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6FE5CD0D">
      <w:pPr>
        <w:pStyle w:val="15"/>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7D6DC63B">
      <w:pPr>
        <w:pStyle w:val="15"/>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3C68411C">
      <w:pPr>
        <w:pStyle w:val="15"/>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234BC280">
      <w:pPr>
        <w:pStyle w:val="14"/>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3B8EEC30">
      <w:pPr>
        <w:pStyle w:val="14"/>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1" w:name="_Toc12864"/>
      <w:bookmarkStart w:id="112" w:name="_Toc13562"/>
      <w:bookmarkStart w:id="113" w:name="_Toc13471"/>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11"/>
      <w:bookmarkEnd w:id="112"/>
      <w:bookmarkEnd w:id="113"/>
    </w:p>
    <w:p w14:paraId="16F131AE">
      <w:pPr>
        <w:pStyle w:val="14"/>
        <w:numPr>
          <w:ilvl w:val="0"/>
          <w:numId w:val="10"/>
        </w:numPr>
        <w:spacing w:line="400" w:lineRule="atLeast"/>
        <w:ind w:firstLine="480" w:firstLineChars="200"/>
        <w:jc w:val="both"/>
        <w:rPr>
          <w:rFonts w:hint="eastAsia" w:ascii="宋体" w:hAnsi="宋体"/>
          <w:szCs w:val="21"/>
          <w:highlight w:val="none"/>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799AA0DE">
      <w:pPr>
        <w:pStyle w:val="14"/>
        <w:numPr>
          <w:ilvl w:val="0"/>
          <w:numId w:val="10"/>
        </w:numPr>
        <w:spacing w:before="120" w:beforeLines="50" w:after="120" w:afterLines="50" w:line="400" w:lineRule="atLeast"/>
        <w:ind w:left="0" w:leftChars="0" w:firstLine="480" w:firstLineChars="200"/>
        <w:outlineLvl w:val="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根据</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第一部分《专用条款》本合同单价适用方式，双方做如下约定：</w:t>
      </w:r>
    </w:p>
    <w:p w14:paraId="2E8B64F8">
      <w:pPr>
        <w:pStyle w:val="14"/>
        <w:numPr>
          <w:ilvl w:val="0"/>
          <w:numId w:val="0"/>
        </w:numPr>
        <w:spacing w:before="120" w:beforeLines="50" w:after="120" w:afterLines="50" w:line="400" w:lineRule="atLeast"/>
        <w:ind w:firstLine="482" w:firstLineChars="200"/>
        <w:outlineLvl w:val="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2.1若本合同单价适用方式一：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3DCA0064">
      <w:pPr>
        <w:pStyle w:val="14"/>
        <w:numPr>
          <w:ilvl w:val="0"/>
          <w:numId w:val="0"/>
        </w:numPr>
        <w:spacing w:line="400" w:lineRule="atLeast"/>
        <w:ind w:firstLine="482" w:firstLineChars="200"/>
        <w:jc w:val="both"/>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2.2若本合同单价适用方式二：组合单价合同，则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分供合同标的物数量不超过原合同数量的10%（含），由原分供商继续履行合同，正常办理结算；分供合同标的物数量超过原合同数量10%但不超过30%（含）提前与原分供商签订补充协议；分供合同标的物数量超过原合同数量30%，则应提前筹划，对原合同外的物资重新组织招标，签订新的分供合同。</w:t>
      </w:r>
    </w:p>
    <w:p w14:paraId="74A8A9D8">
      <w:pPr>
        <w:pStyle w:val="14"/>
        <w:numPr>
          <w:ilvl w:val="0"/>
          <w:numId w:val="0"/>
        </w:numPr>
        <w:spacing w:line="400" w:lineRule="atLeast"/>
        <w:ind w:firstLine="482"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因工程建设单位、监理单位及相关部门出台的相关规定文件、市场准入制度造成合同不能执行，甲方不承担任何责任。</w:t>
      </w:r>
    </w:p>
    <w:p w14:paraId="65682A44">
      <w:pPr>
        <w:pStyle w:val="14"/>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4" w:name="_Toc28560"/>
      <w:bookmarkStart w:id="115" w:name="_Toc23441"/>
      <w:bookmarkStart w:id="116" w:name="_Toc29083"/>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14"/>
      <w:bookmarkEnd w:id="115"/>
      <w:bookmarkEnd w:id="116"/>
    </w:p>
    <w:p w14:paraId="72F606FC">
      <w:pPr>
        <w:pStyle w:val="14"/>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17"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7D991B41">
      <w:pPr>
        <w:pStyle w:val="14"/>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0376D4A7">
      <w:pPr>
        <w:pStyle w:val="14"/>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39528504">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594E5520">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25FFA412">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50C12512">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6CCB3139">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5A4E9660">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2D24B37B">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13355255">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72471C24">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3F0157CD">
      <w:pPr>
        <w:pStyle w:val="14"/>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17"/>
      <w:r>
        <w:rPr>
          <w:rFonts w:hint="eastAsia" w:ascii="仿宋_GB2312" w:hAnsi="仿宋_GB2312" w:eastAsia="仿宋_GB2312" w:cs="仿宋_GB2312"/>
          <w:b/>
          <w:bCs/>
          <w:color w:val="000000" w:themeColor="text1"/>
          <w:highlight w:val="none"/>
          <w14:textFill>
            <w14:solidFill>
              <w14:schemeClr w14:val="tx1"/>
            </w14:solidFill>
          </w14:textFill>
        </w:rPr>
        <w:t>。</w:t>
      </w:r>
    </w:p>
    <w:p w14:paraId="7E2F204D">
      <w:pPr>
        <w:pStyle w:val="14"/>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highlight w:val="none"/>
          <w14:textFill>
            <w14:solidFill>
              <w14:schemeClr w14:val="tx1"/>
            </w14:solidFill>
          </w14:textFill>
        </w:rPr>
      </w:pPr>
      <w:bookmarkStart w:id="118" w:name="_Toc26850"/>
      <w:bookmarkStart w:id="119" w:name="_Toc10852"/>
      <w:bookmarkStart w:id="120" w:name="_Toc9310"/>
      <w:bookmarkStart w:id="121" w:name="_Toc18501"/>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18"/>
    </w:p>
    <w:p w14:paraId="0AEBF9BE">
      <w:pPr>
        <w:pStyle w:val="14"/>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w:t>
      </w:r>
    </w:p>
    <w:p w14:paraId="1D8268F9">
      <w:pPr>
        <w:pStyle w:val="14"/>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70DB4578">
      <w:pPr>
        <w:pStyle w:val="14"/>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0AE677C8">
      <w:pPr>
        <w:pStyle w:val="14"/>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不可抗力事件发生后，乙方应立即通知甲方，并在力所能及的条件下迅速采取措施，尽力减少损失，甲方应协助乙方采取措施。若因乙方未能尽力挽救，导致损失扩大的，由乙方承担全部责任。</w:t>
      </w:r>
    </w:p>
    <w:p w14:paraId="2349273F">
      <w:pPr>
        <w:pStyle w:val="14"/>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不可抗力事件结束后14天内，乙方应向甲方提交清理和修复费用的正式报告及有关资料。</w:t>
      </w:r>
    </w:p>
    <w:p w14:paraId="5C7FB294">
      <w:pPr>
        <w:pStyle w:val="14"/>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2A1C2471">
      <w:pPr>
        <w:pStyle w:val="14"/>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78570998">
      <w:pPr>
        <w:pStyle w:val="14"/>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（1）乙方施工设备的损坏由乙方承担；</w:t>
      </w:r>
    </w:p>
    <w:p w14:paraId="6EBC249B">
      <w:pPr>
        <w:pStyle w:val="14"/>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（2）甲方和乙方承担各自人员伤亡和财产的损失；</w:t>
      </w:r>
    </w:p>
    <w:p w14:paraId="62F4B74B">
      <w:pPr>
        <w:pStyle w:val="14"/>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（3）因不可抗力影响乙方履行合同约定的义务，已经引起或将引起工期延误的，应当顺延工期，由此导致乙方停工的费用损失由乙方承担；</w:t>
      </w:r>
    </w:p>
    <w:p w14:paraId="1EF83298">
      <w:pPr>
        <w:pStyle w:val="14"/>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（4）因不可抗力引起或将引起工期延误，甲方要求赶工的，由此增加的赶工费用由甲方承担；</w:t>
      </w:r>
    </w:p>
    <w:p w14:paraId="4FD3A788">
      <w:pPr>
        <w:pStyle w:val="14"/>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（5）乙方在停工期间按照甲方要求照管和清理工程的费用由甲方承担。</w:t>
      </w:r>
    </w:p>
    <w:p w14:paraId="4C65110E">
      <w:pPr>
        <w:pStyle w:val="14"/>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17C478DE">
      <w:pPr>
        <w:pStyle w:val="14"/>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39100DDB">
      <w:pPr>
        <w:pStyle w:val="14"/>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5AAC2630">
      <w:pPr>
        <w:pStyle w:val="14"/>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bookmarkEnd w:id="119"/>
    <w:bookmarkEnd w:id="120"/>
    <w:bookmarkEnd w:id="121"/>
    <w:p w14:paraId="0E12CD7C">
      <w:pPr>
        <w:pStyle w:val="14"/>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2" w:name="_Toc31739"/>
      <w:bookmarkStart w:id="123" w:name="_Toc11207"/>
      <w:bookmarkStart w:id="124" w:name="_Toc18393"/>
      <w:r>
        <w:rPr>
          <w:rFonts w:hint="eastAsia" w:ascii="仿宋_GB2312" w:hAnsi="仿宋_GB2312" w:eastAsia="仿宋_GB2312" w:cs="仿宋_GB2312"/>
          <w:b/>
          <w:bCs/>
          <w:color w:val="000000" w:themeColor="text1"/>
          <w:highlight w:val="none"/>
          <w14:textFill>
            <w14:solidFill>
              <w14:schemeClr w14:val="tx1"/>
            </w14:solidFill>
          </w14:textFill>
        </w:rPr>
        <w:t>争议解决</w:t>
      </w:r>
    </w:p>
    <w:p w14:paraId="21443D03">
      <w:pPr>
        <w:pStyle w:val="14"/>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60304AC2">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bookmarkEnd w:id="122"/>
    <w:bookmarkEnd w:id="123"/>
    <w:bookmarkEnd w:id="124"/>
    <w:p w14:paraId="36C80F27">
      <w:pPr>
        <w:spacing w:line="400" w:lineRule="exact"/>
        <w:ind w:firstLine="422" w:firstLineChars="200"/>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bookmarkStart w:id="125" w:name="_Hlk126830485"/>
      <w:bookmarkStart w:id="126" w:name="_Hlk126770481"/>
      <w:bookmarkStart w:id="127" w:name="_Toc12970"/>
      <w:r>
        <w:rPr>
          <w:rFonts w:hint="eastAsia" w:ascii="仿宋_GB2312" w:hAnsi="仿宋_GB2312" w:eastAsia="仿宋_GB2312" w:cs="仿宋_GB2312"/>
          <w:b/>
          <w:bCs/>
          <w:color w:val="000000" w:themeColor="text1"/>
          <w:highlight w:val="none"/>
          <w14:textFill>
            <w14:solidFill>
              <w14:schemeClr w14:val="tx1"/>
            </w14:solidFill>
          </w14:textFill>
        </w:rPr>
        <w:t>2、</w:t>
      </w:r>
      <w:bookmarkStart w:id="128"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争议仲裁或诉讼：</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因本合同引起或与之相关任何争议、纠纷或权利主张，和解不成且已超过和解期的,按以下第</w:t>
      </w:r>
      <w:permStart w:id="123" w:edGrp="everyone"/>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 xml:space="preserve"> 2.1.2</w:t>
      </w:r>
      <w:permEnd w:id="123"/>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种方式解决。</w:t>
      </w:r>
    </w:p>
    <w:p w14:paraId="76FBB1CD">
      <w:pPr>
        <w:pStyle w:val="14"/>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2.1.1双方约定向甲方住所地有管辖权的人民法院提起诉讼。</w:t>
      </w:r>
    </w:p>
    <w:p w14:paraId="16103EDC">
      <w:pPr>
        <w:pStyle w:val="14"/>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2.1.2双方约定向合同签订地人民法院提起诉讼。</w:t>
      </w:r>
    </w:p>
    <w:p w14:paraId="25447158">
      <w:pPr>
        <w:pStyle w:val="14"/>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2.2.3提交河北省石家庄市仲裁委员会裁决。</w:t>
      </w:r>
    </w:p>
    <w:p w14:paraId="4AA2E5C6">
      <w:pPr>
        <w:pStyle w:val="14"/>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25"/>
      <w:bookmarkEnd w:id="128"/>
      <w:r>
        <w:rPr>
          <w:rFonts w:hint="eastAsia" w:ascii="仿宋_GB2312" w:hAnsi="仿宋_GB2312" w:eastAsia="仿宋_GB2312" w:cs="仿宋_GB2312"/>
          <w:b/>
          <w:bCs/>
          <w:color w:val="000000" w:themeColor="text1"/>
          <w:highlight w:val="none"/>
          <w14:textFill>
            <w14:solidFill>
              <w14:schemeClr w14:val="tx1"/>
            </w14:solidFill>
          </w14:textFill>
        </w:rPr>
        <w:t>。</w:t>
      </w:r>
      <w:bookmarkEnd w:id="126"/>
    </w:p>
    <w:p w14:paraId="0C75CB60">
      <w:pPr>
        <w:pStyle w:val="14"/>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引发的费用。</w:t>
      </w:r>
    </w:p>
    <w:p w14:paraId="695989E0">
      <w:pPr>
        <w:pStyle w:val="14"/>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p>
    <w:p w14:paraId="5EB53671">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1E162A07">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10154A64">
      <w:pPr>
        <w:pStyle w:val="14"/>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9" w:name="_Toc3848"/>
      <w:bookmarkStart w:id="130" w:name="_Toc1403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7"/>
      <w:bookmarkEnd w:id="129"/>
      <w:bookmarkEnd w:id="130"/>
    </w:p>
    <w:p w14:paraId="63AF541D">
      <w:pPr>
        <w:pStyle w:val="14"/>
        <w:numPr>
          <w:ilvl w:val="0"/>
          <w:numId w:val="13"/>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49EA7CB2">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0A3AF5E1">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4C7E47DF">
      <w:pPr>
        <w:pStyle w:val="14"/>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2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24"/>
      <w:r>
        <w:rPr>
          <w:rFonts w:hint="eastAsia" w:ascii="仿宋_GB2312" w:hAnsi="仿宋_GB2312" w:eastAsia="仿宋_GB2312" w:cs="仿宋_GB2312"/>
          <w:color w:val="000000" w:themeColor="text1"/>
          <w:highlight w:val="none"/>
          <w14:textFill>
            <w14:solidFill>
              <w14:schemeClr w14:val="tx1"/>
            </w14:solidFill>
          </w14:textFill>
        </w:rPr>
        <w:t>。</w:t>
      </w:r>
    </w:p>
    <w:p w14:paraId="182E8346">
      <w:pPr>
        <w:pStyle w:val="14"/>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bookmarkStart w:id="131"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31"/>
    </w:p>
    <w:p w14:paraId="1EE0E736">
      <w:pPr>
        <w:pStyle w:val="14"/>
        <w:spacing w:line="400" w:lineRule="exac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p>
    <w:p w14:paraId="51F87ECA">
      <w:pPr>
        <w:pStyle w:val="14"/>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甲方（盖章）：                        乙方（公章）：</w:t>
      </w:r>
    </w:p>
    <w:p w14:paraId="73F42695">
      <w:pPr>
        <w:pStyle w:val="14"/>
        <w:spacing w:line="400" w:lineRule="atLeast"/>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p>
    <w:p w14:paraId="72DAC9E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605E4C6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8B2A130">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18A7CD0C">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4C35337F">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393EE203">
      <w:pPr>
        <w:pStyle w:val="14"/>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6857FAE6">
      <w:pPr>
        <w:rPr>
          <w:rFonts w:ascii="仿宋_GB2312" w:hAnsi="仿宋_GB2312" w:eastAsia="仿宋_GB2312" w:cs="仿宋_GB2312"/>
          <w:color w:val="000000" w:themeColor="text1"/>
          <w:sz w:val="24"/>
          <w:highlight w:val="none"/>
          <w14:textFill>
            <w14:solidFill>
              <w14:schemeClr w14:val="tx1"/>
            </w14:solidFill>
          </w14:textFill>
        </w:rPr>
      </w:pPr>
    </w:p>
    <w:p w14:paraId="05EC7A24">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4D75D">
    <w:pPr>
      <w:pStyle w:val="6"/>
      <w:jc w:val="center"/>
      <w:rPr>
        <w:rFonts w:ascii="仿宋" w:hAnsi="仿宋" w:eastAsia="仿宋" w:cs="仿宋"/>
        <w:sz w:val="24"/>
        <w:szCs w:val="36"/>
      </w:rPr>
    </w:pPr>
    <w:r>
      <w:rPr>
        <w:rFonts w:hint="eastAsia" w:ascii="仿宋" w:hAnsi="仿宋" w:eastAsia="仿宋" w:cs="仿宋"/>
        <w:sz w:val="24"/>
        <w:szCs w:val="36"/>
      </w:rPr>
      <w:t>中建三局第*建设工程有限责任公司</w:t>
    </w:r>
  </w:p>
  <w:p w14:paraId="1184612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058FE">
    <w:pPr>
      <w:pStyle w:val="6"/>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8EFA6">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DB0F3">
    <w:pPr>
      <w:pStyle w:val="6"/>
      <w:jc w:val="center"/>
      <w:rPr>
        <w:rFonts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35D1E">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7C3BA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87C3BA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0A6A7">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DE28D4">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CDE28D4">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F95BA">
    <w:pPr>
      <w:pStyle w:val="7"/>
    </w:pPr>
  </w:p>
  <w:p w14:paraId="35CD8E9C">
    <w:pPr>
      <w:pStyle w:val="7"/>
    </w:pPr>
  </w:p>
  <w:p w14:paraId="386ED1FE">
    <w:pPr>
      <w:pStyle w:val="7"/>
    </w:pPr>
  </w:p>
  <w:p w14:paraId="138CBD0B">
    <w:pPr>
      <w:pStyle w:val="7"/>
    </w:pPr>
  </w:p>
  <w:p w14:paraId="1201203A">
    <w:pPr>
      <w:pStyle w:val="7"/>
      <w:jc w:val="left"/>
      <w:rPr>
        <w:b/>
        <w:bCs/>
      </w:rPr>
    </w:pPr>
    <w:r>
      <w:rPr>
        <w:b/>
        <w:bCs/>
      </w:rPr>
      <w:t>CSCEC</w:t>
    </w:r>
    <w:r>
      <w:t xml:space="preserve">  </w:t>
    </w:r>
    <w:r>
      <w:rPr>
        <w:rFonts w:hint="eastAsia"/>
        <w:b/>
        <w:bCs/>
      </w:rPr>
      <w:t xml:space="preserve">                                                                                 中建</w:t>
    </w:r>
  </w:p>
  <w:p w14:paraId="1BBB4973">
    <w:pPr>
      <w:pStyle w:val="7"/>
    </w:pPr>
  </w:p>
  <w:p w14:paraId="3E05C16F">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F9732">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336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1B196C25">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2D98F">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712E9888">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EDF3A">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280DA00B">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E0133784"/>
    <w:multiLevelType w:val="singleLevel"/>
    <w:tmpl w:val="E0133784"/>
    <w:lvl w:ilvl="0" w:tentative="0">
      <w:start w:val="1"/>
      <w:numFmt w:val="decimal"/>
      <w:suff w:val="nothing"/>
      <w:lvlText w:val="%1、"/>
      <w:lvlJc w:val="left"/>
    </w:lvl>
  </w:abstractNum>
  <w:abstractNum w:abstractNumId="4">
    <w:nsid w:val="EEFD7662"/>
    <w:multiLevelType w:val="singleLevel"/>
    <w:tmpl w:val="EEFD7662"/>
    <w:lvl w:ilvl="0" w:tentative="0">
      <w:start w:val="1"/>
      <w:numFmt w:val="decimal"/>
      <w:suff w:val="nothing"/>
      <w:lvlText w:val="%1、"/>
      <w:lvlJc w:val="left"/>
    </w:lvl>
  </w:abstractNum>
  <w:abstractNum w:abstractNumId="5">
    <w:nsid w:val="EFACCE70"/>
    <w:multiLevelType w:val="singleLevel"/>
    <w:tmpl w:val="EFACCE70"/>
    <w:lvl w:ilvl="0" w:tentative="0">
      <w:start w:val="1"/>
      <w:numFmt w:val="chineseCounting"/>
      <w:suff w:val="nothing"/>
      <w:lvlText w:val="%1、"/>
      <w:lvlJc w:val="left"/>
      <w:rPr>
        <w:rFonts w:hint="eastAsia"/>
      </w:rPr>
    </w:lvl>
  </w:abstractNum>
  <w:abstractNum w:abstractNumId="6">
    <w:nsid w:val="F4B4D53B"/>
    <w:multiLevelType w:val="singleLevel"/>
    <w:tmpl w:val="F4B4D53B"/>
    <w:lvl w:ilvl="0" w:tentative="0">
      <w:start w:val="1"/>
      <w:numFmt w:val="decimal"/>
      <w:suff w:val="nothing"/>
      <w:lvlText w:val="%1、"/>
      <w:lvlJc w:val="left"/>
    </w:lvl>
  </w:abstractNum>
  <w:abstractNum w:abstractNumId="7">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8">
    <w:nsid w:val="1C870535"/>
    <w:multiLevelType w:val="singleLevel"/>
    <w:tmpl w:val="1C870535"/>
    <w:lvl w:ilvl="0" w:tentative="0">
      <w:start w:val="1"/>
      <w:numFmt w:val="decimal"/>
      <w:suff w:val="nothing"/>
      <w:lvlText w:val="%1、"/>
      <w:lvlJc w:val="left"/>
      <w:rPr>
        <w:rFonts w:hint="default"/>
        <w:b/>
        <w:bCs/>
      </w:rPr>
    </w:lvl>
  </w:abstractNum>
  <w:abstractNum w:abstractNumId="9">
    <w:nsid w:val="1D9874AA"/>
    <w:multiLevelType w:val="singleLevel"/>
    <w:tmpl w:val="1D9874AA"/>
    <w:lvl w:ilvl="0" w:tentative="0">
      <w:start w:val="1"/>
      <w:numFmt w:val="chineseCounting"/>
      <w:suff w:val="nothing"/>
      <w:lvlText w:val="%1、"/>
      <w:lvlJc w:val="left"/>
      <w:rPr>
        <w:rFonts w:hint="eastAsia"/>
      </w:rPr>
    </w:lvl>
  </w:abstractNum>
  <w:abstractNum w:abstractNumId="10">
    <w:nsid w:val="567023B9"/>
    <w:multiLevelType w:val="singleLevel"/>
    <w:tmpl w:val="567023B9"/>
    <w:lvl w:ilvl="0" w:tentative="0">
      <w:start w:val="1"/>
      <w:numFmt w:val="decimal"/>
      <w:suff w:val="nothing"/>
      <w:lvlText w:val="%1、"/>
      <w:lvlJc w:val="left"/>
    </w:lvl>
  </w:abstractNum>
  <w:abstractNum w:abstractNumId="11">
    <w:nsid w:val="597510C0"/>
    <w:multiLevelType w:val="multilevel"/>
    <w:tmpl w:val="597510C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5"/>
  </w:num>
  <w:num w:numId="2">
    <w:abstractNumId w:val="11"/>
  </w:num>
  <w:num w:numId="3">
    <w:abstractNumId w:val="8"/>
  </w:num>
  <w:num w:numId="4">
    <w:abstractNumId w:val="4"/>
  </w:num>
  <w:num w:numId="5">
    <w:abstractNumId w:val="6"/>
  </w:num>
  <w:num w:numId="6">
    <w:abstractNumId w:val="12"/>
  </w:num>
  <w:num w:numId="7">
    <w:abstractNumId w:val="7"/>
  </w:num>
  <w:num w:numId="8">
    <w:abstractNumId w:val="9"/>
  </w:num>
  <w:num w:numId="9">
    <w:abstractNumId w:val="10"/>
  </w:num>
  <w:num w:numId="10">
    <w:abstractNumId w:val="2"/>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dit="readOnly" w:enforcement="1" w:cryptProviderType="rsaFull" w:cryptAlgorithmClass="hash" w:cryptAlgorithmType="typeAny" w:cryptAlgorithmSid="4" w:cryptSpinCount="0" w:hash="rAs42L3EMxPuBm8qJTzafhjwfD0=" w:salt="MEjpwKZZvnnzdNIQZCnMB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000000"/>
    <w:rsid w:val="004E160F"/>
    <w:rsid w:val="01C55607"/>
    <w:rsid w:val="02D56FC6"/>
    <w:rsid w:val="0560216C"/>
    <w:rsid w:val="0A7329E6"/>
    <w:rsid w:val="0A7879AE"/>
    <w:rsid w:val="0A897E88"/>
    <w:rsid w:val="0B3348DE"/>
    <w:rsid w:val="0C672215"/>
    <w:rsid w:val="0CDB347F"/>
    <w:rsid w:val="0D765BD1"/>
    <w:rsid w:val="0DB8731C"/>
    <w:rsid w:val="0F5D461F"/>
    <w:rsid w:val="1003689A"/>
    <w:rsid w:val="10FA0422"/>
    <w:rsid w:val="11596396"/>
    <w:rsid w:val="11A93B4C"/>
    <w:rsid w:val="13F90F40"/>
    <w:rsid w:val="14D9230B"/>
    <w:rsid w:val="15D92103"/>
    <w:rsid w:val="16D36347"/>
    <w:rsid w:val="18E9214E"/>
    <w:rsid w:val="194A79C2"/>
    <w:rsid w:val="199F06C1"/>
    <w:rsid w:val="1ACB5DBE"/>
    <w:rsid w:val="1CFF0659"/>
    <w:rsid w:val="1D2D7C58"/>
    <w:rsid w:val="1DC24035"/>
    <w:rsid w:val="1E9811D0"/>
    <w:rsid w:val="1FDE2234"/>
    <w:rsid w:val="20D34741"/>
    <w:rsid w:val="21237009"/>
    <w:rsid w:val="23FA201E"/>
    <w:rsid w:val="25AB6412"/>
    <w:rsid w:val="25B368EF"/>
    <w:rsid w:val="263D0137"/>
    <w:rsid w:val="274912B9"/>
    <w:rsid w:val="27E81293"/>
    <w:rsid w:val="29143B49"/>
    <w:rsid w:val="2B6B0C1C"/>
    <w:rsid w:val="2C355A9F"/>
    <w:rsid w:val="2EC67693"/>
    <w:rsid w:val="2FF94048"/>
    <w:rsid w:val="31111175"/>
    <w:rsid w:val="33134E71"/>
    <w:rsid w:val="334212B2"/>
    <w:rsid w:val="34CA032B"/>
    <w:rsid w:val="369C374A"/>
    <w:rsid w:val="371B60A2"/>
    <w:rsid w:val="37A442EA"/>
    <w:rsid w:val="3A58061F"/>
    <w:rsid w:val="3C6A47D3"/>
    <w:rsid w:val="3C85245A"/>
    <w:rsid w:val="3CBF678C"/>
    <w:rsid w:val="3DDE2C63"/>
    <w:rsid w:val="3E4D4BAE"/>
    <w:rsid w:val="3F731D7F"/>
    <w:rsid w:val="40FE2C92"/>
    <w:rsid w:val="41232723"/>
    <w:rsid w:val="415735AD"/>
    <w:rsid w:val="45020310"/>
    <w:rsid w:val="4672302A"/>
    <w:rsid w:val="468178D7"/>
    <w:rsid w:val="477C4010"/>
    <w:rsid w:val="47857C94"/>
    <w:rsid w:val="481854DF"/>
    <w:rsid w:val="498B7172"/>
    <w:rsid w:val="4A6D24A3"/>
    <w:rsid w:val="4AF519BC"/>
    <w:rsid w:val="4C03387D"/>
    <w:rsid w:val="4C432A0F"/>
    <w:rsid w:val="4D7E765F"/>
    <w:rsid w:val="510C4098"/>
    <w:rsid w:val="521D6D1B"/>
    <w:rsid w:val="55051E64"/>
    <w:rsid w:val="551535FC"/>
    <w:rsid w:val="55C91693"/>
    <w:rsid w:val="567F5C39"/>
    <w:rsid w:val="57415D69"/>
    <w:rsid w:val="5A062C48"/>
    <w:rsid w:val="5A62084C"/>
    <w:rsid w:val="5B46421B"/>
    <w:rsid w:val="5B857E0A"/>
    <w:rsid w:val="5C864B67"/>
    <w:rsid w:val="5E0579FB"/>
    <w:rsid w:val="5E221153"/>
    <w:rsid w:val="5E4E17D8"/>
    <w:rsid w:val="5E7C76E1"/>
    <w:rsid w:val="62A83CA9"/>
    <w:rsid w:val="630A5099"/>
    <w:rsid w:val="63324F1C"/>
    <w:rsid w:val="655068CB"/>
    <w:rsid w:val="655237B3"/>
    <w:rsid w:val="65585938"/>
    <w:rsid w:val="65F938CF"/>
    <w:rsid w:val="66576686"/>
    <w:rsid w:val="697275C4"/>
    <w:rsid w:val="6B3F2F83"/>
    <w:rsid w:val="6B5428BF"/>
    <w:rsid w:val="6C0504CD"/>
    <w:rsid w:val="6C0D75DB"/>
    <w:rsid w:val="6C537AB1"/>
    <w:rsid w:val="6C682001"/>
    <w:rsid w:val="6E1E4B68"/>
    <w:rsid w:val="6EC95C51"/>
    <w:rsid w:val="6EFA6A68"/>
    <w:rsid w:val="6F6873CF"/>
    <w:rsid w:val="6F98301C"/>
    <w:rsid w:val="6FA504B7"/>
    <w:rsid w:val="6FC35D9F"/>
    <w:rsid w:val="6FF4472C"/>
    <w:rsid w:val="71BB5EDC"/>
    <w:rsid w:val="721414BF"/>
    <w:rsid w:val="733C129F"/>
    <w:rsid w:val="757B2DE3"/>
    <w:rsid w:val="77F02658"/>
    <w:rsid w:val="781A46AA"/>
    <w:rsid w:val="784A2271"/>
    <w:rsid w:val="7A152E0F"/>
    <w:rsid w:val="7A8273F3"/>
    <w:rsid w:val="7BBF53F4"/>
    <w:rsid w:val="7D4E22FA"/>
    <w:rsid w:val="7DB76E0E"/>
    <w:rsid w:val="7ECD54A1"/>
    <w:rsid w:val="7F4C3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黑体" w:hAnsi="Courier New" w:eastAsia="黑体" w:cs="Times New Roman"/>
      <w:szCs w:val="20"/>
    </w:rPr>
  </w:style>
  <w:style w:type="paragraph" w:styleId="3">
    <w:name w:val="annotation text"/>
    <w:basedOn w:val="1"/>
    <w:autoRedefine/>
    <w:qFormat/>
    <w:uiPriority w:val="0"/>
    <w:pPr>
      <w:jc w:val="left"/>
    </w:pPr>
  </w:style>
  <w:style w:type="paragraph" w:styleId="4">
    <w:name w:val="Body Text"/>
    <w:basedOn w:val="1"/>
    <w:next w:val="1"/>
    <w:autoRedefine/>
    <w:qFormat/>
    <w:uiPriority w:val="0"/>
    <w:rPr>
      <w:szCs w:val="28"/>
    </w:rPr>
  </w:style>
  <w:style w:type="paragraph" w:styleId="5">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6">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8">
    <w:name w:val="toc 1"/>
    <w:basedOn w:val="1"/>
    <w:next w:val="1"/>
    <w:autoRedefine/>
    <w:qFormat/>
    <w:uiPriority w:val="0"/>
    <w:rPr>
      <w:rFonts w:ascii="Calibri" w:hAnsi="Calibri" w:eastAsia="宋体" w:cs="Times New Roman"/>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5">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 w:type="paragraph" w:customStyle="1" w:styleId="16">
    <w:name w:val="Body text|1"/>
    <w:basedOn w:val="1"/>
    <w:autoRedefine/>
    <w:qFormat/>
    <w:locked/>
    <w:uiPriority w:val="0"/>
    <w:pPr>
      <w:spacing w:line="480"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25082</Words>
  <Characters>26164</Characters>
  <Lines>0</Lines>
  <Paragraphs>0</Paragraphs>
  <TotalTime>35</TotalTime>
  <ScaleCrop>false</ScaleCrop>
  <LinksUpToDate>false</LinksUpToDate>
  <CharactersWithSpaces>28551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2023-11-09T02:14:00Z</dcterms:created>
  <dc:creator>周轶群</dc:creator>
  <cp:lastModifiedBy>winzg</cp:lastModifiedBy>
  <dcterms:modified xsi:type="dcterms:W3CDTF">2024-09-09T02:43:29Z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EE8EF93059724848B8A46E0C1FA40266_13</vt:lpwstr>
  </property>
</Properties>
</file>