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DA654">
      <w:pPr>
        <w:pStyle w:val="3"/>
        <w:numPr>
          <w:ilvl w:val="0"/>
          <w:numId w:val="0"/>
        </w:numPr>
        <w:adjustRightInd w:val="0"/>
        <w:snapToGrid w:val="0"/>
        <w:spacing w:before="120" w:after="120" w:line="240" w:lineRule="auto"/>
        <w:jc w:val="both"/>
        <w:rPr>
          <w:rFonts w:hint="eastAsia" w:ascii="仿宋_GB2312" w:eastAsia="仿宋_GB2312"/>
          <w:b w:val="0"/>
          <w:bCs w:val="0"/>
          <w:highlight w:val="none"/>
          <w:u w:color="FF0000"/>
        </w:rPr>
      </w:pPr>
    </w:p>
    <w:p w14:paraId="7955F275">
      <w:pPr>
        <w:rPr>
          <w:rFonts w:hint="eastAsia"/>
        </w:rPr>
      </w:pPr>
    </w:p>
    <w:p w14:paraId="3968A7AC">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074B6F5E">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rPr>
      </w:pPr>
    </w:p>
    <w:p w14:paraId="609B11A6">
      <w:pPr>
        <w:pStyle w:val="3"/>
        <w:numPr>
          <w:ilvl w:val="0"/>
          <w:numId w:val="0"/>
        </w:numPr>
        <w:adjustRightInd w:val="0"/>
        <w:snapToGrid w:val="0"/>
        <w:spacing w:before="120" w:after="120" w:line="240" w:lineRule="auto"/>
        <w:jc w:val="center"/>
        <w:rPr>
          <w:rFonts w:hint="default"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路桥集团装配式建筑有限公司</w:t>
      </w:r>
    </w:p>
    <w:p w14:paraId="127F011D">
      <w:pPr>
        <w:pStyle w:val="3"/>
        <w:numPr>
          <w:ilvl w:val="0"/>
          <w:numId w:val="0"/>
        </w:numPr>
        <w:adjustRightInd w:val="0"/>
        <w:snapToGrid w:val="0"/>
        <w:spacing w:before="120" w:after="120" w:line="240" w:lineRule="auto"/>
        <w:jc w:val="center"/>
        <w:rPr>
          <w:rFonts w:hint="default" w:ascii="仿宋_GB2312" w:eastAsia="仿宋_GB2312"/>
          <w:b w:val="0"/>
          <w:bCs w:val="0"/>
          <w:highlight w:val="none"/>
          <w:lang w:val="en-US" w:eastAsia="zh-CN"/>
        </w:rPr>
      </w:pPr>
      <w:r>
        <w:rPr>
          <w:rFonts w:hint="eastAsia" w:ascii="仿宋_GB2312" w:eastAsia="仿宋_GB2312"/>
          <w:b w:val="0"/>
          <w:bCs w:val="0"/>
          <w:highlight w:val="none"/>
          <w:u w:val="none"/>
          <w:lang w:val="en-US" w:eastAsia="zh-CN"/>
        </w:rPr>
        <w:t xml:space="preserve">湛江沥青拌合站机械设备拆解运输 </w:t>
      </w:r>
    </w:p>
    <w:p w14:paraId="4C06D5D9">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p>
    <w:p w14:paraId="5B2A1FF1">
      <w:pPr>
        <w:pStyle w:val="3"/>
        <w:numPr>
          <w:ilvl w:val="0"/>
          <w:numId w:val="0"/>
        </w:numPr>
        <w:adjustRightInd w:val="0"/>
        <w:snapToGrid w:val="0"/>
        <w:spacing w:before="120" w:after="120" w:line="240" w:lineRule="auto"/>
        <w:ind w:firstLine="2800" w:firstLineChars="1000"/>
        <w:jc w:val="both"/>
        <w:rPr>
          <w:rFonts w:hint="eastAsia"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hAnsi="宋体" w:eastAsia="仿宋_GB2312" w:cs="宋体"/>
          <w:b w:val="0"/>
          <w:bCs w:val="0"/>
          <w:sz w:val="28"/>
          <w:szCs w:val="28"/>
          <w:highlight w:val="none"/>
          <w:u w:color="FF0000"/>
        </w:rPr>
        <w:fldChar w:fldCharType="begin"/>
      </w:r>
      <w:r>
        <w:rPr>
          <w:rFonts w:hint="eastAsia" w:ascii="仿宋_GB2312" w:hAnsi="宋体" w:eastAsia="仿宋_GB2312" w:cs="宋体"/>
          <w:b w:val="0"/>
          <w:bCs w:val="0"/>
          <w:sz w:val="28"/>
          <w:szCs w:val="28"/>
          <w:highlight w:val="none"/>
          <w:u w:color="FF0000"/>
        </w:rPr>
        <w:instrText xml:space="preserve"> HYPERLINK "https://121.28.96.6:8374/GEPS/AppFrame/BizForms/YMXDJListPage/YMXDJListPage.aspx?menuitemid=1003220&amp;frame=400006&amp;modulecode=GEPS.Equipment.Leasing.JXSBZLZBPS&amp;tabID=4000400453&amp;layout=E" </w:instrText>
      </w:r>
      <w:r>
        <w:rPr>
          <w:rFonts w:hint="eastAsia" w:ascii="仿宋_GB2312" w:hAnsi="宋体" w:eastAsia="仿宋_GB2312" w:cs="宋体"/>
          <w:b w:val="0"/>
          <w:bCs w:val="0"/>
          <w:sz w:val="28"/>
          <w:szCs w:val="28"/>
          <w:highlight w:val="none"/>
          <w:u w:color="FF0000"/>
        </w:rPr>
        <w:fldChar w:fldCharType="separate"/>
      </w:r>
      <w:r>
        <w:rPr>
          <w:rFonts w:hint="eastAsia" w:ascii="仿宋_GB2312" w:hAnsi="宋体" w:eastAsia="仿宋_GB2312" w:cs="宋体"/>
          <w:b w:val="0"/>
          <w:bCs w:val="0"/>
          <w:sz w:val="28"/>
          <w:szCs w:val="28"/>
          <w:highlight w:val="none"/>
          <w:u w:color="FF0000"/>
        </w:rPr>
        <w:t>ZJLQZP-FG-SBZL-资产-00</w:t>
      </w:r>
      <w:r>
        <w:rPr>
          <w:rFonts w:hint="eastAsia" w:ascii="仿宋_GB2312" w:hAnsi="宋体" w:eastAsia="仿宋_GB2312" w:cs="宋体"/>
          <w:b w:val="0"/>
          <w:bCs w:val="0"/>
          <w:sz w:val="28"/>
          <w:szCs w:val="28"/>
          <w:highlight w:val="none"/>
          <w:u w:color="FF0000"/>
          <w:lang w:val="en-US" w:eastAsia="zh-CN"/>
        </w:rPr>
        <w:t>3</w:t>
      </w:r>
      <w:r>
        <w:rPr>
          <w:rFonts w:hint="eastAsia" w:ascii="仿宋_GB2312" w:hAnsi="宋体" w:eastAsia="仿宋_GB2312" w:cs="宋体"/>
          <w:b w:val="0"/>
          <w:bCs w:val="0"/>
          <w:sz w:val="28"/>
          <w:szCs w:val="28"/>
          <w:highlight w:val="none"/>
          <w:u w:color="FF0000"/>
        </w:rPr>
        <w:fldChar w:fldCharType="end"/>
      </w:r>
    </w:p>
    <w:p w14:paraId="242F2E90">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4"/>
                    <a:stretch>
                      <a:fillRect/>
                    </a:stretch>
                  </pic:blipFill>
                  <pic:spPr>
                    <a:xfrm>
                      <a:off x="0" y="0"/>
                      <a:ext cx="752475" cy="704215"/>
                    </a:xfrm>
                    <a:prstGeom prst="rect">
                      <a:avLst/>
                    </a:prstGeom>
                    <a:noFill/>
                    <a:ln>
                      <a:noFill/>
                    </a:ln>
                  </pic:spPr>
                </pic:pic>
              </a:graphicData>
            </a:graphic>
          </wp:anchor>
        </w:drawing>
      </w:r>
    </w:p>
    <w:p w14:paraId="611312AF">
      <w:pPr>
        <w:pStyle w:val="5"/>
        <w:ind w:firstLine="560"/>
        <w:rPr>
          <w:rFonts w:ascii="华文仿宋" w:hAnsi="华文仿宋" w:eastAsia="华文仿宋" w:cs="Times New Roman"/>
          <w:highlight w:val="none"/>
        </w:rPr>
      </w:pPr>
    </w:p>
    <w:p w14:paraId="001C95CE">
      <w:pPr>
        <w:snapToGrid w:val="0"/>
        <w:spacing w:line="360" w:lineRule="auto"/>
        <w:ind w:firstLine="560"/>
        <w:rPr>
          <w:rFonts w:ascii="华文仿宋" w:hAnsi="华文仿宋" w:eastAsia="华文仿宋" w:cs="Times New Roman"/>
          <w:highlight w:val="none"/>
        </w:rPr>
      </w:pPr>
    </w:p>
    <w:p w14:paraId="0A3DCAAC">
      <w:pPr>
        <w:snapToGrid w:val="0"/>
        <w:spacing w:line="360" w:lineRule="auto"/>
        <w:ind w:firstLine="560"/>
        <w:rPr>
          <w:rFonts w:ascii="华文仿宋" w:hAnsi="华文仿宋" w:eastAsia="华文仿宋" w:cs="Times New Roman"/>
          <w:highlight w:val="none"/>
        </w:rPr>
      </w:pPr>
    </w:p>
    <w:p w14:paraId="154C4136">
      <w:pPr>
        <w:snapToGrid w:val="0"/>
        <w:spacing w:line="360" w:lineRule="auto"/>
        <w:ind w:firstLine="560"/>
        <w:rPr>
          <w:rFonts w:ascii="华文仿宋" w:hAnsi="华文仿宋" w:eastAsia="华文仿宋" w:cs="Times New Roman"/>
          <w:highlight w:val="none"/>
        </w:rPr>
      </w:pPr>
    </w:p>
    <w:p w14:paraId="18CC0A92">
      <w:pPr>
        <w:snapToGrid w:val="0"/>
        <w:spacing w:line="360" w:lineRule="auto"/>
        <w:ind w:firstLine="560"/>
        <w:rPr>
          <w:rFonts w:ascii="华文仿宋" w:hAnsi="华文仿宋" w:eastAsia="华文仿宋" w:cs="Times New Roman"/>
          <w:highlight w:val="none"/>
        </w:rPr>
      </w:pPr>
    </w:p>
    <w:p w14:paraId="790809ED">
      <w:pPr>
        <w:snapToGrid w:val="0"/>
        <w:spacing w:line="360" w:lineRule="auto"/>
        <w:ind w:firstLine="560"/>
        <w:rPr>
          <w:rFonts w:ascii="华文仿宋" w:hAnsi="华文仿宋" w:eastAsia="华文仿宋" w:cs="Times New Roman"/>
          <w:highlight w:val="none"/>
        </w:rPr>
      </w:pPr>
    </w:p>
    <w:p w14:paraId="15E9937F">
      <w:pPr>
        <w:rPr>
          <w:rFonts w:ascii="华文仿宋" w:hAnsi="华文仿宋" w:eastAsia="华文仿宋" w:cs="Times New Roman"/>
          <w:highlight w:val="none"/>
        </w:rPr>
      </w:pPr>
    </w:p>
    <w:p w14:paraId="68824F9A">
      <w:pPr>
        <w:rPr>
          <w:rFonts w:ascii="华文仿宋" w:hAnsi="华文仿宋" w:eastAsia="华文仿宋" w:cs="Times New Roman"/>
          <w:highlight w:val="none"/>
        </w:rPr>
      </w:pPr>
    </w:p>
    <w:p w14:paraId="3097B5F6">
      <w:pPr>
        <w:rPr>
          <w:b/>
          <w:bCs/>
          <w:sz w:val="32"/>
          <w:szCs w:val="32"/>
          <w:highlight w:val="none"/>
        </w:rPr>
      </w:pPr>
    </w:p>
    <w:p w14:paraId="7A2CBB00">
      <w:pPr>
        <w:rPr>
          <w:b/>
          <w:bCs/>
          <w:sz w:val="32"/>
          <w:szCs w:val="32"/>
          <w:highlight w:val="none"/>
        </w:rPr>
      </w:pPr>
    </w:p>
    <w:p w14:paraId="5CAD92EB">
      <w:pPr>
        <w:rPr>
          <w:b/>
          <w:bCs/>
          <w:sz w:val="32"/>
          <w:szCs w:val="32"/>
          <w:highlight w:val="none"/>
        </w:rPr>
      </w:pPr>
    </w:p>
    <w:p w14:paraId="16B448B9">
      <w:pPr>
        <w:jc w:val="center"/>
        <w:rPr>
          <w:b/>
          <w:bCs/>
          <w:sz w:val="32"/>
          <w:szCs w:val="32"/>
          <w:highlight w:val="none"/>
        </w:rPr>
      </w:pPr>
      <w:r>
        <w:rPr>
          <w:rFonts w:hint="eastAsia"/>
          <w:b/>
          <w:bCs/>
          <w:sz w:val="32"/>
          <w:szCs w:val="32"/>
          <w:highlight w:val="none"/>
          <w:u w:val="single"/>
          <w:lang w:val="en-US" w:eastAsia="zh-CN"/>
        </w:rPr>
        <w:t xml:space="preserve">  2024 </w:t>
      </w:r>
      <w:r>
        <w:rPr>
          <w:rFonts w:hint="eastAsia"/>
          <w:b/>
          <w:bCs/>
          <w:sz w:val="32"/>
          <w:szCs w:val="32"/>
          <w:highlight w:val="none"/>
        </w:rPr>
        <w:t>年</w:t>
      </w:r>
      <w:r>
        <w:rPr>
          <w:rFonts w:hint="eastAsia"/>
          <w:b/>
          <w:bCs/>
          <w:sz w:val="32"/>
          <w:szCs w:val="32"/>
          <w:highlight w:val="none"/>
          <w:u w:val="single"/>
        </w:rPr>
        <w:t xml:space="preserve"> </w:t>
      </w:r>
      <w:r>
        <w:rPr>
          <w:rFonts w:hint="eastAsia"/>
          <w:b/>
          <w:bCs/>
          <w:sz w:val="32"/>
          <w:szCs w:val="32"/>
          <w:highlight w:val="none"/>
          <w:u w:val="single"/>
          <w:lang w:val="en-US" w:eastAsia="zh-CN"/>
        </w:rPr>
        <w:t>10</w:t>
      </w:r>
      <w:r>
        <w:rPr>
          <w:rFonts w:hint="eastAsia"/>
          <w:b/>
          <w:bCs/>
          <w:sz w:val="32"/>
          <w:szCs w:val="32"/>
          <w:highlight w:val="none"/>
          <w:u w:val="single"/>
        </w:rPr>
        <w:t xml:space="preserve"> </w:t>
      </w:r>
      <w:r>
        <w:rPr>
          <w:rFonts w:hint="eastAsia"/>
          <w:b/>
          <w:bCs/>
          <w:sz w:val="32"/>
          <w:szCs w:val="32"/>
          <w:highlight w:val="none"/>
        </w:rPr>
        <w:t>月</w:t>
      </w:r>
      <w:r>
        <w:rPr>
          <w:rFonts w:hint="eastAsia"/>
          <w:b/>
          <w:bCs/>
          <w:sz w:val="32"/>
          <w:szCs w:val="32"/>
          <w:highlight w:val="none"/>
          <w:u w:val="single"/>
        </w:rPr>
        <w:t xml:space="preserve"> </w:t>
      </w:r>
      <w:r>
        <w:rPr>
          <w:rFonts w:hint="eastAsia"/>
          <w:b/>
          <w:bCs/>
          <w:sz w:val="32"/>
          <w:szCs w:val="32"/>
          <w:highlight w:val="none"/>
          <w:u w:val="single"/>
          <w:lang w:val="en-US" w:eastAsia="zh-CN"/>
        </w:rPr>
        <w:t>11</w:t>
      </w:r>
      <w:r>
        <w:rPr>
          <w:rFonts w:hint="eastAsia"/>
          <w:b/>
          <w:bCs/>
          <w:sz w:val="32"/>
          <w:szCs w:val="32"/>
          <w:highlight w:val="none"/>
          <w:u w:val="single"/>
        </w:rPr>
        <w:t xml:space="preserve"> </w:t>
      </w:r>
      <w:r>
        <w:rPr>
          <w:rFonts w:hint="eastAsia"/>
          <w:b/>
          <w:bCs/>
          <w:sz w:val="32"/>
          <w:szCs w:val="32"/>
          <w:highlight w:val="none"/>
        </w:rPr>
        <w:t>日</w:t>
      </w:r>
    </w:p>
    <w:p w14:paraId="50BCBDCB">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36C2F7E6">
      <w:pPr>
        <w:pStyle w:val="9"/>
        <w:spacing w:after="156" w:line="480" w:lineRule="exact"/>
        <w:jc w:val="center"/>
        <w:rPr>
          <w:rFonts w:cs="宋体"/>
          <w:b/>
          <w:kern w:val="2"/>
          <w:sz w:val="28"/>
          <w:szCs w:val="28"/>
          <w:highlight w:val="none"/>
        </w:rPr>
      </w:pPr>
      <w:r>
        <w:rPr>
          <w:rFonts w:hint="eastAsia" w:cs="宋体"/>
          <w:b/>
          <w:kern w:val="2"/>
          <w:sz w:val="28"/>
          <w:szCs w:val="28"/>
          <w:highlight w:val="none"/>
        </w:rPr>
        <w:t>中建路桥集团</w:t>
      </w:r>
      <w:r>
        <w:rPr>
          <w:rFonts w:hint="eastAsia" w:cs="宋体"/>
          <w:b/>
          <w:kern w:val="2"/>
          <w:sz w:val="28"/>
          <w:szCs w:val="28"/>
          <w:highlight w:val="none"/>
          <w:lang w:val="en-US" w:eastAsia="zh-CN"/>
        </w:rPr>
        <w:t>装配式建筑</w:t>
      </w:r>
      <w:r>
        <w:rPr>
          <w:rFonts w:hint="eastAsia" w:cs="宋体"/>
          <w:b/>
          <w:kern w:val="2"/>
          <w:sz w:val="28"/>
          <w:szCs w:val="28"/>
          <w:highlight w:val="none"/>
        </w:rPr>
        <w:t>有限公司</w:t>
      </w:r>
    </w:p>
    <w:p w14:paraId="738179B7">
      <w:pPr>
        <w:pStyle w:val="9"/>
        <w:spacing w:after="156" w:line="480" w:lineRule="exact"/>
        <w:jc w:val="center"/>
        <w:rPr>
          <w:b/>
          <w:kern w:val="2"/>
          <w:sz w:val="28"/>
          <w:szCs w:val="28"/>
          <w:highlight w:val="none"/>
        </w:rPr>
      </w:pPr>
      <w:r>
        <w:rPr>
          <w:rFonts w:hint="eastAsia"/>
          <w:b/>
          <w:kern w:val="2"/>
          <w:sz w:val="28"/>
          <w:szCs w:val="28"/>
          <w:highlight w:val="none"/>
          <w:u w:val="single"/>
          <w:lang w:val="en-US" w:eastAsia="zh-CN"/>
        </w:rPr>
        <w:t>资产运营部</w:t>
      </w:r>
      <w:r>
        <w:rPr>
          <w:b/>
          <w:kern w:val="2"/>
          <w:sz w:val="28"/>
          <w:szCs w:val="28"/>
          <w:highlight w:val="none"/>
        </w:rPr>
        <w:t>项目</w:t>
      </w:r>
      <w:r>
        <w:rPr>
          <w:rFonts w:hint="eastAsia"/>
          <w:b/>
          <w:kern w:val="2"/>
          <w:sz w:val="28"/>
          <w:szCs w:val="28"/>
          <w:highlight w:val="none"/>
          <w:lang w:val="en-US" w:eastAsia="zh-CN"/>
        </w:rPr>
        <w:t>湛江沥青拌合站机械设备拆解运输</w:t>
      </w:r>
      <w:r>
        <w:rPr>
          <w:rFonts w:hint="eastAsia"/>
          <w:b/>
          <w:kern w:val="2"/>
          <w:sz w:val="28"/>
          <w:szCs w:val="28"/>
          <w:highlight w:val="none"/>
        </w:rPr>
        <w:t>招标公告</w:t>
      </w:r>
    </w:p>
    <w:p w14:paraId="017B3096">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仿宋_GB2312" w:hAnsi="仿宋_GB2312" w:eastAsia="仿宋_GB2312" w:cs="仿宋_GB2312"/>
          <w:b/>
          <w:color w:val="000000"/>
          <w:kern w:val="0"/>
          <w:sz w:val="24"/>
          <w:szCs w:val="24"/>
          <w:highlight w:val="none"/>
        </w:rPr>
      </w:pPr>
      <w:r>
        <w:rPr>
          <w:rFonts w:hint="eastAsia" w:ascii="仿宋_GB2312" w:hAnsi="仿宋_GB2312" w:eastAsia="仿宋_GB2312" w:cs="仿宋_GB2312"/>
          <w:b/>
          <w:color w:val="auto"/>
          <w:kern w:val="0"/>
          <w:sz w:val="24"/>
          <w:szCs w:val="24"/>
          <w:highlight w:val="none"/>
        </w:rPr>
        <w:t>1．</w:t>
      </w:r>
      <w:r>
        <w:rPr>
          <w:rFonts w:hint="eastAsia" w:ascii="仿宋_GB2312" w:hAnsi="仿宋_GB2312" w:eastAsia="仿宋_GB2312" w:cs="仿宋_GB2312"/>
          <w:b/>
          <w:color w:val="000000"/>
          <w:kern w:val="0"/>
          <w:sz w:val="24"/>
          <w:szCs w:val="24"/>
          <w:highlight w:val="none"/>
        </w:rPr>
        <w:t>招标条件</w:t>
      </w:r>
    </w:p>
    <w:p w14:paraId="0B2D6FDB">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坚持以习近平新时代中国特色社会主义思想为指导，全面贯彻党的</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二十</w:t>
      </w:r>
      <w:r>
        <w:rPr>
          <w:rFonts w:hint="eastAsia" w:ascii="仿宋_GB2312" w:hAnsi="仿宋" w:eastAsia="仿宋_GB2312" w:cstheme="minorBidi"/>
          <w:bCs/>
          <w:color w:val="000000" w:themeColor="text1"/>
          <w:sz w:val="21"/>
          <w:szCs w:val="21"/>
          <w:highlight w:val="none"/>
          <w14:textFill>
            <w14:solidFill>
              <w14:schemeClr w14:val="tx1"/>
            </w14:solidFill>
          </w14:textFill>
        </w:rPr>
        <w:t>大精神，遵守社会主义核心价值观</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贯彻国家</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双碳</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战略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引领</w:t>
      </w:r>
      <w:r>
        <w:rPr>
          <w:rFonts w:hint="eastAsia" w:ascii="仿宋_GB2312" w:hAnsi="仿宋" w:eastAsia="仿宋_GB2312" w:cstheme="minorBidi"/>
          <w:bCs/>
          <w:color w:val="000000" w:themeColor="text1"/>
          <w:sz w:val="21"/>
          <w:szCs w:val="21"/>
          <w:highlight w:val="none"/>
          <w14:textFill>
            <w14:solidFill>
              <w14:schemeClr w14:val="tx1"/>
            </w14:solidFill>
          </w14:textFill>
        </w:rPr>
        <w:t>供应链上下游</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绿色低碳发展</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根据中国建筑股份有限公司采购管理方针和</w:t>
      </w:r>
      <w:bookmarkStart w:id="1" w:name="_GoBack"/>
      <w:bookmarkEnd w:id="1"/>
      <w:r>
        <w:rPr>
          <w:rFonts w:hint="eastAsia" w:ascii="仿宋_GB2312" w:hAnsi="仿宋" w:eastAsia="仿宋_GB2312" w:cstheme="minorBidi"/>
          <w:bCs/>
          <w:color w:val="000000" w:themeColor="text1"/>
          <w:sz w:val="21"/>
          <w:szCs w:val="21"/>
          <w:highlight w:val="none"/>
          <w14:textFill>
            <w14:solidFill>
              <w14:schemeClr w14:val="tx1"/>
            </w14:solidFill>
          </w14:textFill>
        </w:rPr>
        <w:t>中建路桥集团有限公司招标采购的相关管理办法，</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资产运营部</w:t>
      </w:r>
      <w:r>
        <w:rPr>
          <w:rFonts w:hint="eastAsia" w:ascii="仿宋_GB2312" w:hAnsi="仿宋" w:eastAsia="仿宋_GB2312" w:cstheme="minorBidi"/>
          <w:bCs/>
          <w:color w:val="000000" w:themeColor="text1"/>
          <w:sz w:val="21"/>
          <w:szCs w:val="21"/>
          <w:highlight w:val="none"/>
          <w14:textFill>
            <w14:solidFill>
              <w14:schemeClr w14:val="tx1"/>
            </w14:solidFill>
          </w14:textFill>
        </w:rPr>
        <w:t>项目</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湛江沥青拌合站机械设备拆解运输</w:t>
      </w:r>
      <w:r>
        <w:rPr>
          <w:rFonts w:hint="eastAsia" w:ascii="仿宋_GB2312" w:hAnsi="仿宋" w:eastAsia="仿宋_GB2312" w:cstheme="minorBidi"/>
          <w:bCs/>
          <w:color w:val="000000" w:themeColor="text1"/>
          <w:sz w:val="21"/>
          <w:szCs w:val="21"/>
          <w:highlight w:val="none"/>
          <w14:textFill>
            <w14:solidFill>
              <w14:schemeClr w14:val="tx1"/>
            </w14:solidFill>
          </w14:textFill>
        </w:rPr>
        <w:t>已</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具备招标条件</w:t>
      </w:r>
      <w:r>
        <w:rPr>
          <w:rFonts w:hint="eastAsia" w:ascii="仿宋_GB2312" w:hAnsi="仿宋" w:eastAsia="仿宋_GB2312" w:cstheme="minorBidi"/>
          <w:bCs/>
          <w:color w:val="000000" w:themeColor="text1"/>
          <w:sz w:val="21"/>
          <w:szCs w:val="21"/>
          <w:highlight w:val="none"/>
          <w14:textFill>
            <w14:solidFill>
              <w14:schemeClr w14:val="tx1"/>
            </w14:solidFill>
          </w14:textFill>
        </w:rPr>
        <w:t>，招标编号：</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fldChar w:fldCharType="begin"/>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instrText xml:space="preserve"> HYPERLINK "https://121.28.96.6:8374/GEPS/AppFrame/BizForms/YMXDJListPage/YMXDJListPage.aspx?menuitemid=1003220&amp;frame=400006&amp;modulecode=GEPS.Equipment.Leasing.JXSBZLZBPS&amp;tabID=4000400453&amp;layout=E" </w:instrTex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fldChar w:fldCharType="separate"/>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ZJLQZP-FG-SBZL-资产-00</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3</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fldChar w:fldCharType="end"/>
      </w:r>
      <w:r>
        <w:rPr>
          <w:rFonts w:hint="eastAsia" w:ascii="仿宋_GB2312" w:hAnsi="仿宋" w:eastAsia="仿宋_GB2312" w:cstheme="minorBidi"/>
          <w:bCs/>
          <w:color w:val="000000" w:themeColor="text1"/>
          <w:sz w:val="21"/>
          <w:szCs w:val="21"/>
          <w:highlight w:val="none"/>
          <w14:textFill>
            <w14:solidFill>
              <w14:schemeClr w14:val="tx1"/>
            </w14:solidFill>
          </w14:textFill>
        </w:rPr>
        <w:t>，</w:t>
      </w:r>
      <w:r>
        <w:rPr>
          <w:rFonts w:hint="eastAsia" w:ascii="仿宋_GB2312" w:hAnsi="仿宋" w:eastAsia="仿宋_GB2312"/>
          <w:bCs/>
          <w:sz w:val="21"/>
          <w:szCs w:val="21"/>
          <w:highlight w:val="none"/>
        </w:rPr>
        <w:t>资金来自项目工程结算款</w:t>
      </w:r>
      <w:r>
        <w:rPr>
          <w:rFonts w:hint="eastAsia" w:ascii="仿宋_GB2312" w:hAnsi="仿宋" w:eastAsia="仿宋_GB2312"/>
          <w:bCs/>
          <w:sz w:val="21"/>
          <w:szCs w:val="21"/>
          <w:highlight w:val="none"/>
          <w:lang w:eastAsia="zh-CN"/>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现对该</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标的</w:t>
      </w:r>
      <w:r>
        <w:rPr>
          <w:rFonts w:hint="eastAsia" w:ascii="仿宋_GB2312" w:hAnsi="仿宋" w:eastAsia="仿宋_GB2312" w:cstheme="minorBidi"/>
          <w:bCs/>
          <w:color w:val="000000" w:themeColor="text1"/>
          <w:sz w:val="21"/>
          <w:szCs w:val="21"/>
          <w:highlight w:val="none"/>
          <w14:textFill>
            <w14:solidFill>
              <w14:schemeClr w14:val="tx1"/>
            </w14:solidFill>
          </w14:textFill>
        </w:rPr>
        <w:t>进行公开招标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诚邀符合资格要求、能提供优质服务的厂商或分供商参加投标。</w:t>
      </w:r>
    </w:p>
    <w:p w14:paraId="69AA5A1D">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2.工程概况</w:t>
      </w:r>
    </w:p>
    <w:p w14:paraId="0DA4DFE9">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2.1工程名称：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中建路桥集团装配式建筑有限公司湛江沥青拌合站机械设备拆解运输工程</w:t>
      </w:r>
    </w:p>
    <w:p w14:paraId="5E8ED5E2">
      <w:pPr>
        <w:spacing w:line="500" w:lineRule="exact"/>
        <w:ind w:firstLine="420" w:firstLineChars="200"/>
        <w:jc w:val="left"/>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2.2工程地址：</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广东省湛江市霞山区陈铁村669县中建路桥拌合站</w:t>
      </w:r>
    </w:p>
    <w:p w14:paraId="2E827951">
      <w:pPr>
        <w:spacing w:line="500" w:lineRule="exact"/>
        <w:ind w:firstLine="420" w:firstLineChars="200"/>
        <w:jc w:val="left"/>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2.3工程简介：</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湛江沥青拌合站机械设备拆解运输，包含安迈4000型沥青混凝土拌合站及附属设备等。</w:t>
      </w:r>
    </w:p>
    <w:p w14:paraId="48C355EA">
      <w:pPr>
        <w:pStyle w:val="9"/>
        <w:keepNext w:val="0"/>
        <w:keepLines w:val="0"/>
        <w:pageBreakBefore w:val="0"/>
        <w:kinsoku/>
        <w:wordWrap/>
        <w:overflowPunct/>
        <w:topLinePunct w:val="0"/>
        <w:autoSpaceDE/>
        <w:autoSpaceDN/>
        <w:bidi w:val="0"/>
        <w:adjustRightInd/>
        <w:snapToGrid/>
        <w:spacing w:before="0" w:after="0" w:line="360" w:lineRule="auto"/>
        <w:ind w:firstLine="482" w:firstLineChars="200"/>
        <w:textAlignment w:val="auto"/>
        <w:rPr>
          <w:rFonts w:hint="eastAsia" w:ascii="仿宋_GB2312" w:hAnsi="仿宋_GB2312" w:eastAsia="仿宋_GB2312" w:cs="仿宋_GB2312"/>
          <w:b/>
          <w:bCs/>
          <w:kern w:val="2"/>
          <w:sz w:val="24"/>
          <w:szCs w:val="24"/>
          <w:highlight w:val="none"/>
        </w:rPr>
      </w:pPr>
      <w:r>
        <w:rPr>
          <w:rFonts w:hint="eastAsia" w:ascii="仿宋_GB2312" w:hAnsi="仿宋_GB2312" w:eastAsia="仿宋_GB2312" w:cs="仿宋_GB2312"/>
          <w:b/>
          <w:bCs/>
          <w:kern w:val="2"/>
          <w:sz w:val="24"/>
          <w:szCs w:val="24"/>
          <w:highlight w:val="none"/>
        </w:rPr>
        <w:t>3.招标内容</w:t>
      </w:r>
    </w:p>
    <w:p w14:paraId="7C09B2AD">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3.1车辆租赁清单 </w:t>
      </w:r>
    </w:p>
    <w:tbl>
      <w:tblPr>
        <w:tblStyle w:val="11"/>
        <w:tblW w:w="11000" w:type="dxa"/>
        <w:tblInd w:w="-748" w:type="dxa"/>
        <w:shd w:val="clear" w:color="auto" w:fill="auto"/>
        <w:tblLayout w:type="fixed"/>
        <w:tblCellMar>
          <w:top w:w="0" w:type="dxa"/>
          <w:left w:w="0" w:type="dxa"/>
          <w:bottom w:w="0" w:type="dxa"/>
          <w:right w:w="0" w:type="dxa"/>
        </w:tblCellMar>
      </w:tblPr>
      <w:tblGrid>
        <w:gridCol w:w="860"/>
        <w:gridCol w:w="1480"/>
        <w:gridCol w:w="1114"/>
        <w:gridCol w:w="740"/>
        <w:gridCol w:w="640"/>
        <w:gridCol w:w="1080"/>
        <w:gridCol w:w="2893"/>
        <w:gridCol w:w="2193"/>
      </w:tblGrid>
      <w:tr w14:paraId="0D04249E">
        <w:tblPrEx>
          <w:shd w:val="clear" w:color="auto" w:fill="auto"/>
          <w:tblCellMar>
            <w:top w:w="0" w:type="dxa"/>
            <w:left w:w="0" w:type="dxa"/>
            <w:bottom w:w="0" w:type="dxa"/>
            <w:right w:w="0" w:type="dxa"/>
          </w:tblCellMar>
        </w:tblPrEx>
        <w:trPr>
          <w:trHeight w:val="407"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3103BC">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序号</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FD21C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机械设备名称</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36A46B">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规格型号</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D66D0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6D238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2459C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租赁方式</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286C63">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52B6DF">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备注</w:t>
            </w:r>
          </w:p>
        </w:tc>
      </w:tr>
      <w:tr w14:paraId="61BA6E83">
        <w:tblPrEx>
          <w:shd w:val="clear" w:color="auto" w:fill="auto"/>
          <w:tblCellMar>
            <w:top w:w="0" w:type="dxa"/>
            <w:left w:w="0" w:type="dxa"/>
            <w:bottom w:w="0" w:type="dxa"/>
            <w:right w:w="0" w:type="dxa"/>
          </w:tblCellMar>
        </w:tblPrEx>
        <w:trPr>
          <w:trHeight w:val="567" w:hRule="exac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903613">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5B4D4E">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平板挂车</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BA0B38">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17.5m</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451E4">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t>车次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3DEC5D">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EF581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10CF9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机械设备运输</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完成为止</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66097">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运输距离约2500km</w:t>
            </w:r>
          </w:p>
        </w:tc>
      </w:tr>
      <w:tr w14:paraId="75271AA9">
        <w:tblPrEx>
          <w:shd w:val="clear" w:color="auto" w:fill="auto"/>
          <w:tblCellMar>
            <w:top w:w="0" w:type="dxa"/>
            <w:left w:w="0" w:type="dxa"/>
            <w:bottom w:w="0" w:type="dxa"/>
            <w:right w:w="0" w:type="dxa"/>
          </w:tblCellMar>
        </w:tblPrEx>
        <w:trPr>
          <w:trHeight w:val="567" w:hRule="exac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39B1C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2C919C">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吊车</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BC12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80吨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5E5BC">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A2887A">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1DC0E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670A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机械设备拆解装卸为止</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6AD0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包含拆解装卸人工费</w:t>
            </w:r>
          </w:p>
        </w:tc>
      </w:tr>
      <w:tr w14:paraId="519789B2">
        <w:tblPrEx>
          <w:shd w:val="clear" w:color="auto" w:fill="auto"/>
          <w:tblCellMar>
            <w:top w:w="0" w:type="dxa"/>
            <w:left w:w="0" w:type="dxa"/>
            <w:bottom w:w="0" w:type="dxa"/>
            <w:right w:w="0" w:type="dxa"/>
          </w:tblCellMar>
        </w:tblPrEx>
        <w:trPr>
          <w:trHeight w:val="567" w:hRule="exac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EB6B63">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E58241">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吊车</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8FA957">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25吨</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554400">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台班</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B195D9">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F8DE7">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工程量</w:t>
            </w: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EF0C2">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机械设备拆解装卸为止</w:t>
            </w: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EE8DC0">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包含拆解装卸人工费</w:t>
            </w:r>
          </w:p>
        </w:tc>
      </w:tr>
      <w:tr w14:paraId="775505F0">
        <w:tblPrEx>
          <w:shd w:val="clear" w:color="auto" w:fill="auto"/>
          <w:tblCellMar>
            <w:top w:w="0" w:type="dxa"/>
            <w:left w:w="0" w:type="dxa"/>
            <w:bottom w:w="0" w:type="dxa"/>
            <w:right w:w="0" w:type="dxa"/>
          </w:tblCellMar>
        </w:tblPrEx>
        <w:trPr>
          <w:trHeight w:val="567" w:hRule="exac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F8F164">
            <w:pPr>
              <w:spacing w:line="500" w:lineRule="exact"/>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tc>
        <w:tc>
          <w:tcPr>
            <w:tcW w:w="14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1E8D48">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0D0424">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7C88E">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C136DC">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F3C081">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28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A104E5">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21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6426A3">
            <w:pPr>
              <w:spacing w:line="500" w:lineRule="exact"/>
              <w:ind w:firstLine="420" w:firstLineChars="200"/>
              <w:jc w:val="cente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r>
      <w:tr w14:paraId="2701A9DB">
        <w:tblPrEx>
          <w:shd w:val="clear" w:color="auto" w:fill="auto"/>
          <w:tblCellMar>
            <w:top w:w="0" w:type="dxa"/>
            <w:left w:w="0" w:type="dxa"/>
            <w:bottom w:w="0" w:type="dxa"/>
            <w:right w:w="0" w:type="dxa"/>
          </w:tblCellMar>
        </w:tblPrEx>
        <w:trPr>
          <w:trHeight w:val="567" w:hRule="exac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FD720C">
            <w:pPr>
              <w:spacing w:line="500" w:lineRule="exact"/>
              <w:jc w:val="center"/>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p>
        </w:tc>
        <w:tc>
          <w:tcPr>
            <w:tcW w:w="1014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1F2F98">
            <w:pPr>
              <w:spacing w:line="500" w:lineRule="exact"/>
              <w:jc w:val="both"/>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清单所示的数量为暂定数量，具体租赁数量按甲方工程进度的实际需求进行增减。 </w:t>
            </w:r>
          </w:p>
        </w:tc>
      </w:tr>
    </w:tbl>
    <w:p w14:paraId="6923C06F">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3.2计划租赁期：2024年10月至2024年11月或工程完工。</w:t>
      </w:r>
    </w:p>
    <w:p w14:paraId="014AFC71">
      <w:pPr>
        <w:pStyle w:val="9"/>
        <w:numPr>
          <w:ilvl w:val="0"/>
          <w:numId w:val="2"/>
        </w:numPr>
        <w:spacing w:line="500" w:lineRule="exact"/>
        <w:ind w:firstLine="482" w:firstLineChars="200"/>
        <w:rPr>
          <w:rFonts w:hint="eastAsia" w:ascii="宋体" w:hAnsi="宋体" w:eastAsia="宋体" w:cs="宋体"/>
          <w:b/>
          <w:bCs/>
          <w:kern w:val="2"/>
          <w:sz w:val="28"/>
          <w:szCs w:val="28"/>
          <w:highlight w:val="none"/>
        </w:rPr>
      </w:pPr>
      <w:r>
        <w:rPr>
          <w:rFonts w:hint="eastAsia" w:ascii="仿宋_GB2312" w:hAnsi="仿宋_GB2312" w:eastAsia="仿宋_GB2312" w:cs="仿宋_GB2312"/>
          <w:b/>
          <w:bCs/>
          <w:kern w:val="2"/>
          <w:sz w:val="24"/>
          <w:szCs w:val="24"/>
          <w:highlight w:val="none"/>
        </w:rPr>
        <w:t>投标人应具备的资格条件</w:t>
      </w:r>
      <w:r>
        <w:rPr>
          <w:rFonts w:hint="eastAsia" w:ascii="宋体" w:hAnsi="宋体" w:eastAsia="宋体" w:cs="宋体"/>
          <w:b/>
          <w:bCs/>
          <w:kern w:val="2"/>
          <w:sz w:val="28"/>
          <w:szCs w:val="28"/>
          <w:highlight w:val="none"/>
        </w:rPr>
        <w:t xml:space="preserve"> </w:t>
      </w:r>
    </w:p>
    <w:p w14:paraId="07AB1DAF">
      <w:pPr>
        <w:pStyle w:val="9"/>
        <w:numPr>
          <w:ilvl w:val="0"/>
          <w:numId w:val="0"/>
        </w:numPr>
        <w:spacing w:line="500" w:lineRule="exact"/>
        <w:rPr>
          <w:rFonts w:hint="default" w:ascii="宋体" w:hAnsi="宋体" w:eastAsia="宋体" w:cs="宋体"/>
          <w:b/>
          <w:bCs/>
          <w:kern w:val="2"/>
          <w:sz w:val="28"/>
          <w:szCs w:val="28"/>
          <w:highlight w:val="none"/>
          <w:lang w:val="en-US" w:eastAsia="zh-CN"/>
        </w:rPr>
      </w:pPr>
      <w:r>
        <w:rPr>
          <w:rFonts w:hint="eastAsia" w:cs="宋体"/>
          <w:b/>
          <w:bCs/>
          <w:kern w:val="2"/>
          <w:sz w:val="28"/>
          <w:szCs w:val="28"/>
          <w:highlight w:val="none"/>
          <w:lang w:val="en-US" w:eastAsia="zh-CN"/>
        </w:rPr>
        <w:t xml:space="preserve">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 投标人条件</w:t>
      </w:r>
    </w:p>
    <w:p w14:paraId="72C35FFA">
      <w:pPr>
        <w:spacing w:line="500" w:lineRule="exact"/>
        <w:ind w:firstLine="210" w:firstLineChars="1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 xml:space="preserve">  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1投标人必须具备独立法人资格，依法取得有效的营业执照，营业执照经营范围必须涵盖机械设备租赁业务及道路货物运输资质。所投标设备需为自有设备，设备及人员手续、证照齐全。</w:t>
      </w:r>
    </w:p>
    <w:p w14:paraId="78AC7CD8">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2具有良好的社会和银行信誉、充足的资金保证。在国家有关部门和行业的监督检查中没有不良记录，与中建股份下属项目历史合作良好，具备较强的设备供应能力。</w:t>
      </w:r>
    </w:p>
    <w:p w14:paraId="745C0622">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3具有经营管理的相应资</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质</w:t>
      </w:r>
      <w:r>
        <w:rPr>
          <w:rFonts w:hint="eastAsia" w:ascii="仿宋_GB2312" w:hAnsi="仿宋" w:eastAsia="仿宋_GB2312" w:cstheme="minorBidi"/>
          <w:bCs/>
          <w:color w:val="000000" w:themeColor="text1"/>
          <w:sz w:val="21"/>
          <w:szCs w:val="21"/>
          <w:highlight w:val="none"/>
          <w14:textFill>
            <w14:solidFill>
              <w14:schemeClr w14:val="tx1"/>
            </w14:solidFill>
          </w14:textFill>
        </w:rPr>
        <w:t>和能力，具有完善的质量保证体系，具有固定的办公场所和专职管理人员。</w:t>
      </w:r>
    </w:p>
    <w:p w14:paraId="41A9C366">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4投标人</w:t>
      </w:r>
      <w:r>
        <w:rPr>
          <w:rFonts w:hint="eastAsia" w:ascii="仿宋" w:hAnsi="仿宋" w:eastAsia="仿宋"/>
          <w:highlight w:val="none"/>
        </w:rPr>
        <w:t>未在中建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3D25853E">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w:t>
      </w:r>
      <w:r>
        <w:rPr>
          <w:rFonts w:hint="eastAsia" w:ascii="仿宋_GB2312" w:hAnsi="仿宋" w:eastAsia="仿宋_GB2312" w:cstheme="minorBidi"/>
          <w:bCs/>
          <w:color w:val="000000" w:themeColor="text1"/>
          <w:sz w:val="21"/>
          <w:szCs w:val="21"/>
          <w:highlight w:val="none"/>
          <w14:textFill>
            <w14:solidFill>
              <w14:schemeClr w14:val="tx1"/>
            </w14:solidFill>
          </w14:textFill>
        </w:rPr>
        <w:t>5所投标设备出厂生产日期为</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2019   </w:t>
      </w:r>
      <w:r>
        <w:rPr>
          <w:rFonts w:hint="eastAsia" w:ascii="仿宋_GB2312" w:hAnsi="仿宋" w:eastAsia="仿宋_GB2312" w:cstheme="minorBidi"/>
          <w:bCs/>
          <w:color w:val="000000" w:themeColor="text1"/>
          <w:sz w:val="21"/>
          <w:szCs w:val="21"/>
          <w:highlight w:val="none"/>
          <w14:textFill>
            <w14:solidFill>
              <w14:schemeClr w14:val="tx1"/>
            </w14:solidFill>
          </w14:textFill>
        </w:rPr>
        <w:t>年以后的设备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5年内的设备</w:t>
      </w: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w:t>
      </w:r>
    </w:p>
    <w:p w14:paraId="41ECA98F">
      <w:pPr>
        <w:widowControl/>
        <w:shd w:val="clear" w:color="auto" w:fill="FFFFFF"/>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4.1.6</w:t>
      </w:r>
      <w:r>
        <w:rPr>
          <w:rFonts w:hint="eastAsia" w:ascii="仿宋_GB2312" w:hAnsi="仿宋" w:eastAsia="仿宋_GB2312" w:cstheme="minorBidi"/>
          <w:bCs/>
          <w:color w:val="000000" w:themeColor="text1"/>
          <w:sz w:val="21"/>
          <w:szCs w:val="21"/>
          <w:highlight w:val="none"/>
          <w14:textFill>
            <w14:solidFill>
              <w14:schemeClr w14:val="tx1"/>
            </w14:solidFill>
          </w14:textFill>
        </w:rPr>
        <w:t>分供商注册资金要求。注册资金</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100</w:t>
      </w:r>
      <w:r>
        <w:rPr>
          <w:rFonts w:hint="eastAsia" w:ascii="仿宋_GB2312" w:hAnsi="仿宋" w:eastAsia="仿宋_GB2312" w:cstheme="minorBidi"/>
          <w:bCs/>
          <w:color w:val="000000" w:themeColor="text1"/>
          <w:sz w:val="21"/>
          <w:szCs w:val="2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万元以上。</w:t>
      </w:r>
    </w:p>
    <w:p w14:paraId="18A01827">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4.1.7必须是经审核通过的中建股份或中建路桥合格供应商。</w:t>
      </w:r>
    </w:p>
    <w:p w14:paraId="35D59A3C">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4.1.8 能够开具合法有效的增值税专用发票。</w:t>
      </w:r>
    </w:p>
    <w:p w14:paraId="5B484D8B">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4.1.9中建股份内部供应企业也属于供应商范畴，纳入供应商管理。</w:t>
      </w:r>
    </w:p>
    <w:p w14:paraId="33B8D6C4">
      <w:pPr>
        <w:spacing w:line="500" w:lineRule="exact"/>
        <w:ind w:firstLine="420" w:firstLineChars="200"/>
        <w:jc w:val="left"/>
        <w:rPr>
          <w:rFonts w:hint="default"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4.1.10招标方在招标过程任何阶段发现投标方相互关联的，取消其投标资格。投标单位关联关系认定详见附件《关于投标单位关联关系的认定说明》。</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br w:type="textWrapping"/>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4.1.11投标人应具备特种机械设备拆解运输的相关资质。</w:t>
      </w:r>
    </w:p>
    <w:p w14:paraId="556657F5">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4.2 本次招标不接受联合体投标。</w:t>
      </w:r>
    </w:p>
    <w:p w14:paraId="0E82692D">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4.3 投标保证金</w:t>
      </w:r>
    </w:p>
    <w:p w14:paraId="61141E83">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投标人投标截止时间前从投标人的银行账户以电汇的方式向以下账户缴纳</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3000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进行不良行为设置并扣除保证金。</w:t>
      </w:r>
    </w:p>
    <w:p w14:paraId="629E47E6">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投标保证金交款账户：</w:t>
      </w:r>
    </w:p>
    <w:p w14:paraId="3CEA6885">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单位名称：</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中建路桥集团装配式建筑有限公司</w:t>
      </w:r>
    </w:p>
    <w:p w14:paraId="440C725C">
      <w:pPr>
        <w:spacing w:line="500" w:lineRule="exact"/>
        <w:ind w:firstLine="420" w:firstLineChars="200"/>
        <w:jc w:val="left"/>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银行账号：</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5440120100000454508</w:t>
      </w:r>
    </w:p>
    <w:p w14:paraId="66D20592">
      <w:pPr>
        <w:spacing w:line="500" w:lineRule="exact"/>
        <w:ind w:firstLine="420" w:firstLineChars="200"/>
        <w:jc w:val="left"/>
        <w:rPr>
          <w:rFonts w:hint="default"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开 户 行：</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沧州银行渤海新区支行</w:t>
      </w:r>
    </w:p>
    <w:p w14:paraId="3E4069D9">
      <w:pPr>
        <w:spacing w:line="500" w:lineRule="exact"/>
        <w:ind w:firstLine="420" w:firstLineChars="200"/>
        <w:jc w:val="left"/>
        <w:rPr>
          <w:rFonts w:hint="eastAsia"/>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4.4 为贯彻国家“双碳”战略、带动供应链上下游共同实现低碳减排，资格审查将关注供应商绿色、节能、环保管理体系和管理能力，以及企业ESG因素，同等条件下优先选择绿色节能环保材料和设备。</w:t>
      </w:r>
    </w:p>
    <w:p w14:paraId="0A8448A5">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5. 招标文件的获取</w:t>
      </w:r>
    </w:p>
    <w:p w14:paraId="5B6CA306">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凡有意参加投标的，请在中建路桥集团有限公司网站下载招标文件。</w:t>
      </w:r>
    </w:p>
    <w:p w14:paraId="544319E8">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6. 投标文件的递交</w:t>
      </w:r>
    </w:p>
    <w:p w14:paraId="08A24369">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6.1投标文件递交截止时间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17</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18</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时。</w:t>
      </w:r>
    </w:p>
    <w:p w14:paraId="0753FB87">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6.2递交地点：</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河北省沧州市黄骅港渤海新区建材园</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p>
    <w:p w14:paraId="4A7EC1A4">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6.3逾期送达的或者未送达指定地点的投标文件，招标人不予受理。</w:t>
      </w:r>
    </w:p>
    <w:p w14:paraId="15CAC3E1">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6.4开标时间：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18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6FA6E3B5">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6.5投标文件应符合招标文件所列要求。</w:t>
      </w:r>
    </w:p>
    <w:p w14:paraId="02B3818E">
      <w:pPr>
        <w:spacing w:line="500" w:lineRule="exact"/>
        <w:ind w:firstLine="482" w:firstLineChars="200"/>
        <w:jc w:val="left"/>
        <w:rPr>
          <w:rFonts w:hint="eastAsia" w:ascii="仿宋_GB2312" w:hAnsi="仿宋" w:eastAsia="仿宋_GB2312" w:cstheme="minorBidi"/>
          <w:b/>
          <w:bCs w:val="0"/>
          <w:color w:val="000000" w:themeColor="text1"/>
          <w:sz w:val="24"/>
          <w:szCs w:val="24"/>
          <w:highlight w:val="none"/>
          <w:lang w:val="en-US" w:eastAsia="zh-CN"/>
          <w14:textFill>
            <w14:solidFill>
              <w14:schemeClr w14:val="tx1"/>
            </w14:solidFill>
          </w14:textFill>
        </w:rPr>
      </w:pPr>
      <w:r>
        <w:rPr>
          <w:rFonts w:hint="eastAsia" w:ascii="仿宋_GB2312" w:hAnsi="仿宋" w:eastAsia="仿宋_GB2312" w:cstheme="minorBidi"/>
          <w:b/>
          <w:bCs w:val="0"/>
          <w:color w:val="000000" w:themeColor="text1"/>
          <w:sz w:val="24"/>
          <w:szCs w:val="24"/>
          <w:highlight w:val="none"/>
          <w:lang w:val="en-US" w:eastAsia="zh-CN"/>
          <w14:textFill>
            <w14:solidFill>
              <w14:schemeClr w14:val="tx1"/>
            </w14:solidFill>
          </w14:textFill>
        </w:rPr>
        <w:t>7. 发布公告的媒介</w:t>
      </w:r>
    </w:p>
    <w:p w14:paraId="0CEE2C47">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本次招标公告在中建路桥集团有限公司官网统一公开发布。</w:t>
      </w:r>
    </w:p>
    <w:p w14:paraId="6DCEBB7E">
      <w:pPr>
        <w:spacing w:line="500" w:lineRule="exact"/>
        <w:ind w:firstLine="482" w:firstLineChars="200"/>
        <w:jc w:val="left"/>
        <w:rPr>
          <w:rFonts w:hint="eastAsia" w:ascii="仿宋_GB2312" w:hAnsi="仿宋" w:eastAsia="仿宋_GB2312" w:cstheme="minorBidi"/>
          <w:b/>
          <w:bCs w:val="0"/>
          <w:color w:val="000000" w:themeColor="text1"/>
          <w:sz w:val="24"/>
          <w:szCs w:val="24"/>
          <w:highlight w:val="none"/>
          <w:lang w:val="en-US" w:eastAsia="zh-CN"/>
          <w14:textFill>
            <w14:solidFill>
              <w14:schemeClr w14:val="tx1"/>
            </w14:solidFill>
          </w14:textFill>
        </w:rPr>
      </w:pPr>
      <w:bookmarkStart w:id="0" w:name="_Toc375664272"/>
      <w:r>
        <w:rPr>
          <w:rFonts w:hint="eastAsia" w:ascii="仿宋_GB2312" w:hAnsi="仿宋" w:eastAsia="仿宋_GB2312" w:cstheme="minorBidi"/>
          <w:b/>
          <w:bCs w:val="0"/>
          <w:color w:val="000000" w:themeColor="text1"/>
          <w:sz w:val="24"/>
          <w:szCs w:val="24"/>
          <w:highlight w:val="none"/>
          <w:lang w:val="en-US" w:eastAsia="zh-CN"/>
          <w14:textFill>
            <w14:solidFill>
              <w14:schemeClr w14:val="tx1"/>
            </w14:solidFill>
          </w14:textFill>
        </w:rPr>
        <w:t>8．开标时间</w:t>
      </w:r>
      <w:bookmarkEnd w:id="0"/>
    </w:p>
    <w:p w14:paraId="756A283A">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拟定开标时间：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2024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年</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 xml:space="preserve"> 18 </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日</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10</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点。</w:t>
      </w:r>
    </w:p>
    <w:p w14:paraId="049B763D">
      <w:pPr>
        <w:pStyle w:val="9"/>
        <w:spacing w:line="500" w:lineRule="exact"/>
        <w:ind w:firstLine="482" w:firstLineChars="200"/>
        <w:rPr>
          <w:rFonts w:hint="eastAsia" w:ascii="仿宋_GB2312" w:hAnsi="仿宋_GB2312" w:eastAsia="仿宋_GB2312" w:cs="仿宋_GB2312"/>
          <w:b/>
          <w:bCs/>
          <w:kern w:val="2"/>
          <w:sz w:val="24"/>
          <w:szCs w:val="24"/>
          <w:highlight w:val="none"/>
          <w:lang w:val="en-US" w:eastAsia="zh-CN"/>
        </w:rPr>
      </w:pPr>
      <w:r>
        <w:rPr>
          <w:rFonts w:hint="eastAsia" w:ascii="仿宋_GB2312" w:hAnsi="仿宋_GB2312" w:eastAsia="仿宋_GB2312" w:cs="仿宋_GB2312"/>
          <w:b/>
          <w:bCs/>
          <w:kern w:val="2"/>
          <w:sz w:val="24"/>
          <w:szCs w:val="24"/>
          <w:highlight w:val="none"/>
          <w:lang w:val="en-US" w:eastAsia="zh-CN"/>
        </w:rPr>
        <w:t>9.联系方式</w:t>
      </w:r>
    </w:p>
    <w:p w14:paraId="0E41264E">
      <w:pPr>
        <w:spacing w:line="500" w:lineRule="exact"/>
        <w:ind w:firstLine="420" w:firstLineChars="200"/>
        <w:jc w:val="left"/>
        <w:rPr>
          <w:rFonts w:hint="eastAsia" w:ascii="仿宋_GB2312" w:hAnsi="仿宋" w:eastAsia="仿宋_GB2312" w:cstheme="minorBidi"/>
          <w:bCs/>
          <w:color w:val="000000" w:themeColor="text1"/>
          <w:sz w:val="21"/>
          <w:szCs w:val="21"/>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标</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单</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14:textFill>
            <w14:solidFill>
              <w14:schemeClr w14:val="tx1"/>
            </w14:solidFill>
          </w14:textFill>
        </w:rPr>
        <w:t>位</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w:t>
      </w:r>
      <w:r>
        <w:rPr>
          <w:rFonts w:hint="eastAsia" w:ascii="仿宋_GB2312" w:hAnsi="仿宋" w:eastAsia="仿宋_GB2312" w:cstheme="minorBidi"/>
          <w:bCs/>
          <w:color w:val="000000" w:themeColor="text1"/>
          <w:sz w:val="21"/>
          <w:szCs w:val="21"/>
          <w:highlight w:val="none"/>
          <w14:textFill>
            <w14:solidFill>
              <w14:schemeClr w14:val="tx1"/>
            </w14:solidFill>
          </w14:textFill>
        </w:rPr>
        <w:t>中建路桥集团</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装配式建筑</w:t>
      </w:r>
      <w:r>
        <w:rPr>
          <w:rFonts w:hint="eastAsia" w:ascii="仿宋_GB2312" w:hAnsi="仿宋" w:eastAsia="仿宋_GB2312" w:cstheme="minorBidi"/>
          <w:bCs/>
          <w:color w:val="000000" w:themeColor="text1"/>
          <w:sz w:val="21"/>
          <w:szCs w:val="21"/>
          <w:highlight w:val="none"/>
          <w14:textFill>
            <w14:solidFill>
              <w14:schemeClr w14:val="tx1"/>
            </w14:solidFill>
          </w14:textFill>
        </w:rPr>
        <w:t>有限公司</w:t>
      </w:r>
    </w:p>
    <w:p w14:paraId="01430649">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招标人经办人</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：子企业：许经理   联系电话：</w:t>
      </w:r>
      <w:r>
        <w:rPr>
          <w:rFonts w:hint="eastAsia" w:ascii="仿宋" w:hAnsi="仿宋" w:eastAsia="仿宋" w:cs="仿宋"/>
          <w:i w:val="0"/>
          <w:iCs w:val="0"/>
          <w:caps w:val="0"/>
          <w:color w:val="000000"/>
          <w:spacing w:val="0"/>
          <w:sz w:val="21"/>
          <w:szCs w:val="21"/>
        </w:rPr>
        <w:t>18633937766</w:t>
      </w:r>
    </w:p>
    <w:p w14:paraId="070D8472">
      <w:pPr>
        <w:spacing w:line="500" w:lineRule="exact"/>
        <w:ind w:firstLine="1890" w:firstLineChars="9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项目部：史经理   联系电话：</w:t>
      </w:r>
      <w:r>
        <w:rPr>
          <w:rFonts w:hint="eastAsia" w:ascii="仿宋" w:hAnsi="仿宋" w:eastAsia="仿宋" w:cs="仿宋"/>
          <w:i w:val="0"/>
          <w:iCs w:val="0"/>
          <w:caps w:val="0"/>
          <w:color w:val="000000"/>
          <w:spacing w:val="0"/>
          <w:sz w:val="21"/>
          <w:szCs w:val="21"/>
        </w:rPr>
        <w:t>13831122244</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p>
    <w:p w14:paraId="7519E157">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14:textFill>
            <w14:solidFill>
              <w14:schemeClr w14:val="tx1"/>
            </w14:solidFill>
          </w14:textFill>
        </w:rPr>
        <w:t>子企业地址:</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河北省沧州市黄骅港渤海新区建材园</w:t>
      </w:r>
    </w:p>
    <w:p w14:paraId="3C58715C">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eastAsia="zh-CN"/>
          <w14:textFill>
            <w14:solidFill>
              <w14:schemeClr w14:val="tx1"/>
            </w14:solidFill>
          </w14:textFill>
        </w:rPr>
        <w:t>项目部地址：</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河北省沧州市黄骅港渤海新区建材园</w:t>
      </w:r>
    </w:p>
    <w:p w14:paraId="0AF70632">
      <w:pPr>
        <w:spacing w:line="500" w:lineRule="exact"/>
        <w:ind w:firstLine="420" w:firstLineChars="200"/>
        <w:jc w:val="left"/>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2024</w:t>
      </w:r>
      <w:r>
        <w:rPr>
          <w:rFonts w:hint="eastAsia" w:ascii="仿宋_GB2312" w:hAnsi="仿宋" w:eastAsia="仿宋_GB2312" w:cstheme="minorBidi"/>
          <w:bCs/>
          <w:color w:val="000000" w:themeColor="text1"/>
          <w:sz w:val="21"/>
          <w:szCs w:val="21"/>
          <w:highlight w:val="none"/>
          <w14:textFill>
            <w14:solidFill>
              <w14:schemeClr w14:val="tx1"/>
            </w14:solidFill>
          </w14:textFill>
        </w:rPr>
        <w:t>年</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10</w:t>
      </w:r>
      <w:r>
        <w:rPr>
          <w:rFonts w:hint="eastAsia" w:ascii="仿宋_GB2312" w:hAnsi="仿宋" w:eastAsia="仿宋_GB2312" w:cstheme="minorBidi"/>
          <w:bCs/>
          <w:color w:val="000000" w:themeColor="text1"/>
          <w:sz w:val="21"/>
          <w:szCs w:val="21"/>
          <w:highlight w:val="none"/>
          <w14:textFill>
            <w14:solidFill>
              <w14:schemeClr w14:val="tx1"/>
            </w14:solidFill>
          </w14:textFill>
        </w:rPr>
        <w:t>月</w:t>
      </w: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11日</w:t>
      </w:r>
    </w:p>
    <w:p w14:paraId="4131ECC3">
      <w:pPr>
        <w:pStyle w:val="2"/>
      </w:pPr>
    </w:p>
    <w:sectPr>
      <w:pgSz w:w="11906" w:h="16838"/>
      <w:pgMar w:top="850" w:right="1349" w:bottom="85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roman"/>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multilevel"/>
    <w:tmpl w:val="00000011"/>
    <w:lvl w:ilvl="0" w:tentative="0">
      <w:start w:val="1"/>
      <w:numFmt w:val="none"/>
      <w:pStyle w:val="3"/>
      <w:lvlText w:val="( a )"/>
      <w:lvlJc w:val="left"/>
      <w:pPr>
        <w:tabs>
          <w:tab w:val="left" w:pos="1080"/>
        </w:tabs>
        <w:ind w:left="0" w:firstLine="0"/>
      </w:pPr>
      <w:rPr>
        <w:rFonts w:hint="eastAsia"/>
      </w:rPr>
    </w:lvl>
    <w:lvl w:ilvl="1" w:tentative="0">
      <w:start w:val="1"/>
      <w:numFmt w:val="lowerRoman"/>
      <w:lvlText w:val="( %2 )"/>
      <w:lvlJc w:val="left"/>
      <w:pPr>
        <w:tabs>
          <w:tab w:val="left" w:pos="2291"/>
        </w:tabs>
        <w:ind w:left="851" w:firstLine="0"/>
      </w:pPr>
      <w:rPr>
        <w:rFonts w:hint="eastAsia"/>
      </w:rPr>
    </w:lvl>
    <w:lvl w:ilvl="2" w:tentative="0">
      <w:start w:val="1"/>
      <w:numFmt w:val="decimal"/>
      <w:lvlText w:val="%3."/>
      <w:lvlJc w:val="left"/>
      <w:pPr>
        <w:tabs>
          <w:tab w:val="left" w:pos="2061"/>
        </w:tabs>
        <w:ind w:left="1701" w:firstLine="0"/>
      </w:pPr>
      <w:rPr>
        <w:rFonts w:hint="eastAsia"/>
      </w:rPr>
    </w:lvl>
    <w:lvl w:ilvl="3" w:tentative="0">
      <w:start w:val="1"/>
      <w:numFmt w:val="lowerLetter"/>
      <w:lvlText w:val="%4)"/>
      <w:lvlJc w:val="left"/>
      <w:pPr>
        <w:tabs>
          <w:tab w:val="left" w:pos="2976"/>
        </w:tabs>
        <w:ind w:left="2551" w:firstLine="0"/>
      </w:pPr>
      <w:rPr>
        <w:rFonts w:hint="eastAsia"/>
      </w:rPr>
    </w:lvl>
    <w:lvl w:ilvl="4" w:tentative="0">
      <w:start w:val="1"/>
      <w:numFmt w:val="decimal"/>
      <w:lvlText w:val="(%5)"/>
      <w:lvlJc w:val="left"/>
      <w:pPr>
        <w:tabs>
          <w:tab w:val="left" w:pos="3827"/>
        </w:tabs>
        <w:ind w:left="3402" w:firstLine="0"/>
      </w:pPr>
      <w:rPr>
        <w:rFonts w:hint="eastAsia"/>
      </w:rPr>
    </w:lvl>
    <w:lvl w:ilvl="5" w:tentative="0">
      <w:start w:val="1"/>
      <w:numFmt w:val="lowerLetter"/>
      <w:lvlText w:val="(%6)"/>
      <w:lvlJc w:val="left"/>
      <w:pPr>
        <w:tabs>
          <w:tab w:val="left" w:pos="4677"/>
        </w:tabs>
        <w:ind w:left="4252" w:firstLine="0"/>
      </w:pPr>
      <w:rPr>
        <w:rFonts w:hint="eastAsia"/>
      </w:rPr>
    </w:lvl>
    <w:lvl w:ilvl="6" w:tentative="0">
      <w:start w:val="1"/>
      <w:numFmt w:val="lowerRoman"/>
      <w:lvlText w:val="(%7)"/>
      <w:lvlJc w:val="left"/>
      <w:pPr>
        <w:tabs>
          <w:tab w:val="left" w:pos="5528"/>
        </w:tabs>
        <w:ind w:left="5102" w:firstLine="0"/>
      </w:pPr>
      <w:rPr>
        <w:rFonts w:hint="eastAsia"/>
      </w:rPr>
    </w:lvl>
    <w:lvl w:ilvl="7" w:tentative="0">
      <w:start w:val="1"/>
      <w:numFmt w:val="lowerLetter"/>
      <w:lvlText w:val="(%8)"/>
      <w:lvlJc w:val="left"/>
      <w:pPr>
        <w:tabs>
          <w:tab w:val="left" w:pos="6378"/>
        </w:tabs>
        <w:ind w:left="5953" w:firstLine="0"/>
      </w:pPr>
      <w:rPr>
        <w:rFonts w:hint="eastAsia"/>
      </w:rPr>
    </w:lvl>
    <w:lvl w:ilvl="8" w:tentative="0">
      <w:start w:val="1"/>
      <w:numFmt w:val="lowerRoman"/>
      <w:lvlText w:val="(%9)"/>
      <w:lvlJc w:val="left"/>
      <w:pPr>
        <w:tabs>
          <w:tab w:val="left" w:pos="7228"/>
        </w:tabs>
        <w:ind w:left="6803" w:firstLine="0"/>
      </w:pPr>
      <w:rPr>
        <w:rFonts w:hint="eastAsia"/>
      </w:rPr>
    </w:lvl>
  </w:abstractNum>
  <w:abstractNum w:abstractNumId="1">
    <w:nsid w:val="4E871967"/>
    <w:multiLevelType w:val="singleLevel"/>
    <w:tmpl w:val="4E871967"/>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ZWYwYjQ5OTVjYmM5NzBlNGJiMDEwYWUzYzlhNDgifQ=="/>
  </w:docVars>
  <w:rsids>
    <w:rsidRoot w:val="00757B99"/>
    <w:rsid w:val="00004990"/>
    <w:rsid w:val="00056787"/>
    <w:rsid w:val="00076AAB"/>
    <w:rsid w:val="0009235A"/>
    <w:rsid w:val="000C3945"/>
    <w:rsid w:val="000E21A8"/>
    <w:rsid w:val="001263E4"/>
    <w:rsid w:val="001829DA"/>
    <w:rsid w:val="00186F29"/>
    <w:rsid w:val="001932F7"/>
    <w:rsid w:val="001A55D0"/>
    <w:rsid w:val="00210003"/>
    <w:rsid w:val="00220518"/>
    <w:rsid w:val="00231BFE"/>
    <w:rsid w:val="00280842"/>
    <w:rsid w:val="002D110E"/>
    <w:rsid w:val="00316F64"/>
    <w:rsid w:val="003567FF"/>
    <w:rsid w:val="003B4988"/>
    <w:rsid w:val="003C0682"/>
    <w:rsid w:val="00426D51"/>
    <w:rsid w:val="00456E2C"/>
    <w:rsid w:val="004E0A07"/>
    <w:rsid w:val="00517D38"/>
    <w:rsid w:val="00526222"/>
    <w:rsid w:val="00554568"/>
    <w:rsid w:val="00556FE6"/>
    <w:rsid w:val="005761FF"/>
    <w:rsid w:val="005D5C19"/>
    <w:rsid w:val="0062728D"/>
    <w:rsid w:val="00692127"/>
    <w:rsid w:val="006F586C"/>
    <w:rsid w:val="007133D7"/>
    <w:rsid w:val="00751840"/>
    <w:rsid w:val="00757B99"/>
    <w:rsid w:val="007C1E39"/>
    <w:rsid w:val="007E1061"/>
    <w:rsid w:val="007F3152"/>
    <w:rsid w:val="008237DC"/>
    <w:rsid w:val="00864508"/>
    <w:rsid w:val="00865562"/>
    <w:rsid w:val="00896B5E"/>
    <w:rsid w:val="008B25C2"/>
    <w:rsid w:val="008B4742"/>
    <w:rsid w:val="008D4148"/>
    <w:rsid w:val="009228B1"/>
    <w:rsid w:val="00924210"/>
    <w:rsid w:val="00943538"/>
    <w:rsid w:val="00956880"/>
    <w:rsid w:val="00963C66"/>
    <w:rsid w:val="00975B9F"/>
    <w:rsid w:val="009A1C1B"/>
    <w:rsid w:val="009E51F3"/>
    <w:rsid w:val="00AB73C6"/>
    <w:rsid w:val="00AC5059"/>
    <w:rsid w:val="00B309B6"/>
    <w:rsid w:val="00B6138B"/>
    <w:rsid w:val="00B63ADB"/>
    <w:rsid w:val="00B95844"/>
    <w:rsid w:val="00BE1486"/>
    <w:rsid w:val="00BE1545"/>
    <w:rsid w:val="00C043BA"/>
    <w:rsid w:val="00C35A71"/>
    <w:rsid w:val="00C606C6"/>
    <w:rsid w:val="00C85B90"/>
    <w:rsid w:val="00CA5E0E"/>
    <w:rsid w:val="00CC444E"/>
    <w:rsid w:val="00D57E4D"/>
    <w:rsid w:val="00D71DE8"/>
    <w:rsid w:val="00D75E60"/>
    <w:rsid w:val="00D877F6"/>
    <w:rsid w:val="00DA7B9B"/>
    <w:rsid w:val="00E30ADD"/>
    <w:rsid w:val="00E325DA"/>
    <w:rsid w:val="00E76771"/>
    <w:rsid w:val="00E77BA3"/>
    <w:rsid w:val="00EB79D1"/>
    <w:rsid w:val="00F21DD3"/>
    <w:rsid w:val="00F44F35"/>
    <w:rsid w:val="00F45150"/>
    <w:rsid w:val="00FE7D76"/>
    <w:rsid w:val="00FF46C0"/>
    <w:rsid w:val="014F3506"/>
    <w:rsid w:val="01D43490"/>
    <w:rsid w:val="02326D99"/>
    <w:rsid w:val="02C84C7A"/>
    <w:rsid w:val="039F51A6"/>
    <w:rsid w:val="052C406D"/>
    <w:rsid w:val="0556565D"/>
    <w:rsid w:val="062855A1"/>
    <w:rsid w:val="073D5FA2"/>
    <w:rsid w:val="08182F98"/>
    <w:rsid w:val="08CF0558"/>
    <w:rsid w:val="09226513"/>
    <w:rsid w:val="092F0693"/>
    <w:rsid w:val="0A423EC6"/>
    <w:rsid w:val="0AA86122"/>
    <w:rsid w:val="0C6145C8"/>
    <w:rsid w:val="0DF95CBA"/>
    <w:rsid w:val="0E6314FF"/>
    <w:rsid w:val="0E8A2ADC"/>
    <w:rsid w:val="0F073F99"/>
    <w:rsid w:val="0F256C33"/>
    <w:rsid w:val="109E0A73"/>
    <w:rsid w:val="10C26A97"/>
    <w:rsid w:val="10FB65A4"/>
    <w:rsid w:val="11D15E59"/>
    <w:rsid w:val="128E2AB8"/>
    <w:rsid w:val="12C80001"/>
    <w:rsid w:val="14177099"/>
    <w:rsid w:val="14E64DF7"/>
    <w:rsid w:val="157601E9"/>
    <w:rsid w:val="158E377D"/>
    <w:rsid w:val="15CB7014"/>
    <w:rsid w:val="15EA761A"/>
    <w:rsid w:val="16A80A2C"/>
    <w:rsid w:val="19CD72CC"/>
    <w:rsid w:val="1A98475D"/>
    <w:rsid w:val="1B2304CB"/>
    <w:rsid w:val="1BA810E9"/>
    <w:rsid w:val="1BDC6813"/>
    <w:rsid w:val="1CDC549E"/>
    <w:rsid w:val="1D18707F"/>
    <w:rsid w:val="1D562233"/>
    <w:rsid w:val="1DC22BC6"/>
    <w:rsid w:val="1DCF2438"/>
    <w:rsid w:val="201709A4"/>
    <w:rsid w:val="20B56876"/>
    <w:rsid w:val="20B96182"/>
    <w:rsid w:val="21A26D34"/>
    <w:rsid w:val="21E40A76"/>
    <w:rsid w:val="2226007B"/>
    <w:rsid w:val="229033F8"/>
    <w:rsid w:val="232A0417"/>
    <w:rsid w:val="233769E2"/>
    <w:rsid w:val="240B6730"/>
    <w:rsid w:val="242335CA"/>
    <w:rsid w:val="249E4DEC"/>
    <w:rsid w:val="24EA00CA"/>
    <w:rsid w:val="259517A3"/>
    <w:rsid w:val="25FF7F13"/>
    <w:rsid w:val="263C3B20"/>
    <w:rsid w:val="27523709"/>
    <w:rsid w:val="27796E2B"/>
    <w:rsid w:val="282B5FE9"/>
    <w:rsid w:val="283575D4"/>
    <w:rsid w:val="28653E7F"/>
    <w:rsid w:val="287F5975"/>
    <w:rsid w:val="28865FAA"/>
    <w:rsid w:val="299201CB"/>
    <w:rsid w:val="2B2A7D65"/>
    <w:rsid w:val="2B5769AE"/>
    <w:rsid w:val="2BFF73C8"/>
    <w:rsid w:val="2C3036F5"/>
    <w:rsid w:val="2D692CFE"/>
    <w:rsid w:val="2DCF3122"/>
    <w:rsid w:val="2EB44D94"/>
    <w:rsid w:val="2FEA1255"/>
    <w:rsid w:val="2FF86D57"/>
    <w:rsid w:val="302009FC"/>
    <w:rsid w:val="305723AA"/>
    <w:rsid w:val="310321F7"/>
    <w:rsid w:val="31654DB2"/>
    <w:rsid w:val="33086C6F"/>
    <w:rsid w:val="33733D47"/>
    <w:rsid w:val="33E0746D"/>
    <w:rsid w:val="34D77A7B"/>
    <w:rsid w:val="35F56BF2"/>
    <w:rsid w:val="36646972"/>
    <w:rsid w:val="369B3548"/>
    <w:rsid w:val="38D33EF5"/>
    <w:rsid w:val="3A816B64"/>
    <w:rsid w:val="3A8F7BCF"/>
    <w:rsid w:val="3AE80991"/>
    <w:rsid w:val="3B015E30"/>
    <w:rsid w:val="3B293AE9"/>
    <w:rsid w:val="3B680FB0"/>
    <w:rsid w:val="3C2A2F02"/>
    <w:rsid w:val="3C6B3628"/>
    <w:rsid w:val="3CFE624A"/>
    <w:rsid w:val="3D32459C"/>
    <w:rsid w:val="3D9930C3"/>
    <w:rsid w:val="3DFB01BF"/>
    <w:rsid w:val="3E591EBE"/>
    <w:rsid w:val="3F095AC2"/>
    <w:rsid w:val="3F381A86"/>
    <w:rsid w:val="3FE0725A"/>
    <w:rsid w:val="400A6875"/>
    <w:rsid w:val="40EE73E0"/>
    <w:rsid w:val="41702A02"/>
    <w:rsid w:val="41E44FD4"/>
    <w:rsid w:val="43334FE5"/>
    <w:rsid w:val="43C47EA2"/>
    <w:rsid w:val="450E0A64"/>
    <w:rsid w:val="45584909"/>
    <w:rsid w:val="462B4521"/>
    <w:rsid w:val="464A678B"/>
    <w:rsid w:val="464B69A4"/>
    <w:rsid w:val="468D5E72"/>
    <w:rsid w:val="46BB0D9A"/>
    <w:rsid w:val="474321F6"/>
    <w:rsid w:val="47F226BB"/>
    <w:rsid w:val="48D9088B"/>
    <w:rsid w:val="493564C5"/>
    <w:rsid w:val="494A0C6C"/>
    <w:rsid w:val="498717BE"/>
    <w:rsid w:val="4997200B"/>
    <w:rsid w:val="4AE40D6D"/>
    <w:rsid w:val="4B2E1C72"/>
    <w:rsid w:val="4B322072"/>
    <w:rsid w:val="4BAE3BFB"/>
    <w:rsid w:val="4BD52894"/>
    <w:rsid w:val="4D1E464D"/>
    <w:rsid w:val="4E7A4888"/>
    <w:rsid w:val="4F8E698C"/>
    <w:rsid w:val="5092452C"/>
    <w:rsid w:val="51AF10A0"/>
    <w:rsid w:val="52C71612"/>
    <w:rsid w:val="54C03BDF"/>
    <w:rsid w:val="54EF1108"/>
    <w:rsid w:val="5599168F"/>
    <w:rsid w:val="564E0A29"/>
    <w:rsid w:val="56BF7520"/>
    <w:rsid w:val="576D5D44"/>
    <w:rsid w:val="58D73260"/>
    <w:rsid w:val="5BE657B9"/>
    <w:rsid w:val="5BEC3CEE"/>
    <w:rsid w:val="5C7F323F"/>
    <w:rsid w:val="5D5F17BD"/>
    <w:rsid w:val="5DF74E99"/>
    <w:rsid w:val="5F5C0D43"/>
    <w:rsid w:val="5FB96CFF"/>
    <w:rsid w:val="6207153B"/>
    <w:rsid w:val="62C4039D"/>
    <w:rsid w:val="636E387A"/>
    <w:rsid w:val="63F22F63"/>
    <w:rsid w:val="647F2EC3"/>
    <w:rsid w:val="65F515C0"/>
    <w:rsid w:val="66933AC0"/>
    <w:rsid w:val="66B772E6"/>
    <w:rsid w:val="673B6BE6"/>
    <w:rsid w:val="6774015E"/>
    <w:rsid w:val="68C21D58"/>
    <w:rsid w:val="69013C96"/>
    <w:rsid w:val="6AFD61C3"/>
    <w:rsid w:val="6B3F2C8E"/>
    <w:rsid w:val="6C8319FA"/>
    <w:rsid w:val="6CC3508C"/>
    <w:rsid w:val="6E411D9B"/>
    <w:rsid w:val="6ECD4AA5"/>
    <w:rsid w:val="6F3F4C7E"/>
    <w:rsid w:val="6F6F17D9"/>
    <w:rsid w:val="72E6007A"/>
    <w:rsid w:val="749C7697"/>
    <w:rsid w:val="75406CD8"/>
    <w:rsid w:val="760617A8"/>
    <w:rsid w:val="77AE0857"/>
    <w:rsid w:val="77F44655"/>
    <w:rsid w:val="7B0D697D"/>
    <w:rsid w:val="7B874D32"/>
    <w:rsid w:val="7CEF627E"/>
    <w:rsid w:val="7D726161"/>
    <w:rsid w:val="7E8108FE"/>
    <w:rsid w:val="7EC564AB"/>
    <w:rsid w:val="7EEA4324"/>
    <w:rsid w:val="7FEB5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kern w:val="44"/>
      <w:sz w:val="44"/>
      <w:szCs w:val="20"/>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widowControl/>
      <w:ind w:firstLine="420"/>
      <w:jc w:val="left"/>
    </w:pPr>
    <w:rPr>
      <w:rFonts w:ascii="MingLiU" w:hAnsi="MingLiU" w:eastAsia="MingLiU" w:cs="Arial Unicode MS"/>
      <w:snapToGrid w:val="0"/>
      <w:kern w:val="0"/>
      <w:sz w:val="20"/>
      <w:szCs w:val="20"/>
    </w:rPr>
  </w:style>
  <w:style w:type="paragraph" w:styleId="4">
    <w:name w:val="Salutation"/>
    <w:basedOn w:val="1"/>
    <w:next w:val="1"/>
    <w:link w:val="17"/>
    <w:autoRedefine/>
    <w:qFormat/>
    <w:uiPriority w:val="0"/>
    <w:rPr>
      <w:kern w:val="0"/>
      <w:sz w:val="24"/>
    </w:rPr>
  </w:style>
  <w:style w:type="paragraph" w:styleId="5">
    <w:name w:val="Body Text"/>
    <w:basedOn w:val="1"/>
    <w:autoRedefine/>
    <w:qFormat/>
    <w:uiPriority w:val="0"/>
    <w:pPr>
      <w:spacing w:after="120"/>
    </w:pPr>
  </w:style>
  <w:style w:type="paragraph" w:styleId="6">
    <w:name w:val="Body Text Indent"/>
    <w:basedOn w:val="1"/>
    <w:autoRedefine/>
    <w:qFormat/>
    <w:uiPriority w:val="0"/>
    <w:pPr>
      <w:spacing w:line="440" w:lineRule="exact"/>
      <w:ind w:firstLine="480" w:firstLineChars="200"/>
    </w:pPr>
    <w:rPr>
      <w:rFonts w:ascii="宋体" w:hAnsi="宋体"/>
      <w:kern w:val="0"/>
      <w:sz w:val="24"/>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after="100"/>
      <w:jc w:val="left"/>
    </w:pPr>
    <w:rPr>
      <w:rFonts w:ascii="宋体" w:hAnsi="宋体"/>
      <w:kern w:val="0"/>
      <w:sz w:val="24"/>
      <w:szCs w:val="20"/>
    </w:rPr>
  </w:style>
  <w:style w:type="paragraph" w:styleId="10">
    <w:name w:val="Body Text First Indent 2"/>
    <w:basedOn w:val="6"/>
    <w:autoRedefine/>
    <w:qFormat/>
    <w:uiPriority w:val="0"/>
    <w:pPr>
      <w:ind w:firstLine="420"/>
    </w:pPr>
    <w:rPr>
      <w:rFonts w:ascii="Calibri" w:hAnsi="Calibri"/>
    </w:rPr>
  </w:style>
  <w:style w:type="character" w:styleId="13">
    <w:name w:val="Hyperlink"/>
    <w:basedOn w:val="12"/>
    <w:autoRedefine/>
    <w:semiHidden/>
    <w:unhideWhenUsed/>
    <w:qFormat/>
    <w:uiPriority w:val="99"/>
    <w:rPr>
      <w:color w:val="0000FF"/>
      <w:u w:val="single"/>
    </w:rPr>
  </w:style>
  <w:style w:type="paragraph" w:customStyle="1" w:styleId="14">
    <w:name w:val="Default"/>
    <w:autoRedefine/>
    <w:qFormat/>
    <w:uiPriority w:val="0"/>
    <w:pPr>
      <w:widowControl w:val="0"/>
      <w:autoSpaceDE w:val="0"/>
      <w:autoSpaceDN w:val="0"/>
      <w:adjustRightInd w:val="0"/>
    </w:pPr>
    <w:rPr>
      <w:rFonts w:ascii=".." w:hAnsi="Times New Roman" w:eastAsia=".." w:cs=".."/>
      <w:color w:val="000000"/>
      <w:sz w:val="24"/>
      <w:szCs w:val="24"/>
      <w:lang w:val="en-US" w:eastAsia="zh-CN" w:bidi="ar-SA"/>
    </w:rPr>
  </w:style>
  <w:style w:type="character" w:customStyle="1" w:styleId="15">
    <w:name w:val="页眉 Char"/>
    <w:basedOn w:val="12"/>
    <w:link w:val="8"/>
    <w:autoRedefine/>
    <w:qFormat/>
    <w:uiPriority w:val="99"/>
    <w:rPr>
      <w:rFonts w:ascii="Times New Roman" w:hAnsi="Times New Roman" w:eastAsia="宋体" w:cs="Times New Roman"/>
      <w:sz w:val="18"/>
      <w:szCs w:val="18"/>
    </w:rPr>
  </w:style>
  <w:style w:type="character" w:customStyle="1" w:styleId="16">
    <w:name w:val="页脚 Char"/>
    <w:basedOn w:val="12"/>
    <w:link w:val="7"/>
    <w:autoRedefine/>
    <w:qFormat/>
    <w:uiPriority w:val="99"/>
    <w:rPr>
      <w:rFonts w:ascii="Times New Roman" w:hAnsi="Times New Roman" w:eastAsia="宋体" w:cs="Times New Roman"/>
      <w:sz w:val="18"/>
      <w:szCs w:val="18"/>
    </w:rPr>
  </w:style>
  <w:style w:type="character" w:customStyle="1" w:styleId="17">
    <w:name w:val="称呼 Char"/>
    <w:basedOn w:val="12"/>
    <w:link w:val="4"/>
    <w:autoRedefine/>
    <w:qFormat/>
    <w:uiPriority w:val="0"/>
    <w:rPr>
      <w:rFonts w:ascii="Times New Roman" w:hAnsi="Times New Roman" w:eastAsia="宋体" w:cs="Times New Roman"/>
      <w:kern w:val="0"/>
      <w:sz w:val="24"/>
      <w:szCs w:val="24"/>
    </w:rPr>
  </w:style>
  <w:style w:type="paragraph" w:customStyle="1" w:styleId="18">
    <w:name w:val="合同正文"/>
    <w:basedOn w:val="1"/>
    <w:autoRedefine/>
    <w:qFormat/>
    <w:uiPriority w:val="0"/>
    <w:pPr>
      <w:spacing w:line="360" w:lineRule="auto"/>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1714</Words>
  <Characters>1932</Characters>
  <Lines>12</Lines>
  <Paragraphs>3</Paragraphs>
  <TotalTime>9</TotalTime>
  <ScaleCrop>false</ScaleCrop>
  <LinksUpToDate>false</LinksUpToDate>
  <CharactersWithSpaces>1992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2019-12-08T05:01:00Z</dcterms:created>
  <dc:creator>韩超</dc:creator>
  <cp:lastModifiedBy>纪浮生</cp:lastModifiedBy>
  <dcterms:modified xsi:type="dcterms:W3CDTF">2024-10-11T00:07:27Z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4689C6757940497588B25FD50C40BE22</vt:lpwstr>
  </property>
</Properties>
</file>