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72D84">
      <w:pPr>
        <w:spacing w:line="360" w:lineRule="auto"/>
        <w:jc w:val="left"/>
        <w:rPr>
          <w:rFonts w:eastAsia="仿宋_GB2312"/>
          <w:bCs/>
          <w:color w:val="000000"/>
          <w:sz w:val="28"/>
          <w:szCs w:val="28"/>
          <w:u w:val="single"/>
        </w:rPr>
      </w:pPr>
      <w:bookmarkStart w:id="0" w:name="_Hlk126831517"/>
      <w:r>
        <w:rPr>
          <w:rFonts w:hint="eastAsia" w:eastAsia="仿宋_GB2312"/>
          <w:bCs/>
          <w:color w:val="000000"/>
          <w:sz w:val="28"/>
          <w:szCs w:val="28"/>
        </w:rPr>
        <w:t>合同编号：</w:t>
      </w:r>
      <w:permStart w:id="0" w:edGrp="everyone"/>
      <w:r>
        <w:rPr>
          <w:rFonts w:hint="eastAsia" w:eastAsia="仿宋_GB2312"/>
          <w:bCs/>
          <w:color w:val="000000"/>
          <w:sz w:val="28"/>
          <w:szCs w:val="28"/>
          <w:u w:val="single"/>
        </w:rPr>
        <w:t xml:space="preserve">  </w:t>
      </w:r>
      <w:r>
        <w:rPr>
          <w:rFonts w:ascii="宋体" w:hAnsi="宋体" w:eastAsia="宋体"/>
          <w:u w:val="single"/>
        </w:rPr>
        <w:t>ZJLQ-FG-</w:t>
      </w:r>
      <w:r>
        <w:rPr>
          <w:rFonts w:hint="eastAsia" w:ascii="宋体" w:hAnsi="宋体" w:eastAsia="宋体"/>
          <w:u w:val="single"/>
        </w:rPr>
        <w:t>京昆养护项目-00</w:t>
      </w:r>
      <w:r>
        <w:rPr>
          <w:rFonts w:hint="eastAsia" w:ascii="宋体" w:hAnsi="宋体" w:eastAsia="宋体"/>
          <w:u w:val="single"/>
          <w:lang w:val="en-US" w:eastAsia="zh-CN"/>
        </w:rPr>
        <w:t>3</w:t>
      </w:r>
      <w:r>
        <w:rPr>
          <w:rFonts w:hint="eastAsia" w:eastAsia="仿宋_GB2312"/>
          <w:bCs/>
          <w:color w:val="000000"/>
          <w:sz w:val="28"/>
          <w:szCs w:val="28"/>
          <w:u w:val="single"/>
        </w:rPr>
        <w:t xml:space="preserve">   </w:t>
      </w:r>
      <w:permEnd w:id="0"/>
    </w:p>
    <w:p w14:paraId="5739DCAB">
      <w:pPr>
        <w:wordWrap w:val="0"/>
        <w:spacing w:line="640" w:lineRule="exact"/>
        <w:rPr>
          <w:rFonts w:hint="eastAsia" w:ascii="仿宋_GB2312" w:hAnsi="仿宋" w:eastAsia="仿宋_GB2312" w:cs="仿宋"/>
          <w:color w:val="000000" w:themeColor="text1"/>
          <w:sz w:val="24"/>
          <w:szCs w:val="24"/>
          <w14:textFill>
            <w14:solidFill>
              <w14:schemeClr w14:val="tx1"/>
            </w14:solidFill>
          </w14:textFill>
        </w:rPr>
      </w:pPr>
      <w:r>
        <w:rPr>
          <w:rFonts w:hint="eastAsia" w:eastAsia="仿宋_GB2312"/>
          <w:bCs/>
          <w:color w:val="000000"/>
          <w:sz w:val="28"/>
          <w:szCs w:val="28"/>
        </w:rPr>
        <w:t>框架协议：</w:t>
      </w:r>
      <w:permStart w:id="1" w:edGrp="everyone"/>
      <w:r>
        <w:rPr>
          <w:rFonts w:hint="eastAsia" w:eastAsia="仿宋_GB2312"/>
          <w:bCs/>
          <w:color w:val="000000"/>
          <w:sz w:val="28"/>
          <w:szCs w:val="28"/>
          <w:u w:val="single"/>
        </w:rPr>
        <w:t xml:space="preserve">                    </w:t>
      </w:r>
      <w:permEnd w:id="1"/>
    </w:p>
    <w:p w14:paraId="61D38368">
      <w:pPr>
        <w:spacing w:line="360" w:lineRule="auto"/>
        <w:jc w:val="left"/>
        <w:rPr>
          <w:rFonts w:hint="eastAsia" w:ascii="仿宋_GB2312" w:hAnsi="仿宋_GB2312" w:eastAsia="仿宋_GB2312" w:cs="仿宋_GB2312"/>
          <w:sz w:val="28"/>
          <w:szCs w:val="28"/>
        </w:rPr>
      </w:pPr>
      <w:r>
        <w:rPr>
          <w:rFonts w:hint="eastAsia"/>
        </w:rPr>
        <w:pict>
          <v:shape id="_x0000_s2050" o:spid="_x0000_s2050"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0A650D38">
      <w:pPr>
        <w:pStyle w:val="2"/>
      </w:pPr>
    </w:p>
    <w:p w14:paraId="61B8C80D">
      <w:pPr>
        <w:pStyle w:val="2"/>
      </w:pPr>
    </w:p>
    <w:p w14:paraId="08DF8919">
      <w:pPr>
        <w:pStyle w:val="2"/>
      </w:pPr>
    </w:p>
    <w:p w14:paraId="029B268E">
      <w:pPr>
        <w:spacing w:line="360" w:lineRule="auto"/>
        <w:jc w:val="center"/>
        <w:rPr>
          <w:rFonts w:hint="eastAsia" w:ascii="华文中宋" w:hAnsi="华文中宋" w:eastAsia="华文中宋" w:cs="华文中宋"/>
          <w:b/>
          <w:sz w:val="52"/>
          <w:szCs w:val="52"/>
        </w:rPr>
      </w:pPr>
      <w:permStart w:id="2" w:edGrp="everyone"/>
      <w:r>
        <w:rPr>
          <w:rFonts w:hint="eastAsia" w:ascii="华文中宋" w:hAnsi="华文中宋" w:eastAsia="华文中宋" w:cs="华文中宋"/>
          <w:b/>
          <w:sz w:val="52"/>
          <w:szCs w:val="52"/>
        </w:rPr>
        <w:t>【</w:t>
      </w:r>
      <w:r>
        <w:rPr>
          <w:rFonts w:hint="eastAsia" w:ascii="华文中宋" w:hAnsi="华文中宋" w:eastAsia="华文中宋" w:cs="华文中宋"/>
          <w:b/>
          <w:sz w:val="52"/>
          <w:szCs w:val="52"/>
          <w:lang w:val="en-US" w:eastAsia="zh-CN"/>
        </w:rPr>
        <w:t>高渗透强黏结环氧树脂</w:t>
      </w:r>
      <w:r>
        <w:rPr>
          <w:rFonts w:hint="eastAsia" w:ascii="华文中宋" w:hAnsi="华文中宋" w:eastAsia="华文中宋" w:cs="华文中宋"/>
          <w:b/>
          <w:sz w:val="52"/>
          <w:szCs w:val="52"/>
        </w:rPr>
        <w:t>】</w:t>
      </w:r>
      <w:permEnd w:id="2"/>
      <w:r>
        <w:rPr>
          <w:rFonts w:hint="eastAsia" w:ascii="华文中宋" w:hAnsi="华文中宋" w:eastAsia="华文中宋" w:cs="华文中宋"/>
          <w:b/>
          <w:sz w:val="52"/>
          <w:szCs w:val="52"/>
        </w:rPr>
        <w:t>采购与供应合同</w:t>
      </w:r>
    </w:p>
    <w:p w14:paraId="1522B7FB">
      <w:pPr>
        <w:spacing w:line="360" w:lineRule="auto"/>
        <w:jc w:val="center"/>
        <w:rPr>
          <w:rFonts w:hint="eastAsia" w:ascii="宋体" w:hAnsi="宋体" w:cs="宋体"/>
          <w:b/>
          <w:sz w:val="28"/>
          <w:szCs w:val="28"/>
        </w:rPr>
      </w:pPr>
      <w: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FF8D9F8">
      <w:pPr>
        <w:spacing w:line="360" w:lineRule="auto"/>
        <w:jc w:val="center"/>
        <w:rPr>
          <w:rFonts w:hint="eastAsia" w:ascii="宋体" w:hAnsi="宋体" w:cs="宋体"/>
          <w:b/>
          <w:sz w:val="28"/>
          <w:szCs w:val="28"/>
        </w:rPr>
      </w:pPr>
    </w:p>
    <w:p w14:paraId="38CF025E">
      <w:pPr>
        <w:spacing w:line="360" w:lineRule="auto"/>
        <w:jc w:val="center"/>
        <w:rPr>
          <w:rFonts w:hint="eastAsia" w:ascii="宋体" w:hAnsi="宋体" w:cs="宋体"/>
          <w:b/>
          <w:sz w:val="28"/>
          <w:szCs w:val="28"/>
        </w:rPr>
      </w:pPr>
    </w:p>
    <w:p w14:paraId="789AB2FA">
      <w:pPr>
        <w:spacing w:line="360" w:lineRule="auto"/>
        <w:jc w:val="center"/>
        <w:rPr>
          <w:rFonts w:hint="eastAsia" w:ascii="宋体" w:hAnsi="宋体" w:cs="宋体"/>
          <w:b/>
          <w:sz w:val="28"/>
          <w:szCs w:val="28"/>
        </w:rPr>
      </w:pPr>
    </w:p>
    <w:p w14:paraId="61D11110">
      <w:pPr>
        <w:spacing w:line="360" w:lineRule="auto"/>
        <w:jc w:val="center"/>
        <w:rPr>
          <w:rFonts w:hint="eastAsia" w:ascii="宋体" w:hAnsi="宋体" w:cs="宋体"/>
          <w:b/>
          <w:sz w:val="28"/>
          <w:szCs w:val="28"/>
        </w:rPr>
      </w:pPr>
    </w:p>
    <w:p w14:paraId="2C88708D">
      <w:pPr>
        <w:spacing w:line="360" w:lineRule="auto"/>
        <w:rPr>
          <w:rFonts w:hint="eastAsia" w:ascii="宋体" w:hAnsi="宋体" w:cs="宋体"/>
          <w:b/>
          <w:sz w:val="28"/>
          <w:szCs w:val="28"/>
        </w:rPr>
      </w:pPr>
    </w:p>
    <w:p w14:paraId="09528D9E">
      <w:pPr>
        <w:pStyle w:val="4"/>
        <w:spacing w:after="120"/>
        <w:ind w:firstLine="560"/>
        <w:rPr>
          <w:rFonts w:hint="eastAsia" w:ascii="宋体" w:hAnsi="宋体" w:cs="宋体"/>
          <w:b/>
          <w:sz w:val="28"/>
          <w:szCs w:val="28"/>
        </w:rPr>
      </w:pPr>
    </w:p>
    <w:p w14:paraId="3F0FA94F">
      <w:pPr>
        <w:pStyle w:val="4"/>
        <w:spacing w:after="120"/>
        <w:ind w:firstLine="560"/>
        <w:rPr>
          <w:rFonts w:hint="eastAsia" w:ascii="宋体" w:hAnsi="宋体" w:cs="宋体"/>
          <w:b/>
          <w:sz w:val="28"/>
          <w:szCs w:val="28"/>
        </w:rPr>
      </w:pPr>
    </w:p>
    <w:p w14:paraId="56DF1D68">
      <w:pPr>
        <w:spacing w:line="360" w:lineRule="auto"/>
        <w:rPr>
          <w:rFonts w:hint="eastAsia" w:ascii="仿宋_GB2312" w:hAnsi="仿宋_GB2312" w:eastAsia="仿宋_GB2312" w:cs="仿宋_GB2312"/>
          <w:b/>
          <w:bCs/>
          <w:sz w:val="28"/>
          <w:szCs w:val="28"/>
        </w:rPr>
      </w:pPr>
    </w:p>
    <w:p w14:paraId="4877F33A">
      <w:pPr>
        <w:spacing w:line="360" w:lineRule="auto"/>
        <w:ind w:firstLine="562" w:firstLineChars="200"/>
        <w:rPr>
          <w:rFonts w:hint="eastAsia" w:ascii="仿宋_GB2312" w:hAnsi="仿宋_GB2312" w:eastAsia="仿宋_GB2312" w:cs="仿宋_GB2312"/>
          <w:sz w:val="28"/>
          <w:szCs w:val="28"/>
        </w:rPr>
      </w:pPr>
      <w:permStart w:id="3" w:edGrp="everyone"/>
      <w:r>
        <w:rPr>
          <w:rFonts w:hint="eastAsia" w:ascii="仿宋_GB2312" w:hAnsi="仿宋_GB2312" w:eastAsia="仿宋_GB2312" w:cs="仿宋_GB2312"/>
          <w:b/>
          <w:bCs/>
          <w:sz w:val="28"/>
          <w:szCs w:val="28"/>
        </w:rPr>
        <w:t>项目名称：</w:t>
      </w:r>
      <w:r>
        <w:rPr>
          <w:rFonts w:hint="eastAsia" w:ascii="仿宋_GB2312" w:hAnsi="仿宋_GB2312" w:eastAsia="仿宋_GB2312" w:cs="仿宋_GB2312"/>
          <w:b/>
          <w:color w:val="000000"/>
          <w:sz w:val="28"/>
          <w:szCs w:val="28"/>
        </w:rPr>
        <w:t>【  京昆高速公路超薄罩面技术推广    】</w:t>
      </w:r>
    </w:p>
    <w:p w14:paraId="3CBAC6BF">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甲    方：</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中建路桥集团第四工程有限公司</w:t>
      </w:r>
      <w:r>
        <w:rPr>
          <w:rFonts w:hint="eastAsia" w:ascii="仿宋_GB2312" w:hAnsi="仿宋_GB2312" w:eastAsia="仿宋_GB2312" w:cs="仿宋_GB2312"/>
          <w:b/>
          <w:color w:val="000000"/>
          <w:sz w:val="28"/>
          <w:szCs w:val="28"/>
        </w:rPr>
        <w:t xml:space="preserve">    】</w:t>
      </w:r>
    </w:p>
    <w:p w14:paraId="64675C96">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乙    方：</w:t>
      </w:r>
      <w:r>
        <w:rPr>
          <w:rFonts w:hint="eastAsia" w:ascii="仿宋_GB2312" w:hAnsi="仿宋_GB2312" w:eastAsia="仿宋_GB2312" w:cs="仿宋_GB2312"/>
          <w:b/>
          <w:color w:val="000000"/>
          <w:sz w:val="28"/>
          <w:szCs w:val="28"/>
        </w:rPr>
        <w:t>【                                  】</w:t>
      </w:r>
    </w:p>
    <w:p w14:paraId="6C57C01B">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签订时间：</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color w:val="000000"/>
          <w:sz w:val="28"/>
          <w:szCs w:val="28"/>
        </w:rPr>
        <w:t xml:space="preserve">                     】</w:t>
      </w:r>
    </w:p>
    <w:p w14:paraId="7D71AEEF">
      <w:pPr>
        <w:spacing w:line="360" w:lineRule="auto"/>
        <w:ind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sz w:val="28"/>
          <w:szCs w:val="28"/>
        </w:rPr>
        <w:t>签订地点：</w:t>
      </w:r>
      <w:r>
        <w:rPr>
          <w:rFonts w:hint="eastAsia" w:ascii="仿宋_GB2312" w:hAnsi="仿宋_GB2312" w:eastAsia="仿宋_GB2312" w:cs="仿宋_GB2312"/>
          <w:b/>
          <w:color w:val="000000"/>
          <w:sz w:val="28"/>
          <w:szCs w:val="28"/>
        </w:rPr>
        <w:t>【           河南省郑州市           】</w:t>
      </w:r>
    </w:p>
    <w:p w14:paraId="3A3B1100">
      <w:pPr>
        <w:spacing w:line="480" w:lineRule="auto"/>
        <w:ind w:firstLine="1120" w:firstLineChars="400"/>
        <w:jc w:val="left"/>
        <w:textAlignment w:val="baseline"/>
        <w:rPr>
          <w:rFonts w:hint="eastAsia" w:ascii="仿宋_GB2312" w:hAnsi="仿宋" w:eastAsia="仿宋_GB2312" w:cs="仿宋"/>
          <w:bCs/>
          <w:color w:val="000000" w:themeColor="text1"/>
          <w:sz w:val="32"/>
          <w:szCs w:val="24"/>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r>
        <w:rPr>
          <w:rFonts w:hint="eastAsia" w:ascii="仿宋_GB2312" w:hAnsi="仿宋_GB2312" w:eastAsia="仿宋_GB2312" w:cs="仿宋_GB2312"/>
          <w:color w:val="C00000"/>
          <w:sz w:val="28"/>
          <w:szCs w:val="28"/>
        </w:rPr>
        <w:t>（条款说明：上述内容可根据实际情况进行增减）</w:t>
      </w:r>
      <w:bookmarkEnd w:id="0"/>
    </w:p>
    <w:permEnd w:id="3"/>
    <w:sdt>
      <w:sdtPr>
        <w:rPr>
          <w:rFonts w:asciiTheme="minorHAnsi" w:hAnsiTheme="minorHAnsi" w:eastAsiaTheme="minorEastAsia" w:cstheme="minorBidi"/>
          <w:szCs w:val="22"/>
        </w:rPr>
        <w:id w:val="147479450"/>
        <w15:color w:val="DBDBDB"/>
        <w:docPartObj>
          <w:docPartGallery w:val="Table of Contents"/>
          <w:docPartUnique/>
        </w:docPartObj>
      </w:sdtPr>
      <w:sdtEndPr>
        <w:rPr>
          <w:rFonts w:ascii="仿宋" w:hAnsi="仿宋" w:eastAsia="仿宋" w:cs="仿宋"/>
          <w:color w:val="000000" w:themeColor="text1"/>
          <w:szCs w:val="22"/>
          <w14:textFill>
            <w14:solidFill>
              <w14:schemeClr w14:val="tx1"/>
            </w14:solidFill>
          </w14:textFill>
        </w:rPr>
      </w:sdtEndPr>
      <w:sdtContent>
        <w:p w14:paraId="7A535498">
          <w:pPr>
            <w:pStyle w:val="4"/>
          </w:pPr>
        </w:p>
        <w:p w14:paraId="69E14ABF">
          <w:pPr>
            <w:jc w:val="center"/>
            <w:rPr>
              <w:rFonts w:hint="eastAsia" w:ascii="黑体" w:hAnsi="黑体" w:eastAsia="黑体" w:cs="黑体"/>
              <w:b/>
              <w:bCs/>
              <w:color w:val="000000" w:themeColor="text1"/>
              <w:sz w:val="36"/>
              <w:szCs w:val="36"/>
              <w14:textFill>
                <w14:solidFill>
                  <w14:schemeClr w14:val="tx1"/>
                </w14:solidFill>
              </w14:textFill>
            </w:rPr>
          </w:pPr>
          <w:permStart w:id="4" w:edGrp="everyone"/>
          <w:r>
            <w:rPr>
              <w:rFonts w:hint="eastAsia" w:ascii="黑体" w:hAnsi="黑体" w:eastAsia="黑体" w:cs="黑体"/>
              <w:b/>
              <w:bCs/>
              <w:color w:val="000000" w:themeColor="text1"/>
              <w:sz w:val="36"/>
              <w:szCs w:val="36"/>
              <w14:textFill>
                <w14:solidFill>
                  <w14:schemeClr w14:val="tx1"/>
                </w14:solidFill>
              </w14:textFill>
            </w:rPr>
            <w:t>目</w:t>
          </w:r>
          <w:r>
            <w:rPr>
              <w:rFonts w:ascii="黑体" w:hAnsi="黑体" w:eastAsia="黑体" w:cs="黑体"/>
              <w:b/>
              <w:bCs/>
              <w:color w:val="000000" w:themeColor="text1"/>
              <w:sz w:val="36"/>
              <w:szCs w:val="36"/>
              <w14:textFill>
                <w14:solidFill>
                  <w14:schemeClr w14:val="tx1"/>
                </w14:solidFill>
              </w14:textFill>
            </w:rPr>
            <w:t xml:space="preserve">  </w:t>
          </w:r>
          <w:r>
            <w:rPr>
              <w:rFonts w:hint="eastAsia" w:ascii="黑体" w:hAnsi="黑体" w:eastAsia="黑体" w:cs="黑体"/>
              <w:b/>
              <w:bCs/>
              <w:color w:val="000000" w:themeColor="text1"/>
              <w:sz w:val="36"/>
              <w:szCs w:val="36"/>
              <w14:textFill>
                <w14:solidFill>
                  <w14:schemeClr w14:val="tx1"/>
                </w14:solidFill>
              </w14:textFill>
            </w:rPr>
            <w:t>录</w:t>
          </w:r>
        </w:p>
        <w:p w14:paraId="02FD6139">
          <w:pPr>
            <w:pStyle w:val="4"/>
          </w:pPr>
        </w:p>
        <w:p w14:paraId="4D878765">
          <w:pPr>
            <w:pStyle w:val="8"/>
            <w:tabs>
              <w:tab w:val="right" w:leader="dot" w:pos="8306"/>
            </w:tabs>
            <w:spacing w:line="312" w:lineRule="auto"/>
          </w:pP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TOC \o "1-1" \h \u </w:instrText>
          </w:r>
          <w:r>
            <w:rPr>
              <w:rFonts w:hint="eastAsia" w:ascii="仿宋" w:hAnsi="仿宋" w:eastAsia="仿宋" w:cs="仿宋"/>
              <w:color w:val="000000" w:themeColor="text1"/>
              <w14:textFill>
                <w14:solidFill>
                  <w14:schemeClr w14:val="tx1"/>
                </w14:solidFill>
              </w14:textFill>
            </w:rPr>
            <w:fldChar w:fldCharType="separate"/>
          </w:r>
          <w:r>
            <w:fldChar w:fldCharType="begin"/>
          </w:r>
          <w:r>
            <w:instrText xml:space="preserve"> HYPERLINK \l "_Toc5953" </w:instrText>
          </w:r>
          <w:r>
            <w:fldChar w:fldCharType="separate"/>
          </w:r>
          <w:r>
            <w:rPr>
              <w:rFonts w:hint="eastAsia" w:ascii="黑体" w:hAnsi="黑体" w:eastAsia="黑体" w:cs="黑体"/>
              <w:bCs/>
              <w:sz w:val="30"/>
              <w:szCs w:val="30"/>
            </w:rPr>
            <w:t>第一部分 专用条款</w:t>
          </w:r>
          <w:r>
            <w:tab/>
          </w:r>
          <w:r>
            <w:fldChar w:fldCharType="begin"/>
          </w:r>
          <w:r>
            <w:instrText xml:space="preserve"> PAGEREF _Toc5953 \h </w:instrText>
          </w:r>
          <w:r>
            <w:fldChar w:fldCharType="separate"/>
          </w:r>
          <w:r>
            <w:t>1</w:t>
          </w:r>
          <w:r>
            <w:fldChar w:fldCharType="end"/>
          </w:r>
          <w:r>
            <w:fldChar w:fldCharType="end"/>
          </w:r>
        </w:p>
        <w:p w14:paraId="636216AB">
          <w:pPr>
            <w:pStyle w:val="8"/>
            <w:tabs>
              <w:tab w:val="right" w:leader="dot" w:pos="8306"/>
            </w:tabs>
            <w:spacing w:line="312" w:lineRule="auto"/>
          </w:pPr>
          <w:r>
            <w:fldChar w:fldCharType="begin"/>
          </w:r>
          <w:r>
            <w:instrText xml:space="preserve"> HYPERLINK \l "_Toc640" </w:instrText>
          </w:r>
          <w:r>
            <w:fldChar w:fldCharType="separate"/>
          </w:r>
          <w:r>
            <w:rPr>
              <w:rFonts w:hint="eastAsia" w:ascii="仿宋_GB2312" w:hAnsi="仿宋_GB2312" w:eastAsia="仿宋_GB2312" w:cs="仿宋_GB2312"/>
              <w:kern w:val="0"/>
              <w:sz w:val="28"/>
              <w:szCs w:val="28"/>
            </w:rPr>
            <w:t>一、工程概况</w:t>
          </w:r>
          <w:r>
            <w:tab/>
          </w:r>
          <w:r>
            <w:fldChar w:fldCharType="begin"/>
          </w:r>
          <w:r>
            <w:instrText xml:space="preserve"> PAGEREF _Toc640 \h </w:instrText>
          </w:r>
          <w:r>
            <w:fldChar w:fldCharType="separate"/>
          </w:r>
          <w:r>
            <w:t>1</w:t>
          </w:r>
          <w:r>
            <w:fldChar w:fldCharType="end"/>
          </w:r>
          <w:r>
            <w:fldChar w:fldCharType="end"/>
          </w:r>
        </w:p>
        <w:p w14:paraId="450C7AF5">
          <w:pPr>
            <w:pStyle w:val="8"/>
            <w:tabs>
              <w:tab w:val="right" w:leader="dot" w:pos="8306"/>
            </w:tabs>
            <w:spacing w:line="312" w:lineRule="auto"/>
          </w:pPr>
          <w:r>
            <w:fldChar w:fldCharType="begin"/>
          </w:r>
          <w:r>
            <w:instrText xml:space="preserve"> HYPERLINK \l "_Toc6010" </w:instrText>
          </w:r>
          <w:r>
            <w:fldChar w:fldCharType="separate"/>
          </w:r>
          <w:r>
            <w:rPr>
              <w:rFonts w:hint="eastAsia" w:ascii="仿宋_GB2312" w:hAnsi="仿宋_GB2312" w:eastAsia="仿宋_GB2312" w:cs="仿宋_GB2312"/>
              <w:kern w:val="0"/>
              <w:sz w:val="28"/>
              <w:szCs w:val="28"/>
            </w:rPr>
            <w:t>二、货物清单</w:t>
          </w:r>
          <w:r>
            <w:tab/>
          </w:r>
          <w:r>
            <w:fldChar w:fldCharType="begin"/>
          </w:r>
          <w:r>
            <w:instrText xml:space="preserve"> PAGEREF _Toc6010 \h </w:instrText>
          </w:r>
          <w:r>
            <w:fldChar w:fldCharType="separate"/>
          </w:r>
          <w:r>
            <w:t>1</w:t>
          </w:r>
          <w:r>
            <w:fldChar w:fldCharType="end"/>
          </w:r>
          <w:r>
            <w:fldChar w:fldCharType="end"/>
          </w:r>
        </w:p>
        <w:p w14:paraId="0AD5E4DF">
          <w:pPr>
            <w:pStyle w:val="8"/>
            <w:tabs>
              <w:tab w:val="right" w:leader="dot" w:pos="8306"/>
            </w:tabs>
            <w:spacing w:line="312" w:lineRule="auto"/>
          </w:pPr>
          <w:r>
            <w:fldChar w:fldCharType="begin"/>
          </w:r>
          <w:r>
            <w:instrText xml:space="preserve"> HYPERLINK \l "_Toc23444" </w:instrText>
          </w:r>
          <w:r>
            <w:fldChar w:fldCharType="separate"/>
          </w:r>
          <w:r>
            <w:rPr>
              <w:rFonts w:hint="eastAsia" w:ascii="仿宋_GB2312" w:hAnsi="仿宋_GB2312" w:eastAsia="仿宋_GB2312" w:cs="仿宋_GB2312"/>
              <w:kern w:val="0"/>
              <w:sz w:val="28"/>
              <w:szCs w:val="28"/>
            </w:rPr>
            <w:t>三、货物供应</w:t>
          </w:r>
          <w:r>
            <w:tab/>
          </w:r>
          <w:r>
            <w:fldChar w:fldCharType="begin"/>
          </w:r>
          <w:r>
            <w:instrText xml:space="preserve"> PAGEREF _Toc23444 \h </w:instrText>
          </w:r>
          <w:r>
            <w:fldChar w:fldCharType="separate"/>
          </w:r>
          <w:r>
            <w:t>2</w:t>
          </w:r>
          <w:r>
            <w:fldChar w:fldCharType="end"/>
          </w:r>
          <w:r>
            <w:fldChar w:fldCharType="end"/>
          </w:r>
        </w:p>
        <w:p w14:paraId="4AB9E6A6">
          <w:pPr>
            <w:pStyle w:val="8"/>
            <w:tabs>
              <w:tab w:val="right" w:leader="dot" w:pos="8306"/>
            </w:tabs>
            <w:spacing w:line="312" w:lineRule="auto"/>
          </w:pPr>
          <w:r>
            <w:fldChar w:fldCharType="begin"/>
          </w:r>
          <w:r>
            <w:instrText xml:space="preserve"> HYPERLINK \l "_Toc12447" </w:instrText>
          </w:r>
          <w:r>
            <w:fldChar w:fldCharType="separate"/>
          </w:r>
          <w:r>
            <w:rPr>
              <w:rFonts w:hint="eastAsia" w:ascii="仿宋_GB2312" w:hAnsi="仿宋_GB2312" w:eastAsia="仿宋_GB2312" w:cs="仿宋_GB2312"/>
              <w:kern w:val="0"/>
              <w:sz w:val="28"/>
              <w:szCs w:val="28"/>
            </w:rPr>
            <w:t>四、货物质量</w:t>
          </w:r>
          <w:r>
            <w:tab/>
          </w:r>
          <w:r>
            <w:fldChar w:fldCharType="begin"/>
          </w:r>
          <w:r>
            <w:instrText xml:space="preserve"> PAGEREF _Toc12447 \h </w:instrText>
          </w:r>
          <w:r>
            <w:fldChar w:fldCharType="separate"/>
          </w:r>
          <w:r>
            <w:t>4</w:t>
          </w:r>
          <w:r>
            <w:fldChar w:fldCharType="end"/>
          </w:r>
          <w:r>
            <w:fldChar w:fldCharType="end"/>
          </w:r>
        </w:p>
        <w:p w14:paraId="58D24B84">
          <w:pPr>
            <w:pStyle w:val="8"/>
            <w:tabs>
              <w:tab w:val="right" w:leader="dot" w:pos="8306"/>
            </w:tabs>
            <w:spacing w:line="312" w:lineRule="auto"/>
          </w:pPr>
          <w:r>
            <w:fldChar w:fldCharType="begin"/>
          </w:r>
          <w:r>
            <w:instrText xml:space="preserve"> HYPERLINK \l "_Toc3621" </w:instrText>
          </w:r>
          <w:r>
            <w:fldChar w:fldCharType="separate"/>
          </w:r>
          <w:r>
            <w:rPr>
              <w:rFonts w:hint="eastAsia" w:ascii="仿宋_GB2312" w:hAnsi="仿宋_GB2312" w:eastAsia="仿宋_GB2312" w:cs="仿宋_GB2312"/>
              <w:kern w:val="0"/>
              <w:sz w:val="28"/>
              <w:szCs w:val="28"/>
            </w:rPr>
            <w:t>五、货物验收</w:t>
          </w:r>
          <w:r>
            <w:tab/>
          </w:r>
          <w:r>
            <w:fldChar w:fldCharType="begin"/>
          </w:r>
          <w:r>
            <w:instrText xml:space="preserve"> PAGEREF _Toc3621 \h </w:instrText>
          </w:r>
          <w:r>
            <w:fldChar w:fldCharType="separate"/>
          </w:r>
          <w:r>
            <w:t>5</w:t>
          </w:r>
          <w:r>
            <w:fldChar w:fldCharType="end"/>
          </w:r>
          <w:r>
            <w:fldChar w:fldCharType="end"/>
          </w:r>
        </w:p>
        <w:p w14:paraId="16A7DF4C">
          <w:pPr>
            <w:pStyle w:val="8"/>
            <w:tabs>
              <w:tab w:val="right" w:leader="dot" w:pos="8306"/>
            </w:tabs>
            <w:spacing w:line="312" w:lineRule="auto"/>
          </w:pPr>
          <w:r>
            <w:fldChar w:fldCharType="begin"/>
          </w:r>
          <w:r>
            <w:instrText xml:space="preserve"> HYPERLINK \l "_Toc23953" </w:instrText>
          </w:r>
          <w:r>
            <w:fldChar w:fldCharType="separate"/>
          </w:r>
          <w:r>
            <w:rPr>
              <w:rFonts w:hint="eastAsia" w:ascii="仿宋_GB2312" w:hAnsi="仿宋_GB2312" w:eastAsia="仿宋_GB2312" w:cs="仿宋_GB2312"/>
              <w:kern w:val="0"/>
              <w:sz w:val="28"/>
              <w:szCs w:val="28"/>
            </w:rPr>
            <w:t>六、货物结算</w:t>
          </w:r>
          <w:r>
            <w:tab/>
          </w:r>
          <w:r>
            <w:fldChar w:fldCharType="begin"/>
          </w:r>
          <w:r>
            <w:instrText xml:space="preserve"> PAGEREF _Toc23953 \h </w:instrText>
          </w:r>
          <w:r>
            <w:fldChar w:fldCharType="separate"/>
          </w:r>
          <w:r>
            <w:t>7</w:t>
          </w:r>
          <w:r>
            <w:fldChar w:fldCharType="end"/>
          </w:r>
          <w:r>
            <w:fldChar w:fldCharType="end"/>
          </w:r>
        </w:p>
        <w:p w14:paraId="412E2001">
          <w:pPr>
            <w:pStyle w:val="8"/>
            <w:tabs>
              <w:tab w:val="right" w:leader="dot" w:pos="8306"/>
            </w:tabs>
            <w:spacing w:line="312" w:lineRule="auto"/>
          </w:pPr>
          <w:r>
            <w:fldChar w:fldCharType="begin"/>
          </w:r>
          <w:r>
            <w:instrText xml:space="preserve"> HYPERLINK \l "_Toc32138" </w:instrText>
          </w:r>
          <w:r>
            <w:fldChar w:fldCharType="separate"/>
          </w:r>
          <w:r>
            <w:rPr>
              <w:rFonts w:hint="eastAsia" w:ascii="仿宋_GB2312" w:hAnsi="仿宋_GB2312" w:eastAsia="仿宋_GB2312" w:cs="仿宋_GB2312"/>
              <w:kern w:val="0"/>
              <w:sz w:val="28"/>
              <w:szCs w:val="28"/>
            </w:rPr>
            <w:t>七、货物付款</w:t>
          </w:r>
          <w:r>
            <w:tab/>
          </w:r>
          <w:r>
            <w:fldChar w:fldCharType="begin"/>
          </w:r>
          <w:r>
            <w:instrText xml:space="preserve"> PAGEREF _Toc32138 \h </w:instrText>
          </w:r>
          <w:r>
            <w:fldChar w:fldCharType="separate"/>
          </w:r>
          <w:r>
            <w:t>9</w:t>
          </w:r>
          <w:r>
            <w:fldChar w:fldCharType="end"/>
          </w:r>
          <w:r>
            <w:fldChar w:fldCharType="end"/>
          </w:r>
        </w:p>
        <w:p w14:paraId="218EA573">
          <w:pPr>
            <w:pStyle w:val="8"/>
            <w:tabs>
              <w:tab w:val="right" w:leader="dot" w:pos="8306"/>
            </w:tabs>
            <w:spacing w:line="312" w:lineRule="auto"/>
          </w:pPr>
          <w:r>
            <w:fldChar w:fldCharType="begin"/>
          </w:r>
          <w:r>
            <w:instrText xml:space="preserve"> HYPERLINK \l "_Toc24664" </w:instrText>
          </w:r>
          <w:r>
            <w:fldChar w:fldCharType="separate"/>
          </w:r>
          <w:r>
            <w:rPr>
              <w:rFonts w:hint="eastAsia" w:ascii="仿宋_GB2312" w:hAnsi="仿宋_GB2312" w:eastAsia="仿宋_GB2312" w:cs="仿宋_GB2312"/>
              <w:kern w:val="0"/>
              <w:sz w:val="28"/>
              <w:szCs w:val="28"/>
            </w:rPr>
            <w:t>八、通知与送达</w:t>
          </w:r>
          <w:r>
            <w:tab/>
          </w:r>
          <w:r>
            <w:fldChar w:fldCharType="begin"/>
          </w:r>
          <w:r>
            <w:instrText xml:space="preserve"> PAGEREF _Toc24664 \h </w:instrText>
          </w:r>
          <w:r>
            <w:fldChar w:fldCharType="separate"/>
          </w:r>
          <w:r>
            <w:t>11</w:t>
          </w:r>
          <w:r>
            <w:fldChar w:fldCharType="end"/>
          </w:r>
          <w:r>
            <w:fldChar w:fldCharType="end"/>
          </w:r>
        </w:p>
        <w:p w14:paraId="786DF382">
          <w:pPr>
            <w:pStyle w:val="8"/>
            <w:tabs>
              <w:tab w:val="right" w:leader="dot" w:pos="8306"/>
            </w:tabs>
            <w:spacing w:line="312" w:lineRule="auto"/>
          </w:pPr>
          <w:r>
            <w:fldChar w:fldCharType="begin"/>
          </w:r>
          <w:r>
            <w:instrText xml:space="preserve"> HYPERLINK \l "_Toc26478" </w:instrText>
          </w:r>
          <w:r>
            <w:fldChar w:fldCharType="separate"/>
          </w:r>
          <w:r>
            <w:rPr>
              <w:rFonts w:hint="eastAsia" w:ascii="仿宋_GB2312" w:hAnsi="仿宋_GB2312" w:eastAsia="仿宋_GB2312" w:cs="仿宋_GB2312"/>
              <w:kern w:val="0"/>
              <w:sz w:val="28"/>
              <w:szCs w:val="28"/>
            </w:rPr>
            <w:t>九、合同生效</w:t>
          </w:r>
          <w:r>
            <w:tab/>
          </w:r>
          <w:r>
            <w:fldChar w:fldCharType="begin"/>
          </w:r>
          <w:r>
            <w:instrText xml:space="preserve"> PAGEREF _Toc26478 \h </w:instrText>
          </w:r>
          <w:r>
            <w:fldChar w:fldCharType="separate"/>
          </w:r>
          <w:r>
            <w:t>11</w:t>
          </w:r>
          <w:r>
            <w:fldChar w:fldCharType="end"/>
          </w:r>
          <w:r>
            <w:fldChar w:fldCharType="end"/>
          </w:r>
        </w:p>
        <w:p w14:paraId="2D23AE0D">
          <w:pPr>
            <w:pStyle w:val="8"/>
            <w:tabs>
              <w:tab w:val="right" w:leader="dot" w:pos="8306"/>
            </w:tabs>
            <w:spacing w:line="312" w:lineRule="auto"/>
          </w:pPr>
          <w:r>
            <w:fldChar w:fldCharType="begin"/>
          </w:r>
          <w:r>
            <w:instrText xml:space="preserve"> HYPERLINK \l "_Toc7321" </w:instrText>
          </w:r>
          <w:r>
            <w:fldChar w:fldCharType="separate"/>
          </w:r>
          <w:r>
            <w:rPr>
              <w:rFonts w:hint="eastAsia" w:ascii="仿宋_GB2312" w:hAnsi="仿宋_GB2312" w:eastAsia="仿宋_GB2312" w:cs="仿宋_GB2312"/>
              <w:kern w:val="0"/>
              <w:sz w:val="28"/>
              <w:szCs w:val="28"/>
            </w:rPr>
            <w:t>附件一 授权委托书</w:t>
          </w:r>
          <w:r>
            <w:tab/>
          </w:r>
          <w:r>
            <w:fldChar w:fldCharType="begin"/>
          </w:r>
          <w:r>
            <w:instrText xml:space="preserve"> PAGEREF _Toc7321 \h </w:instrText>
          </w:r>
          <w:r>
            <w:fldChar w:fldCharType="separate"/>
          </w:r>
          <w:r>
            <w:t>13</w:t>
          </w:r>
          <w:r>
            <w:fldChar w:fldCharType="end"/>
          </w:r>
          <w:r>
            <w:fldChar w:fldCharType="end"/>
          </w:r>
        </w:p>
        <w:p w14:paraId="4CD8EAE2">
          <w:pPr>
            <w:pStyle w:val="8"/>
            <w:tabs>
              <w:tab w:val="right" w:leader="dot" w:pos="8306"/>
            </w:tabs>
            <w:spacing w:line="312" w:lineRule="auto"/>
          </w:pPr>
          <w:r>
            <w:fldChar w:fldCharType="begin"/>
          </w:r>
          <w:r>
            <w:instrText xml:space="preserve"> HYPERLINK \l "_Toc21254" </w:instrText>
          </w:r>
          <w:r>
            <w:fldChar w:fldCharType="separate"/>
          </w:r>
          <w:r>
            <w:rPr>
              <w:rFonts w:hint="eastAsia" w:ascii="仿宋_GB2312" w:hAnsi="仿宋_GB2312" w:eastAsia="仿宋_GB2312" w:cs="仿宋_GB2312"/>
              <w:kern w:val="0"/>
              <w:sz w:val="28"/>
              <w:szCs w:val="28"/>
            </w:rPr>
            <w:t>附件二 项目部合规权限告知书</w:t>
          </w:r>
          <w:r>
            <w:tab/>
          </w:r>
          <w:r>
            <w:fldChar w:fldCharType="begin"/>
          </w:r>
          <w:r>
            <w:instrText xml:space="preserve"> PAGEREF _Toc21254 \h </w:instrText>
          </w:r>
          <w:r>
            <w:fldChar w:fldCharType="separate"/>
          </w:r>
          <w:r>
            <w:t>14</w:t>
          </w:r>
          <w:r>
            <w:fldChar w:fldCharType="end"/>
          </w:r>
          <w:r>
            <w:fldChar w:fldCharType="end"/>
          </w:r>
        </w:p>
        <w:p w14:paraId="38B7C8DA">
          <w:pPr>
            <w:pStyle w:val="8"/>
            <w:tabs>
              <w:tab w:val="right" w:leader="dot" w:pos="8306"/>
            </w:tabs>
            <w:spacing w:line="312" w:lineRule="auto"/>
          </w:pPr>
          <w:r>
            <w:fldChar w:fldCharType="begin"/>
          </w:r>
          <w:r>
            <w:instrText xml:space="preserve"> HYPERLINK \l "_Toc20069" </w:instrText>
          </w:r>
          <w:r>
            <w:fldChar w:fldCharType="separate"/>
          </w:r>
          <w:r>
            <w:rPr>
              <w:rFonts w:hint="eastAsia" w:ascii="仿宋_GB2312" w:hAnsi="仿宋_GB2312" w:eastAsia="仿宋_GB2312" w:cs="仿宋_GB2312"/>
              <w:kern w:val="0"/>
              <w:sz w:val="28"/>
              <w:szCs w:val="28"/>
            </w:rPr>
            <w:t>附件三 安全管理协议书</w:t>
          </w:r>
          <w:r>
            <w:tab/>
          </w:r>
          <w:r>
            <w:fldChar w:fldCharType="begin"/>
          </w:r>
          <w:r>
            <w:instrText xml:space="preserve"> PAGEREF _Toc20069 \h </w:instrText>
          </w:r>
          <w:r>
            <w:fldChar w:fldCharType="separate"/>
          </w:r>
          <w:r>
            <w:t>17</w:t>
          </w:r>
          <w:r>
            <w:fldChar w:fldCharType="end"/>
          </w:r>
          <w:r>
            <w:fldChar w:fldCharType="end"/>
          </w:r>
        </w:p>
        <w:p w14:paraId="7DA12A7C">
          <w:pPr>
            <w:pStyle w:val="8"/>
            <w:tabs>
              <w:tab w:val="right" w:leader="dot" w:pos="8306"/>
            </w:tabs>
            <w:spacing w:line="312" w:lineRule="auto"/>
          </w:pPr>
          <w:r>
            <w:fldChar w:fldCharType="begin"/>
          </w:r>
          <w:r>
            <w:instrText xml:space="preserve"> HYPERLINK \l "_Toc24322" </w:instrText>
          </w:r>
          <w:r>
            <w:fldChar w:fldCharType="separate"/>
          </w:r>
          <w:r>
            <w:rPr>
              <w:rFonts w:hint="eastAsia" w:ascii="仿宋_GB2312" w:hAnsi="仿宋_GB2312" w:eastAsia="仿宋_GB2312" w:cs="仿宋_GB2312"/>
              <w:kern w:val="0"/>
              <w:sz w:val="28"/>
              <w:szCs w:val="28"/>
            </w:rPr>
            <w:t xml:space="preserve">附件四 </w:t>
          </w:r>
          <w:r>
            <w:rPr>
              <w:rFonts w:hint="eastAsia" w:ascii="仿宋_GB2312" w:hAnsi="仿宋_GB2312" w:eastAsia="仿宋_GB2312" w:cs="仿宋_GB2312"/>
              <w:sz w:val="28"/>
              <w:szCs w:val="28"/>
            </w:rPr>
            <w:t>廉洁从业共建协议</w:t>
          </w:r>
          <w:r>
            <w:tab/>
          </w:r>
          <w:r>
            <w:fldChar w:fldCharType="begin"/>
          </w:r>
          <w:r>
            <w:instrText xml:space="preserve"> PAGEREF _Toc24322 \h </w:instrText>
          </w:r>
          <w:r>
            <w:fldChar w:fldCharType="separate"/>
          </w:r>
          <w:r>
            <w:t>21</w:t>
          </w:r>
          <w:r>
            <w:fldChar w:fldCharType="end"/>
          </w:r>
          <w:r>
            <w:fldChar w:fldCharType="end"/>
          </w:r>
        </w:p>
        <w:p w14:paraId="2AE7C857">
          <w:pPr>
            <w:pStyle w:val="8"/>
            <w:tabs>
              <w:tab w:val="right" w:leader="dot" w:pos="8306"/>
            </w:tabs>
            <w:spacing w:line="312" w:lineRule="auto"/>
          </w:pPr>
          <w:r>
            <w:fldChar w:fldCharType="begin"/>
          </w:r>
          <w:r>
            <w:instrText xml:space="preserve"> HYPERLINK \l "_Toc18674" </w:instrText>
          </w:r>
          <w:r>
            <w:fldChar w:fldCharType="separate"/>
          </w:r>
          <w:r>
            <w:rPr>
              <w:rFonts w:hint="eastAsia" w:ascii="黑体" w:hAnsi="黑体" w:eastAsia="黑体" w:cs="黑体"/>
              <w:bCs/>
              <w:sz w:val="30"/>
              <w:szCs w:val="30"/>
            </w:rPr>
            <w:t>第二部分 通用条款</w:t>
          </w:r>
          <w:r>
            <w:tab/>
          </w:r>
          <w:r>
            <w:fldChar w:fldCharType="begin"/>
          </w:r>
          <w:r>
            <w:instrText xml:space="preserve"> PAGEREF _Toc18674 \h </w:instrText>
          </w:r>
          <w:r>
            <w:fldChar w:fldCharType="separate"/>
          </w:r>
          <w:r>
            <w:t>24</w:t>
          </w:r>
          <w:r>
            <w:fldChar w:fldCharType="end"/>
          </w:r>
          <w:r>
            <w:fldChar w:fldCharType="end"/>
          </w:r>
        </w:p>
        <w:p w14:paraId="18FD7DA9">
          <w:pPr>
            <w:pStyle w:val="8"/>
            <w:tabs>
              <w:tab w:val="right" w:leader="dot" w:pos="8306"/>
            </w:tabs>
            <w:spacing w:line="312" w:lineRule="auto"/>
          </w:pPr>
          <w:r>
            <w:fldChar w:fldCharType="begin"/>
          </w:r>
          <w:r>
            <w:instrText xml:space="preserve"> HYPERLINK \l "_Toc3066" </w:instrText>
          </w:r>
          <w:r>
            <w:fldChar w:fldCharType="separate"/>
          </w:r>
          <w:r>
            <w:rPr>
              <w:rFonts w:hint="eastAsia" w:ascii="仿宋_GB2312" w:hAnsi="仿宋_GB2312" w:eastAsia="仿宋_GB2312" w:cs="仿宋_GB2312"/>
              <w:kern w:val="0"/>
              <w:sz w:val="28"/>
              <w:szCs w:val="28"/>
            </w:rPr>
            <w:t>一、货物合同附随义务</w:t>
          </w:r>
          <w:r>
            <w:tab/>
          </w:r>
          <w:r>
            <w:fldChar w:fldCharType="begin"/>
          </w:r>
          <w:r>
            <w:instrText xml:space="preserve"> PAGEREF _Toc3066 \h </w:instrText>
          </w:r>
          <w:r>
            <w:fldChar w:fldCharType="separate"/>
          </w:r>
          <w:r>
            <w:t>24</w:t>
          </w:r>
          <w:r>
            <w:fldChar w:fldCharType="end"/>
          </w:r>
          <w:r>
            <w:fldChar w:fldCharType="end"/>
          </w:r>
        </w:p>
        <w:p w14:paraId="4FCA7DE2">
          <w:pPr>
            <w:pStyle w:val="8"/>
            <w:tabs>
              <w:tab w:val="right" w:leader="dot" w:pos="8306"/>
            </w:tabs>
            <w:spacing w:line="312" w:lineRule="auto"/>
          </w:pPr>
          <w:r>
            <w:fldChar w:fldCharType="begin"/>
          </w:r>
          <w:r>
            <w:instrText xml:space="preserve"> HYPERLINK \l "_Toc965" </w:instrText>
          </w:r>
          <w:r>
            <w:fldChar w:fldCharType="separate"/>
          </w:r>
          <w:r>
            <w:rPr>
              <w:rFonts w:hint="eastAsia" w:ascii="仿宋_GB2312" w:hAnsi="仿宋_GB2312" w:eastAsia="仿宋_GB2312" w:cs="仿宋_GB2312"/>
              <w:kern w:val="0"/>
              <w:sz w:val="28"/>
              <w:szCs w:val="28"/>
            </w:rPr>
            <w:t>二、货物违约责任</w:t>
          </w:r>
          <w:r>
            <w:tab/>
          </w:r>
          <w:r>
            <w:fldChar w:fldCharType="begin"/>
          </w:r>
          <w:r>
            <w:instrText xml:space="preserve"> PAGEREF _Toc965 \h </w:instrText>
          </w:r>
          <w:r>
            <w:fldChar w:fldCharType="separate"/>
          </w:r>
          <w:r>
            <w:t>25</w:t>
          </w:r>
          <w:r>
            <w:fldChar w:fldCharType="end"/>
          </w:r>
          <w:r>
            <w:fldChar w:fldCharType="end"/>
          </w:r>
        </w:p>
        <w:p w14:paraId="264C1780">
          <w:pPr>
            <w:pStyle w:val="8"/>
            <w:tabs>
              <w:tab w:val="right" w:leader="dot" w:pos="8306"/>
            </w:tabs>
            <w:spacing w:line="312" w:lineRule="auto"/>
          </w:pPr>
          <w:r>
            <w:fldChar w:fldCharType="begin"/>
          </w:r>
          <w:r>
            <w:instrText xml:space="preserve"> HYPERLINK \l "_Toc20335" </w:instrText>
          </w:r>
          <w:r>
            <w:fldChar w:fldCharType="separate"/>
          </w:r>
          <w:r>
            <w:rPr>
              <w:rFonts w:hint="eastAsia" w:ascii="仿宋_GB2312" w:hAnsi="仿宋_GB2312" w:eastAsia="仿宋_GB2312" w:cs="仿宋_GB2312"/>
              <w:kern w:val="0"/>
              <w:sz w:val="28"/>
              <w:szCs w:val="28"/>
            </w:rPr>
            <w:t>三、货物缺陷索赔</w:t>
          </w:r>
          <w:r>
            <w:tab/>
          </w:r>
          <w:r>
            <w:fldChar w:fldCharType="begin"/>
          </w:r>
          <w:r>
            <w:instrText xml:space="preserve"> PAGEREF _Toc20335 \h </w:instrText>
          </w:r>
          <w:r>
            <w:fldChar w:fldCharType="separate"/>
          </w:r>
          <w:r>
            <w:t>27</w:t>
          </w:r>
          <w:r>
            <w:fldChar w:fldCharType="end"/>
          </w:r>
          <w:r>
            <w:fldChar w:fldCharType="end"/>
          </w:r>
        </w:p>
        <w:p w14:paraId="502E5F84">
          <w:pPr>
            <w:pStyle w:val="8"/>
            <w:tabs>
              <w:tab w:val="right" w:leader="dot" w:pos="8306"/>
            </w:tabs>
            <w:spacing w:line="312" w:lineRule="auto"/>
          </w:pPr>
          <w:r>
            <w:fldChar w:fldCharType="begin"/>
          </w:r>
          <w:r>
            <w:instrText xml:space="preserve"> HYPERLINK \l "_Toc12864" </w:instrText>
          </w:r>
          <w:r>
            <w:fldChar w:fldCharType="separate"/>
          </w:r>
          <w:r>
            <w:rPr>
              <w:rFonts w:hint="eastAsia" w:ascii="仿宋_GB2312" w:hAnsi="仿宋_GB2312" w:eastAsia="仿宋_GB2312" w:cs="仿宋_GB2312"/>
              <w:kern w:val="0"/>
              <w:sz w:val="28"/>
              <w:szCs w:val="28"/>
            </w:rPr>
            <w:t>四、合同变更</w:t>
          </w:r>
          <w:r>
            <w:tab/>
          </w:r>
          <w:r>
            <w:fldChar w:fldCharType="begin"/>
          </w:r>
          <w:r>
            <w:instrText xml:space="preserve"> PAGEREF _Toc12864 \h </w:instrText>
          </w:r>
          <w:r>
            <w:fldChar w:fldCharType="separate"/>
          </w:r>
          <w:r>
            <w:t>28</w:t>
          </w:r>
          <w:r>
            <w:fldChar w:fldCharType="end"/>
          </w:r>
          <w:r>
            <w:fldChar w:fldCharType="end"/>
          </w:r>
        </w:p>
        <w:p w14:paraId="1E1338E0">
          <w:pPr>
            <w:pStyle w:val="8"/>
            <w:tabs>
              <w:tab w:val="right" w:leader="dot" w:pos="8306"/>
            </w:tabs>
            <w:spacing w:line="312" w:lineRule="auto"/>
          </w:pPr>
          <w:r>
            <w:fldChar w:fldCharType="begin"/>
          </w:r>
          <w:r>
            <w:instrText xml:space="preserve"> HYPERLINK \l "_Toc23441" </w:instrText>
          </w:r>
          <w:r>
            <w:fldChar w:fldCharType="separate"/>
          </w:r>
          <w:r>
            <w:rPr>
              <w:rFonts w:hint="eastAsia" w:ascii="仿宋_GB2312" w:hAnsi="仿宋_GB2312" w:eastAsia="仿宋_GB2312" w:cs="仿宋_GB2312"/>
              <w:kern w:val="0"/>
              <w:sz w:val="28"/>
              <w:szCs w:val="28"/>
            </w:rPr>
            <w:t>五、合同解除</w:t>
          </w:r>
          <w:r>
            <w:tab/>
          </w:r>
          <w:r>
            <w:fldChar w:fldCharType="begin"/>
          </w:r>
          <w:r>
            <w:instrText xml:space="preserve"> PAGEREF _Toc23441 \h </w:instrText>
          </w:r>
          <w:r>
            <w:fldChar w:fldCharType="separate"/>
          </w:r>
          <w:r>
            <w:t>28</w:t>
          </w:r>
          <w:r>
            <w:fldChar w:fldCharType="end"/>
          </w:r>
          <w:r>
            <w:fldChar w:fldCharType="end"/>
          </w:r>
        </w:p>
        <w:p w14:paraId="6279AEC2">
          <w:pPr>
            <w:pStyle w:val="8"/>
            <w:tabs>
              <w:tab w:val="right" w:leader="dot" w:pos="8306"/>
            </w:tabs>
            <w:spacing w:line="312" w:lineRule="auto"/>
          </w:pPr>
          <w:r>
            <w:fldChar w:fldCharType="begin"/>
          </w:r>
          <w:r>
            <w:instrText xml:space="preserve"> HYPERLINK \l "_Toc16580" </w:instrText>
          </w:r>
          <w:r>
            <w:fldChar w:fldCharType="separate"/>
          </w:r>
          <w:r>
            <w:rPr>
              <w:rFonts w:hint="eastAsia" w:ascii="仿宋_GB2312" w:hAnsi="仿宋_GB2312" w:eastAsia="仿宋_GB2312" w:cs="仿宋_GB2312"/>
              <w:kern w:val="0"/>
              <w:sz w:val="28"/>
              <w:szCs w:val="28"/>
            </w:rPr>
            <w:t>六、不可抗力</w:t>
          </w:r>
          <w:r>
            <w:tab/>
          </w:r>
          <w:r>
            <w:fldChar w:fldCharType="begin"/>
          </w:r>
          <w:r>
            <w:instrText xml:space="preserve"> PAGEREF _Toc16580 \h </w:instrText>
          </w:r>
          <w:r>
            <w:fldChar w:fldCharType="separate"/>
          </w:r>
          <w:r>
            <w:t>29</w:t>
          </w:r>
          <w:r>
            <w:fldChar w:fldCharType="end"/>
          </w:r>
          <w:r>
            <w:fldChar w:fldCharType="end"/>
          </w:r>
        </w:p>
        <w:p w14:paraId="713229F5">
          <w:pPr>
            <w:pStyle w:val="8"/>
            <w:tabs>
              <w:tab w:val="right" w:leader="dot" w:pos="8306"/>
            </w:tabs>
            <w:spacing w:line="312" w:lineRule="auto"/>
          </w:pPr>
          <w:r>
            <w:fldChar w:fldCharType="begin"/>
          </w:r>
          <w:r>
            <w:instrText xml:space="preserve"> HYPERLINK \l "_Toc10852" </w:instrText>
          </w:r>
          <w:r>
            <w:fldChar w:fldCharType="separate"/>
          </w:r>
          <w:r>
            <w:rPr>
              <w:rFonts w:hint="eastAsia" w:ascii="仿宋_GB2312" w:hAnsi="仿宋_GB2312" w:eastAsia="仿宋_GB2312" w:cs="仿宋_GB2312"/>
              <w:kern w:val="0"/>
              <w:sz w:val="28"/>
              <w:szCs w:val="28"/>
            </w:rPr>
            <w:t>七、争议解决</w:t>
          </w:r>
          <w:r>
            <w:tab/>
          </w:r>
          <w:r>
            <w:fldChar w:fldCharType="begin"/>
          </w:r>
          <w:r>
            <w:instrText xml:space="preserve"> PAGEREF _Toc10852 \h </w:instrText>
          </w:r>
          <w:r>
            <w:fldChar w:fldCharType="separate"/>
          </w:r>
          <w:r>
            <w:t>30</w:t>
          </w:r>
          <w:r>
            <w:fldChar w:fldCharType="end"/>
          </w:r>
          <w:r>
            <w:fldChar w:fldCharType="end"/>
          </w:r>
        </w:p>
        <w:p w14:paraId="2C8081E8">
          <w:pPr>
            <w:pStyle w:val="8"/>
            <w:tabs>
              <w:tab w:val="right" w:leader="dot" w:pos="8306"/>
            </w:tabs>
            <w:spacing w:line="312" w:lineRule="auto"/>
          </w:pPr>
          <w:r>
            <w:fldChar w:fldCharType="begin"/>
          </w:r>
          <w:r>
            <w:instrText xml:space="preserve"> HYPERLINK \l "_Toc11207" </w:instrText>
          </w:r>
          <w:r>
            <w:fldChar w:fldCharType="separate"/>
          </w:r>
          <w:r>
            <w:rPr>
              <w:rFonts w:hint="eastAsia" w:ascii="仿宋_GB2312" w:hAnsi="仿宋_GB2312" w:eastAsia="仿宋_GB2312" w:cs="仿宋_GB2312"/>
              <w:kern w:val="0"/>
              <w:sz w:val="28"/>
              <w:szCs w:val="28"/>
            </w:rPr>
            <w:t>八、保密义务</w:t>
          </w:r>
          <w:r>
            <w:tab/>
          </w:r>
          <w:r>
            <w:fldChar w:fldCharType="begin"/>
          </w:r>
          <w:r>
            <w:instrText xml:space="preserve"> PAGEREF _Toc11207 \h </w:instrText>
          </w:r>
          <w:r>
            <w:fldChar w:fldCharType="separate"/>
          </w:r>
          <w:r>
            <w:t>30</w:t>
          </w:r>
          <w:r>
            <w:fldChar w:fldCharType="end"/>
          </w:r>
          <w:r>
            <w:fldChar w:fldCharType="end"/>
          </w:r>
        </w:p>
        <w:p w14:paraId="59047C51">
          <w:pPr>
            <w:pStyle w:val="8"/>
            <w:tabs>
              <w:tab w:val="right" w:leader="dot" w:pos="8306"/>
            </w:tabs>
            <w:spacing w:line="312" w:lineRule="auto"/>
          </w:pPr>
          <w:r>
            <w:fldChar w:fldCharType="begin"/>
          </w:r>
          <w:r>
            <w:instrText xml:space="preserve"> HYPERLINK \l "_Toc3848" </w:instrText>
          </w:r>
          <w:r>
            <w:fldChar w:fldCharType="separate"/>
          </w:r>
          <w:r>
            <w:rPr>
              <w:rFonts w:hint="eastAsia" w:ascii="仿宋_GB2312" w:hAnsi="仿宋_GB2312" w:eastAsia="仿宋_GB2312" w:cs="仿宋_GB2312"/>
              <w:kern w:val="0"/>
              <w:sz w:val="28"/>
              <w:szCs w:val="28"/>
            </w:rPr>
            <w:t>九、其他条款</w:t>
          </w:r>
          <w:r>
            <w:tab/>
          </w:r>
          <w:r>
            <w:fldChar w:fldCharType="begin"/>
          </w:r>
          <w:r>
            <w:instrText xml:space="preserve"> PAGEREF _Toc3848 \h </w:instrText>
          </w:r>
          <w:r>
            <w:fldChar w:fldCharType="separate"/>
          </w:r>
          <w:r>
            <w:t>30</w:t>
          </w:r>
          <w:r>
            <w:fldChar w:fldCharType="end"/>
          </w:r>
          <w:r>
            <w:fldChar w:fldCharType="end"/>
          </w:r>
        </w:p>
        <w:p w14:paraId="193C13AE">
          <w:pPr>
            <w:spacing w:line="312" w:lineRule="auto"/>
            <w:jc w:val="center"/>
            <w:rPr>
              <w:rFonts w:hint="eastAsia" w:ascii="仿宋" w:hAnsi="仿宋" w:eastAsia="仿宋" w:cs="仿宋"/>
              <w:color w:val="000000" w:themeColor="text1"/>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14:textFill>
                <w14:solidFill>
                  <w14:schemeClr w14:val="tx1"/>
                </w14:solidFill>
              </w14:textFill>
            </w:rPr>
            <w:fldChar w:fldCharType="end"/>
          </w:r>
        </w:p>
      </w:sdtContent>
    </w:sdt>
    <w:permEnd w:id="4"/>
    <w:p w14:paraId="64C6B976">
      <w:pPr>
        <w:pStyle w:val="11"/>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1" w:name="_Toc22574"/>
      <w:bookmarkStart w:id="2" w:name="_Toc31405"/>
      <w:bookmarkStart w:id="3" w:name="_Toc5953"/>
      <w:r>
        <w:rPr>
          <w:rFonts w:hint="eastAsia" w:ascii="黑体" w:hAnsi="黑体" w:eastAsia="黑体" w:cs="黑体"/>
          <w:b/>
          <w:bCs/>
          <w:color w:val="000000" w:themeColor="text1"/>
          <w:sz w:val="32"/>
          <w:szCs w:val="32"/>
          <w14:textFill>
            <w14:solidFill>
              <w14:schemeClr w14:val="tx1"/>
            </w14:solidFill>
          </w14:textFill>
        </w:rPr>
        <w:t>第一部分</w:t>
      </w:r>
      <w:bookmarkEnd w:id="1"/>
      <w:r>
        <w:rPr>
          <w:rFonts w:hint="eastAsia" w:ascii="黑体" w:hAnsi="黑体" w:eastAsia="黑体" w:cs="黑体"/>
          <w:b/>
          <w:bCs/>
          <w:color w:val="000000" w:themeColor="text1"/>
          <w:sz w:val="32"/>
          <w:szCs w:val="32"/>
          <w14:textFill>
            <w14:solidFill>
              <w14:schemeClr w14:val="tx1"/>
            </w14:solidFill>
          </w14:textFill>
        </w:rPr>
        <w:t xml:space="preserve"> 专用条款</w:t>
      </w:r>
      <w:bookmarkEnd w:id="2"/>
      <w:bookmarkEnd w:id="3"/>
    </w:p>
    <w:p w14:paraId="36C5DE73">
      <w:pPr>
        <w:pStyle w:val="11"/>
        <w:spacing w:before="240" w:beforeLines="100"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u w:val="single"/>
          <w14:textFill>
            <w14:solidFill>
              <w14:schemeClr w14:val="tx1"/>
            </w14:solidFill>
          </w14:textFill>
        </w:rPr>
        <w:t xml:space="preserve"> 中建路桥集团第四工程有限公司      </w:t>
      </w:r>
      <w:permEnd w:id="5"/>
    </w:p>
    <w:p w14:paraId="5FF3C1E9">
      <w:pPr>
        <w:pStyle w:val="11"/>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乙方（卖方）：</w:t>
      </w:r>
      <w:permStart w:id="6" w:edGrp="everyone"/>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
    <w:permEnd w:id="6"/>
    <w:p w14:paraId="2562E335">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5DB340BE">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4" w:name="_Toc17203"/>
      <w:bookmarkStart w:id="5" w:name="_Toc640"/>
      <w:bookmarkStart w:id="6" w:name="_Toc29946"/>
      <w:r>
        <w:rPr>
          <w:rFonts w:hint="eastAsia" w:ascii="仿宋_GB2312" w:hAnsi="仿宋_GB2312" w:eastAsia="仿宋_GB2312" w:cs="仿宋_GB2312"/>
          <w:b/>
          <w:bCs/>
          <w:color w:val="000000" w:themeColor="text1"/>
          <w14:textFill>
            <w14:solidFill>
              <w14:schemeClr w14:val="tx1"/>
            </w14:solidFill>
          </w14:textFill>
        </w:rPr>
        <w:t>工程概况</w:t>
      </w:r>
      <w:bookmarkEnd w:id="4"/>
      <w:bookmarkEnd w:id="5"/>
      <w:bookmarkEnd w:id="6"/>
    </w:p>
    <w:p w14:paraId="40C7A6B8">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1、工程名称：</w:t>
      </w:r>
      <w:permStart w:id="7"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中建路桥集团第四工程有限京昆高速公路超薄罩面技术推广项目</w:t>
      </w:r>
      <w:r>
        <w:rPr>
          <w:rFonts w:ascii="仿宋_GB2312" w:hAnsi="仿宋_GB2312" w:eastAsia="仿宋_GB2312" w:cs="仿宋_GB2312"/>
          <w:color w:val="000000" w:themeColor="text1"/>
          <w:u w:val="single"/>
          <w14:textFill>
            <w14:solidFill>
              <w14:schemeClr w14:val="tx1"/>
            </w14:solidFill>
          </w14:textFill>
        </w:rPr>
        <w:t xml:space="preserve">     </w:t>
      </w:r>
      <w:permEnd w:id="7"/>
      <w:r>
        <w:rPr>
          <w:rFonts w:hint="eastAsia" w:ascii="仿宋_GB2312" w:hAnsi="仿宋_GB2312" w:eastAsia="仿宋_GB2312" w:cs="仿宋_GB2312"/>
          <w:color w:val="000000" w:themeColor="text1"/>
          <w14:textFill>
            <w14:solidFill>
              <w14:schemeClr w14:val="tx1"/>
            </w14:solidFill>
          </w14:textFill>
        </w:rPr>
        <w:t>；</w:t>
      </w:r>
    </w:p>
    <w:p w14:paraId="4653B7B0">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2、工程地点：</w:t>
      </w:r>
      <w:permStart w:id="8" w:edGrp="everyone"/>
      <w:r>
        <w:rPr>
          <w:rFonts w:ascii="仿宋_GB2312" w:hAnsi="仿宋_GB2312" w:eastAsia="仿宋_GB2312" w:cs="仿宋_GB2312"/>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河北省保定市</w:t>
      </w:r>
      <w:r>
        <w:rPr>
          <w:rFonts w:ascii="仿宋_GB2312" w:hAnsi="仿宋_GB2312" w:eastAsia="仿宋_GB2312" w:cs="仿宋_GB2312"/>
          <w:color w:val="000000" w:themeColor="text1"/>
          <w:u w:val="single"/>
          <w14:textFill>
            <w14:solidFill>
              <w14:schemeClr w14:val="tx1"/>
            </w14:solidFill>
          </w14:textFill>
        </w:rPr>
        <w:t xml:space="preserve">                  </w:t>
      </w:r>
      <w:permEnd w:id="8"/>
      <w:r>
        <w:rPr>
          <w:rFonts w:hint="eastAsia" w:ascii="仿宋_GB2312" w:hAnsi="仿宋_GB2312" w:eastAsia="仿宋_GB2312" w:cs="仿宋_GB2312"/>
          <w:color w:val="000000" w:themeColor="text1"/>
          <w14:textFill>
            <w14:solidFill>
              <w14:schemeClr w14:val="tx1"/>
            </w14:solidFill>
          </w14:textFill>
        </w:rPr>
        <w:t>；</w:t>
      </w:r>
    </w:p>
    <w:p w14:paraId="14BAA26C">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u w:val="single"/>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14:textFill>
            <w14:solidFill>
              <w14:schemeClr w14:val="tx1"/>
            </w14:solidFill>
          </w14:textFill>
        </w:rPr>
        <w:t>、价款、计价方式</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51"/>
        <w:gridCol w:w="877"/>
        <w:gridCol w:w="440"/>
        <w:gridCol w:w="919"/>
        <w:gridCol w:w="837"/>
        <w:gridCol w:w="977"/>
        <w:gridCol w:w="549"/>
        <w:gridCol w:w="1103"/>
        <w:gridCol w:w="810"/>
        <w:gridCol w:w="522"/>
      </w:tblGrid>
      <w:tr w14:paraId="65A9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7" w:type="pct"/>
            <w:shd w:val="clear" w:color="auto" w:fill="auto"/>
            <w:vAlign w:val="center"/>
          </w:tcPr>
          <w:p w14:paraId="56F5C7A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lang w:bidi="ar"/>
                <w14:textFill>
                  <w14:solidFill>
                    <w14:schemeClr w14:val="tx1"/>
                  </w14:solidFill>
                </w14:textFill>
              </w:rPr>
              <w:t>序号</w:t>
            </w:r>
          </w:p>
        </w:tc>
        <w:tc>
          <w:tcPr>
            <w:tcW w:w="617" w:type="pct"/>
            <w:shd w:val="clear" w:color="auto" w:fill="auto"/>
            <w:vAlign w:val="center"/>
          </w:tcPr>
          <w:p w14:paraId="2DF910E9">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货物名称</w:t>
            </w:r>
          </w:p>
        </w:tc>
        <w:tc>
          <w:tcPr>
            <w:tcW w:w="515" w:type="pct"/>
            <w:shd w:val="clear" w:color="auto" w:fill="auto"/>
            <w:vAlign w:val="center"/>
          </w:tcPr>
          <w:p w14:paraId="470A79CF">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货物规格参数</w:t>
            </w:r>
          </w:p>
        </w:tc>
        <w:tc>
          <w:tcPr>
            <w:tcW w:w="258" w:type="pct"/>
            <w:shd w:val="clear" w:color="auto" w:fill="auto"/>
            <w:vAlign w:val="center"/>
          </w:tcPr>
          <w:p w14:paraId="77EFD8C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计量</w:t>
            </w:r>
          </w:p>
          <w:p w14:paraId="475B6D28">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单位</w:t>
            </w:r>
          </w:p>
        </w:tc>
        <w:tc>
          <w:tcPr>
            <w:tcW w:w="539" w:type="pct"/>
            <w:shd w:val="clear" w:color="auto" w:fill="auto"/>
            <w:vAlign w:val="center"/>
          </w:tcPr>
          <w:p w14:paraId="197779EA">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暂定</w:t>
            </w:r>
          </w:p>
          <w:p w14:paraId="178CCC71">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数量</w:t>
            </w:r>
          </w:p>
        </w:tc>
        <w:tc>
          <w:tcPr>
            <w:tcW w:w="491" w:type="pct"/>
            <w:shd w:val="clear" w:color="auto" w:fill="auto"/>
            <w:vAlign w:val="center"/>
          </w:tcPr>
          <w:p w14:paraId="0F8BDB0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035D6193">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3074FE53">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573" w:type="pct"/>
            <w:shd w:val="clear" w:color="auto" w:fill="auto"/>
            <w:vAlign w:val="center"/>
          </w:tcPr>
          <w:p w14:paraId="134D794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不含税</w:t>
            </w:r>
          </w:p>
          <w:p w14:paraId="1E32DC22">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2033CC6F">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（元）</w:t>
            </w:r>
          </w:p>
        </w:tc>
        <w:tc>
          <w:tcPr>
            <w:tcW w:w="322" w:type="pct"/>
            <w:shd w:val="clear" w:color="auto" w:fill="auto"/>
            <w:vAlign w:val="center"/>
          </w:tcPr>
          <w:p w14:paraId="7E368E1F">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增值</w:t>
            </w:r>
          </w:p>
          <w:p w14:paraId="0DF72643">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税率</w:t>
            </w:r>
          </w:p>
        </w:tc>
        <w:tc>
          <w:tcPr>
            <w:tcW w:w="647" w:type="pct"/>
            <w:shd w:val="clear" w:color="auto" w:fill="auto"/>
            <w:vAlign w:val="center"/>
          </w:tcPr>
          <w:p w14:paraId="5D839A80">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1CCB094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综合单价</w:t>
            </w:r>
          </w:p>
          <w:p w14:paraId="342EB38B">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475" w:type="pct"/>
            <w:shd w:val="clear" w:color="auto" w:fill="auto"/>
            <w:vAlign w:val="center"/>
          </w:tcPr>
          <w:p w14:paraId="7EAAA66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含税</w:t>
            </w:r>
          </w:p>
          <w:p w14:paraId="73BF6FA6">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合价</w:t>
            </w:r>
          </w:p>
          <w:p w14:paraId="122B1B3C">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 xml:space="preserve">（元）  </w:t>
            </w:r>
          </w:p>
        </w:tc>
        <w:tc>
          <w:tcPr>
            <w:tcW w:w="302" w:type="pct"/>
            <w:shd w:val="clear" w:color="auto" w:fill="auto"/>
            <w:vAlign w:val="center"/>
          </w:tcPr>
          <w:p w14:paraId="1AC07DE1">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备注</w:t>
            </w:r>
          </w:p>
        </w:tc>
      </w:tr>
      <w:tr w14:paraId="39CC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3F19B555">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1</w:t>
            </w:r>
          </w:p>
        </w:tc>
        <w:tc>
          <w:tcPr>
            <w:tcW w:w="617" w:type="pct"/>
            <w:shd w:val="clear" w:color="auto" w:fill="auto"/>
            <w:vAlign w:val="center"/>
          </w:tcPr>
          <w:p w14:paraId="584E667A">
            <w:pPr>
              <w:widowControl/>
              <w:jc w:val="center"/>
              <w:textAlignment w:val="center"/>
              <w:rPr>
                <w:rFonts w:hint="default"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高渗透强黏结环氧树脂</w:t>
            </w:r>
          </w:p>
        </w:tc>
        <w:tc>
          <w:tcPr>
            <w:tcW w:w="515" w:type="pct"/>
            <w:shd w:val="clear" w:color="auto" w:fill="auto"/>
            <w:vAlign w:val="center"/>
          </w:tcPr>
          <w:p w14:paraId="52BE460A">
            <w:pPr>
              <w:widowControl/>
              <w:jc w:val="center"/>
              <w:textAlignment w:val="center"/>
              <w:rPr>
                <w:rFonts w:hint="default"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w:t>
            </w:r>
          </w:p>
        </w:tc>
        <w:tc>
          <w:tcPr>
            <w:tcW w:w="258" w:type="pct"/>
            <w:shd w:val="clear" w:color="auto" w:fill="auto"/>
            <w:vAlign w:val="center"/>
          </w:tcPr>
          <w:p w14:paraId="6891C0CD">
            <w:pPr>
              <w:widowControl/>
              <w:jc w:val="center"/>
              <w:textAlignment w:val="center"/>
              <w:rPr>
                <w:rFonts w:hint="default" w:ascii="仿宋_GB2312" w:hAnsi="仿宋_GB2312" w:eastAsia="仿宋_GB2312" w:cs="仿宋_GB2312"/>
                <w:color w:val="000000" w:themeColor="text1"/>
                <w:kern w:val="0"/>
                <w:sz w:val="18"/>
                <w:szCs w:val="1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bidi="ar"/>
                <w14:textFill>
                  <w14:solidFill>
                    <w14:schemeClr w14:val="tx1"/>
                  </w14:solidFill>
                </w14:textFill>
              </w:rPr>
              <w:t>kg</w:t>
            </w:r>
          </w:p>
        </w:tc>
        <w:tc>
          <w:tcPr>
            <w:tcW w:w="539" w:type="pct"/>
            <w:shd w:val="clear" w:color="auto" w:fill="auto"/>
            <w:vAlign w:val="center"/>
          </w:tcPr>
          <w:p w14:paraId="3A9E6A24">
            <w:pPr>
              <w:widowControl/>
              <w:spacing w:line="400" w:lineRule="atLeast"/>
              <w:ind w:firstLine="180" w:firstLineChars="100"/>
              <w:jc w:val="both"/>
              <w:textAlignment w:val="center"/>
              <w:rPr>
                <w:rFonts w:hint="default"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82550</w:t>
            </w:r>
          </w:p>
        </w:tc>
        <w:tc>
          <w:tcPr>
            <w:tcW w:w="491" w:type="pct"/>
            <w:shd w:val="clear" w:color="auto" w:fill="auto"/>
            <w:noWrap/>
            <w:vAlign w:val="center"/>
          </w:tcPr>
          <w:p w14:paraId="6A5AAF9B">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340FC6EB">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5C4EF7A4">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5C7F3959">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17C80551">
            <w:pPr>
              <w:widowControl/>
              <w:jc w:val="center"/>
              <w:textAlignment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vAlign w:val="center"/>
          </w:tcPr>
          <w:p w14:paraId="6F80C32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4093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64FA50F2">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lang w:bidi="ar"/>
                <w14:textFill>
                  <w14:solidFill>
                    <w14:schemeClr w14:val="tx1"/>
                  </w14:solidFill>
                </w14:textFill>
              </w:rPr>
              <w:t>合计</w:t>
            </w:r>
          </w:p>
        </w:tc>
        <w:tc>
          <w:tcPr>
            <w:tcW w:w="617" w:type="pct"/>
            <w:shd w:val="clear" w:color="auto" w:fill="auto"/>
            <w:vAlign w:val="center"/>
          </w:tcPr>
          <w:p w14:paraId="7200334C">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515" w:type="pct"/>
            <w:shd w:val="clear" w:color="auto" w:fill="auto"/>
            <w:vAlign w:val="center"/>
          </w:tcPr>
          <w:p w14:paraId="0CBCCD38">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258" w:type="pct"/>
            <w:shd w:val="clear" w:color="auto" w:fill="auto"/>
            <w:noWrap/>
            <w:vAlign w:val="center"/>
          </w:tcPr>
          <w:p w14:paraId="42199251">
            <w:pPr>
              <w:widowControl/>
              <w:jc w:val="center"/>
              <w:textAlignment w:val="center"/>
              <w:rPr>
                <w:rFonts w:hint="eastAsia" w:ascii="仿宋_GB2312" w:hAnsi="仿宋_GB2312" w:eastAsia="仿宋_GB2312" w:cs="仿宋_GB2312"/>
                <w:color w:val="000000" w:themeColor="text1"/>
                <w:kern w:val="0"/>
                <w:sz w:val="18"/>
                <w:szCs w:val="18"/>
                <w:lang w:bidi="ar"/>
                <w14:textFill>
                  <w14:solidFill>
                    <w14:schemeClr w14:val="tx1"/>
                  </w14:solidFill>
                </w14:textFill>
              </w:rPr>
            </w:pPr>
          </w:p>
        </w:tc>
        <w:tc>
          <w:tcPr>
            <w:tcW w:w="539" w:type="pct"/>
            <w:shd w:val="clear" w:color="auto" w:fill="auto"/>
            <w:vAlign w:val="center"/>
          </w:tcPr>
          <w:p w14:paraId="6A0F175F">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91" w:type="pct"/>
            <w:shd w:val="clear" w:color="auto" w:fill="auto"/>
            <w:noWrap/>
            <w:vAlign w:val="center"/>
          </w:tcPr>
          <w:p w14:paraId="60009191">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573" w:type="pct"/>
            <w:shd w:val="clear" w:color="auto" w:fill="auto"/>
            <w:noWrap/>
            <w:vAlign w:val="center"/>
          </w:tcPr>
          <w:p w14:paraId="10DD63C3">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22" w:type="pct"/>
            <w:shd w:val="clear" w:color="auto" w:fill="auto"/>
            <w:noWrap/>
            <w:vAlign w:val="center"/>
          </w:tcPr>
          <w:p w14:paraId="1848DB87">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647" w:type="pct"/>
            <w:shd w:val="clear" w:color="auto" w:fill="auto"/>
            <w:noWrap/>
            <w:vAlign w:val="center"/>
          </w:tcPr>
          <w:p w14:paraId="3E1A798C">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475" w:type="pct"/>
            <w:shd w:val="clear" w:color="auto" w:fill="auto"/>
            <w:noWrap/>
            <w:vAlign w:val="center"/>
          </w:tcPr>
          <w:p w14:paraId="18B5CFD8">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c>
          <w:tcPr>
            <w:tcW w:w="302" w:type="pct"/>
            <w:shd w:val="clear" w:color="auto" w:fill="auto"/>
            <w:noWrap/>
            <w:vAlign w:val="center"/>
          </w:tcPr>
          <w:p w14:paraId="11F35F19">
            <w:pPr>
              <w:widowControl/>
              <w:spacing w:line="400" w:lineRule="atLeast"/>
              <w:jc w:val="center"/>
              <w:rPr>
                <w:rFonts w:hint="eastAsia" w:ascii="仿宋_GB2312" w:hAnsi="仿宋_GB2312" w:eastAsia="仿宋_GB2312" w:cs="仿宋_GB2312"/>
                <w:color w:val="000000" w:themeColor="text1"/>
                <w:sz w:val="18"/>
                <w:szCs w:val="18"/>
                <w14:textFill>
                  <w14:solidFill>
                    <w14:schemeClr w14:val="tx1"/>
                  </w14:solidFill>
                </w14:textFill>
              </w:rPr>
            </w:pPr>
          </w:p>
        </w:tc>
      </w:tr>
      <w:tr w14:paraId="6849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848B4BA">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不含增值税总价（暂定）</w:t>
            </w:r>
            <w:r>
              <w:rPr>
                <w:rFonts w:hint="eastAsia" w:ascii="仿宋_GB2312" w:hAnsi="宋体" w:eastAsia="仿宋_GB2312"/>
                <w:color w:val="000000" w:themeColor="text1"/>
                <w:sz w:val="18"/>
                <w:szCs w:val="18"/>
                <w14:textFill>
                  <w14:solidFill>
                    <w14:schemeClr w14:val="tx1"/>
                  </w14:solidFill>
                </w14:textFill>
              </w:rPr>
              <w:t>：人民币</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宋体" w:eastAsia="仿宋_GB2312"/>
                <w:color w:val="000000" w:themeColor="text1"/>
                <w:sz w:val="18"/>
                <w:szCs w:val="18"/>
                <w14:textFill>
                  <w14:solidFill>
                    <w14:schemeClr w14:val="tx1"/>
                  </w14:solidFill>
                </w14:textFill>
              </w:rPr>
              <w:t>元 ）；</w:t>
            </w:r>
          </w:p>
        </w:tc>
      </w:tr>
      <w:tr w14:paraId="2419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7932920B">
            <w:pPr>
              <w:widowControl/>
              <w:jc w:val="lef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宋体" w:eastAsia="仿宋_GB2312"/>
                <w:b/>
                <w:bCs/>
                <w:color w:val="000000" w:themeColor="text1"/>
                <w:sz w:val="18"/>
                <w:szCs w:val="18"/>
                <w14:textFill>
                  <w14:solidFill>
                    <w14:schemeClr w14:val="tx1"/>
                  </w14:solidFill>
                </w14:textFill>
              </w:rPr>
              <w:t>含增值税总价（暂定）</w:t>
            </w:r>
            <w:r>
              <w:rPr>
                <w:rFonts w:hint="eastAsia" w:ascii="仿宋_GB2312" w:hAnsi="宋体" w:eastAsia="仿宋_GB2312"/>
                <w:color w:val="000000" w:themeColor="text1"/>
                <w:sz w:val="18"/>
                <w:szCs w:val="18"/>
                <w14:textFill>
                  <w14:solidFill>
                    <w14:schemeClr w14:val="tx1"/>
                  </w14:solidFill>
                </w14:textFill>
              </w:rPr>
              <w:t>：</w:t>
            </w:r>
            <w:r>
              <w:rPr>
                <w:rFonts w:hint="eastAsia" w:ascii="仿宋_GB2312" w:hAnsi="仿宋_GB2312" w:eastAsia="仿宋_GB2312" w:cs="仿宋_GB2312"/>
                <w:color w:val="000000" w:themeColor="text1"/>
                <w:sz w:val="18"/>
                <w:szCs w:val="18"/>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元（大写：</w:t>
            </w:r>
            <w:r>
              <w:rPr>
                <w:rFonts w:hint="eastAsia" w:ascii="仿宋_GB2312" w:hAnsi="仿宋_GB2312" w:eastAsia="仿宋_GB2312" w:cs="仿宋_GB2312"/>
                <w:color w:val="000000" w:themeColor="text1"/>
                <w:sz w:val="18"/>
                <w:szCs w:val="18"/>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14:textFill>
                  <w14:solidFill>
                    <w14:schemeClr w14:val="tx1"/>
                  </w14:solidFill>
                </w14:textFill>
              </w:rPr>
              <w:t>元）</w:t>
            </w:r>
          </w:p>
        </w:tc>
      </w:tr>
      <w:permEnd w:id="9"/>
    </w:tbl>
    <w:p w14:paraId="099D59DD">
      <w:pPr>
        <w:pStyle w:val="11"/>
        <w:spacing w:line="400" w:lineRule="atLeast"/>
        <w:ind w:left="479" w:leftChars="228"/>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说明：</w:t>
      </w:r>
    </w:p>
    <w:p w14:paraId="748D214A">
      <w:pPr>
        <w:pStyle w:val="11"/>
        <w:numPr>
          <w:ilvl w:val="0"/>
          <w:numId w:val="2"/>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合同单价：</w:t>
      </w:r>
      <w:r>
        <w:rPr>
          <w:rFonts w:hint="eastAsia" w:ascii="仿宋_GB2312" w:hAnsi="仿宋_GB2312" w:eastAsia="仿宋_GB2312" w:cs="仿宋_GB2312"/>
          <w:color w:val="000000" w:themeColor="text1"/>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14:textFill>
            <w14:solidFill>
              <w14:schemeClr w14:val="tx1"/>
            </w14:solidFill>
          </w14:textFill>
        </w:rPr>
        <w:t>条</w:t>
      </w:r>
    </w:p>
    <w:p w14:paraId="654301F3">
      <w:pPr>
        <w:pStyle w:val="1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1.1本合同为</w:t>
      </w:r>
      <w:r>
        <w:rPr>
          <w:rFonts w:hint="eastAsia" w:ascii="仿宋_GB2312" w:hAnsi="仿宋_GB2312" w:eastAsia="仿宋_GB2312" w:cs="仿宋_GB2312"/>
          <w:b/>
          <w:bCs/>
          <w:color w:val="000000" w:themeColor="text1"/>
          <w:lang w:eastAsia="zh-Hans"/>
          <w14:textFill>
            <w14:solidFill>
              <w14:schemeClr w14:val="tx1"/>
            </w14:solidFill>
          </w14:textFill>
        </w:rPr>
        <w:t>固定</w:t>
      </w:r>
      <w:r>
        <w:rPr>
          <w:rFonts w:hint="eastAsia" w:ascii="仿宋_GB2312" w:hAnsi="仿宋_GB2312" w:eastAsia="仿宋_GB2312" w:cs="仿宋_GB2312"/>
          <w:b/>
          <w:bCs/>
          <w:color w:val="000000" w:themeColor="text1"/>
          <w14:textFill>
            <w14:solidFill>
              <w14:schemeClr w14:val="tx1"/>
            </w14:solidFill>
          </w14:textFill>
        </w:rPr>
        <w:t>单价合同；</w:t>
      </w:r>
      <w:r>
        <w:rPr>
          <w:rFonts w:hint="eastAsia" w:ascii="仿宋_GB2312" w:hAnsi="仿宋_GB2312" w:eastAsia="仿宋_GB2312" w:cs="仿宋_GB2312"/>
          <w:b/>
          <w:bCs/>
          <w:color w:val="000000" w:themeColor="text1"/>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u w:val="single"/>
          <w14:textFill>
            <w14:solidFill>
              <w14:schemeClr w14:val="tx1"/>
            </w14:solidFill>
          </w14:textFill>
        </w:rPr>
        <w:t>含增值税综合单价为物资运至工地的单价包括但不限于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码放费、保险费、中转仓储费、驻厂监造费、运输造成的道路污染的清理及维修费用、出库吊装费、运输费、过江过桥费、高速公路费等，含工地卸货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6AEC109">
      <w:pPr>
        <w:pStyle w:val="11"/>
        <w:numPr>
          <w:ilvl w:val="255"/>
          <w:numId w:val="0"/>
        </w:numPr>
        <w:spacing w:line="400" w:lineRule="atLeast"/>
        <w:ind w:firstLine="482" w:firstLineChars="200"/>
        <w:outlineLvl w:val="2"/>
        <w:rPr>
          <w:rFonts w:hint="eastAsia"/>
        </w:rPr>
      </w:pPr>
      <w:r>
        <w:rPr>
          <w:rFonts w:hint="eastAsia" w:ascii="仿宋_GB2312" w:hAnsi="仿宋_GB2312" w:eastAsia="仿宋_GB2312" w:cs="仿宋_GB2312"/>
          <w:b/>
          <w:bCs/>
          <w:color w:val="000000" w:themeColor="text1"/>
          <w14:textFill>
            <w14:solidFill>
              <w14:schemeClr w14:val="tx1"/>
            </w14:solidFill>
          </w14:textFill>
        </w:rPr>
        <w:t>1.2本合同约定的“不含税综合单价”为固定单价，即不受市场变化影响，且无论进场数量多少价格亦不发生变化。</w:t>
      </w:r>
    </w:p>
    <w:p w14:paraId="0930567B">
      <w:pPr>
        <w:pStyle w:val="11"/>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1.3其他：</w:t>
      </w:r>
      <w:permStart w:id="11"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b/>
          <w:bCs/>
          <w:color w:val="000000" w:themeColor="text1"/>
          <w:u w:val="single"/>
          <w:lang w:val="en-US" w:eastAsia="zh-CN"/>
          <w14:textFill>
            <w14:solidFill>
              <w14:schemeClr w14:val="tx1"/>
            </w14:solidFill>
          </w14:textFill>
        </w:rPr>
        <w:t>/</w:t>
      </w:r>
      <w:r>
        <w:rPr>
          <w:rFonts w:hint="eastAsia" w:ascii="仿宋_GB2312" w:hAnsi="仿宋_GB2312" w:eastAsia="仿宋_GB2312" w:cs="仿宋_GB2312"/>
          <w:b/>
          <w:bCs/>
          <w:color w:val="000000" w:themeColor="text1"/>
          <w:u w:val="single"/>
          <w14:textFill>
            <w14:solidFill>
              <w14:schemeClr w14:val="tx1"/>
            </w14:solidFill>
          </w14:textFill>
        </w:rPr>
        <w:t xml:space="preserve"> </w:t>
      </w:r>
      <w:permEnd w:id="11"/>
    </w:p>
    <w:p w14:paraId="1E7268DA">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             </w:t>
      </w:r>
      <w:permEnd w:id="12"/>
      <w:r>
        <w:rPr>
          <w:rFonts w:hint="eastAsia" w:ascii="仿宋_GB2312" w:hAnsi="仿宋_GB2312" w:eastAsia="仿宋_GB2312" w:cs="仿宋_GB2312"/>
          <w:b/>
          <w:bCs/>
          <w:color w:val="000000" w:themeColor="text1"/>
          <w14:textFill>
            <w14:solidFill>
              <w14:schemeClr w14:val="tx1"/>
            </w14:solidFill>
          </w14:textFill>
        </w:rPr>
        <w:t>公司生产产品。</w:t>
      </w:r>
    </w:p>
    <w:p w14:paraId="262D4791">
      <w:pPr>
        <w:pStyle w:val="11"/>
        <w:numPr>
          <w:ilvl w:val="0"/>
          <w:numId w:val="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合同工程量：</w:t>
      </w:r>
    </w:p>
    <w:p w14:paraId="321F4D62">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14:textFill>
            <w14:solidFill>
              <w14:schemeClr w14:val="tx1"/>
            </w14:solidFill>
          </w14:textFill>
        </w:rPr>
        <w:t xml:space="preserve">   </w:t>
      </w:r>
    </w:p>
    <w:p w14:paraId="75E87BEB">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 w:name="_Toc23444"/>
      <w:bookmarkStart w:id="12" w:name="_Toc13168"/>
      <w:bookmarkStart w:id="13" w:name="_Toc15703"/>
      <w:r>
        <w:rPr>
          <w:rFonts w:hint="eastAsia" w:ascii="仿宋_GB2312" w:hAnsi="仿宋_GB2312" w:eastAsia="仿宋_GB2312" w:cs="仿宋_GB2312"/>
          <w:b/>
          <w:bCs/>
          <w:color w:val="000000" w:themeColor="text1"/>
          <w14:textFill>
            <w14:solidFill>
              <w14:schemeClr w14:val="tx1"/>
            </w14:solidFill>
          </w14:textFill>
        </w:rPr>
        <w:t>货物供应</w:t>
      </w:r>
      <w:bookmarkEnd w:id="11"/>
      <w:bookmarkEnd w:id="12"/>
      <w:bookmarkEnd w:id="13"/>
    </w:p>
    <w:p w14:paraId="72E6E5F9">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1、交货方式：</w:t>
      </w:r>
      <w:r>
        <w:rPr>
          <w:rFonts w:hint="eastAsia" w:ascii="仿宋_GB2312" w:hAnsi="仿宋_GB2312" w:eastAsia="仿宋_GB2312" w:cs="仿宋_GB2312"/>
          <w:color w:val="000000" w:themeColor="text1"/>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u w:val="single"/>
          <w14:textFill>
            <w14:solidFill>
              <w14:schemeClr w14:val="tx1"/>
            </w14:solidFill>
          </w14:textFill>
        </w:rPr>
        <w:t xml:space="preserve">  1.1  </w:t>
      </w:r>
      <w:permEnd w:id="13"/>
      <w:r>
        <w:rPr>
          <w:rFonts w:hint="eastAsia" w:ascii="仿宋_GB2312" w:hAnsi="仿宋_GB2312" w:eastAsia="仿宋_GB2312" w:cs="仿宋_GB2312"/>
          <w:color w:val="000000" w:themeColor="text1"/>
          <w14:textFill>
            <w14:solidFill>
              <w14:schemeClr w14:val="tx1"/>
            </w14:solidFill>
          </w14:textFill>
        </w:rPr>
        <w:t>种交货方式；</w:t>
      </w:r>
    </w:p>
    <w:p w14:paraId="1F116830">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1.1送货卸车：</w:t>
      </w:r>
      <w:r>
        <w:rPr>
          <w:rFonts w:hint="eastAsia" w:ascii="仿宋_GB2312" w:hAnsi="仿宋_GB2312" w:eastAsia="仿宋_GB2312" w:cs="仿宋_GB2312"/>
          <w:color w:val="000000" w:themeColor="text1"/>
          <w14:textFill>
            <w14:solidFill>
              <w14:schemeClr w14:val="tx1"/>
            </w14:solidFill>
          </w14:textFill>
        </w:rPr>
        <w:t>乙方送货至甲方指定地点；合同综合单价已含卸车费用，卸车工作由乙方负责，若由甲方负责卸车，发生的相应费用结算款中扣除。</w:t>
      </w:r>
    </w:p>
    <w:p w14:paraId="79D6AE1C">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1.2送货不卸车：</w:t>
      </w:r>
      <w:r>
        <w:rPr>
          <w:rFonts w:hint="eastAsia" w:ascii="仿宋_GB2312" w:hAnsi="仿宋_GB2312" w:eastAsia="仿宋_GB2312" w:cs="仿宋_GB2312"/>
          <w:color w:val="000000" w:themeColor="text1"/>
          <w14:textFill>
            <w14:solidFill>
              <w14:schemeClr w14:val="tx1"/>
            </w14:solidFill>
          </w14:textFill>
        </w:rPr>
        <w:t>合同综合单价不含卸车费用，卸车工作由甲方组织。</w:t>
      </w:r>
    </w:p>
    <w:p w14:paraId="3BE25C9C">
      <w:pPr>
        <w:pStyle w:val="11"/>
        <w:spacing w:line="400" w:lineRule="atLeast"/>
        <w:ind w:firstLine="482" w:firstLineChars="20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         </w:t>
      </w:r>
    </w:p>
    <w:permEnd w:id="14"/>
    <w:p w14:paraId="7607B0FF">
      <w:pPr>
        <w:pStyle w:val="11"/>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2、交货时间：</w:t>
      </w:r>
      <w:r>
        <w:rPr>
          <w:rFonts w:hint="eastAsia" w:ascii="仿宋_GB2312" w:hAnsi="仿宋_GB2312" w:eastAsia="仿宋_GB2312" w:cs="仿宋_GB2312"/>
          <w:color w:val="000000" w:themeColor="text1"/>
          <w14:textFill>
            <w14:solidFill>
              <w14:schemeClr w14:val="tx1"/>
            </w14:solidFill>
          </w14:textFill>
        </w:rPr>
        <w:t>甲方施工现场材料负责人提前</w:t>
      </w:r>
      <w:r>
        <w:rPr>
          <w:rFonts w:hint="eastAsia" w:ascii="仿宋_GB2312" w:hAnsi="仿宋_GB2312" w:eastAsia="仿宋_GB2312" w:cs="仿宋_GB2312"/>
          <w:color w:val="000000" w:themeColor="text1"/>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u w:val="single"/>
          <w14:textFill>
            <w14:solidFill>
              <w14:schemeClr w14:val="tx1"/>
            </w14:solidFill>
          </w14:textFill>
        </w:rPr>
        <w:t xml:space="preserve"> 1  </w:t>
      </w:r>
      <w:permEnd w:id="15"/>
      <w:r>
        <w:rPr>
          <w:rFonts w:hint="eastAsia" w:ascii="仿宋_GB2312" w:hAnsi="仿宋_GB2312" w:eastAsia="仿宋_GB2312" w:cs="仿宋_GB2312"/>
          <w:color w:val="000000" w:themeColor="text1"/>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b/>
          <w:bCs/>
          <w:color w:val="000000" w:themeColor="text1"/>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201E2F29">
      <w:pPr>
        <w:pStyle w:val="11"/>
        <w:spacing w:line="400" w:lineRule="atLeast"/>
        <w:ind w:firstLine="482" w:firstLineChars="200"/>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3、交货地点：</w:t>
      </w:r>
      <w:permStart w:id="16" w:edGrp="everyone"/>
      <w:r>
        <w:rPr>
          <w:rFonts w:hint="eastAsia" w:ascii="仿宋_GB2312" w:hAnsi="仿宋_GB2312" w:eastAsia="仿宋_GB2312" w:cs="仿宋_GB2312"/>
          <w:color w:val="000000" w:themeColor="text1"/>
          <w:u w:val="single"/>
          <w14:textFill>
            <w14:solidFill>
              <w14:schemeClr w14:val="tx1"/>
            </w14:solidFill>
          </w14:textFill>
        </w:rPr>
        <w:t>甲方指定的施工地点</w:t>
      </w:r>
      <w:permEnd w:id="16"/>
      <w:r>
        <w:rPr>
          <w:rFonts w:hint="eastAsia" w:ascii="仿宋_GB2312" w:hAnsi="仿宋_GB2312" w:eastAsia="仿宋_GB2312" w:cs="仿宋_GB2312"/>
          <w:color w:val="000000" w:themeColor="text1"/>
          <w:u w:val="single"/>
          <w14:textFill>
            <w14:solidFill>
              <w14:schemeClr w14:val="tx1"/>
            </w14:solidFill>
          </w14:textFill>
        </w:rPr>
        <w:t>。</w:t>
      </w:r>
    </w:p>
    <w:p w14:paraId="4103E992">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u w:val="single"/>
          <w14:textFill>
            <w14:solidFill>
              <w14:schemeClr w14:val="tx1"/>
            </w14:solidFill>
          </w14:textFill>
        </w:rPr>
        <w:t>符合现场施工要求的</w:t>
      </w:r>
      <w:r>
        <w:rPr>
          <w:rFonts w:hint="eastAsia" w:ascii="仿宋_GB2312" w:hAnsi="仿宋_GB2312" w:eastAsia="仿宋_GB2312" w:cs="仿宋_GB2312"/>
          <w:b/>
          <w:bCs/>
          <w:color w:val="000000" w:themeColor="text1"/>
          <w:u w:val="single"/>
          <w:lang w:val="en-US" w:eastAsia="zh-CN"/>
          <w14:textFill>
            <w14:solidFill>
              <w14:schemeClr w14:val="tx1"/>
            </w14:solidFill>
          </w14:textFill>
        </w:rPr>
        <w:t>高渗透强黏结环氧树脂</w:t>
      </w:r>
      <w:bookmarkStart w:id="129" w:name="_GoBack"/>
      <w:bookmarkEnd w:id="129"/>
      <w:r>
        <w:rPr>
          <w:rFonts w:hint="eastAsia" w:ascii="仿宋_GB2312" w:hAnsi="仿宋_GB2312" w:eastAsia="仿宋_GB2312" w:cs="仿宋_GB2312"/>
          <w:color w:val="000000" w:themeColor="text1"/>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14:textFill>
            <w14:solidFill>
              <w14:schemeClr w14:val="tx1"/>
            </w14:solidFill>
          </w14:textFill>
        </w:rPr>
        <w:t>。</w:t>
      </w:r>
    </w:p>
    <w:p w14:paraId="4E247049">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5、双方代表：</w:t>
      </w:r>
    </w:p>
    <w:p w14:paraId="66F49016">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张帆 </w:t>
      </w:r>
      <w:permEnd w:id="18"/>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18875720291 </w:t>
      </w:r>
      <w:permEnd w:id="19"/>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4F488797">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14:textFill>
            <w14:solidFill>
              <w14:schemeClr w14:val="tx1"/>
            </w14:solidFill>
          </w14:textFill>
        </w:rPr>
        <w:t>。</w:t>
      </w:r>
    </w:p>
    <w:p w14:paraId="2C867F67">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4" w:name="_Hlk126833838"/>
      <w:r>
        <w:rPr>
          <w:rFonts w:hint="eastAsia" w:ascii="仿宋_GB2312" w:hAnsi="仿宋_GB2312" w:eastAsia="仿宋_GB2312" w:cs="仿宋_GB2312"/>
          <w:color w:val="000000" w:themeColor="text1"/>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14:textFill>
            <w14:solidFill>
              <w14:schemeClr w14:val="tx1"/>
            </w14:solidFill>
          </w14:textFill>
        </w:rPr>
        <w:t>。</w:t>
      </w:r>
    </w:p>
    <w:p w14:paraId="3ED25A33">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6、运输要求：</w:t>
      </w:r>
    </w:p>
    <w:p w14:paraId="26DB30D1">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6.1运输形式：</w:t>
      </w:r>
      <w:r>
        <w:rPr>
          <w:rFonts w:hint="eastAsia" w:ascii="仿宋_GB2312" w:hAnsi="仿宋_GB2312" w:eastAsia="仿宋_GB2312" w:cs="仿宋_GB2312"/>
          <w:color w:val="000000" w:themeColor="text1"/>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41EC970B">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6.2注意事项：</w:t>
      </w:r>
      <w:r>
        <w:rPr>
          <w:rFonts w:hint="eastAsia" w:ascii="仿宋_GB2312" w:hAnsi="仿宋_GB2312" w:eastAsia="仿宋_GB2312" w:cs="仿宋_GB2312"/>
          <w:color w:val="000000" w:themeColor="text1"/>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14:textFill>
            <w14:solidFill>
              <w14:schemeClr w14:val="tx1"/>
            </w14:solidFill>
          </w14:textFill>
        </w:rPr>
        <w:t>。</w:t>
      </w:r>
    </w:p>
    <w:p w14:paraId="2C6B6806">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2F827EA7">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6.4乙方应对运输人员进行安全管理和安全教育，运输人员遵守交通法规。</w:t>
      </w:r>
    </w:p>
    <w:p w14:paraId="3C41A9A8">
      <w:pPr>
        <w:pStyle w:val="11"/>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应当给负责运送货物的车辆办理交强险及商业保险。如因运载车辆事故、卸货等</w:t>
      </w:r>
    </w:p>
    <w:p w14:paraId="3E165578">
      <w:pPr>
        <w:pStyle w:val="11"/>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原因导致的乙方及任何第三方的人身伤害及经济损失均由乙方负责，并补偿甲方</w:t>
      </w:r>
    </w:p>
    <w:p w14:paraId="79D9A259">
      <w:pPr>
        <w:pStyle w:val="11"/>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及其他方因此造成的损失。</w:t>
      </w:r>
    </w:p>
    <w:p w14:paraId="2D3634A8">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138EE27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6B934D2A">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6.7乙方保证在运输和卸货过程中应采取相应的环保措施，符合国家环保要求。车辆在进入项目现场要保证不沾泥土和脏物，车辆出入项目现场必须在项目大门内现场洗车。乙方在卸货过程中保证噪声白天小于或等于85dB、夜间小于或等于55dB。乙方保证乙方人员以及车辆进入本工地现场，应遵守现场的一切卫生环保、文明施工的规定，因违反环保要求所造成的一切罚款由乙方承担。</w:t>
      </w:r>
    </w:p>
    <w:p w14:paraId="0D044536">
      <w:pPr>
        <w:pStyle w:val="11"/>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7、货物包装：</w:t>
      </w:r>
    </w:p>
    <w:p w14:paraId="77DFF351">
      <w:pPr>
        <w:spacing w:line="400" w:lineRule="atLeast"/>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7.1包装标准：</w:t>
      </w:r>
      <w:r>
        <w:rPr>
          <w:rFonts w:hint="eastAsia" w:ascii="仿宋_GB2312" w:hAnsi="仿宋_GB2312" w:eastAsia="仿宋_GB2312" w:cs="仿宋_GB2312"/>
          <w:sz w:val="24"/>
          <w:szCs w:val="24"/>
        </w:rPr>
        <w:t>乙方按照国家或业务主管部门的技术规定执行（标准代号、标准编号及标准名称为</w:t>
      </w:r>
      <w:permStart w:id="24" w:edGrp="everyone"/>
      <w:r>
        <w:rPr>
          <w:rFonts w:hint="eastAsia" w:ascii="仿宋_GB2312" w:hAnsi="仿宋_GB2312" w:eastAsia="仿宋_GB2312" w:cs="仿宋_GB2312"/>
          <w:sz w:val="24"/>
          <w:szCs w:val="24"/>
          <w:u w:val="single"/>
        </w:rPr>
        <w:t xml:space="preserve">  /  </w:t>
      </w:r>
      <w:permEnd w:id="24"/>
      <w:r>
        <w:rPr>
          <w:rFonts w:hint="eastAsia" w:ascii="仿宋_GB2312" w:hAnsi="仿宋_GB2312" w:eastAsia="仿宋_GB2312" w:cs="仿宋_GB2312"/>
          <w:sz w:val="24"/>
          <w:szCs w:val="24"/>
        </w:rPr>
        <w:t>）；没有上述标准的，或虽有上述标准，但甲方对包装有特殊要求，按如下约定执行：</w:t>
      </w:r>
      <w:permStart w:id="25" w:edGrp="everyone"/>
      <w:r>
        <w:rPr>
          <w:rFonts w:hint="eastAsia" w:ascii="仿宋_GB2312" w:hAnsi="仿宋_GB2312" w:eastAsia="仿宋_GB2312" w:cs="仿宋_GB2312"/>
          <w:sz w:val="24"/>
          <w:szCs w:val="24"/>
          <w:u w:val="single"/>
        </w:rPr>
        <w:t xml:space="preserve"> / </w:t>
      </w:r>
      <w:permEnd w:id="2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14:paraId="65866E4C">
      <w:pPr>
        <w:pStyle w:val="11"/>
        <w:spacing w:line="400" w:lineRule="atLeast"/>
        <w:ind w:firstLine="48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7.2包装回收：</w:t>
      </w:r>
      <w:r>
        <w:rPr>
          <w:rFonts w:hint="eastAsia" w:ascii="仿宋_GB2312" w:hAnsi="仿宋_GB2312" w:eastAsia="仿宋_GB2312" w:cs="仿宋_GB2312"/>
          <w:color w:val="auto"/>
          <w:u w:val="single"/>
        </w:rPr>
        <w:t>乙方无特别注明视为无包装物回收，有包装物回收时乙方应在收到甲方通知7天内完成包装回收。</w:t>
      </w:r>
    </w:p>
    <w:p w14:paraId="71424DD2">
      <w:pPr>
        <w:pStyle w:val="11"/>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8、安装要求：</w:t>
      </w:r>
      <w:r>
        <w:rPr>
          <w:rFonts w:hint="eastAsia" w:ascii="仿宋_GB2312" w:hAnsi="仿宋_GB2312" w:eastAsia="仿宋_GB2312" w:cs="仿宋_GB2312"/>
          <w:color w:val="auto"/>
        </w:rPr>
        <w:t>若货物附带安装工作内容，单价已综合考虑不另计价，具体安装内容及要求如下：</w:t>
      </w:r>
      <w:permStart w:id="26" w:edGrp="everyone"/>
      <w:r>
        <w:rPr>
          <w:rFonts w:hint="eastAsia" w:ascii="仿宋_GB2312" w:hAnsi="仿宋_GB2312" w:eastAsia="仿宋_GB2312" w:cs="仿宋_GB2312"/>
          <w:color w:val="auto"/>
          <w:u w:val="single"/>
        </w:rPr>
        <w:t xml:space="preserve">   /  </w:t>
      </w:r>
      <w:permEnd w:id="26"/>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14:paraId="17B066EE">
      <w:pPr>
        <w:pStyle w:val="11"/>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9、货物意外灭失风险：</w:t>
      </w:r>
      <w:r>
        <w:rPr>
          <w:rFonts w:hint="eastAsia" w:ascii="仿宋_GB2312" w:hAnsi="仿宋_GB2312" w:eastAsia="仿宋_GB2312" w:cs="仿宋_GB2312"/>
          <w:color w:val="auto"/>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656972D4">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auto"/>
        </w:rPr>
      </w:pPr>
      <w:bookmarkStart w:id="16" w:name="_Toc29361"/>
      <w:bookmarkStart w:id="17" w:name="_Toc15437"/>
      <w:bookmarkStart w:id="18" w:name="_Toc12447"/>
      <w:r>
        <w:rPr>
          <w:rFonts w:hint="eastAsia" w:ascii="仿宋_GB2312" w:hAnsi="仿宋_GB2312" w:eastAsia="仿宋_GB2312" w:cs="仿宋_GB2312"/>
          <w:b/>
          <w:bCs/>
          <w:color w:val="auto"/>
        </w:rPr>
        <w:t>货物质量</w:t>
      </w:r>
      <w:bookmarkEnd w:id="16"/>
      <w:bookmarkEnd w:id="17"/>
      <w:bookmarkEnd w:id="18"/>
    </w:p>
    <w:p w14:paraId="19671BF7">
      <w:pPr>
        <w:pStyle w:val="11"/>
        <w:spacing w:line="400" w:lineRule="atLeast"/>
        <w:ind w:firstLine="48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1、质量要求及技术标准：</w:t>
      </w:r>
    </w:p>
    <w:p w14:paraId="23A88A41">
      <w:pPr>
        <w:pStyle w:val="11"/>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1.1按照国家标准执行（标准代号、标准编号及标准名称为</w:t>
      </w:r>
      <w:permStart w:id="27" w:edGrp="everyone"/>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000000" w:themeColor="text1"/>
          <w:u w:val="single"/>
          <w14:textFill>
            <w14:solidFill>
              <w14:schemeClr w14:val="tx1"/>
            </w14:solidFill>
          </w14:textFill>
        </w:rPr>
        <w:t>《公路沥青路面施工技术规范》</w:t>
      </w:r>
      <w:r>
        <w:rPr>
          <w:rFonts w:hint="eastAsia" w:ascii="仿宋_GB2312" w:hAnsi="仿宋_GB2312" w:eastAsia="仿宋_GB2312" w:cs="仿宋_GB2312"/>
          <w:color w:val="auto"/>
          <w:u w:val="single"/>
        </w:rPr>
        <w:t>JTG F40-2004</w:t>
      </w:r>
      <w:r>
        <w:rPr>
          <w:rFonts w:hint="eastAsia" w:ascii="仿宋_GB2312" w:hAnsi="仿宋_GB2312" w:eastAsia="仿宋_GB2312" w:cs="仿宋_GB2312"/>
          <w:color w:val="000000" w:themeColor="text1"/>
          <w:u w:val="single"/>
          <w14:textFill>
            <w14:solidFill>
              <w14:schemeClr w14:val="tx1"/>
            </w14:solidFill>
          </w14:textFill>
        </w:rPr>
        <w:t>、</w:t>
      </w:r>
      <w:r>
        <w:rPr>
          <w:rFonts w:hint="eastAsia" w:ascii="仿宋_GB2312" w:hAnsi="仿宋_GB2312" w:eastAsia="仿宋_GB2312" w:cs="仿宋_GB2312"/>
          <w:color w:val="000000" w:themeColor="text1"/>
          <w:u w:val="single"/>
          <w:lang w:eastAsia="zh-CN"/>
          <w14:textFill>
            <w14:solidFill>
              <w14:schemeClr w14:val="tx1"/>
            </w14:solidFill>
          </w14:textFill>
        </w:rPr>
        <w:t xml:space="preserve">《漆膜、腻子膜干燥时间测定法》GB/T 1728-2020 </w:t>
      </w:r>
      <w:r>
        <w:rPr>
          <w:rFonts w:hint="eastAsia" w:ascii="仿宋_GB2312" w:hAnsi="仿宋_GB2312" w:eastAsia="仿宋_GB2312" w:cs="仿宋_GB2312"/>
          <w:color w:val="auto"/>
          <w:u w:val="single"/>
        </w:rPr>
        <w:t xml:space="preserve"> </w:t>
      </w:r>
      <w:permEnd w:id="27"/>
      <w:r>
        <w:rPr>
          <w:rFonts w:hint="eastAsia" w:ascii="仿宋_GB2312" w:hAnsi="仿宋_GB2312" w:eastAsia="仿宋_GB2312" w:cs="仿宋_GB2312"/>
          <w:color w:val="auto"/>
        </w:rPr>
        <w:t>）。</w:t>
      </w:r>
    </w:p>
    <w:p w14:paraId="13CCA9F2">
      <w:pPr>
        <w:pStyle w:val="11"/>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1.2无国家标准而有部颁标准的，按部颁标准执行。</w:t>
      </w:r>
    </w:p>
    <w:p w14:paraId="2DA06396">
      <w:pPr>
        <w:pStyle w:val="11"/>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1.3无国家和部颁标准的，按企业标准执行。</w:t>
      </w:r>
    </w:p>
    <w:p w14:paraId="7D192D95">
      <w:pPr>
        <w:pStyle w:val="11"/>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u w:val="single"/>
        </w:rPr>
        <w:t xml:space="preserve">  (详细质量要求按照项目施工总承包合同及图纸由项目填写)</w:t>
      </w:r>
      <w:r>
        <w:rPr>
          <w:rFonts w:hint="eastAsia" w:ascii="仿宋_GB2312" w:hAnsi="仿宋_GB2312" w:eastAsia="仿宋_GB2312" w:cs="仿宋_GB2312"/>
          <w:color w:val="auto"/>
        </w:rPr>
        <w:t xml:space="preserve"> </w:t>
      </w:r>
      <w:permEnd w:id="28"/>
      <w:r>
        <w:rPr>
          <w:rFonts w:hint="eastAsia" w:ascii="仿宋_GB2312" w:hAnsi="仿宋_GB2312" w:eastAsia="仿宋_GB2312" w:cs="仿宋_GB2312"/>
          <w:color w:val="auto"/>
        </w:rPr>
        <w:t>）。</w:t>
      </w:r>
    </w:p>
    <w:p w14:paraId="49F6A0E5">
      <w:pPr>
        <w:pStyle w:val="11"/>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p>
    <w:p w14:paraId="202B0B55">
      <w:pPr>
        <w:pStyle w:val="11"/>
        <w:spacing w:line="400" w:lineRule="atLeast"/>
        <w:outlineLvl w:val="1"/>
        <w:rPr>
          <w:rFonts w:hint="eastAsia" w:ascii="仿宋_GB2312" w:hAnsi="仿宋_GB2312" w:eastAsia="仿宋_GB2312" w:cs="仿宋_GB2312"/>
          <w:color w:val="auto"/>
          <w:u w:val="single"/>
        </w:rPr>
      </w:pPr>
      <w:r>
        <w:rPr>
          <w:rFonts w:hint="eastAsia" w:ascii="仿宋_GB2312" w:hAnsi="仿宋_GB2312" w:eastAsia="仿宋_GB2312" w:cs="仿宋_GB2312"/>
          <w:color w:val="auto"/>
        </w:rPr>
        <w:t>1.6其他：</w:t>
      </w:r>
      <w:permStart w:id="29" w:edGrp="everyone"/>
      <w:r>
        <w:rPr>
          <w:rFonts w:hint="eastAsia" w:ascii="仿宋_GB2312" w:hAnsi="仿宋_GB2312" w:eastAsia="仿宋_GB2312" w:cs="仿宋_GB2312"/>
          <w:color w:val="auto"/>
        </w:rPr>
        <w:t xml:space="preserve"> </w:t>
      </w:r>
    </w:p>
    <w:tbl>
      <w:tblPr>
        <w:tblStyle w:val="9"/>
        <w:tblpPr w:leftFromText="180" w:rightFromText="180" w:vertAnchor="text" w:horzAnchor="page" w:tblpX="2151" w:tblpY="217"/>
        <w:tblOverlap w:val="never"/>
        <w:tblW w:w="7795" w:type="dxa"/>
        <w:tblInd w:w="0" w:type="dxa"/>
        <w:tblLayout w:type="fixed"/>
        <w:tblCellMar>
          <w:top w:w="0" w:type="dxa"/>
          <w:left w:w="108" w:type="dxa"/>
          <w:bottom w:w="0" w:type="dxa"/>
          <w:right w:w="108" w:type="dxa"/>
        </w:tblCellMar>
      </w:tblPr>
      <w:tblGrid>
        <w:gridCol w:w="3658"/>
        <w:gridCol w:w="2445"/>
        <w:gridCol w:w="1692"/>
      </w:tblGrid>
      <w:tr w14:paraId="3EA78422">
        <w:tblPrEx>
          <w:tblCellMar>
            <w:top w:w="0" w:type="dxa"/>
            <w:left w:w="108" w:type="dxa"/>
            <w:bottom w:w="0" w:type="dxa"/>
            <w:right w:w="108" w:type="dxa"/>
          </w:tblCellMar>
        </w:tblPrEx>
        <w:trPr>
          <w:trHeight w:val="197" w:hRule="atLeast"/>
        </w:trPr>
        <w:tc>
          <w:tcPr>
            <w:tcW w:w="7795" w:type="dxa"/>
            <w:gridSpan w:val="3"/>
            <w:tcBorders>
              <w:top w:val="nil"/>
              <w:left w:val="nil"/>
              <w:bottom w:val="single" w:color="auto" w:sz="4" w:space="0"/>
              <w:right w:val="nil"/>
            </w:tcBorders>
            <w:shd w:val="clear" w:color="auto" w:fill="auto"/>
            <w:noWrap/>
            <w:vAlign w:val="center"/>
          </w:tcPr>
          <w:p w14:paraId="10422B23">
            <w:pPr>
              <w:widowControl/>
              <w:jc w:val="center"/>
              <w:rPr>
                <w:rFonts w:hint="default" w:ascii="仿宋_GB2312" w:hAnsi="Adobe 仿宋 Std R" w:eastAsia="仿宋_GB2312" w:cs="宋体"/>
                <w:color w:val="000000"/>
                <w:kern w:val="0"/>
                <w:sz w:val="24"/>
                <w:szCs w:val="24"/>
                <w:lang w:val="en-US" w:eastAsia="zh-CN"/>
              </w:rPr>
            </w:pPr>
            <w:r>
              <w:rPr>
                <w:rFonts w:hint="eastAsia" w:ascii="仿宋_GB2312" w:hAnsi="Adobe 仿宋 Std R" w:eastAsia="仿宋_GB2312" w:cs="宋体"/>
                <w:color w:val="000000"/>
                <w:kern w:val="0"/>
                <w:sz w:val="24"/>
                <w:szCs w:val="24"/>
                <w:lang w:val="en-US" w:eastAsia="zh-CN"/>
              </w:rPr>
              <w:t>高渗透强黏结环氧树脂</w:t>
            </w:r>
          </w:p>
        </w:tc>
      </w:tr>
      <w:tr w14:paraId="05CCBD83">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8C3DE88">
            <w:pPr>
              <w:widowControl/>
              <w:jc w:val="center"/>
              <w:rPr>
                <w:rFonts w:hint="eastAsia" w:ascii="仿宋_GB2312" w:hAnsi="Adobe 仿宋 Std R" w:eastAsia="仿宋_GB2312" w:cs="宋体"/>
                <w:color w:val="000000"/>
                <w:kern w:val="0"/>
                <w:sz w:val="24"/>
                <w:szCs w:val="24"/>
              </w:rPr>
            </w:pPr>
            <w:r>
              <w:rPr>
                <w:rFonts w:hint="eastAsia" w:ascii="仿宋_GB2312" w:hAnsi="Adobe 仿宋 Std R" w:eastAsia="仿宋_GB2312" w:cs="宋体"/>
                <w:color w:val="000000"/>
                <w:kern w:val="0"/>
                <w:sz w:val="24"/>
                <w:szCs w:val="24"/>
              </w:rPr>
              <w:t>项目</w:t>
            </w:r>
          </w:p>
        </w:tc>
        <w:tc>
          <w:tcPr>
            <w:tcW w:w="2445" w:type="dxa"/>
            <w:tcBorders>
              <w:top w:val="nil"/>
              <w:left w:val="nil"/>
              <w:bottom w:val="single" w:color="auto" w:sz="4" w:space="0"/>
              <w:right w:val="single" w:color="auto" w:sz="4" w:space="0"/>
            </w:tcBorders>
            <w:shd w:val="clear" w:color="auto" w:fill="auto"/>
            <w:noWrap/>
            <w:vAlign w:val="center"/>
          </w:tcPr>
          <w:p w14:paraId="0A7BC2DE">
            <w:pPr>
              <w:widowControl/>
              <w:jc w:val="center"/>
              <w:rPr>
                <w:rFonts w:hint="eastAsia" w:ascii="仿宋_GB2312" w:hAnsi="Adobe 仿宋 Std R" w:eastAsia="仿宋_GB2312" w:cs="宋体"/>
                <w:color w:val="000000"/>
                <w:kern w:val="0"/>
                <w:sz w:val="24"/>
                <w:szCs w:val="24"/>
              </w:rPr>
            </w:pPr>
            <w:r>
              <w:rPr>
                <w:rFonts w:hint="eastAsia" w:ascii="仿宋_GB2312" w:hAnsi="Adobe 仿宋 Std R" w:eastAsia="仿宋_GB2312" w:cs="宋体"/>
                <w:color w:val="000000"/>
                <w:kern w:val="0"/>
                <w:sz w:val="24"/>
                <w:szCs w:val="24"/>
              </w:rPr>
              <w:t>技术要求</w:t>
            </w:r>
          </w:p>
        </w:tc>
        <w:tc>
          <w:tcPr>
            <w:tcW w:w="1692" w:type="dxa"/>
            <w:tcBorders>
              <w:top w:val="nil"/>
              <w:left w:val="nil"/>
              <w:bottom w:val="single" w:color="auto" w:sz="4" w:space="0"/>
              <w:right w:val="single" w:color="auto" w:sz="4" w:space="0"/>
            </w:tcBorders>
            <w:shd w:val="clear" w:color="auto" w:fill="auto"/>
            <w:noWrap/>
            <w:vAlign w:val="center"/>
          </w:tcPr>
          <w:p w14:paraId="1A64175B">
            <w:pPr>
              <w:widowControl/>
              <w:jc w:val="center"/>
              <w:rPr>
                <w:rFonts w:hint="eastAsia" w:ascii="仿宋_GB2312" w:hAnsi="Adobe 仿宋 Std R" w:eastAsia="仿宋_GB2312" w:cs="宋体"/>
                <w:color w:val="000000"/>
                <w:kern w:val="0"/>
                <w:sz w:val="24"/>
                <w:szCs w:val="24"/>
              </w:rPr>
            </w:pPr>
            <w:r>
              <w:rPr>
                <w:rFonts w:hint="eastAsia" w:ascii="仿宋_GB2312" w:hAnsi="Adobe 仿宋 Std R" w:eastAsia="仿宋_GB2312" w:cs="宋体"/>
                <w:color w:val="000000"/>
                <w:kern w:val="0"/>
                <w:sz w:val="24"/>
                <w:szCs w:val="24"/>
              </w:rPr>
              <w:t>试验方法</w:t>
            </w:r>
          </w:p>
        </w:tc>
      </w:tr>
      <w:tr w14:paraId="1772D624">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482F3">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表干时间（min,20</w:t>
            </w:r>
            <w:r>
              <w:rPr>
                <w:rFonts w:hint="eastAsia" w:ascii="宋体" w:hAnsi="宋体" w:eastAsia="宋体" w:cs="宋体"/>
                <w:color w:val="000000"/>
                <w:kern w:val="0"/>
                <w:sz w:val="22"/>
                <w:szCs w:val="22"/>
                <w:lang w:val="en-US" w:eastAsia="zh-CN"/>
              </w:rPr>
              <w:t>℃</w:t>
            </w:r>
            <w:r>
              <w:rPr>
                <w:rFonts w:hint="eastAsia" w:ascii="等线" w:hAnsi="等线" w:eastAsia="等线" w:cs="宋体"/>
                <w:color w:val="000000"/>
                <w:kern w:val="0"/>
                <w:sz w:val="22"/>
                <w:szCs w:val="22"/>
                <w:lang w:val="en-US" w:eastAsia="zh-CN"/>
              </w:rPr>
              <w:t>）,≤</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D5091">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120</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BF047">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GB/T 1728</w:t>
            </w:r>
          </w:p>
        </w:tc>
      </w:tr>
      <w:tr w14:paraId="7BC082D4">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E52E2">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涂层硬度，≥</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7BF12">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0.4</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C9C0F">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GB/T 1730</w:t>
            </w:r>
          </w:p>
        </w:tc>
      </w:tr>
      <w:tr w14:paraId="02CDAB93">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E6F1F">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附着力（级）</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21727">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1</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D51E0">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GB/T 1720</w:t>
            </w:r>
          </w:p>
        </w:tc>
      </w:tr>
      <w:tr w14:paraId="1EC389BB">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A99AC">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剥离强度（级）</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45294">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4-5</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25134">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JTJ 052</w:t>
            </w:r>
          </w:p>
        </w:tc>
      </w:tr>
      <w:tr w14:paraId="429CB59B">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60312">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耐冲击性（1kg*50cm）</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84194">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无裂纹</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85758">
            <w:pPr>
              <w:widowControl/>
              <w:jc w:val="center"/>
              <w:rPr>
                <w:rFonts w:hint="eastAsia" w:ascii="等线" w:hAnsi="等线" w:eastAsia="等线" w:cs="宋体"/>
                <w:color w:val="000000"/>
                <w:kern w:val="0"/>
                <w:sz w:val="22"/>
                <w:szCs w:val="22"/>
                <w:lang w:val="en-US" w:eastAsia="zh-CN" w:bidi="ar-SA"/>
              </w:rPr>
            </w:pPr>
            <w:r>
              <w:rPr>
                <w:rFonts w:hint="eastAsia" w:ascii="等线" w:hAnsi="等线" w:eastAsia="等线" w:cs="宋体"/>
                <w:color w:val="000000"/>
                <w:kern w:val="0"/>
                <w:sz w:val="22"/>
                <w:szCs w:val="22"/>
                <w:lang w:val="en-US" w:eastAsia="zh-CN"/>
              </w:rPr>
              <w:t>GB/T 1732</w:t>
            </w:r>
          </w:p>
        </w:tc>
      </w:tr>
      <w:tr w14:paraId="32EB2127">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D6DED">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柔韧性(曲率半径mm)</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908AC">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0.5</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9AFCB">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GB/T 1731</w:t>
            </w:r>
          </w:p>
        </w:tc>
      </w:tr>
      <w:tr w14:paraId="1BFB1196">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27A47">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渗透性(%)，≥</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E2CCE">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75</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DCE18">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GB/T 9264</w:t>
            </w:r>
          </w:p>
        </w:tc>
      </w:tr>
      <w:tr w14:paraId="3AE33CE2">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EB346">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耐水性(7d)</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A9FA9">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不起泡，不脱落</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CA450">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GB/T 1733</w:t>
            </w:r>
          </w:p>
        </w:tc>
      </w:tr>
      <w:tr w14:paraId="3ED4106C">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F68A3">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耐盐性(3%氯化钠，7d)</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962B">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不起泡，不脱落</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72CC3">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GB/T 9274</w:t>
            </w:r>
          </w:p>
        </w:tc>
      </w:tr>
      <w:tr w14:paraId="096DC9E0">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6E523">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耐热性(100±5℃)</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0B867">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无流淌，无滑动</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7866A">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GB/T 1735</w:t>
            </w:r>
          </w:p>
        </w:tc>
      </w:tr>
      <w:tr w14:paraId="580FE5F7">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2AC05">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抗冻性(-25±5℃)</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C661F">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不开裂</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2B7F2">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JC 408</w:t>
            </w:r>
          </w:p>
        </w:tc>
      </w:tr>
      <w:tr w14:paraId="7A6CBED2">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C47C0">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适用期(min)</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17CCE">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80-120</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DF455">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HG/T 3829</w:t>
            </w:r>
          </w:p>
        </w:tc>
      </w:tr>
      <w:tr w14:paraId="4879606F">
        <w:tblPrEx>
          <w:tblCellMar>
            <w:top w:w="0" w:type="dxa"/>
            <w:left w:w="108" w:type="dxa"/>
            <w:bottom w:w="0" w:type="dxa"/>
            <w:right w:w="108" w:type="dxa"/>
          </w:tblCellMar>
        </w:tblPrEx>
        <w:trPr>
          <w:trHeight w:val="197" w:hRule="atLeast"/>
        </w:trPr>
        <w:tc>
          <w:tcPr>
            <w:tcW w:w="36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5CBD5">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柔韧性(曲率半径mm)</w:t>
            </w:r>
          </w:p>
        </w:tc>
        <w:tc>
          <w:tcPr>
            <w:tcW w:w="24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583AF">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0.5</w:t>
            </w:r>
          </w:p>
        </w:tc>
        <w:tc>
          <w:tcPr>
            <w:tcW w:w="1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822B">
            <w:pPr>
              <w:keepNext w:val="0"/>
              <w:keepLines w:val="0"/>
              <w:widowControl/>
              <w:suppressLineNumbers w:val="0"/>
              <w:jc w:val="center"/>
              <w:textAlignment w:val="center"/>
              <w:rPr>
                <w:rFonts w:hint="eastAsia" w:ascii="等线" w:hAnsi="等线" w:eastAsia="等线" w:cs="宋体"/>
                <w:color w:val="000000"/>
                <w:kern w:val="0"/>
                <w:sz w:val="22"/>
                <w:szCs w:val="22"/>
                <w:lang w:val="en-US" w:eastAsia="zh-CN" w:bidi="ar-SA"/>
              </w:rPr>
            </w:pPr>
            <w:r>
              <w:rPr>
                <w:rFonts w:hint="eastAsia" w:ascii="等线" w:hAnsi="等线" w:eastAsia="等线" w:cs="等线"/>
                <w:i w:val="0"/>
                <w:iCs w:val="0"/>
                <w:color w:val="000000"/>
                <w:kern w:val="0"/>
                <w:sz w:val="22"/>
                <w:szCs w:val="22"/>
                <w:u w:val="none"/>
                <w:lang w:val="en-US" w:eastAsia="zh-CN" w:bidi="ar"/>
              </w:rPr>
              <w:t>GB/T 1731</w:t>
            </w:r>
          </w:p>
        </w:tc>
      </w:tr>
    </w:tbl>
    <w:p w14:paraId="6091EECC">
      <w:pPr>
        <w:pStyle w:val="11"/>
        <w:spacing w:line="400" w:lineRule="atLeast"/>
        <w:outlineLvl w:val="1"/>
        <w:rPr>
          <w:rFonts w:hint="eastAsia" w:ascii="仿宋_GB2312" w:hAnsi="仿宋_GB2312" w:eastAsia="仿宋_GB2312" w:cs="仿宋_GB2312"/>
          <w:color w:val="auto"/>
          <w:u w:val="single"/>
        </w:rPr>
      </w:pPr>
    </w:p>
    <w:permEnd w:id="29"/>
    <w:p w14:paraId="15873D19">
      <w:pPr>
        <w:pStyle w:val="11"/>
        <w:spacing w:line="400" w:lineRule="atLeast"/>
        <w:ind w:firstLine="480"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color w:val="auto"/>
        </w:rPr>
        <w:t>。</w:t>
      </w:r>
    </w:p>
    <w:p w14:paraId="003F9BA3">
      <w:pPr>
        <w:pStyle w:val="11"/>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2、货物附件清单：</w:t>
      </w:r>
      <w:r>
        <w:rPr>
          <w:rFonts w:hint="eastAsia" w:ascii="仿宋_GB2312" w:hAnsi="仿宋_GB2312" w:eastAsia="仿宋_GB2312" w:cs="仿宋_GB2312"/>
          <w:color w:val="auto"/>
        </w:rPr>
        <w:t>乙方应按甲方要求在交货时提供货物附件清单：</w:t>
      </w:r>
      <w:permStart w:id="30" w:edGrp="everyone"/>
      <w:r>
        <w:rPr>
          <w:rFonts w:hint="eastAsia" w:ascii="仿宋_GB2312" w:hAnsi="仿宋_GB2312" w:eastAsia="仿宋_GB2312" w:cs="仿宋_GB2312"/>
          <w:color w:val="auto"/>
          <w:u w:val="single"/>
        </w:rPr>
        <w:t>产品质量证明书、出厂合格证、产品检验报告、国家强制性产品认证书、产品质量免检证书、产品生产许可证、管理体系认证证书、装箱单、发货单等以及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u w:val="single"/>
        </w:rPr>
        <w:t>。</w:t>
      </w:r>
      <w:r>
        <w:rPr>
          <w:rFonts w:hint="eastAsia" w:ascii="仿宋_GB2312" w:hAnsi="仿宋_GB2312" w:eastAsia="仿宋_GB2312" w:cs="仿宋_GB2312"/>
          <w:color w:val="auto"/>
        </w:rPr>
        <w:t>附件清单明确附件内容及份数同时加印乙方签章于收货时一并交由甲方核验，否则甲方不予办理收料手续。</w:t>
      </w:r>
    </w:p>
    <w:p w14:paraId="23426E7E">
      <w:pPr>
        <w:pStyle w:val="11"/>
        <w:spacing w:line="400" w:lineRule="atLeast"/>
        <w:ind w:firstLine="482" w:firstLineChars="200"/>
        <w:outlineLvl w:val="1"/>
        <w:rPr>
          <w:rFonts w:hint="eastAsia" w:ascii="仿宋_GB2312" w:hAnsi="仿宋_GB2312" w:eastAsia="仿宋_GB2312" w:cs="仿宋_GB2312"/>
          <w:color w:val="auto"/>
        </w:rPr>
      </w:pPr>
      <w:r>
        <w:rPr>
          <w:rFonts w:hint="eastAsia" w:ascii="仿宋_GB2312" w:hAnsi="仿宋_GB2312" w:eastAsia="仿宋_GB2312" w:cs="仿宋_GB2312"/>
          <w:b/>
          <w:bCs/>
          <w:color w:val="auto"/>
        </w:rPr>
        <w:t>3、货物质量保修期：</w:t>
      </w:r>
      <w:r>
        <w:rPr>
          <w:rFonts w:hint="eastAsia" w:ascii="仿宋_GB2312" w:hAnsi="仿宋_GB2312" w:eastAsia="仿宋_GB2312" w:cs="仿宋_GB2312"/>
          <w:color w:val="auto"/>
        </w:rPr>
        <w:t>按下列第</w:t>
      </w:r>
      <w:r>
        <w:rPr>
          <w:rFonts w:hint="eastAsia" w:ascii="仿宋_GB2312" w:hAnsi="仿宋_GB2312" w:eastAsia="仿宋_GB2312" w:cs="仿宋_GB2312"/>
          <w:color w:val="auto"/>
          <w:u w:val="single"/>
        </w:rPr>
        <w:t xml:space="preserve"> </w:t>
      </w:r>
      <w:permStart w:id="31" w:edGrp="everyone"/>
      <w:r>
        <w:rPr>
          <w:rFonts w:hint="eastAsia" w:ascii="仿宋_GB2312" w:hAnsi="仿宋_GB2312" w:eastAsia="仿宋_GB2312" w:cs="仿宋_GB2312"/>
          <w:color w:val="auto"/>
          <w:u w:val="single"/>
        </w:rPr>
        <w:t xml:space="preserve">  3.2   </w:t>
      </w:r>
      <w:permEnd w:id="31"/>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项执行（如货物明示或设计的质量保修期/缺陷责任期较长的，以较长者为准）：</w:t>
      </w:r>
    </w:p>
    <w:p w14:paraId="4695AD0B">
      <w:pPr>
        <w:pStyle w:val="11"/>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3.1质量保修期无</w:t>
      </w:r>
    </w:p>
    <w:p w14:paraId="771C5BFB">
      <w:pPr>
        <w:pStyle w:val="11"/>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3.2质量保修期为</w:t>
      </w:r>
      <w:permStart w:id="32" w:edGrp="everyone"/>
      <w:r>
        <w:rPr>
          <w:rFonts w:hint="eastAsia" w:ascii="仿宋_GB2312" w:hAnsi="仿宋_GB2312" w:eastAsia="仿宋_GB2312" w:cs="仿宋_GB2312"/>
          <w:color w:val="auto"/>
          <w:u w:val="single"/>
        </w:rPr>
        <w:t xml:space="preserve">  3   </w:t>
      </w:r>
      <w:permEnd w:id="32"/>
      <w:r>
        <w:rPr>
          <w:rFonts w:hint="eastAsia" w:ascii="仿宋_GB2312" w:hAnsi="仿宋_GB2312" w:eastAsia="仿宋_GB2312" w:cs="仿宋_GB2312"/>
          <w:color w:val="auto"/>
        </w:rPr>
        <w:t>个月，自货物进场验收合格之日起算；</w:t>
      </w:r>
    </w:p>
    <w:p w14:paraId="160195FC">
      <w:pPr>
        <w:pStyle w:val="11"/>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3.3质量保修期为</w:t>
      </w:r>
      <w:permStart w:id="33" w:edGrp="everyone"/>
      <w:r>
        <w:rPr>
          <w:rFonts w:hint="eastAsia" w:ascii="仿宋_GB2312" w:hAnsi="仿宋_GB2312" w:eastAsia="仿宋_GB2312" w:cs="仿宋_GB2312"/>
          <w:color w:val="auto"/>
          <w:u w:val="single"/>
        </w:rPr>
        <w:t xml:space="preserve">   /   </w:t>
      </w:r>
      <w:permEnd w:id="33"/>
      <w:r>
        <w:rPr>
          <w:rFonts w:hint="eastAsia" w:ascii="仿宋_GB2312" w:hAnsi="仿宋_GB2312" w:eastAsia="仿宋_GB2312" w:cs="仿宋_GB2312"/>
          <w:color w:val="auto"/>
        </w:rPr>
        <w:t>个月，从工程（送货地工程）竣工验收合格之日（以业主颁发竣工证书所载日期为准）起计算；</w:t>
      </w:r>
    </w:p>
    <w:p w14:paraId="55E3AA4E">
      <w:pPr>
        <w:pStyle w:val="11"/>
        <w:spacing w:line="400" w:lineRule="atLeast"/>
        <w:ind w:firstLine="48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1A09504C">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9" w:name="_Toc3621"/>
      <w:bookmarkStart w:id="20" w:name="_Toc12481"/>
      <w:bookmarkStart w:id="21" w:name="_Toc22036"/>
      <w:r>
        <w:rPr>
          <w:rFonts w:hint="eastAsia" w:ascii="仿宋_GB2312" w:hAnsi="仿宋_GB2312" w:eastAsia="仿宋_GB2312" w:cs="仿宋_GB2312"/>
          <w:b/>
          <w:bCs/>
          <w:color w:val="000000" w:themeColor="text1"/>
          <w14:textFill>
            <w14:solidFill>
              <w14:schemeClr w14:val="tx1"/>
            </w14:solidFill>
          </w14:textFill>
        </w:rPr>
        <w:t>货物验收</w:t>
      </w:r>
      <w:bookmarkEnd w:id="19"/>
      <w:bookmarkEnd w:id="20"/>
      <w:bookmarkEnd w:id="21"/>
    </w:p>
    <w:p w14:paraId="725A44E7">
      <w:pPr>
        <w:pStyle w:val="11"/>
        <w:numPr>
          <w:ilvl w:val="0"/>
          <w:numId w:val="3"/>
        </w:numPr>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验收人员：</w:t>
      </w:r>
      <w:r>
        <w:rPr>
          <w:rFonts w:hint="eastAsia" w:ascii="仿宋_GB2312" w:hAnsi="仿宋_GB2312" w:eastAsia="仿宋_GB2312" w:cs="仿宋_GB2312"/>
          <w:color w:val="auto"/>
        </w:rPr>
        <w:t>货物进场需由甲方物资管理人员（不少于2人）、</w:t>
      </w:r>
      <w:bookmarkStart w:id="22" w:name="_Hlk127189311"/>
      <w:r>
        <w:rPr>
          <w:rFonts w:hint="eastAsia" w:ascii="仿宋_GB2312" w:hAnsi="仿宋_GB2312" w:eastAsia="仿宋_GB2312" w:cs="仿宋_GB2312"/>
          <w:color w:val="auto"/>
        </w:rPr>
        <w:t>现场责任</w:t>
      </w:r>
      <w:bookmarkEnd w:id="22"/>
      <w:r>
        <w:rPr>
          <w:rFonts w:hint="eastAsia" w:ascii="仿宋_GB2312" w:hAnsi="仿宋_GB2312" w:eastAsia="仿宋_GB2312" w:cs="仿宋_GB2312"/>
          <w:color w:val="auto"/>
        </w:rPr>
        <w:t>工程师、分包单位和乙方发货联系人共同完成现场验收，现场验收不代表货物质量合格，质量是否合格需要进一步复核确定。</w:t>
      </w:r>
    </w:p>
    <w:p w14:paraId="0C125532">
      <w:pPr>
        <w:pStyle w:val="11"/>
        <w:numPr>
          <w:ilvl w:val="0"/>
          <w:numId w:val="3"/>
        </w:numPr>
        <w:spacing w:line="400" w:lineRule="atLeast"/>
        <w:ind w:firstLine="482" w:firstLineChars="200"/>
        <w:jc w:val="both"/>
        <w:outlineLvl w:val="1"/>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验收方式：</w:t>
      </w:r>
      <w:r>
        <w:rPr>
          <w:rFonts w:hint="eastAsia" w:ascii="仿宋_GB2312" w:hAnsi="仿宋_GB2312" w:eastAsia="仿宋_GB2312" w:cs="仿宋_GB2312"/>
          <w:color w:val="000000" w:themeColor="text1"/>
          <w:u w:val="single"/>
          <w14:textFill>
            <w14:solidFill>
              <w14:schemeClr w14:val="tx1"/>
            </w14:solidFill>
          </w14:textFill>
        </w:rPr>
        <w:t>以智能地磅、云筑收验货系统为主要载体，结合视频监控系统，完成核对凭证、外观质量验收、数量验收和检测报告四步验收，甲方收货联系人出具过磅单、收料单，甲方收货联系人及乙方发货联系人双方签字后视为验收完成。</w:t>
      </w:r>
    </w:p>
    <w:p w14:paraId="365B1BA2">
      <w:pPr>
        <w:pStyle w:val="11"/>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数量验收：</w:t>
      </w:r>
    </w:p>
    <w:p w14:paraId="603FDFBB">
      <w:pPr>
        <w:pStyle w:val="11"/>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3.1数量验收方式：</w:t>
      </w:r>
      <w:r>
        <w:rPr>
          <w:rFonts w:hint="eastAsia" w:ascii="仿宋_GB2312" w:hAnsi="仿宋_GB2312" w:eastAsia="仿宋_GB2312" w:cs="仿宋_GB2312"/>
        </w:rPr>
        <w:t>甲乙双方在交货现场以</w:t>
      </w:r>
      <w:permStart w:id="34" w:edGrp="everyone"/>
      <w:r>
        <w:rPr>
          <w:rFonts w:hint="eastAsia" w:ascii="仿宋_GB2312" w:hAnsi="仿宋_GB2312" w:eastAsia="仿宋_GB2312" w:cs="仿宋_GB2312"/>
        </w:rPr>
        <w:sym w:font="Wingdings 2" w:char="F052"/>
      </w:r>
      <w:permEnd w:id="34"/>
      <w:r>
        <w:rPr>
          <w:rFonts w:hint="eastAsia" w:ascii="仿宋_GB2312" w:hAnsi="仿宋_GB2312" w:eastAsia="仿宋_GB2312" w:cs="仿宋_GB2312"/>
        </w:rPr>
        <w:t>过磅/</w:t>
      </w:r>
      <w:permStart w:id="35" w:edGrp="everyone"/>
      <w:r>
        <w:rPr>
          <w:rFonts w:hint="eastAsia" w:ascii="仿宋_GB2312" w:hAnsi="仿宋_GB2312" w:eastAsia="仿宋_GB2312" w:cs="仿宋_GB2312"/>
        </w:rPr>
        <w:t>□</w:t>
      </w:r>
      <w:permEnd w:id="35"/>
      <w:r>
        <w:rPr>
          <w:rFonts w:hint="eastAsia" w:ascii="仿宋_GB2312" w:hAnsi="仿宋_GB2312" w:eastAsia="仿宋_GB2312" w:cs="仿宋_GB2312"/>
        </w:rPr>
        <w:t xml:space="preserve"> 计件/</w:t>
      </w:r>
      <w:permStart w:id="36" w:edGrp="everyone"/>
      <w:r>
        <w:rPr>
          <w:rFonts w:hint="eastAsia" w:ascii="仿宋_GB2312" w:hAnsi="仿宋_GB2312" w:eastAsia="仿宋_GB2312" w:cs="仿宋_GB2312"/>
        </w:rPr>
        <w:t xml:space="preserve">□ </w:t>
      </w:r>
      <w:permEnd w:id="36"/>
      <w:r>
        <w:rPr>
          <w:rFonts w:hint="eastAsia" w:ascii="仿宋_GB2312" w:hAnsi="仿宋_GB2312" w:eastAsia="仿宋_GB2312" w:cs="仿宋_GB2312"/>
        </w:rPr>
        <w:t>检尺/</w:t>
      </w:r>
      <w:permStart w:id="37" w:edGrp="everyone"/>
      <w:r>
        <w:rPr>
          <w:rFonts w:hint="eastAsia" w:ascii="仿宋_GB2312" w:hAnsi="仿宋_GB2312" w:eastAsia="仿宋_GB2312" w:cs="仿宋_GB2312"/>
        </w:rPr>
        <w:t xml:space="preserve">□ </w:t>
      </w:r>
      <w:permEnd w:id="37"/>
      <w:r>
        <w:rPr>
          <w:rFonts w:hint="eastAsia" w:ascii="仿宋_GB2312" w:hAnsi="仿宋_GB2312" w:eastAsia="仿宋_GB2312" w:cs="仿宋_GB2312"/>
        </w:rPr>
        <w:t>其他计量方式</w:t>
      </w:r>
      <w:permStart w:id="38" w:edGrp="everyone"/>
      <w:r>
        <w:rPr>
          <w:rFonts w:hint="eastAsia" w:ascii="仿宋_GB2312" w:hAnsi="仿宋_GB2312" w:eastAsia="仿宋_GB2312" w:cs="仿宋_GB2312"/>
          <w:u w:val="single"/>
        </w:rPr>
        <w:t xml:space="preserve">    /    </w:t>
      </w:r>
      <w:permEnd w:id="38"/>
      <w:r>
        <w:rPr>
          <w:rFonts w:hint="eastAsia" w:ascii="仿宋_GB2312" w:hAnsi="仿宋_GB2312" w:eastAsia="仿宋_GB2312" w:cs="仿宋_GB2312"/>
        </w:rPr>
        <w:t>进行数量验收，乙方应对在甲方工地现场的数量验收数据进行确认。</w:t>
      </w:r>
    </w:p>
    <w:p w14:paraId="0D76E686">
      <w:pPr>
        <w:pStyle w:val="11"/>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rPr>
        <w:t>3.2数量验收凭据：</w:t>
      </w:r>
      <w:r>
        <w:rPr>
          <w:rFonts w:hint="eastAsia" w:ascii="仿宋_GB2312" w:hAnsi="仿宋_GB2312" w:eastAsia="仿宋_GB2312" w:cs="仿宋_GB2312"/>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25765123">
      <w:pPr>
        <w:pStyle w:val="11"/>
        <w:spacing w:line="400" w:lineRule="atLeast"/>
        <w:ind w:firstLine="482" w:firstLineChars="200"/>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b/>
          <w:bCs/>
        </w:rPr>
        <w:t>3.3数量争议：</w:t>
      </w:r>
      <w:r>
        <w:rPr>
          <w:rFonts w:hint="eastAsia" w:ascii="仿宋_GB2312" w:hAnsi="仿宋_GB2312" w:eastAsia="仿宋_GB2312" w:cs="仿宋_GB2312"/>
          <w:color w:val="000000" w:themeColor="text1"/>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14:textFill>
            <w14:solidFill>
              <w14:schemeClr w14:val="tx1"/>
            </w14:solidFill>
          </w14:textFill>
        </w:rPr>
        <w:t>。</w:t>
      </w:r>
    </w:p>
    <w:p w14:paraId="471376DE">
      <w:pPr>
        <w:pStyle w:val="11"/>
        <w:numPr>
          <w:ilvl w:val="0"/>
          <w:numId w:val="3"/>
        </w:numPr>
        <w:spacing w:line="400" w:lineRule="atLeast"/>
        <w:ind w:firstLine="482" w:firstLineChars="200"/>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质量验收：</w:t>
      </w:r>
    </w:p>
    <w:p w14:paraId="50C4039B">
      <w:pPr>
        <w:pStyle w:val="11"/>
        <w:spacing w:line="400" w:lineRule="atLeast"/>
        <w:ind w:firstLine="482" w:firstLineChars="200"/>
        <w:rPr>
          <w:rFonts w:hint="eastAsia" w:ascii="仿宋_GB2312" w:hAnsi="仿宋_GB2312" w:eastAsia="仿宋_GB2312" w:cs="仿宋_GB2312"/>
          <w:color w:val="FF0000"/>
        </w:rPr>
      </w:pPr>
      <w:r>
        <w:rPr>
          <w:rFonts w:hint="eastAsia" w:ascii="仿宋_GB2312" w:hAnsi="仿宋_GB2312" w:eastAsia="仿宋_GB2312" w:cs="仿宋_GB2312"/>
          <w:b/>
          <w:bCs/>
          <w:color w:val="000000" w:themeColor="text1"/>
          <w14:textFill>
            <w14:solidFill>
              <w14:schemeClr w14:val="tx1"/>
            </w14:solidFill>
          </w14:textFill>
        </w:rPr>
        <w:t>4.1外观验收：</w:t>
      </w:r>
      <w:r>
        <w:rPr>
          <w:rFonts w:hint="eastAsia" w:ascii="仿宋_GB2312" w:hAnsi="仿宋_GB2312" w:eastAsia="仿宋_GB2312" w:cs="仿宋_GB2312"/>
          <w:color w:val="000000" w:themeColor="text1"/>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0ACB2CCD">
      <w:pPr>
        <w:spacing w:line="400" w:lineRule="exact"/>
        <w:ind w:firstLine="482" w:firstLineChars="200"/>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4.2送样要求：</w:t>
      </w:r>
      <w:r>
        <w:rPr>
          <w:rFonts w:hint="eastAsia" w:ascii="仿宋_GB2312" w:hAnsi="仿宋_GB2312" w:eastAsia="仿宋_GB2312" w:cs="仿宋_GB2312"/>
          <w:sz w:val="24"/>
          <w:szCs w:val="24"/>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rPr>
        <w:t>等相关的技术质量资料。一旦甲、乙双方签约后且材料的样品得到甲方、业主及监理认可并且封存样品后，未经甲方、业主及监理同意，乙方不得作任何变更。</w:t>
      </w:r>
    </w:p>
    <w:p w14:paraId="2F825FA2">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rPr>
        <w:t>乙方</w:t>
      </w:r>
      <w:r>
        <w:rPr>
          <w:rFonts w:hint="eastAsia" w:ascii="仿宋_GB2312" w:hAnsi="仿宋_GB2312" w:eastAsia="仿宋_GB2312" w:cs="仿宋_GB2312"/>
          <w:b/>
          <w:bCs/>
          <w:color w:val="auto"/>
        </w:rPr>
        <w:t>按合同第二部分第二条违约条款</w:t>
      </w:r>
      <w:r>
        <w:rPr>
          <w:rFonts w:hint="eastAsia" w:ascii="仿宋_GB2312" w:hAnsi="仿宋_GB2312" w:eastAsia="仿宋_GB2312" w:cs="仿宋_GB2312"/>
          <w:b/>
          <w:bCs/>
        </w:rPr>
        <w:t>承担违约责任，并赔偿由此给甲方带来的全部经济损失</w:t>
      </w:r>
      <w:bookmarkEnd w:id="23"/>
      <w:r>
        <w:rPr>
          <w:rFonts w:hint="eastAsia" w:ascii="仿宋_GB2312" w:hAnsi="仿宋_GB2312" w:eastAsia="仿宋_GB2312" w:cs="仿宋_GB2312"/>
          <w:color w:val="000000" w:themeColor="text1"/>
          <w14:textFill>
            <w14:solidFill>
              <w14:schemeClr w14:val="tx1"/>
            </w14:solidFill>
          </w14:textFill>
        </w:rPr>
        <w:t>。</w:t>
      </w:r>
    </w:p>
    <w:p w14:paraId="379B954E">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4.3质量检测：</w:t>
      </w:r>
      <w:r>
        <w:rPr>
          <w:rFonts w:hint="eastAsia" w:ascii="仿宋_GB2312" w:hAnsi="仿宋_GB2312" w:eastAsia="仿宋_GB2312" w:cs="仿宋_GB2312"/>
          <w:color w:val="000000" w:themeColor="text1"/>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6BBA7CD">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82154D7">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4.4质量争议：</w:t>
      </w:r>
      <w:r>
        <w:rPr>
          <w:rFonts w:hint="eastAsia" w:ascii="仿宋_GB2312" w:hAnsi="仿宋_GB2312" w:eastAsia="仿宋_GB2312" w:cs="仿宋_GB2312"/>
          <w:color w:val="000000" w:themeColor="text1"/>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1C08F20">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133FA25C">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4.5更换原则：</w:t>
      </w:r>
      <w:r>
        <w:rPr>
          <w:rFonts w:hint="eastAsia" w:ascii="仿宋_GB2312" w:hAnsi="仿宋_GB2312" w:eastAsia="仿宋_GB2312" w:cs="仿宋_GB2312"/>
          <w:color w:val="000000" w:themeColor="text1"/>
          <w14:textFill>
            <w14:solidFill>
              <w14:schemeClr w14:val="tx1"/>
            </w14:solidFill>
          </w14:textFill>
        </w:rPr>
        <w:t>由于任何一方原因引起产品更换或补发的时间延长,均以不影响工程进度为原则，如造成影响，则由责任方承担由此导致的后果。</w:t>
      </w:r>
    </w:p>
    <w:p w14:paraId="0B444DD6">
      <w:pPr>
        <w:pStyle w:val="11"/>
        <w:spacing w:line="400" w:lineRule="atLeast"/>
        <w:ind w:firstLine="482" w:firstLineChars="200"/>
        <w:rPr>
          <w:rFonts w:hint="eastAsia"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4.6验收责任：</w:t>
      </w:r>
      <w:r>
        <w:rPr>
          <w:rFonts w:hint="eastAsia" w:ascii="仿宋_GB2312" w:hAnsi="仿宋_GB2312" w:eastAsia="仿宋_GB2312" w:cs="仿宋_GB2312"/>
          <w:color w:val="000000" w:themeColor="text1"/>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14:textFill>
            <w14:solidFill>
              <w14:schemeClr w14:val="tx1"/>
            </w14:solidFill>
          </w14:textFill>
        </w:rPr>
        <w:t>若由甲方先行承担的，甲方可在任何一笔货款支付中予以扣除，乙方对此不持</w:t>
      </w:r>
      <w:r>
        <w:rPr>
          <w:rFonts w:hint="eastAsia" w:ascii="仿宋_GB2312" w:hAnsi="仿宋_GB2312" w:eastAsia="仿宋_GB2312" w:cs="仿宋_GB2312"/>
          <w:b/>
          <w:bCs/>
        </w:rPr>
        <w:t>异议。</w:t>
      </w:r>
    </w:p>
    <w:p w14:paraId="566AB6E0">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color w:val="000000" w:themeColor="text1"/>
          <w14:textFill>
            <w14:solidFill>
              <w14:schemeClr w14:val="tx1"/>
            </w14:solidFill>
          </w14:textFill>
        </w:rPr>
        <w:t>4.7对于工程中的剩余或未使用到的货物在不严重影响外观、质量和功能的情况下甲方有权退货，退货原则上以合同约定的含税单价为准，确因商品特殊的（比如定制等），价格双方协商，协商不一致的，按照合同含税单价的</w:t>
      </w:r>
      <w:permStart w:id="41"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14:textFill>
            <w14:solidFill>
              <w14:schemeClr w14:val="tx1"/>
            </w14:solidFill>
          </w14:textFill>
        </w:rPr>
        <w:t>%退货，退货数量以实际数量为准。</w:t>
      </w:r>
    </w:p>
    <w:p w14:paraId="56F688B0">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4.8其他：</w:t>
      </w:r>
      <w:permStart w:id="42"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w:t>
      </w:r>
      <w:r>
        <w:rPr>
          <w:rFonts w:ascii="仿宋_GB2312" w:hAnsi="仿宋_GB2312" w:eastAsia="仿宋_GB2312" w:cs="仿宋_GB2312"/>
          <w:color w:val="000000" w:themeColor="text1"/>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14:textFill>
            <w14:solidFill>
              <w14:schemeClr w14:val="tx1"/>
            </w14:solidFill>
          </w14:textFill>
        </w:rPr>
        <w:t>。</w:t>
      </w:r>
    </w:p>
    <w:p w14:paraId="4AE6B58F">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货物结算</w:t>
      </w:r>
      <w:bookmarkEnd w:id="24"/>
      <w:bookmarkEnd w:id="25"/>
      <w:bookmarkEnd w:id="26"/>
    </w:p>
    <w:p w14:paraId="0FCFFED3">
      <w:pPr>
        <w:pStyle w:val="11"/>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结算周期：</w:t>
      </w:r>
    </w:p>
    <w:p w14:paraId="396FB041">
      <w:pPr>
        <w:pStyle w:val="11"/>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乙方每月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与甲方核对上月</w:t>
      </w:r>
      <w:r>
        <w:rPr>
          <w:rFonts w:hint="eastAsia" w:ascii="仿宋_GB2312" w:hAnsi="仿宋_GB2312" w:eastAsia="仿宋_GB2312" w:cs="仿宋_GB2312"/>
          <w:color w:val="000000" w:themeColor="text1"/>
          <w:u w:val="single"/>
          <w14:textFill>
            <w14:solidFill>
              <w14:schemeClr w14:val="tx1"/>
            </w14:solidFill>
          </w14:textFill>
        </w:rPr>
        <w:t>16日</w:t>
      </w:r>
      <w:r>
        <w:rPr>
          <w:rFonts w:hint="eastAsia" w:ascii="仿宋_GB2312" w:hAnsi="仿宋_GB2312" w:eastAsia="仿宋_GB2312" w:cs="仿宋_GB2312"/>
          <w:color w:val="000000" w:themeColor="text1"/>
          <w14:textFill>
            <w14:solidFill>
              <w14:schemeClr w14:val="tx1"/>
            </w14:solidFill>
          </w14:textFill>
        </w:rPr>
        <w:t>至本月</w:t>
      </w:r>
      <w:r>
        <w:rPr>
          <w:rFonts w:hint="eastAsia" w:ascii="仿宋_GB2312" w:hAnsi="仿宋_GB2312" w:eastAsia="仿宋_GB2312" w:cs="仿宋_GB2312"/>
          <w:color w:val="000000" w:themeColor="text1"/>
          <w:u w:val="single"/>
          <w14:textFill>
            <w14:solidFill>
              <w14:schemeClr w14:val="tx1"/>
            </w14:solidFill>
          </w14:textFill>
        </w:rPr>
        <w:t>15日</w:t>
      </w:r>
      <w:r>
        <w:rPr>
          <w:rFonts w:hint="eastAsia" w:ascii="仿宋_GB2312" w:hAnsi="仿宋_GB2312" w:eastAsia="仿宋_GB2312" w:cs="仿宋_GB2312"/>
          <w:color w:val="000000" w:themeColor="text1"/>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0CC99205">
      <w:pPr>
        <w:pStyle w:val="11"/>
        <w:numPr>
          <w:ilvl w:val="0"/>
          <w:numId w:val="4"/>
        </w:numPr>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结算流程：</w:t>
      </w:r>
    </w:p>
    <w:p w14:paraId="2BF38C94">
      <w:pPr>
        <w:pStyle w:val="11"/>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3964DD89">
      <w:pPr>
        <w:pStyle w:val="11"/>
        <w:numPr>
          <w:ilvl w:val="0"/>
          <w:numId w:val="4"/>
        </w:numPr>
        <w:spacing w:line="400" w:lineRule="atLeast"/>
        <w:ind w:firstLine="482"/>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9C42AC">
                                <w:pPr>
                                  <w:pStyle w:val="11"/>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5F7E6E">
                                <w:pPr>
                                  <w:pStyle w:val="11"/>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34821402">
                                <w:pPr>
                                  <w:pStyle w:val="11"/>
                                  <w:outlineLvl w:val="0"/>
                                  <w:rPr>
                                    <w:rFonts w:hint="eastAsia"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AB535">
                                <w:pPr>
                                  <w:pStyle w:val="11"/>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87DD8E">
                                <w:pPr>
                                  <w:pStyle w:val="11"/>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A9C42AC">
                          <w:pPr>
                            <w:pStyle w:val="11"/>
                            <w:jc w:val="center"/>
                            <w:outlineLvl w:val="0"/>
                            <w:rPr>
                              <w:rFonts w:hint="eastAsia"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25F7E6E">
                          <w:pPr>
                            <w:pStyle w:val="11"/>
                            <w:outlineLvl w:val="0"/>
                            <w:rPr>
                              <w:rFonts w:hint="eastAsia" w:ascii="仿宋_GB2312" w:hAnsi="仿宋_GB2312" w:eastAsia="仿宋_GB2312" w:cs="仿宋_GB2312"/>
                            </w:rPr>
                          </w:pPr>
                          <w:r>
                            <w:rPr>
                              <w:rFonts w:hint="eastAsia" w:ascii="仿宋_GB2312" w:hAnsi="仿宋_GB2312" w:eastAsia="仿宋_GB2312" w:cs="仿宋_GB2312"/>
                            </w:rPr>
                            <w:t>2.甲方结算人员生成过程结算资料，乙方签字盖章确认</w:t>
                          </w:r>
                        </w:p>
                        <w:p w14:paraId="34821402">
                          <w:pPr>
                            <w:pStyle w:val="11"/>
                            <w:outlineLvl w:val="0"/>
                            <w:rPr>
                              <w:rFonts w:hint="eastAsia"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0DAB535">
                          <w:pPr>
                            <w:pStyle w:val="11"/>
                            <w:outlineLvl w:val="0"/>
                            <w:rPr>
                              <w:rFonts w:hint="eastAsia" w:ascii="仿宋_GB2312" w:hAnsi="仿宋_GB2312" w:eastAsia="仿宋_GB2312" w:cs="仿宋_GB2312"/>
                            </w:rPr>
                          </w:pPr>
                          <w:r>
                            <w:rPr>
                              <w:rFonts w:hint="eastAsia" w:ascii="仿宋_GB2312" w:hAnsi="仿宋_GB2312" w:eastAsia="仿宋_GB2312" w:cs="仿宋_GB2312"/>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3E87DD8E">
                          <w:pPr>
                            <w:pStyle w:val="11"/>
                            <w:outlineLvl w:val="0"/>
                            <w:rPr>
                              <w:rFonts w:hint="eastAsia" w:ascii="仿宋_GB2312" w:hAnsi="仿宋_GB2312" w:eastAsia="仿宋_GB2312" w:cs="仿宋_GB2312"/>
                            </w:rPr>
                          </w:pPr>
                          <w:r>
                            <w:rPr>
                              <w:rFonts w:hint="eastAsia" w:ascii="仿宋_GB2312" w:hAnsi="仿宋_GB2312" w:eastAsia="仿宋_GB2312" w:cs="仿宋_GB2312"/>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14:textFill>
            <w14:solidFill>
              <w14:schemeClr w14:val="tx1"/>
            </w14:solidFill>
          </w14:textFill>
        </w:rPr>
        <w:t>增值税专用发票：</w:t>
      </w:r>
    </w:p>
    <w:p w14:paraId="6D93AD74">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3.1增值税票要求：</w:t>
      </w:r>
    </w:p>
    <w:p w14:paraId="55722F6E">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3.1.1税票信息：</w:t>
      </w:r>
      <w:r>
        <w:rPr>
          <w:rFonts w:hint="eastAsia" w:ascii="仿宋_GB2312" w:hAnsi="仿宋_GB2312" w:eastAsia="仿宋_GB2312" w:cs="仿宋_GB2312"/>
          <w:color w:val="000000" w:themeColor="text1"/>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43"/>
      <w:r>
        <w:rPr>
          <w:rFonts w:hint="eastAsia" w:ascii="仿宋_GB2312" w:hAnsi="仿宋_GB2312" w:eastAsia="仿宋_GB2312" w:cs="仿宋_GB2312"/>
          <w:color w:val="000000" w:themeColor="text1"/>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8926535">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3.1.2计税方式：</w:t>
      </w:r>
      <w:r>
        <w:rPr>
          <w:rFonts w:hint="eastAsia" w:ascii="仿宋_GB2312" w:hAnsi="仿宋_GB2312" w:eastAsia="仿宋_GB2312" w:cs="仿宋_GB2312"/>
          <w:color w:val="000000" w:themeColor="text1"/>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14:textFill>
            <w14:solidFill>
              <w14:schemeClr w14:val="tx1"/>
            </w14:solidFill>
          </w14:textFill>
        </w:rPr>
        <w:t>。</w:t>
      </w:r>
    </w:p>
    <w:p w14:paraId="4341585A">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3.1.3税票金额：</w:t>
      </w:r>
      <w:r>
        <w:rPr>
          <w:rFonts w:hint="eastAsia" w:ascii="仿宋_GB2312" w:hAnsi="仿宋_GB2312" w:eastAsia="仿宋_GB2312" w:cs="仿宋_GB2312"/>
          <w:color w:val="000000" w:themeColor="text1"/>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3CE75414">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3.1.4税率变化：</w:t>
      </w:r>
      <w:r>
        <w:rPr>
          <w:rFonts w:hint="eastAsia" w:ascii="仿宋_GB2312" w:hAnsi="仿宋_GB2312" w:eastAsia="仿宋_GB2312" w:cs="仿宋_GB2312"/>
          <w:color w:val="000000" w:themeColor="text1"/>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119165E0">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3.2 税票丢失：</w:t>
      </w:r>
      <w:r>
        <w:rPr>
          <w:rFonts w:hint="eastAsia" w:ascii="仿宋_GB2312" w:hAnsi="仿宋_GB2312" w:eastAsia="仿宋_GB2312" w:cs="仿宋_GB2312"/>
          <w:color w:val="000000" w:themeColor="text1"/>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11FDF75A">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3.3税务信息：</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1B65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5706FB48">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14:textFill>
                  <w14:solidFill>
                    <w14:schemeClr w14:val="tx1"/>
                  </w14:solidFill>
                </w14:textFill>
              </w:rPr>
              <w:t>甲方</w:t>
            </w:r>
          </w:p>
        </w:tc>
        <w:tc>
          <w:tcPr>
            <w:tcW w:w="1845" w:type="dxa"/>
            <w:tcBorders>
              <w:top w:val="single" w:color="auto" w:sz="12" w:space="0"/>
            </w:tcBorders>
            <w:vAlign w:val="bottom"/>
          </w:tcPr>
          <w:p w14:paraId="41E2CCDA">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single" w:color="auto" w:sz="12" w:space="0"/>
              <w:right w:val="single" w:color="auto" w:sz="12" w:space="0"/>
            </w:tcBorders>
          </w:tcPr>
          <w:p w14:paraId="34D99CEA">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中建路桥集团第四工程有限公司</w:t>
            </w:r>
          </w:p>
        </w:tc>
      </w:tr>
      <w:tr w14:paraId="4C3E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222DE1F5">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55422D9F">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66DD20C0">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一般纳税人</w:t>
            </w:r>
          </w:p>
        </w:tc>
      </w:tr>
      <w:tr w14:paraId="32E9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C22C9A2">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2D9E0360">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21F44435">
            <w:pPr>
              <w:spacing w:line="5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9113050056736039XB</w:t>
            </w:r>
          </w:p>
        </w:tc>
      </w:tr>
      <w:tr w14:paraId="0CB9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E11C331">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4A79FC34">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tcPr>
          <w:p w14:paraId="44CD22B8">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河南省郑州航空港经济综合实验区云港路世航之窗B座911室、</w:t>
            </w:r>
            <w:r>
              <w:rPr>
                <w:rFonts w:ascii="仿宋_GB2312" w:hAnsi="仿宋_GB2312" w:eastAsia="仿宋_GB2312" w:cs="仿宋_GB2312"/>
                <w:color w:val="000000" w:themeColor="text1"/>
                <w:sz w:val="24"/>
                <w:szCs w:val="24"/>
                <w14:textFill>
                  <w14:solidFill>
                    <w14:schemeClr w14:val="tx1"/>
                  </w14:solidFill>
                </w14:textFill>
              </w:rPr>
              <w:t>0371-55027600</w:t>
            </w:r>
          </w:p>
        </w:tc>
      </w:tr>
      <w:tr w14:paraId="7682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CFF8525">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vAlign w:val="bottom"/>
          </w:tcPr>
          <w:p w14:paraId="01A3B15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right w:val="single" w:color="auto" w:sz="12" w:space="0"/>
            </w:tcBorders>
          </w:tcPr>
          <w:p w14:paraId="7FD7025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交通银行郑州中原中路支行</w:t>
            </w:r>
            <w:r>
              <w:rPr>
                <w:rFonts w:ascii="仿宋_GB2312" w:hAnsi="仿宋_GB2312" w:eastAsia="仿宋_GB2312" w:cs="仿宋_GB2312"/>
                <w:color w:val="000000" w:themeColor="text1"/>
                <w:sz w:val="24"/>
                <w:szCs w:val="24"/>
                <w14:textFill>
                  <w14:solidFill>
                    <w14:schemeClr w14:val="tx1"/>
                  </w14:solidFill>
                </w14:textFill>
              </w:rPr>
              <w:t>411152999011002693623</w:t>
            </w:r>
          </w:p>
        </w:tc>
      </w:tr>
      <w:tr w14:paraId="5A42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0873693E">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p>
        </w:tc>
        <w:tc>
          <w:tcPr>
            <w:tcW w:w="1845" w:type="dxa"/>
            <w:tcBorders>
              <w:bottom w:val="double" w:color="auto" w:sz="4" w:space="0"/>
            </w:tcBorders>
            <w:vAlign w:val="bottom"/>
          </w:tcPr>
          <w:p w14:paraId="4E991D2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      注</w:t>
            </w:r>
          </w:p>
          <w:p w14:paraId="630052C2"/>
        </w:tc>
        <w:tc>
          <w:tcPr>
            <w:tcW w:w="6143" w:type="dxa"/>
            <w:tcBorders>
              <w:bottom w:val="double" w:color="auto" w:sz="4" w:space="0"/>
              <w:right w:val="single" w:color="auto" w:sz="12" w:space="0"/>
            </w:tcBorders>
          </w:tcPr>
          <w:p w14:paraId="1E73C468">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r>
      <w:tr w14:paraId="2F86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436D42EB">
            <w:pPr>
              <w:snapToGrid w:val="0"/>
              <w:spacing w:line="400" w:lineRule="atLeast"/>
              <w:contextualSpacing/>
              <w:jc w:val="center"/>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乙方</w:t>
            </w:r>
          </w:p>
        </w:tc>
        <w:tc>
          <w:tcPr>
            <w:tcW w:w="1845" w:type="dxa"/>
            <w:tcBorders>
              <w:top w:val="double" w:color="auto" w:sz="4" w:space="0"/>
            </w:tcBorders>
            <w:vAlign w:val="bottom"/>
          </w:tcPr>
          <w:p w14:paraId="51ACF94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名      称</w:t>
            </w:r>
          </w:p>
        </w:tc>
        <w:tc>
          <w:tcPr>
            <w:tcW w:w="6143" w:type="dxa"/>
            <w:tcBorders>
              <w:top w:val="double" w:color="auto" w:sz="4" w:space="0"/>
              <w:right w:val="single" w:color="auto" w:sz="12" w:space="0"/>
            </w:tcBorders>
          </w:tcPr>
          <w:p w14:paraId="73E4E732">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381C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93C358">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4FB9DE56">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纳税人身份</w:t>
            </w:r>
          </w:p>
        </w:tc>
        <w:tc>
          <w:tcPr>
            <w:tcW w:w="6143" w:type="dxa"/>
            <w:tcBorders>
              <w:right w:val="single" w:color="auto" w:sz="12" w:space="0"/>
            </w:tcBorders>
          </w:tcPr>
          <w:p w14:paraId="28935B24">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5D80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E3700F4">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0F2C5D85">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纳税人识别号</w:t>
            </w:r>
          </w:p>
        </w:tc>
        <w:tc>
          <w:tcPr>
            <w:tcW w:w="6143" w:type="dxa"/>
            <w:tcBorders>
              <w:right w:val="single" w:color="auto" w:sz="12" w:space="0"/>
            </w:tcBorders>
          </w:tcPr>
          <w:p w14:paraId="340C78BB">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tr w14:paraId="668E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20A34ED">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vAlign w:val="bottom"/>
          </w:tcPr>
          <w:p w14:paraId="7C9D2F47">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地 址、电 话</w:t>
            </w:r>
          </w:p>
        </w:tc>
        <w:tc>
          <w:tcPr>
            <w:tcW w:w="6143" w:type="dxa"/>
            <w:tcBorders>
              <w:right w:val="single" w:color="auto" w:sz="12" w:space="0"/>
            </w:tcBorders>
            <w:vAlign w:val="bottom"/>
          </w:tcPr>
          <w:p w14:paraId="352BA610">
            <w:pPr>
              <w:pStyle w:val="11"/>
              <w:jc w:val="both"/>
              <w:rPr>
                <w:rFonts w:hint="eastAsia" w:ascii="仿宋_GB2312" w:hAnsi="仿宋_GB2312" w:eastAsia="仿宋_GB2312" w:cs="仿宋_GB2312"/>
                <w:bCs/>
                <w:color w:val="000000" w:themeColor="text1"/>
                <w:kern w:val="2"/>
                <w:u w:val="single"/>
                <w14:textFill>
                  <w14:solidFill>
                    <w14:schemeClr w14:val="tx1"/>
                  </w14:solidFill>
                </w14:textFill>
              </w:rPr>
            </w:pPr>
            <w:r>
              <w:rPr>
                <w:rFonts w:hint="eastAsia" w:ascii="仿宋_GB2312" w:hAnsi="仿宋_GB2312" w:eastAsia="仿宋_GB2312" w:cs="仿宋_GB2312"/>
                <w:color w:val="000000" w:themeColor="text1"/>
                <w:u w:val="single"/>
                <w14:textFill>
                  <w14:solidFill>
                    <w14:schemeClr w14:val="tx1"/>
                  </w14:solidFill>
                </w14:textFill>
              </w:rPr>
              <w:t xml:space="preserve">                  </w:t>
            </w:r>
          </w:p>
        </w:tc>
      </w:tr>
      <w:tr w14:paraId="6DE3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045BE2AC">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p>
        </w:tc>
        <w:tc>
          <w:tcPr>
            <w:tcW w:w="1845" w:type="dxa"/>
            <w:tcBorders>
              <w:bottom w:val="single" w:color="auto" w:sz="12" w:space="0"/>
            </w:tcBorders>
            <w:vAlign w:val="bottom"/>
          </w:tcPr>
          <w:p w14:paraId="5413A2A5">
            <w:pPr>
              <w:snapToGrid w:val="0"/>
              <w:spacing w:line="400" w:lineRule="atLeas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开户行及账号</w:t>
            </w:r>
          </w:p>
        </w:tc>
        <w:tc>
          <w:tcPr>
            <w:tcW w:w="6143" w:type="dxa"/>
            <w:tcBorders>
              <w:bottom w:val="single" w:color="auto" w:sz="12" w:space="0"/>
              <w:right w:val="single" w:color="auto" w:sz="12" w:space="0"/>
            </w:tcBorders>
          </w:tcPr>
          <w:p w14:paraId="10537CB2">
            <w:pPr>
              <w:snapToGrid w:val="0"/>
              <w:spacing w:line="400" w:lineRule="atLeast"/>
              <w:contextualSpacing/>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tc>
      </w:tr>
      <w:permEnd w:id="45"/>
    </w:tbl>
    <w:p w14:paraId="4856B726">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任何一方如上述信息发生变更，应提前10日以书面方式通知另一方。如一方未按本合同规定通知而使另一方遭受损失的，应予以赔偿。</w:t>
      </w:r>
    </w:p>
    <w:p w14:paraId="41BCF8DB">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14:textFill>
            <w14:solidFill>
              <w14:schemeClr w14:val="tx1"/>
            </w14:solidFill>
          </w14:textFill>
        </w:rPr>
        <w:t>货物付款</w:t>
      </w:r>
      <w:bookmarkEnd w:id="28"/>
      <w:bookmarkEnd w:id="29"/>
      <w:bookmarkEnd w:id="30"/>
    </w:p>
    <w:p w14:paraId="09A3D16A">
      <w:pPr>
        <w:pStyle w:val="11"/>
        <w:spacing w:line="400" w:lineRule="atLeast"/>
        <w:ind w:firstLine="482" w:firstLineChars="200"/>
        <w:jc w:val="both"/>
        <w:outlineLvl w:val="1"/>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1、支付周期及支付比例：</w:t>
      </w:r>
      <w:r>
        <w:rPr>
          <w:rFonts w:hint="eastAsia" w:ascii="仿宋_GB2312" w:hAnsi="仿宋_GB2312" w:eastAsia="仿宋_GB2312" w:cs="仿宋_GB2312"/>
          <w:color w:val="000000" w:themeColor="text1"/>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u w:val="single"/>
          <w14:textFill>
            <w14:solidFill>
              <w14:schemeClr w14:val="tx1"/>
            </w14:solidFill>
          </w14:textFill>
        </w:rPr>
        <w:t xml:space="preserve"> 1.1 </w:t>
      </w:r>
      <w:permEnd w:id="46"/>
      <w:r>
        <w:rPr>
          <w:rFonts w:hint="eastAsia" w:ascii="仿宋_GB2312" w:hAnsi="仿宋_GB2312" w:eastAsia="仿宋_GB2312" w:cs="仿宋_GB2312"/>
          <w:color w:val="000000" w:themeColor="text1"/>
          <w14:textFill>
            <w14:solidFill>
              <w14:schemeClr w14:val="tx1"/>
            </w14:solidFill>
          </w14:textFill>
        </w:rPr>
        <w:t>条付款条件：</w:t>
      </w:r>
    </w:p>
    <w:p w14:paraId="6CA5798A">
      <w:pPr>
        <w:pStyle w:val="11"/>
        <w:spacing w:line="400" w:lineRule="atLeast"/>
        <w:ind w:firstLine="480" w:firstLineChars="200"/>
        <w:jc w:val="both"/>
        <w:rPr>
          <w:rFonts w:hint="eastAsia" w:ascii="仿宋_GB2312" w:hAnsi="仿宋_GB2312" w:eastAsia="仿宋_GB2312" w:cs="仿宋_GB2312"/>
          <w:color w:val="000000" w:themeColor="text1"/>
          <w:u w:val="single"/>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1.1本合同无预付款，货款来源于项目工程结算款。</w:t>
      </w:r>
      <w:r>
        <w:rPr>
          <w:rFonts w:hint="eastAsia" w:ascii="仿宋_GB2312" w:hAnsi="仿宋_GB2312" w:eastAsia="仿宋_GB2312" w:cs="仿宋_GB2312"/>
          <w:b/>
          <w:bCs/>
          <w:color w:val="000000" w:themeColor="text1"/>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u w:val="single"/>
          <w14:textFill>
            <w14:solidFill>
              <w14:schemeClr w14:val="tx1"/>
            </w14:solidFill>
          </w14:textFill>
        </w:rPr>
        <w:t xml:space="preserve"> 1  </w:t>
      </w:r>
      <w:permEnd w:id="47"/>
      <w:r>
        <w:rPr>
          <w:rFonts w:hint="eastAsia" w:ascii="仿宋_GB2312" w:hAnsi="仿宋_GB2312" w:eastAsia="仿宋_GB2312" w:cs="仿宋_GB2312"/>
          <w:color w:val="000000" w:themeColor="text1"/>
          <w14:textFill>
            <w14:solidFill>
              <w14:schemeClr w14:val="tx1"/>
            </w14:solidFill>
          </w14:textFill>
        </w:rPr>
        <w:t>个月内支付当期结算货款的</w:t>
      </w:r>
      <w:permStart w:id="48" w:edGrp="everyone"/>
      <w:r>
        <w:rPr>
          <w:rFonts w:hint="eastAsia" w:ascii="仿宋_GB2312" w:hAnsi="仿宋_GB2312" w:eastAsia="仿宋_GB2312" w:cs="仿宋_GB2312"/>
          <w:color w:val="000000" w:themeColor="text1"/>
          <w:u w:val="single"/>
          <w14:textFill>
            <w14:solidFill>
              <w14:schemeClr w14:val="tx1"/>
            </w14:solidFill>
          </w14:textFill>
        </w:rPr>
        <w:t xml:space="preserve"> 70   </w:t>
      </w:r>
      <w:permEnd w:id="48"/>
      <w:r>
        <w:rPr>
          <w:rFonts w:hint="eastAsia" w:ascii="仿宋_GB2312" w:hAnsi="仿宋_GB2312" w:eastAsia="仿宋_GB2312" w:cs="仿宋_GB2312"/>
          <w:color w:val="000000" w:themeColor="text1"/>
          <w14:textFill>
            <w14:solidFill>
              <w14:schemeClr w14:val="tx1"/>
            </w14:solidFill>
          </w14:textFill>
        </w:rPr>
        <w:t>%，</w:t>
      </w:r>
      <w:permStart w:id="49" w:edGrp="everyone"/>
      <w:r>
        <w:rPr>
          <w:rFonts w:hint="eastAsia" w:ascii="仿宋_GB2312" w:hAnsi="仿宋_GB2312" w:eastAsia="仿宋_GB2312" w:cs="仿宋_GB2312"/>
          <w:color w:val="000000" w:themeColor="text1"/>
          <w:u w:val="single"/>
          <w14:textFill>
            <w14:solidFill>
              <w14:schemeClr w14:val="tx1"/>
            </w14:solidFill>
          </w14:textFill>
        </w:rPr>
        <w:t xml:space="preserve"> 3  </w:t>
      </w:r>
      <w:permEnd w:id="49"/>
      <w:r>
        <w:rPr>
          <w:rFonts w:hint="eastAsia" w:ascii="仿宋_GB2312" w:hAnsi="仿宋_GB2312" w:eastAsia="仿宋_GB2312" w:cs="仿宋_GB2312"/>
          <w:color w:val="000000" w:themeColor="text1"/>
          <w14:textFill>
            <w14:solidFill>
              <w14:schemeClr w14:val="tx1"/>
            </w14:solidFill>
          </w14:textFill>
        </w:rPr>
        <w:t>个月内支付至当期结算货款的</w:t>
      </w:r>
      <w:permStart w:id="50" w:edGrp="everyone"/>
      <w:r>
        <w:rPr>
          <w:rFonts w:hint="eastAsia" w:ascii="仿宋_GB2312" w:hAnsi="仿宋_GB2312" w:eastAsia="仿宋_GB2312" w:cs="仿宋_GB2312"/>
          <w:color w:val="000000" w:themeColor="text1"/>
          <w:u w:val="single"/>
          <w14:textFill>
            <w14:solidFill>
              <w14:schemeClr w14:val="tx1"/>
            </w14:solidFill>
          </w14:textFill>
        </w:rPr>
        <w:t xml:space="preserve"> 90  </w:t>
      </w:r>
      <w:permEnd w:id="50"/>
      <w:r>
        <w:rPr>
          <w:rFonts w:hint="eastAsia" w:ascii="仿宋_GB2312" w:hAnsi="仿宋_GB2312" w:eastAsia="仿宋_GB2312" w:cs="仿宋_GB2312"/>
          <w:color w:val="000000" w:themeColor="text1"/>
          <w14:textFill>
            <w14:solidFill>
              <w14:schemeClr w14:val="tx1"/>
            </w14:solidFill>
          </w14:textFill>
        </w:rPr>
        <w:t>%，余下</w:t>
      </w:r>
      <w:permStart w:id="51" w:edGrp="everyone"/>
      <w:r>
        <w:rPr>
          <w:rFonts w:hint="eastAsia" w:ascii="仿宋_GB2312" w:hAnsi="仿宋_GB2312" w:eastAsia="仿宋_GB2312" w:cs="仿宋_GB2312"/>
          <w:color w:val="000000" w:themeColor="text1"/>
          <w:u w:val="single"/>
          <w14:textFill>
            <w14:solidFill>
              <w14:schemeClr w14:val="tx1"/>
            </w14:solidFill>
          </w14:textFill>
        </w:rPr>
        <w:t xml:space="preserve"> 10  </w:t>
      </w:r>
      <w:permEnd w:id="51"/>
      <w:r>
        <w:rPr>
          <w:rFonts w:hint="eastAsia" w:ascii="仿宋_GB2312" w:hAnsi="仿宋_GB2312" w:eastAsia="仿宋_GB2312" w:cs="仿宋_GB2312"/>
          <w:color w:val="000000" w:themeColor="text1"/>
          <w14:textFill>
            <w14:solidFill>
              <w14:schemeClr w14:val="tx1"/>
            </w14:solidFill>
          </w14:textFill>
        </w:rPr>
        <w:t>%结算货款在乙方供货完毕、办理完最终结算后</w:t>
      </w:r>
      <w:permStart w:id="52" w:edGrp="everyone"/>
      <w:r>
        <w:rPr>
          <w:rFonts w:hint="eastAsia" w:ascii="仿宋_GB2312" w:hAnsi="仿宋_GB2312" w:eastAsia="仿宋_GB2312" w:cs="仿宋_GB2312"/>
          <w:color w:val="000000" w:themeColor="text1"/>
          <w:u w:val="single"/>
          <w14:textFill>
            <w14:solidFill>
              <w14:schemeClr w14:val="tx1"/>
            </w14:solidFill>
          </w14:textFill>
        </w:rPr>
        <w:t xml:space="preserve"> 60  </w:t>
      </w:r>
      <w:permEnd w:id="52"/>
      <w:r>
        <w:rPr>
          <w:rFonts w:hint="eastAsia" w:ascii="仿宋_GB2312" w:hAnsi="仿宋_GB2312" w:eastAsia="仿宋_GB2312" w:cs="仿宋_GB2312"/>
          <w:color w:val="000000" w:themeColor="text1"/>
          <w14:textFill>
            <w14:solidFill>
              <w14:schemeClr w14:val="tx1"/>
            </w14:solidFill>
          </w14:textFill>
        </w:rPr>
        <w:t>日内付清。以此类推。</w:t>
      </w:r>
    </w:p>
    <w:p w14:paraId="23349F84">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1.2其他：</w:t>
      </w:r>
      <w:permStart w:id="53"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3"/>
    </w:p>
    <w:p w14:paraId="34D85283">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2、支付形式：</w:t>
      </w:r>
      <w:r>
        <w:rPr>
          <w:rFonts w:hint="eastAsia" w:ascii="仿宋_GB2312" w:hAnsi="仿宋_GB2312" w:eastAsia="仿宋_GB2312" w:cs="仿宋_GB2312"/>
          <w:color w:val="000000" w:themeColor="text1"/>
          <w14:textFill>
            <w14:solidFill>
              <w14:schemeClr w14:val="tx1"/>
            </w14:solidFill>
          </w14:textFill>
        </w:rPr>
        <w:t>本合同付款形式适用第</w:t>
      </w:r>
      <w:r>
        <w:rPr>
          <w:rFonts w:hint="eastAsia" w:ascii="仿宋_GB2312" w:hAnsi="仿宋_GB2312" w:eastAsia="仿宋_GB2312" w:cs="仿宋_GB2312"/>
          <w:color w:val="000000" w:themeColor="text1"/>
          <w:u w:val="single"/>
          <w14:textFill>
            <w14:solidFill>
              <w14:schemeClr w14:val="tx1"/>
            </w14:solidFill>
          </w14:textFill>
        </w:rPr>
        <w:t xml:space="preserve">   2.2  </w:t>
      </w:r>
      <w:r>
        <w:rPr>
          <w:rFonts w:hint="eastAsia" w:ascii="仿宋_GB2312" w:hAnsi="仿宋_GB2312" w:eastAsia="仿宋_GB2312" w:cs="仿宋_GB2312"/>
          <w:color w:val="000000" w:themeColor="text1"/>
          <w14:textFill>
            <w14:solidFill>
              <w14:schemeClr w14:val="tx1"/>
            </w14:solidFill>
          </w14:textFill>
        </w:rPr>
        <w:t>条；</w:t>
      </w:r>
    </w:p>
    <w:p w14:paraId="69E230F9">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2.1货币付款。</w:t>
      </w:r>
    </w:p>
    <w:p w14:paraId="257DA1F1">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u w:val="single"/>
          <w14:textFill>
            <w14:solidFill>
              <w14:schemeClr w14:val="tx1"/>
            </w14:solidFill>
          </w14:textFill>
        </w:rPr>
        <w:t xml:space="preserve"> 30   </w:t>
      </w:r>
      <w:permEnd w:id="54"/>
      <w:r>
        <w:rPr>
          <w:rFonts w:hint="eastAsia" w:ascii="仿宋_GB2312" w:hAnsi="仿宋_GB2312" w:eastAsia="仿宋_GB2312" w:cs="仿宋_GB2312"/>
          <w:color w:val="000000" w:themeColor="text1"/>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FBA5A17">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3、付款条件：乙方向甲方申请付款时，应先行满足以下条件：</w:t>
      </w:r>
    </w:p>
    <w:p w14:paraId="0B1EFF66">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3.1所供产品无质量缺陷，乙方无违约记录，产品出厂合格证明以及检测报告完整无误。</w:t>
      </w:r>
    </w:p>
    <w:p w14:paraId="3F3893C4">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3.2乙方申请付款依据的结算单已由甲方最终有效确认，付款期限已经届满。</w:t>
      </w:r>
    </w:p>
    <w:p w14:paraId="7889AA61">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3.3乙方已向甲方提供与结算等额增值税专用发票，且甲方已完成发票认证。</w:t>
      </w:r>
    </w:p>
    <w:p w14:paraId="545A45D2">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在支付条件达成的基础上，甲方按以上方式向乙方付款，预付款不适用上述条件。</w:t>
      </w:r>
    </w:p>
    <w:p w14:paraId="2635696D">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5"/>
    </w:p>
    <w:p w14:paraId="6A1A2FC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开户银行：</w:t>
      </w:r>
      <w:permStart w:id="56"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6"/>
    </w:p>
    <w:p w14:paraId="09A87D9A">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银行帐号：</w:t>
      </w:r>
      <w:permStart w:id="5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7"/>
    </w:p>
    <w:p w14:paraId="1FE74448">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乙方指定</w:t>
      </w:r>
      <w:permStart w:id="5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14:textFill>
            <w14:solidFill>
              <w14:schemeClr w14:val="tx1"/>
            </w14:solidFill>
          </w14:textFill>
        </w:rPr>
        <w:t>（身份证号：</w:t>
      </w:r>
      <w:permStart w:id="5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14:textFill>
            <w14:solidFill>
              <w14:schemeClr w14:val="tx1"/>
            </w14:solidFill>
          </w14:textFill>
        </w:rPr>
        <w:t>）作为收款经办人，同甲方相关人员沟通洽商付款具体事宜。</w:t>
      </w:r>
    </w:p>
    <w:p w14:paraId="06332EA4">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甲方仅向乙方本单位名下银行账户支付价款，未经甲方同意，乙方不得委托任何第三方代为收款，否则甲方有权拒绝付款。</w:t>
      </w:r>
    </w:p>
    <w:p w14:paraId="7490EAB2">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5、账户变动：</w:t>
      </w:r>
      <w:r>
        <w:rPr>
          <w:rFonts w:hint="eastAsia" w:ascii="仿宋_GB2312" w:hAnsi="仿宋_GB2312" w:eastAsia="仿宋_GB2312" w:cs="仿宋_GB2312"/>
          <w:color w:val="000000" w:themeColor="text1"/>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76889371">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6、履约保证金缴纳及退还：</w:t>
      </w:r>
    </w:p>
    <w:p w14:paraId="75393B23">
      <w:pPr>
        <w:spacing w:line="400" w:lineRule="atLeas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6.1.1      </w:t>
      </w:r>
      <w:permEnd w:id="62"/>
      <w:r>
        <w:rPr>
          <w:rFonts w:hint="eastAsia" w:ascii="仿宋_GB2312" w:hAnsi="仿宋_GB2312" w:eastAsia="仿宋_GB2312" w:cs="仿宋_GB2312"/>
          <w:color w:val="000000" w:themeColor="text1"/>
          <w:sz w:val="24"/>
          <w:szCs w:val="24"/>
          <w14:textFill>
            <w14:solidFill>
              <w14:schemeClr w14:val="tx1"/>
            </w14:solidFill>
          </w14:textFill>
        </w:rPr>
        <w:t>种：</w:t>
      </w:r>
    </w:p>
    <w:p w14:paraId="2F9EB590">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6.1.1无需缴纳履约保证金。</w:t>
      </w:r>
    </w:p>
    <w:p w14:paraId="76A814EC">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6.1.2银行转账：乙方未参与甲方其他在建项目，采用银行转账方式缴纳履约保证金，并由项目相应会计根据财务部规定办理相应流程，开具证明件。</w:t>
      </w:r>
    </w:p>
    <w:p w14:paraId="2937AA1B">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578597C3">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6.1.4履约保函（只接受银行保函，不接受商业保函）。</w:t>
      </w:r>
    </w:p>
    <w:p w14:paraId="3B1BF865">
      <w:pPr>
        <w:spacing w:line="400" w:lineRule="atLeast"/>
        <w:ind w:firstLine="480" w:firstLineChars="200"/>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6.1.5其他</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14:textFill>
            <w14:solidFill>
              <w14:schemeClr w14:val="tx1"/>
            </w14:solidFill>
          </w14:textFill>
        </w:rPr>
        <w:t>。</w:t>
      </w:r>
    </w:p>
    <w:p w14:paraId="3B150B64">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6.1.6履约保证金缴纳账户：</w:t>
      </w:r>
    </w:p>
    <w:p w14:paraId="3162C6DB">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中建路桥集团第四工程有限公司      </w:t>
      </w:r>
      <w:permEnd w:id="64"/>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35739CFF">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411152999011002693623</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2F5AA985">
      <w:pPr>
        <w:spacing w:line="400" w:lineRule="atLeast"/>
        <w:ind w:left="120"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交通银行郑州中原中路支行        </w:t>
      </w:r>
      <w:permEnd w:id="66"/>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442626B6">
      <w:pPr>
        <w:pStyle w:val="11"/>
        <w:spacing w:line="400" w:lineRule="atLeast"/>
        <w:ind w:firstLine="482" w:firstLineChars="200"/>
        <w:rPr>
          <w:rFonts w:hint="eastAsia"/>
        </w:rPr>
      </w:pPr>
      <w:r>
        <w:rPr>
          <w:rFonts w:hint="eastAsia" w:ascii="仿宋_GB2312" w:hAnsi="仿宋_GB2312" w:eastAsia="仿宋_GB2312" w:cs="仿宋_GB2312"/>
          <w:b/>
          <w:bCs/>
          <w:color w:val="000000" w:themeColor="text1"/>
          <w14:textFill>
            <w14:solidFill>
              <w14:schemeClr w14:val="tx1"/>
            </w14:solidFill>
          </w14:textFill>
        </w:rPr>
        <w:t>6.2.履约保证金退还：</w:t>
      </w:r>
      <w:r>
        <w:rPr>
          <w:rFonts w:hint="eastAsia" w:ascii="仿宋_GB2312" w:hAnsi="仿宋_GB2312" w:eastAsia="仿宋_GB2312" w:cs="仿宋_GB2312"/>
          <w:color w:val="000000" w:themeColor="text1"/>
          <w:kern w:val="2"/>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u w:val="single"/>
          <w14:textFill>
            <w14:solidFill>
              <w14:schemeClr w14:val="tx1"/>
            </w14:solidFill>
          </w14:textFill>
        </w:rPr>
        <w:t xml:space="preserve">  60  </w:t>
      </w:r>
      <w:permEnd w:id="67"/>
      <w:r>
        <w:rPr>
          <w:rFonts w:hint="eastAsia" w:ascii="仿宋_GB2312" w:hAnsi="仿宋_GB2312" w:eastAsia="仿宋_GB2312" w:cs="仿宋_GB2312"/>
          <w:color w:val="000000" w:themeColor="text1"/>
          <w:kern w:val="2"/>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14:textFill>
            <w14:solidFill>
              <w14:schemeClr w14:val="tx1"/>
            </w14:solidFill>
          </w14:textFill>
        </w:rPr>
        <w:t>。</w:t>
      </w:r>
    </w:p>
    <w:p w14:paraId="06A7F454">
      <w:pPr>
        <w:spacing w:line="400" w:lineRule="atLeas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6.3已缴纳履约保证金的，如发生以下任何一种情况履约保证金不予退还：</w:t>
      </w:r>
    </w:p>
    <w:p w14:paraId="7454F6AE">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6.3.1无法正常供货的情况，包括任何原因的不供货或连续5日历天未能按甲方要求的数量供货。</w:t>
      </w:r>
    </w:p>
    <w:p w14:paraId="7A886BF1">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6.3.2供应的物资不符合国家、甲方、业主和监理相关标准和要求，且在规定时间内不予调换、处理的情况。</w:t>
      </w:r>
    </w:p>
    <w:p w14:paraId="5EA1EAC5">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6.3.3不服从甲方管理的。</w:t>
      </w:r>
    </w:p>
    <w:p w14:paraId="04B868E7">
      <w:pPr>
        <w:spacing w:line="400" w:lineRule="atLeas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6.3.4因乙方原因给甲方造成损失的。</w:t>
      </w:r>
    </w:p>
    <w:p w14:paraId="319D1786">
      <w:pPr>
        <w:spacing w:line="400" w:lineRule="atLeast"/>
        <w:ind w:firstLine="480" w:firstLineChars="200"/>
      </w:pPr>
      <w:r>
        <w:rPr>
          <w:rFonts w:hint="eastAsia" w:ascii="仿宋_GB2312" w:hAnsi="仿宋_GB2312" w:eastAsia="仿宋_GB2312" w:cs="仿宋_GB2312"/>
          <w:color w:val="000000" w:themeColor="text1"/>
          <w:sz w:val="24"/>
          <w:szCs w:val="24"/>
          <w14:textFill>
            <w14:solidFill>
              <w14:schemeClr w14:val="tx1"/>
            </w14:solidFill>
          </w14:textFill>
        </w:rPr>
        <w:t>6.3.5如履约保证金不足以弥补甲方损失，甲方有权要求相应补偿。</w:t>
      </w:r>
    </w:p>
    <w:p w14:paraId="729C2C98">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bookmarkStart w:id="31" w:name="_Toc10245"/>
      <w:r>
        <w:rPr>
          <w:rFonts w:hint="eastAsia" w:ascii="仿宋_GB2312" w:hAnsi="仿宋_GB2312" w:eastAsia="仿宋_GB2312" w:cs="仿宋_GB2312"/>
          <w:b/>
          <w:bCs/>
          <w:color w:val="000000" w:themeColor="text1"/>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6C67B6E8">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61E0CD80">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9、甲方拖欠线索受理联系人：</w:t>
      </w:r>
    </w:p>
    <w:p w14:paraId="0838A502">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张帆 </w:t>
      </w:r>
      <w:permEnd w:id="68"/>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18875720291  </w:t>
      </w:r>
      <w:permEnd w:id="69"/>
      <w:r>
        <w:rPr>
          <w:rFonts w:hint="eastAsia" w:ascii="仿宋_GB2312" w:hAnsi="仿宋_GB2312" w:eastAsia="仿宋_GB2312" w:cs="仿宋_GB2312"/>
          <w:b/>
          <w:bCs/>
          <w:color w:val="000000" w:themeColor="text1"/>
          <w:sz w:val="24"/>
          <w:szCs w:val="24"/>
          <w14:textFill>
            <w14:solidFill>
              <w14:schemeClr w14:val="tx1"/>
            </w14:solidFill>
          </w14:textFill>
        </w:rPr>
        <w:t xml:space="preserve">； </w:t>
      </w:r>
    </w:p>
    <w:p w14:paraId="001EFAB9">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肖龙    </w:t>
      </w:r>
      <w:permEnd w:id="70"/>
      <w:r>
        <w:rPr>
          <w:rFonts w:hint="eastAsia" w:ascii="仿宋_GB2312" w:hAnsi="仿宋_GB2312" w:eastAsia="仿宋_GB2312" w:cs="仿宋_GB2312"/>
          <w:b/>
          <w:bCs/>
          <w:color w:val="000000" w:themeColor="text1"/>
          <w:sz w:val="24"/>
          <w:szCs w:val="24"/>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ascii="仿宋_GB2312" w:hAnsi="仿宋_GB2312" w:eastAsia="仿宋_GB2312" w:cs="仿宋_GB2312"/>
          <w:b/>
          <w:bCs/>
          <w:color w:val="000000" w:themeColor="text1"/>
          <w:sz w:val="24"/>
          <w:szCs w:val="24"/>
          <w:u w:val="single"/>
          <w14:textFill>
            <w14:solidFill>
              <w14:schemeClr w14:val="tx1"/>
            </w14:solidFill>
          </w14:textFill>
        </w:rPr>
        <w:t>18531171027</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End w:id="71"/>
    </w:p>
    <w:p w14:paraId="3F853923">
      <w:pPr>
        <w:spacing w:line="480" w:lineRule="exact"/>
        <w:ind w:firstLine="482" w:firstLineChars="200"/>
        <w:rPr>
          <w:rFonts w:hint="eastAsia" w:ascii="仿宋_GB2312" w:hAnsi="仿宋_GB2312" w:eastAsia="仿宋_GB2312" w:cs="仿宋_GB2312"/>
          <w:b/>
          <w:bCs/>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ascii="仿宋_GB2312" w:hAnsi="仿宋_GB2312" w:eastAsia="仿宋_GB2312" w:cs="仿宋_GB2312"/>
          <w:b/>
          <w:bCs/>
          <w:color w:val="000000" w:themeColor="text1"/>
          <w:sz w:val="24"/>
          <w:szCs w:val="24"/>
          <w:u w:val="single"/>
          <w14:textFill>
            <w14:solidFill>
              <w14:schemeClr w14:val="tx1"/>
            </w14:solidFill>
          </w14:textFill>
        </w:rPr>
        <w:t>0371-55027809</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End w:id="72"/>
    </w:p>
    <w:p w14:paraId="74EDDAD1">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r>
        <w:rPr>
          <w:rFonts w:ascii="仿宋_GB2312" w:hAnsi="仿宋_GB2312" w:eastAsia="仿宋_GB2312" w:cs="仿宋_GB2312"/>
          <w:b/>
          <w:bCs/>
          <w:color w:val="000000" w:themeColor="text1"/>
          <w:sz w:val="24"/>
          <w:szCs w:val="24"/>
          <w:u w:val="single"/>
          <w14:textFill>
            <w14:solidFill>
              <w14:schemeClr w14:val="tx1"/>
            </w14:solidFill>
          </w14:textFill>
        </w:rPr>
        <w:t>1019070253 @qq.com</w:t>
      </w:r>
      <w:r>
        <w:rPr>
          <w:rFonts w:hint="eastAsia" w:ascii="仿宋_GB2312" w:hAnsi="仿宋_GB2312" w:eastAsia="仿宋_GB2312" w:cs="仿宋_GB2312"/>
          <w:b/>
          <w:bCs/>
          <w:color w:val="000000" w:themeColor="text1"/>
          <w:sz w:val="24"/>
          <w:szCs w:val="24"/>
          <w:u w:val="single"/>
          <w14:textFill>
            <w14:solidFill>
              <w14:schemeClr w14:val="tx1"/>
            </w14:solidFill>
          </w14:textFill>
        </w:rPr>
        <w:t xml:space="preserve"> </w:t>
      </w:r>
      <w:permEnd w:id="73"/>
    </w:p>
    <w:p w14:paraId="63F069C0">
      <w:pPr>
        <w:spacing w:line="480" w:lineRule="exact"/>
        <w:ind w:firstLine="482" w:firstLineChars="200"/>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云筑网中建系统账款投诉平台：https://ts.yzw.cn</w:t>
      </w:r>
    </w:p>
    <w:p w14:paraId="1915E543">
      <w:pPr>
        <w:pStyle w:val="11"/>
        <w:spacing w:line="400" w:lineRule="atLeast"/>
        <w:ind w:firstLine="482" w:firstLineChars="200"/>
        <w:rPr>
          <w:rFonts w:hint="eastAsia" w:ascii="仿宋_GB2312" w:hAnsi="仿宋_GB2312" w:eastAsia="仿宋_GB2312" w:cs="仿宋_GB2312"/>
          <w:b/>
          <w:bCs/>
          <w:color w:val="000000" w:themeColor="text1"/>
          <w:u w:val="single"/>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10、其他：</w:t>
      </w:r>
      <w:permStart w:id="74" w:edGrp="everyone"/>
      <w:r>
        <w:rPr>
          <w:rFonts w:hint="eastAsia" w:ascii="仿宋_GB2312" w:hAnsi="仿宋_GB2312" w:eastAsia="仿宋_GB2312" w:cs="仿宋_GB2312"/>
          <w:b/>
          <w:bCs/>
          <w:color w:val="000000" w:themeColor="text1"/>
          <w:u w:val="single"/>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14:textFill>
            <w14:solidFill>
              <w14:schemeClr w14:val="tx1"/>
            </w14:solidFill>
          </w14:textFill>
        </w:rPr>
        <w:t>。</w:t>
      </w:r>
    </w:p>
    <w:p w14:paraId="7808EE23">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通知与送达</w:t>
      </w:r>
      <w:bookmarkEnd w:id="31"/>
      <w:bookmarkEnd w:id="32"/>
      <w:bookmarkEnd w:id="33"/>
    </w:p>
    <w:p w14:paraId="09A4BAC4">
      <w:pPr>
        <w:pStyle w:val="11"/>
        <w:numPr>
          <w:ilvl w:val="0"/>
          <w:numId w:val="5"/>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本合同中涉及合同、文件、律师函、诉讼文书的送达地址或邮箱及法律后果作如下约定：</w:t>
      </w:r>
    </w:p>
    <w:p w14:paraId="0F9DA309">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14:textFill>
            <w14:solidFill>
              <w14:schemeClr w14:val="tx1"/>
            </w14:solidFill>
          </w14:textFill>
        </w:rPr>
        <w:t>；</w:t>
      </w:r>
    </w:p>
    <w:p w14:paraId="2D843BBB">
      <w:pPr>
        <w:pStyle w:val="11"/>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u w:val="single"/>
          <w14:textFill>
            <w14:solidFill>
              <w14:schemeClr w14:val="tx1"/>
            </w14:solidFill>
          </w14:textFill>
        </w:rPr>
        <w:t xml:space="preserve">  张帆18875720291</w:t>
      </w:r>
      <w:r>
        <w:rPr>
          <w:rFonts w:hint="eastAsia" w:ascii="仿宋_GB2312" w:hAnsi="仿宋_GB2312" w:eastAsia="仿宋_GB2312" w:cs="仿宋_GB2312"/>
          <w:color w:val="000000" w:themeColor="text1"/>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14:textFill>
            <w14:solidFill>
              <w14:schemeClr w14:val="tx1"/>
            </w14:solidFill>
          </w14:textFill>
        </w:rPr>
        <w:t>；邮箱：</w:t>
      </w:r>
      <w:permStart w:id="77"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14:textFill>
            <w14:solidFill>
              <w14:schemeClr w14:val="tx1"/>
            </w14:solidFill>
          </w14:textFill>
        </w:rPr>
        <w:t>；</w:t>
      </w:r>
    </w:p>
    <w:p w14:paraId="44F435E5">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14:textFill>
            <w14:solidFill>
              <w14:schemeClr w14:val="tx1"/>
            </w14:solidFill>
          </w14:textFill>
        </w:rPr>
        <w:t>；</w:t>
      </w:r>
    </w:p>
    <w:p w14:paraId="67C47E89">
      <w:pPr>
        <w:pStyle w:val="11"/>
        <w:spacing w:line="400" w:lineRule="atLeast"/>
        <w:ind w:firstLine="720" w:firstLineChars="3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14:textFill>
            <w14:solidFill>
              <w14:schemeClr w14:val="tx1"/>
            </w14:solidFill>
          </w14:textFill>
        </w:rPr>
        <w:t>；邮箱：</w:t>
      </w:r>
      <w:permStart w:id="80" w:edGrp="everyone"/>
      <w:r>
        <w:rPr>
          <w:rFonts w:hint="eastAsia" w:ascii="仿宋_GB2312" w:hAnsi="仿宋_GB2312" w:eastAsia="仿宋_GB2312" w:cs="仿宋_GB2312"/>
          <w:color w:val="000000" w:themeColor="text1"/>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14:textFill>
            <w14:solidFill>
              <w14:schemeClr w14:val="tx1"/>
            </w14:solidFill>
          </w14:textFill>
        </w:rPr>
        <w:t>；</w:t>
      </w:r>
    </w:p>
    <w:p w14:paraId="783740A2">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7AB77225">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6AA2F9D6">
      <w:pPr>
        <w:pStyle w:val="11"/>
        <w:numPr>
          <w:ilvl w:val="0"/>
          <w:numId w:val="1"/>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34" w:name="_Toc26478"/>
      <w:bookmarkStart w:id="35" w:name="_Toc4701"/>
      <w:bookmarkStart w:id="36" w:name="_Toc21843"/>
      <w:r>
        <w:rPr>
          <w:rFonts w:hint="eastAsia" w:ascii="仿宋_GB2312" w:hAnsi="仿宋_GB2312" w:eastAsia="仿宋_GB2312" w:cs="仿宋_GB2312"/>
          <w:b/>
          <w:bCs/>
          <w:color w:val="000000" w:themeColor="text1"/>
          <w14:textFill>
            <w14:solidFill>
              <w14:schemeClr w14:val="tx1"/>
            </w14:solidFill>
          </w14:textFill>
        </w:rPr>
        <w:t>合同生效</w:t>
      </w:r>
      <w:bookmarkEnd w:id="34"/>
      <w:bookmarkEnd w:id="35"/>
      <w:bookmarkEnd w:id="36"/>
    </w:p>
    <w:p w14:paraId="09578573">
      <w:pPr>
        <w:pStyle w:val="11"/>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u w:val="single"/>
          <w14:textFill>
            <w14:solidFill>
              <w14:schemeClr w14:val="tx1"/>
            </w14:solidFill>
          </w14:textFill>
        </w:rPr>
        <w:t xml:space="preserve"> 1.2  </w:t>
      </w:r>
      <w:permEnd w:id="81"/>
      <w:r>
        <w:rPr>
          <w:rFonts w:hint="eastAsia" w:ascii="仿宋_GB2312" w:hAnsi="仿宋_GB2312" w:eastAsia="仿宋_GB2312" w:cs="仿宋_GB2312"/>
          <w:color w:val="000000" w:themeColor="text1"/>
          <w14:textFill>
            <w14:solidFill>
              <w14:schemeClr w14:val="tx1"/>
            </w14:solidFill>
          </w14:textFill>
        </w:rPr>
        <w:t>条；</w:t>
      </w:r>
    </w:p>
    <w:p w14:paraId="7DA7462B">
      <w:pPr>
        <w:pStyle w:val="11"/>
        <w:numPr>
          <w:ilvl w:val="255"/>
          <w:numId w:val="0"/>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37" w:name="_Toc31827_WPSOffice_Level1"/>
      <w:bookmarkStart w:id="38" w:name="_Toc6851_WPSOffice_Level1"/>
      <w:bookmarkStart w:id="39" w:name="_Toc15785_WPSOffice_Level1"/>
      <w:bookmarkStart w:id="40" w:name="_Toc21939"/>
      <w:bookmarkStart w:id="41" w:name="_Toc7989"/>
      <w:r>
        <w:rPr>
          <w:rFonts w:hint="eastAsia" w:ascii="仿宋_GB2312" w:hAnsi="仿宋_GB2312" w:eastAsia="仿宋_GB2312" w:cs="仿宋_GB2312"/>
          <w:color w:val="000000" w:themeColor="text1"/>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53BE512">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14:textFill>
            <w14:solidFill>
              <w14:schemeClr w14:val="tx1"/>
            </w14:solidFill>
          </w14:textFill>
        </w:rPr>
        <w:t>捌</w:t>
      </w:r>
      <w:permEnd w:id="82"/>
      <w:r>
        <w:rPr>
          <w:rFonts w:hint="eastAsia" w:ascii="仿宋_GB2312" w:hAnsi="仿宋_GB2312" w:eastAsia="仿宋_GB2312" w:cs="仿宋_GB2312"/>
          <w:color w:val="000000" w:themeColor="text1"/>
          <w14:textFill>
            <w14:solidFill>
              <w14:schemeClr w14:val="tx1"/>
            </w14:solidFill>
          </w14:textFill>
        </w:rPr>
        <w:t>份，甲方执</w:t>
      </w:r>
      <w:permStart w:id="83" w:edGrp="everyone"/>
      <w:r>
        <w:rPr>
          <w:rFonts w:hint="eastAsia" w:ascii="仿宋_GB2312" w:hAnsi="仿宋_GB2312" w:eastAsia="仿宋_GB2312" w:cs="仿宋_GB2312"/>
          <w:color w:val="000000" w:themeColor="text1"/>
          <w14:textFill>
            <w14:solidFill>
              <w14:schemeClr w14:val="tx1"/>
            </w14:solidFill>
          </w14:textFill>
        </w:rPr>
        <w:t>陆</w:t>
      </w:r>
      <w:permEnd w:id="83"/>
      <w:r>
        <w:rPr>
          <w:rFonts w:hint="eastAsia" w:ascii="仿宋_GB2312" w:hAnsi="仿宋_GB2312" w:eastAsia="仿宋_GB2312" w:cs="仿宋_GB2312"/>
          <w:color w:val="000000" w:themeColor="text1"/>
          <w14:textFill>
            <w14:solidFill>
              <w14:schemeClr w14:val="tx1"/>
            </w14:solidFill>
          </w14:textFill>
        </w:rPr>
        <w:t>份，乙方执</w:t>
      </w:r>
      <w:permStart w:id="84" w:edGrp="everyone"/>
      <w:r>
        <w:rPr>
          <w:rFonts w:hint="eastAsia" w:ascii="仿宋_GB2312" w:hAnsi="仿宋_GB2312" w:eastAsia="仿宋_GB2312" w:cs="仿宋_GB2312"/>
          <w:color w:val="000000" w:themeColor="text1"/>
          <w14:textFill>
            <w14:solidFill>
              <w14:schemeClr w14:val="tx1"/>
            </w14:solidFill>
          </w14:textFill>
        </w:rPr>
        <w:t>贰</w:t>
      </w:r>
      <w:permEnd w:id="84"/>
      <w:r>
        <w:rPr>
          <w:rFonts w:hint="eastAsia" w:ascii="仿宋_GB2312" w:hAnsi="仿宋_GB2312" w:eastAsia="仿宋_GB2312" w:cs="仿宋_GB2312"/>
          <w:color w:val="000000" w:themeColor="text1"/>
          <w14:textFill>
            <w14:solidFill>
              <w14:schemeClr w14:val="tx1"/>
            </w14:solidFill>
          </w14:textFill>
        </w:rPr>
        <w:t>份。</w:t>
      </w:r>
    </w:p>
    <w:p w14:paraId="35CFAA59">
      <w:pPr>
        <w:spacing w:line="400" w:lineRule="atLeast"/>
        <w:ind w:firstLine="504"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pacing w:val="6"/>
          <w:sz w:val="24"/>
          <w:szCs w:val="24"/>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8898_WPSOffice_Level1"/>
      <w:bookmarkStart w:id="44" w:name="_Toc6163_WPSOffice_Level1"/>
    </w:p>
    <w:p w14:paraId="7AC6E4C1">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5" w:name="_Toc23779"/>
      <w:bookmarkStart w:id="46" w:name="_Toc23374"/>
      <w:bookmarkStart w:id="47" w:name="_Toc31108"/>
      <w:r>
        <w:rPr>
          <w:rFonts w:hint="eastAsia" w:ascii="仿宋_GB2312" w:hAnsi="仿宋_GB2312" w:eastAsia="仿宋_GB2312" w:cs="仿宋_GB2312"/>
          <w:color w:val="000000" w:themeColor="text1"/>
          <w:kern w:val="0"/>
          <w:sz w:val="24"/>
          <w:szCs w:val="24"/>
          <w14:textFill>
            <w14:solidFill>
              <w14:schemeClr w14:val="tx1"/>
            </w14:solidFill>
          </w14:textFill>
        </w:rPr>
        <w:t>附件一 授权委托书</w:t>
      </w:r>
      <w:bookmarkEnd w:id="42"/>
      <w:bookmarkEnd w:id="43"/>
      <w:bookmarkEnd w:id="44"/>
      <w:bookmarkEnd w:id="45"/>
      <w:bookmarkEnd w:id="46"/>
      <w:bookmarkEnd w:id="47"/>
    </w:p>
    <w:p w14:paraId="3B42CACE">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48" w:name="_Toc3383_WPSOffice_Level1"/>
      <w:bookmarkStart w:id="49" w:name="_Toc5250_WPSOffice_Level1"/>
      <w:bookmarkStart w:id="50" w:name="_Toc14040"/>
      <w:bookmarkStart w:id="51" w:name="_Toc27542"/>
      <w:bookmarkStart w:id="52" w:name="_Toc16133_WPSOffice_Level1"/>
      <w:bookmarkStart w:id="53" w:name="_Toc6903"/>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14:textFill>
            <w14:solidFill>
              <w14:schemeClr w14:val="tx1"/>
            </w14:solidFill>
          </w14:textFill>
        </w:rPr>
        <w:t>项目部合规权限告知书</w:t>
      </w:r>
      <w:bookmarkEnd w:id="53"/>
    </w:p>
    <w:p w14:paraId="0C6B2312">
      <w:pPr>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54" w:name="_Toc22730_WPSOffice_Level1"/>
      <w:bookmarkStart w:id="55" w:name="_Toc19768_WPSOffice_Level1"/>
      <w:bookmarkStart w:id="56" w:name="_Toc641_WPSOffice_Level1"/>
      <w:bookmarkStart w:id="57" w:name="_Toc3486"/>
      <w:bookmarkStart w:id="58" w:name="_Toc26596"/>
      <w:bookmarkStart w:id="59" w:name="_Toc660"/>
      <w:r>
        <w:rPr>
          <w:rFonts w:hint="eastAsia" w:ascii="仿宋_GB2312" w:hAnsi="仿宋_GB2312" w:eastAsia="仿宋_GB2312" w:cs="仿宋_GB2312"/>
          <w:color w:val="000000" w:themeColor="text1"/>
          <w:kern w:val="0"/>
          <w:sz w:val="24"/>
          <w:szCs w:val="24"/>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14:textFill>
            <w14:solidFill>
              <w14:schemeClr w14:val="tx1"/>
            </w14:solidFill>
          </w14:textFill>
        </w:rPr>
        <w:t>安全管理协议书</w:t>
      </w:r>
      <w:bookmarkEnd w:id="57"/>
      <w:bookmarkEnd w:id="58"/>
      <w:bookmarkEnd w:id="59"/>
    </w:p>
    <w:p w14:paraId="052D220A">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60" w:name="_Toc8260_WPSOffice_Level1"/>
      <w:bookmarkStart w:id="61" w:name="_Toc24584_WPSOffice_Level1"/>
      <w:bookmarkStart w:id="62" w:name="_Toc19161_WPSOffice_Level1"/>
      <w:bookmarkStart w:id="63" w:name="_Toc6994"/>
      <w:bookmarkStart w:id="64" w:name="_Toc25961"/>
      <w:bookmarkStart w:id="65" w:name="_Toc459"/>
      <w:r>
        <w:rPr>
          <w:rFonts w:hint="eastAsia" w:ascii="仿宋_GB2312" w:hAnsi="仿宋_GB2312" w:eastAsia="仿宋_GB2312" w:cs="仿宋_GB2312"/>
          <w:color w:val="000000" w:themeColor="text1"/>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14:textFill>
            <w14:solidFill>
              <w14:schemeClr w14:val="tx1"/>
            </w14:solidFill>
          </w14:textFill>
        </w:rPr>
        <w:t>廉洁从业共建协议</w:t>
      </w:r>
      <w:bookmarkEnd w:id="63"/>
      <w:bookmarkEnd w:id="64"/>
      <w:bookmarkEnd w:id="65"/>
    </w:p>
    <w:p w14:paraId="2F7F8B76">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4B15FFB0">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25FEEA4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3F6DF8B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78EA447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4E5067F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7DB20C94">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32998865">
      <w:pPr>
        <w:pStyle w:val="11"/>
        <w:spacing w:line="400" w:lineRule="atLeast"/>
        <w:rPr>
          <w:rFonts w:hint="eastAsia" w:ascii="仿宋_GB2312" w:hAnsi="仿宋_GB2312" w:eastAsia="仿宋_GB2312" w:cs="仿宋_GB2312"/>
          <w:color w:val="000000" w:themeColor="text1"/>
          <w14:textFill>
            <w14:solidFill>
              <w14:schemeClr w14:val="tx1"/>
            </w14:solidFill>
          </w14:textFill>
        </w:rPr>
      </w:pPr>
    </w:p>
    <w:p w14:paraId="471263A2">
      <w:pPr>
        <w:pStyle w:val="11"/>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月</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zh-CN"/>
          <w14:textFill>
            <w14:solidFill>
              <w14:schemeClr w14:val="tx1"/>
            </w14:solidFill>
          </w14:textFill>
        </w:rPr>
        <w:t>日</w:t>
      </w:r>
    </w:p>
    <w:p w14:paraId="53F8C603">
      <w:pPr>
        <w:pStyle w:val="11"/>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35A8ECF8">
      <w:pPr>
        <w:autoSpaceDE w:val="0"/>
        <w:autoSpaceDN w:val="0"/>
        <w:adjustRightInd w:val="0"/>
        <w:spacing w:line="400" w:lineRule="exact"/>
        <w:outlineLvl w:val="0"/>
        <w:rPr>
          <w:rFonts w:hint="eastAsia" w:ascii="仿宋_GB2312" w:hAnsi="仿宋_GB2312" w:eastAsia="仿宋_GB2312" w:cs="仿宋_GB2312"/>
          <w:color w:val="000000" w:themeColor="text1"/>
          <w:kern w:val="0"/>
          <w:sz w:val="30"/>
          <w:szCs w:val="30"/>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14:textFill>
            <w14:solidFill>
              <w14:schemeClr w14:val="tx1"/>
            </w14:solidFill>
          </w14:textFill>
        </w:rPr>
        <w:t>附件一：</w:t>
      </w:r>
      <w:bookmarkEnd w:id="66"/>
      <w:bookmarkEnd w:id="67"/>
      <w:bookmarkEnd w:id="68"/>
    </w:p>
    <w:p w14:paraId="2C97AFD3">
      <w:pPr>
        <w:autoSpaceDE w:val="0"/>
        <w:autoSpaceDN w:val="0"/>
        <w:adjustRightInd w:val="0"/>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授权委托书</w:t>
      </w:r>
    </w:p>
    <w:p w14:paraId="5241014D">
      <w:pPr>
        <w:autoSpaceDE w:val="0"/>
        <w:autoSpaceDN w:val="0"/>
        <w:adjustRightInd w:val="0"/>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p>
    <w:p w14:paraId="22DBC409">
      <w:pPr>
        <w:autoSpaceDE w:val="0"/>
        <w:autoSpaceDN w:val="0"/>
        <w:adjustRightInd w:val="0"/>
        <w:spacing w:line="400" w:lineRule="exact"/>
        <w:ind w:firstLine="482"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14:textFill>
            <w14:solidFill>
              <w14:schemeClr w14:val="tx1"/>
            </w14:solidFill>
          </w14:textFill>
        </w:rPr>
        <w:t>项目招投标、合同签署及合同履行等事宜。</w:t>
      </w:r>
    </w:p>
    <w:p w14:paraId="63FC57AC">
      <w:pPr>
        <w:autoSpaceDE w:val="0"/>
        <w:autoSpaceDN w:val="0"/>
        <w:adjustRightInd w:val="0"/>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代理人在合同履行过程中所签署的一切文件和处理与之有关的一切事务，包括但不限于签署往来函件、签署会议纪要、货物供应、结算办理、货款的收取、发票开具等均具有法律效力，授权人均予以认可。</w:t>
      </w:r>
    </w:p>
    <w:p w14:paraId="62BC497C">
      <w:pPr>
        <w:keepNext/>
        <w:keepLines/>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94"/>
      <w:r>
        <w:rPr>
          <w:rFonts w:hint="eastAsia" w:ascii="仿宋_GB2312" w:hAnsi="仿宋_GB2312" w:eastAsia="仿宋_GB2312" w:cs="仿宋_GB2312"/>
          <w:color w:val="000000" w:themeColor="text1"/>
          <w:sz w:val="24"/>
          <w:szCs w:val="24"/>
          <w14:textFill>
            <w14:solidFill>
              <w14:schemeClr w14:val="tx1"/>
            </w14:solidFill>
          </w14:textFill>
        </w:rPr>
        <w:t>。</w:t>
      </w:r>
    </w:p>
    <w:p w14:paraId="6C5BF861">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代理人无转委托权。</w:t>
      </w:r>
    </w:p>
    <w:p w14:paraId="1F549561">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特此授权。</w:t>
      </w:r>
    </w:p>
    <w:p w14:paraId="0AF372B3">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委托单位全称（公章）：          </w:t>
      </w:r>
    </w:p>
    <w:p w14:paraId="3883E2F1">
      <w:pPr>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法定代表人：</w:t>
      </w:r>
    </w:p>
    <w:p w14:paraId="36A60DF2">
      <w:pPr>
        <w:spacing w:line="400" w:lineRule="exact"/>
        <w:ind w:firstLine="480" w:firstLineChars="200"/>
        <w:jc w:val="right"/>
        <w:rPr>
          <w:rFonts w:hint="eastAsia" w:ascii="仿宋_GB2312" w:hAnsi="仿宋_GB2312" w:eastAsia="仿宋_GB2312" w:cs="仿宋_GB2312"/>
          <w:b/>
          <w:color w:val="000000" w:themeColor="text1"/>
          <w:sz w:val="24"/>
          <w:szCs w:val="24"/>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1B71C0F4">
      <w:pPr>
        <w:spacing w:before="120" w:beforeLines="50" w:after="120" w:afterLines="50" w:line="400" w:lineRule="exact"/>
        <w:ind w:firstLine="482"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代理人声明</w:t>
      </w:r>
      <w:r>
        <w:rPr>
          <w:rFonts w:hint="eastAsia" w:ascii="仿宋_GB2312" w:hAnsi="仿宋_GB2312" w:eastAsia="仿宋_GB2312" w:cs="仿宋_GB2312"/>
          <w:color w:val="000000" w:themeColor="text1"/>
          <w:sz w:val="24"/>
          <w:szCs w:val="24"/>
          <w14:textFill>
            <w14:solidFill>
              <w14:schemeClr w14:val="tx1"/>
            </w14:solidFill>
          </w14:textFill>
        </w:rPr>
        <w:t>：我对以上授权委托事项完全接受，自愿履行。</w:t>
      </w:r>
    </w:p>
    <w:p w14:paraId="7604016A">
      <w:pPr>
        <w:spacing w:line="400" w:lineRule="exact"/>
        <w:ind w:firstLine="480" w:firstLineChars="200"/>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代理人（本人签字）：</w:t>
      </w:r>
    </w:p>
    <w:p w14:paraId="12B7493B">
      <w:pPr>
        <w:spacing w:line="400" w:lineRule="exact"/>
        <w:ind w:firstLine="480" w:firstLineChars="200"/>
        <w:jc w:val="right"/>
        <w:rPr>
          <w:rFonts w:hint="eastAsia" w:ascii="仿宋_GB2312" w:hAnsi="仿宋_GB2312" w:eastAsia="仿宋_GB2312" w:cs="仿宋_GB2312"/>
          <w:color w:val="000000" w:themeColor="text1"/>
          <w:sz w:val="24"/>
          <w:szCs w:val="24"/>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ermEnd w:id="96"/>
    </w:p>
    <w:tbl>
      <w:tblPr>
        <w:tblStyle w:val="9"/>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7F2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1C810A84">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97" w:edGrp="everyone"/>
          </w:p>
        </w:tc>
        <w:tc>
          <w:tcPr>
            <w:tcW w:w="4560" w:type="dxa"/>
            <w:tcBorders>
              <w:left w:val="single" w:color="000000" w:sz="4" w:space="0"/>
            </w:tcBorders>
            <w:vAlign w:val="center"/>
          </w:tcPr>
          <w:p w14:paraId="1D7D38A1">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97"/>
    </w:tbl>
    <w:p w14:paraId="54B5048D">
      <w:pPr>
        <w:spacing w:line="400" w:lineRule="exact"/>
        <w:ind w:firstLine="482" w:firstLineChars="200"/>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14:textFill>
            <w14:solidFill>
              <w14:schemeClr w14:val="tx1"/>
            </w14:solidFill>
          </w14:textFill>
        </w:rPr>
        <w:t>：</w:t>
      </w:r>
    </w:p>
    <w:tbl>
      <w:tblPr>
        <w:tblStyle w:val="9"/>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2391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3F7C785A">
            <w:pPr>
              <w:autoSpaceDE w:val="0"/>
              <w:autoSpaceDN w:val="0"/>
              <w:adjustRightInd w:val="0"/>
              <w:spacing w:line="400" w:lineRule="exact"/>
              <w:jc w:val="center"/>
              <w:rPr>
                <w:rFonts w:hint="eastAsia" w:ascii="仿宋_GB2312" w:hAnsi="仿宋_GB2312" w:eastAsia="仿宋_GB2312" w:cs="仿宋_GB2312"/>
                <w:color w:val="000000" w:themeColor="text1"/>
                <w:sz w:val="24"/>
                <w:szCs w:val="24"/>
                <w14:textFill>
                  <w14:solidFill>
                    <w14:schemeClr w14:val="tx1"/>
                  </w14:solidFill>
                </w14:textFill>
              </w:rPr>
            </w:pPr>
            <w:permStart w:id="98" w:edGrp="everyone"/>
          </w:p>
        </w:tc>
        <w:tc>
          <w:tcPr>
            <w:tcW w:w="4530" w:type="dxa"/>
            <w:tcBorders>
              <w:left w:val="single" w:color="000000" w:sz="4" w:space="0"/>
            </w:tcBorders>
            <w:vAlign w:val="center"/>
          </w:tcPr>
          <w:p w14:paraId="2521FA73">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p>
        </w:tc>
      </w:tr>
      <w:permEnd w:id="98"/>
    </w:tbl>
    <w:p w14:paraId="2D86C00F">
      <w:pPr>
        <w:spacing w:line="400" w:lineRule="exact"/>
        <w:ind w:firstLine="482" w:firstLineChars="200"/>
        <w:rPr>
          <w:rFonts w:hint="eastAsia" w:ascii="仿宋_GB2312" w:hAnsi="仿宋_GB2312" w:eastAsia="仿宋_GB2312" w:cs="仿宋_GB2312"/>
          <w:b/>
          <w:color w:val="000000" w:themeColor="text1"/>
          <w:sz w:val="24"/>
          <w:szCs w:val="24"/>
          <w:u w:val="dash"/>
          <w14:textFill>
            <w14:solidFill>
              <w14:schemeClr w14:val="tx1"/>
            </w14:solidFill>
          </w14:textFill>
        </w:rPr>
      </w:pPr>
      <w:r>
        <w:rPr>
          <w:rFonts w:hint="eastAsia" w:ascii="仿宋_GB2312" w:hAnsi="仿宋_GB2312" w:eastAsia="仿宋_GB2312" w:cs="仿宋_GB2312"/>
          <w:b/>
          <w:color w:val="000000" w:themeColor="text1"/>
          <w:sz w:val="24"/>
          <w:szCs w:val="24"/>
          <w:u w:val="dash"/>
          <w14:textFill>
            <w14:solidFill>
              <w14:schemeClr w14:val="tx1"/>
            </w14:solidFill>
          </w14:textFill>
        </w:rPr>
        <w:t>法定代表人身份证复印件粘贴处：</w:t>
      </w:r>
    </w:p>
    <w:p w14:paraId="5787CF76">
      <w:pPr>
        <w:pStyle w:val="11"/>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sectPr>
          <w:pgSz w:w="11906" w:h="16838"/>
          <w:pgMar w:top="1440" w:right="1800" w:bottom="1440" w:left="1800" w:header="850" w:footer="975" w:gutter="0"/>
          <w:cols w:space="0" w:num="1"/>
          <w:docGrid w:linePitch="312" w:charSpace="0"/>
        </w:sectPr>
      </w:pPr>
    </w:p>
    <w:p w14:paraId="2386EF38">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69" w:name="_Toc16973"/>
      <w:bookmarkStart w:id="70" w:name="_Toc4519"/>
      <w:bookmarkStart w:id="71" w:name="_Toc21254"/>
      <w:r>
        <w:rPr>
          <w:rFonts w:hint="eastAsia" w:ascii="仿宋_GB2312" w:hAnsi="仿宋_GB2312" w:eastAsia="仿宋_GB2312" w:cs="仿宋_GB2312"/>
          <w:color w:val="000000" w:themeColor="text1"/>
          <w:sz w:val="30"/>
          <w:szCs w:val="30"/>
          <w14:textFill>
            <w14:solidFill>
              <w14:schemeClr w14:val="tx1"/>
            </w14:solidFill>
          </w14:textFill>
        </w:rPr>
        <w:t>附件二：</w:t>
      </w:r>
      <w:bookmarkEnd w:id="69"/>
      <w:bookmarkEnd w:id="70"/>
      <w:bookmarkEnd w:id="71"/>
    </w:p>
    <w:p w14:paraId="0A93F3F7">
      <w:pPr>
        <w:spacing w:line="400" w:lineRule="exact"/>
        <w:jc w:val="center"/>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项目部合规权限告知书</w:t>
      </w:r>
    </w:p>
    <w:p w14:paraId="6902FC2E">
      <w:pPr>
        <w:autoSpaceDE w:val="0"/>
        <w:autoSpaceDN w:val="0"/>
        <w:adjustRightInd w:val="0"/>
        <w:spacing w:before="240" w:beforeLines="100"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14:textFill>
            <w14:solidFill>
              <w14:schemeClr w14:val="tx1"/>
            </w14:solidFill>
          </w14:textFill>
        </w:rPr>
        <w:t>（乙方全称）</w:t>
      </w:r>
    </w:p>
    <w:p w14:paraId="32916C6B">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中建路桥集团第四工程有限公司</w:t>
      </w:r>
      <w:bookmarkEnd w:id="72"/>
      <w:permEnd w:id="100"/>
      <w:r>
        <w:rPr>
          <w:rFonts w:hint="eastAsia" w:ascii="仿宋_GB2312" w:hAnsi="仿宋_GB2312" w:eastAsia="仿宋_GB2312" w:cs="仿宋_GB2312"/>
          <w:color w:val="000000" w:themeColor="text1"/>
          <w:sz w:val="24"/>
          <w:szCs w:val="24"/>
          <w:lang w:val="zh-CN"/>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采购方</w:t>
      </w:r>
      <w:r>
        <w:rPr>
          <w:rFonts w:hint="eastAsia" w:ascii="仿宋_GB2312" w:hAnsi="仿宋_GB2312" w:eastAsia="仿宋_GB2312" w:cs="仿宋_GB2312"/>
          <w:color w:val="000000" w:themeColor="text1"/>
          <w:sz w:val="24"/>
          <w:szCs w:val="24"/>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14:textFill>
            <w14:solidFill>
              <w14:schemeClr w14:val="tx1"/>
            </w14:solidFill>
          </w14:textFill>
        </w:rPr>
        <w:t>告知</w:t>
      </w:r>
      <w:r>
        <w:rPr>
          <w:rFonts w:hint="eastAsia" w:ascii="仿宋_GB2312" w:hAnsi="仿宋_GB2312" w:eastAsia="仿宋_GB2312" w:cs="仿宋_GB2312"/>
          <w:color w:val="000000" w:themeColor="text1"/>
          <w:sz w:val="24"/>
          <w:szCs w:val="24"/>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CN"/>
          <w14:textFill>
            <w14:solidFill>
              <w14:schemeClr w14:val="tx1"/>
            </w14:solidFill>
          </w14:textFill>
        </w:rPr>
        <w:t xml:space="preserve">代表本公司行使权限。 </w:t>
      </w:r>
    </w:p>
    <w:p w14:paraId="0FF91A71">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一、</w:t>
      </w:r>
      <w:r>
        <w:rPr>
          <w:rFonts w:hint="eastAsia" w:ascii="仿宋_GB2312" w:hAnsi="仿宋_GB2312" w:eastAsia="仿宋_GB2312" w:cs="仿宋_GB2312"/>
          <w:color w:val="000000" w:themeColor="text1"/>
          <w:sz w:val="24"/>
          <w:szCs w:val="24"/>
          <w:lang w:val="zh-CN"/>
          <w14:textFill>
            <w14:solidFill>
              <w14:schemeClr w14:val="tx1"/>
            </w14:solidFill>
          </w14:textFill>
        </w:rPr>
        <w:t>项目部须严格按合同约定行使权利，履行义务。本授权书规定与合同约定相冲突的，以合同约定为准。</w:t>
      </w:r>
    </w:p>
    <w:p w14:paraId="62782529">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二、项目部行使权限，须由项目经理签字并加盖项目部公章，否则本公司不予认可，亦不承担任何责任。</w:t>
      </w:r>
    </w:p>
    <w:p w14:paraId="36367401">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14:textFill>
            <w14:solidFill>
              <w14:schemeClr w14:val="tx1"/>
            </w14:solidFill>
          </w14:textFill>
        </w:rPr>
        <w:t>不</w:t>
      </w:r>
      <w:r>
        <w:rPr>
          <w:rFonts w:hint="eastAsia" w:ascii="仿宋_GB2312" w:hAnsi="仿宋_GB2312" w:eastAsia="仿宋_GB2312" w:cs="仿宋_GB2312"/>
          <w:color w:val="000000" w:themeColor="text1"/>
          <w:sz w:val="24"/>
          <w:szCs w:val="24"/>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14:textFill>
            <w14:solidFill>
              <w14:schemeClr w14:val="tx1"/>
            </w14:solidFill>
          </w14:textFill>
        </w:rPr>
        <w:t>擅自</w:t>
      </w:r>
      <w:r>
        <w:rPr>
          <w:rFonts w:hint="eastAsia" w:ascii="仿宋_GB2312" w:hAnsi="仿宋_GB2312" w:eastAsia="仿宋_GB2312" w:cs="仿宋_GB2312"/>
          <w:color w:val="000000" w:themeColor="text1"/>
          <w:sz w:val="24"/>
          <w:szCs w:val="24"/>
          <w:lang w:val="zh-CN"/>
          <w14:textFill>
            <w14:solidFill>
              <w14:schemeClr w14:val="tx1"/>
            </w14:solidFill>
          </w14:textFill>
        </w:rPr>
        <w:t>转授权人员以任何形式签字、盖章本公司均不予认可，亦不承担任何责任。</w:t>
      </w:r>
    </w:p>
    <w:p w14:paraId="620D2998">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14:textFill>
            <w14:solidFill>
              <w14:schemeClr w14:val="tx1"/>
            </w14:solidFill>
          </w14:textFill>
        </w:rPr>
        <w:t>甲方</w:t>
      </w:r>
      <w:r>
        <w:rPr>
          <w:rFonts w:hint="eastAsia" w:ascii="仿宋_GB2312" w:hAnsi="仿宋_GB2312" w:eastAsia="仿宋_GB2312" w:cs="仿宋_GB2312"/>
          <w:color w:val="000000" w:themeColor="text1"/>
          <w:sz w:val="24"/>
          <w:szCs w:val="24"/>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14:textFill>
            <w14:solidFill>
              <w14:schemeClr w14:val="tx1"/>
            </w14:solidFill>
          </w14:textFill>
        </w:rPr>
        <w:t>项目经理、</w:t>
      </w:r>
      <w:r>
        <w:rPr>
          <w:rFonts w:hint="eastAsia" w:ascii="仿宋_GB2312" w:hAnsi="仿宋_GB2312" w:eastAsia="仿宋_GB2312" w:cs="仿宋_GB2312"/>
          <w:color w:val="000000" w:themeColor="text1"/>
          <w:sz w:val="24"/>
          <w:szCs w:val="24"/>
          <w:lang w:val="zh-CN"/>
          <w14:textFill>
            <w14:solidFill>
              <w14:schemeClr w14:val="tx1"/>
            </w14:solidFill>
          </w14:textFill>
        </w:rPr>
        <w:t>任何</w:t>
      </w:r>
      <w:r>
        <w:rPr>
          <w:rFonts w:hint="eastAsia" w:ascii="仿宋_GB2312" w:hAnsi="仿宋_GB2312" w:eastAsia="仿宋_GB2312" w:cs="仿宋_GB2312"/>
          <w:color w:val="000000" w:themeColor="text1"/>
          <w:sz w:val="24"/>
          <w:szCs w:val="24"/>
          <w14:textFill>
            <w14:solidFill>
              <w14:schemeClr w14:val="tx1"/>
            </w14:solidFill>
          </w14:textFill>
        </w:rPr>
        <w:t>项目部</w:t>
      </w:r>
      <w:r>
        <w:rPr>
          <w:rFonts w:hint="eastAsia" w:ascii="仿宋_GB2312" w:hAnsi="仿宋_GB2312" w:eastAsia="仿宋_GB2312" w:cs="仿宋_GB2312"/>
          <w:color w:val="000000" w:themeColor="text1"/>
          <w:sz w:val="24"/>
          <w:szCs w:val="24"/>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2E01A741">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107A25D5">
      <w:pPr>
        <w:autoSpaceDE w:val="0"/>
        <w:autoSpaceDN w:val="0"/>
        <w:adjustRightIn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1.项目部有权审批如下事项：</w:t>
      </w:r>
    </w:p>
    <w:tbl>
      <w:tblPr>
        <w:tblStyle w:val="9"/>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7637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390A1F3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18" w:type="dxa"/>
            <w:vAlign w:val="center"/>
          </w:tcPr>
          <w:p w14:paraId="545C5BB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授权性事项</w:t>
            </w:r>
          </w:p>
        </w:tc>
      </w:tr>
      <w:tr w14:paraId="6B11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FDC7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18" w:type="dxa"/>
            <w:shd w:val="clear" w:color="auto" w:fill="auto"/>
            <w:vAlign w:val="center"/>
          </w:tcPr>
          <w:p w14:paraId="7D98D435">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向乙方发送物资进退场联系单</w:t>
            </w:r>
          </w:p>
        </w:tc>
      </w:tr>
      <w:tr w14:paraId="5BEA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5BCE3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18" w:type="dxa"/>
            <w:shd w:val="clear" w:color="auto" w:fill="auto"/>
            <w:vAlign w:val="center"/>
          </w:tcPr>
          <w:p w14:paraId="4201D8E2">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对乙方进场物资进行外观检测，出具进场物资登记验收单，确认进场物资外观检测和进场登记</w:t>
            </w:r>
          </w:p>
        </w:tc>
      </w:tr>
      <w:tr w14:paraId="5382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4CA84D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18" w:type="dxa"/>
            <w:shd w:val="clear" w:color="auto" w:fill="auto"/>
            <w:vAlign w:val="center"/>
          </w:tcPr>
          <w:p w14:paraId="28580347">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办理物资收料单、初步编制物资采购结算单提交甲方公司确认</w:t>
            </w:r>
          </w:p>
        </w:tc>
      </w:tr>
      <w:tr w14:paraId="0440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30E6237">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18" w:type="dxa"/>
            <w:shd w:val="clear" w:color="auto" w:fill="auto"/>
            <w:vAlign w:val="center"/>
          </w:tcPr>
          <w:p w14:paraId="69DAA6E1">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对乙方物资进行检验、试验、检测与计量，联系乙方退货或更换，出具进场物资不合格记录</w:t>
            </w:r>
          </w:p>
        </w:tc>
      </w:tr>
      <w:tr w14:paraId="14F0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7D0B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18" w:type="dxa"/>
            <w:shd w:val="clear" w:color="auto" w:fill="auto"/>
            <w:vAlign w:val="center"/>
          </w:tcPr>
          <w:p w14:paraId="48EF0719">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确认物资领料单、退货单、混凝土浇灌申请表</w:t>
            </w:r>
          </w:p>
        </w:tc>
      </w:tr>
      <w:tr w14:paraId="41CF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BD2A41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6</w:t>
            </w:r>
          </w:p>
        </w:tc>
        <w:tc>
          <w:tcPr>
            <w:tcW w:w="8818" w:type="dxa"/>
            <w:shd w:val="clear" w:color="auto" w:fill="auto"/>
            <w:vAlign w:val="center"/>
          </w:tcPr>
          <w:p w14:paraId="3AED6F34">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出具料具进退场签收单（无审批权）</w:t>
            </w:r>
          </w:p>
        </w:tc>
      </w:tr>
      <w:tr w14:paraId="3587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1A4BB0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7</w:t>
            </w:r>
          </w:p>
        </w:tc>
        <w:tc>
          <w:tcPr>
            <w:tcW w:w="8818" w:type="dxa"/>
            <w:shd w:val="clear" w:color="auto" w:fill="auto"/>
            <w:vAlign w:val="center"/>
          </w:tcPr>
          <w:p w14:paraId="07A73ACF">
            <w:pPr>
              <w:autoSpaceDE w:val="0"/>
              <w:autoSpaceDN w:val="0"/>
              <w:adjustRightInd w:val="0"/>
              <w:spacing w:line="400" w:lineRule="exac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编制、审核料具结算单</w:t>
            </w:r>
          </w:p>
        </w:tc>
      </w:tr>
      <w:tr w14:paraId="0A4C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5D31C6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8</w:t>
            </w:r>
          </w:p>
        </w:tc>
        <w:tc>
          <w:tcPr>
            <w:tcW w:w="8818" w:type="dxa"/>
            <w:shd w:val="clear" w:color="auto" w:fill="auto"/>
            <w:vAlign w:val="center"/>
          </w:tcPr>
          <w:p w14:paraId="7EF4A434">
            <w:pPr>
              <w:autoSpaceDE w:val="0"/>
              <w:autoSpaceDN w:val="0"/>
              <w:adjustRightInd w:val="0"/>
              <w:spacing w:line="400" w:lineRule="exac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对不服从指挥的材料供应商作出处罚（追究违约责任）的决定</w:t>
            </w:r>
          </w:p>
        </w:tc>
      </w:tr>
      <w:tr w14:paraId="453B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F74CB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9</w:t>
            </w:r>
          </w:p>
        </w:tc>
        <w:tc>
          <w:tcPr>
            <w:tcW w:w="8818" w:type="dxa"/>
            <w:shd w:val="clear" w:color="auto" w:fill="auto"/>
            <w:vAlign w:val="center"/>
          </w:tcPr>
          <w:p w14:paraId="6048002B">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对乙方工程项目的履约情况进行监控和核查；发现问题后，通知要求乙方进行整改或调整</w:t>
            </w:r>
          </w:p>
        </w:tc>
      </w:tr>
      <w:tr w14:paraId="296B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314CE24">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10</w:t>
            </w:r>
          </w:p>
        </w:tc>
        <w:tc>
          <w:tcPr>
            <w:tcW w:w="8818" w:type="dxa"/>
            <w:shd w:val="clear" w:color="auto" w:fill="auto"/>
            <w:vAlign w:val="center"/>
          </w:tcPr>
          <w:p w14:paraId="2034ECC2">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组织实施质量验收工作</w:t>
            </w:r>
          </w:p>
        </w:tc>
      </w:tr>
      <w:tr w14:paraId="0132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EDAC2FE">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11</w:t>
            </w:r>
          </w:p>
        </w:tc>
        <w:tc>
          <w:tcPr>
            <w:tcW w:w="8818" w:type="dxa"/>
            <w:shd w:val="clear" w:color="auto" w:fill="auto"/>
            <w:vAlign w:val="center"/>
          </w:tcPr>
          <w:p w14:paraId="49774F82">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向乙方发送维修整改通知</w:t>
            </w:r>
          </w:p>
        </w:tc>
      </w:tr>
      <w:tr w14:paraId="4F6D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AD0B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12</w:t>
            </w:r>
          </w:p>
        </w:tc>
        <w:tc>
          <w:tcPr>
            <w:tcW w:w="8818" w:type="dxa"/>
            <w:shd w:val="clear" w:color="auto" w:fill="auto"/>
            <w:vAlign w:val="center"/>
          </w:tcPr>
          <w:p w14:paraId="60A5B068">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根据合同约定或公司规定扣除乙方质保金</w:t>
            </w:r>
          </w:p>
        </w:tc>
      </w:tr>
      <w:tr w14:paraId="497E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3029C89">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13</w:t>
            </w:r>
          </w:p>
        </w:tc>
        <w:tc>
          <w:tcPr>
            <w:tcW w:w="8818" w:type="dxa"/>
            <w:shd w:val="clear" w:color="auto" w:fill="auto"/>
            <w:vAlign w:val="center"/>
          </w:tcPr>
          <w:p w14:paraId="063C11A9">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对存在的安全生产隐患，下达《安全隐患整改通知书》，对存在重大安全生产隐患，下达《安全隐患局部停工整改令》</w:t>
            </w:r>
          </w:p>
        </w:tc>
      </w:tr>
      <w:tr w14:paraId="6842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745BE75">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14</w:t>
            </w:r>
          </w:p>
        </w:tc>
        <w:tc>
          <w:tcPr>
            <w:tcW w:w="8818" w:type="dxa"/>
            <w:shd w:val="clear" w:color="auto" w:fill="auto"/>
            <w:vAlign w:val="center"/>
          </w:tcPr>
          <w:p w14:paraId="19A84A99">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对检查中发现的不符合合同约定或国家规定标准的，要求乙方进行整改</w:t>
            </w:r>
          </w:p>
        </w:tc>
      </w:tr>
      <w:tr w14:paraId="045E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8D3B5F">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15</w:t>
            </w:r>
          </w:p>
        </w:tc>
        <w:tc>
          <w:tcPr>
            <w:tcW w:w="8818" w:type="dxa"/>
            <w:shd w:val="clear" w:color="auto" w:fill="auto"/>
            <w:vAlign w:val="center"/>
          </w:tcPr>
          <w:p w14:paraId="6B2BA4D1">
            <w:pPr>
              <w:widowControl/>
              <w:jc w:val="left"/>
              <w:rPr>
                <w:rFonts w:hint="eastAsia" w:ascii="仿宋_GB2312" w:hAnsi="仿宋_GB2312" w:eastAsia="仿宋_GB2312" w:cs="仿宋_GB2312"/>
                <w:b/>
                <w:bCs/>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报送或接收工程履约相关的工作联系函</w:t>
            </w:r>
          </w:p>
        </w:tc>
      </w:tr>
    </w:tbl>
    <w:p w14:paraId="481F6CC4">
      <w:pPr>
        <w:numPr>
          <w:ilvl w:val="0"/>
          <w:numId w:val="6"/>
        </w:numPr>
        <w:autoSpaceDE w:val="0"/>
        <w:autoSpaceDN w:val="0"/>
        <w:adjustRightIn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14:textFill>
            <w14:solidFill>
              <w14:schemeClr w14:val="tx1"/>
            </w14:solidFill>
          </w14:textFill>
        </w:rPr>
        <w:t>项目部无权审批以下事项：</w:t>
      </w:r>
    </w:p>
    <w:bookmarkEnd w:id="73"/>
    <w:tbl>
      <w:tblPr>
        <w:tblStyle w:val="9"/>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61EE68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89C7B4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26318DF0">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禁止性事项</w:t>
            </w:r>
          </w:p>
        </w:tc>
      </w:tr>
      <w:tr w14:paraId="411665B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A7DFD83">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E738732">
            <w:pPr>
              <w:widowControl/>
              <w:jc w:val="left"/>
              <w:rPr>
                <w:rFonts w:hint="eastAsia" w:ascii="仿宋_GB2312" w:hAnsi="仿宋_GB2312" w:eastAsia="仿宋_GB2312" w:cs="仿宋_GB2312"/>
                <w:b/>
                <w:bCs/>
                <w:color w:val="000000" w:themeColor="text1"/>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进行银行贷款等融资活动</w:t>
            </w:r>
          </w:p>
        </w:tc>
      </w:tr>
      <w:tr w14:paraId="358439E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3486A62">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C25E9B9">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对外提供担保</w:t>
            </w:r>
          </w:p>
        </w:tc>
      </w:tr>
      <w:tr w14:paraId="41E388E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AED2CD">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9D9C190">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对外开立各类保函</w:t>
            </w:r>
          </w:p>
        </w:tc>
      </w:tr>
      <w:tr w14:paraId="0689054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107ECB8">
            <w:pPr>
              <w:tabs>
                <w:tab w:val="left" w:pos="534"/>
              </w:tabs>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81130C7">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对外拆借资金</w:t>
            </w:r>
          </w:p>
        </w:tc>
      </w:tr>
      <w:tr w14:paraId="6EEFCA6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19C5D78">
            <w:pPr>
              <w:autoSpaceDE w:val="0"/>
              <w:autoSpaceDN w:val="0"/>
              <w:adjustRightInd w:val="0"/>
              <w:spacing w:line="400" w:lineRule="exact"/>
              <w:jc w:val="center"/>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6BA94EA">
            <w:pPr>
              <w:widowControl/>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设立或变更劳动关系（包括签订劳动合同、确认劳动关系等）</w:t>
            </w:r>
          </w:p>
        </w:tc>
      </w:tr>
      <w:bookmarkEnd w:id="74"/>
    </w:tbl>
    <w:p w14:paraId="00355CFE">
      <w:pPr>
        <w:numPr>
          <w:ilvl w:val="0"/>
          <w:numId w:val="7"/>
        </w:num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lang w:val="zh-CN"/>
          <w14:textFill>
            <w14:solidFill>
              <w14:schemeClr w14:val="tx1"/>
            </w14:solidFill>
          </w14:textFill>
        </w:rPr>
        <w:t>若项目经理发生变更，则由新委任的项目经理承继。</w:t>
      </w:r>
    </w:p>
    <w:p w14:paraId="1A3D21F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14:paraId="364CC238">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p>
    <w:p w14:paraId="39C3BD1C">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253AB443">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授权单位（盖章）：</w:t>
      </w:r>
    </w:p>
    <w:p w14:paraId="5822470E">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360CC05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223AFAA2">
      <w:pPr>
        <w:autoSpaceDE w:val="0"/>
        <w:autoSpaceDN w:val="0"/>
        <w:adjustRightInd w:val="0"/>
        <w:spacing w:line="400" w:lineRule="atLeast"/>
        <w:ind w:firstLine="6000" w:firstLineChars="25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w:t>
      </w:r>
      <w:r>
        <w:rPr>
          <w:rFonts w:hint="eastAsia" w:ascii="仿宋_GB2312" w:hAnsi="仿宋_GB2312" w:eastAsia="仿宋_GB2312" w:cs="仿宋_GB2312"/>
          <w:bCs/>
          <w:color w:val="000000" w:themeColor="text1"/>
          <w:sz w:val="24"/>
          <w:szCs w:val="24"/>
          <w14:textFill>
            <w14:solidFill>
              <w14:schemeClr w14:val="tx1"/>
            </w14:solidFill>
          </w14:textFill>
        </w:rPr>
        <w:t xml:space="preserve">           </w:t>
      </w:r>
    </w:p>
    <w:p w14:paraId="4BADE175">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68AF1FB7">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r>
        <w:rPr>
          <w:rFonts w:hint="eastAsia" w:ascii="仿宋_GB2312" w:hAnsi="仿宋_GB2312" w:eastAsia="仿宋_GB2312" w:cs="仿宋_GB2312"/>
          <w:color w:val="000000" w:themeColor="text1"/>
          <w:sz w:val="24"/>
          <w:szCs w:val="24"/>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14:textFill>
            <w14:solidFill>
              <w14:schemeClr w14:val="tx1"/>
            </w14:solidFill>
          </w14:textFill>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2160A3FF">
      <w:pPr>
        <w:spacing w:line="400" w:lineRule="exact"/>
        <w:ind w:right="210" w:rightChars="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乙方（公章）：           </w:t>
      </w:r>
    </w:p>
    <w:p w14:paraId="1380326D">
      <w:pPr>
        <w:autoSpaceDE w:val="0"/>
        <w:autoSpaceDN w:val="0"/>
        <w:adjustRightInd w:val="0"/>
        <w:spacing w:line="400" w:lineRule="atLeast"/>
        <w:ind w:firstLine="1680" w:firstLineChars="7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法定代表人：</w:t>
      </w:r>
    </w:p>
    <w:p w14:paraId="381B2955">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w:t>
      </w:r>
    </w:p>
    <w:p w14:paraId="050D8264">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被委托人：</w:t>
      </w:r>
    </w:p>
    <w:p w14:paraId="724FE801">
      <w:pPr>
        <w:autoSpaceDE w:val="0"/>
        <w:autoSpaceDN w:val="0"/>
        <w:adjustRightInd w:val="0"/>
        <w:spacing w:line="400" w:lineRule="exact"/>
        <w:rPr>
          <w:rFonts w:hint="eastAsia" w:ascii="仿宋_GB2312" w:hAnsi="仿宋_GB2312" w:eastAsia="仿宋_GB2312" w:cs="仿宋_GB2312"/>
          <w:color w:val="000000" w:themeColor="text1"/>
          <w:sz w:val="24"/>
          <w:szCs w:val="24"/>
          <w:lang w:val="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月</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CN"/>
          <w14:textFill>
            <w14:solidFill>
              <w14:schemeClr w14:val="tx1"/>
            </w14:solidFill>
          </w14:textFill>
        </w:rPr>
        <w:t>日</w:t>
      </w:r>
    </w:p>
    <w:p w14:paraId="65CD7A7B">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11293"/>
      <w:bookmarkStart w:id="77" w:name="_Toc20069"/>
      <w:bookmarkStart w:id="78" w:name="_Toc15118"/>
    </w:p>
    <w:p w14:paraId="36484864">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附件三：</w:t>
      </w:r>
      <w:bookmarkEnd w:id="76"/>
      <w:bookmarkEnd w:id="77"/>
      <w:bookmarkEnd w:id="78"/>
    </w:p>
    <w:p w14:paraId="0E0DF794">
      <w:pPr>
        <w:spacing w:line="400" w:lineRule="exact"/>
        <w:jc w:val="center"/>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安全管理协议书</w:t>
      </w:r>
    </w:p>
    <w:p w14:paraId="48DF94AC">
      <w:pPr>
        <w:wordWrap w:val="0"/>
        <w:spacing w:line="400" w:lineRule="exact"/>
        <w:jc w:val="righ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44577542">
      <w:pPr>
        <w:spacing w:line="400" w:lineRule="exact"/>
        <w:rPr>
          <w:rFonts w:hint="eastAsia"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甲方：</w:t>
      </w:r>
      <w:permStart w:id="104" w:edGrp="everyone"/>
      <w:bookmarkStart w:id="79" w:name="_Hlk126826529"/>
      <w:r>
        <w:rPr>
          <w:rFonts w:hint="eastAsia" w:ascii="仿宋_GB2312" w:hAnsi="仿宋_GB2312" w:eastAsia="仿宋_GB2312" w:cs="仿宋_GB2312"/>
          <w:color w:val="000000" w:themeColor="text1"/>
          <w:sz w:val="24"/>
          <w:szCs w:val="24"/>
          <w:u w:val="single"/>
          <w14:textFill>
            <w14:solidFill>
              <w14:schemeClr w14:val="tx1"/>
            </w14:solidFill>
          </w14:textFill>
        </w:rPr>
        <w:t>中建路桥集团第四工程有限公司</w:t>
      </w:r>
      <w:bookmarkEnd w:id="79"/>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14:textFill>
            <w14:solidFill>
              <w14:schemeClr w14:val="tx1"/>
            </w14:solidFill>
          </w14:textFill>
        </w:rPr>
        <w:t xml:space="preserve"> </w:t>
      </w:r>
    </w:p>
    <w:p w14:paraId="6A3A3898">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u w:val="single"/>
          <w14:textFill>
            <w14:solidFill>
              <w14:schemeClr w14:val="tx1"/>
            </w14:solidFill>
          </w14:textFill>
        </w:rPr>
        <w:t xml:space="preserve">                        </w:t>
      </w:r>
      <w:permEnd w:id="105"/>
    </w:p>
    <w:p w14:paraId="569A1455">
      <w:pPr>
        <w:pStyle w:val="5"/>
        <w:tabs>
          <w:tab w:val="left" w:pos="2100"/>
        </w:tabs>
        <w:spacing w:line="400" w:lineRule="exact"/>
        <w:ind w:right="210" w:rightChars="100" w:firstLine="432"/>
        <w:rPr>
          <w:rFonts w:hint="eastAsia" w:hAnsi="仿宋_GB2312" w:cs="仿宋_GB2312"/>
          <w:color w:val="000000" w:themeColor="text1"/>
          <w:sz w:val="24"/>
          <w14:textFill>
            <w14:solidFill>
              <w14:schemeClr w14:val="tx1"/>
            </w14:solidFill>
          </w14:textFill>
        </w:rPr>
      </w:pPr>
      <w:r>
        <w:rPr>
          <w:rFonts w:hint="eastAsia" w:hAnsi="仿宋_GB2312" w:cs="仿宋_GB2312"/>
          <w:color w:val="000000" w:themeColor="text1"/>
          <w:sz w:val="24"/>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700AD70B">
      <w:pPr>
        <w:snapToGrid w:val="0"/>
        <w:spacing w:line="400" w:lineRule="exact"/>
        <w:ind w:firstLine="555"/>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第一条 共同约定  </w:t>
      </w:r>
    </w:p>
    <w:p w14:paraId="6AE8BCDA">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保定    </w:t>
      </w:r>
      <w:permEnd w:id="107"/>
      <w:r>
        <w:rPr>
          <w:rFonts w:hint="eastAsia" w:ascii="仿宋_GB2312" w:hAnsi="仿宋_GB2312" w:eastAsia="仿宋_GB2312" w:cs="仿宋_GB2312"/>
          <w:color w:val="000000" w:themeColor="text1"/>
          <w:sz w:val="24"/>
          <w:szCs w:val="24"/>
          <w14:textFill>
            <w14:solidFill>
              <w14:schemeClr w14:val="tx1"/>
            </w14:solidFill>
          </w14:textFill>
        </w:rPr>
        <w:t>市有关安全生产的规章制度。</w:t>
      </w:r>
    </w:p>
    <w:p w14:paraId="7DA1DAC6">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2、双方应共同遵守</w:t>
      </w:r>
      <w:r>
        <w:rPr>
          <w:rFonts w:hint="eastAsia" w:ascii="仿宋_GB2312" w:hAnsi="仿宋_GB2312" w:eastAsia="仿宋_GB2312" w:cs="仿宋_GB2312"/>
          <w:color w:val="000000" w:themeColor="text1"/>
          <w:sz w:val="24"/>
          <w:szCs w:val="24"/>
          <w:u w:val="single"/>
          <w14:textFill>
            <w14:solidFill>
              <w14:schemeClr w14:val="tx1"/>
            </w14:solidFill>
          </w14:textFill>
        </w:rPr>
        <w:t>中建总公司、中建交通、中建路桥</w:t>
      </w:r>
      <w:r>
        <w:rPr>
          <w:rFonts w:hint="eastAsia" w:ascii="仿宋_GB2312" w:hAnsi="仿宋_GB2312" w:eastAsia="仿宋_GB2312" w:cs="仿宋_GB2312"/>
          <w:color w:val="000000" w:themeColor="text1"/>
          <w:sz w:val="24"/>
          <w:szCs w:val="24"/>
          <w14:textFill>
            <w14:solidFill>
              <w14:schemeClr w14:val="tx1"/>
            </w14:solidFill>
          </w14:textFill>
        </w:rPr>
        <w:t>等系列安全生产规章制度。贯彻执行项目职业健康安全和环境管理体系的各项要求。</w:t>
      </w:r>
    </w:p>
    <w:p w14:paraId="4552C734">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3、安全文明施工管理目标、指标：以项目部总包单位制定的为准。</w:t>
      </w:r>
    </w:p>
    <w:p w14:paraId="13B0F7AD">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4、在甲方施工区域以外场所安全工作及发生的不良后果由乙方自行承担。</w:t>
      </w:r>
    </w:p>
    <w:p w14:paraId="071A5CE7">
      <w:pPr>
        <w:pStyle w:val="11"/>
        <w:spacing w:line="400" w:lineRule="exact"/>
        <w:ind w:firstLine="482" w:firstLineChars="200"/>
        <w:rPr>
          <w:rFonts w:hint="eastAsia" w:ascii="仿宋_GB2312" w:hAnsi="仿宋_GB2312" w:eastAsia="仿宋_GB2312" w:cs="仿宋_GB2312"/>
          <w:b/>
          <w:bCs/>
          <w:color w:val="000000" w:themeColor="text1"/>
          <w:kern w:val="2"/>
          <w14:textFill>
            <w14:solidFill>
              <w14:schemeClr w14:val="tx1"/>
            </w14:solidFill>
          </w14:textFill>
        </w:rPr>
      </w:pPr>
      <w:r>
        <w:rPr>
          <w:rFonts w:hint="eastAsia" w:ascii="仿宋_GB2312" w:hAnsi="仿宋_GB2312" w:eastAsia="仿宋_GB2312" w:cs="仿宋_GB2312"/>
          <w:b/>
          <w:bCs/>
          <w:color w:val="000000" w:themeColor="text1"/>
          <w:kern w:val="2"/>
          <w14:textFill>
            <w14:solidFill>
              <w14:schemeClr w14:val="tx1"/>
            </w14:solidFill>
          </w14:textFill>
        </w:rPr>
        <w:t>第二条 环境与职业健康安全</w:t>
      </w:r>
    </w:p>
    <w:p w14:paraId="196AAE1C">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1、乙方车辆及材料在运输途中及到达甲方现场后应遵守国家和地方现行的有关环境保护、职业健康安全的法律、法规和其他要求。</w:t>
      </w:r>
    </w:p>
    <w:p w14:paraId="2CA637BF">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FB5707A">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6EA8ED35">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4、乙方到施工现场的人员必须佩戴安全帽，穿戴整洁，严禁吸烟和大声喧哗，遵守需方项目的规章制度，否则将按需方有关制度处罚。</w:t>
      </w:r>
    </w:p>
    <w:p w14:paraId="61A0F1E1">
      <w:pPr>
        <w:snapToGrid w:val="0"/>
        <w:spacing w:line="400" w:lineRule="exact"/>
        <w:ind w:firstLine="556"/>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5、由于非甲方的任何第三方原因导致乙方人员伤亡及财产损害均由乙方承担相应损失。</w:t>
      </w:r>
    </w:p>
    <w:p w14:paraId="766C26AB">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第三条 甲方的安全责任、权利和义务  </w:t>
      </w:r>
    </w:p>
    <w:p w14:paraId="2E145779">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1、甲方在现场履行管理、监督职责，认真履行第一条共同约定的内容，对乙方在进入总包施工现场的施工安全进行监督、指导、检查。 </w:t>
      </w:r>
    </w:p>
    <w:p w14:paraId="5D6C7F6B">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6610A22">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3、在合同中约定由甲方向使用单位提供的安全防护设施，应完整齐全，并且符合安全要求，并整改乙方提出的不安全问题。</w:t>
      </w:r>
    </w:p>
    <w:p w14:paraId="73CE8128">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43DCE52">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6221041E">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7A7D50E">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CA551F9">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1D46C022">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第四条 乙方的安全责任、权利和义务  </w:t>
      </w:r>
    </w:p>
    <w:p w14:paraId="3E45A9CD">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1、乙方应认真履行第一条共同约定的内容，接受甲方的监督、检查工作。</w:t>
      </w:r>
    </w:p>
    <w:p w14:paraId="118FE1F6">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57DC4E97">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39BFE7D9">
      <w:pPr>
        <w:snapToGrid w:val="0"/>
        <w:spacing w:line="4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122E4661">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144EA2D9">
      <w:pPr>
        <w:snapToGrid w:val="0"/>
        <w:spacing w:line="400" w:lineRule="exact"/>
        <w:ind w:firstLine="453"/>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27CA2DBC">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1249430A">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14:textFill>
            <w14:solidFill>
              <w14:schemeClr w14:val="tx1"/>
            </w14:solidFill>
          </w14:textFill>
        </w:rPr>
        <w:t>的设备及工具严禁在工地使用。</w:t>
      </w:r>
    </w:p>
    <w:p w14:paraId="1F9DA3E3">
      <w:pPr>
        <w:spacing w:line="400" w:lineRule="exact"/>
        <w:ind w:firstLine="480" w:firstLineChars="200"/>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9、乙方自带设备或工具必须相匹配的质量合格的电缆线，并自备符合当地主管部门要求的末级标准配电箱。</w:t>
      </w:r>
    </w:p>
    <w:p w14:paraId="7DA4F95A">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3CFEF33F">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11、对甲方人员违章指挥或者可能危及人身安全、财产损失的指挥，乙方有权拒绝。 </w:t>
      </w:r>
    </w:p>
    <w:p w14:paraId="1BC693FA">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12、不得进行违反安全法律和其他、安全生产规章制度的行为。</w:t>
      </w:r>
    </w:p>
    <w:p w14:paraId="2C279A5D">
      <w:pPr>
        <w:snapToGrid w:val="0"/>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13、乙方对供应的材料在甲方施工场地外运输过程发生的安全事故承担全部责任，不得向甲方提出索赔要求。</w:t>
      </w:r>
    </w:p>
    <w:p w14:paraId="0659B2A3">
      <w:pPr>
        <w:spacing w:line="400" w:lineRule="exact"/>
        <w:jc w:val="left"/>
        <w:rPr>
          <w:rFonts w:hint="eastAsia" w:ascii="仿宋_GB2312" w:hAnsi="仿宋_GB2312" w:eastAsia="仿宋_GB2312" w:cs="仿宋_GB2312"/>
          <w:color w:val="000000" w:themeColor="text1"/>
          <w:sz w:val="24"/>
          <w:szCs w:val="24"/>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3A26CA51">
      <w:pPr>
        <w:spacing w:line="40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15、在施工现场发生事故时，应积极抢救伤员，保护事故现场，防止事故扩大，按甲方要求提供事故有关资料，并配合调查。</w:t>
      </w:r>
    </w:p>
    <w:p w14:paraId="7D2C5A9E">
      <w:pPr>
        <w:spacing w:line="400" w:lineRule="exact"/>
        <w:jc w:val="left"/>
        <w:rPr>
          <w:rFonts w:hint="eastAsia" w:ascii="仿宋_GB2312" w:hAnsi="仿宋_GB2312" w:eastAsia="仿宋_GB2312" w:cs="仿宋_GB2312"/>
          <w:b/>
          <w:bCs/>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 xml:space="preserve">    第五条 事故处理 </w:t>
      </w:r>
    </w:p>
    <w:p w14:paraId="299D4D65">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14:textFill>
            <w14:solidFill>
              <w14:schemeClr w14:val="tx1"/>
            </w14:solidFill>
          </w14:textFill>
        </w:rPr>
        <w:t>的规定进行事故处理及上报。乙方应及时将事故情况向甲方上报，不得迟报、漏报、谎报或瞒报。</w:t>
      </w:r>
    </w:p>
    <w:p w14:paraId="12AEE80C">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5B08CB5B">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3、由于没有认真履行安全责任，造成重大伤亡事故，情节严重的主要直接责任者，已触及国家刑律，应提请有关部门进行调查处理。 </w:t>
      </w:r>
    </w:p>
    <w:p w14:paraId="7B6E4855">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50D9E2C2">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5、由于甲方主要责任造成的伤亡事故，乙方有权要求甲方进行经济赔偿。由于乙方主要责任造成的伤亡事故，甲方有权要求乙方承担违约责任。</w:t>
      </w:r>
    </w:p>
    <w:p w14:paraId="51DD0C4F">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6、由于第三方责任导致乙方人员伤亡，及由于乙方责任导致第三方人员伤亡，由乙方负责并处理。</w:t>
      </w:r>
    </w:p>
    <w:p w14:paraId="282E18C1">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B7866BA">
      <w:pPr>
        <w:snapToGrid w:val="0"/>
        <w:spacing w:line="400" w:lineRule="exact"/>
        <w:ind w:firstLine="55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2509B368">
      <w:pPr>
        <w:spacing w:line="400" w:lineRule="exact"/>
        <w:ind w:firstLine="516" w:firstLineChars="214"/>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14:textFill>
            <w14:solidFill>
              <w14:schemeClr w14:val="tx1"/>
            </w14:solidFill>
          </w14:textFill>
        </w:rPr>
        <w:t>第六条</w:t>
      </w:r>
      <w:r>
        <w:rPr>
          <w:rFonts w:hint="eastAsia" w:ascii="仿宋_GB2312" w:hAnsi="仿宋_GB2312" w:eastAsia="仿宋_GB2312" w:cs="仿宋_GB2312"/>
          <w:color w:val="000000" w:themeColor="text1"/>
          <w:sz w:val="24"/>
          <w:szCs w:val="24"/>
          <w14:textFill>
            <w14:solidFill>
              <w14:schemeClr w14:val="tx1"/>
            </w14:solidFill>
          </w14:textFill>
        </w:rPr>
        <w:t xml:space="preserve"> 本合同生效条件与主合同相同。</w:t>
      </w:r>
    </w:p>
    <w:p w14:paraId="00345B5A">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p>
    <w:p w14:paraId="73A13281">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14:textFill>
            <w14:solidFill>
              <w14:schemeClr w14:val="tx1"/>
            </w14:solidFill>
          </w14:textFill>
        </w:rPr>
        <w:t xml:space="preserve">甲方（盖章）：                        乙方（公章）：             </w:t>
      </w:r>
    </w:p>
    <w:p w14:paraId="0A1B8284">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w:t>
      </w:r>
    </w:p>
    <w:p w14:paraId="5C6AC95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07BBAC3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45CB3D28">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20F60CB0">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1A5177A8">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bookmarkEnd w:id="80"/>
    </w:p>
    <w:p w14:paraId="426838F4">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br w:type="page"/>
      </w:r>
    </w:p>
    <w:p w14:paraId="335DC913">
      <w:pPr>
        <w:spacing w:line="400" w:lineRule="exact"/>
        <w:ind w:right="210" w:rightChars="100"/>
        <w:outlineLvl w:val="0"/>
        <w:rPr>
          <w:rFonts w:hint="eastAsia" w:ascii="仿宋_GB2312" w:hAnsi="仿宋_GB2312" w:eastAsia="仿宋_GB2312" w:cs="仿宋_GB2312"/>
          <w:color w:val="000000" w:themeColor="text1"/>
          <w:sz w:val="30"/>
          <w:szCs w:val="30"/>
          <w14:textFill>
            <w14:solidFill>
              <w14:schemeClr w14:val="tx1"/>
            </w14:solidFill>
          </w14:textFill>
        </w:rPr>
      </w:pPr>
      <w:bookmarkStart w:id="81" w:name="_Toc9726"/>
      <w:bookmarkStart w:id="82" w:name="_Toc776"/>
      <w:bookmarkStart w:id="83" w:name="_Toc24322"/>
      <w:r>
        <w:rPr>
          <w:rFonts w:hint="eastAsia" w:ascii="仿宋_GB2312" w:hAnsi="仿宋_GB2312" w:eastAsia="仿宋_GB2312" w:cs="仿宋_GB2312"/>
          <w:color w:val="000000" w:themeColor="text1"/>
          <w:sz w:val="30"/>
          <w:szCs w:val="30"/>
          <w14:textFill>
            <w14:solidFill>
              <w14:schemeClr w14:val="tx1"/>
            </w14:solidFill>
          </w14:textFill>
        </w:rPr>
        <w:t>附件四：</w:t>
      </w:r>
      <w:bookmarkEnd w:id="81"/>
      <w:bookmarkEnd w:id="82"/>
      <w:bookmarkEnd w:id="83"/>
    </w:p>
    <w:p w14:paraId="2FF7AEFA">
      <w:pPr>
        <w:spacing w:line="400" w:lineRule="exact"/>
        <w:jc w:val="center"/>
        <w:rPr>
          <w:rFonts w:hint="eastAsia" w:ascii="仿宋_GB2312" w:hAnsi="仿宋_GB2312" w:eastAsia="仿宋_GB2312" w:cs="仿宋_GB2312"/>
          <w:color w:val="000000" w:themeColor="text1"/>
          <w:sz w:val="30"/>
          <w:szCs w:val="30"/>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14:textFill>
            <w14:solidFill>
              <w14:schemeClr w14:val="tx1"/>
            </w14:solidFill>
          </w14:textFill>
        </w:rPr>
        <w:t>廉洁从业共建协议</w:t>
      </w:r>
      <w:bookmarkEnd w:id="84"/>
    </w:p>
    <w:p w14:paraId="4C0074D3">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u w:val="single"/>
          <w14:textFill>
            <w14:solidFill>
              <w14:schemeClr w14:val="tx1"/>
            </w14:solidFill>
          </w14:textFill>
        </w:rPr>
        <w:t>中建路桥集团第四工程有限公司</w:t>
      </w:r>
      <w:bookmarkEnd w:id="85"/>
      <w:r>
        <w:rPr>
          <w:rFonts w:hint="eastAsia" w:ascii="仿宋_GB2312" w:hAnsi="宋体" w:eastAsia="仿宋_GB2312"/>
          <w:color w:val="000000" w:themeColor="text1"/>
          <w:sz w:val="24"/>
          <w:szCs w:val="24"/>
          <w:u w:val="single"/>
          <w14:textFill>
            <w14:solidFill>
              <w14:schemeClr w14:val="tx1"/>
            </w14:solidFill>
          </w14:textFill>
        </w:rPr>
        <w:t xml:space="preserve">    </w:t>
      </w:r>
      <w:permEnd w:id="110"/>
      <w:r>
        <w:rPr>
          <w:rFonts w:hint="eastAsia" w:ascii="仿宋_GB2312" w:hAnsi="宋体" w:eastAsia="仿宋_GB2312"/>
          <w:color w:val="000000" w:themeColor="text1"/>
          <w:sz w:val="24"/>
          <w:szCs w:val="24"/>
          <w:u w:val="single"/>
          <w14:textFill>
            <w14:solidFill>
              <w14:schemeClr w14:val="tx1"/>
            </w14:solidFill>
          </w14:textFill>
        </w:rPr>
        <w:t xml:space="preserve"> </w:t>
      </w:r>
    </w:p>
    <w:p w14:paraId="488EB1D9">
      <w:pPr>
        <w:spacing w:line="46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乙方：</w:t>
      </w:r>
      <w:permStart w:id="111" w:edGrp="everyone"/>
      <w:r>
        <w:rPr>
          <w:rFonts w:hint="eastAsia" w:ascii="仿宋_GB2312" w:hAnsi="宋体" w:eastAsia="仿宋_GB2312"/>
          <w:color w:val="000000" w:themeColor="text1"/>
          <w:sz w:val="24"/>
          <w:szCs w:val="24"/>
          <w:u w:val="single"/>
          <w14:textFill>
            <w14:solidFill>
              <w14:schemeClr w14:val="tx1"/>
            </w14:solidFill>
          </w14:textFill>
        </w:rPr>
        <w:t xml:space="preserve">            </w:t>
      </w:r>
      <w:r>
        <w:rPr>
          <w:rFonts w:ascii="仿宋_GB2312" w:hAnsi="宋体" w:eastAsia="仿宋_GB2312"/>
          <w:color w:val="000000" w:themeColor="text1"/>
          <w:sz w:val="24"/>
          <w:szCs w:val="24"/>
          <w:u w:val="single"/>
          <w14:textFill>
            <w14:solidFill>
              <w14:schemeClr w14:val="tx1"/>
            </w14:solidFill>
          </w14:textFill>
        </w:rPr>
        <w:t xml:space="preserve">   </w:t>
      </w:r>
      <w:r>
        <w:rPr>
          <w:rFonts w:hint="eastAsia" w:ascii="仿宋_GB2312" w:hAnsi="宋体" w:eastAsia="仿宋_GB2312"/>
          <w:color w:val="000000" w:themeColor="text1"/>
          <w:sz w:val="24"/>
          <w:szCs w:val="24"/>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u w:val="single"/>
          <w14:textFill>
            <w14:solidFill>
              <w14:schemeClr w14:val="tx1"/>
            </w14:solidFill>
          </w14:textFill>
        </w:rPr>
        <w:t xml:space="preserve"> </w:t>
      </w:r>
    </w:p>
    <w:p w14:paraId="25499A97">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13BC54A5">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14:textFill>
            <w14:solidFill>
              <w14:schemeClr w14:val="tx1"/>
            </w14:solidFill>
          </w14:textFill>
        </w:rPr>
        <w:t>一、双方的责任</w:t>
      </w:r>
      <w:bookmarkEnd w:id="86"/>
    </w:p>
    <w:p w14:paraId="3B0803DA">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1.1应严格遵守国家关于建设工程的有关法律、法规，相关政策，以及廉政建设的各项规定。</w:t>
      </w:r>
    </w:p>
    <w:p w14:paraId="3D8887B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1.2严格执行建设工程合同文件，自觉按合同办事。</w:t>
      </w:r>
    </w:p>
    <w:p w14:paraId="39CBD9F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5C769C9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14:textFill>
            <w14:solidFill>
              <w14:schemeClr w14:val="tx1"/>
            </w14:solidFill>
          </w14:textFill>
        </w:rPr>
        <w:t>1.4发现双方在业务活动中有违规、违纪、违法行为的，应及时提醒对方，情节严重的，如实进行举报，一经查实，严肃处理。</w:t>
      </w:r>
    </w:p>
    <w:bookmarkEnd w:id="87"/>
    <w:p w14:paraId="4D6168D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14:textFill>
            <w14:solidFill>
              <w14:schemeClr w14:val="tx1"/>
            </w14:solidFill>
          </w14:textFill>
        </w:rPr>
        <w:t>二、甲方责任</w:t>
      </w:r>
      <w:bookmarkEnd w:id="88"/>
    </w:p>
    <w:p w14:paraId="2CFF540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甲方相关人员和从事该建设工程项目的工作人员，在工程建设的事前、事中、事后应遵守以下规定：</w:t>
      </w:r>
    </w:p>
    <w:p w14:paraId="5A4831B1">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EA72B45">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2.2</w:t>
      </w:r>
      <w:r>
        <w:rPr>
          <w:rFonts w:hint="eastAsia" w:ascii="仿宋_GB2312" w:hAnsi="宋体" w:eastAsia="仿宋_GB2312"/>
          <w:color w:val="000000" w:themeColor="text1"/>
          <w:sz w:val="24"/>
          <w:szCs w:val="24"/>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0E33B2FD">
      <w:pPr>
        <w:widowControl/>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2.3</w:t>
      </w:r>
      <w:r>
        <w:rPr>
          <w:rFonts w:hint="eastAsia" w:ascii="仿宋_GB2312" w:hAnsi="宋体" w:eastAsia="仿宋_GB2312"/>
          <w:color w:val="000000" w:themeColor="text1"/>
          <w:sz w:val="24"/>
          <w:szCs w:val="24"/>
          <w14:textFill>
            <w14:solidFill>
              <w14:schemeClr w14:val="tx1"/>
            </w14:solidFill>
          </w14:textFill>
        </w:rPr>
        <w:t>不安排己方员工的亲友在乙方工作；</w:t>
      </w:r>
    </w:p>
    <w:p w14:paraId="70663ADF">
      <w:pPr>
        <w:widowControl/>
        <w:spacing w:line="400" w:lineRule="exact"/>
        <w:ind w:firstLine="480" w:firstLineChars="200"/>
        <w:rPr>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2.4</w:t>
      </w:r>
      <w:r>
        <w:rPr>
          <w:rFonts w:hint="eastAsia" w:ascii="仿宋_GB2312" w:hAnsi="宋体" w:eastAsia="仿宋_GB2312"/>
          <w:color w:val="000000" w:themeColor="text1"/>
          <w:sz w:val="24"/>
          <w:szCs w:val="24"/>
          <w14:textFill>
            <w14:solidFill>
              <w14:schemeClr w14:val="tx1"/>
            </w14:solidFill>
          </w14:textFill>
        </w:rPr>
        <w:t>不得以任何理由向乙方推荐分包单位，不得要求乙方购买合同规定外的材料和设备；</w:t>
      </w:r>
    </w:p>
    <w:p w14:paraId="1CED683D">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2.5不得向乙方和相关单位索要或接受回扣、礼金、有价证券、贵重物品和好处费、感谢费等。</w:t>
      </w:r>
    </w:p>
    <w:p w14:paraId="5AC49CF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2.6不得在乙方和相关单位报销任何应由业主方或个人支付的费用。</w:t>
      </w:r>
    </w:p>
    <w:p w14:paraId="43C5868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2.7不得要求、暗示或接受乙方和相关单位为个人装修住房、婚丧嫁娶、配偶子女的工作安排以及出国(境)、旅游等提供方便。</w:t>
      </w:r>
    </w:p>
    <w:p w14:paraId="0BC756C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2.8不得参加有可能影响公正执行公务的乙方和相关单位的宴请、健身、娱乐等活动。</w:t>
      </w:r>
    </w:p>
    <w:p w14:paraId="79596A7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14:textFill>
            <w14:solidFill>
              <w14:schemeClr w14:val="tx1"/>
            </w14:solidFill>
          </w14:textFill>
        </w:rPr>
        <w:t>三、乙方责任</w:t>
      </w:r>
      <w:bookmarkEnd w:id="89"/>
    </w:p>
    <w:p w14:paraId="7656EE7C">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0080A5B">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3.1</w:t>
      </w:r>
      <w:r>
        <w:rPr>
          <w:rFonts w:hint="eastAsia" w:ascii="仿宋_GB2312" w:hAnsi="宋体" w:eastAsia="仿宋_GB2312"/>
          <w:color w:val="000000" w:themeColor="text1"/>
          <w:sz w:val="24"/>
          <w:szCs w:val="24"/>
          <w14:textFill>
            <w14:solidFill>
              <w14:schemeClr w14:val="tx1"/>
            </w14:solidFill>
          </w14:textFill>
        </w:rPr>
        <w:t>根据自己的实力参与甲方的招（议）标，遵守甲方的管理制度；不得在招标之前或过程中，以不正当手段谋求中标。</w:t>
      </w:r>
    </w:p>
    <w:p w14:paraId="4F81E98C">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45E98B4F">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3.3不得以任何理由为甲方和相关单位报销应由对方或个人支付的费用，包括出差期间的交通费和住宿费等。</w:t>
      </w:r>
    </w:p>
    <w:p w14:paraId="2B9228F2">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3.4不得以甲方员工及其亲属的家庭装修、婚丧嫁娶、出国留学等事宜为由进行提供资金及物资资助等行贿行为。</w:t>
      </w:r>
    </w:p>
    <w:p w14:paraId="21399E30">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3.5</w:t>
      </w:r>
      <w:r>
        <w:rPr>
          <w:rFonts w:hint="eastAsia" w:ascii="仿宋_GB2312" w:eastAsia="仿宋_GB2312" w:cs="宋体"/>
          <w:color w:val="000000" w:themeColor="text1"/>
          <w:kern w:val="0"/>
          <w:sz w:val="24"/>
          <w:szCs w:val="24"/>
          <w14:textFill>
            <w14:solidFill>
              <w14:schemeClr w14:val="tx1"/>
            </w14:solidFill>
          </w14:textFill>
        </w:rPr>
        <w:t>不得向甲方员工提供礼品、礼金、贵重物品或消费卡、会员卡、礼品券等虚拟电子礼品，严禁快递送礼。</w:t>
      </w:r>
    </w:p>
    <w:p w14:paraId="3A765BD9">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6</w:t>
      </w:r>
      <w:r>
        <w:rPr>
          <w:rFonts w:hint="eastAsia" w:ascii="仿宋_GB2312" w:eastAsia="仿宋_GB2312" w:cs="宋体"/>
          <w:color w:val="000000" w:themeColor="text1"/>
          <w:kern w:val="0"/>
          <w:sz w:val="24"/>
          <w:szCs w:val="24"/>
          <w14:textFill>
            <w14:solidFill>
              <w14:schemeClr w14:val="tx1"/>
            </w14:solidFill>
          </w14:textFill>
        </w:rPr>
        <w:t>不得以任何理由为甲方、相关单位或个人组织有可能影响公正执行公务的宴请、健身、娱乐等活动。</w:t>
      </w:r>
    </w:p>
    <w:p w14:paraId="69AE6773">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3.7</w:t>
      </w:r>
      <w:r>
        <w:rPr>
          <w:rFonts w:hint="eastAsia" w:ascii="仿宋_GB2312" w:eastAsia="仿宋_GB2312" w:cs="宋体"/>
          <w:color w:val="000000" w:themeColor="text1"/>
          <w:kern w:val="0"/>
          <w:sz w:val="24"/>
          <w:szCs w:val="24"/>
          <w14:textFill>
            <w14:solidFill>
              <w14:schemeClr w14:val="tx1"/>
            </w14:solidFill>
          </w14:textFill>
        </w:rPr>
        <w:t>不得与甲方员工就标书合同条款中的利益条款进行私下协商或达成默契。</w:t>
      </w:r>
    </w:p>
    <w:p w14:paraId="62C39BE3">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hint="eastAsia" w:ascii="仿宋_GB2312" w:eastAsia="仿宋_GB2312" w:cs="宋体"/>
          <w:color w:val="000000" w:themeColor="text1"/>
          <w:kern w:val="0"/>
          <w:sz w:val="24"/>
          <w:szCs w:val="24"/>
          <w14:textFill>
            <w14:solidFill>
              <w14:schemeClr w14:val="tx1"/>
            </w14:solidFill>
          </w14:textFill>
        </w:rPr>
        <w:t>3</w:t>
      </w:r>
      <w:r>
        <w:rPr>
          <w:rFonts w:ascii="仿宋_GB2312" w:eastAsia="仿宋_GB2312" w:cs="宋体"/>
          <w:color w:val="000000" w:themeColor="text1"/>
          <w:kern w:val="0"/>
          <w:sz w:val="24"/>
          <w:szCs w:val="24"/>
          <w14:textFill>
            <w14:solidFill>
              <w14:schemeClr w14:val="tx1"/>
            </w14:solidFill>
          </w14:textFill>
        </w:rPr>
        <w:t>.8</w:t>
      </w:r>
      <w:r>
        <w:rPr>
          <w:rFonts w:hint="eastAsia" w:ascii="仿宋_GB2312" w:eastAsia="仿宋_GB2312" w:cs="宋体"/>
          <w:color w:val="000000" w:themeColor="text1"/>
          <w:kern w:val="0"/>
          <w:sz w:val="24"/>
          <w:szCs w:val="24"/>
          <w14:textFill>
            <w14:solidFill>
              <w14:schemeClr w14:val="tx1"/>
            </w14:solidFill>
          </w14:textFill>
        </w:rPr>
        <w:t>不得安排甲方员工及其亲属从事合资或合股经营行为，不向甲方打探商业秘密或提供兼职报酬。</w:t>
      </w:r>
    </w:p>
    <w:p w14:paraId="05405000">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3.9</w:t>
      </w:r>
      <w:r>
        <w:rPr>
          <w:rFonts w:hint="eastAsia" w:ascii="仿宋_GB2312" w:eastAsia="仿宋_GB2312" w:cs="宋体"/>
          <w:color w:val="000000" w:themeColor="text1"/>
          <w:kern w:val="0"/>
          <w:sz w:val="24"/>
          <w:szCs w:val="24"/>
          <w14:textFill>
            <w14:solidFill>
              <w14:schemeClr w14:val="tx1"/>
            </w14:solidFill>
          </w14:textFill>
        </w:rPr>
        <w:t>不在甲方人员进行市场调研、商务洽谈等期间违规提供公务接待。</w:t>
      </w:r>
    </w:p>
    <w:p w14:paraId="0F49BF22">
      <w:pPr>
        <w:spacing w:line="400" w:lineRule="exact"/>
        <w:ind w:firstLine="480" w:firstLineChars="200"/>
        <w:rPr>
          <w:rFonts w:ascii="仿宋_GB2312" w:eastAsia="仿宋_GB2312" w:cs="宋体"/>
          <w:color w:val="000000" w:themeColor="text1"/>
          <w:kern w:val="0"/>
          <w:sz w:val="24"/>
          <w:szCs w:val="24"/>
          <w14:textFill>
            <w14:solidFill>
              <w14:schemeClr w14:val="tx1"/>
            </w14:solidFill>
          </w14:textFill>
        </w:rPr>
      </w:pPr>
      <w:r>
        <w:rPr>
          <w:rFonts w:ascii="仿宋_GB2312" w:eastAsia="仿宋_GB2312" w:cs="宋体"/>
          <w:color w:val="000000" w:themeColor="text1"/>
          <w:kern w:val="0"/>
          <w:sz w:val="24"/>
          <w:szCs w:val="24"/>
          <w14:textFill>
            <w14:solidFill>
              <w14:schemeClr w14:val="tx1"/>
            </w14:solidFill>
          </w14:textFill>
        </w:rPr>
        <w:t>3.10</w:t>
      </w:r>
      <w:r>
        <w:rPr>
          <w:rFonts w:hint="eastAsia" w:ascii="仿宋_GB2312" w:eastAsia="仿宋_GB2312" w:cs="宋体"/>
          <w:color w:val="000000" w:themeColor="text1"/>
          <w:kern w:val="0"/>
          <w:sz w:val="24"/>
          <w:szCs w:val="24"/>
          <w14:textFill>
            <w14:solidFill>
              <w14:schemeClr w14:val="tx1"/>
            </w14:solidFill>
          </w14:textFill>
        </w:rPr>
        <w:t>对甲方员工违反本协议的行为及时向甲方的上级监督部门报告。</w:t>
      </w:r>
    </w:p>
    <w:p w14:paraId="1B36387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14:textFill>
            <w14:solidFill>
              <w14:schemeClr w14:val="tx1"/>
            </w14:solidFill>
          </w14:textFill>
        </w:rPr>
        <w:t>四、违约责任</w:t>
      </w:r>
      <w:bookmarkEnd w:id="90"/>
    </w:p>
    <w:p w14:paraId="0A221C02">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4.1甲方工作人员有违反本责任书第一、二条责任行为的，依据有关法律及甲方《员工守则》，提交甲方纪检部门进行处理。</w:t>
      </w:r>
    </w:p>
    <w:p w14:paraId="5999313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14:textFill>
            <w14:solidFill>
              <w14:schemeClr w14:val="tx1"/>
            </w14:solidFill>
          </w14:textFill>
        </w:rPr>
        <w:t>罚款。</w:t>
      </w:r>
    </w:p>
    <w:p w14:paraId="65022FE5">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4.3甲方工作人员不得接受可能影响公正执行公务的礼金（包括各种有价证券）、礼品馈赠。因各种原因未能拒收的，一律上交所属部门并登记。</w:t>
      </w:r>
    </w:p>
    <w:p w14:paraId="1FF45C61">
      <w:pPr>
        <w:spacing w:line="400" w:lineRule="exact"/>
        <w:ind w:firstLine="480" w:firstLineChars="200"/>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4.4</w:t>
      </w:r>
      <w:r>
        <w:rPr>
          <w:rFonts w:hint="eastAsia" w:ascii="仿宋_GB2312" w:hAnsi="宋体" w:eastAsia="仿宋_GB2312" w:cs="宋体"/>
          <w:color w:val="000000" w:themeColor="text1"/>
          <w:kern w:val="0"/>
          <w:sz w:val="24"/>
          <w:szCs w:val="24"/>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14:textFill>
            <w14:solidFill>
              <w14:schemeClr w14:val="tx1"/>
            </w14:solidFill>
          </w14:textFill>
        </w:rPr>
        <w:t>触犯刑律的，移交司法机关处理。</w:t>
      </w:r>
    </w:p>
    <w:p w14:paraId="7C88B63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4.5本责任书作为主合同的组成部分，与本合同具有同等法律效力。生效条件与主合同相同。</w:t>
      </w:r>
    </w:p>
    <w:p w14:paraId="23C2AEE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五、监督举报渠道</w:t>
      </w:r>
    </w:p>
    <w:p w14:paraId="7EBB940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5.1信访办公室</w:t>
      </w:r>
    </w:p>
    <w:p w14:paraId="7D2AA369">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来信地址：石家庄市建设南大街38号中建路桥集团有限公司信访办公室（收）</w:t>
      </w:r>
    </w:p>
    <w:p w14:paraId="67CBEF7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15ADF5C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电话：0311-66538159</w:t>
      </w:r>
    </w:p>
    <w:p w14:paraId="4DBBB04F">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电子邮箱：sinorbbg@cscec.com</w:t>
      </w:r>
    </w:p>
    <w:p w14:paraId="3467A3B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5.2纪检监督工作部</w:t>
      </w:r>
    </w:p>
    <w:p w14:paraId="06FF5A6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来信地址：石家庄市建设南大街38号中建路桥集团有限公司纪检监督工作部（收）</w:t>
      </w:r>
    </w:p>
    <w:p w14:paraId="0D3ADAA3">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邮编：050011</w:t>
      </w:r>
    </w:p>
    <w:p w14:paraId="25E256D0">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电话：0311-66538173</w:t>
      </w:r>
    </w:p>
    <w:p w14:paraId="77293ADB">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电子邮箱：sinorbjc@cscec.com</w:t>
      </w:r>
    </w:p>
    <w:p w14:paraId="03C3E6D6">
      <w:pPr>
        <w:widowControl/>
        <w:spacing w:line="400" w:lineRule="exact"/>
        <w:ind w:firstLine="480" w:firstLineChars="200"/>
        <w:rPr>
          <w:rFonts w:hint="eastAsia"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六、责任书有效期</w:t>
      </w:r>
    </w:p>
    <w:p w14:paraId="0D7B5C36">
      <w:pPr>
        <w:widowControl/>
        <w:spacing w:line="400" w:lineRule="exact"/>
        <w:ind w:firstLine="480" w:firstLineChars="200"/>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本责任书的有效期为双方签署之日起至该工程项目竣工验收合格时止。</w:t>
      </w:r>
    </w:p>
    <w:p w14:paraId="508D4D7F">
      <w:pPr>
        <w:pStyle w:val="11"/>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57E2DEB9">
      <w:pPr>
        <w:pStyle w:val="11"/>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p>
    <w:p w14:paraId="35873407">
      <w:pPr>
        <w:pStyle w:val="11"/>
        <w:spacing w:line="400" w:lineRule="exact"/>
        <w:ind w:firstLine="480" w:firstLineChars="200"/>
        <w:rPr>
          <w:rFonts w:hint="eastAsia" w:ascii="仿宋_GB2312" w:hAnsi="仿宋_GB2312" w:eastAsia="仿宋_GB2312" w:cs="仿宋_GB2312"/>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甲方（盖章）：                        乙方（公章）：</w:t>
      </w:r>
    </w:p>
    <w:p w14:paraId="1EE3BBB3">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21A47CA0">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3E4DBB40">
      <w:pPr>
        <w:autoSpaceDE w:val="0"/>
        <w:autoSpaceDN w:val="0"/>
        <w:adjustRightInd w:val="0"/>
        <w:spacing w:line="400" w:lineRule="atLeast"/>
        <w:ind w:firstLine="960" w:firstLineChars="4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471557C6">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18D51263">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412F1012">
      <w:pPr>
        <w:rPr>
          <w:rFonts w:hint="eastAsia"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p>
    <w:p w14:paraId="45884D8B">
      <w:pPr>
        <w:pStyle w:val="11"/>
        <w:jc w:val="center"/>
        <w:outlineLvl w:val="0"/>
        <w:rPr>
          <w:rFonts w:hint="eastAsia" w:ascii="仿宋" w:hAnsi="仿宋" w:eastAsia="仿宋" w:cs="仿宋"/>
          <w:b/>
          <w:bCs/>
          <w:color w:val="000000" w:themeColor="text1"/>
          <w:sz w:val="32"/>
          <w:szCs w:val="32"/>
          <w14:textFill>
            <w14:solidFill>
              <w14:schemeClr w14:val="tx1"/>
            </w14:solidFill>
          </w14:textFill>
        </w:rPr>
      </w:pPr>
      <w:bookmarkStart w:id="91" w:name="_Toc18674"/>
      <w:bookmarkStart w:id="92" w:name="_Toc1869"/>
      <w:bookmarkStart w:id="93" w:name="_Hlk127794870"/>
      <w:bookmarkStart w:id="94" w:name="_Toc1495"/>
      <w:r>
        <w:rPr>
          <w:rFonts w:hint="eastAsia" w:ascii="黑体" w:hAnsi="黑体" w:eastAsia="黑体" w:cs="黑体"/>
          <w:b/>
          <w:bCs/>
          <w:color w:val="000000" w:themeColor="text1"/>
          <w:sz w:val="32"/>
          <w:szCs w:val="32"/>
          <w14:textFill>
            <w14:solidFill>
              <w14:schemeClr w14:val="tx1"/>
            </w14:solidFill>
          </w14:textFill>
        </w:rPr>
        <w:t>第二部分 通用条款</w:t>
      </w:r>
      <w:bookmarkEnd w:id="91"/>
      <w:bookmarkEnd w:id="92"/>
      <w:bookmarkEnd w:id="93"/>
    </w:p>
    <w:p w14:paraId="1913A085">
      <w:pPr>
        <w:pStyle w:val="11"/>
        <w:numPr>
          <w:ilvl w:val="0"/>
          <w:numId w:val="8"/>
        </w:numPr>
        <w:spacing w:before="120" w:beforeLines="50" w:after="120" w:afterLines="50" w:line="400" w:lineRule="atLeast"/>
        <w:ind w:firstLine="482"/>
        <w:outlineLvl w:val="0"/>
        <w:rPr>
          <w:rFonts w:hint="eastAsia" w:ascii="仿宋_GB2312" w:hAnsi="仿宋_GB2312" w:eastAsia="仿宋_GB2312" w:cs="仿宋_GB2312"/>
          <w:b/>
          <w:bCs/>
          <w:color w:val="000000" w:themeColor="text1"/>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14:textFill>
            <w14:solidFill>
              <w14:schemeClr w14:val="tx1"/>
            </w14:solidFill>
          </w14:textFill>
        </w:rPr>
        <w:t>货物合同附随义务</w:t>
      </w:r>
      <w:bookmarkEnd w:id="94"/>
      <w:bookmarkEnd w:id="95"/>
      <w:bookmarkEnd w:id="96"/>
    </w:p>
    <w:p w14:paraId="2101CBAF">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1.乙方义务</w:t>
      </w:r>
    </w:p>
    <w:p w14:paraId="5CEFC958">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1.1乙方合规义务</w:t>
      </w:r>
    </w:p>
    <w:p w14:paraId="760C2DD3">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1.1.1合规开展行业竞争：</w:t>
      </w:r>
      <w:r>
        <w:rPr>
          <w:rFonts w:hint="eastAsia" w:ascii="仿宋_GB2312" w:hAnsi="仿宋_GB2312" w:eastAsia="仿宋_GB2312" w:cs="仿宋_GB2312"/>
          <w:color w:val="000000" w:themeColor="text1"/>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4C46F754">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1.1.2合规保障服务生产：</w:t>
      </w:r>
      <w:r>
        <w:rPr>
          <w:rFonts w:hint="eastAsia" w:ascii="仿宋_GB2312" w:hAnsi="仿宋_GB2312" w:eastAsia="仿宋_GB2312" w:cs="仿宋_GB2312"/>
          <w:color w:val="000000" w:themeColor="text1"/>
          <w14:textFill>
            <w14:solidFill>
              <w14:schemeClr w14:val="tx1"/>
            </w14:solidFill>
          </w14:textFill>
        </w:rPr>
        <w:t>恪守契约精神，严格按照合同约定时间和地点完成货物交付，全力保障项目物资设备供应需求。</w:t>
      </w:r>
    </w:p>
    <w:p w14:paraId="598B3F22">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1.1.3合规履行安全管控职责：</w:t>
      </w:r>
      <w:r>
        <w:rPr>
          <w:rFonts w:hint="eastAsia" w:ascii="仿宋_GB2312" w:hAnsi="仿宋_GB2312" w:eastAsia="仿宋_GB2312" w:cs="仿宋_GB2312"/>
          <w:color w:val="000000" w:themeColor="text1"/>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4E01F196">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1.1.4合规履行质量管控职责：</w:t>
      </w:r>
      <w:r>
        <w:rPr>
          <w:rFonts w:hint="eastAsia" w:ascii="仿宋_GB2312" w:hAnsi="仿宋_GB2312" w:eastAsia="仿宋_GB2312" w:cs="仿宋_GB2312"/>
          <w:color w:val="000000" w:themeColor="text1"/>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3B9DF975">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1.1.5合规依法纳税职责：</w:t>
      </w:r>
      <w:r>
        <w:rPr>
          <w:rFonts w:hint="eastAsia" w:ascii="仿宋_GB2312" w:hAnsi="仿宋_GB2312" w:eastAsia="仿宋_GB2312" w:cs="仿宋_GB2312"/>
          <w:color w:val="000000" w:themeColor="text1"/>
          <w14:textFill>
            <w14:solidFill>
              <w14:schemeClr w14:val="tx1"/>
            </w14:solidFill>
          </w14:textFill>
        </w:rPr>
        <w:t>严格按照国家税法规定，履行合法合规纳税义务，绝不虚开或伪造增值税专用发票。</w:t>
      </w:r>
    </w:p>
    <w:p w14:paraId="3677E1E9">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1.1.6合规拥有货物所有权：</w:t>
      </w:r>
      <w:r>
        <w:rPr>
          <w:rFonts w:hint="eastAsia" w:ascii="仿宋_GB2312" w:hAnsi="仿宋_GB2312" w:eastAsia="仿宋_GB2312" w:cs="仿宋_GB2312"/>
          <w:color w:val="000000" w:themeColor="text1"/>
          <w14:textFill>
            <w14:solidFill>
              <w14:schemeClr w14:val="tx1"/>
            </w14:solidFill>
          </w14:textFill>
        </w:rPr>
        <w:t>保证对货物具有所有权或受委托代理销售权，并向甲方出具相关凭证。保证交付的货物不附有任何担保权、留置权或设定其他权利负担。</w:t>
      </w:r>
    </w:p>
    <w:p w14:paraId="30226A68">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1.1.7合规拥有</w:t>
      </w:r>
      <w:r>
        <w:rPr>
          <w:rFonts w:ascii="仿宋_GB2312" w:hAnsi="仿宋_GB2312" w:eastAsia="仿宋_GB2312" w:cs="仿宋_GB2312"/>
          <w:b/>
          <w:bCs/>
          <w:color w:val="000000" w:themeColor="text1"/>
          <w14:textFill>
            <w14:solidFill>
              <w14:schemeClr w14:val="tx1"/>
            </w14:solidFill>
          </w14:textFill>
        </w:rPr>
        <w:t>货物知识产权：</w:t>
      </w:r>
      <w:r>
        <w:rPr>
          <w:rFonts w:ascii="仿宋_GB2312" w:hAnsi="仿宋_GB2312" w:eastAsia="仿宋_GB2312" w:cs="仿宋_GB2312"/>
          <w:color w:val="000000" w:themeColor="text1"/>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358EB8D">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1.1.8合规开展廉洁共建职责：</w:t>
      </w:r>
      <w:r>
        <w:rPr>
          <w:rFonts w:hint="eastAsia" w:ascii="仿宋_GB2312" w:hAnsi="仿宋_GB2312" w:eastAsia="仿宋_GB2312" w:cs="仿宋_GB2312"/>
          <w:color w:val="000000" w:themeColor="text1"/>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75515CE8">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1.2乙方其他义务</w:t>
      </w:r>
    </w:p>
    <w:p w14:paraId="4D662492">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1.2.1增值服务：</w:t>
      </w:r>
      <w:r>
        <w:rPr>
          <w:rFonts w:hint="eastAsia" w:ascii="仿宋_GB2312" w:hAnsi="仿宋_GB2312" w:eastAsia="仿宋_GB2312" w:cs="仿宋_GB2312"/>
          <w:color w:val="000000" w:themeColor="text1"/>
          <w14:textFill>
            <w14:solidFill>
              <w14:schemeClr w14:val="tx1"/>
            </w14:solidFill>
          </w14:textFill>
        </w:rPr>
        <w:t>乙方应提供与货物配套的增值服务；包括但不限于技术支持、深化设计、现场培训及货物安装指导等工作，相应费用已在综合单价考虑。</w:t>
      </w:r>
    </w:p>
    <w:p w14:paraId="6295CB48">
      <w:pPr>
        <w:pStyle w:val="11"/>
        <w:spacing w:line="400" w:lineRule="atLeast"/>
        <w:ind w:firstLine="482"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1.2.2货物退货与置换：</w:t>
      </w:r>
      <w:r>
        <w:rPr>
          <w:rFonts w:hint="eastAsia" w:ascii="仿宋_GB2312" w:hAnsi="仿宋_GB2312" w:eastAsia="仿宋_GB2312" w:cs="仿宋_GB2312"/>
          <w:color w:val="000000" w:themeColor="text1"/>
          <w14:textFill>
            <w14:solidFill>
              <w14:schemeClr w14:val="tx1"/>
            </w14:solidFill>
          </w14:textFill>
        </w:rPr>
        <w:t>乙方供应的货物，根据不同情况甲方可选择直接向乙方退货或向乙方置换，乙方同意按甲方选择的方式办理：</w:t>
      </w:r>
    </w:p>
    <w:p w14:paraId="27A4659F">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（1）对于未使用且不影响二次销售的材料，若甲方选择退货，则双方按甲方退货后实际收到合格货物数量办理结算。</w:t>
      </w:r>
    </w:p>
    <w:p w14:paraId="68DB3DC8">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（2）对于已使用的材料，若甲方选择置换，则双方协商估算原材料残值并置换等价值新材料。</w:t>
      </w:r>
    </w:p>
    <w:p w14:paraId="3DDE0443">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u w:val="single"/>
          <w14:textFill>
            <w14:solidFill>
              <w14:schemeClr w14:val="tx1"/>
            </w14:solidFill>
          </w14:textFill>
        </w:rPr>
        <w:t xml:space="preserve"> 甲方 </w:t>
      </w:r>
      <w:r>
        <w:rPr>
          <w:rFonts w:hint="eastAsia" w:ascii="仿宋_GB2312" w:hAnsi="仿宋_GB2312" w:eastAsia="仿宋_GB2312" w:cs="仿宋_GB2312"/>
          <w:color w:val="000000" w:themeColor="text1"/>
          <w14:textFill>
            <w14:solidFill>
              <w14:schemeClr w14:val="tx1"/>
            </w14:solidFill>
          </w14:textFill>
        </w:rPr>
        <w:t>承担，装卸费用由</w:t>
      </w:r>
      <w:r>
        <w:rPr>
          <w:rFonts w:hint="eastAsia" w:ascii="仿宋_GB2312" w:hAnsi="仿宋_GB2312" w:eastAsia="仿宋_GB2312" w:cs="仿宋_GB2312"/>
          <w:color w:val="000000" w:themeColor="text1"/>
          <w:u w:val="single"/>
          <w14:textFill>
            <w14:solidFill>
              <w14:schemeClr w14:val="tx1"/>
            </w14:solidFill>
          </w14:textFill>
        </w:rPr>
        <w:t xml:space="preserve"> 甲方 </w:t>
      </w:r>
      <w:r>
        <w:rPr>
          <w:rFonts w:hint="eastAsia" w:ascii="仿宋_GB2312" w:hAnsi="仿宋_GB2312" w:eastAsia="仿宋_GB2312" w:cs="仿宋_GB2312"/>
          <w:color w:val="000000" w:themeColor="text1"/>
          <w14:textFill>
            <w14:solidFill>
              <w14:schemeClr w14:val="tx1"/>
            </w14:solidFill>
          </w14:textFill>
        </w:rPr>
        <w:t>承担。</w:t>
      </w:r>
    </w:p>
    <w:p w14:paraId="095659AE">
      <w:pPr>
        <w:pStyle w:val="11"/>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2.甲方义务</w:t>
      </w:r>
    </w:p>
    <w:p w14:paraId="50BB2BCC">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2.1材料需用计划：</w:t>
      </w:r>
      <w:r>
        <w:rPr>
          <w:rFonts w:hint="eastAsia" w:ascii="仿宋_GB2312" w:hAnsi="仿宋_GB2312" w:eastAsia="仿宋_GB2312" w:cs="仿宋_GB2312"/>
          <w:color w:val="000000" w:themeColor="text1"/>
          <w14:textFill>
            <w14:solidFill>
              <w14:schemeClr w14:val="tx1"/>
            </w14:solidFill>
          </w14:textFill>
        </w:rPr>
        <w:t>甲方合理制定材料总需用计划及日常需用计划，并按照合同约定提前通知乙方，给予乙方充足备货期。</w:t>
      </w:r>
    </w:p>
    <w:p w14:paraId="378C04CE">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2.2配合材料卸货：</w:t>
      </w:r>
      <w:r>
        <w:rPr>
          <w:rFonts w:hint="eastAsia" w:ascii="仿宋_GB2312" w:hAnsi="仿宋_GB2312" w:eastAsia="仿宋_GB2312" w:cs="仿宋_GB2312"/>
          <w:color w:val="000000" w:themeColor="text1"/>
          <w14:textFill>
            <w14:solidFill>
              <w14:schemeClr w14:val="tx1"/>
            </w14:solidFill>
          </w14:textFill>
        </w:rPr>
        <w:t>乙方在材料运抵交货前2天通知甲方，甲方应在验收合格后，提供堆放场地或堆放仓库，配合乙方材料卸货。</w:t>
      </w:r>
    </w:p>
    <w:p w14:paraId="11A1288F">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97" w:name="_Toc13486"/>
      <w:bookmarkStart w:id="98" w:name="_Toc965"/>
      <w:bookmarkStart w:id="99" w:name="_Toc1717"/>
      <w:r>
        <w:rPr>
          <w:rFonts w:hint="eastAsia" w:ascii="仿宋_GB2312" w:hAnsi="仿宋_GB2312" w:eastAsia="仿宋_GB2312" w:cs="仿宋_GB2312"/>
          <w:b/>
          <w:bCs/>
          <w:color w:val="000000" w:themeColor="text1"/>
          <w14:textFill>
            <w14:solidFill>
              <w14:schemeClr w14:val="tx1"/>
            </w14:solidFill>
          </w14:textFill>
        </w:rPr>
        <w:t>货物违约责任</w:t>
      </w:r>
      <w:bookmarkEnd w:id="97"/>
      <w:bookmarkEnd w:id="98"/>
      <w:bookmarkEnd w:id="99"/>
    </w:p>
    <w:p w14:paraId="6E9DA1A1">
      <w:pPr>
        <w:pStyle w:val="11"/>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未按计划时间供应：</w:t>
      </w:r>
    </w:p>
    <w:p w14:paraId="304E99B8">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u w:val="single"/>
          <w14:textFill>
            <w14:solidFill>
              <w14:schemeClr w14:val="tx1"/>
            </w14:solidFill>
          </w14:textFill>
        </w:rPr>
        <w:t xml:space="preserve"> 2 次</w:t>
      </w:r>
      <w:r>
        <w:rPr>
          <w:rFonts w:hint="eastAsia" w:ascii="仿宋_GB2312" w:hAnsi="仿宋_GB2312" w:eastAsia="仿宋_GB2312" w:cs="仿宋_GB2312"/>
          <w:color w:val="000000" w:themeColor="text1"/>
          <w14:textFill>
            <w14:solidFill>
              <w14:schemeClr w14:val="tx1"/>
            </w14:solidFill>
          </w14:textFill>
        </w:rPr>
        <w:t>，乙方须向甲方支付违约金，</w:t>
      </w:r>
      <w:r>
        <w:rPr>
          <w:rFonts w:hint="eastAsia" w:ascii="仿宋_GB2312" w:hAnsi="仿宋_GB2312" w:eastAsia="仿宋_GB2312" w:cs="仿宋_GB2312"/>
          <w:b/>
          <w:bCs/>
          <w:color w:val="000000" w:themeColor="text1"/>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乙方延迟交付超</w:t>
      </w:r>
      <w:r>
        <w:rPr>
          <w:rFonts w:hint="eastAsia" w:ascii="仿宋_GB2312" w:hAnsi="仿宋_GB2312" w:eastAsia="仿宋_GB2312" w:cs="仿宋_GB2312"/>
          <w:color w:val="000000" w:themeColor="text1"/>
          <w:u w:val="single"/>
          <w14:textFill>
            <w14:solidFill>
              <w14:schemeClr w14:val="tx1"/>
            </w14:solidFill>
          </w14:textFill>
        </w:rPr>
        <w:t xml:space="preserve"> 7 </w:t>
      </w:r>
      <w:r>
        <w:rPr>
          <w:rFonts w:hint="eastAsia" w:ascii="仿宋_GB2312" w:hAnsi="仿宋_GB2312" w:eastAsia="仿宋_GB2312" w:cs="仿宋_GB2312"/>
          <w:color w:val="000000" w:themeColor="text1"/>
          <w14:textFill>
            <w14:solidFill>
              <w14:schemeClr w14:val="tx1"/>
            </w14:solidFill>
          </w14:textFill>
        </w:rPr>
        <w:t>日的，甲方有权单方解除本合同。</w:t>
      </w:r>
    </w:p>
    <w:p w14:paraId="526C07FA">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157ADD63">
      <w:pPr>
        <w:pStyle w:val="11"/>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未按指定地点或方式供应：</w:t>
      </w:r>
    </w:p>
    <w:p w14:paraId="258BD118">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7FE14D0C">
      <w:pPr>
        <w:pStyle w:val="11"/>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不符合约定货物质量标准：</w:t>
      </w:r>
    </w:p>
    <w:p w14:paraId="0155C292">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；经甲方书面要求整改一次仍无法达到合同要求时，甲方有权单方解除合同。</w:t>
      </w:r>
    </w:p>
    <w:p w14:paraId="5215FC3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14:textFill>
            <w14:solidFill>
              <w14:schemeClr w14:val="tx1"/>
            </w14:solidFill>
          </w14:textFill>
        </w:rPr>
        <w:t>。</w:t>
      </w:r>
    </w:p>
    <w:p w14:paraId="307A4F2F">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F3C84A8">
      <w:pPr>
        <w:pStyle w:val="11"/>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未履行开具增值税发票义务：</w:t>
      </w:r>
    </w:p>
    <w:p w14:paraId="2FB9FEE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14:textFill>
            <w14:solidFill>
              <w14:schemeClr w14:val="tx1"/>
            </w14:solidFill>
          </w14:textFill>
        </w:rPr>
        <w:t>％增值税税率×2）作为违约金：</w:t>
      </w:r>
    </w:p>
    <w:p w14:paraId="0D7547B4">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4.1不具有开具增值税专用发票的纳税人资格。</w:t>
      </w:r>
    </w:p>
    <w:p w14:paraId="674C7F0F">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4.2未能按本合同约定的税率开具增值税专用发票。</w:t>
      </w:r>
    </w:p>
    <w:p w14:paraId="7CB344E7">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4.3提供的增值税专用发票是乙方以外的主体开具。</w:t>
      </w:r>
    </w:p>
    <w:p w14:paraId="046745B0">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4.4拖欠增值税专用发票金额累计达100万元以上。</w:t>
      </w:r>
    </w:p>
    <w:p w14:paraId="08E9167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7110203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4.6提供伪造的增值税专用发票。</w:t>
      </w:r>
    </w:p>
    <w:p w14:paraId="12B17671">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4.7虚开增值税专用发票。</w:t>
      </w:r>
    </w:p>
    <w:p w14:paraId="3D197C08">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4.8其它导致甲方无法进行增值税抵扣的情形。</w:t>
      </w:r>
    </w:p>
    <w:p w14:paraId="15B8147A">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乙方存在以上情形的，除承担相应违约责任外，还应赔偿甲方因此所受损失，同时不免除乙方开具合法合规增值税专用发票的义务。</w:t>
      </w:r>
    </w:p>
    <w:p w14:paraId="51F6506E">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71786A11">
      <w:pPr>
        <w:pStyle w:val="11"/>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未履行安全责任及义务：</w:t>
      </w:r>
    </w:p>
    <w:p w14:paraId="338A13C6">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5.1乙方不能满足甲方有关安全文明施工措施、环境和职业健康安全方面的要求时，乙方按照项目实际工期损失、经济损失承担违约金。</w:t>
      </w:r>
    </w:p>
    <w:p w14:paraId="532567AC">
      <w:pPr>
        <w:spacing w:line="400" w:lineRule="exac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5.2由于乙方原因造成甲方人员人身伤害，乙方应立即采取补救措施，并全额赔偿甲方相关人员损失。</w:t>
      </w:r>
    </w:p>
    <w:p w14:paraId="5D071C08">
      <w:pPr>
        <w:pStyle w:val="11"/>
        <w:numPr>
          <w:ilvl w:val="0"/>
          <w:numId w:val="9"/>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未经同意转让权利及义务：</w:t>
      </w:r>
    </w:p>
    <w:p w14:paraId="74CB43F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4FBF5A9">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14:textFill>
            <w14:solidFill>
              <w14:schemeClr w14:val="tx1"/>
            </w14:solidFill>
          </w14:textFill>
        </w:rPr>
        <w:t>未履行结算义务：</w:t>
      </w:r>
    </w:p>
    <w:p w14:paraId="410C2970">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0A9E8DC0">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（1）伪造或虚开货款数据，一经发现处以罚款2万元/次。</w:t>
      </w:r>
    </w:p>
    <w:p w14:paraId="7FB0ACFA">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（2）伪造甲方管理人员签字盖章，一经发现处以罚款5万元/次。</w:t>
      </w:r>
    </w:p>
    <w:p w14:paraId="37E8F5CC">
      <w:pPr>
        <w:pStyle w:val="11"/>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14:textFill>
            <w14:solidFill>
              <w14:schemeClr w14:val="tx1"/>
            </w14:solidFill>
          </w14:textFill>
        </w:rPr>
        <w:t>。</w:t>
      </w:r>
      <w:bookmarkEnd w:id="101"/>
      <w:bookmarkEnd w:id="102"/>
    </w:p>
    <w:p w14:paraId="7F2A5A10">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3" w:name="_Toc11521"/>
      <w:bookmarkStart w:id="104" w:name="_Toc19191"/>
      <w:bookmarkStart w:id="105" w:name="_Toc20335"/>
      <w:r>
        <w:rPr>
          <w:rFonts w:hint="eastAsia" w:ascii="仿宋_GB2312" w:hAnsi="仿宋_GB2312" w:eastAsia="仿宋_GB2312" w:cs="仿宋_GB2312"/>
          <w:b/>
          <w:bCs/>
          <w:color w:val="000000" w:themeColor="text1"/>
          <w14:textFill>
            <w14:solidFill>
              <w14:schemeClr w14:val="tx1"/>
            </w14:solidFill>
          </w14:textFill>
        </w:rPr>
        <w:t>8、供货知识产权存在瑕疵：</w:t>
      </w:r>
    </w:p>
    <w:p w14:paraId="16CE188B">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20％的违约金。甲方针对上述一切损失有权从乙方结算货款中扣除或依法追索。</w:t>
      </w:r>
    </w:p>
    <w:p w14:paraId="7B90425E">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9、私运项目物资</w:t>
      </w:r>
    </w:p>
    <w:p w14:paraId="684F00FD">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若乙方私自运送甲方现场物资出场，乙方需向甲方支付所涉及物资原值【2】倍的违约金，情节严重的交由司法机关处理。</w:t>
      </w:r>
    </w:p>
    <w:p w14:paraId="39E5D908">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10、未履行本协议约定义务：</w:t>
      </w:r>
    </w:p>
    <w:p w14:paraId="41C3C9B2">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0F1D7793">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11、违约后的处置方式：</w:t>
      </w:r>
    </w:p>
    <w:p w14:paraId="788107EF">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乙方违约后，甲方有权直接从乙方结算款或应付款中扣除违约金；甲方决定合同继续履行的，乙方除承担上述违约责任，仍应继续履行合同。</w:t>
      </w:r>
    </w:p>
    <w:p w14:paraId="091A4B3F">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货物缺陷索赔</w:t>
      </w:r>
      <w:bookmarkEnd w:id="103"/>
      <w:bookmarkEnd w:id="104"/>
      <w:bookmarkEnd w:id="105"/>
    </w:p>
    <w:p w14:paraId="50C56742">
      <w:pPr>
        <w:pStyle w:val="12"/>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1、质量缺陷索赔：</w:t>
      </w:r>
      <w:r>
        <w:rPr>
          <w:rFonts w:hint="eastAsia" w:ascii="仿宋_GB2312" w:hAnsi="仿宋_GB2312" w:eastAsia="仿宋_GB2312" w:cs="仿宋_GB2312"/>
          <w:color w:val="000000" w:themeColor="text1"/>
          <w:sz w:val="24"/>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401731BB">
      <w:pPr>
        <w:pStyle w:val="12"/>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2、缺陷索赔解决方式：</w:t>
      </w:r>
      <w:r>
        <w:rPr>
          <w:rFonts w:hint="eastAsia" w:ascii="仿宋_GB2312" w:hAnsi="仿宋_GB2312" w:eastAsia="仿宋_GB2312" w:cs="仿宋_GB2312"/>
          <w:color w:val="000000" w:themeColor="text1"/>
          <w:sz w:val="24"/>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54DBBC35">
      <w:pPr>
        <w:pStyle w:val="12"/>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0CD01EF7">
      <w:pPr>
        <w:pStyle w:val="12"/>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2.2根据货物的质量缺陷和受损程度以及甲方遭受损失的程度，经双方协商同意降低货物价格。</w:t>
      </w:r>
    </w:p>
    <w:p w14:paraId="274097D0">
      <w:pPr>
        <w:pStyle w:val="12"/>
        <w:spacing w:after="24" w:afterLines="10" w:line="400" w:lineRule="atLeast"/>
        <w:ind w:right="0" w:firstLine="480"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740CD53C">
      <w:pPr>
        <w:pStyle w:val="12"/>
        <w:spacing w:after="24" w:afterLines="10" w:line="400" w:lineRule="atLeast"/>
        <w:ind w:right="0" w:firstLine="482" w:firstLineChars="200"/>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14:textFill>
            <w14:solidFill>
              <w14:schemeClr w14:val="tx1"/>
            </w14:solidFill>
          </w14:textFill>
        </w:rPr>
        <w:t>，甲方有权从乙方货款中扣除索赔金额，不足部分，甲方有权向乙方追偿。</w:t>
      </w:r>
    </w:p>
    <w:p w14:paraId="2B5D545C">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4、其他缺陷索赔：</w:t>
      </w:r>
      <w:r>
        <w:rPr>
          <w:rFonts w:hint="eastAsia" w:ascii="仿宋_GB2312" w:hAnsi="仿宋_GB2312" w:eastAsia="仿宋_GB2312" w:cs="仿宋_GB2312"/>
          <w:color w:val="000000" w:themeColor="text1"/>
          <w14:textFill>
            <w14:solidFill>
              <w14:schemeClr w14:val="tx1"/>
            </w14:solidFill>
          </w14:textFill>
        </w:rPr>
        <w:t>对于甲方提出的非质量缺陷的其他索赔通知，参照适用缺陷索赔规则。</w:t>
      </w:r>
    </w:p>
    <w:p w14:paraId="367A271D">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06" w:name="_Toc13471"/>
      <w:bookmarkStart w:id="107" w:name="_Toc13562"/>
      <w:bookmarkStart w:id="108" w:name="_Toc12864"/>
      <w:r>
        <w:rPr>
          <w:rFonts w:hint="eastAsia" w:ascii="仿宋_GB2312" w:hAnsi="仿宋_GB2312" w:eastAsia="仿宋_GB2312" w:cs="仿宋_GB2312"/>
          <w:b/>
          <w:bCs/>
          <w:color w:val="000000" w:themeColor="text1"/>
          <w14:textFill>
            <w14:solidFill>
              <w14:schemeClr w14:val="tx1"/>
            </w14:solidFill>
          </w14:textFill>
        </w:rPr>
        <w:t>合同变更</w:t>
      </w:r>
      <w:bookmarkEnd w:id="106"/>
      <w:bookmarkEnd w:id="107"/>
      <w:bookmarkEnd w:id="108"/>
    </w:p>
    <w:p w14:paraId="073B4746">
      <w:pPr>
        <w:pStyle w:val="11"/>
        <w:numPr>
          <w:ilvl w:val="0"/>
          <w:numId w:val="10"/>
        </w:numPr>
        <w:spacing w:line="400" w:lineRule="atLeast"/>
        <w:ind w:firstLine="480" w:firstLineChars="200"/>
        <w:jc w:val="both"/>
        <w:rPr>
          <w:rFonts w:hint="eastAsia"/>
          <w:szCs w:val="21"/>
        </w:rPr>
      </w:pPr>
      <w:r>
        <w:rPr>
          <w:rFonts w:hint="eastAsia" w:ascii="仿宋_GB2312" w:hAnsi="仿宋_GB2312" w:eastAsia="仿宋_GB2312" w:cs="仿宋_GB2312"/>
          <w:color w:val="000000" w:themeColor="text1"/>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14:textFill>
            <w14:solidFill>
              <w14:schemeClr w14:val="tx1"/>
            </w14:solidFill>
          </w14:textFill>
        </w:rPr>
        <w:t>，此类补充文件需按本合同约定的生效条件加盖与本合同相同的印章才可视为成立并生效，具有同等法律效力。</w:t>
      </w:r>
    </w:p>
    <w:p w14:paraId="082A03B4">
      <w:pPr>
        <w:pStyle w:val="11"/>
        <w:numPr>
          <w:ilvl w:val="0"/>
          <w:numId w:val="10"/>
        </w:numPr>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bookmarkStart w:id="109" w:name="_Toc29083"/>
      <w:bookmarkStart w:id="110" w:name="_Toc28560"/>
      <w:bookmarkStart w:id="111" w:name="_Toc23441"/>
      <w:r>
        <w:rPr>
          <w:rFonts w:hint="eastAsia" w:ascii="仿宋_GB2312" w:hAnsi="仿宋_GB2312" w:eastAsia="仿宋_GB2312" w:cs="仿宋_GB2312"/>
          <w:color w:val="000000" w:themeColor="text1"/>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4EDCB781">
      <w:pPr>
        <w:pStyle w:val="11"/>
        <w:numPr>
          <w:ilvl w:val="0"/>
          <w:numId w:val="10"/>
        </w:numPr>
        <w:spacing w:line="400" w:lineRule="atLeast"/>
        <w:ind w:firstLine="480"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工程建设单位、监理单位及相关部门出台的相关规定文件、市场准入制度造成合同不能执行，甲方不承担任何责任。</w:t>
      </w:r>
    </w:p>
    <w:p w14:paraId="0478A2AA">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合同解除</w:t>
      </w:r>
      <w:bookmarkEnd w:id="109"/>
      <w:bookmarkEnd w:id="110"/>
      <w:bookmarkEnd w:id="111"/>
    </w:p>
    <w:p w14:paraId="2304FC39">
      <w:pPr>
        <w:pStyle w:val="11"/>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12" w:name="_Hlk126831282"/>
      <w:r>
        <w:rPr>
          <w:rFonts w:hint="eastAsia" w:ascii="仿宋_GB2312" w:hAnsi="仿宋_GB2312" w:eastAsia="仿宋_GB2312" w:cs="仿宋_GB2312"/>
          <w:color w:val="000000" w:themeColor="text1"/>
          <w14:textFill>
            <w14:solidFill>
              <w14:schemeClr w14:val="tx1"/>
            </w14:solidFill>
          </w14:textFill>
        </w:rPr>
        <w:t>因不可抗力致使不能实现合同目的等原因，经甲、乙双方协商一致同意可解除合同。</w:t>
      </w:r>
    </w:p>
    <w:p w14:paraId="114CCD7C">
      <w:pPr>
        <w:pStyle w:val="11"/>
        <w:numPr>
          <w:ilvl w:val="0"/>
          <w:numId w:val="11"/>
        </w:numPr>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如甲方与业主签订的总承包合同解除或终止，或因业主变更导致甲方无需采购约定材料，则甲方以书面形式通知乙方终止本合同。</w:t>
      </w:r>
    </w:p>
    <w:p w14:paraId="4A73B90E">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3、乙方具有下列事由之一的，甲方可以单方全部解除合同或部分解除合同或终止合同，乙方已收款项全部无条件返还：</w:t>
      </w:r>
    </w:p>
    <w:p w14:paraId="548F31F7">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3.1乙方所提供的产品无法通过相关部门（如质监、监理、设计方、甲方及当地相关政府部门等）验收合格；</w:t>
      </w:r>
    </w:p>
    <w:p w14:paraId="147CAF71">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3.2在产品使用后发生因产品质量问题造成人员、财产受到损害的；</w:t>
      </w:r>
    </w:p>
    <w:p w14:paraId="0E634C4F">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3.3乙方将本合同项下权利义务全部或部分转让的；</w:t>
      </w:r>
    </w:p>
    <w:p w14:paraId="12732667">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3.4未按本合同约定时间交货累计延误达10日历天；</w:t>
      </w:r>
    </w:p>
    <w:p w14:paraId="6694FDA1">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7CD2FCE0">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3.6甲方发现产品不能满足本合同约定的质量标准时，或在本合同履行过程中，乙方未按甲方的要求及时进行整改的；</w:t>
      </w:r>
    </w:p>
    <w:p w14:paraId="453C1316">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3.7在本合同履行过程中乙方漠视甲方、设计方指令的或未按甲方、设计方指令执行的；</w:t>
      </w:r>
    </w:p>
    <w:p w14:paraId="2CB51A9F">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3.9其他法律规定可解除合同的事由。</w:t>
      </w:r>
    </w:p>
    <w:p w14:paraId="3ACB0141">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18FBFCFF">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14:textFill>
            <w14:solidFill>
              <w14:schemeClr w14:val="tx1"/>
            </w14:solidFill>
          </w14:textFill>
        </w:rPr>
        <w:t>。</w:t>
      </w:r>
    </w:p>
    <w:p w14:paraId="16258912">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3" w:name="_Toc17777"/>
      <w:bookmarkStart w:id="114" w:name="_Toc24603"/>
      <w:bookmarkStart w:id="115" w:name="_Toc16580"/>
      <w:r>
        <w:rPr>
          <w:rFonts w:hint="eastAsia" w:ascii="仿宋_GB2312" w:hAnsi="仿宋_GB2312" w:eastAsia="仿宋_GB2312" w:cs="仿宋_GB2312"/>
          <w:b/>
          <w:bCs/>
          <w:color w:val="000000" w:themeColor="text1"/>
          <w14:textFill>
            <w14:solidFill>
              <w14:schemeClr w14:val="tx1"/>
            </w14:solidFill>
          </w14:textFill>
        </w:rPr>
        <w:t>不可抗力</w:t>
      </w:r>
      <w:bookmarkEnd w:id="113"/>
      <w:bookmarkEnd w:id="114"/>
      <w:bookmarkEnd w:id="115"/>
    </w:p>
    <w:p w14:paraId="3908477D">
      <w:pPr>
        <w:pStyle w:val="11"/>
        <w:numPr>
          <w:ilvl w:val="0"/>
          <w:numId w:val="12"/>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不可抗力的确认和通知</w:t>
      </w:r>
    </w:p>
    <w:p w14:paraId="0DAB58FC">
      <w:pPr>
        <w:pStyle w:val="11"/>
        <w:numPr>
          <w:ilvl w:val="255"/>
          <w:numId w:val="0"/>
        </w:numPr>
        <w:spacing w:line="400" w:lineRule="atLeast"/>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lang w:eastAsia="zh-Hans"/>
          <w14:textFill>
            <w14:solidFill>
              <w14:schemeClr w14:val="tx1"/>
            </w14:solidFill>
          </w14:textFill>
        </w:rPr>
        <w:t xml:space="preserve">    </w:t>
      </w:r>
      <w:r>
        <w:rPr>
          <w:rFonts w:hint="eastAsia" w:ascii="仿宋_GB2312" w:hAnsi="仿宋_GB2312" w:eastAsia="仿宋_GB2312" w:cs="仿宋_GB2312"/>
          <w:color w:val="000000" w:themeColor="text1"/>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01817578">
      <w:pPr>
        <w:pStyle w:val="11"/>
        <w:numPr>
          <w:ilvl w:val="0"/>
          <w:numId w:val="12"/>
        </w:numPr>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不可抗力的通知</w:t>
      </w:r>
    </w:p>
    <w:p w14:paraId="5E843FBA">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128DB930">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 不可抗力事件结束后14天内，乙方应向甲方提交清理和修复费用的正式报告及有关资料。</w:t>
      </w:r>
    </w:p>
    <w:p w14:paraId="6206139E">
      <w:pPr>
        <w:pStyle w:val="11"/>
        <w:numPr>
          <w:ilvl w:val="0"/>
          <w:numId w:val="1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不可抗力风险的承担</w:t>
      </w:r>
    </w:p>
    <w:p w14:paraId="1E2B828C">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3.1 不可抗力导致的人员伤亡、财产损失、费用增加和（或）作业期限延误等后果，由合同当事人按以下原则承担：</w:t>
      </w:r>
    </w:p>
    <w:p w14:paraId="063BE8CA">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（1）乙方施工设备的损坏由乙方承担；</w:t>
      </w:r>
    </w:p>
    <w:p w14:paraId="435E3C23">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（2）甲方和乙方承担各自人员伤亡和财产的损失；</w:t>
      </w:r>
    </w:p>
    <w:p w14:paraId="1135F1BF">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（3）因不可抗力影响乙方履行合同约定的义务，已经引起或将引起工期延误的，应当顺延工期，由此导致乙方停工的费用损失由乙方承担；</w:t>
      </w:r>
    </w:p>
    <w:p w14:paraId="5D87D67F">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（4）因不可抗力引起或将引起工期延误，甲方要求赶工的，由此增加的赶工费用由甲方承担；</w:t>
      </w:r>
    </w:p>
    <w:p w14:paraId="3F3CA320">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（5）乙方在停工期间按照甲方要求照管和清理甲方工程的费用由甲方承担。</w:t>
      </w:r>
    </w:p>
    <w:p w14:paraId="144AC610">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39D1993">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3.2 因合同一方迟延履行合同义务，在迟延履行期间遭遇不可抗力的，不免除其违约责任。</w:t>
      </w:r>
    </w:p>
    <w:p w14:paraId="0CEAD401">
      <w:pPr>
        <w:pStyle w:val="11"/>
        <w:numPr>
          <w:ilvl w:val="0"/>
          <w:numId w:val="12"/>
        </w:numPr>
        <w:spacing w:line="400" w:lineRule="atLeast"/>
        <w:ind w:firstLine="482" w:firstLineChars="20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因不可抗力解除合同</w:t>
      </w:r>
    </w:p>
    <w:p w14:paraId="27D3D54D">
      <w:pPr>
        <w:pStyle w:val="11"/>
        <w:numPr>
          <w:ilvl w:val="255"/>
          <w:numId w:val="0"/>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04AAA186">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16" w:name="_Toc10852"/>
      <w:bookmarkStart w:id="117" w:name="_Toc18501"/>
      <w:bookmarkStart w:id="118" w:name="_Toc9310"/>
      <w:r>
        <w:rPr>
          <w:rFonts w:hint="eastAsia" w:ascii="仿宋_GB2312" w:hAnsi="仿宋_GB2312" w:eastAsia="仿宋_GB2312" w:cs="仿宋_GB2312"/>
          <w:b/>
          <w:bCs/>
          <w:color w:val="000000" w:themeColor="text1"/>
          <w14:textFill>
            <w14:solidFill>
              <w14:schemeClr w14:val="tx1"/>
            </w14:solidFill>
          </w14:textFill>
        </w:rPr>
        <w:t>争议解决</w:t>
      </w:r>
      <w:bookmarkEnd w:id="116"/>
      <w:bookmarkEnd w:id="117"/>
      <w:bookmarkEnd w:id="118"/>
    </w:p>
    <w:p w14:paraId="21034E26">
      <w:pPr>
        <w:pStyle w:val="11"/>
        <w:spacing w:line="400" w:lineRule="atLeast"/>
        <w:ind w:firstLine="482"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1、争议和解：</w:t>
      </w:r>
      <w:r>
        <w:rPr>
          <w:rFonts w:hint="eastAsia" w:ascii="仿宋_GB2312" w:hAnsi="仿宋_GB2312" w:eastAsia="仿宋_GB2312" w:cs="仿宋_GB2312"/>
          <w:color w:val="000000" w:themeColor="text1"/>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6D9D1B0">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在对方收到上述通知之日起</w:t>
      </w:r>
      <w:r>
        <w:rPr>
          <w:rFonts w:hint="eastAsia" w:ascii="仿宋_GB2312" w:hAnsi="仿宋_GB2312" w:eastAsia="仿宋_GB2312" w:cs="仿宋_GB2312"/>
          <w:color w:val="000000" w:themeColor="text1"/>
          <w:u w:val="single"/>
          <w14:textFill>
            <w14:solidFill>
              <w14:schemeClr w14:val="tx1"/>
            </w14:solidFill>
          </w14:textFill>
        </w:rPr>
        <w:t>3个月</w:t>
      </w:r>
      <w:r>
        <w:rPr>
          <w:rFonts w:hint="eastAsia" w:ascii="仿宋_GB2312" w:hAnsi="仿宋_GB2312" w:eastAsia="仿宋_GB2312" w:cs="仿宋_GB2312"/>
          <w:color w:val="000000" w:themeColor="text1"/>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D4E0429">
      <w:pPr>
        <w:spacing w:line="400" w:lineRule="exact"/>
        <w:ind w:firstLine="422" w:firstLineChars="200"/>
        <w:jc w:val="left"/>
        <w:rPr>
          <w:rFonts w:hint="eastAsia" w:ascii="仿宋_GB2312" w:hAnsi="仿宋_GB2312" w:eastAsia="仿宋_GB2312" w:cs="仿宋_GB2312"/>
          <w:color w:val="000000" w:themeColor="text1"/>
          <w:kern w:val="0"/>
          <w:sz w:val="24"/>
          <w:szCs w:val="24"/>
          <w14:textFill>
            <w14:solidFill>
              <w14:schemeClr w14:val="tx1"/>
            </w14:solidFill>
          </w14:textFill>
        </w:rPr>
      </w:pPr>
      <w:bookmarkStart w:id="119" w:name="_Hlk126830485"/>
      <w:bookmarkStart w:id="120" w:name="_Hlk126770481"/>
      <w:bookmarkStart w:id="121" w:name="_Toc18393"/>
      <w:bookmarkStart w:id="122" w:name="_Toc31739"/>
      <w:bookmarkStart w:id="123" w:name="_Toc11207"/>
      <w:r>
        <w:rPr>
          <w:rFonts w:hint="eastAsia" w:ascii="仿宋_GB2312" w:hAnsi="仿宋_GB2312" w:eastAsia="仿宋_GB2312" w:cs="仿宋_GB2312"/>
          <w:b/>
          <w:bCs/>
          <w:color w:val="000000" w:themeColor="text1"/>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14:textFill>
            <w14:solidFill>
              <w14:schemeClr w14:val="tx1"/>
            </w14:solidFill>
          </w14:textFill>
        </w:rPr>
        <w:t>种方式解决。</w:t>
      </w:r>
    </w:p>
    <w:p w14:paraId="75026DB6">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2.1.1双方约定向甲方住所地有管辖权的人民法院提起诉讼。</w:t>
      </w:r>
    </w:p>
    <w:p w14:paraId="7937D0A1">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2.1.2双方约定向合同签订地人民法院提起诉讼。</w:t>
      </w:r>
    </w:p>
    <w:p w14:paraId="6D4BB7E2">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2.2.3提交河北省石家庄市仲裁委员会裁决。</w:t>
      </w:r>
    </w:p>
    <w:p w14:paraId="0CDA3BA3">
      <w:pPr>
        <w:pStyle w:val="11"/>
        <w:spacing w:line="400" w:lineRule="atLeast"/>
        <w:ind w:firstLine="482" w:firstLineChars="200"/>
        <w:jc w:val="both"/>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14:textFill>
            <w14:solidFill>
              <w14:schemeClr w14:val="tx1"/>
            </w14:solidFill>
          </w14:textFill>
        </w:rPr>
        <w:t>。</w:t>
      </w:r>
      <w:bookmarkEnd w:id="120"/>
    </w:p>
    <w:p w14:paraId="2B2E8A4C">
      <w:pPr>
        <w:pStyle w:val="11"/>
        <w:spacing w:line="400" w:lineRule="atLeast"/>
        <w:ind w:firstLine="482" w:firstLineChars="200"/>
        <w:jc w:val="both"/>
        <w:rPr>
          <w:rFonts w:hint="eastAsia"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2.3因仲裁或诉讼产生的各项合理费用由双方自行承担，包括但不限于案件受理费、律师费、仲裁费、保全费、保全保险费、差旅费、公证费及鉴定费等因仲裁或诉讼引发的费用。</w:t>
      </w:r>
    </w:p>
    <w:p w14:paraId="337C5449">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保密义务</w:t>
      </w:r>
      <w:bookmarkEnd w:id="121"/>
      <w:bookmarkEnd w:id="122"/>
      <w:bookmarkEnd w:id="123"/>
    </w:p>
    <w:p w14:paraId="43BA43B8">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bookmarkStart w:id="125" w:name="_Toc12970"/>
      <w:r>
        <w:rPr>
          <w:rFonts w:hint="eastAsia" w:ascii="仿宋_GB2312" w:hAnsi="仿宋_GB2312" w:eastAsia="仿宋_GB2312" w:cs="仿宋_GB2312"/>
          <w:color w:val="000000" w:themeColor="text1"/>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5BC4C375">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268B42A3">
      <w:pPr>
        <w:pStyle w:val="11"/>
        <w:numPr>
          <w:ilvl w:val="0"/>
          <w:numId w:val="8"/>
        </w:numPr>
        <w:spacing w:before="120" w:beforeLines="50" w:after="120" w:afterLines="50" w:line="400" w:lineRule="atLeast"/>
        <w:ind w:firstLine="482" w:firstLineChars="200"/>
        <w:outlineLvl w:val="0"/>
        <w:rPr>
          <w:rFonts w:hint="eastAsia" w:ascii="仿宋_GB2312" w:hAnsi="仿宋_GB2312" w:eastAsia="仿宋_GB2312" w:cs="仿宋_GB2312"/>
          <w:b/>
          <w:bCs/>
          <w:color w:val="000000" w:themeColor="text1"/>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14:textFill>
            <w14:solidFill>
              <w14:schemeClr w14:val="tx1"/>
            </w14:solidFill>
          </w14:textFill>
        </w:rPr>
        <w:t>其他条款</w:t>
      </w:r>
      <w:bookmarkEnd w:id="125"/>
      <w:bookmarkEnd w:id="126"/>
      <w:bookmarkEnd w:id="127"/>
    </w:p>
    <w:p w14:paraId="4788269B">
      <w:pPr>
        <w:pStyle w:val="11"/>
        <w:numPr>
          <w:ilvl w:val="0"/>
          <w:numId w:val="13"/>
        </w:numPr>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本合同与甲方招标文件、乙方投标文件有相抵触之处，均以本合同条款为准。</w:t>
      </w:r>
    </w:p>
    <w:p w14:paraId="4D3DD569">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2、本合同附件是本合同有效组成部分，与本合同具有同等效力。</w:t>
      </w:r>
    </w:p>
    <w:p w14:paraId="5830F376">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3、本合同未尽事宜，按《中华人民共和国民法典》有关规定执行。</w:t>
      </w:r>
    </w:p>
    <w:p w14:paraId="68F8D94B">
      <w:pPr>
        <w:pStyle w:val="11"/>
        <w:spacing w:line="400" w:lineRule="atLeast"/>
        <w:ind w:firstLine="48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4、其他约定</w:t>
      </w:r>
      <w:permStart w:id="114" w:edGrp="everyone"/>
      <w:r>
        <w:rPr>
          <w:rFonts w:hint="eastAsia" w:ascii="仿宋_GB2312" w:hAnsi="仿宋_GB2312" w:eastAsia="仿宋_GB2312" w:cs="仿宋_GB2312"/>
          <w:color w:val="000000" w:themeColor="text1"/>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14:textFill>
            <w14:solidFill>
              <w14:schemeClr w14:val="tx1"/>
            </w14:solidFill>
          </w14:textFill>
        </w:rPr>
        <w:t>。</w:t>
      </w:r>
    </w:p>
    <w:p w14:paraId="2DB513E0">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bookmarkStart w:id="128" w:name="_Toc20230"/>
      <w:r>
        <w:rPr>
          <w:rFonts w:hint="eastAsia" w:ascii="仿宋_GB2312" w:hAnsi="仿宋_GB2312" w:eastAsia="仿宋_GB2312" w:cs="仿宋_GB2312"/>
          <w:color w:val="000000" w:themeColor="text1"/>
          <w14:textFill>
            <w14:solidFill>
              <w14:schemeClr w14:val="tx1"/>
            </w14:solidFill>
          </w14:textFill>
        </w:rPr>
        <w:t>以下无正文</w:t>
      </w:r>
      <w:bookmarkEnd w:id="128"/>
    </w:p>
    <w:p w14:paraId="16C834FF">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14:paraId="19A5CC18">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甲  方：                               乙  方：</w:t>
      </w:r>
    </w:p>
    <w:p w14:paraId="089363B4">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法定代表人：                           法定代表人：</w:t>
      </w:r>
    </w:p>
    <w:p w14:paraId="19649F99">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xml:space="preserve">    或                                     或</w:t>
      </w:r>
    </w:p>
    <w:p w14:paraId="444B74B1">
      <w:pPr>
        <w:autoSpaceDE w:val="0"/>
        <w:autoSpaceDN w:val="0"/>
        <w:adjustRightInd w:val="0"/>
        <w:spacing w:line="400" w:lineRule="atLeast"/>
        <w:ind w:firstLine="720" w:firstLineChars="300"/>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被委托人：                           被委托人：</w:t>
      </w:r>
    </w:p>
    <w:p w14:paraId="1DC8886A">
      <w:pPr>
        <w:spacing w:line="400" w:lineRule="exac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年  月  日                          年  月  日 </w:t>
      </w:r>
    </w:p>
    <w:p w14:paraId="31260361">
      <w:pPr>
        <w:spacing w:line="400" w:lineRule="exact"/>
        <w:ind w:firstLine="5040" w:firstLineChars="210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14:paraId="1A5C74E9">
      <w:pPr>
        <w:pStyle w:val="11"/>
        <w:spacing w:line="400" w:lineRule="atLeast"/>
        <w:ind w:firstLine="480" w:firstLineChars="200"/>
        <w:jc w:val="both"/>
        <w:rPr>
          <w:rFonts w:hint="eastAsia" w:ascii="仿宋_GB2312" w:hAnsi="仿宋_GB2312" w:eastAsia="仿宋_GB2312" w:cs="仿宋_GB2312"/>
          <w:color w:val="000000" w:themeColor="text1"/>
          <w14:textFill>
            <w14:solidFill>
              <w14:schemeClr w14:val="tx1"/>
            </w14:solidFill>
          </w14:textFill>
        </w:rPr>
      </w:pPr>
    </w:p>
    <w:p w14:paraId="67FDCBDC">
      <w:pPr>
        <w:rPr>
          <w:rFonts w:hint="eastAsia" w:ascii="仿宋_GB2312" w:hAnsi="仿宋_GB2312" w:eastAsia="仿宋_GB2312" w:cs="仿宋_GB2312"/>
          <w:color w:val="000000" w:themeColor="text1"/>
          <w:sz w:val="24"/>
          <w14:textFill>
            <w14:solidFill>
              <w14:schemeClr w14:val="tx1"/>
            </w14:solidFill>
          </w14:textFill>
        </w:rPr>
      </w:pPr>
    </w:p>
    <w:p w14:paraId="0E82A020"/>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CB4A">
    <w:pPr>
      <w:pStyle w:val="6"/>
      <w:jc w:val="center"/>
      <w:rPr>
        <w:rFonts w:hint="eastAsia" w:ascii="仿宋" w:hAnsi="仿宋" w:eastAsia="仿宋" w:cs="仿宋"/>
        <w:sz w:val="24"/>
        <w:szCs w:val="36"/>
      </w:rPr>
    </w:pPr>
    <w:r>
      <w:rPr>
        <w:rFonts w:hint="eastAsia" w:ascii="仿宋" w:hAnsi="仿宋" w:eastAsia="仿宋" w:cs="仿宋"/>
        <w:sz w:val="24"/>
        <w:szCs w:val="36"/>
      </w:rPr>
      <w:t>中建三局第*建设工程有限责任公司</w:t>
    </w:r>
  </w:p>
  <w:p w14:paraId="580088E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1DD0">
    <w:pPr>
      <w:pStyle w:val="6"/>
      <w:jc w:val="center"/>
      <w:rPr>
        <w:rFonts w:hint="eastAsia"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7494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5109">
    <w:pPr>
      <w:pStyle w:val="6"/>
      <w:jc w:val="center"/>
      <w:rPr>
        <w:rFonts w:hint="eastAsia"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AF3E3">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34FB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2F34FB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204A7">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D2245">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90D2245">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579EA">
    <w:pPr>
      <w:pStyle w:val="7"/>
    </w:pPr>
  </w:p>
  <w:p w14:paraId="65A2DBE0">
    <w:pPr>
      <w:pStyle w:val="7"/>
    </w:pPr>
  </w:p>
  <w:p w14:paraId="33DA005C">
    <w:pPr>
      <w:pStyle w:val="7"/>
    </w:pPr>
  </w:p>
  <w:p w14:paraId="4D4C970C">
    <w:pPr>
      <w:pStyle w:val="7"/>
    </w:pPr>
  </w:p>
  <w:p w14:paraId="0E4B8818">
    <w:pPr>
      <w:pStyle w:val="7"/>
      <w:jc w:val="left"/>
      <w:rPr>
        <w:b/>
        <w:bCs/>
      </w:rPr>
    </w:pPr>
    <w:r>
      <w:rPr>
        <w:b/>
        <w:bCs/>
      </w:rPr>
      <w:t>CSCEC</w:t>
    </w:r>
    <w:r>
      <w:t xml:space="preserve">  </w:t>
    </w:r>
    <w:r>
      <w:rPr>
        <w:rFonts w:hint="eastAsia"/>
        <w:b/>
        <w:bCs/>
      </w:rPr>
      <w:t xml:space="preserve">                                                                                 中建</w:t>
    </w:r>
  </w:p>
  <w:p w14:paraId="02B0C74E">
    <w:pPr>
      <w:pStyle w:val="7"/>
    </w:pPr>
  </w:p>
  <w:p w14:paraId="52DAB2DB">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6D6C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C89E92E">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4CF4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8212478">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A516B">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hint="eastAsia"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028056">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MTljZDliZGE1YTQ3MDg0NzQyZGE4M2VmMjM1YjIifQ=="/>
  </w:docVars>
  <w:rsids>
    <w:rsidRoot w:val="00DF440A"/>
    <w:rsid w:val="000470BD"/>
    <w:rsid w:val="00354112"/>
    <w:rsid w:val="00540BA0"/>
    <w:rsid w:val="00761765"/>
    <w:rsid w:val="00807A33"/>
    <w:rsid w:val="008617E3"/>
    <w:rsid w:val="00893A36"/>
    <w:rsid w:val="0090307E"/>
    <w:rsid w:val="009615B9"/>
    <w:rsid w:val="009C589E"/>
    <w:rsid w:val="00A83762"/>
    <w:rsid w:val="00D73226"/>
    <w:rsid w:val="00DF440A"/>
    <w:rsid w:val="00FC7BA2"/>
    <w:rsid w:val="02005B8D"/>
    <w:rsid w:val="0560216C"/>
    <w:rsid w:val="07677F35"/>
    <w:rsid w:val="07E22A1E"/>
    <w:rsid w:val="07E72489"/>
    <w:rsid w:val="085E3A06"/>
    <w:rsid w:val="087D170E"/>
    <w:rsid w:val="087F3DE8"/>
    <w:rsid w:val="0C2C12C5"/>
    <w:rsid w:val="0CDB347F"/>
    <w:rsid w:val="0DA67128"/>
    <w:rsid w:val="0DB8731C"/>
    <w:rsid w:val="0F145A60"/>
    <w:rsid w:val="0F5D461F"/>
    <w:rsid w:val="0FC42F6E"/>
    <w:rsid w:val="10122848"/>
    <w:rsid w:val="10EB5431"/>
    <w:rsid w:val="11A93B4C"/>
    <w:rsid w:val="14926CC5"/>
    <w:rsid w:val="15064E11"/>
    <w:rsid w:val="15F405EB"/>
    <w:rsid w:val="161401DB"/>
    <w:rsid w:val="194A79C2"/>
    <w:rsid w:val="199F06C1"/>
    <w:rsid w:val="1DCE5781"/>
    <w:rsid w:val="1E8C6B08"/>
    <w:rsid w:val="1E9811D0"/>
    <w:rsid w:val="20677AD3"/>
    <w:rsid w:val="20D34741"/>
    <w:rsid w:val="24E6773E"/>
    <w:rsid w:val="25AB6412"/>
    <w:rsid w:val="2697330D"/>
    <w:rsid w:val="27001DCB"/>
    <w:rsid w:val="27044385"/>
    <w:rsid w:val="2809000E"/>
    <w:rsid w:val="281C1F8A"/>
    <w:rsid w:val="282D2989"/>
    <w:rsid w:val="29143B49"/>
    <w:rsid w:val="2A0F781C"/>
    <w:rsid w:val="2B6175EA"/>
    <w:rsid w:val="2B6B0C1C"/>
    <w:rsid w:val="2CF52523"/>
    <w:rsid w:val="2CFF55C1"/>
    <w:rsid w:val="2F363C4A"/>
    <w:rsid w:val="2F642E8E"/>
    <w:rsid w:val="2FD92135"/>
    <w:rsid w:val="2FF75092"/>
    <w:rsid w:val="329F4483"/>
    <w:rsid w:val="33134E71"/>
    <w:rsid w:val="35966615"/>
    <w:rsid w:val="37A442EA"/>
    <w:rsid w:val="38C55C94"/>
    <w:rsid w:val="3A58061F"/>
    <w:rsid w:val="3DDE2C63"/>
    <w:rsid w:val="3FEE5947"/>
    <w:rsid w:val="4493311A"/>
    <w:rsid w:val="47857C94"/>
    <w:rsid w:val="4B7613B8"/>
    <w:rsid w:val="4C03387D"/>
    <w:rsid w:val="4D7E765F"/>
    <w:rsid w:val="4DAC7892"/>
    <w:rsid w:val="4E70771B"/>
    <w:rsid w:val="4F461FE7"/>
    <w:rsid w:val="4F8151E4"/>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2BC651E"/>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annotation text"/>
    <w:basedOn w:val="1"/>
    <w:autoRedefine/>
    <w:qFormat/>
    <w:uiPriority w:val="0"/>
    <w:pPr>
      <w:jc w:val="left"/>
    </w:pPr>
  </w:style>
  <w:style w:type="paragraph" w:styleId="4">
    <w:name w:val="Plain Text"/>
    <w:basedOn w:val="1"/>
    <w:autoRedefine/>
    <w:qFormat/>
    <w:uiPriority w:val="0"/>
    <w:rPr>
      <w:rFonts w:ascii="黑体" w:hAnsi="Courier New" w:eastAsia="黑体" w:cs="Times New Roman"/>
      <w:szCs w:val="20"/>
    </w:rPr>
  </w:style>
  <w:style w:type="paragraph" w:styleId="5">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6">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8">
    <w:name w:val="toc 1"/>
    <w:basedOn w:val="1"/>
    <w:next w:val="1"/>
    <w:autoRedefine/>
    <w:qFormat/>
    <w:uiPriority w:val="0"/>
    <w:rPr>
      <w:rFonts w:ascii="Calibri" w:hAnsi="Calibri" w:eastAsia="宋体" w:cs="Times New Roman"/>
    </w:rPr>
  </w:style>
  <w:style w:type="paragraph" w:customStyle="1" w:styleId="11">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581</Words>
  <Characters>612</Characters>
  <Lines>198</Lines>
  <Paragraphs>55</Paragraphs>
  <TotalTime>0</TotalTime>
  <ScaleCrop>false</ScaleCrop>
  <LinksUpToDate>false</LinksUpToDate>
  <CharactersWithSpaces>899</CharactersWithSpaces>
  <Application>WPS Office_12.1.0.18608_F1E327BC-269C-435d-A152-05C5408002CA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小狮子</cp:lastModifiedBy>
  <dcterms:modified xsi:type="dcterms:W3CDTF">2024-10-29T06:46:15Z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30019D8101584DED9F9105C93A3B0518_12</vt:lpwstr>
  </property>
</Properties>
</file>