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ascii="宋体" w:hAnsi="宋体" w:eastAsia="宋体"/>
          <w:highlight w:val="none"/>
          <w:u w:val="single"/>
          <w:lang w:val="en-US" w:eastAsia="zh-CN"/>
        </w:rPr>
        <w:t>SZGS</w:t>
      </w:r>
      <w:r>
        <w:rPr>
          <w:rFonts w:ascii="宋体" w:hAnsi="宋体" w:eastAsia="宋体"/>
          <w:highlight w:val="none"/>
          <w:u w:val="single"/>
        </w:rPr>
        <w:t>-FG-</w:t>
      </w:r>
      <w:r>
        <w:rPr>
          <w:rFonts w:hint="eastAsia" w:ascii="宋体" w:hAnsi="宋体" w:eastAsia="宋体"/>
          <w:highlight w:val="none"/>
          <w:u w:val="single"/>
          <w:lang w:val="en-US" w:eastAsia="zh-CN"/>
        </w:rPr>
        <w:t>雄县基础设施</w:t>
      </w:r>
      <w:r>
        <w:rPr>
          <w:rFonts w:hint="eastAsia" w:ascii="宋体" w:hAnsi="宋体" w:eastAsia="宋体"/>
          <w:highlight w:val="none"/>
          <w:u w:val="single"/>
        </w:rPr>
        <w:t>-00</w:t>
      </w:r>
      <w:r>
        <w:rPr>
          <w:rFonts w:hint="eastAsia" w:ascii="宋体" w:hAnsi="宋体" w:eastAsia="宋体"/>
          <w:highlight w:val="none"/>
          <w:u w:val="single"/>
          <w:lang w:val="en-US" w:eastAsia="zh-CN"/>
        </w:rPr>
        <w:t>4</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4"/>
        <w:rPr>
          <w:rFonts w:hint="eastAsia"/>
          <w:highlight w:val="none"/>
        </w:rPr>
      </w:pPr>
    </w:p>
    <w:p w14:paraId="5FE9DEF8">
      <w:pPr>
        <w:pStyle w:val="4"/>
        <w:rPr>
          <w:rFonts w:hint="eastAsia"/>
          <w:highlight w:val="none"/>
        </w:rPr>
      </w:pPr>
    </w:p>
    <w:p w14:paraId="0032B077">
      <w:pPr>
        <w:pStyle w:val="4"/>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波纹管、井盖、中砂</w:t>
      </w:r>
      <w:r>
        <w:rPr>
          <w:rFonts w:hint="eastAsia" w:ascii="华文中宋" w:hAnsi="华文中宋" w:eastAsia="华文中宋" w:cs="华文中宋"/>
          <w:b/>
          <w:sz w:val="52"/>
          <w:szCs w:val="52"/>
          <w:highlight w:val="none"/>
          <w:lang w:val="en-US" w:eastAsia="zh-CN"/>
        </w:rPr>
        <w:t>等</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【雄安新区雄县组团城区市政基础设施提升改造项目】</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bCs/>
          <w:sz w:val="28"/>
          <w:szCs w:val="28"/>
          <w:highlight w:val="none"/>
        </w:rPr>
        <w:t>中建路桥集团</w:t>
      </w:r>
      <w:r>
        <w:rPr>
          <w:rFonts w:hint="eastAsia" w:ascii="仿宋_GB2312" w:hAnsi="仿宋_GB2312" w:eastAsia="仿宋_GB2312" w:cs="仿宋_GB2312"/>
          <w:b/>
          <w:bCs/>
          <w:sz w:val="28"/>
          <w:szCs w:val="28"/>
          <w:highlight w:val="none"/>
          <w:lang w:val="en-US" w:eastAsia="zh-CN"/>
        </w:rPr>
        <w:t>河北基础市政工程</w:t>
      </w:r>
      <w:r>
        <w:rPr>
          <w:rFonts w:hint="eastAsia" w:ascii="仿宋_GB2312" w:hAnsi="仿宋_GB2312" w:eastAsia="仿宋_GB2312" w:cs="仿宋_GB2312"/>
          <w:b/>
          <w:bCs/>
          <w:sz w:val="28"/>
          <w:szCs w:val="28"/>
          <w:highlight w:val="none"/>
        </w:rPr>
        <w:t>有限公司</w:t>
      </w:r>
      <w:r>
        <w:rPr>
          <w:rFonts w:hint="eastAsia" w:ascii="仿宋_GB2312" w:hAnsi="仿宋_GB2312" w:eastAsia="仿宋_GB2312" w:cs="仿宋_GB2312"/>
          <w:b/>
          <w:color w:val="000000"/>
          <w:sz w:val="28"/>
          <w:szCs w:val="28"/>
          <w:highlight w:val="none"/>
        </w:rPr>
        <w:t>】</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p w14:paraId="367992EB">
      <w:pPr>
        <w:pStyle w:val="4"/>
        <w:rPr>
          <w:rFonts w:hint="eastAsia" w:ascii="仿宋_GB2312" w:hAnsi="仿宋_GB2312" w:eastAsia="仿宋_GB2312" w:cs="仿宋_GB2312"/>
          <w:b/>
          <w:color w:val="000000"/>
          <w:sz w:val="28"/>
          <w:szCs w:val="28"/>
          <w:highlight w:val="none"/>
        </w:rPr>
      </w:pPr>
    </w:p>
    <w:p w14:paraId="58B8A9DD">
      <w:pPr>
        <w:rPr>
          <w:rFonts w:hint="eastAsia" w:ascii="仿宋_GB2312" w:hAnsi="仿宋_GB2312" w:eastAsia="仿宋_GB2312" w:cs="仿宋_GB2312"/>
          <w:b/>
          <w:color w:val="000000"/>
          <w:sz w:val="28"/>
          <w:szCs w:val="28"/>
          <w:highlight w:val="none"/>
        </w:rPr>
      </w:pPr>
    </w:p>
    <w:permEnd w:id="3"/>
    <w:p w14:paraId="74E9D847">
      <w:pPr>
        <w:pStyle w:val="4"/>
        <w:rPr>
          <w:rFonts w:hint="eastAsia"/>
        </w:rPr>
      </w:pPr>
    </w:p>
    <w:bookmarkEnd w:id="0"/>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00191EE4">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highlight w:val="none"/>
          <w:u w:val="single"/>
          <w14:textFill>
            <w14:solidFill>
              <w14:schemeClr w14:val="tx1"/>
            </w14:solidFill>
          </w14:textFill>
        </w:rPr>
        <w:t>有限公司</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17203"/>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仿宋_GB2312" w:hAnsi="仿宋_GB2312" w:eastAsia="仿宋_GB2312" w:cs="仿宋_GB2312"/>
          <w:color w:val="000000" w:themeColor="text1"/>
          <w:highlight w:val="none"/>
          <w:u w:val="single"/>
          <w14:textFill>
            <w14:solidFill>
              <w14:schemeClr w14:val="tx1"/>
            </w14:solidFill>
          </w14:textFill>
        </w:rPr>
        <w:t>雄安新区雄县组团城区市政基础设施提升改造项目</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6010"/>
      <w:bookmarkStart w:id="8" w:name="_Toc23103"/>
      <w:bookmarkStart w:id="9" w:name="_Toc2931"/>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173"/>
        <w:gridCol w:w="1430"/>
        <w:gridCol w:w="597"/>
        <w:gridCol w:w="1260"/>
        <w:gridCol w:w="808"/>
        <w:gridCol w:w="947"/>
        <w:gridCol w:w="509"/>
        <w:gridCol w:w="1074"/>
        <w:gridCol w:w="771"/>
        <w:gridCol w:w="570"/>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30"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99"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30"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05"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71AEF3E2">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643"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10AD443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12"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83"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75C3F8D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60"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0137840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48"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93"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38FD320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291"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51D64664">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1</w:t>
            </w:r>
          </w:p>
        </w:tc>
        <w:tc>
          <w:tcPr>
            <w:tcW w:w="599" w:type="pct"/>
            <w:shd w:val="clear" w:color="auto" w:fill="auto"/>
            <w:vAlign w:val="center"/>
          </w:tcPr>
          <w:p w14:paraId="4E8168AD">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井盖</w:t>
            </w:r>
          </w:p>
        </w:tc>
        <w:tc>
          <w:tcPr>
            <w:tcW w:w="730" w:type="pct"/>
            <w:shd w:val="clear" w:color="auto" w:fill="auto"/>
            <w:vAlign w:val="center"/>
          </w:tcPr>
          <w:p w14:paraId="37C28BEC">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DN800</w:t>
            </w:r>
          </w:p>
        </w:tc>
        <w:tc>
          <w:tcPr>
            <w:tcW w:w="305" w:type="pct"/>
            <w:shd w:val="clear" w:color="auto" w:fill="auto"/>
            <w:vAlign w:val="center"/>
          </w:tcPr>
          <w:p w14:paraId="4F7B56FE">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7007E6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248.00</w:t>
            </w:r>
          </w:p>
        </w:tc>
        <w:tc>
          <w:tcPr>
            <w:tcW w:w="412" w:type="pct"/>
            <w:shd w:val="clear" w:color="auto" w:fill="auto"/>
            <w:noWrap/>
            <w:vAlign w:val="center"/>
          </w:tcPr>
          <w:p w14:paraId="3798B66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A1AA7CC">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95547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DA8ED4D">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697DBC38">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CB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45EF526E">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rPr>
              <w:t>2</w:t>
            </w:r>
          </w:p>
        </w:tc>
        <w:tc>
          <w:tcPr>
            <w:tcW w:w="599" w:type="pct"/>
            <w:shd w:val="clear" w:color="auto" w:fill="auto"/>
            <w:vAlign w:val="center"/>
          </w:tcPr>
          <w:p w14:paraId="3CC32AE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井盖</w:t>
            </w:r>
          </w:p>
        </w:tc>
        <w:tc>
          <w:tcPr>
            <w:tcW w:w="730" w:type="pct"/>
            <w:shd w:val="clear" w:color="auto" w:fill="auto"/>
            <w:vAlign w:val="center"/>
          </w:tcPr>
          <w:p w14:paraId="52E2BA9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DN700</w:t>
            </w:r>
          </w:p>
        </w:tc>
        <w:tc>
          <w:tcPr>
            <w:tcW w:w="305" w:type="pct"/>
            <w:shd w:val="clear" w:color="auto" w:fill="auto"/>
            <w:noWrap/>
            <w:vAlign w:val="center"/>
          </w:tcPr>
          <w:p w14:paraId="13F4DBC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3F30D94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15.00</w:t>
            </w:r>
          </w:p>
        </w:tc>
        <w:tc>
          <w:tcPr>
            <w:tcW w:w="412" w:type="pct"/>
            <w:shd w:val="clear" w:color="auto" w:fill="auto"/>
            <w:noWrap/>
            <w:vAlign w:val="center"/>
          </w:tcPr>
          <w:p w14:paraId="0858A8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1C7EB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749127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5D36A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132B0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EBE4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F95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0454CB56">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3</w:t>
            </w:r>
          </w:p>
        </w:tc>
        <w:tc>
          <w:tcPr>
            <w:tcW w:w="599" w:type="pct"/>
            <w:shd w:val="clear" w:color="auto" w:fill="auto"/>
            <w:vAlign w:val="center"/>
          </w:tcPr>
          <w:p w14:paraId="3BE53C4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铁箅子</w:t>
            </w:r>
          </w:p>
        </w:tc>
        <w:tc>
          <w:tcPr>
            <w:tcW w:w="730" w:type="pct"/>
            <w:shd w:val="clear" w:color="auto" w:fill="auto"/>
            <w:vAlign w:val="center"/>
          </w:tcPr>
          <w:p w14:paraId="01FCA1A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700*500</w:t>
            </w:r>
          </w:p>
        </w:tc>
        <w:tc>
          <w:tcPr>
            <w:tcW w:w="305" w:type="pct"/>
            <w:shd w:val="clear" w:color="auto" w:fill="auto"/>
            <w:noWrap/>
            <w:vAlign w:val="center"/>
          </w:tcPr>
          <w:p w14:paraId="60D2BB2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3E9F1DC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50.00</w:t>
            </w:r>
          </w:p>
        </w:tc>
        <w:tc>
          <w:tcPr>
            <w:tcW w:w="412" w:type="pct"/>
            <w:shd w:val="clear" w:color="auto" w:fill="auto"/>
            <w:noWrap/>
            <w:vAlign w:val="center"/>
          </w:tcPr>
          <w:p w14:paraId="253C51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240D3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1839293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FC3D26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B0FA14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A939C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82B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2DCBCC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4</w:t>
            </w:r>
          </w:p>
        </w:tc>
        <w:tc>
          <w:tcPr>
            <w:tcW w:w="599" w:type="pct"/>
            <w:shd w:val="clear" w:color="auto" w:fill="auto"/>
            <w:vAlign w:val="center"/>
          </w:tcPr>
          <w:p w14:paraId="7A75A39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玻纤格栅</w:t>
            </w:r>
          </w:p>
        </w:tc>
        <w:tc>
          <w:tcPr>
            <w:tcW w:w="730" w:type="pct"/>
            <w:shd w:val="clear" w:color="auto" w:fill="auto"/>
            <w:vAlign w:val="center"/>
          </w:tcPr>
          <w:p w14:paraId="4246323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440g/㎡</w:t>
            </w:r>
          </w:p>
        </w:tc>
        <w:tc>
          <w:tcPr>
            <w:tcW w:w="305" w:type="pct"/>
            <w:shd w:val="clear" w:color="auto" w:fill="auto"/>
            <w:noWrap/>
            <w:vAlign w:val="center"/>
          </w:tcPr>
          <w:p w14:paraId="4EE5BB3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w:t>
            </w:r>
          </w:p>
        </w:tc>
        <w:tc>
          <w:tcPr>
            <w:tcW w:w="643" w:type="pct"/>
            <w:shd w:val="clear" w:color="auto" w:fill="auto"/>
            <w:vAlign w:val="center"/>
          </w:tcPr>
          <w:p w14:paraId="138F21D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12000.00</w:t>
            </w:r>
          </w:p>
        </w:tc>
        <w:tc>
          <w:tcPr>
            <w:tcW w:w="412" w:type="pct"/>
            <w:shd w:val="clear" w:color="auto" w:fill="auto"/>
            <w:noWrap/>
            <w:vAlign w:val="center"/>
          </w:tcPr>
          <w:p w14:paraId="21FD7AD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BC70A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8E7CCA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3CC3025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EC310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465D4A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692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C081D6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5</w:t>
            </w:r>
          </w:p>
        </w:tc>
        <w:tc>
          <w:tcPr>
            <w:tcW w:w="599" w:type="pct"/>
            <w:shd w:val="clear" w:color="auto" w:fill="auto"/>
            <w:vAlign w:val="center"/>
          </w:tcPr>
          <w:p w14:paraId="13C37B3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检查井</w:t>
            </w:r>
          </w:p>
        </w:tc>
        <w:tc>
          <w:tcPr>
            <w:tcW w:w="730" w:type="pct"/>
            <w:shd w:val="clear" w:color="auto" w:fill="auto"/>
            <w:vAlign w:val="center"/>
          </w:tcPr>
          <w:p w14:paraId="7F06B68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φ800</w:t>
            </w:r>
          </w:p>
        </w:tc>
        <w:tc>
          <w:tcPr>
            <w:tcW w:w="305" w:type="pct"/>
            <w:shd w:val="clear" w:color="auto" w:fill="auto"/>
            <w:noWrap/>
            <w:vAlign w:val="center"/>
          </w:tcPr>
          <w:p w14:paraId="01E7137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04D7E86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4.00</w:t>
            </w:r>
          </w:p>
        </w:tc>
        <w:tc>
          <w:tcPr>
            <w:tcW w:w="412" w:type="pct"/>
            <w:shd w:val="clear" w:color="auto" w:fill="auto"/>
            <w:noWrap/>
            <w:vAlign w:val="center"/>
          </w:tcPr>
          <w:p w14:paraId="4D9992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3A5611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C3872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1D46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EA889A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08CBD2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7EBE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9FBA9B3">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6</w:t>
            </w:r>
          </w:p>
        </w:tc>
        <w:tc>
          <w:tcPr>
            <w:tcW w:w="599" w:type="pct"/>
            <w:shd w:val="clear" w:color="auto" w:fill="auto"/>
            <w:vAlign w:val="center"/>
          </w:tcPr>
          <w:p w14:paraId="79703A2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检查井</w:t>
            </w:r>
          </w:p>
        </w:tc>
        <w:tc>
          <w:tcPr>
            <w:tcW w:w="730" w:type="pct"/>
            <w:shd w:val="clear" w:color="auto" w:fill="auto"/>
            <w:vAlign w:val="center"/>
          </w:tcPr>
          <w:p w14:paraId="0DE83BF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φ1000</w:t>
            </w:r>
          </w:p>
        </w:tc>
        <w:tc>
          <w:tcPr>
            <w:tcW w:w="305" w:type="pct"/>
            <w:shd w:val="clear" w:color="auto" w:fill="auto"/>
            <w:noWrap/>
            <w:vAlign w:val="center"/>
          </w:tcPr>
          <w:p w14:paraId="70B72E1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2702FFF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10.00</w:t>
            </w:r>
          </w:p>
        </w:tc>
        <w:tc>
          <w:tcPr>
            <w:tcW w:w="412" w:type="pct"/>
            <w:shd w:val="clear" w:color="auto" w:fill="auto"/>
            <w:noWrap/>
            <w:vAlign w:val="center"/>
          </w:tcPr>
          <w:p w14:paraId="0AB43DB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4532DB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5E2B22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5F4A1C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2FED0E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36962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27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A5690C6">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7</w:t>
            </w:r>
          </w:p>
        </w:tc>
        <w:tc>
          <w:tcPr>
            <w:tcW w:w="599" w:type="pct"/>
            <w:shd w:val="clear" w:color="auto" w:fill="auto"/>
            <w:vAlign w:val="center"/>
          </w:tcPr>
          <w:p w14:paraId="009C4ED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检查井</w:t>
            </w:r>
          </w:p>
        </w:tc>
        <w:tc>
          <w:tcPr>
            <w:tcW w:w="730" w:type="pct"/>
            <w:shd w:val="clear" w:color="auto" w:fill="auto"/>
            <w:vAlign w:val="center"/>
          </w:tcPr>
          <w:p w14:paraId="6E95EFB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φ1500</w:t>
            </w:r>
          </w:p>
        </w:tc>
        <w:tc>
          <w:tcPr>
            <w:tcW w:w="305" w:type="pct"/>
            <w:shd w:val="clear" w:color="auto" w:fill="auto"/>
            <w:noWrap/>
            <w:vAlign w:val="center"/>
          </w:tcPr>
          <w:p w14:paraId="21B6570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个</w:t>
            </w:r>
          </w:p>
        </w:tc>
        <w:tc>
          <w:tcPr>
            <w:tcW w:w="643" w:type="pct"/>
            <w:shd w:val="clear" w:color="auto" w:fill="auto"/>
            <w:vAlign w:val="center"/>
          </w:tcPr>
          <w:p w14:paraId="277362C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1.00 </w:t>
            </w:r>
          </w:p>
        </w:tc>
        <w:tc>
          <w:tcPr>
            <w:tcW w:w="412" w:type="pct"/>
            <w:shd w:val="clear" w:color="auto" w:fill="auto"/>
            <w:noWrap/>
            <w:vAlign w:val="center"/>
          </w:tcPr>
          <w:p w14:paraId="01B47B7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9AE9E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2178F6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7EA612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5B3857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38EEC0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AEF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347C7674">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8</w:t>
            </w:r>
          </w:p>
        </w:tc>
        <w:tc>
          <w:tcPr>
            <w:tcW w:w="599" w:type="pct"/>
            <w:shd w:val="clear" w:color="auto" w:fill="auto"/>
            <w:vAlign w:val="center"/>
          </w:tcPr>
          <w:p w14:paraId="2E69C17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螺纹</w:t>
            </w:r>
          </w:p>
        </w:tc>
        <w:tc>
          <w:tcPr>
            <w:tcW w:w="730" w:type="pct"/>
            <w:shd w:val="clear" w:color="auto" w:fill="auto"/>
            <w:vAlign w:val="center"/>
          </w:tcPr>
          <w:p w14:paraId="54FE40D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φ8</w:t>
            </w:r>
          </w:p>
        </w:tc>
        <w:tc>
          <w:tcPr>
            <w:tcW w:w="305" w:type="pct"/>
            <w:shd w:val="clear" w:color="auto" w:fill="auto"/>
            <w:noWrap/>
            <w:vAlign w:val="center"/>
          </w:tcPr>
          <w:p w14:paraId="79F01A3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t</w:t>
            </w:r>
          </w:p>
        </w:tc>
        <w:tc>
          <w:tcPr>
            <w:tcW w:w="643" w:type="pct"/>
            <w:shd w:val="clear" w:color="auto" w:fill="auto"/>
            <w:vAlign w:val="center"/>
          </w:tcPr>
          <w:p w14:paraId="670D292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10.00</w:t>
            </w:r>
          </w:p>
        </w:tc>
        <w:tc>
          <w:tcPr>
            <w:tcW w:w="412" w:type="pct"/>
            <w:shd w:val="clear" w:color="auto" w:fill="auto"/>
            <w:noWrap/>
            <w:vAlign w:val="center"/>
          </w:tcPr>
          <w:p w14:paraId="15228D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6166C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2FB0D1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C694C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28DA5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5495219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6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2293C55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9</w:t>
            </w:r>
          </w:p>
        </w:tc>
        <w:tc>
          <w:tcPr>
            <w:tcW w:w="599" w:type="pct"/>
            <w:shd w:val="clear" w:color="auto" w:fill="auto"/>
            <w:vAlign w:val="center"/>
          </w:tcPr>
          <w:p w14:paraId="6452D40A">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螺纹</w:t>
            </w:r>
          </w:p>
        </w:tc>
        <w:tc>
          <w:tcPr>
            <w:tcW w:w="730" w:type="pct"/>
            <w:shd w:val="clear" w:color="auto" w:fill="auto"/>
            <w:vAlign w:val="center"/>
          </w:tcPr>
          <w:p w14:paraId="6ED86BE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φ12</w:t>
            </w:r>
          </w:p>
        </w:tc>
        <w:tc>
          <w:tcPr>
            <w:tcW w:w="305" w:type="pct"/>
            <w:shd w:val="clear" w:color="auto" w:fill="auto"/>
            <w:noWrap/>
            <w:vAlign w:val="center"/>
          </w:tcPr>
          <w:p w14:paraId="0EF6AFD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t</w:t>
            </w:r>
          </w:p>
        </w:tc>
        <w:tc>
          <w:tcPr>
            <w:tcW w:w="643" w:type="pct"/>
            <w:shd w:val="clear" w:color="auto" w:fill="auto"/>
            <w:vAlign w:val="center"/>
          </w:tcPr>
          <w:p w14:paraId="302E0D4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4.00</w:t>
            </w:r>
          </w:p>
        </w:tc>
        <w:tc>
          <w:tcPr>
            <w:tcW w:w="412" w:type="pct"/>
            <w:shd w:val="clear" w:color="auto" w:fill="auto"/>
            <w:noWrap/>
            <w:vAlign w:val="center"/>
          </w:tcPr>
          <w:p w14:paraId="0F4200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3CF2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54AD0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E30A04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14DCC34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109EA0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657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43D8DEA1">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10</w:t>
            </w:r>
          </w:p>
        </w:tc>
        <w:tc>
          <w:tcPr>
            <w:tcW w:w="599" w:type="pct"/>
            <w:shd w:val="clear" w:color="auto" w:fill="auto"/>
            <w:vAlign w:val="center"/>
          </w:tcPr>
          <w:p w14:paraId="2B849A0F">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波纹管</w:t>
            </w:r>
          </w:p>
        </w:tc>
        <w:tc>
          <w:tcPr>
            <w:tcW w:w="730" w:type="pct"/>
            <w:shd w:val="clear" w:color="auto" w:fill="auto"/>
            <w:vAlign w:val="center"/>
          </w:tcPr>
          <w:p w14:paraId="55B0A128">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 DN300</w:t>
            </w:r>
          </w:p>
        </w:tc>
        <w:tc>
          <w:tcPr>
            <w:tcW w:w="305" w:type="pct"/>
            <w:shd w:val="clear" w:color="auto" w:fill="auto"/>
            <w:noWrap/>
            <w:vAlign w:val="center"/>
          </w:tcPr>
          <w:p w14:paraId="6393EAC3">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703F74C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68.00</w:t>
            </w:r>
          </w:p>
        </w:tc>
        <w:tc>
          <w:tcPr>
            <w:tcW w:w="412" w:type="pct"/>
            <w:shd w:val="clear" w:color="auto" w:fill="auto"/>
            <w:noWrap/>
            <w:vAlign w:val="center"/>
          </w:tcPr>
          <w:p w14:paraId="15BD76E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3144245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0A3F84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F779D6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F6255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79270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0F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77AADDFD">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11</w:t>
            </w:r>
          </w:p>
        </w:tc>
        <w:tc>
          <w:tcPr>
            <w:tcW w:w="599" w:type="pct"/>
            <w:shd w:val="clear" w:color="auto" w:fill="auto"/>
            <w:vAlign w:val="center"/>
          </w:tcPr>
          <w:p w14:paraId="4546E92D">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波纹管</w:t>
            </w:r>
          </w:p>
        </w:tc>
        <w:tc>
          <w:tcPr>
            <w:tcW w:w="730" w:type="pct"/>
            <w:shd w:val="clear" w:color="auto" w:fill="auto"/>
            <w:vAlign w:val="center"/>
          </w:tcPr>
          <w:p w14:paraId="12F80F2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DN400</w:t>
            </w:r>
          </w:p>
        </w:tc>
        <w:tc>
          <w:tcPr>
            <w:tcW w:w="305" w:type="pct"/>
            <w:shd w:val="clear" w:color="auto" w:fill="auto"/>
            <w:noWrap/>
            <w:vAlign w:val="center"/>
          </w:tcPr>
          <w:p w14:paraId="6EAADEB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4EF7AAF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10.00</w:t>
            </w:r>
          </w:p>
        </w:tc>
        <w:tc>
          <w:tcPr>
            <w:tcW w:w="412" w:type="pct"/>
            <w:shd w:val="clear" w:color="auto" w:fill="auto"/>
            <w:noWrap/>
            <w:vAlign w:val="center"/>
          </w:tcPr>
          <w:p w14:paraId="5AB4F9B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423F1A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8C2829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7DEC9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0EFE4C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0AEC9B4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02E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20D2E828">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12</w:t>
            </w:r>
          </w:p>
        </w:tc>
        <w:tc>
          <w:tcPr>
            <w:tcW w:w="599" w:type="pct"/>
            <w:shd w:val="clear" w:color="auto" w:fill="auto"/>
            <w:vAlign w:val="center"/>
          </w:tcPr>
          <w:p w14:paraId="3B00F1E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波纹管</w:t>
            </w:r>
          </w:p>
        </w:tc>
        <w:tc>
          <w:tcPr>
            <w:tcW w:w="730" w:type="pct"/>
            <w:shd w:val="clear" w:color="auto" w:fill="auto"/>
            <w:vAlign w:val="center"/>
          </w:tcPr>
          <w:p w14:paraId="0BE16650">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DN500</w:t>
            </w:r>
          </w:p>
        </w:tc>
        <w:tc>
          <w:tcPr>
            <w:tcW w:w="305" w:type="pct"/>
            <w:shd w:val="clear" w:color="auto" w:fill="auto"/>
            <w:noWrap/>
            <w:vAlign w:val="center"/>
          </w:tcPr>
          <w:p w14:paraId="0F78C90C">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0CFBA1D4">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255.00</w:t>
            </w:r>
          </w:p>
        </w:tc>
        <w:tc>
          <w:tcPr>
            <w:tcW w:w="412" w:type="pct"/>
            <w:shd w:val="clear" w:color="auto" w:fill="auto"/>
            <w:noWrap/>
            <w:vAlign w:val="center"/>
          </w:tcPr>
          <w:p w14:paraId="71052A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26EECF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279D31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27A460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5AD51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7F19356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FFD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6A908925">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13</w:t>
            </w:r>
          </w:p>
        </w:tc>
        <w:tc>
          <w:tcPr>
            <w:tcW w:w="599" w:type="pct"/>
            <w:shd w:val="clear" w:color="auto" w:fill="auto"/>
            <w:vAlign w:val="center"/>
          </w:tcPr>
          <w:p w14:paraId="5033003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波纹管</w:t>
            </w:r>
          </w:p>
        </w:tc>
        <w:tc>
          <w:tcPr>
            <w:tcW w:w="730" w:type="pct"/>
            <w:shd w:val="clear" w:color="auto" w:fill="auto"/>
            <w:vAlign w:val="center"/>
          </w:tcPr>
          <w:p w14:paraId="61D35CA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DN600</w:t>
            </w:r>
          </w:p>
        </w:tc>
        <w:tc>
          <w:tcPr>
            <w:tcW w:w="305" w:type="pct"/>
            <w:shd w:val="clear" w:color="auto" w:fill="auto"/>
            <w:noWrap/>
            <w:vAlign w:val="center"/>
          </w:tcPr>
          <w:p w14:paraId="68EBA73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20BCF10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50.00</w:t>
            </w:r>
          </w:p>
        </w:tc>
        <w:tc>
          <w:tcPr>
            <w:tcW w:w="412" w:type="pct"/>
            <w:shd w:val="clear" w:color="auto" w:fill="auto"/>
            <w:noWrap/>
            <w:vAlign w:val="center"/>
          </w:tcPr>
          <w:p w14:paraId="5CA84A5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631FA66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00BAEB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C236E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30691E3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AE433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944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7C37D557">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14</w:t>
            </w:r>
          </w:p>
        </w:tc>
        <w:tc>
          <w:tcPr>
            <w:tcW w:w="599" w:type="pct"/>
            <w:shd w:val="clear" w:color="auto" w:fill="auto"/>
            <w:vAlign w:val="center"/>
          </w:tcPr>
          <w:p w14:paraId="6558F6EB">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路缘石</w:t>
            </w:r>
          </w:p>
        </w:tc>
        <w:tc>
          <w:tcPr>
            <w:tcW w:w="730" w:type="pct"/>
            <w:shd w:val="clear" w:color="auto" w:fill="auto"/>
            <w:vAlign w:val="center"/>
          </w:tcPr>
          <w:p w14:paraId="1F4BC9F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15*35*100cm</w:t>
            </w:r>
          </w:p>
        </w:tc>
        <w:tc>
          <w:tcPr>
            <w:tcW w:w="305" w:type="pct"/>
            <w:shd w:val="clear" w:color="auto" w:fill="auto"/>
            <w:noWrap/>
            <w:vAlign w:val="center"/>
          </w:tcPr>
          <w:p w14:paraId="2DBF1BBA">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m</w:t>
            </w:r>
          </w:p>
        </w:tc>
        <w:tc>
          <w:tcPr>
            <w:tcW w:w="643" w:type="pct"/>
            <w:shd w:val="clear" w:color="auto" w:fill="auto"/>
            <w:vAlign w:val="center"/>
          </w:tcPr>
          <w:p w14:paraId="3B451F9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2600.00</w:t>
            </w:r>
          </w:p>
        </w:tc>
        <w:tc>
          <w:tcPr>
            <w:tcW w:w="412" w:type="pct"/>
            <w:shd w:val="clear" w:color="auto" w:fill="auto"/>
            <w:noWrap/>
            <w:vAlign w:val="center"/>
          </w:tcPr>
          <w:p w14:paraId="248477C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5E3378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6AB81B0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14A741C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42980C2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626CA9E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833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A2607A0">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15</w:t>
            </w:r>
          </w:p>
        </w:tc>
        <w:tc>
          <w:tcPr>
            <w:tcW w:w="599" w:type="pct"/>
            <w:shd w:val="clear" w:color="auto" w:fill="auto"/>
            <w:vAlign w:val="center"/>
          </w:tcPr>
          <w:p w14:paraId="142BB61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 xml:space="preserve">树池框 </w:t>
            </w:r>
          </w:p>
        </w:tc>
        <w:tc>
          <w:tcPr>
            <w:tcW w:w="730" w:type="pct"/>
            <w:shd w:val="clear" w:color="auto" w:fill="auto"/>
            <w:vAlign w:val="center"/>
          </w:tcPr>
          <w:p w14:paraId="7F9EA942">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1.16*0.15m</w:t>
            </w:r>
          </w:p>
        </w:tc>
        <w:tc>
          <w:tcPr>
            <w:tcW w:w="305" w:type="pct"/>
            <w:shd w:val="clear" w:color="auto" w:fill="auto"/>
            <w:noWrap/>
            <w:vAlign w:val="center"/>
          </w:tcPr>
          <w:p w14:paraId="16DF94A6">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块</w:t>
            </w:r>
          </w:p>
        </w:tc>
        <w:tc>
          <w:tcPr>
            <w:tcW w:w="643" w:type="pct"/>
            <w:shd w:val="clear" w:color="auto" w:fill="auto"/>
            <w:vAlign w:val="center"/>
          </w:tcPr>
          <w:p w14:paraId="52841789">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1400.00</w:t>
            </w:r>
          </w:p>
        </w:tc>
        <w:tc>
          <w:tcPr>
            <w:tcW w:w="412" w:type="pct"/>
            <w:shd w:val="clear" w:color="auto" w:fill="auto"/>
            <w:noWrap/>
            <w:vAlign w:val="center"/>
          </w:tcPr>
          <w:p w14:paraId="3754374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0B6FF23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35531DF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4AA871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ABBBA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4B0CD9F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9B3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11C2E0B7">
            <w:pPr>
              <w:spacing w:line="240" w:lineRule="auto"/>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16</w:t>
            </w:r>
          </w:p>
        </w:tc>
        <w:tc>
          <w:tcPr>
            <w:tcW w:w="599" w:type="pct"/>
            <w:shd w:val="clear" w:color="auto" w:fill="auto"/>
            <w:vAlign w:val="center"/>
          </w:tcPr>
          <w:p w14:paraId="63E7582E">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水泥</w:t>
            </w:r>
          </w:p>
        </w:tc>
        <w:tc>
          <w:tcPr>
            <w:tcW w:w="730" w:type="pct"/>
            <w:shd w:val="clear" w:color="auto" w:fill="auto"/>
            <w:vAlign w:val="center"/>
          </w:tcPr>
          <w:p w14:paraId="4C376AD1">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PO42.5</w:t>
            </w:r>
          </w:p>
        </w:tc>
        <w:tc>
          <w:tcPr>
            <w:tcW w:w="305" w:type="pct"/>
            <w:shd w:val="clear" w:color="auto" w:fill="auto"/>
            <w:noWrap/>
            <w:vAlign w:val="center"/>
          </w:tcPr>
          <w:p w14:paraId="0AE2EA35">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t</w:t>
            </w:r>
          </w:p>
        </w:tc>
        <w:tc>
          <w:tcPr>
            <w:tcW w:w="643" w:type="pct"/>
            <w:shd w:val="clear" w:color="auto" w:fill="auto"/>
            <w:vAlign w:val="center"/>
          </w:tcPr>
          <w:p w14:paraId="04BF6853">
            <w:pPr>
              <w:spacing w:line="240" w:lineRule="auto"/>
              <w:jc w:val="center"/>
              <w:rPr>
                <w:rFonts w:hint="eastAsia" w:ascii="仿宋_GB2312" w:hAnsi="仿宋" w:eastAsia="仿宋_GB2312"/>
                <w:bCs/>
                <w:color w:val="000000" w:themeColor="text1"/>
                <w:sz w:val="21"/>
                <w:szCs w:val="21"/>
                <w:highlight w:val="none"/>
                <w:lang w:val="en-US" w:eastAsia="zh-CN"/>
                <w14:textFill>
                  <w14:solidFill>
                    <w14:schemeClr w14:val="tx1"/>
                  </w14:solidFill>
                </w14:textFill>
              </w:rPr>
            </w:pPr>
            <w:r>
              <w:rPr>
                <w:rFonts w:hint="eastAsia" w:ascii="仿宋_GB2312" w:eastAsia="仿宋_GB2312"/>
                <w:sz w:val="21"/>
                <w:szCs w:val="21"/>
                <w:highlight w:val="none"/>
                <w:lang w:val="en-US" w:eastAsia="zh-CN"/>
              </w:rPr>
              <w:t>160.00</w:t>
            </w:r>
          </w:p>
        </w:tc>
        <w:tc>
          <w:tcPr>
            <w:tcW w:w="412" w:type="pct"/>
            <w:shd w:val="clear" w:color="auto" w:fill="auto"/>
            <w:noWrap/>
            <w:vAlign w:val="center"/>
          </w:tcPr>
          <w:p w14:paraId="151BA7A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1D19140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3AC381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6134572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05E7D88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22C12F5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498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59F94F1C">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17</w:t>
            </w:r>
          </w:p>
        </w:tc>
        <w:tc>
          <w:tcPr>
            <w:tcW w:w="599" w:type="pct"/>
            <w:shd w:val="clear" w:color="auto" w:fill="auto"/>
            <w:vAlign w:val="center"/>
          </w:tcPr>
          <w:p w14:paraId="5269E14B">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中砂</w:t>
            </w:r>
          </w:p>
        </w:tc>
        <w:tc>
          <w:tcPr>
            <w:tcW w:w="730" w:type="pct"/>
            <w:shd w:val="clear" w:color="auto" w:fill="auto"/>
            <w:vAlign w:val="center"/>
          </w:tcPr>
          <w:p w14:paraId="0EF19A64">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05" w:type="pct"/>
            <w:shd w:val="clear" w:color="auto" w:fill="auto"/>
            <w:noWrap/>
            <w:vAlign w:val="center"/>
          </w:tcPr>
          <w:p w14:paraId="18D30C08">
            <w:pPr>
              <w:spacing w:line="240" w:lineRule="auto"/>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m³</w:t>
            </w:r>
          </w:p>
        </w:tc>
        <w:tc>
          <w:tcPr>
            <w:tcW w:w="643" w:type="pct"/>
            <w:shd w:val="clear" w:color="auto" w:fill="auto"/>
            <w:vAlign w:val="center"/>
          </w:tcPr>
          <w:p w14:paraId="499F820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sz w:val="21"/>
                <w:szCs w:val="21"/>
                <w:highlight w:val="none"/>
                <w:lang w:val="en-US" w:eastAsia="zh-CN"/>
              </w:rPr>
              <w:t>1000.00</w:t>
            </w:r>
          </w:p>
        </w:tc>
        <w:tc>
          <w:tcPr>
            <w:tcW w:w="412" w:type="pct"/>
            <w:shd w:val="clear" w:color="auto" w:fill="auto"/>
            <w:noWrap/>
            <w:vAlign w:val="center"/>
          </w:tcPr>
          <w:p w14:paraId="39EBD48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4C8D26C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11B2EAE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0A537B1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2F9537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1356D0B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30"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99"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30"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05"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643"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12"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83" w:type="pct"/>
            <w:shd w:val="clear" w:color="auto" w:fill="auto"/>
            <w:noWrap/>
            <w:vAlign w:val="center"/>
          </w:tcPr>
          <w:p w14:paraId="75AF42E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60"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48"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93" w:type="pct"/>
            <w:shd w:val="clear" w:color="auto" w:fill="auto"/>
            <w:noWrap/>
            <w:vAlign w:val="center"/>
          </w:tcPr>
          <w:p w14:paraId="7F96255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91"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6E37E7C7">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13168"/>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河北省雄安新区雄县雄州镇</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井盖、检查井、钢筋、波纹管、水泥等</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魏明凯</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18832010771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2805373994@qq.com</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5437"/>
      <w:bookmarkStart w:id="18" w:name="_Toc1244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lang w:val="en-US" w:eastAsia="zh-CN"/>
        </w:rPr>
        <w:t>满足相关规范及施工图纸要求</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3.3</w:t>
      </w:r>
      <w:r>
        <w:rPr>
          <w:rFonts w:hint="eastAsia" w:ascii="仿宋_GB2312" w:hAnsi="仿宋_GB2312" w:eastAsia="仿宋_GB2312" w:cs="仿宋_GB2312"/>
          <w:color w:val="auto"/>
          <w:highlight w:val="none"/>
          <w:u w:val="single"/>
        </w:rPr>
        <w:t xml:space="preserve">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3621"/>
      <w:bookmarkStart w:id="20" w:name="_Toc12481"/>
      <w:bookmarkStart w:id="21" w:name="_Toc22036"/>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井盖、检查井以个数计量；玻纤格栅以平方米计量；钢筋、水泥以吨计量；波纹管、路缘石以米计量；树池框以块计量；中砂以立方米计量。</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3953"/>
      <w:bookmarkStart w:id="25" w:name="_Toc24231"/>
      <w:bookmarkStart w:id="26" w:name="_Toc22166"/>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中建路桥集团河北基础市政工程有限公司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755495582E</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r>
              <w:rPr>
                <w:rFonts w:hint="eastAsia" w:ascii="仿宋_GB2312" w:hAnsi="仿宋_GB2312" w:eastAsia="仿宋_GB2312" w:cs="仿宋_GB2312"/>
                <w:color w:val="000000" w:themeColor="text1"/>
                <w:sz w:val="24"/>
                <w:szCs w:val="24"/>
                <w:highlight w:val="none"/>
                <w14:textFill>
                  <w14:solidFill>
                    <w14:schemeClr w14:val="tx1"/>
                  </w14:solidFill>
                </w14:textFill>
              </w:rPr>
              <w:t>、0311-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89821098</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中国建设银行石家庄建设南大街支行13050161536100000357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1859"/>
      <w:bookmarkStart w:id="29" w:name="_Toc32138"/>
      <w:bookmarkStart w:id="30" w:name="_Toc27325"/>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本合同无预付款，货款来源于项目工程结算款。甲方按资金审批计划对货款进行支付。付款期限自双方确认结算金额之日起计算，暂定为在甲乙双方完成月度物资结算手续且甲方收到乙方相应全额发票后，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当期结算货款的 70 %，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个月内支付至</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不超过</w:t>
      </w:r>
      <w:r>
        <w:rPr>
          <w:rFonts w:hint="eastAsia" w:ascii="仿宋_GB2312" w:hAnsi="仿宋_GB2312" w:eastAsia="仿宋_GB2312" w:cs="仿宋_GB2312"/>
          <w:color w:val="000000" w:themeColor="text1"/>
          <w:highlight w:val="none"/>
          <w:u w:val="single"/>
          <w14:textFill>
            <w14:solidFill>
              <w14:schemeClr w14:val="tx1"/>
            </w14:solidFill>
          </w14:textFill>
        </w:rPr>
        <w:t>当期结算货款的 97 %，余下 3 %结算货款在乙方供货完毕、办理完最终结算后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6个月</w:t>
      </w:r>
      <w:r>
        <w:rPr>
          <w:rFonts w:hint="eastAsia" w:ascii="仿宋_GB2312" w:hAnsi="仿宋_GB2312" w:eastAsia="仿宋_GB2312" w:cs="仿宋_GB2312"/>
          <w:color w:val="000000" w:themeColor="text1"/>
          <w:highlight w:val="none"/>
          <w:u w:val="single"/>
          <w14:textFill>
            <w14:solidFill>
              <w14:schemeClr w14:val="tx1"/>
            </w14:solidFill>
          </w14:textFill>
        </w:rPr>
        <w:t>内付清。以此类推。</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6.1.5</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投标保证金转为履约保证金</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中建路桥集团河北基础市政工程有限公司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13050161536100000357</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中国建设银行石家庄建设南大街支行</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67"/>
      <w:bookmarkStart w:id="129" w:name="_GoBack"/>
      <w:bookmarkEnd w:id="129"/>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魏明凯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18832010771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贾宜周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0311-868093020</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HYPERLINK "mailto:shizhenggongsijiwei@cscec.com" </w:instrText>
      </w:r>
      <w:r>
        <w:rPr>
          <w:rFonts w:hint="eastAsia" w:ascii="宋体" w:hAnsi="宋体" w:eastAsia="宋体" w:cs="宋体"/>
          <w:sz w:val="21"/>
          <w:szCs w:val="21"/>
          <w:lang w:eastAsia="zh-CN"/>
        </w:rPr>
        <w:fldChar w:fldCharType="separate"/>
      </w:r>
      <w:r>
        <w:rPr>
          <w:rStyle w:val="12"/>
          <w:rFonts w:hint="eastAsia" w:ascii="宋体" w:hAnsi="宋体" w:eastAsia="宋体" w:cs="宋体"/>
          <w:sz w:val="21"/>
          <w:szCs w:val="21"/>
          <w:lang w:eastAsia="zh-CN"/>
        </w:rPr>
        <w:t>shizhenggongsijiwei@cscec.com</w:t>
      </w:r>
      <w:r>
        <w:rPr>
          <w:rFonts w:hint="eastAsia" w:ascii="宋体" w:hAnsi="宋体" w:eastAsia="宋体" w:cs="宋体"/>
          <w:sz w:val="21"/>
          <w:szCs w:val="21"/>
          <w:lang w:eastAsia="zh-CN"/>
        </w:rPr>
        <w:fldChar w:fldCharType="end"/>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新石北路362号1号楼3层</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魏明凯 18832010771</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2805373994@qq.com</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1843"/>
      <w:bookmarkStart w:id="35" w:name="_Toc4701"/>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6851_WPSOffice_Level1"/>
      <w:bookmarkStart w:id="38" w:name="_Toc15785_WPSOffice_Level1"/>
      <w:bookmarkStart w:id="39" w:name="_Toc21939"/>
      <w:bookmarkStart w:id="40" w:name="_Toc7989"/>
      <w:bookmarkStart w:id="41" w:name="_Toc31827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6163_WPSOffice_Level1"/>
      <w:bookmarkStart w:id="44" w:name="_Toc8898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779"/>
      <w:bookmarkStart w:id="47"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27542"/>
      <w:bookmarkStart w:id="49" w:name="_Toc16133_WPSOffice_Level1"/>
      <w:bookmarkStart w:id="50" w:name="_Toc14040"/>
      <w:bookmarkStart w:id="51" w:name="_Toc5250_WPSOffice_Level1"/>
      <w:bookmarkStart w:id="52" w:name="_Toc338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19768_WPSOffice_Level1"/>
      <w:bookmarkStart w:id="55" w:name="_Toc641_WPSOffice_Level1"/>
      <w:bookmarkStart w:id="56" w:name="_Toc22730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19161_WPSOffice_Level1"/>
      <w:bookmarkStart w:id="61" w:name="_Toc8260_WPSOffice_Level1"/>
      <w:bookmarkStart w:id="62" w:name="_Toc24584_WPSOffice_Level1"/>
      <w:bookmarkStart w:id="63" w:name="_Toc459"/>
      <w:bookmarkStart w:id="64" w:name="_Toc25961"/>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F413E0E">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25426"/>
      <w:bookmarkStart w:id="67" w:name="_Toc31445"/>
      <w:bookmarkStart w:id="68" w:name="_Toc7321"/>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雄安新区雄县组团城区市政基础设施提升改造项目</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6719D625">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21254"/>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100" w:edGrp="everyone"/>
      <w:bookmarkStart w:id="72"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bookmarkEnd w:id="72"/>
      <w:permEnd w:id="100"/>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雄安新区雄县组团城区市政基础设施提升改造</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刘志伟</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130722198703242519</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9842DB8">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5118"/>
      <w:bookmarkStart w:id="77" w:name="_Toc20069"/>
      <w:bookmarkStart w:id="78" w:name="_Toc11293"/>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有限公司</w:t>
      </w:r>
      <w:permEnd w:id="104"/>
      <w:bookmarkEnd w:id="79"/>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保定</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24322"/>
      <w:bookmarkStart w:id="82" w:name="_Toc9726"/>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10"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河北基础市政工程</w:t>
      </w:r>
      <w:r>
        <w:rPr>
          <w:rFonts w:hint="eastAsia" w:ascii="仿宋_GB2312" w:hAnsi="宋体" w:eastAsia="仿宋_GB2312"/>
          <w:color w:val="000000" w:themeColor="text1"/>
          <w:sz w:val="24"/>
          <w:szCs w:val="24"/>
          <w:highlight w:val="none"/>
          <w:u w:val="single"/>
          <w14:textFill>
            <w14:solidFill>
              <w14:schemeClr w14:val="tx1"/>
            </w14:solidFill>
          </w14:textFill>
        </w:rPr>
        <w:t>有限公司</w:t>
      </w:r>
      <w:bookmarkEnd w:id="85"/>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9"/>
      <w:bookmarkStart w:id="92" w:name="_Toc18674"/>
      <w:bookmarkStart w:id="93" w:name="_Hlk127794870"/>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19191"/>
      <w:bookmarkStart w:id="104" w:name="_Toc11521"/>
      <w:bookmarkStart w:id="105" w:name="_Toc20335"/>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471"/>
      <w:bookmarkStart w:id="107" w:name="_Toc12864"/>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9083"/>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24603"/>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0852"/>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085A2B7B">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31739"/>
      <w:bookmarkStart w:id="122" w:name="_Toc18393"/>
      <w:bookmarkStart w:id="123" w:name="_Toc11207"/>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3"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3"/>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37CE4397">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674D5DA9">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1BBAB1AE">
      <w:pPr>
        <w:pStyle w:val="13"/>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1C5F0D7C">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25E8EDD5">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4"/>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dit="readOnly" w:enforcement="1" w:cryptProviderType="rsaFull" w:cryptAlgorithmClass="hash" w:cryptAlgorithmType="typeAny" w:cryptAlgorithmSid="4" w:cryptSpinCount="0" w:hash="7BK3LkcHf8r3ooaAC279d9O477o=" w:salt="w0hhe7KdXLyLHaSC1AxFC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YjQ5M2MxZWEyNjQwM2QxZGQ5ZGY2NDFmNmNkNTcifQ=="/>
  </w:docVars>
  <w:rsids>
    <w:rsidRoot w:val="00000000"/>
    <w:rsid w:val="02005B8D"/>
    <w:rsid w:val="0560216C"/>
    <w:rsid w:val="07677F35"/>
    <w:rsid w:val="07E22A1E"/>
    <w:rsid w:val="087D170E"/>
    <w:rsid w:val="0C2C12C5"/>
    <w:rsid w:val="0CDB347F"/>
    <w:rsid w:val="0CF4495D"/>
    <w:rsid w:val="0DB8731C"/>
    <w:rsid w:val="0F5D461F"/>
    <w:rsid w:val="10122848"/>
    <w:rsid w:val="11A93B4C"/>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4493311A"/>
    <w:rsid w:val="47857C94"/>
    <w:rsid w:val="488B3BE0"/>
    <w:rsid w:val="4B7613B8"/>
    <w:rsid w:val="4C03387D"/>
    <w:rsid w:val="4D7E765F"/>
    <w:rsid w:val="4DAC7892"/>
    <w:rsid w:val="4F461FE7"/>
    <w:rsid w:val="4F8151E4"/>
    <w:rsid w:val="55C3101A"/>
    <w:rsid w:val="57206CE0"/>
    <w:rsid w:val="57415D69"/>
    <w:rsid w:val="5A07026D"/>
    <w:rsid w:val="5D403159"/>
    <w:rsid w:val="5E361890"/>
    <w:rsid w:val="5E4E17D8"/>
    <w:rsid w:val="5EE82A63"/>
    <w:rsid w:val="637A221F"/>
    <w:rsid w:val="66576686"/>
    <w:rsid w:val="66F260F2"/>
    <w:rsid w:val="697275C4"/>
    <w:rsid w:val="69F85DC8"/>
    <w:rsid w:val="6ADE3093"/>
    <w:rsid w:val="6BFE7C2B"/>
    <w:rsid w:val="6C537AB1"/>
    <w:rsid w:val="6D441D97"/>
    <w:rsid w:val="6EEF5F38"/>
    <w:rsid w:val="6FA504B7"/>
    <w:rsid w:val="721414BF"/>
    <w:rsid w:val="733C129F"/>
    <w:rsid w:val="7474679E"/>
    <w:rsid w:val="75723680"/>
    <w:rsid w:val="75F93477"/>
    <w:rsid w:val="784A2271"/>
    <w:rsid w:val="7B5D331B"/>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3">
    <w:name w:val="annotation text"/>
    <w:basedOn w:val="1"/>
    <w:autoRedefine/>
    <w:qFormat/>
    <w:uiPriority w:val="0"/>
    <w:pPr>
      <w:jc w:val="left"/>
    </w:pPr>
  </w:style>
  <w:style w:type="paragraph" w:styleId="4">
    <w:name w:val="Body Text"/>
    <w:basedOn w:val="1"/>
    <w:next w:val="1"/>
    <w:autoRedefine/>
    <w:qFormat/>
    <w:uiPriority w:val="0"/>
    <w:rPr>
      <w:szCs w:val="28"/>
    </w:r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auto"/>
      <w:u w:val="non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9157</Words>
  <Characters>9609</Characters>
  <Lines>0</Lines>
  <Paragraphs>0</Paragraphs>
  <TotalTime>19</TotalTime>
  <ScaleCrop>false</ScaleCrop>
  <LinksUpToDate>false</LinksUpToDate>
  <CharactersWithSpaces>10371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魏明凯</cp:lastModifiedBy>
  <dcterms:modified xsi:type="dcterms:W3CDTF">2024-11-04T08:51:42Z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30019D8101584DED9F9105C93A3B0518_12</vt:lpwstr>
  </property>
</Properties>
</file>