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6E623">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0ED24A75">
      <w:pPr>
        <w:rPr>
          <w:rFonts w:hint="eastAsia"/>
        </w:rPr>
      </w:pPr>
    </w:p>
    <w:p w14:paraId="0C1B24BF">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665BF56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4E3EE41D">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042ED45E">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 xml:space="preserve">   发电机   </w:t>
      </w:r>
      <w:r>
        <w:rPr>
          <w:rFonts w:hint="eastAsia" w:ascii="仿宋_GB2312" w:eastAsia="仿宋_GB2312"/>
          <w:b w:val="0"/>
          <w:bCs w:val="0"/>
          <w:highlight w:val="none"/>
          <w:u w:val="none"/>
          <w:lang w:val="en-US" w:eastAsia="zh-CN"/>
        </w:rPr>
        <w:t xml:space="preserve"> 租赁</w:t>
      </w:r>
    </w:p>
    <w:p w14:paraId="08107376">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49B34E27">
      <w:pPr>
        <w:pStyle w:val="3"/>
        <w:numPr>
          <w:ilvl w:val="0"/>
          <w:numId w:val="0"/>
        </w:numPr>
        <w:adjustRightInd w:val="0"/>
        <w:snapToGrid w:val="0"/>
        <w:spacing w:before="120" w:after="120" w:line="240" w:lineRule="auto"/>
        <w:jc w:val="center"/>
        <w:rPr>
          <w:rFonts w:hint="eastAsia" w:ascii="仿宋_GB2312" w:hAnsi="宋体" w:eastAsia="仿宋_GB2312" w:cs="宋体"/>
          <w:b w:val="0"/>
          <w:bCs w:val="0"/>
          <w:sz w:val="28"/>
          <w:szCs w:val="28"/>
          <w:highlight w:val="none"/>
          <w:u w:color="FF0000"/>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hAnsi="宋体" w:eastAsia="仿宋_GB2312" w:cs="宋体"/>
          <w:b w:val="0"/>
          <w:bCs w:val="0"/>
          <w:sz w:val="28"/>
          <w:szCs w:val="28"/>
          <w:highlight w:val="none"/>
          <w:u w:color="FF0000"/>
          <w:lang w:val="en-US" w:eastAsia="zh-CN"/>
        </w:rPr>
        <w:t>SBZL-</w:t>
      </w:r>
      <w:r>
        <w:rPr>
          <w:rFonts w:hint="eastAsia" w:ascii="仿宋_GB2312" w:hAnsi="宋体" w:eastAsia="仿宋_GB2312" w:cs="宋体"/>
          <w:b w:val="0"/>
          <w:bCs w:val="0"/>
          <w:sz w:val="28"/>
          <w:szCs w:val="28"/>
          <w:highlight w:val="none"/>
          <w:u w:color="FF0000"/>
        </w:rPr>
        <w:t>拉萨营造林项目一片区-01</w:t>
      </w:r>
      <w:r>
        <w:rPr>
          <w:rFonts w:hint="eastAsia" w:ascii="仿宋_GB2312" w:hAnsi="宋体" w:eastAsia="仿宋_GB2312" w:cs="宋体"/>
          <w:b w:val="0"/>
          <w:bCs w:val="0"/>
          <w:sz w:val="28"/>
          <w:szCs w:val="28"/>
          <w:highlight w:val="none"/>
          <w:u w:color="FF0000"/>
          <w:lang w:val="en-US" w:eastAsia="zh-CN"/>
        </w:rPr>
        <w:t>7</w:t>
      </w:r>
    </w:p>
    <w:p w14:paraId="44C91578">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6F1349A9">
      <w:pPr>
        <w:pStyle w:val="5"/>
        <w:ind w:firstLine="560"/>
        <w:rPr>
          <w:rFonts w:ascii="华文仿宋" w:hAnsi="华文仿宋" w:eastAsia="华文仿宋" w:cs="Times New Roman"/>
          <w:highlight w:val="none"/>
        </w:rPr>
      </w:pPr>
    </w:p>
    <w:p w14:paraId="314962A9">
      <w:pPr>
        <w:snapToGrid w:val="0"/>
        <w:spacing w:line="360" w:lineRule="auto"/>
        <w:ind w:firstLine="560"/>
        <w:rPr>
          <w:rFonts w:ascii="华文仿宋" w:hAnsi="华文仿宋" w:eastAsia="华文仿宋" w:cs="Times New Roman"/>
          <w:highlight w:val="none"/>
        </w:rPr>
      </w:pPr>
    </w:p>
    <w:p w14:paraId="365A888B">
      <w:pPr>
        <w:snapToGrid w:val="0"/>
        <w:spacing w:line="360" w:lineRule="auto"/>
        <w:ind w:firstLine="560"/>
        <w:rPr>
          <w:rFonts w:ascii="华文仿宋" w:hAnsi="华文仿宋" w:eastAsia="华文仿宋" w:cs="Times New Roman"/>
          <w:highlight w:val="none"/>
        </w:rPr>
      </w:pPr>
    </w:p>
    <w:p w14:paraId="07E626B3">
      <w:pPr>
        <w:snapToGrid w:val="0"/>
        <w:spacing w:line="360" w:lineRule="auto"/>
        <w:ind w:firstLine="560"/>
        <w:rPr>
          <w:rFonts w:ascii="华文仿宋" w:hAnsi="华文仿宋" w:eastAsia="华文仿宋" w:cs="Times New Roman"/>
          <w:highlight w:val="none"/>
        </w:rPr>
      </w:pPr>
    </w:p>
    <w:p w14:paraId="6A23CF6A">
      <w:pPr>
        <w:snapToGrid w:val="0"/>
        <w:spacing w:line="360" w:lineRule="auto"/>
        <w:ind w:firstLine="560"/>
        <w:rPr>
          <w:rFonts w:ascii="华文仿宋" w:hAnsi="华文仿宋" w:eastAsia="华文仿宋" w:cs="Times New Roman"/>
          <w:highlight w:val="none"/>
        </w:rPr>
      </w:pPr>
    </w:p>
    <w:p w14:paraId="6860DAB1">
      <w:pPr>
        <w:snapToGrid w:val="0"/>
        <w:spacing w:line="360" w:lineRule="auto"/>
        <w:ind w:firstLine="560"/>
        <w:rPr>
          <w:rFonts w:ascii="华文仿宋" w:hAnsi="华文仿宋" w:eastAsia="华文仿宋" w:cs="Times New Roman"/>
          <w:highlight w:val="none"/>
        </w:rPr>
      </w:pPr>
    </w:p>
    <w:p w14:paraId="689D3E1E">
      <w:pPr>
        <w:rPr>
          <w:rFonts w:ascii="华文仿宋" w:hAnsi="华文仿宋" w:eastAsia="华文仿宋" w:cs="Times New Roman"/>
          <w:highlight w:val="none"/>
        </w:rPr>
      </w:pPr>
    </w:p>
    <w:p w14:paraId="2B5A5C40">
      <w:pPr>
        <w:rPr>
          <w:rFonts w:ascii="华文仿宋" w:hAnsi="华文仿宋" w:eastAsia="华文仿宋" w:cs="Times New Roman"/>
          <w:highlight w:val="none"/>
        </w:rPr>
      </w:pPr>
    </w:p>
    <w:p w14:paraId="07711364">
      <w:pPr>
        <w:rPr>
          <w:b/>
          <w:bCs/>
          <w:sz w:val="32"/>
          <w:szCs w:val="32"/>
          <w:highlight w:val="none"/>
        </w:rPr>
      </w:pPr>
    </w:p>
    <w:p w14:paraId="641ADC09">
      <w:pPr>
        <w:rPr>
          <w:b/>
          <w:bCs/>
          <w:sz w:val="32"/>
          <w:szCs w:val="32"/>
          <w:highlight w:val="none"/>
        </w:rPr>
      </w:pPr>
    </w:p>
    <w:p w14:paraId="7831C412">
      <w:pPr>
        <w:rPr>
          <w:b/>
          <w:bCs/>
          <w:sz w:val="32"/>
          <w:szCs w:val="32"/>
          <w:highlight w:val="none"/>
        </w:rPr>
      </w:pPr>
    </w:p>
    <w:p w14:paraId="6C8D826B">
      <w:pPr>
        <w:jc w:val="center"/>
        <w:rPr>
          <w:b/>
          <w:bCs/>
          <w:sz w:val="32"/>
          <w:szCs w:val="32"/>
          <w:highlight w:val="none"/>
        </w:rPr>
      </w:pPr>
      <w:r>
        <w:rPr>
          <w:rFonts w:hint="eastAsia"/>
          <w:b/>
          <w:bCs/>
          <w:sz w:val="32"/>
          <w:szCs w:val="32"/>
          <w:highlight w:val="none"/>
          <w:u w:val="single"/>
          <w:lang w:val="en-US" w:eastAsia="zh-CN"/>
        </w:rPr>
        <w:t xml:space="preserve"> 2025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u w:val="single"/>
          <w:lang w:val="en-US" w:eastAsia="zh-CN"/>
        </w:rPr>
        <w:t>5</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lang w:val="en-US" w:eastAsia="zh-CN"/>
        </w:rPr>
        <w:t>26</w:t>
      </w:r>
      <w:r>
        <w:rPr>
          <w:rFonts w:hint="eastAsia"/>
          <w:b/>
          <w:bCs/>
          <w:sz w:val="32"/>
          <w:szCs w:val="32"/>
          <w:highlight w:val="none"/>
        </w:rPr>
        <w:t>日</w:t>
      </w:r>
    </w:p>
    <w:p w14:paraId="1613E3AA">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324567BF">
      <w:pPr>
        <w:pStyle w:val="9"/>
        <w:spacing w:after="156" w:line="480" w:lineRule="exact"/>
        <w:jc w:val="center"/>
        <w:rPr>
          <w:rFonts w:cs="宋体"/>
          <w:b/>
          <w:kern w:val="2"/>
          <w:sz w:val="28"/>
          <w:szCs w:val="28"/>
          <w:highlight w:val="none"/>
        </w:rPr>
      </w:pPr>
      <w:r>
        <w:rPr>
          <w:rFonts w:hint="eastAsia" w:cs="宋体"/>
          <w:b/>
          <w:kern w:val="2"/>
          <w:sz w:val="28"/>
          <w:szCs w:val="28"/>
          <w:highlight w:val="none"/>
        </w:rPr>
        <w:t>中建路桥集团有限公司</w:t>
      </w:r>
    </w:p>
    <w:p w14:paraId="014DA7E7">
      <w:pPr>
        <w:pStyle w:val="9"/>
        <w:spacing w:after="156" w:line="480" w:lineRule="exact"/>
        <w:jc w:val="center"/>
        <w:rPr>
          <w:b/>
          <w:kern w:val="2"/>
          <w:sz w:val="28"/>
          <w:szCs w:val="28"/>
          <w:highlight w:val="none"/>
        </w:rPr>
      </w:pPr>
      <w:r>
        <w:rPr>
          <w:rFonts w:hint="eastAsia"/>
          <w:b/>
          <w:kern w:val="2"/>
          <w:sz w:val="30"/>
          <w:szCs w:val="30"/>
          <w:highlight w:val="none"/>
          <w:u w:val="single"/>
        </w:rPr>
        <w:t>拉萨南北山2024、2025年度（山南段）营造林先造后补工程贡嘎巩固提升工程一片区</w:t>
      </w:r>
      <w:r>
        <w:rPr>
          <w:b/>
          <w:kern w:val="2"/>
          <w:sz w:val="28"/>
          <w:szCs w:val="28"/>
          <w:highlight w:val="none"/>
        </w:rPr>
        <w:t>项目</w:t>
      </w:r>
      <w:r>
        <w:rPr>
          <w:rFonts w:hint="eastAsia"/>
          <w:b/>
          <w:kern w:val="2"/>
          <w:sz w:val="28"/>
          <w:szCs w:val="28"/>
          <w:highlight w:val="none"/>
          <w:u w:val="single"/>
          <w:lang w:val="en-US" w:eastAsia="zh-CN"/>
        </w:rPr>
        <w:t>发电机</w:t>
      </w:r>
      <w:r>
        <w:rPr>
          <w:rFonts w:hint="eastAsia"/>
          <w:b/>
          <w:kern w:val="2"/>
          <w:sz w:val="28"/>
          <w:szCs w:val="28"/>
          <w:highlight w:val="none"/>
          <w:lang w:eastAsia="zh-CN"/>
        </w:rPr>
        <w:t>租赁</w:t>
      </w:r>
      <w:r>
        <w:rPr>
          <w:rFonts w:hint="eastAsia"/>
          <w:b/>
          <w:kern w:val="2"/>
          <w:sz w:val="28"/>
          <w:szCs w:val="28"/>
          <w:highlight w:val="none"/>
        </w:rPr>
        <w:t>招标公告</w:t>
      </w:r>
    </w:p>
    <w:p w14:paraId="74770EE6">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5778FC16">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根据中国建筑股份有限公司采购管理方针和中建路桥集团有限公司招标采购的相关管理办法，</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eastAsia="zh-CN"/>
          <w14:textFill>
            <w14:solidFill>
              <w14:schemeClr w14:val="tx1"/>
            </w14:solidFill>
          </w14:textFill>
        </w:rPr>
        <w:t>发电机</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设备</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ZJLQ-FG-SBZL-拉萨营造林项目一片区-017</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60B78000">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4460E9F4">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5E066671">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6EEF53A6">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拉萨南北山造林绿化2024年度（山南段）营造林先造后补工程一片区位于贡嘎县，隶属于西藏山南市贡嘎县岗堆镇森布日村，项目作业区，紧邻公路，设计总面积480.81公顷（7212.1亩）</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w:t>
      </w:r>
    </w:p>
    <w:p w14:paraId="4621798D">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7354345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3.1车辆租赁清单 </w:t>
      </w:r>
    </w:p>
    <w:tbl>
      <w:tblPr>
        <w:tblStyle w:val="11"/>
        <w:tblW w:w="9312" w:type="dxa"/>
        <w:tblInd w:w="0" w:type="dxa"/>
        <w:shd w:val="clear" w:color="auto" w:fill="auto"/>
        <w:tblLayout w:type="fixed"/>
        <w:tblCellMar>
          <w:top w:w="0" w:type="dxa"/>
          <w:left w:w="0" w:type="dxa"/>
          <w:bottom w:w="0" w:type="dxa"/>
          <w:right w:w="0" w:type="dxa"/>
        </w:tblCellMar>
      </w:tblPr>
      <w:tblGrid>
        <w:gridCol w:w="816"/>
        <w:gridCol w:w="1298"/>
        <w:gridCol w:w="1031"/>
        <w:gridCol w:w="604"/>
        <w:gridCol w:w="701"/>
        <w:gridCol w:w="1013"/>
        <w:gridCol w:w="3039"/>
        <w:gridCol w:w="810"/>
      </w:tblGrid>
      <w:tr w14:paraId="0B660905">
        <w:tblPrEx>
          <w:shd w:val="clear" w:color="auto" w:fill="auto"/>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2D9B8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BB248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4B06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A8536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4296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2F5B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28FD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计划租期（天）</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8DED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0E465DE9">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2923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B2490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301BA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600KW</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3357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1CBB5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02AB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6964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BAFC1">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8C85642">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16C1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9C4F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94FC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900KW</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4A7B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22BF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FD2F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3CA0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0E6E8">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32A59D7">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D6AE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9B58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D24F5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1200KW</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1AE2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F2AB8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86F5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E67E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F429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F9FAE6F">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0D1D8">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936A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发电机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A13E3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1500KW</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1F6A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8185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8773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119D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7A847">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60C1EE4A">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35C65">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FA659F">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239E56A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3.2计划租赁期：2025年5月至2025年6月或工程完工。</w:t>
      </w:r>
    </w:p>
    <w:p w14:paraId="7FF73478">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07CF1E0F">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15CB2689">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14:paraId="3E94649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31D5C73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41DCB4FA">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57A204CB">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2022 </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5DA25189">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2F161BA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4246D94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57BE0FE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603B848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14:paraId="5DE2C8E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74311EF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2A21DC3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bookmarkStart w:id="1" w:name="_GoBack"/>
      <w:bookmarkEnd w:id="1"/>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5A98F02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6E7E9E26">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3FBA7B2A">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46B30C82">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eastAsia="仿宋_GB2312" w:hAnsiTheme="minorEastAsia"/>
          <w:b/>
          <w:sz w:val="21"/>
          <w:szCs w:val="21"/>
          <w:u w:val="single"/>
        </w:rPr>
        <w:t>建行邢台青青家园支行</w:t>
      </w:r>
    </w:p>
    <w:p w14:paraId="3DC73CA3">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7399693F">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39D91BB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053AE2A2">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0F8D560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6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17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时。</w:t>
      </w:r>
    </w:p>
    <w:p w14:paraId="5CC40B0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1D12D76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02CE846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6</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583AD5F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6E1DE3C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 发布公告的媒介</w:t>
      </w:r>
    </w:p>
    <w:p w14:paraId="20D8D6A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7B53796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14:paraId="2FBDE0B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6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2D2E5727">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14:paraId="7883904D">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中建路桥集团有限公司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/子企业/分公司</w:t>
      </w: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w:t>
      </w:r>
    </w:p>
    <w:p w14:paraId="70D679C9">
      <w:pPr>
        <w:pStyle w:val="4"/>
        <w:keepNext w:val="0"/>
        <w:keepLines w:val="0"/>
        <w:pageBreakBefore w:val="0"/>
        <w:widowControl w:val="0"/>
        <w:kinsoku/>
        <w:wordWrap/>
        <w:overflowPunct/>
        <w:topLinePunct w:val="0"/>
        <w:autoSpaceDE/>
        <w:autoSpaceDN/>
        <w:bidi w:val="0"/>
        <w:adjustRightInd/>
        <w:snapToGrid w:val="0"/>
        <w:spacing w:line="500" w:lineRule="atLeast"/>
        <w:ind w:firstLine="630" w:firstLineChars="300"/>
        <w:jc w:val="left"/>
        <w:textAlignment w:val="auto"/>
        <w:rPr>
          <w:rFonts w:hint="eastAsia"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0319-2673826</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3C390B9E">
      <w:pPr>
        <w:keepNext w:val="0"/>
        <w:keepLines w:val="0"/>
        <w:pageBreakBefore w:val="0"/>
        <w:widowControl w:val="0"/>
        <w:kinsoku/>
        <w:wordWrap/>
        <w:overflowPunct/>
        <w:topLinePunct w:val="0"/>
        <w:autoSpaceDE/>
        <w:autoSpaceDN/>
        <w:bidi w:val="0"/>
        <w:adjustRightInd/>
        <w:snapToGrid/>
        <w:spacing w:line="500" w:lineRule="atLeast"/>
        <w:ind w:firstLine="1680" w:firstLineChars="800"/>
        <w:jc w:val="left"/>
        <w:textAlignment w:val="auto"/>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lang w:val="en-US" w:eastAsia="zh-CN"/>
        </w:rPr>
        <w:t xml:space="preserve">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叶子清</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0319-2673826</w:t>
      </w:r>
    </w:p>
    <w:p w14:paraId="1E5C5ECC">
      <w:pPr>
        <w:spacing w:line="500" w:lineRule="exact"/>
        <w:ind w:firstLine="2100" w:firstLineChars="10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付晓军</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15081741749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p>
    <w:p w14:paraId="2A202356">
      <w:pPr>
        <w:pStyle w:val="4"/>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2D5747BC">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p>
    <w:p w14:paraId="27EDC279">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26</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p>
    <w:p w14:paraId="5515DC6A">
      <w:pPr>
        <w:spacing w:line="500" w:lineRule="exact"/>
        <w:ind w:firstLine="480" w:firstLineChars="200"/>
        <w:jc w:val="left"/>
        <w:rPr>
          <w:sz w:val="24"/>
          <w:szCs w:val="24"/>
          <w:highlight w:val="none"/>
        </w:rPr>
      </w:pP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326D99"/>
    <w:rsid w:val="02C84C7A"/>
    <w:rsid w:val="039F51A6"/>
    <w:rsid w:val="052C406D"/>
    <w:rsid w:val="0556565D"/>
    <w:rsid w:val="062855A1"/>
    <w:rsid w:val="073D5FA2"/>
    <w:rsid w:val="08182F98"/>
    <w:rsid w:val="08CF0558"/>
    <w:rsid w:val="09226513"/>
    <w:rsid w:val="092F0693"/>
    <w:rsid w:val="0A423EC6"/>
    <w:rsid w:val="0AA86122"/>
    <w:rsid w:val="0C6145C8"/>
    <w:rsid w:val="0DF95CBA"/>
    <w:rsid w:val="0E6314FF"/>
    <w:rsid w:val="0E8A2ADC"/>
    <w:rsid w:val="0F073F99"/>
    <w:rsid w:val="0F256C33"/>
    <w:rsid w:val="109E0A73"/>
    <w:rsid w:val="10C26A97"/>
    <w:rsid w:val="10FB65A4"/>
    <w:rsid w:val="11D15E59"/>
    <w:rsid w:val="125A217F"/>
    <w:rsid w:val="14177099"/>
    <w:rsid w:val="14E64DF7"/>
    <w:rsid w:val="158E377D"/>
    <w:rsid w:val="15CB7014"/>
    <w:rsid w:val="15EA761A"/>
    <w:rsid w:val="16A80A2C"/>
    <w:rsid w:val="1BA810E9"/>
    <w:rsid w:val="1BDC6813"/>
    <w:rsid w:val="1CDC549E"/>
    <w:rsid w:val="1D18707F"/>
    <w:rsid w:val="1D562233"/>
    <w:rsid w:val="1DC22BC6"/>
    <w:rsid w:val="201709A4"/>
    <w:rsid w:val="20B56876"/>
    <w:rsid w:val="20B96182"/>
    <w:rsid w:val="21A26D34"/>
    <w:rsid w:val="21E40A76"/>
    <w:rsid w:val="2226007B"/>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EA1255"/>
    <w:rsid w:val="2FF86D57"/>
    <w:rsid w:val="302009FC"/>
    <w:rsid w:val="305723AA"/>
    <w:rsid w:val="310321F7"/>
    <w:rsid w:val="31654DB2"/>
    <w:rsid w:val="33086C6F"/>
    <w:rsid w:val="33733D47"/>
    <w:rsid w:val="33E0746D"/>
    <w:rsid w:val="34D77A7B"/>
    <w:rsid w:val="35F56BF2"/>
    <w:rsid w:val="36646972"/>
    <w:rsid w:val="369B3548"/>
    <w:rsid w:val="38D33EF5"/>
    <w:rsid w:val="3A816B64"/>
    <w:rsid w:val="3A8F7BCF"/>
    <w:rsid w:val="3AE80991"/>
    <w:rsid w:val="3B015E30"/>
    <w:rsid w:val="3B293AE9"/>
    <w:rsid w:val="3B680FB0"/>
    <w:rsid w:val="3C2A2F02"/>
    <w:rsid w:val="3C6B3628"/>
    <w:rsid w:val="3CFE624A"/>
    <w:rsid w:val="3D32459C"/>
    <w:rsid w:val="3D9930C3"/>
    <w:rsid w:val="3DFB01BF"/>
    <w:rsid w:val="3E591EBE"/>
    <w:rsid w:val="3F095AC2"/>
    <w:rsid w:val="3F381A86"/>
    <w:rsid w:val="3FE0725A"/>
    <w:rsid w:val="400A6875"/>
    <w:rsid w:val="40EE73E0"/>
    <w:rsid w:val="41702A02"/>
    <w:rsid w:val="41E44FD4"/>
    <w:rsid w:val="43334FE5"/>
    <w:rsid w:val="43C47EA2"/>
    <w:rsid w:val="450E0A64"/>
    <w:rsid w:val="45584909"/>
    <w:rsid w:val="462A436C"/>
    <w:rsid w:val="462B4521"/>
    <w:rsid w:val="464A678B"/>
    <w:rsid w:val="464B69A4"/>
    <w:rsid w:val="468D5E72"/>
    <w:rsid w:val="46BB0D9A"/>
    <w:rsid w:val="474321F6"/>
    <w:rsid w:val="47F226BB"/>
    <w:rsid w:val="48D9088B"/>
    <w:rsid w:val="493564C5"/>
    <w:rsid w:val="494A0C6C"/>
    <w:rsid w:val="498717BE"/>
    <w:rsid w:val="4997200B"/>
    <w:rsid w:val="4AE40D6D"/>
    <w:rsid w:val="4B2E1C72"/>
    <w:rsid w:val="4B322072"/>
    <w:rsid w:val="4BAE3BFB"/>
    <w:rsid w:val="4BD52894"/>
    <w:rsid w:val="4D1E464D"/>
    <w:rsid w:val="5092452C"/>
    <w:rsid w:val="51AF10A0"/>
    <w:rsid w:val="52C71612"/>
    <w:rsid w:val="54C03BDF"/>
    <w:rsid w:val="54EF1108"/>
    <w:rsid w:val="5599168F"/>
    <w:rsid w:val="564E0A29"/>
    <w:rsid w:val="56BF7520"/>
    <w:rsid w:val="57571DB9"/>
    <w:rsid w:val="576D5D44"/>
    <w:rsid w:val="58D73260"/>
    <w:rsid w:val="5BE657B9"/>
    <w:rsid w:val="5BEC3CEE"/>
    <w:rsid w:val="5C7F323F"/>
    <w:rsid w:val="5D5F17BD"/>
    <w:rsid w:val="5DF74E99"/>
    <w:rsid w:val="5FB96CFF"/>
    <w:rsid w:val="6207153B"/>
    <w:rsid w:val="62C4039D"/>
    <w:rsid w:val="636E387A"/>
    <w:rsid w:val="63F22F63"/>
    <w:rsid w:val="647F2EC3"/>
    <w:rsid w:val="65F515C0"/>
    <w:rsid w:val="66933AC0"/>
    <w:rsid w:val="66B772E6"/>
    <w:rsid w:val="66FB4258"/>
    <w:rsid w:val="673B6BE6"/>
    <w:rsid w:val="68C21D58"/>
    <w:rsid w:val="69013C96"/>
    <w:rsid w:val="6B3F2C8E"/>
    <w:rsid w:val="6C8319FA"/>
    <w:rsid w:val="6CC3508C"/>
    <w:rsid w:val="6E411D9B"/>
    <w:rsid w:val="6ECD4AA5"/>
    <w:rsid w:val="6F3F4C7E"/>
    <w:rsid w:val="6F6F17D9"/>
    <w:rsid w:val="749C7697"/>
    <w:rsid w:val="75406CD8"/>
    <w:rsid w:val="760617A8"/>
    <w:rsid w:val="77AE0857"/>
    <w:rsid w:val="77F44655"/>
    <w:rsid w:val="7B0D697D"/>
    <w:rsid w:val="7B874D32"/>
    <w:rsid w:val="7CC14099"/>
    <w:rsid w:val="7D726161"/>
    <w:rsid w:val="7E8108FE"/>
    <w:rsid w:val="7EC564AB"/>
    <w:rsid w:val="7EEA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7"/>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Hyperlink"/>
    <w:basedOn w:val="12"/>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5">
    <w:name w:val="页眉 Char"/>
    <w:basedOn w:val="12"/>
    <w:link w:val="8"/>
    <w:autoRedefine/>
    <w:qFormat/>
    <w:uiPriority w:val="99"/>
    <w:rPr>
      <w:rFonts w:ascii="Times New Roman" w:hAnsi="Times New Roman" w:eastAsia="宋体" w:cs="Times New Roman"/>
      <w:sz w:val="18"/>
      <w:szCs w:val="18"/>
    </w:rPr>
  </w:style>
  <w:style w:type="character" w:customStyle="1" w:styleId="16">
    <w:name w:val="页脚 Char"/>
    <w:basedOn w:val="12"/>
    <w:link w:val="7"/>
    <w:autoRedefine/>
    <w:qFormat/>
    <w:uiPriority w:val="99"/>
    <w:rPr>
      <w:rFonts w:ascii="Times New Roman" w:hAnsi="Times New Roman" w:eastAsia="宋体" w:cs="Times New Roman"/>
      <w:sz w:val="18"/>
      <w:szCs w:val="18"/>
    </w:rPr>
  </w:style>
  <w:style w:type="character" w:customStyle="1" w:styleId="17">
    <w:name w:val="称呼 Char"/>
    <w:basedOn w:val="12"/>
    <w:link w:val="4"/>
    <w:autoRedefine/>
    <w:qFormat/>
    <w:uiPriority w:val="0"/>
    <w:rPr>
      <w:rFonts w:ascii="Times New Roman" w:hAnsi="Times New Roman" w:eastAsia="宋体" w:cs="Times New Roman"/>
      <w:kern w:val="0"/>
      <w:sz w:val="24"/>
      <w:szCs w:val="24"/>
    </w:rPr>
  </w:style>
  <w:style w:type="paragraph" w:customStyle="1" w:styleId="18">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1956</Characters>
  <Lines>12</Lines>
  <Paragraphs>3</Paragraphs>
  <TotalTime>1</TotalTime>
  <ScaleCrop>false</ScaleCrop>
  <LinksUpToDate>false</LinksUpToDate>
  <CharactersWithSpaces>2059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潮</cp:lastModifiedBy>
  <dcterms:modified xsi:type="dcterms:W3CDTF">2025-05-26T03:09:00Z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4689C6757940497588B25FD50C40BE22</vt:lpwstr>
  </property>
  <property fmtid="{D5CDD505-2E9C-101B-9397-08002B2CF9AE}" pid="4" name="KSOTemplateDocerSaveRecord">
    <vt:lpwstr>eyJoZGlkIjoiM2NkNDA1OTRkYzUyNDUyOTg1ZDIzMzJkOWY5ZjRkZmEiLCJ1c2VySWQiOiI5NTM4MTE3NDgifQ==</vt:lpwstr>
  </property>
</Properties>
</file>