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C0D41">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4E401CBB">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32B629E2">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037FF02D">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拉萨营造林</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柴油</w:t>
      </w:r>
      <w:r>
        <w:rPr>
          <w:rFonts w:hint="eastAsia" w:cs="Times New Roman" w:asciiTheme="majorEastAsia" w:hAnsiTheme="majorEastAsia" w:eastAsiaTheme="majorEastAsia"/>
          <w:b/>
          <w:color w:val="000000"/>
          <w:kern w:val="2"/>
          <w:sz w:val="44"/>
          <w:szCs w:val="44"/>
          <w:highlight w:val="none"/>
        </w:rPr>
        <w:t>采购</w:t>
      </w:r>
    </w:p>
    <w:p w14:paraId="2736467C">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6748478E">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招标编号：ZJLQ-FG-拉萨营造林项目一片区-016</w:t>
      </w:r>
    </w:p>
    <w:p w14:paraId="2B4F0CC9">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7069EB54">
      <w:pPr>
        <w:pStyle w:val="13"/>
        <w:ind w:firstLine="560"/>
        <w:rPr>
          <w:rFonts w:ascii="华文仿宋" w:hAnsi="华文仿宋" w:eastAsia="华文仿宋" w:cs="Times New Roman"/>
          <w:highlight w:val="none"/>
        </w:rPr>
      </w:pPr>
    </w:p>
    <w:p w14:paraId="4E18BF46">
      <w:pPr>
        <w:snapToGrid w:val="0"/>
        <w:spacing w:line="360" w:lineRule="auto"/>
        <w:ind w:firstLine="560"/>
        <w:rPr>
          <w:rFonts w:ascii="华文仿宋" w:hAnsi="华文仿宋" w:eastAsia="华文仿宋" w:cs="Times New Roman"/>
          <w:highlight w:val="none"/>
        </w:rPr>
      </w:pPr>
    </w:p>
    <w:p w14:paraId="74AC776F">
      <w:pPr>
        <w:snapToGrid w:val="0"/>
        <w:spacing w:line="360" w:lineRule="auto"/>
        <w:ind w:firstLine="560"/>
        <w:rPr>
          <w:rFonts w:ascii="华文仿宋" w:hAnsi="华文仿宋" w:eastAsia="华文仿宋" w:cs="Times New Roman"/>
          <w:highlight w:val="none"/>
        </w:rPr>
      </w:pPr>
    </w:p>
    <w:p w14:paraId="331E1F93">
      <w:pPr>
        <w:snapToGrid w:val="0"/>
        <w:spacing w:line="360" w:lineRule="auto"/>
        <w:ind w:firstLine="560"/>
        <w:rPr>
          <w:rFonts w:ascii="华文仿宋" w:hAnsi="华文仿宋" w:eastAsia="华文仿宋" w:cs="Times New Roman"/>
          <w:highlight w:val="none"/>
        </w:rPr>
      </w:pPr>
    </w:p>
    <w:p w14:paraId="06CE2D24">
      <w:pPr>
        <w:snapToGrid w:val="0"/>
        <w:spacing w:line="360" w:lineRule="auto"/>
        <w:ind w:firstLine="560"/>
        <w:rPr>
          <w:rFonts w:ascii="华文仿宋" w:hAnsi="华文仿宋" w:eastAsia="华文仿宋" w:cs="Times New Roman"/>
          <w:highlight w:val="none"/>
        </w:rPr>
      </w:pPr>
    </w:p>
    <w:p w14:paraId="1FFBAAEA">
      <w:pPr>
        <w:snapToGrid w:val="0"/>
        <w:spacing w:line="360" w:lineRule="auto"/>
        <w:ind w:firstLine="560"/>
        <w:rPr>
          <w:rFonts w:ascii="华文仿宋" w:hAnsi="华文仿宋" w:eastAsia="华文仿宋" w:cs="Times New Roman"/>
          <w:highlight w:val="none"/>
        </w:rPr>
      </w:pPr>
    </w:p>
    <w:p w14:paraId="35BE8E04">
      <w:pPr>
        <w:rPr>
          <w:rFonts w:ascii="华文仿宋" w:hAnsi="华文仿宋" w:eastAsia="华文仿宋" w:cs="Times New Roman"/>
          <w:highlight w:val="none"/>
        </w:rPr>
      </w:pPr>
    </w:p>
    <w:p w14:paraId="30993437">
      <w:pPr>
        <w:rPr>
          <w:rFonts w:ascii="华文仿宋" w:hAnsi="华文仿宋" w:eastAsia="华文仿宋" w:cs="Times New Roman"/>
          <w:highlight w:val="none"/>
        </w:rPr>
      </w:pPr>
    </w:p>
    <w:p w14:paraId="7980D17B">
      <w:pPr>
        <w:rPr>
          <w:b/>
          <w:bCs/>
          <w:sz w:val="32"/>
          <w:szCs w:val="32"/>
          <w:highlight w:val="none"/>
        </w:rPr>
      </w:pPr>
    </w:p>
    <w:p w14:paraId="668FC251">
      <w:pPr>
        <w:rPr>
          <w:b/>
          <w:bCs/>
          <w:sz w:val="32"/>
          <w:szCs w:val="32"/>
          <w:highlight w:val="none"/>
        </w:rPr>
      </w:pPr>
    </w:p>
    <w:p w14:paraId="67A652EE">
      <w:pPr>
        <w:rPr>
          <w:b/>
          <w:bCs/>
          <w:sz w:val="32"/>
          <w:szCs w:val="32"/>
          <w:highlight w:val="none"/>
        </w:rPr>
      </w:pPr>
    </w:p>
    <w:p w14:paraId="274BB97B">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5</w:t>
      </w:r>
      <w:r>
        <w:rPr>
          <w:rFonts w:hint="eastAsia"/>
          <w:b/>
          <w:bCs/>
          <w:sz w:val="32"/>
          <w:szCs w:val="32"/>
          <w:highlight w:val="none"/>
        </w:rPr>
        <w:t>年</w:t>
      </w:r>
      <w:r>
        <w:rPr>
          <w:rFonts w:hint="eastAsia"/>
          <w:b/>
          <w:bCs/>
          <w:sz w:val="32"/>
          <w:szCs w:val="32"/>
          <w:highlight w:val="none"/>
          <w:lang w:val="en-US" w:eastAsia="zh-CN"/>
        </w:rPr>
        <w:t>5</w:t>
      </w:r>
      <w:r>
        <w:rPr>
          <w:rFonts w:hint="eastAsia"/>
          <w:b/>
          <w:bCs/>
          <w:sz w:val="32"/>
          <w:szCs w:val="32"/>
          <w:highlight w:val="none"/>
        </w:rPr>
        <w:t>月</w:t>
      </w:r>
      <w:r>
        <w:rPr>
          <w:rFonts w:hint="eastAsia"/>
          <w:b/>
          <w:bCs/>
          <w:sz w:val="32"/>
          <w:szCs w:val="32"/>
          <w:highlight w:val="none"/>
          <w:lang w:val="en-US" w:eastAsia="zh-CN"/>
        </w:rPr>
        <w:t>27</w:t>
      </w:r>
      <w:r>
        <w:rPr>
          <w:rFonts w:hint="eastAsia"/>
          <w:b/>
          <w:bCs/>
          <w:sz w:val="32"/>
          <w:szCs w:val="32"/>
          <w:highlight w:val="none"/>
        </w:rPr>
        <w:t xml:space="preserve"> 日</w:t>
      </w:r>
    </w:p>
    <w:p w14:paraId="4B78D76D">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0D0EF680">
      <w:pPr>
        <w:pStyle w:val="31"/>
        <w:spacing w:after="156" w:line="480" w:lineRule="exact"/>
        <w:jc w:val="center"/>
        <w:rPr>
          <w:b/>
          <w:kern w:val="2"/>
          <w:sz w:val="28"/>
          <w:szCs w:val="28"/>
          <w:highlight w:val="none"/>
        </w:rPr>
      </w:pPr>
      <w:r>
        <w:rPr>
          <w:rFonts w:hint="eastAsia"/>
          <w:b/>
          <w:kern w:val="2"/>
          <w:sz w:val="28"/>
          <w:szCs w:val="28"/>
          <w:highlight w:val="none"/>
        </w:rPr>
        <w:t>中建路桥集团有限公司</w:t>
      </w:r>
    </w:p>
    <w:p w14:paraId="7A91BD71">
      <w:pPr>
        <w:pStyle w:val="31"/>
        <w:spacing w:after="156" w:line="480" w:lineRule="exact"/>
        <w:jc w:val="center"/>
        <w:rPr>
          <w:b/>
          <w:kern w:val="2"/>
          <w:sz w:val="28"/>
          <w:szCs w:val="28"/>
          <w:highlight w:val="none"/>
        </w:rPr>
      </w:pPr>
      <w:r>
        <w:rPr>
          <w:rFonts w:hint="eastAsia"/>
          <w:b/>
          <w:kern w:val="2"/>
          <w:sz w:val="30"/>
          <w:szCs w:val="30"/>
          <w:highlight w:val="none"/>
          <w:u w:val="single"/>
        </w:rPr>
        <w:t>拉萨南北山2024、2025年度（山南段）营造林先造后补工程贡嘎巩固提升工程一片区</w:t>
      </w:r>
      <w:r>
        <w:rPr>
          <w:b/>
          <w:kern w:val="2"/>
          <w:sz w:val="28"/>
          <w:szCs w:val="28"/>
          <w:highlight w:val="none"/>
        </w:rPr>
        <w:t>项目</w:t>
      </w:r>
      <w:r>
        <w:rPr>
          <w:rFonts w:hint="eastAsia"/>
          <w:b/>
          <w:kern w:val="2"/>
          <w:sz w:val="28"/>
          <w:szCs w:val="28"/>
          <w:highlight w:val="none"/>
          <w:u w:val="single"/>
          <w:lang w:eastAsia="zh-CN"/>
        </w:rPr>
        <w:t>柴油</w:t>
      </w:r>
      <w:r>
        <w:rPr>
          <w:rFonts w:hint="eastAsia"/>
          <w:b/>
          <w:kern w:val="2"/>
          <w:sz w:val="28"/>
          <w:szCs w:val="28"/>
          <w:highlight w:val="none"/>
        </w:rPr>
        <w:t>物资采购招标公告</w:t>
      </w:r>
    </w:p>
    <w:p w14:paraId="68CB56C7">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534B1C24">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14:textFill>
            <w14:solidFill>
              <w14:schemeClr w14:val="tx1"/>
            </w14:solidFill>
          </w14:textFill>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二十</w:t>
      </w:r>
      <w:r>
        <w:rPr>
          <w:rFonts w:hint="eastAsia" w:ascii="仿宋_GB2312" w:hAnsi="仿宋" w:eastAsia="仿宋_GB2312"/>
          <w:bCs/>
          <w:color w:val="000000" w:themeColor="text1"/>
          <w:sz w:val="21"/>
          <w:szCs w:val="21"/>
          <w:highlight w:val="none"/>
          <w14:textFill>
            <w14:solidFill>
              <w14:schemeClr w14:val="tx1"/>
            </w14:solidFill>
          </w14:textFill>
        </w:rPr>
        <w:t>大精神，遵守社会主义核心价值观。贯彻国家</w:t>
      </w:r>
      <w:r>
        <w:rPr>
          <w:rFonts w:hint="eastAsia" w:ascii="仿宋_GB2312" w:hAnsi="仿宋" w:eastAsia="仿宋_GB2312"/>
          <w:bCs/>
          <w:color w:val="000000" w:themeColor="text1"/>
          <w:sz w:val="21"/>
          <w:szCs w:val="21"/>
          <w:highlight w:val="none"/>
          <w:lang w:eastAsia="zh-CN"/>
          <w14:textFill>
            <w14:solidFill>
              <w14:schemeClr w14:val="tx1"/>
            </w14:solidFill>
          </w14:textFill>
        </w:rPr>
        <w:t>“</w:t>
      </w:r>
      <w:r>
        <w:rPr>
          <w:rFonts w:hint="eastAsia" w:ascii="仿宋_GB2312" w:hAnsi="仿宋" w:eastAsia="仿宋_GB2312"/>
          <w:bCs/>
          <w:color w:val="000000" w:themeColor="text1"/>
          <w:sz w:val="21"/>
          <w:szCs w:val="21"/>
          <w:highlight w:val="none"/>
          <w14:textFill>
            <w14:solidFill>
              <w14:schemeClr w14:val="tx1"/>
            </w14:solidFill>
          </w14:textFill>
        </w:rPr>
        <w:t>双碳</w:t>
      </w:r>
      <w:r>
        <w:rPr>
          <w:rFonts w:hint="eastAsia" w:ascii="仿宋_GB2312" w:hAnsi="仿宋" w:eastAsia="仿宋_GB2312"/>
          <w:bCs/>
          <w:color w:val="000000" w:themeColor="text1"/>
          <w:sz w:val="21"/>
          <w:szCs w:val="21"/>
          <w:highlight w:val="none"/>
          <w:lang w:eastAsia="zh-CN"/>
          <w14:textFill>
            <w14:solidFill>
              <w14:schemeClr w14:val="tx1"/>
            </w14:solidFill>
          </w14:textFill>
        </w:rPr>
        <w:t>”</w:t>
      </w:r>
      <w:r>
        <w:rPr>
          <w:rFonts w:hint="eastAsia" w:ascii="仿宋_GB2312" w:hAnsi="仿宋" w:eastAsia="仿宋_GB2312"/>
          <w:bCs/>
          <w:color w:val="000000" w:themeColor="text1"/>
          <w:sz w:val="21"/>
          <w:szCs w:val="21"/>
          <w:highlight w:val="none"/>
          <w14:textFill>
            <w14:solidFill>
              <w14:schemeClr w14:val="tx1"/>
            </w14:solidFill>
          </w14:textFill>
        </w:rPr>
        <w:t>战略</w:t>
      </w:r>
      <w:r>
        <w:rPr>
          <w:rFonts w:hint="eastAsia" w:ascii="仿宋_GB2312" w:hAnsi="仿宋" w:eastAsia="仿宋_GB2312"/>
          <w:bCs/>
          <w:color w:val="000000" w:themeColor="text1"/>
          <w:sz w:val="21"/>
          <w:szCs w:val="21"/>
          <w:highlight w:val="none"/>
          <w:lang w:eastAsia="zh-CN"/>
          <w14:textFill>
            <w14:solidFill>
              <w14:schemeClr w14:val="tx1"/>
            </w14:solidFill>
          </w14:textFill>
        </w:rPr>
        <w:t>，</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引领</w:t>
      </w:r>
      <w:r>
        <w:rPr>
          <w:rFonts w:hint="eastAsia" w:ascii="仿宋_GB2312" w:hAnsi="仿宋" w:eastAsia="仿宋_GB2312"/>
          <w:bCs/>
          <w:color w:val="000000" w:themeColor="text1"/>
          <w:sz w:val="21"/>
          <w:szCs w:val="21"/>
          <w:highlight w:val="none"/>
          <w14:textFill>
            <w14:solidFill>
              <w14:schemeClr w14:val="tx1"/>
            </w14:solidFill>
          </w14:textFill>
        </w:rPr>
        <w:t>供应链上下游</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绿色低碳发展。</w:t>
      </w:r>
      <w:r>
        <w:rPr>
          <w:rFonts w:ascii="仿宋_GB2312" w:hAnsi="仿宋" w:eastAsia="仿宋_GB2312"/>
          <w:bCs/>
          <w:color w:val="000000" w:themeColor="text1"/>
          <w:sz w:val="21"/>
          <w:szCs w:val="21"/>
          <w:highlight w:val="none"/>
          <w14:textFill>
            <w14:solidFill>
              <w14:schemeClr w14:val="tx1"/>
            </w14:solidFill>
          </w14:textFill>
        </w:rPr>
        <w:t>根据中国建筑</w:t>
      </w:r>
      <w:r>
        <w:rPr>
          <w:rFonts w:hint="eastAsia" w:ascii="仿宋_GB2312" w:hAnsi="仿宋" w:eastAsia="仿宋_GB2312"/>
          <w:bCs/>
          <w:color w:val="000000" w:themeColor="text1"/>
          <w:sz w:val="21"/>
          <w:szCs w:val="21"/>
          <w:highlight w:val="none"/>
          <w14:textFill>
            <w14:solidFill>
              <w14:schemeClr w14:val="tx1"/>
            </w14:solidFill>
          </w14:textFill>
        </w:rPr>
        <w:t>集团</w:t>
      </w:r>
      <w:r>
        <w:rPr>
          <w:rFonts w:ascii="仿宋_GB2312" w:hAnsi="仿宋" w:eastAsia="仿宋_GB2312"/>
          <w:bCs/>
          <w:color w:val="000000" w:themeColor="text1"/>
          <w:sz w:val="21"/>
          <w:szCs w:val="21"/>
          <w:highlight w:val="none"/>
          <w14:textFill>
            <w14:solidFill>
              <w14:schemeClr w14:val="tx1"/>
            </w14:solidFill>
          </w14:textFill>
        </w:rPr>
        <w:t>有限公司</w:t>
      </w:r>
      <w:r>
        <w:rPr>
          <w:rFonts w:hint="eastAsia" w:ascii="仿宋_GB2312" w:hAnsi="仿宋" w:eastAsia="仿宋_GB2312"/>
          <w:bCs/>
          <w:color w:val="000000" w:themeColor="text1"/>
          <w:sz w:val="21"/>
          <w:szCs w:val="21"/>
          <w:highlight w:val="none"/>
          <w14:textFill>
            <w14:solidFill>
              <w14:schemeClr w14:val="tx1"/>
            </w14:solidFill>
          </w14:textFill>
        </w:rPr>
        <w:t>物资</w:t>
      </w:r>
      <w:r>
        <w:rPr>
          <w:rFonts w:ascii="仿宋_GB2312" w:hAnsi="仿宋" w:eastAsia="仿宋_GB2312"/>
          <w:bCs/>
          <w:color w:val="000000" w:themeColor="text1"/>
          <w:sz w:val="21"/>
          <w:szCs w:val="21"/>
          <w:highlight w:val="none"/>
          <w14:textFill>
            <w14:solidFill>
              <w14:schemeClr w14:val="tx1"/>
            </w14:solidFill>
          </w14:textFill>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rPr>
        <w:t>拉萨南北山2024、2025年度（山南段）营造林先造后补工程贡嘎巩固提升工程一片区</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eastAsia="zh-CN"/>
        </w:rPr>
        <w:t>柴油</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179BD371">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4460E9F4">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2.1</w:t>
      </w:r>
      <w:r>
        <w:rPr>
          <w:rFonts w:ascii="仿宋_GB2312" w:hAnsi="仿宋" w:eastAsia="仿宋_GB2312"/>
          <w:bCs/>
          <w:color w:val="000000" w:themeColor="text1"/>
          <w:sz w:val="21"/>
          <w:szCs w:val="21"/>
          <w:highlight w:val="none"/>
          <w14:textFill>
            <w14:solidFill>
              <w14:schemeClr w14:val="tx1"/>
            </w14:solidFill>
          </w14:textFill>
        </w:rPr>
        <w:t>工程名称：</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p>
    <w:p w14:paraId="1686478F">
      <w:pPr>
        <w:spacing w:line="500" w:lineRule="exact"/>
        <w:ind w:firstLine="420" w:firstLineChars="200"/>
        <w:jc w:val="left"/>
        <w:rPr>
          <w:rFonts w:hint="eastAsia" w:ascii="仿宋_GB2312" w:hAnsi="仿宋" w:eastAsia="仿宋_GB2312"/>
          <w:bCs/>
          <w:color w:val="000000" w:themeColor="text1"/>
          <w:sz w:val="21"/>
          <w:szCs w:val="21"/>
          <w:highlight w:val="none"/>
          <w:u w:val="singl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2.2</w:t>
      </w:r>
      <w:r>
        <w:rPr>
          <w:rFonts w:ascii="仿宋_GB2312" w:hAnsi="仿宋" w:eastAsia="仿宋_GB2312"/>
          <w:bCs/>
          <w:color w:val="000000" w:themeColor="text1"/>
          <w:sz w:val="21"/>
          <w:szCs w:val="21"/>
          <w:highlight w:val="none"/>
          <w14:textFill>
            <w14:solidFill>
              <w14:schemeClr w14:val="tx1"/>
            </w14:solidFill>
          </w14:textFill>
        </w:rPr>
        <w:t>工程地址：</w:t>
      </w:r>
      <w:r>
        <w:rPr>
          <w:rFonts w:hint="eastAsia" w:ascii="仿宋_GB2312" w:hAnsi="仿宋" w:eastAsia="仿宋_GB2312"/>
          <w:bCs/>
          <w:color w:val="000000" w:themeColor="text1"/>
          <w:sz w:val="21"/>
          <w:szCs w:val="21"/>
          <w:highlight w:val="none"/>
          <w:u w:val="single"/>
          <w14:textFill>
            <w14:solidFill>
              <w14:schemeClr w14:val="tx1"/>
            </w14:solidFill>
          </w14:textFill>
        </w:rPr>
        <w:t>西藏自治区山南市贡嘎县</w:t>
      </w:r>
    </w:p>
    <w:p w14:paraId="1774666E">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2.3</w:t>
      </w:r>
      <w:r>
        <w:rPr>
          <w:rFonts w:ascii="仿宋_GB2312" w:hAnsi="仿宋" w:eastAsia="仿宋_GB2312"/>
          <w:bCs/>
          <w:color w:val="000000" w:themeColor="text1"/>
          <w:sz w:val="21"/>
          <w:szCs w:val="21"/>
          <w:highlight w:val="none"/>
          <w14:textFill>
            <w14:solidFill>
              <w14:schemeClr w14:val="tx1"/>
            </w14:solidFill>
          </w14:textFill>
        </w:rPr>
        <w:t>工程简介：</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拉萨南北山造林绿化2024年度（山南段）营造林先造后补工程一片区位于贡嘎县，隶属于西藏山南市贡嘎县岗堆镇森布日村，项目作业区，紧邻公路，设计总面积480.81公顷（7212.1亩）</w:t>
      </w:r>
      <w:r>
        <w:rPr>
          <w:rFonts w:hint="eastAsia" w:ascii="仿宋_GB2312" w:hAnsi="仿宋" w:eastAsia="仿宋_GB2312"/>
          <w:bCs/>
          <w:color w:val="000000" w:themeColor="text1"/>
          <w:sz w:val="21"/>
          <w:szCs w:val="21"/>
          <w:highlight w:val="none"/>
          <w:u w:val="single"/>
          <w:lang w:eastAsia="zh-CN"/>
          <w14:textFill>
            <w14:solidFill>
              <w14:schemeClr w14:val="tx1"/>
            </w14:solidFill>
          </w14:textFill>
        </w:rPr>
        <w:t>。</w:t>
      </w:r>
    </w:p>
    <w:p w14:paraId="5AD02710">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0AACDB75">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3.1招标</w:t>
      </w:r>
      <w:r>
        <w:rPr>
          <w:rFonts w:ascii="仿宋_GB2312" w:hAnsi="仿宋" w:eastAsia="仿宋_GB2312"/>
          <w:bCs/>
          <w:color w:val="000000" w:themeColor="text1"/>
          <w:sz w:val="21"/>
          <w:szCs w:val="21"/>
          <w:highlight w:val="none"/>
          <w14:textFill>
            <w14:solidFill>
              <w14:schemeClr w14:val="tx1"/>
            </w14:solidFill>
          </w14:textFill>
        </w:rPr>
        <w:t xml:space="preserve">物资清单 </w:t>
      </w:r>
    </w:p>
    <w:tbl>
      <w:tblPr>
        <w:tblStyle w:val="35"/>
        <w:tblW w:w="8364" w:type="dxa"/>
        <w:tblInd w:w="582" w:type="dxa"/>
        <w:tblLayout w:type="fixed"/>
        <w:tblCellMar>
          <w:top w:w="15" w:type="dxa"/>
          <w:left w:w="15" w:type="dxa"/>
          <w:bottom w:w="15" w:type="dxa"/>
          <w:right w:w="15" w:type="dxa"/>
        </w:tblCellMar>
      </w:tblPr>
      <w:tblGrid>
        <w:gridCol w:w="709"/>
        <w:gridCol w:w="1985"/>
        <w:gridCol w:w="1842"/>
        <w:gridCol w:w="1276"/>
        <w:gridCol w:w="1418"/>
        <w:gridCol w:w="1134"/>
      </w:tblGrid>
      <w:tr w14:paraId="33076E51">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B3AAEE7">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4C2F454D">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26CBD65F">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46108209">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059C41B4">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13993524">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备注</w:t>
            </w:r>
          </w:p>
        </w:tc>
      </w:tr>
      <w:tr w14:paraId="4CE44A2E">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60C64BE">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28CAC3AA">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柴油</w:t>
            </w:r>
          </w:p>
        </w:tc>
        <w:tc>
          <w:tcPr>
            <w:tcW w:w="1842" w:type="dxa"/>
            <w:tcBorders>
              <w:top w:val="single" w:color="000000" w:sz="4" w:space="0"/>
              <w:left w:val="single" w:color="000000" w:sz="4" w:space="0"/>
              <w:bottom w:val="single" w:color="000000" w:sz="4" w:space="0"/>
              <w:right w:val="single" w:color="000000" w:sz="4" w:space="0"/>
            </w:tcBorders>
            <w:vAlign w:val="center"/>
          </w:tcPr>
          <w:p w14:paraId="50CC77E4">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0#</w:t>
            </w:r>
          </w:p>
        </w:tc>
        <w:tc>
          <w:tcPr>
            <w:tcW w:w="1276" w:type="dxa"/>
            <w:tcBorders>
              <w:top w:val="single" w:color="000000" w:sz="4" w:space="0"/>
              <w:left w:val="single" w:color="000000" w:sz="4" w:space="0"/>
              <w:bottom w:val="single" w:color="000000" w:sz="4" w:space="0"/>
              <w:right w:val="single" w:color="000000" w:sz="4" w:space="0"/>
            </w:tcBorders>
            <w:vAlign w:val="center"/>
          </w:tcPr>
          <w:p w14:paraId="20F17FF3">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升</w:t>
            </w:r>
          </w:p>
        </w:tc>
        <w:tc>
          <w:tcPr>
            <w:tcW w:w="1418" w:type="dxa"/>
            <w:tcBorders>
              <w:top w:val="single" w:color="000000" w:sz="4" w:space="0"/>
              <w:left w:val="single" w:color="000000" w:sz="4" w:space="0"/>
              <w:bottom w:val="single" w:color="000000" w:sz="4" w:space="0"/>
              <w:right w:val="single" w:color="auto" w:sz="4" w:space="0"/>
            </w:tcBorders>
            <w:vAlign w:val="center"/>
          </w:tcPr>
          <w:p w14:paraId="1275C8B4">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77000</w:t>
            </w:r>
          </w:p>
        </w:tc>
        <w:tc>
          <w:tcPr>
            <w:tcW w:w="1134" w:type="dxa"/>
            <w:tcBorders>
              <w:top w:val="single" w:color="000000" w:sz="4" w:space="0"/>
              <w:left w:val="single" w:color="auto" w:sz="4" w:space="0"/>
              <w:bottom w:val="single" w:color="000000" w:sz="4" w:space="0"/>
              <w:right w:val="single" w:color="000000" w:sz="4" w:space="0"/>
            </w:tcBorders>
            <w:vAlign w:val="center"/>
          </w:tcPr>
          <w:p w14:paraId="1232AAF2">
            <w:pPr>
              <w:spacing w:line="500" w:lineRule="exact"/>
              <w:jc w:val="center"/>
              <w:rPr>
                <w:rFonts w:hint="eastAsia" w:ascii="仿宋_GB2312" w:eastAsia="仿宋_GB2312"/>
                <w:sz w:val="21"/>
                <w:szCs w:val="21"/>
                <w:highlight w:val="none"/>
              </w:rPr>
            </w:pPr>
          </w:p>
        </w:tc>
      </w:tr>
      <w:tr w14:paraId="4F3F8130">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5726D49">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14:paraId="748CBA6F">
            <w:pPr>
              <w:spacing w:line="500" w:lineRule="exact"/>
              <w:jc w:val="center"/>
              <w:rPr>
                <w:rFonts w:hint="eastAsia" w:ascii="仿宋_GB2312" w:eastAsia="仿宋_GB2312"/>
                <w:sz w:val="21"/>
                <w:szCs w:val="21"/>
                <w:highlight w:val="none"/>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1A3FAF9F">
            <w:pPr>
              <w:spacing w:line="500" w:lineRule="exact"/>
              <w:jc w:val="center"/>
              <w:rPr>
                <w:rFonts w:hint="eastAsia" w:ascii="仿宋_GB2312" w:eastAsia="仿宋_GB2312"/>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CAB83B8">
            <w:pPr>
              <w:spacing w:line="500" w:lineRule="exact"/>
              <w:jc w:val="center"/>
              <w:rPr>
                <w:rFonts w:hint="eastAsia" w:ascii="仿宋_GB2312" w:eastAsia="仿宋_GB2312"/>
                <w:sz w:val="21"/>
                <w:szCs w:val="21"/>
                <w:highlight w:val="none"/>
              </w:rPr>
            </w:pPr>
          </w:p>
        </w:tc>
        <w:tc>
          <w:tcPr>
            <w:tcW w:w="1418" w:type="dxa"/>
            <w:tcBorders>
              <w:top w:val="single" w:color="000000" w:sz="4" w:space="0"/>
              <w:left w:val="single" w:color="000000" w:sz="4" w:space="0"/>
              <w:bottom w:val="single" w:color="000000" w:sz="4" w:space="0"/>
              <w:right w:val="single" w:color="auto" w:sz="4" w:space="0"/>
            </w:tcBorders>
            <w:vAlign w:val="center"/>
          </w:tcPr>
          <w:p w14:paraId="1B014F12">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77000</w:t>
            </w:r>
          </w:p>
        </w:tc>
        <w:tc>
          <w:tcPr>
            <w:tcW w:w="1134" w:type="dxa"/>
            <w:tcBorders>
              <w:top w:val="single" w:color="000000" w:sz="4" w:space="0"/>
              <w:left w:val="single" w:color="auto" w:sz="4" w:space="0"/>
              <w:bottom w:val="single" w:color="000000" w:sz="4" w:space="0"/>
              <w:right w:val="single" w:color="000000" w:sz="4" w:space="0"/>
            </w:tcBorders>
            <w:vAlign w:val="center"/>
          </w:tcPr>
          <w:p w14:paraId="5C46EB51">
            <w:pPr>
              <w:spacing w:line="500" w:lineRule="exact"/>
              <w:jc w:val="center"/>
              <w:rPr>
                <w:rFonts w:hint="eastAsia" w:ascii="仿宋_GB2312" w:eastAsia="仿宋_GB2312"/>
                <w:sz w:val="21"/>
                <w:szCs w:val="21"/>
                <w:highlight w:val="none"/>
                <w:lang w:val="en-US" w:eastAsia="zh-CN"/>
              </w:rPr>
            </w:pPr>
          </w:p>
        </w:tc>
      </w:tr>
    </w:tbl>
    <w:p w14:paraId="35008CE2">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3.2</w:t>
      </w:r>
      <w:r>
        <w:rPr>
          <w:rFonts w:ascii="仿宋_GB2312" w:hAnsi="仿宋" w:eastAsia="仿宋_GB2312"/>
          <w:bCs/>
          <w:color w:val="000000" w:themeColor="text1"/>
          <w:sz w:val="21"/>
          <w:szCs w:val="21"/>
          <w:highlight w:val="none"/>
          <w14:textFill>
            <w14:solidFill>
              <w14:schemeClr w14:val="tx1"/>
            </w14:solidFill>
          </w14:textFill>
        </w:rPr>
        <w:t>计划供货期：</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ascii="仿宋_GB2312" w:hAnsi="仿宋" w:eastAsia="仿宋_GB2312"/>
          <w:bCs/>
          <w:color w:val="000000" w:themeColor="text1"/>
          <w:sz w:val="21"/>
          <w:szCs w:val="21"/>
          <w:highlight w:val="none"/>
          <w14:textFill>
            <w14:solidFill>
              <w14:schemeClr w14:val="tx1"/>
            </w14:solidFill>
          </w14:textFill>
        </w:rPr>
        <w:t>年</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5</w:t>
      </w:r>
      <w:r>
        <w:rPr>
          <w:rFonts w:ascii="仿宋_GB2312" w:hAnsi="仿宋" w:eastAsia="仿宋_GB2312"/>
          <w:bCs/>
          <w:color w:val="000000" w:themeColor="text1"/>
          <w:sz w:val="21"/>
          <w:szCs w:val="21"/>
          <w:highlight w:val="none"/>
          <w14:textFill>
            <w14:solidFill>
              <w14:schemeClr w14:val="tx1"/>
            </w14:solidFill>
          </w14:textFill>
        </w:rPr>
        <w:t>月至</w:t>
      </w:r>
      <w:r>
        <w:rPr>
          <w:rFonts w:hint="eastAsia" w:ascii="仿宋_GB2312" w:hAnsi="仿宋" w:eastAsia="仿宋_GB2312"/>
          <w:bCs/>
          <w:color w:val="000000" w:themeColor="text1"/>
          <w:sz w:val="21"/>
          <w:szCs w:val="21"/>
          <w:highlight w:val="none"/>
          <w14:textFill>
            <w14:solidFill>
              <w14:schemeClr w14:val="tx1"/>
            </w14:solidFill>
          </w14:textFill>
        </w:rPr>
        <w:t>项目</w:t>
      </w:r>
      <w:r>
        <w:rPr>
          <w:rFonts w:ascii="仿宋_GB2312" w:hAnsi="仿宋" w:eastAsia="仿宋_GB2312"/>
          <w:bCs/>
          <w:color w:val="000000" w:themeColor="text1"/>
          <w:sz w:val="21"/>
          <w:szCs w:val="21"/>
          <w:highlight w:val="none"/>
          <w14:textFill>
            <w14:solidFill>
              <w14:schemeClr w14:val="tx1"/>
            </w14:solidFill>
          </w14:textFill>
        </w:rPr>
        <w:t>工程完工。</w:t>
      </w:r>
    </w:p>
    <w:p w14:paraId="0B39DA37">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14709D98">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4.1</w:t>
      </w:r>
      <w:r>
        <w:rPr>
          <w:rFonts w:hint="eastAsia" w:ascii="仿宋_GB2312" w:hAnsi="仿宋" w:eastAsia="仿宋_GB2312"/>
          <w:bCs/>
          <w:color w:val="000000" w:themeColor="text1"/>
          <w:sz w:val="21"/>
          <w:szCs w:val="21"/>
          <w:highlight w:val="none"/>
          <w14:textFill>
            <w14:solidFill>
              <w14:schemeClr w14:val="tx1"/>
            </w14:solidFill>
          </w14:textFill>
        </w:rPr>
        <w:t>投标人条件</w:t>
      </w:r>
    </w:p>
    <w:p w14:paraId="6B3DB6A3">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p>
    <w:p w14:paraId="4AA8FCCA">
      <w:pPr>
        <w:pStyle w:val="2"/>
        <w:numPr>
          <w:ilvl w:val="0"/>
          <w:numId w:val="0"/>
        </w:numPr>
        <w:ind w:firstLine="420" w:firstLineChars="200"/>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4.1.</w:t>
      </w:r>
      <w:r>
        <w:rPr>
          <w:rFonts w:hint="eastAsia" w:ascii="仿宋_GB2312" w:hAnsi="仿宋" w:eastAsia="仿宋_GB2312"/>
          <w:bCs/>
          <w:color w:val="000000" w:themeColor="text1"/>
          <w:sz w:val="21"/>
          <w:szCs w:val="21"/>
          <w:highlight w:val="none"/>
          <w14:textFill>
            <w14:solidFill>
              <w14:schemeClr w14:val="tx1"/>
            </w14:solidFill>
          </w14:textFill>
        </w:rPr>
        <w:t>1投标人必须是物资生产商或代理商，具有独立法人资格，依法取得有效的营业执照，营</w:t>
      </w:r>
    </w:p>
    <w:p w14:paraId="14256B2A">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14:textFill>
            <w14:solidFill>
              <w14:schemeClr w14:val="tx1"/>
            </w14:solidFill>
          </w14:textFill>
        </w:rPr>
      </w:pPr>
    </w:p>
    <w:p w14:paraId="41166365">
      <w:pPr>
        <w:pStyle w:val="2"/>
        <w:numPr>
          <w:ilvl w:val="0"/>
          <w:numId w:val="0"/>
        </w:numPr>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业执照经营范围必须涵盖招标物资的销售。</w:t>
      </w:r>
    </w:p>
    <w:p w14:paraId="27C3E1C3">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bCs/>
          <w:color w:val="000000" w:themeColor="text1"/>
          <w:sz w:val="21"/>
          <w:szCs w:val="21"/>
          <w:highlight w:val="none"/>
          <w14:textFill>
            <w14:solidFill>
              <w14:schemeClr w14:val="tx1"/>
            </w14:solidFill>
          </w14:textFill>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14:textFill>
            <w14:solidFill>
              <w14:schemeClr w14:val="tx1"/>
            </w14:solidFill>
          </w14:textFill>
        </w:rPr>
        <w:t>历史</w:t>
      </w:r>
      <w:r>
        <w:rPr>
          <w:rFonts w:hint="eastAsia" w:ascii="仿宋_GB2312" w:hAnsi="仿宋" w:eastAsia="仿宋_GB2312"/>
          <w:bCs/>
          <w:color w:val="000000" w:themeColor="text1"/>
          <w:sz w:val="21"/>
          <w:szCs w:val="21"/>
          <w:highlight w:val="none"/>
          <w14:textFill>
            <w14:solidFill>
              <w14:schemeClr w14:val="tx1"/>
            </w14:solidFill>
          </w14:textFill>
        </w:rPr>
        <w:t>合作良好，具备</w:t>
      </w:r>
      <w:r>
        <w:rPr>
          <w:rFonts w:ascii="仿宋_GB2312" w:hAnsi="仿宋" w:eastAsia="仿宋_GB2312"/>
          <w:bCs/>
          <w:color w:val="000000" w:themeColor="text1"/>
          <w:sz w:val="21"/>
          <w:szCs w:val="21"/>
          <w:highlight w:val="none"/>
          <w14:textFill>
            <w14:solidFill>
              <w14:schemeClr w14:val="tx1"/>
            </w14:solidFill>
          </w14:textFill>
        </w:rPr>
        <w:t>较强的</w:t>
      </w:r>
      <w:r>
        <w:rPr>
          <w:rFonts w:hint="eastAsia" w:ascii="仿宋_GB2312" w:hAnsi="仿宋" w:eastAsia="仿宋_GB2312"/>
          <w:bCs/>
          <w:color w:val="000000" w:themeColor="text1"/>
          <w:sz w:val="21"/>
          <w:szCs w:val="21"/>
          <w:highlight w:val="none"/>
          <w14:textFill>
            <w14:solidFill>
              <w14:schemeClr w14:val="tx1"/>
            </w14:solidFill>
          </w14:textFill>
        </w:rPr>
        <w:t>供货能力。</w:t>
      </w:r>
    </w:p>
    <w:p w14:paraId="56E86E92">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bCs/>
          <w:color w:val="000000" w:themeColor="text1"/>
          <w:sz w:val="21"/>
          <w:szCs w:val="21"/>
          <w:highlight w:val="none"/>
          <w14:textFill>
            <w14:solidFill>
              <w14:schemeClr w14:val="tx1"/>
            </w14:solidFill>
          </w14:textFill>
        </w:rPr>
        <w:t>.3具有招标物资经营管理的相应资格和能力，具有完善的质量保证体系，具有固定的办公场所和专职管理人员。</w:t>
      </w:r>
    </w:p>
    <w:p w14:paraId="03076898">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1.4</w:t>
      </w:r>
      <w:r>
        <w:rPr>
          <w:rFonts w:hint="eastAsia" w:ascii="仿宋_GB2312" w:hAnsi="仿宋" w:eastAsia="仿宋_GB2312"/>
          <w:bCs/>
          <w:color w:val="000000" w:themeColor="text1"/>
          <w:sz w:val="21"/>
          <w:szCs w:val="21"/>
          <w:highlight w:val="none"/>
          <w14:textFill>
            <w14:solidFill>
              <w14:schemeClr w14:val="tx1"/>
            </w14:solidFill>
          </w14:textFill>
        </w:rPr>
        <w:t>投标人应是</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经审核通过的</w:t>
      </w:r>
      <w:r>
        <w:rPr>
          <w:rFonts w:ascii="仿宋_GB2312" w:hAnsi="仿宋" w:eastAsia="仿宋_GB2312"/>
          <w:bCs/>
          <w:color w:val="000000" w:themeColor="text1"/>
          <w:sz w:val="21"/>
          <w:szCs w:val="21"/>
          <w:highlight w:val="none"/>
          <w14:textFill>
            <w14:solidFill>
              <w14:schemeClr w14:val="tx1"/>
            </w14:solidFill>
          </w14:textFill>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14:textFill>
            <w14:solidFill>
              <w14:schemeClr w14:val="tx1"/>
            </w14:solidFill>
          </w14:textFill>
        </w:rPr>
        <w:t>，</w:t>
      </w:r>
      <w:r>
        <w:rPr>
          <w:rFonts w:hint="eastAsia" w:ascii="仿宋_GB2312" w:hAnsi="仿宋" w:eastAsia="仿宋_GB2312"/>
          <w:bCs/>
          <w:color w:val="000000" w:themeColor="text1"/>
          <w:sz w:val="21"/>
          <w:szCs w:val="21"/>
          <w:highlight w:val="none"/>
          <w14:textFill>
            <w14:solidFill>
              <w14:schemeClr w14:val="tx1"/>
            </w14:solidFill>
          </w14:textFill>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14:textFill>
            <w14:solidFill>
              <w14:schemeClr w14:val="tx1"/>
            </w14:solidFill>
          </w14:textFill>
        </w:rPr>
        <w:t>中建系统不合格（含不良行为）名册中</w:t>
      </w:r>
      <w:r>
        <w:rPr>
          <w:rFonts w:ascii="仿宋_GB2312" w:hAnsi="仿宋" w:eastAsia="仿宋_GB2312"/>
          <w:bCs/>
          <w:color w:val="000000" w:themeColor="text1"/>
          <w:sz w:val="21"/>
          <w:szCs w:val="21"/>
          <w:highlight w:val="none"/>
          <w14:textFill>
            <w14:solidFill>
              <w14:schemeClr w14:val="tx1"/>
            </w14:solidFill>
          </w14:textFill>
        </w:rPr>
        <w:t xml:space="preserve">。 </w:t>
      </w:r>
    </w:p>
    <w:p w14:paraId="2A5139EF">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1.5</w:t>
      </w:r>
      <w:r>
        <w:rPr>
          <w:rFonts w:hint="eastAsia" w:ascii="仿宋_GB2312" w:hAnsi="仿宋" w:eastAsia="仿宋_GB2312"/>
          <w:bCs/>
          <w:color w:val="000000" w:themeColor="text1"/>
          <w:sz w:val="21"/>
          <w:szCs w:val="21"/>
          <w:highlight w:val="none"/>
          <w14:textFill>
            <w14:solidFill>
              <w14:schemeClr w14:val="tx1"/>
            </w14:solidFill>
          </w14:textFill>
        </w:rPr>
        <w:t>生产厂商注册资金要求。注册资金</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300</w:t>
      </w:r>
      <w:r>
        <w:rPr>
          <w:rFonts w:hint="eastAsia" w:ascii="仿宋_GB2312" w:hAnsi="仿宋" w:eastAsia="仿宋_GB2312"/>
          <w:bCs/>
          <w:color w:val="000000" w:themeColor="text1"/>
          <w:sz w:val="21"/>
          <w:szCs w:val="21"/>
          <w:highlight w:val="none"/>
          <w14:textFill>
            <w14:solidFill>
              <w14:schemeClr w14:val="tx1"/>
            </w14:solidFill>
          </w14:textFill>
        </w:rPr>
        <w:t>万元以上。</w:t>
      </w:r>
    </w:p>
    <w:p w14:paraId="2563EB1D">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1.6</w:t>
      </w:r>
      <w:r>
        <w:rPr>
          <w:rFonts w:hint="eastAsia" w:ascii="仿宋_GB2312" w:hAnsi="仿宋" w:eastAsia="仿宋_GB2312"/>
          <w:bCs/>
          <w:color w:val="000000" w:themeColor="text1"/>
          <w:sz w:val="21"/>
          <w:szCs w:val="21"/>
          <w:highlight w:val="none"/>
          <w14:textFill>
            <w14:solidFill>
              <w14:schemeClr w14:val="tx1"/>
            </w14:solidFill>
          </w14:textFill>
        </w:rPr>
        <w:t>代理商注册资金要求。注册资金</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300</w:t>
      </w:r>
      <w:r>
        <w:rPr>
          <w:rFonts w:hint="eastAsia" w:ascii="仿宋_GB2312" w:hAnsi="仿宋" w:eastAsia="仿宋_GB2312"/>
          <w:bCs/>
          <w:color w:val="000000" w:themeColor="text1"/>
          <w:sz w:val="21"/>
          <w:szCs w:val="21"/>
          <w:highlight w:val="none"/>
          <w14:textFill>
            <w14:solidFill>
              <w14:schemeClr w14:val="tx1"/>
            </w14:solidFill>
          </w14:textFill>
        </w:rPr>
        <w:t>万元以上。</w:t>
      </w:r>
    </w:p>
    <w:p w14:paraId="637AC248">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4.1.7 能够开具合法有效的增值税专用发票。</w:t>
      </w:r>
    </w:p>
    <w:p w14:paraId="1A9FB832">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4.1.8中建股份内部供应企业也属于供应商范畴，纳入供应商管理。</w:t>
      </w:r>
    </w:p>
    <w:p w14:paraId="0A873CD3">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4.1.9招标方在招标过程任何阶段发现投标方相互关联的，取消其投标资格。投标单位关联关系认定详见附件《关于投标单位关联关系的认定说明》。</w:t>
      </w:r>
    </w:p>
    <w:p w14:paraId="465ACDE4">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4.2 本次招标不接受联合体投标。</w:t>
      </w:r>
    </w:p>
    <w:p w14:paraId="7625675C">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4.3 投标保证金</w:t>
      </w:r>
    </w:p>
    <w:p w14:paraId="4C1E331B">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 xml:space="preserve"> / </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3B02FBF2">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单位名称：</w:t>
      </w:r>
      <w:r>
        <w:rPr>
          <w:rFonts w:hint="eastAsia" w:ascii="仿宋_GB2312" w:eastAsia="仿宋_GB2312" w:hAnsiTheme="minorEastAsia"/>
          <w:b/>
          <w:sz w:val="21"/>
          <w:szCs w:val="21"/>
          <w:u w:val="single"/>
        </w:rPr>
        <w:t>中建路桥集团第六工程有限公司</w:t>
      </w:r>
    </w:p>
    <w:p w14:paraId="666208B6">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银行账号：</w:t>
      </w:r>
      <w:r>
        <w:rPr>
          <w:rFonts w:hint="eastAsia" w:ascii="仿宋_GB2312" w:eastAsia="仿宋_GB2312" w:hAnsiTheme="minorEastAsia"/>
          <w:b/>
          <w:sz w:val="21"/>
          <w:szCs w:val="21"/>
          <w:u w:val="single"/>
        </w:rPr>
        <w:t>1305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0165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5272</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0000</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0297</w:t>
      </w:r>
    </w:p>
    <w:p w14:paraId="11728BAC">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开户行：</w:t>
      </w:r>
      <w:r>
        <w:rPr>
          <w:rFonts w:hint="eastAsia" w:ascii="仿宋_GB2312" w:eastAsia="仿宋_GB2312" w:hAnsiTheme="minorEastAsia"/>
          <w:b/>
          <w:sz w:val="21"/>
          <w:szCs w:val="21"/>
          <w:u w:val="single"/>
        </w:rPr>
        <w:t>建行邢台青青家园支行</w:t>
      </w:r>
    </w:p>
    <w:p w14:paraId="1EED5326">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以及企业ESG因素，</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同等条件下优先选择绿色节能环保材料和设备。</w:t>
      </w:r>
    </w:p>
    <w:p w14:paraId="2E61F9C3">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104DA593">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凡有意参加投标的，请在中建路桥集团有限公司</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官网</w:t>
      </w:r>
      <w:r>
        <w:rPr>
          <w:rFonts w:hint="eastAsia" w:ascii="仿宋_GB2312" w:hAnsi="仿宋" w:eastAsia="仿宋_GB2312"/>
          <w:bCs/>
          <w:color w:val="000000" w:themeColor="text1"/>
          <w:sz w:val="21"/>
          <w:szCs w:val="21"/>
          <w:highlight w:val="none"/>
          <w14:textFill>
            <w14:solidFill>
              <w14:schemeClr w14:val="tx1"/>
            </w14:solidFill>
          </w14:textFill>
        </w:rPr>
        <w:t>下载招标文件。</w:t>
      </w:r>
    </w:p>
    <w:p w14:paraId="6E2C4A99">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28ED3427">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6</w:t>
      </w:r>
      <w:r>
        <w:rPr>
          <w:rFonts w:hint="eastAsia" w:ascii="仿宋_GB2312" w:hAnsi="仿宋" w:eastAsia="仿宋_GB2312"/>
          <w:bCs/>
          <w:color w:val="000000" w:themeColor="text1"/>
          <w:sz w:val="21"/>
          <w:szCs w:val="21"/>
          <w:highlight w:val="none"/>
          <w14:textFill>
            <w14:solidFill>
              <w14:schemeClr w14:val="tx1"/>
            </w14:solidFill>
          </w14:textFill>
        </w:rPr>
        <w:t>.1投标文件递交截止时间</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 xml:space="preserve"> 年</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6</w:t>
      </w:r>
      <w:r>
        <w:rPr>
          <w:rFonts w:hint="eastAsia" w:ascii="仿宋_GB2312" w:hAnsi="仿宋" w:eastAsia="仿宋_GB2312"/>
          <w:bCs/>
          <w:color w:val="000000" w:themeColor="text1"/>
          <w:sz w:val="21"/>
          <w:szCs w:val="21"/>
          <w:highlight w:val="none"/>
          <w14:textFill>
            <w14:solidFill>
              <w14:schemeClr w14:val="tx1"/>
            </w14:solidFill>
          </w14:textFill>
        </w:rPr>
        <w:t>月</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5</w:t>
      </w:r>
      <w:r>
        <w:rPr>
          <w:rFonts w:hint="eastAsia" w:ascii="仿宋_GB2312" w:hAnsi="仿宋" w:eastAsia="仿宋_GB2312"/>
          <w:bCs/>
          <w:color w:val="000000" w:themeColor="text1"/>
          <w:sz w:val="21"/>
          <w:szCs w:val="21"/>
          <w:highlight w:val="none"/>
          <w14:textFill>
            <w14:solidFill>
              <w14:schemeClr w14:val="tx1"/>
            </w14:solidFill>
          </w14:textFill>
        </w:rPr>
        <w:t>日</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17</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时。</w:t>
      </w:r>
    </w:p>
    <w:p w14:paraId="46FE9734">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6</w:t>
      </w:r>
      <w:r>
        <w:rPr>
          <w:rFonts w:hint="eastAsia" w:ascii="仿宋_GB2312" w:hAnsi="仿宋" w:eastAsia="仿宋_GB2312"/>
          <w:bCs/>
          <w:color w:val="000000" w:themeColor="text1"/>
          <w:sz w:val="21"/>
          <w:szCs w:val="21"/>
          <w:highlight w:val="none"/>
          <w14:textFill>
            <w14:solidFill>
              <w14:schemeClr w14:val="tx1"/>
            </w14:solidFill>
          </w14:textFill>
        </w:rPr>
        <w:t>.2递交地点：</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河北省邢台市信都区泉北西大街1299号</w:t>
      </w:r>
      <w:r>
        <w:rPr>
          <w:rFonts w:hint="eastAsia" w:ascii="仿宋_GB2312" w:hAnsi="仿宋" w:eastAsia="仿宋_GB2312"/>
          <w:bCs/>
          <w:color w:val="000000" w:themeColor="text1"/>
          <w:sz w:val="21"/>
          <w:szCs w:val="21"/>
          <w:highlight w:val="none"/>
          <w14:textFill>
            <w14:solidFill>
              <w14:schemeClr w14:val="tx1"/>
            </w14:solidFill>
          </w14:textFill>
        </w:rPr>
        <w:t>。</w:t>
      </w:r>
    </w:p>
    <w:p w14:paraId="1D44C719">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6</w:t>
      </w:r>
      <w:r>
        <w:rPr>
          <w:rFonts w:hint="eastAsia" w:ascii="仿宋_GB2312" w:hAnsi="仿宋" w:eastAsia="仿宋_GB2312"/>
          <w:bCs/>
          <w:color w:val="000000" w:themeColor="text1"/>
          <w:sz w:val="21"/>
          <w:szCs w:val="21"/>
          <w:highlight w:val="none"/>
          <w14:textFill>
            <w14:solidFill>
              <w14:schemeClr w14:val="tx1"/>
            </w14:solidFill>
          </w14:textFill>
        </w:rPr>
        <w:t>.3逾期送达的或者未送达指定地点的投标文件，招标人不予受理。</w:t>
      </w:r>
    </w:p>
    <w:p w14:paraId="6845E161">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6</w:t>
      </w: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投标文件应符合招标文件所列要求。</w:t>
      </w:r>
    </w:p>
    <w:p w14:paraId="31EEB5F5">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5B79A3AD">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本次招标公告在</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中建路桥集团有限公司官网</w:t>
      </w:r>
      <w:r>
        <w:rPr>
          <w:rFonts w:hint="eastAsia" w:ascii="仿宋_GB2312" w:hAnsi="仿宋" w:eastAsia="仿宋_GB2312"/>
          <w:bCs/>
          <w:color w:val="000000" w:themeColor="text1"/>
          <w:sz w:val="21"/>
          <w:szCs w:val="21"/>
          <w:highlight w:val="none"/>
          <w14:textFill>
            <w14:solidFill>
              <w14:schemeClr w14:val="tx1"/>
            </w14:solidFill>
          </w14:textFill>
        </w:rPr>
        <w:t>统一公开发布。</w:t>
      </w:r>
    </w:p>
    <w:p w14:paraId="418889B3">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7FBD0B16">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拟定开标时间：</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6</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6</w:t>
      </w:r>
      <w:bookmarkStart w:id="2" w:name="_GoBack"/>
      <w:bookmarkEnd w:id="2"/>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9</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点。</w:t>
      </w:r>
    </w:p>
    <w:p w14:paraId="3C4A1E2F">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0FC75C60">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招标单位: 中建路桥集团有限公司 </w:t>
      </w:r>
    </w:p>
    <w:p w14:paraId="70D679C9">
      <w:pPr>
        <w:pStyle w:val="11"/>
        <w:keepNext w:val="0"/>
        <w:keepLines w:val="0"/>
        <w:pageBreakBefore w:val="0"/>
        <w:widowControl w:val="0"/>
        <w:kinsoku/>
        <w:wordWrap/>
        <w:overflowPunct/>
        <w:topLinePunct w:val="0"/>
        <w:autoSpaceDE/>
        <w:autoSpaceDN/>
        <w:bidi w:val="0"/>
        <w:adjustRightInd/>
        <w:snapToGrid w:val="0"/>
        <w:spacing w:line="500" w:lineRule="atLeast"/>
        <w:ind w:firstLine="630" w:firstLineChars="300"/>
        <w:jc w:val="left"/>
        <w:textAlignment w:val="auto"/>
        <w:rPr>
          <w:rFonts w:hint="eastAsia" w:ascii="仿宋_GB2312" w:hAnsi="仿宋" w:eastAsia="仿宋_GB2312" w:cstheme="minorBidi"/>
          <w:bCs/>
          <w:color w:val="000000" w:themeColor="text1"/>
          <w:kern w:val="2"/>
          <w:sz w:val="21"/>
          <w:szCs w:val="21"/>
          <w:highlight w:val="non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联 系 人: 子企业:</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魏宏博</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  电话:</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0319-2673826</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 </w:t>
      </w:r>
    </w:p>
    <w:p w14:paraId="3C390B9E">
      <w:pPr>
        <w:keepNext w:val="0"/>
        <w:keepLines w:val="0"/>
        <w:pageBreakBefore w:val="0"/>
        <w:widowControl w:val="0"/>
        <w:kinsoku/>
        <w:wordWrap/>
        <w:overflowPunct/>
        <w:topLinePunct w:val="0"/>
        <w:autoSpaceDE/>
        <w:autoSpaceDN/>
        <w:bidi w:val="0"/>
        <w:adjustRightInd/>
        <w:snapToGrid/>
        <w:spacing w:line="500" w:lineRule="atLeast"/>
        <w:ind w:firstLine="1920" w:firstLineChars="800"/>
        <w:jc w:val="left"/>
        <w:textAlignment w:val="auto"/>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pPr>
      <w:r>
        <w:rPr>
          <w:rFonts w:hint="eastAsia"/>
          <w:lang w:val="en-US" w:eastAsia="zh-CN"/>
        </w:rPr>
        <w:t xml:space="preserve">  </w:t>
      </w:r>
      <w:r>
        <w:rPr>
          <w:rFonts w:hint="eastAsia" w:ascii="仿宋_GB2312" w:hAnsi="仿宋" w:eastAsia="仿宋_GB2312" w:cstheme="minorBidi"/>
          <w:bCs/>
          <w:color w:val="000000" w:themeColor="text1"/>
          <w:kern w:val="2"/>
          <w:sz w:val="21"/>
          <w:szCs w:val="21"/>
          <w:highlight w:val="none"/>
          <w:u w:val="none"/>
          <w:lang w:val="en-US" w:eastAsia="zh-CN" w:bidi="ar-SA"/>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叶子清</w:t>
      </w:r>
      <w:r>
        <w:rPr>
          <w:rFonts w:hint="eastAsia" w:ascii="仿宋_GB2312" w:hAnsi="仿宋" w:eastAsia="仿宋_GB2312" w:cstheme="minorBidi"/>
          <w:bCs/>
          <w:color w:val="000000" w:themeColor="text1"/>
          <w:kern w:val="2"/>
          <w:sz w:val="21"/>
          <w:szCs w:val="21"/>
          <w:highlight w:val="none"/>
          <w:u w:val="none"/>
          <w:lang w:val="en-US" w:eastAsia="zh-CN" w:bidi="ar-SA"/>
          <w14:textFill>
            <w14:solidFill>
              <w14:schemeClr w14:val="tx1"/>
            </w14:solidFill>
          </w14:textFill>
        </w:rPr>
        <w:t xml:space="preserve">  电话：</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0319-2673826</w:t>
      </w:r>
    </w:p>
    <w:p w14:paraId="0E83AC7C">
      <w:pPr>
        <w:spacing w:line="500" w:lineRule="exact"/>
        <w:ind w:firstLine="1680" w:firstLineChars="800"/>
        <w:jc w:val="left"/>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项目部:</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 xml:space="preserve">付晓军 </w:t>
      </w:r>
      <w:r>
        <w:rPr>
          <w:rFonts w:hint="eastAsia" w:ascii="仿宋_GB2312" w:hAnsi="仿宋" w:eastAsia="仿宋_GB2312" w:cstheme="minorBidi"/>
          <w:bCs/>
          <w:color w:val="000000" w:themeColor="text1"/>
          <w:kern w:val="2"/>
          <w:sz w:val="21"/>
          <w:szCs w:val="21"/>
          <w:highlight w:val="none"/>
          <w:u w:val="none"/>
          <w:lang w:val="en-US" w:eastAsia="zh-CN" w:bidi="ar-SA"/>
          <w14:textFill>
            <w14:solidFill>
              <w14:schemeClr w14:val="tx1"/>
            </w14:solidFill>
          </w14:textFill>
        </w:rPr>
        <w:t xml:space="preserve">  电话:</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15081741749</w:t>
      </w:r>
    </w:p>
    <w:p w14:paraId="2A202356">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子企业地址:</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河北省邢台市信都区泉北西大街1299号</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 </w:t>
      </w:r>
    </w:p>
    <w:p w14:paraId="2D5747BC">
      <w:pPr>
        <w:widowControl/>
        <w:spacing w:line="500" w:lineRule="exact"/>
        <w:ind w:firstLine="630" w:firstLineChars="3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项目部地址:</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西藏山南市贡嘎县拉萨营造林一片区项目经理部</w:t>
      </w:r>
    </w:p>
    <w:p w14:paraId="27EDC279">
      <w:pPr>
        <w:widowControl/>
        <w:spacing w:line="500" w:lineRule="exact"/>
        <w:ind w:firstLine="5985" w:firstLineChars="2850"/>
        <w:jc w:val="left"/>
        <w:rPr>
          <w:rFonts w:ascii="仿宋_GB2312" w:hAnsi="仿宋" w:eastAsia="仿宋_GB2312"/>
          <w:bCs/>
          <w:color w:val="000000" w:themeColor="text1"/>
          <w:sz w:val="21"/>
          <w:szCs w:val="21"/>
          <w:highlight w:val="none"/>
          <w:u w:val="single"/>
          <w14:textFill>
            <w14:solidFill>
              <w14:schemeClr w14:val="tx1"/>
            </w14:solidFill>
          </w14:textFill>
        </w:rPr>
      </w:pP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年</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5</w:t>
      </w:r>
      <w:r>
        <w:rPr>
          <w:rFonts w:hint="eastAsia" w:ascii="仿宋_GB2312" w:hAnsi="仿宋" w:eastAsia="仿宋_GB2312"/>
          <w:bCs/>
          <w:color w:val="000000" w:themeColor="text1"/>
          <w:sz w:val="21"/>
          <w:szCs w:val="21"/>
          <w:highlight w:val="none"/>
          <w14:textFill>
            <w14:solidFill>
              <w14:schemeClr w14:val="tx1"/>
            </w14:solidFill>
          </w14:textFill>
        </w:rPr>
        <w:t>月</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27</w:t>
      </w:r>
      <w:r>
        <w:rPr>
          <w:rFonts w:hint="eastAsia" w:ascii="仿宋_GB2312" w:hAnsi="仿宋" w:eastAsia="仿宋_GB2312"/>
          <w:bCs/>
          <w:color w:val="000000" w:themeColor="text1"/>
          <w:sz w:val="21"/>
          <w:szCs w:val="21"/>
          <w:highlight w:val="none"/>
          <w14:textFill>
            <w14:solidFill>
              <w14:schemeClr w14:val="tx1"/>
            </w14:solidFill>
          </w14:textFill>
        </w:rPr>
        <w:t>日</w:t>
      </w:r>
    </w:p>
    <w:p w14:paraId="2FC5AD7F">
      <w:pPr>
        <w:widowControl/>
        <w:spacing w:line="500" w:lineRule="exact"/>
        <w:ind w:firstLine="630" w:firstLineChars="300"/>
        <w:jc w:val="left"/>
        <w:rPr>
          <w:rFonts w:ascii="仿宋_GB2312" w:hAnsi="仿宋" w:eastAsia="仿宋_GB2312"/>
          <w:bCs/>
          <w:color w:val="000000" w:themeColor="text1"/>
          <w:sz w:val="21"/>
          <w:szCs w:val="21"/>
          <w:highlight w:val="none"/>
          <w14:textFill>
            <w14:solidFill>
              <w14:schemeClr w14:val="tx1"/>
            </w14:solidFill>
          </w14:textFill>
        </w:rPr>
      </w:pPr>
    </w:p>
    <w:p w14:paraId="63F2E4D2">
      <w:pPr>
        <w:widowControl/>
        <w:spacing w:line="500" w:lineRule="exact"/>
        <w:ind w:firstLine="630" w:firstLineChars="300"/>
        <w:jc w:val="left"/>
        <w:rPr>
          <w:rFonts w:ascii="仿宋_GB2312" w:hAnsi="仿宋" w:eastAsia="仿宋_GB2312"/>
          <w:bCs/>
          <w:color w:val="000000" w:themeColor="text1"/>
          <w:sz w:val="21"/>
          <w:szCs w:val="21"/>
          <w:highlight w:val="none"/>
          <w14:textFill>
            <w14:solidFill>
              <w14:schemeClr w14:val="tx1"/>
            </w14:solidFill>
          </w14:textFill>
        </w:rPr>
      </w:pPr>
    </w:p>
    <w:p w14:paraId="35229362">
      <w:pPr>
        <w:widowControl/>
        <w:spacing w:line="480" w:lineRule="auto"/>
        <w:rPr>
          <w:rFonts w:ascii="宋体" w:hAnsi="宋体"/>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EC49C">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66724">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jgwZDZjN2JkMTI1OWQyMGI2NzRlMGJjODFhNDIifQ=="/>
    <w:docVar w:name="KSO_WPS_MARK_KEY" w:val="804dbbe8-6a61-4467-9dfb-09195bd5fa82"/>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82931CB"/>
    <w:rsid w:val="095B1075"/>
    <w:rsid w:val="0AE10B06"/>
    <w:rsid w:val="0C9A408B"/>
    <w:rsid w:val="0D482CED"/>
    <w:rsid w:val="0DEA0FAF"/>
    <w:rsid w:val="117711C9"/>
    <w:rsid w:val="12921DF3"/>
    <w:rsid w:val="1B6D1B7D"/>
    <w:rsid w:val="24F00B4F"/>
    <w:rsid w:val="27414953"/>
    <w:rsid w:val="28D72538"/>
    <w:rsid w:val="2FE604F3"/>
    <w:rsid w:val="32435B22"/>
    <w:rsid w:val="3AE6761F"/>
    <w:rsid w:val="3B8F606E"/>
    <w:rsid w:val="3B9F6BA4"/>
    <w:rsid w:val="3EE92CD3"/>
    <w:rsid w:val="42234C88"/>
    <w:rsid w:val="451562BE"/>
    <w:rsid w:val="4B4E5552"/>
    <w:rsid w:val="53B425EF"/>
    <w:rsid w:val="561A543D"/>
    <w:rsid w:val="5EA02C09"/>
    <w:rsid w:val="5FBC470E"/>
    <w:rsid w:val="6AA33E09"/>
    <w:rsid w:val="6C7748CD"/>
    <w:rsid w:val="6D1234C8"/>
    <w:rsid w:val="7358430E"/>
    <w:rsid w:val="77065E4C"/>
    <w:rsid w:val="7A304F8E"/>
    <w:rsid w:val="7BBD0AA3"/>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semiHidden/>
    <w:unhideWhenUsed/>
    <w:qFormat/>
    <w:uiPriority w:val="99"/>
    <w:pPr>
      <w:spacing w:after="120"/>
    </w:pPr>
    <w:rPr>
      <w:sz w:val="16"/>
      <w:szCs w:val="16"/>
    </w:rPr>
  </w:style>
  <w:style w:type="paragraph" w:styleId="13">
    <w:name w:val="Body Text"/>
    <w:basedOn w:val="1"/>
    <w:next w:val="14"/>
    <w:link w:val="51"/>
    <w:qFormat/>
    <w:uiPriority w:val="0"/>
    <w:pPr>
      <w:spacing w:after="120"/>
    </w:pPr>
    <w:rPr>
      <w:rFonts w:ascii="宋体" w:hAnsi="宋体" w:eastAsia="宋体" w:cs="宋体"/>
      <w:kern w:val="44"/>
      <w:sz w:val="28"/>
      <w:szCs w:val="2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3"/>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qFormat/>
    <w:uiPriority w:val="0"/>
    <w:rPr>
      <w:rFonts w:ascii="宋体" w:hAnsi="宋体" w:eastAsia="宋体" w:cs="宋体"/>
      <w:b/>
      <w:bCs/>
      <w:kern w:val="44"/>
      <w:sz w:val="32"/>
      <w:szCs w:val="32"/>
    </w:rPr>
  </w:style>
  <w:style w:type="character" w:customStyle="1" w:styleId="45">
    <w:name w:val="标题 4 Char"/>
    <w:basedOn w:val="37"/>
    <w:link w:val="6"/>
    <w:qFormat/>
    <w:uiPriority w:val="0"/>
    <w:rPr>
      <w:rFonts w:ascii="Arial" w:hAnsi="Arial" w:eastAsia="黑体" w:cs="Arial"/>
      <w:b/>
      <w:bCs/>
      <w:kern w:val="44"/>
      <w:sz w:val="28"/>
      <w:szCs w:val="28"/>
    </w:rPr>
  </w:style>
  <w:style w:type="character" w:customStyle="1" w:styleId="46">
    <w:name w:val="标题 9 Char"/>
    <w:basedOn w:val="37"/>
    <w:link w:val="7"/>
    <w:qFormat/>
    <w:uiPriority w:val="0"/>
    <w:rPr>
      <w:rFonts w:ascii="Arial" w:hAnsi="Arial" w:eastAsia="黑体" w:cs="Arial"/>
      <w:kern w:val="44"/>
      <w:sz w:val="21"/>
      <w:szCs w:val="21"/>
    </w:rPr>
  </w:style>
  <w:style w:type="character" w:customStyle="1" w:styleId="47">
    <w:name w:val="页眉 Char"/>
    <w:basedOn w:val="37"/>
    <w:link w:val="24"/>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qFormat/>
    <w:locked/>
    <w:uiPriority w:val="0"/>
    <w:rPr>
      <w:rFonts w:ascii="宋体" w:hAnsi="宋体" w:eastAsia="宋体" w:cs="宋体"/>
      <w:kern w:val="44"/>
      <w:sz w:val="32"/>
      <w:szCs w:val="32"/>
    </w:rPr>
  </w:style>
  <w:style w:type="character" w:customStyle="1" w:styleId="58">
    <w:name w:val="批注框文本 Char"/>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Char1"/>
    <w:basedOn w:val="37"/>
    <w:link w:val="18"/>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qFormat/>
    <w:uiPriority w:val="0"/>
    <w:rPr>
      <w:rFonts w:ascii="Times New Roman" w:hAnsi="Times New Roman" w:eastAsia="宋体" w:cs="Times New Roman"/>
      <w:kern w:val="44"/>
      <w:sz w:val="21"/>
      <w:szCs w:val="22"/>
    </w:rPr>
  </w:style>
  <w:style w:type="paragraph" w:customStyle="1" w:styleId="311">
    <w:name w:val="_Style 3"/>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1580</Words>
  <Characters>1779</Characters>
  <Lines>92</Lines>
  <Paragraphs>26</Paragraphs>
  <TotalTime>1</TotalTime>
  <ScaleCrop>false</ScaleCrop>
  <LinksUpToDate>false</LinksUpToDate>
  <CharactersWithSpaces>1826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YL虎</cp:lastModifiedBy>
  <cp:lastPrinted>2020-05-07T01:04:00Z</cp:lastPrinted>
  <dcterms:modified xsi:type="dcterms:W3CDTF">2025-05-27T06:29:52Z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255A4C8838E7428BA330875F49C4CC66_13</vt:lpwstr>
  </property>
  <property fmtid="{D5CDD505-2E9C-101B-9397-08002B2CF9AE}" pid="4" name="KSOTemplateDocerSaveRecord">
    <vt:lpwstr>eyJoZGlkIjoiMzJlYTI5MWJkNmY4ODM1ZmU4YWM5Y2JlNGMxMWUxNGEiLCJ1c2VySWQiOiI3NDgzNzg5NjUifQ==</vt:lpwstr>
  </property>
</Properties>
</file>