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E7435">
      <w:pPr>
        <w:pStyle w:val="3"/>
        <w:numPr>
          <w:ilvl w:val="0"/>
          <w:numId w:val="0"/>
        </w:numPr>
        <w:adjustRightInd w:val="0"/>
        <w:snapToGrid w:val="0"/>
        <w:spacing w:before="120" w:after="120" w:line="240" w:lineRule="auto"/>
        <w:jc w:val="both"/>
        <w:rPr>
          <w:rFonts w:hint="eastAsia" w:ascii="仿宋_GB2312" w:eastAsia="仿宋_GB2312"/>
          <w:b w:val="0"/>
          <w:bCs w:val="0"/>
          <w:highlight w:val="none"/>
          <w:u w:color="FF0000"/>
        </w:rPr>
      </w:pPr>
    </w:p>
    <w:p w14:paraId="243283BE">
      <w:pPr>
        <w:rPr>
          <w:rFonts w:hint="eastAsia"/>
        </w:rPr>
      </w:pPr>
    </w:p>
    <w:p w14:paraId="1F34AA7C">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rPr>
      </w:pPr>
    </w:p>
    <w:p w14:paraId="28942D35">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rPr>
      </w:pPr>
    </w:p>
    <w:p w14:paraId="3374EA02">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40E14251">
      <w:pPr>
        <w:pStyle w:val="3"/>
        <w:numPr>
          <w:ilvl w:val="0"/>
          <w:numId w:val="0"/>
        </w:numPr>
        <w:adjustRightInd w:val="0"/>
        <w:snapToGrid w:val="0"/>
        <w:spacing w:before="120" w:after="120" w:line="240" w:lineRule="auto"/>
        <w:jc w:val="center"/>
        <w:rPr>
          <w:rFonts w:hint="default" w:ascii="仿宋_GB2312" w:eastAsia="仿宋_GB2312"/>
          <w:b w:val="0"/>
          <w:bCs w:val="0"/>
          <w:highlight w:val="none"/>
          <w:u w:val="none"/>
          <w:lang w:val="en-US" w:eastAsia="zh-CN"/>
        </w:rPr>
      </w:pPr>
      <w:r>
        <w:rPr>
          <w:rFonts w:hint="eastAsia" w:ascii="仿宋_GB2312" w:eastAsia="仿宋_GB2312"/>
          <w:b w:val="0"/>
          <w:bCs w:val="0"/>
          <w:highlight w:val="none"/>
          <w:u w:val="single"/>
          <w:lang w:val="en-US" w:eastAsia="zh-CN"/>
        </w:rPr>
        <w:t xml:space="preserve">   地材运输  </w:t>
      </w:r>
    </w:p>
    <w:p w14:paraId="78947812">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p>
    <w:p w14:paraId="5AD493FF">
      <w:pPr>
        <w:pStyle w:val="3"/>
        <w:numPr>
          <w:ilvl w:val="0"/>
          <w:numId w:val="0"/>
        </w:numPr>
        <w:adjustRightInd w:val="0"/>
        <w:snapToGrid w:val="0"/>
        <w:spacing w:before="120" w:after="120" w:line="240" w:lineRule="auto"/>
        <w:jc w:val="center"/>
        <w:rPr>
          <w:rFonts w:hint="eastAsia" w:ascii="仿宋_GB2312" w:hAnsi="宋体" w:eastAsia="仿宋_GB2312" w:cs="宋体"/>
          <w:b w:val="0"/>
          <w:bCs w:val="0"/>
          <w:sz w:val="28"/>
          <w:szCs w:val="28"/>
          <w:highlight w:val="none"/>
          <w:u w:color="FF0000"/>
          <w:lang w:val="en-US" w:eastAsia="zh-CN"/>
        </w:rPr>
      </w:pPr>
      <w:r>
        <w:rPr>
          <w:rFonts w:hint="eastAsia" w:ascii="仿宋_GB2312" w:hAnsi="宋体" w:eastAsia="仿宋_GB2312" w:cs="宋体"/>
          <w:b w:val="0"/>
          <w:bCs w:val="0"/>
          <w:sz w:val="28"/>
          <w:szCs w:val="28"/>
          <w:highlight w:val="none"/>
          <w:u w:color="FF0000"/>
        </w:rPr>
        <w:t>招标编号：ZJLQ-FG-</w:t>
      </w:r>
      <w:r>
        <w:rPr>
          <w:rFonts w:hint="eastAsia" w:ascii="仿宋_GB2312" w:hAnsi="宋体" w:eastAsia="仿宋_GB2312" w:cs="宋体"/>
          <w:b w:val="0"/>
          <w:bCs w:val="0"/>
          <w:sz w:val="28"/>
          <w:szCs w:val="28"/>
          <w:highlight w:val="none"/>
          <w:u w:color="FF0000"/>
          <w:lang w:val="en-US" w:eastAsia="zh-CN"/>
        </w:rPr>
        <w:t>YS</w:t>
      </w:r>
      <w:r>
        <w:rPr>
          <w:rFonts w:hint="eastAsia" w:ascii="仿宋_GB2312" w:hAnsi="宋体" w:eastAsia="仿宋_GB2312" w:cs="宋体"/>
          <w:b w:val="0"/>
          <w:bCs w:val="0"/>
          <w:sz w:val="28"/>
          <w:szCs w:val="28"/>
          <w:highlight w:val="none"/>
          <w:u w:color="FF0000"/>
        </w:rPr>
        <w:t>ZL-昌都卡若区农村公路项目-00</w:t>
      </w:r>
      <w:r>
        <w:rPr>
          <w:rFonts w:hint="eastAsia" w:ascii="仿宋_GB2312" w:hAnsi="宋体" w:eastAsia="仿宋_GB2312" w:cs="宋体"/>
          <w:b w:val="0"/>
          <w:bCs w:val="0"/>
          <w:sz w:val="28"/>
          <w:szCs w:val="28"/>
          <w:highlight w:val="none"/>
          <w:u w:color="FF0000"/>
          <w:lang w:val="en-US" w:eastAsia="zh-CN"/>
        </w:rPr>
        <w:t>1</w:t>
      </w:r>
    </w:p>
    <w:p w14:paraId="22DA345A">
      <w:pPr>
        <w:pStyle w:val="3"/>
        <w:numPr>
          <w:ilvl w:val="0"/>
          <w:numId w:val="0"/>
        </w:numPr>
        <w:adjustRightInd w:val="0"/>
        <w:snapToGrid w:val="0"/>
        <w:spacing w:before="120" w:after="120" w:line="240" w:lineRule="auto"/>
        <w:ind w:firstLine="4400" w:firstLineChars="1000"/>
        <w:jc w:val="both"/>
        <w:rPr>
          <w:rFonts w:hint="eastAsia" w:ascii="仿宋_GB2312" w:eastAsia="仿宋_GB2312"/>
          <w:b w:val="0"/>
          <w:bCs w:val="0"/>
          <w:highlight w:val="none"/>
          <w:u w:val="single"/>
          <w:lang w:val="en-US" w:eastAsia="zh-CN"/>
        </w:rPr>
      </w:pPr>
    </w:p>
    <w:p w14:paraId="35927DBF">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4"/>
                    <a:stretch>
                      <a:fillRect/>
                    </a:stretch>
                  </pic:blipFill>
                  <pic:spPr>
                    <a:xfrm>
                      <a:off x="0" y="0"/>
                      <a:ext cx="752475" cy="704215"/>
                    </a:xfrm>
                    <a:prstGeom prst="rect">
                      <a:avLst/>
                    </a:prstGeom>
                    <a:noFill/>
                    <a:ln>
                      <a:noFill/>
                    </a:ln>
                  </pic:spPr>
                </pic:pic>
              </a:graphicData>
            </a:graphic>
          </wp:anchor>
        </w:drawing>
      </w:r>
    </w:p>
    <w:p w14:paraId="45D4827F">
      <w:pPr>
        <w:pStyle w:val="5"/>
        <w:ind w:firstLine="560"/>
        <w:rPr>
          <w:rFonts w:ascii="华文仿宋" w:hAnsi="华文仿宋" w:eastAsia="华文仿宋" w:cs="Times New Roman"/>
          <w:highlight w:val="none"/>
        </w:rPr>
      </w:pPr>
    </w:p>
    <w:p w14:paraId="047BF25F">
      <w:pPr>
        <w:snapToGrid w:val="0"/>
        <w:spacing w:line="360" w:lineRule="auto"/>
        <w:ind w:firstLine="560"/>
        <w:rPr>
          <w:rFonts w:ascii="华文仿宋" w:hAnsi="华文仿宋" w:eastAsia="华文仿宋" w:cs="Times New Roman"/>
          <w:highlight w:val="none"/>
        </w:rPr>
      </w:pPr>
    </w:p>
    <w:p w14:paraId="1796C1D0">
      <w:pPr>
        <w:snapToGrid w:val="0"/>
        <w:spacing w:line="360" w:lineRule="auto"/>
        <w:ind w:firstLine="560"/>
        <w:rPr>
          <w:rFonts w:ascii="华文仿宋" w:hAnsi="华文仿宋" w:eastAsia="华文仿宋" w:cs="Times New Roman"/>
          <w:highlight w:val="none"/>
        </w:rPr>
      </w:pPr>
    </w:p>
    <w:p w14:paraId="26E3CCFE">
      <w:pPr>
        <w:snapToGrid w:val="0"/>
        <w:spacing w:line="360" w:lineRule="auto"/>
        <w:ind w:firstLine="560"/>
        <w:rPr>
          <w:rFonts w:ascii="华文仿宋" w:hAnsi="华文仿宋" w:eastAsia="华文仿宋" w:cs="Times New Roman"/>
          <w:highlight w:val="none"/>
        </w:rPr>
      </w:pPr>
    </w:p>
    <w:p w14:paraId="7BF8E250">
      <w:pPr>
        <w:snapToGrid w:val="0"/>
        <w:spacing w:line="360" w:lineRule="auto"/>
        <w:ind w:firstLine="560"/>
        <w:rPr>
          <w:rFonts w:ascii="华文仿宋" w:hAnsi="华文仿宋" w:eastAsia="华文仿宋" w:cs="Times New Roman"/>
          <w:highlight w:val="none"/>
        </w:rPr>
      </w:pPr>
    </w:p>
    <w:p w14:paraId="3FEE5115">
      <w:pPr>
        <w:snapToGrid w:val="0"/>
        <w:spacing w:line="360" w:lineRule="auto"/>
        <w:ind w:firstLine="560"/>
        <w:rPr>
          <w:rFonts w:ascii="华文仿宋" w:hAnsi="华文仿宋" w:eastAsia="华文仿宋" w:cs="Times New Roman"/>
          <w:highlight w:val="none"/>
        </w:rPr>
      </w:pPr>
    </w:p>
    <w:p w14:paraId="2CE9AAED">
      <w:pPr>
        <w:rPr>
          <w:rFonts w:ascii="华文仿宋" w:hAnsi="华文仿宋" w:eastAsia="华文仿宋" w:cs="Times New Roman"/>
          <w:highlight w:val="none"/>
        </w:rPr>
      </w:pPr>
    </w:p>
    <w:p w14:paraId="4A11D724">
      <w:pPr>
        <w:rPr>
          <w:rFonts w:ascii="华文仿宋" w:hAnsi="华文仿宋" w:eastAsia="华文仿宋" w:cs="Times New Roman"/>
          <w:highlight w:val="none"/>
        </w:rPr>
      </w:pPr>
    </w:p>
    <w:p w14:paraId="30319A39">
      <w:pPr>
        <w:rPr>
          <w:b/>
          <w:bCs/>
          <w:sz w:val="32"/>
          <w:szCs w:val="32"/>
          <w:highlight w:val="none"/>
        </w:rPr>
      </w:pPr>
    </w:p>
    <w:p w14:paraId="26AB85F2">
      <w:pPr>
        <w:rPr>
          <w:b/>
          <w:bCs/>
          <w:sz w:val="32"/>
          <w:szCs w:val="32"/>
          <w:highlight w:val="none"/>
        </w:rPr>
      </w:pPr>
    </w:p>
    <w:p w14:paraId="2B6A8903">
      <w:pPr>
        <w:rPr>
          <w:b/>
          <w:bCs/>
          <w:sz w:val="32"/>
          <w:szCs w:val="32"/>
          <w:highlight w:val="none"/>
        </w:rPr>
      </w:pPr>
    </w:p>
    <w:p w14:paraId="7EBB4486">
      <w:pPr>
        <w:jc w:val="center"/>
        <w:rPr>
          <w:b/>
          <w:bCs/>
          <w:sz w:val="32"/>
          <w:szCs w:val="32"/>
          <w:highlight w:val="none"/>
        </w:rPr>
      </w:pPr>
      <w:r>
        <w:rPr>
          <w:rFonts w:hint="eastAsia"/>
          <w:b/>
          <w:bCs/>
          <w:sz w:val="32"/>
          <w:szCs w:val="32"/>
          <w:highlight w:val="none"/>
          <w:u w:val="single"/>
          <w:lang w:val="en-US" w:eastAsia="zh-CN"/>
        </w:rPr>
        <w:t>2025</w:t>
      </w:r>
      <w:r>
        <w:rPr>
          <w:rFonts w:hint="eastAsia"/>
          <w:b/>
          <w:bCs/>
          <w:sz w:val="32"/>
          <w:szCs w:val="32"/>
          <w:highlight w:val="none"/>
        </w:rPr>
        <w:t>年</w:t>
      </w:r>
      <w:r>
        <w:rPr>
          <w:rFonts w:hint="eastAsia"/>
          <w:b/>
          <w:bCs/>
          <w:sz w:val="32"/>
          <w:szCs w:val="32"/>
          <w:highlight w:val="none"/>
          <w:u w:val="single"/>
          <w:lang w:val="en-US" w:eastAsia="zh-CN"/>
        </w:rPr>
        <w:t>11</w:t>
      </w:r>
      <w:r>
        <w:rPr>
          <w:rFonts w:hint="eastAsia"/>
          <w:b/>
          <w:bCs/>
          <w:sz w:val="32"/>
          <w:szCs w:val="32"/>
          <w:highlight w:val="none"/>
        </w:rPr>
        <w:t>月</w:t>
      </w:r>
      <w:r>
        <w:rPr>
          <w:rFonts w:hint="eastAsia"/>
          <w:b/>
          <w:bCs/>
          <w:sz w:val="32"/>
          <w:szCs w:val="32"/>
          <w:highlight w:val="none"/>
          <w:u w:val="single"/>
        </w:rPr>
        <w:t xml:space="preserve"> </w:t>
      </w:r>
      <w:r>
        <w:rPr>
          <w:rFonts w:hint="eastAsia"/>
          <w:b/>
          <w:bCs/>
          <w:sz w:val="32"/>
          <w:szCs w:val="32"/>
          <w:highlight w:val="none"/>
          <w:u w:val="single"/>
          <w:lang w:val="en-US" w:eastAsia="zh-CN"/>
        </w:rPr>
        <w:t>18</w:t>
      </w:r>
      <w:r>
        <w:rPr>
          <w:rFonts w:hint="eastAsia"/>
          <w:b/>
          <w:bCs/>
          <w:sz w:val="32"/>
          <w:szCs w:val="32"/>
          <w:highlight w:val="none"/>
          <w:u w:val="single"/>
        </w:rPr>
        <w:t xml:space="preserve"> </w:t>
      </w:r>
      <w:r>
        <w:rPr>
          <w:rFonts w:hint="eastAsia"/>
          <w:b/>
          <w:bCs/>
          <w:sz w:val="32"/>
          <w:szCs w:val="32"/>
          <w:highlight w:val="none"/>
        </w:rPr>
        <w:t>日</w:t>
      </w:r>
    </w:p>
    <w:p w14:paraId="6279CDEA">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39F08D2F">
      <w:pPr>
        <w:pStyle w:val="9"/>
        <w:spacing w:after="156" w:line="480" w:lineRule="exact"/>
        <w:jc w:val="center"/>
        <w:rPr>
          <w:rFonts w:cs="宋体"/>
          <w:b/>
          <w:kern w:val="2"/>
          <w:sz w:val="28"/>
          <w:szCs w:val="28"/>
          <w:highlight w:val="none"/>
        </w:rPr>
      </w:pPr>
      <w:r>
        <w:rPr>
          <w:rFonts w:hint="eastAsia" w:cs="宋体"/>
          <w:b/>
          <w:kern w:val="2"/>
          <w:sz w:val="28"/>
          <w:szCs w:val="28"/>
          <w:highlight w:val="none"/>
        </w:rPr>
        <w:t>中建路桥集团有限公司</w:t>
      </w:r>
    </w:p>
    <w:p w14:paraId="3074B904">
      <w:pPr>
        <w:pStyle w:val="9"/>
        <w:spacing w:after="156" w:line="480" w:lineRule="exact"/>
        <w:jc w:val="center"/>
        <w:rPr>
          <w:b/>
          <w:kern w:val="2"/>
          <w:sz w:val="28"/>
          <w:szCs w:val="28"/>
          <w:highlight w:val="none"/>
        </w:rPr>
      </w:pPr>
      <w:r>
        <w:rPr>
          <w:rFonts w:hint="eastAsia"/>
          <w:b/>
          <w:kern w:val="2"/>
          <w:sz w:val="28"/>
          <w:szCs w:val="28"/>
          <w:highlight w:val="none"/>
          <w:u w:val="single"/>
          <w:lang w:val="en-US" w:eastAsia="zh-CN"/>
        </w:rPr>
        <w:t>昌都市卡若区嘎玛乡达那村公路工程</w:t>
      </w:r>
      <w:r>
        <w:rPr>
          <w:b/>
          <w:kern w:val="2"/>
          <w:sz w:val="28"/>
          <w:szCs w:val="28"/>
          <w:highlight w:val="none"/>
        </w:rPr>
        <w:t>项目</w:t>
      </w:r>
      <w:r>
        <w:rPr>
          <w:rFonts w:hint="eastAsia"/>
          <w:b/>
          <w:kern w:val="2"/>
          <w:sz w:val="28"/>
          <w:szCs w:val="28"/>
          <w:highlight w:val="none"/>
          <w:u w:val="single"/>
          <w:lang w:val="en-US" w:eastAsia="zh-CN"/>
        </w:rPr>
        <w:t>地材运输</w:t>
      </w:r>
      <w:r>
        <w:rPr>
          <w:rFonts w:hint="eastAsia"/>
          <w:b/>
          <w:kern w:val="2"/>
          <w:sz w:val="28"/>
          <w:szCs w:val="28"/>
          <w:highlight w:val="none"/>
          <w:lang w:eastAsia="zh-CN"/>
        </w:rPr>
        <w:t>租赁</w:t>
      </w:r>
      <w:r>
        <w:rPr>
          <w:rFonts w:hint="eastAsia"/>
          <w:b/>
          <w:kern w:val="2"/>
          <w:sz w:val="28"/>
          <w:szCs w:val="28"/>
          <w:highlight w:val="none"/>
        </w:rPr>
        <w:t>招标公告</w:t>
      </w:r>
    </w:p>
    <w:p w14:paraId="523681D5">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auto"/>
          <w:kern w:val="0"/>
          <w:sz w:val="24"/>
          <w:szCs w:val="24"/>
          <w:highlight w:val="none"/>
        </w:rPr>
        <w:t>1．</w:t>
      </w:r>
      <w:r>
        <w:rPr>
          <w:rFonts w:hint="eastAsia" w:ascii="仿宋_GB2312" w:hAnsi="仿宋_GB2312" w:eastAsia="仿宋_GB2312" w:cs="仿宋_GB2312"/>
          <w:b/>
          <w:color w:val="000000"/>
          <w:kern w:val="0"/>
          <w:sz w:val="24"/>
          <w:szCs w:val="24"/>
          <w:highlight w:val="none"/>
        </w:rPr>
        <w:t>招标条件</w:t>
      </w:r>
    </w:p>
    <w:p w14:paraId="567D9A3E">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坚持以习近平新时代中国特色社会主义思想为指导，全面贯彻党的</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二十</w:t>
      </w:r>
      <w:r>
        <w:rPr>
          <w:rFonts w:hint="eastAsia" w:ascii="仿宋_GB2312" w:hAnsi="仿宋" w:eastAsia="仿宋_GB2312" w:cstheme="minorBidi"/>
          <w:bCs/>
          <w:color w:val="000000" w:themeColor="text1"/>
          <w:sz w:val="21"/>
          <w:szCs w:val="21"/>
          <w:highlight w:val="none"/>
          <w14:textFill>
            <w14:solidFill>
              <w14:schemeClr w14:val="tx1"/>
            </w14:solidFill>
          </w14:textFill>
        </w:rPr>
        <w:t>大精神，遵守社会主义核心价值观</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贯彻国家</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双碳</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战略</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引领</w:t>
      </w:r>
      <w:r>
        <w:rPr>
          <w:rFonts w:hint="eastAsia" w:ascii="仿宋_GB2312" w:hAnsi="仿宋" w:eastAsia="仿宋_GB2312" w:cstheme="minorBidi"/>
          <w:bCs/>
          <w:color w:val="000000" w:themeColor="text1"/>
          <w:sz w:val="21"/>
          <w:szCs w:val="21"/>
          <w:highlight w:val="none"/>
          <w14:textFill>
            <w14:solidFill>
              <w14:schemeClr w14:val="tx1"/>
            </w14:solidFill>
          </w14:textFill>
        </w:rPr>
        <w:t>供应链上下游</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绿色低碳发展</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根据中国建筑股份有限公司采购管理方针和中建路桥集团有限公司招标采购的相关管理办法，</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昌都市卡若区嘎玛乡达那村公路工程</w:t>
      </w:r>
      <w:r>
        <w:rPr>
          <w:rFonts w:hint="eastAsia" w:ascii="仿宋_GB2312" w:hAnsi="仿宋" w:eastAsia="仿宋_GB2312" w:cstheme="minorBidi"/>
          <w:bCs/>
          <w:color w:val="000000" w:themeColor="text1"/>
          <w:sz w:val="21"/>
          <w:szCs w:val="21"/>
          <w:highlight w:val="none"/>
          <w14:textFill>
            <w14:solidFill>
              <w14:schemeClr w14:val="tx1"/>
            </w14:solidFill>
          </w14:textFill>
        </w:rPr>
        <w:t>项目</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地材运输</w:t>
      </w:r>
      <w:r>
        <w:rPr>
          <w:rFonts w:hint="eastAsia" w:ascii="仿宋_GB2312" w:hAnsi="仿宋" w:eastAsia="仿宋_GB2312" w:cstheme="minorBidi"/>
          <w:bCs/>
          <w:color w:val="000000" w:themeColor="text1"/>
          <w:sz w:val="21"/>
          <w:szCs w:val="21"/>
          <w:highlight w:val="none"/>
          <w14:textFill>
            <w14:solidFill>
              <w14:schemeClr w14:val="tx1"/>
            </w14:solidFill>
          </w14:textFill>
        </w:rPr>
        <w:t>已</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具备招标条件</w:t>
      </w:r>
      <w:r>
        <w:rPr>
          <w:rFonts w:hint="eastAsia" w:ascii="仿宋_GB2312" w:hAnsi="仿宋" w:eastAsia="仿宋_GB2312" w:cstheme="minorBidi"/>
          <w:bCs/>
          <w:color w:val="000000" w:themeColor="text1"/>
          <w:sz w:val="21"/>
          <w:szCs w:val="21"/>
          <w:highlight w:val="none"/>
          <w14:textFill>
            <w14:solidFill>
              <w14:schemeClr w14:val="tx1"/>
            </w14:solidFill>
          </w14:textFill>
        </w:rPr>
        <w:t>，招标编号：</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ZJLQ-FG-YSZL-昌都卡若区农村公路项目-001</w:t>
      </w:r>
      <w:r>
        <w:rPr>
          <w:rFonts w:hint="eastAsia" w:ascii="仿宋_GB2312" w:hAnsi="仿宋" w:eastAsia="仿宋_GB2312" w:cstheme="minorBidi"/>
          <w:bCs/>
          <w:color w:val="000000" w:themeColor="text1"/>
          <w:sz w:val="21"/>
          <w:szCs w:val="21"/>
          <w:highlight w:val="none"/>
          <w14:textFill>
            <w14:solidFill>
              <w14:schemeClr w14:val="tx1"/>
            </w14:solidFill>
          </w14:textFill>
        </w:rPr>
        <w:t>，</w:t>
      </w:r>
      <w:r>
        <w:rPr>
          <w:rFonts w:hint="eastAsia" w:ascii="仿宋_GB2312" w:hAnsi="仿宋" w:eastAsia="仿宋_GB2312"/>
          <w:bCs/>
          <w:sz w:val="21"/>
          <w:szCs w:val="21"/>
          <w:highlight w:val="none"/>
        </w:rPr>
        <w:t>资金来自项目工程结算款</w:t>
      </w:r>
      <w:r>
        <w:rPr>
          <w:rFonts w:hint="eastAsia" w:ascii="仿宋_GB2312" w:hAnsi="仿宋" w:eastAsia="仿宋_GB2312"/>
          <w:bCs/>
          <w:sz w:val="21"/>
          <w:szCs w:val="21"/>
          <w:highlight w:val="none"/>
          <w:lang w:eastAsia="zh-CN"/>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现对该</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标的</w:t>
      </w:r>
      <w:r>
        <w:rPr>
          <w:rFonts w:hint="eastAsia" w:ascii="仿宋_GB2312" w:hAnsi="仿宋" w:eastAsia="仿宋_GB2312" w:cstheme="minorBidi"/>
          <w:bCs/>
          <w:color w:val="000000" w:themeColor="text1"/>
          <w:sz w:val="21"/>
          <w:szCs w:val="21"/>
          <w:highlight w:val="none"/>
          <w14:textFill>
            <w14:solidFill>
              <w14:schemeClr w14:val="tx1"/>
            </w14:solidFill>
          </w14:textFill>
        </w:rPr>
        <w:t>进行公开招标</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诚邀符合资格要求、能提供优质服务的厂商或分供商参加投标。</w:t>
      </w:r>
    </w:p>
    <w:p w14:paraId="260FE04C">
      <w:pPr>
        <w:pStyle w:val="9"/>
        <w:keepNext w:val="0"/>
        <w:keepLines w:val="0"/>
        <w:pageBreakBefore w:val="0"/>
        <w:kinsoku/>
        <w:wordWrap/>
        <w:overflowPunct/>
        <w:topLinePunct w:val="0"/>
        <w:autoSpaceDE/>
        <w:autoSpaceDN/>
        <w:bidi w:val="0"/>
        <w:adjustRightInd/>
        <w:snapToGrid/>
        <w:spacing w:before="0" w:after="0" w:line="360" w:lineRule="auto"/>
        <w:ind w:firstLine="482" w:firstLineChars="200"/>
        <w:textAlignment w:val="auto"/>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rPr>
        <w:t>2.工程概况</w:t>
      </w:r>
    </w:p>
    <w:p w14:paraId="2AD77ABD">
      <w:pPr>
        <w:spacing w:line="500" w:lineRule="exact"/>
        <w:ind w:firstLine="420" w:firstLineChars="200"/>
        <w:jc w:val="left"/>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2.1工程名称：</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昌都市卡若区嘎玛乡达那村公路工程 </w:t>
      </w:r>
    </w:p>
    <w:p w14:paraId="4F8712B8">
      <w:pPr>
        <w:spacing w:line="500" w:lineRule="exact"/>
        <w:ind w:firstLine="420" w:firstLineChars="200"/>
        <w:jc w:val="left"/>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2.2工程地址：</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昌都市卡若区嘎玛乡               </w:t>
      </w:r>
    </w:p>
    <w:p w14:paraId="49DEFEF1">
      <w:pPr>
        <w:spacing w:line="500" w:lineRule="exact"/>
        <w:ind w:firstLine="420" w:firstLineChars="200"/>
        <w:jc w:val="left"/>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2.3工程简介：</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本项目路线全长22.386Km,包含路基工程、路面工程、桥涵工程、安全设施及预埋管线工程、绿化工程。</w:t>
      </w:r>
    </w:p>
    <w:p w14:paraId="145755C5">
      <w:pPr>
        <w:pStyle w:val="9"/>
        <w:keepNext w:val="0"/>
        <w:keepLines w:val="0"/>
        <w:pageBreakBefore w:val="0"/>
        <w:kinsoku/>
        <w:wordWrap/>
        <w:overflowPunct/>
        <w:topLinePunct w:val="0"/>
        <w:autoSpaceDE/>
        <w:autoSpaceDN/>
        <w:bidi w:val="0"/>
        <w:adjustRightInd/>
        <w:snapToGrid/>
        <w:spacing w:before="0" w:after="0" w:line="360" w:lineRule="auto"/>
        <w:ind w:firstLine="482" w:firstLineChars="200"/>
        <w:textAlignment w:val="auto"/>
        <w:rPr>
          <w:rFonts w:hint="eastAsia" w:ascii="仿宋_GB2312" w:hAnsi="仿宋_GB2312" w:eastAsia="仿宋_GB2312" w:cs="仿宋_GB2312"/>
          <w:b/>
          <w:bCs/>
          <w:kern w:val="2"/>
          <w:sz w:val="24"/>
          <w:szCs w:val="24"/>
          <w:highlight w:val="none"/>
        </w:rPr>
      </w:pPr>
      <w:r>
        <w:rPr>
          <w:rFonts w:hint="eastAsia" w:ascii="仿宋_GB2312" w:hAnsi="仿宋_GB2312" w:eastAsia="仿宋_GB2312" w:cs="仿宋_GB2312"/>
          <w:b/>
          <w:bCs/>
          <w:kern w:val="2"/>
          <w:sz w:val="24"/>
          <w:szCs w:val="24"/>
          <w:highlight w:val="none"/>
        </w:rPr>
        <w:t>3.招标内容</w:t>
      </w:r>
    </w:p>
    <w:p w14:paraId="179431D6">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3.1车辆租赁清单</w:t>
      </w:r>
    </w:p>
    <w:tbl>
      <w:tblPr>
        <w:tblStyle w:val="11"/>
        <w:tblW w:w="9312" w:type="dxa"/>
        <w:tblInd w:w="0" w:type="dxa"/>
        <w:shd w:val="clear" w:color="auto" w:fill="auto"/>
        <w:tblLayout w:type="fixed"/>
        <w:tblCellMar>
          <w:top w:w="0" w:type="dxa"/>
          <w:left w:w="0" w:type="dxa"/>
          <w:bottom w:w="0" w:type="dxa"/>
          <w:right w:w="0" w:type="dxa"/>
        </w:tblCellMar>
      </w:tblPr>
      <w:tblGrid>
        <w:gridCol w:w="816"/>
        <w:gridCol w:w="1298"/>
        <w:gridCol w:w="981"/>
        <w:gridCol w:w="535"/>
        <w:gridCol w:w="1003"/>
        <w:gridCol w:w="900"/>
        <w:gridCol w:w="2969"/>
        <w:gridCol w:w="810"/>
      </w:tblGrid>
      <w:tr w14:paraId="1C492B38">
        <w:tblPrEx>
          <w:shd w:val="clear" w:color="auto" w:fill="auto"/>
          <w:tblCellMar>
            <w:top w:w="0" w:type="dxa"/>
            <w:left w:w="0" w:type="dxa"/>
            <w:bottom w:w="0" w:type="dxa"/>
            <w:right w:w="0" w:type="dxa"/>
          </w:tblCellMar>
        </w:tblPrEx>
        <w:trPr>
          <w:trHeight w:val="40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9BF43">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4658E">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机械设备名称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0C039">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规格型号</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56AC9">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902B8">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AF355">
            <w:pPr>
              <w:spacing w:line="500" w:lineRule="exact"/>
              <w:jc w:val="cente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租赁方式</w:t>
            </w:r>
          </w:p>
        </w:tc>
        <w:tc>
          <w:tcPr>
            <w:tcW w:w="29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B2380">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计划租期（）/计划工程量（√）</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B0A5F">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备注</w:t>
            </w:r>
          </w:p>
        </w:tc>
      </w:tr>
      <w:tr w14:paraId="3EF0AA9A">
        <w:tblPrEx>
          <w:shd w:val="clear" w:color="auto" w:fill="auto"/>
          <w:tblCellMar>
            <w:top w:w="0" w:type="dxa"/>
            <w:left w:w="0" w:type="dxa"/>
            <w:bottom w:w="0" w:type="dxa"/>
            <w:right w:w="0" w:type="dxa"/>
          </w:tblCellMar>
        </w:tblPrEx>
        <w:trPr>
          <w:trHeight w:val="567" w:hRule="exact"/>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E923A">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14:paraId="0467F69D">
            <w:pPr>
              <w:spacing w:line="500" w:lineRule="exact"/>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运输车</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14:paraId="3AA5AE02">
            <w:pPr>
              <w:spacing w:line="500" w:lineRule="exact"/>
              <w:ind w:firstLine="420" w:firstLineChars="200"/>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01F4F0BD">
            <w:pPr>
              <w:spacing w:line="500" w:lineRule="exact"/>
              <w:jc w:val="center"/>
              <w:rPr>
                <w:rFonts w:hint="default"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m³</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14:paraId="22867724">
            <w:pPr>
              <w:spacing w:line="500" w:lineRule="exact"/>
              <w:jc w:val="center"/>
              <w:rPr>
                <w:rFonts w:hint="default" w:ascii="仿宋_GB2312" w:hAnsi="仿宋" w:eastAsia="仿宋_GB2312" w:cstheme="minorBidi"/>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100655.71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14:paraId="16D1104F">
            <w:pPr>
              <w:spacing w:line="500" w:lineRule="exact"/>
              <w:jc w:val="center"/>
              <w:rPr>
                <w:rFonts w:hint="eastAsia" w:ascii="仿宋_GB2312" w:hAnsi="仿宋" w:eastAsia="仿宋_GB2312" w:cstheme="minorBidi"/>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工程量</w:t>
            </w:r>
          </w:p>
        </w:tc>
        <w:tc>
          <w:tcPr>
            <w:tcW w:w="29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top"/>
          </w:tcPr>
          <w:p w14:paraId="6877CD80">
            <w:pPr>
              <w:spacing w:line="500" w:lineRule="exact"/>
              <w:ind w:firstLine="360" w:firstLineChars="200"/>
              <w:jc w:val="cente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sz w:val="18"/>
                <w:szCs w:val="18"/>
                <w:highlight w:val="none"/>
                <w:lang w:val="en-US" w:eastAsia="zh-CN"/>
                <w14:textFill>
                  <w14:solidFill>
                    <w14:schemeClr w14:val="tx1"/>
                  </w14:solidFill>
                </w14:textFill>
              </w:rPr>
              <w:t>100655.71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213071">
            <w:pPr>
              <w:spacing w:line="500" w:lineRule="exact"/>
              <w:ind w:firstLine="420" w:firstLineChars="200"/>
              <w:jc w:val="both"/>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p>
        </w:tc>
      </w:tr>
      <w:tr w14:paraId="2F256B36">
        <w:tblPrEx>
          <w:shd w:val="clear" w:color="auto" w:fill="auto"/>
          <w:tblCellMar>
            <w:top w:w="0" w:type="dxa"/>
            <w:left w:w="0" w:type="dxa"/>
            <w:bottom w:w="0" w:type="dxa"/>
            <w:right w:w="0" w:type="dxa"/>
          </w:tblCellMar>
        </w:tblPrEx>
        <w:trPr>
          <w:trHeight w:val="998" w:hRule="exact"/>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DF17E">
            <w:pPr>
              <w:spacing w:line="500" w:lineRule="exact"/>
              <w:jc w:val="cente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w:t>
            </w:r>
          </w:p>
        </w:tc>
        <w:tc>
          <w:tcPr>
            <w:tcW w:w="849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6624B">
            <w:pPr>
              <w:spacing w:line="500" w:lineRule="exact"/>
              <w:jc w:val="both"/>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清单所示的数量为暂定数量，具体租赁数量按甲方工程进度的实际需求进行增减。 平均运距为11.42公里。</w:t>
            </w:r>
          </w:p>
        </w:tc>
      </w:tr>
    </w:tbl>
    <w:p w14:paraId="2D20EE8E">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3.2计划租赁期：2025年11月至工程完工。</w:t>
      </w:r>
    </w:p>
    <w:p w14:paraId="65DD67A6">
      <w:pPr>
        <w:pStyle w:val="9"/>
        <w:numPr>
          <w:ilvl w:val="0"/>
          <w:numId w:val="2"/>
        </w:numPr>
        <w:spacing w:line="500" w:lineRule="exact"/>
        <w:ind w:firstLine="482" w:firstLineChars="200"/>
        <w:rPr>
          <w:rFonts w:hint="eastAsia" w:ascii="宋体" w:hAnsi="宋体" w:eastAsia="宋体" w:cs="宋体"/>
          <w:b/>
          <w:bCs/>
          <w:kern w:val="2"/>
          <w:sz w:val="28"/>
          <w:szCs w:val="28"/>
          <w:highlight w:val="none"/>
        </w:rPr>
      </w:pPr>
      <w:r>
        <w:rPr>
          <w:rFonts w:hint="eastAsia" w:ascii="仿宋_GB2312" w:hAnsi="仿宋_GB2312" w:eastAsia="仿宋_GB2312" w:cs="仿宋_GB2312"/>
          <w:b/>
          <w:bCs/>
          <w:kern w:val="2"/>
          <w:sz w:val="24"/>
          <w:szCs w:val="24"/>
          <w:highlight w:val="none"/>
        </w:rPr>
        <w:t>投标人应具备的资格条件</w:t>
      </w:r>
      <w:r>
        <w:rPr>
          <w:rFonts w:hint="eastAsia" w:ascii="宋体" w:hAnsi="宋体" w:eastAsia="宋体" w:cs="宋体"/>
          <w:b/>
          <w:bCs/>
          <w:kern w:val="2"/>
          <w:sz w:val="28"/>
          <w:szCs w:val="28"/>
          <w:highlight w:val="none"/>
        </w:rPr>
        <w:t xml:space="preserve"> </w:t>
      </w:r>
    </w:p>
    <w:p w14:paraId="5B499056">
      <w:pPr>
        <w:pStyle w:val="9"/>
        <w:numPr>
          <w:ilvl w:val="0"/>
          <w:numId w:val="0"/>
        </w:numPr>
        <w:spacing w:line="500" w:lineRule="exact"/>
        <w:rPr>
          <w:rFonts w:hint="default" w:ascii="宋体" w:hAnsi="宋体" w:eastAsia="宋体" w:cs="宋体"/>
          <w:b/>
          <w:bCs/>
          <w:kern w:val="2"/>
          <w:sz w:val="28"/>
          <w:szCs w:val="28"/>
          <w:highlight w:val="none"/>
          <w:lang w:val="en-US" w:eastAsia="zh-CN"/>
        </w:rPr>
      </w:pPr>
      <w:r>
        <w:rPr>
          <w:rFonts w:hint="eastAsia" w:cs="宋体"/>
          <w:b/>
          <w:bCs/>
          <w:kern w:val="2"/>
          <w:sz w:val="28"/>
          <w:szCs w:val="28"/>
          <w:highlight w:val="none"/>
          <w:lang w:val="en-US" w:eastAsia="zh-CN"/>
        </w:rPr>
        <w:t xml:space="preserve">   </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 投标人条件</w:t>
      </w:r>
    </w:p>
    <w:p w14:paraId="359EE7A9">
      <w:pPr>
        <w:spacing w:line="500" w:lineRule="exact"/>
        <w:ind w:firstLine="210" w:firstLineChars="1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 xml:space="preserve">  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cstheme="minorBidi"/>
          <w:bCs/>
          <w:color w:val="000000" w:themeColor="text1"/>
          <w:sz w:val="21"/>
          <w:szCs w:val="21"/>
          <w:highlight w:val="none"/>
          <w14:textFill>
            <w14:solidFill>
              <w14:schemeClr w14:val="tx1"/>
            </w14:solidFill>
          </w14:textFill>
        </w:rPr>
        <w:t>1投标人必须具备独立法人资格，依法取得有效的营业执照，营业执照经营范围必须涵盖机械设备租赁业务及道路货物运输资质。所投标设备需为自有设备，设备及人员手续、证照齐全。</w:t>
      </w:r>
    </w:p>
    <w:p w14:paraId="30AF1CA9">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cstheme="minorBidi"/>
          <w:bCs/>
          <w:color w:val="000000" w:themeColor="text1"/>
          <w:sz w:val="21"/>
          <w:szCs w:val="21"/>
          <w:highlight w:val="none"/>
          <w14:textFill>
            <w14:solidFill>
              <w14:schemeClr w14:val="tx1"/>
            </w14:solidFill>
          </w14:textFill>
        </w:rPr>
        <w:t>2具有良好的社会和银行信誉、充足的资金保证。在国家有关部门和行业的监督检查中没有不良记录，与中建股份下属项目历史合作良好，具备较强的设备供应能力。</w:t>
      </w:r>
    </w:p>
    <w:p w14:paraId="6838D311">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cstheme="minorBidi"/>
          <w:bCs/>
          <w:color w:val="000000" w:themeColor="text1"/>
          <w:sz w:val="21"/>
          <w:szCs w:val="21"/>
          <w:highlight w:val="none"/>
          <w14:textFill>
            <w14:solidFill>
              <w14:schemeClr w14:val="tx1"/>
            </w14:solidFill>
          </w14:textFill>
        </w:rPr>
        <w:t>3具有经营管理的相应资</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质</w:t>
      </w:r>
      <w:r>
        <w:rPr>
          <w:rFonts w:hint="eastAsia" w:ascii="仿宋_GB2312" w:hAnsi="仿宋" w:eastAsia="仿宋_GB2312" w:cstheme="minorBidi"/>
          <w:bCs/>
          <w:color w:val="000000" w:themeColor="text1"/>
          <w:sz w:val="21"/>
          <w:szCs w:val="21"/>
          <w:highlight w:val="none"/>
          <w14:textFill>
            <w14:solidFill>
              <w14:schemeClr w14:val="tx1"/>
            </w14:solidFill>
          </w14:textFill>
        </w:rPr>
        <w:t>和能力，具有完善的质量保证体系，具有固定的办公场所和专职管理人员。</w:t>
      </w:r>
    </w:p>
    <w:p w14:paraId="003CE01D">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cstheme="minorBidi"/>
          <w:bCs/>
          <w:color w:val="000000" w:themeColor="text1"/>
          <w:sz w:val="21"/>
          <w:szCs w:val="21"/>
          <w:highlight w:val="none"/>
          <w14:textFill>
            <w14:solidFill>
              <w14:schemeClr w14:val="tx1"/>
            </w14:solidFill>
          </w14:textFill>
        </w:rPr>
        <w:t>4投标人</w:t>
      </w:r>
      <w:r>
        <w:rPr>
          <w:rFonts w:hint="eastAsia" w:ascii="仿宋" w:hAnsi="仿宋" w:eastAsia="仿宋"/>
          <w:highlight w:val="none"/>
        </w:rPr>
        <w:t>未在中建</w:t>
      </w:r>
      <w:r>
        <w:rPr>
          <w:rFonts w:hint="eastAsia" w:ascii="仿宋" w:hAnsi="仿宋" w:eastAsia="仿宋"/>
          <w:highlight w:val="none"/>
          <w:lang w:val="en-US" w:eastAsia="zh-CN"/>
        </w:rPr>
        <w:t>路桥</w:t>
      </w:r>
      <w:r>
        <w:rPr>
          <w:rFonts w:hint="eastAsia" w:ascii="仿宋" w:hAnsi="仿宋" w:eastAsia="仿宋"/>
          <w:highlight w:val="none"/>
        </w:rPr>
        <w:t>和中建系统不合格（含不良行为）名册中</w:t>
      </w:r>
      <w:r>
        <w:rPr>
          <w:rFonts w:hint="eastAsia" w:ascii="仿宋_GB2312" w:hAnsi="仿宋" w:eastAsia="仿宋_GB2312" w:cstheme="minorBidi"/>
          <w:bCs/>
          <w:color w:val="000000" w:themeColor="text1"/>
          <w:sz w:val="21"/>
          <w:szCs w:val="21"/>
          <w:highlight w:val="none"/>
          <w14:textFill>
            <w14:solidFill>
              <w14:schemeClr w14:val="tx1"/>
            </w14:solidFill>
          </w14:textFill>
        </w:rPr>
        <w:t>。</w:t>
      </w:r>
    </w:p>
    <w:p w14:paraId="19B86457">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cstheme="minorBidi"/>
          <w:bCs/>
          <w:color w:val="000000" w:themeColor="text1"/>
          <w:sz w:val="21"/>
          <w:szCs w:val="21"/>
          <w:highlight w:val="none"/>
          <w14:textFill>
            <w14:solidFill>
              <w14:schemeClr w14:val="tx1"/>
            </w14:solidFill>
          </w14:textFill>
        </w:rPr>
        <w:t>5所投标设备出厂生产日期为</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2022</w:t>
      </w:r>
      <w:r>
        <w:rPr>
          <w:rFonts w:hint="eastAsia" w:ascii="仿宋_GB2312" w:hAnsi="仿宋" w:eastAsia="仿宋_GB2312" w:cstheme="minorBidi"/>
          <w:bCs/>
          <w:color w:val="000000" w:themeColor="text1"/>
          <w:sz w:val="21"/>
          <w:szCs w:val="21"/>
          <w:highlight w:val="none"/>
          <w14:textFill>
            <w14:solidFill>
              <w14:schemeClr w14:val="tx1"/>
            </w14:solidFill>
          </w14:textFill>
        </w:rPr>
        <w:t>年以后的设备</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5年内的设备</w:t>
      </w:r>
      <w:r>
        <w:rPr>
          <w:rFonts w:hint="eastAsia" w:ascii="仿宋_GB2312" w:hAnsi="仿宋" w:eastAsia="仿宋_GB2312" w:cstheme="minorBidi"/>
          <w:bCs/>
          <w:color w:val="000000" w:themeColor="text1"/>
          <w:sz w:val="21"/>
          <w:szCs w:val="21"/>
          <w:highlight w:val="none"/>
          <w:lang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w:t>
      </w:r>
    </w:p>
    <w:p w14:paraId="3482263C">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4.1.6</w:t>
      </w:r>
      <w:r>
        <w:rPr>
          <w:rFonts w:hint="eastAsia" w:ascii="仿宋_GB2312" w:hAnsi="仿宋" w:eastAsia="仿宋_GB2312" w:cstheme="minorBidi"/>
          <w:bCs/>
          <w:color w:val="000000" w:themeColor="text1"/>
          <w:sz w:val="21"/>
          <w:szCs w:val="21"/>
          <w:highlight w:val="none"/>
          <w14:textFill>
            <w14:solidFill>
              <w14:schemeClr w14:val="tx1"/>
            </w14:solidFill>
          </w14:textFill>
        </w:rPr>
        <w:t>分供商注册资金要求。注册资金</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w:t>
      </w:r>
      <w:r>
        <w:rPr>
          <w:rFonts w:hint="eastAsia" w:ascii="仿宋_GB2312" w:hAnsi="仿宋" w:eastAsia="仿宋_GB2312" w:cstheme="minorBidi"/>
          <w:bCs/>
          <w:color w:val="000000" w:themeColor="text1"/>
          <w:sz w:val="21"/>
          <w:szCs w:val="21"/>
          <w:highlight w:val="none"/>
          <w14:textFill>
            <w14:solidFill>
              <w14:schemeClr w14:val="tx1"/>
            </w14:solidFill>
          </w14:textFill>
        </w:rPr>
        <w:t>万元以上。</w:t>
      </w:r>
    </w:p>
    <w:p w14:paraId="0030AFFA">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4.1.7必须是经审核通过的中建股份或中建路桥合格供应商。</w:t>
      </w:r>
    </w:p>
    <w:p w14:paraId="06D69D4D">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4.1.8 能够开具合法有效的增值税专用发票。</w:t>
      </w:r>
    </w:p>
    <w:p w14:paraId="1595A163">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4.1.9中建股份内部供应企业也属于供应商范畴，纳入供应商管理。</w:t>
      </w:r>
    </w:p>
    <w:p w14:paraId="3390039E">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4.1.10招标方在招标过程任何阶段发现投标方相互关联的，取消其投标资格。投标单位关联关系认定详见附件《关于投标单位关联关系的认定说明》。</w:t>
      </w:r>
    </w:p>
    <w:p w14:paraId="0DFC4ED2">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4.2 本次招标不接受联合体投标。</w:t>
      </w:r>
    </w:p>
    <w:p w14:paraId="505F3F16">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4.3 投标保证金</w:t>
      </w:r>
    </w:p>
    <w:p w14:paraId="2A8355F4">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投标人投标截止时间前从投标人的银行账户以电汇的方式向以下账户缴纳</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100000</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进行不良行为设置并扣除保证金。</w:t>
      </w:r>
    </w:p>
    <w:p w14:paraId="39036783">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投标保证金交款账户：</w:t>
      </w:r>
    </w:p>
    <w:p w14:paraId="4163363B">
      <w:pPr>
        <w:spacing w:line="500" w:lineRule="exact"/>
        <w:ind w:firstLine="420" w:firstLineChars="200"/>
        <w:jc w:val="left"/>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单位名称：</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eastAsia="仿宋_GB2312" w:hAnsiTheme="minorEastAsia"/>
          <w:b/>
          <w:sz w:val="21"/>
          <w:szCs w:val="21"/>
          <w:u w:val="single"/>
          <w:lang w:val="en-US" w:eastAsia="zh-CN"/>
        </w:rPr>
        <w:t>中建路桥集团第六工程有限公司</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p>
    <w:p w14:paraId="1BB04159">
      <w:pPr>
        <w:spacing w:line="500" w:lineRule="exact"/>
        <w:ind w:firstLine="420" w:firstLineChars="200"/>
        <w:jc w:val="left"/>
        <w:rPr>
          <w:rFonts w:hint="default"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银行账号：</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p>
    <w:p w14:paraId="274C99F8">
      <w:pPr>
        <w:spacing w:line="500" w:lineRule="exact"/>
        <w:ind w:firstLine="420" w:firstLineChars="200"/>
        <w:jc w:val="left"/>
        <w:rPr>
          <w:rFonts w:hint="default"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开 户 行：</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eastAsia="仿宋_GB2312" w:hAnsiTheme="minorEastAsia"/>
          <w:b/>
          <w:sz w:val="21"/>
          <w:szCs w:val="21"/>
          <w:u w:val="single"/>
        </w:rPr>
        <w:t>建行邢台青青家园支行</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w:t>
      </w:r>
    </w:p>
    <w:p w14:paraId="1E1D2494">
      <w:pPr>
        <w:spacing w:line="500" w:lineRule="exact"/>
        <w:ind w:firstLine="420" w:firstLineChars="200"/>
        <w:jc w:val="left"/>
        <w:rPr>
          <w:rFonts w:hint="eastAsia"/>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4.4 为贯彻国家“双碳”战略、带动供应链上下游共同实现低碳减排，资格审查将关注供应商绿色、节能、环保管理体系和管理能力，以及企业ESG因素，同等条件下优先选择绿色节能环保材料和设备。</w:t>
      </w:r>
    </w:p>
    <w:p w14:paraId="0668EB2F">
      <w:pPr>
        <w:pStyle w:val="9"/>
        <w:spacing w:line="500" w:lineRule="exact"/>
        <w:ind w:firstLine="482" w:firstLineChars="200"/>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5. 招标文件的获取</w:t>
      </w:r>
    </w:p>
    <w:p w14:paraId="68DA456B">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凡有意参加投标的，请在中建路桥集团有限公司网站下载招标文件。</w:t>
      </w:r>
    </w:p>
    <w:p w14:paraId="08372528">
      <w:pPr>
        <w:pStyle w:val="9"/>
        <w:spacing w:line="500" w:lineRule="exact"/>
        <w:ind w:firstLine="482" w:firstLineChars="200"/>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6. 投标文件的递交</w:t>
      </w:r>
    </w:p>
    <w:p w14:paraId="4EE37174">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6.1投标文件递交截止时间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11</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9</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时。</w:t>
      </w:r>
    </w:p>
    <w:p w14:paraId="654D8426">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6.2递交地点：</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 河北省邢台市信都区泉北大街1299号 </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w:t>
      </w:r>
    </w:p>
    <w:p w14:paraId="231F0F82">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6.3逾期送达的或者未送达指定地点的投标文件，招标人不予受理。</w:t>
      </w:r>
    </w:p>
    <w:p w14:paraId="3BC77CA9">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6.4开标时间：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11</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点。</w:t>
      </w:r>
    </w:p>
    <w:p w14:paraId="763EBC9D">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6.5投标文件应符合招标文件所列要求。</w:t>
      </w:r>
    </w:p>
    <w:p w14:paraId="1F55151B">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7. 发布公告的媒介</w:t>
      </w:r>
    </w:p>
    <w:p w14:paraId="6C0F7CD8">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本次招标公告在中建路桥集团有限公司官网统一公开发布。</w:t>
      </w:r>
    </w:p>
    <w:p w14:paraId="0B9602EB">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bookmarkStart w:id="0" w:name="_Toc375664272"/>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8．开标时间</w:t>
      </w:r>
      <w:bookmarkEnd w:id="0"/>
    </w:p>
    <w:p w14:paraId="445B16F1">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拟定开标时间：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11</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24</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10</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点。</w:t>
      </w:r>
    </w:p>
    <w:p w14:paraId="7A6A595A">
      <w:pPr>
        <w:pStyle w:val="9"/>
        <w:spacing w:line="500" w:lineRule="exact"/>
        <w:ind w:firstLine="482" w:firstLineChars="200"/>
        <w:rPr>
          <w:rFonts w:hint="eastAsia" w:ascii="仿宋_GB2312" w:hAnsi="仿宋_GB2312" w:eastAsia="仿宋_GB2312" w:cs="仿宋_GB2312"/>
          <w:b/>
          <w:bCs/>
          <w:kern w:val="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rPr>
        <w:t>7.联系方式</w:t>
      </w:r>
    </w:p>
    <w:p w14:paraId="23000FFC">
      <w:pPr>
        <w:spacing w:line="500" w:lineRule="exact"/>
        <w:ind w:firstLine="420" w:firstLineChars="200"/>
        <w:jc w:val="left"/>
        <w:rPr>
          <w:rFonts w:hint="eastAsia" w:ascii="仿宋_GB2312" w:hAnsi="仿宋" w:eastAsia="仿宋_GB2312" w:cstheme="minorBidi"/>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招</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 xml:space="preserve"> </w:t>
      </w:r>
      <w:r>
        <w:rPr>
          <w:rFonts w:hint="eastAsia" w:ascii="仿宋_GB2312" w:hAnsi="仿宋" w:eastAsia="仿宋_GB2312" w:cstheme="minorBidi"/>
          <w:bCs/>
          <w:color w:val="000000" w:themeColor="text1"/>
          <w:sz w:val="21"/>
          <w:szCs w:val="21"/>
          <w:highlight w:val="none"/>
          <w14:textFill>
            <w14:solidFill>
              <w14:schemeClr w14:val="tx1"/>
            </w14:solidFill>
          </w14:textFill>
        </w:rPr>
        <w:t>标</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 xml:space="preserve"> </w:t>
      </w:r>
      <w:r>
        <w:rPr>
          <w:rFonts w:hint="eastAsia" w:ascii="仿宋_GB2312" w:hAnsi="仿宋" w:eastAsia="仿宋_GB2312" w:cstheme="minorBidi"/>
          <w:bCs/>
          <w:color w:val="000000" w:themeColor="text1"/>
          <w:sz w:val="21"/>
          <w:szCs w:val="21"/>
          <w:highlight w:val="none"/>
          <w14:textFill>
            <w14:solidFill>
              <w14:schemeClr w14:val="tx1"/>
            </w14:solidFill>
          </w14:textFill>
        </w:rPr>
        <w:t>单</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 xml:space="preserve"> </w:t>
      </w:r>
      <w:r>
        <w:rPr>
          <w:rFonts w:hint="eastAsia" w:ascii="仿宋_GB2312" w:hAnsi="仿宋" w:eastAsia="仿宋_GB2312" w:cstheme="minorBidi"/>
          <w:bCs/>
          <w:color w:val="000000" w:themeColor="text1"/>
          <w:sz w:val="21"/>
          <w:szCs w:val="21"/>
          <w:highlight w:val="none"/>
          <w14:textFill>
            <w14:solidFill>
              <w14:schemeClr w14:val="tx1"/>
            </w14:solidFill>
          </w14:textFill>
        </w:rPr>
        <w:t>位</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w:t>
      </w:r>
      <w:r>
        <w:rPr>
          <w:rFonts w:hint="eastAsia" w:ascii="仿宋_GB2312" w:hAnsi="仿宋" w:eastAsia="仿宋_GB2312" w:cstheme="minorBidi"/>
          <w:bCs/>
          <w:color w:val="000000" w:themeColor="text1"/>
          <w:sz w:val="21"/>
          <w:szCs w:val="21"/>
          <w:highlight w:val="none"/>
          <w14:textFill>
            <w14:solidFill>
              <w14:schemeClr w14:val="tx1"/>
            </w14:solidFill>
          </w14:textFill>
        </w:rPr>
        <w:t>中建路桥集团有限公司</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/子企业/分公司</w:t>
      </w:r>
      <w:r>
        <w:rPr>
          <w:rFonts w:hint="eastAsia" w:ascii="仿宋_GB2312" w:hAnsi="仿宋" w:eastAsia="仿宋_GB2312" w:cstheme="minorBidi"/>
          <w:bCs/>
          <w:color w:val="000000" w:themeColor="text1"/>
          <w:sz w:val="21"/>
          <w:szCs w:val="21"/>
          <w:highlight w:val="none"/>
          <w14:textFill>
            <w14:solidFill>
              <w14:schemeClr w14:val="tx1"/>
            </w14:solidFill>
          </w14:textFill>
        </w:rPr>
        <w:t xml:space="preserve"> </w:t>
      </w:r>
    </w:p>
    <w:p w14:paraId="2CFAD6BF">
      <w:pPr>
        <w:pStyle w:val="4"/>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sz w:val="21"/>
          <w:szCs w:val="21"/>
          <w:highlight w:val="none"/>
          <w14:textFill>
            <w14:solidFill>
              <w14:schemeClr w14:val="tx1"/>
            </w14:solidFill>
          </w14:textFill>
        </w:rPr>
        <w:t>招标人经办人</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总  部:</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王志刚</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lang w:val="en-US" w:eastAsia="zh-CN"/>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电话:</w:t>
      </w:r>
      <w:r>
        <w:rPr>
          <w:rFonts w:hint="eastAsia" w:ascii="仿宋_GB2312" w:hAnsi="仿宋" w:eastAsia="仿宋_GB2312" w:cs="Times New Roman"/>
          <w:bCs/>
          <w:color w:val="000000"/>
          <w:kern w:val="2"/>
          <w:sz w:val="21"/>
          <w:szCs w:val="21"/>
          <w:u w:val="single"/>
        </w:rPr>
        <w:t>0311-6653814</w:t>
      </w:r>
      <w:r>
        <w:rPr>
          <w:rFonts w:hint="eastAsia" w:ascii="仿宋_GB2312" w:hAnsi="仿宋" w:eastAsia="仿宋_GB2312" w:cs="Times New Roman"/>
          <w:bCs/>
          <w:color w:val="000000"/>
          <w:kern w:val="2"/>
          <w:sz w:val="21"/>
          <w:szCs w:val="21"/>
          <w:u w:val="single"/>
          <w:lang w:val="en-US" w:eastAsia="zh-CN"/>
        </w:rPr>
        <w:t>5</w:t>
      </w:r>
    </w:p>
    <w:p w14:paraId="696AD940">
      <w:pPr>
        <w:pStyle w:val="4"/>
        <w:snapToGrid w:val="0"/>
        <w:spacing w:line="500" w:lineRule="exact"/>
        <w:ind w:firstLine="2100" w:firstLineChars="1000"/>
        <w:jc w:val="left"/>
        <w:rPr>
          <w:rFonts w:ascii="仿宋_GB2312" w:hAnsi="仿宋" w:eastAsia="仿宋_GB2312" w:cstheme="minorBidi"/>
          <w:bCs/>
          <w:color w:val="000000" w:themeColor="text1"/>
          <w:kern w:val="2"/>
          <w:sz w:val="21"/>
          <w:szCs w:val="21"/>
          <w:highlight w:val="yellow"/>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魏宏博</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5E77DD41">
      <w:pPr>
        <w:spacing w:line="500" w:lineRule="exact"/>
        <w:ind w:firstLine="2100" w:firstLineChars="10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项目部:</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刘浩鹏</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 xml:space="preserve">  电话:</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19902176858</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p>
    <w:p w14:paraId="1EF4F2A2">
      <w:pPr>
        <w:spacing w:line="500" w:lineRule="exact"/>
        <w:ind w:firstLine="420" w:firstLineChars="200"/>
        <w:jc w:val="left"/>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总部地址：河北省石家庄市建设南大街38号</w:t>
      </w:r>
    </w:p>
    <w:p w14:paraId="17F95010">
      <w:pPr>
        <w:pStyle w:val="4"/>
        <w:snapToGrid w:val="0"/>
        <w:spacing w:line="500" w:lineRule="exact"/>
        <w:ind w:firstLine="420" w:firstLineChars="200"/>
        <w:jc w:val="left"/>
        <w:rPr>
          <w:rFonts w:hint="eastAsia"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子企业地址:</w:t>
      </w:r>
      <w:r>
        <w:rPr>
          <w:rFonts w:hint="eastAsia" w:ascii="仿宋_GB2312" w:hAnsi="仿宋" w:eastAsia="仿宋_GB2312"/>
          <w:bCs/>
          <w:color w:val="000000" w:themeColor="text1"/>
          <w:sz w:val="21"/>
          <w:szCs w:val="21"/>
          <w:highlight w:val="none"/>
          <w:u w:val="single"/>
          <w14:textFill>
            <w14:solidFill>
              <w14:schemeClr w14:val="tx1"/>
            </w14:solidFill>
          </w14:textFill>
        </w:rPr>
        <w:t>河北省邢台市桥西区泉北西大街1299号</w:t>
      </w:r>
    </w:p>
    <w:p w14:paraId="3B9132F3">
      <w:pPr>
        <w:pStyle w:val="4"/>
        <w:snapToGrid w:val="0"/>
        <w:spacing w:line="500" w:lineRule="exact"/>
        <w:ind w:firstLine="420" w:firstLineChars="2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项目部地址:</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西藏自治区昌都市卡若区嘎玛乡</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p>
    <w:p w14:paraId="7E36523C">
      <w:pPr>
        <w:spacing w:line="500" w:lineRule="exact"/>
        <w:ind w:firstLine="6720" w:firstLineChars="3200"/>
        <w:jc w:val="left"/>
        <w:rPr>
          <w:sz w:val="24"/>
          <w:szCs w:val="24"/>
          <w:highlight w:val="none"/>
        </w:rPr>
      </w:pP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11</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18</w:t>
      </w:r>
      <w:bookmarkStart w:id="1" w:name="_GoBack"/>
      <w:bookmarkEnd w:id="1"/>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日</w:t>
      </w:r>
      <w:r>
        <w:rPr>
          <w:rFonts w:hint="eastAsia" w:cs="Times New Roman" w:asciiTheme="majorEastAsia" w:hAnsiTheme="majorEastAsia" w:eastAsiaTheme="majorEastAsia"/>
          <w:b/>
          <w:color w:val="000000"/>
          <w:kern w:val="2"/>
          <w:sz w:val="28"/>
          <w:szCs w:val="28"/>
          <w:highlight w:val="none"/>
        </w:rPr>
        <w:t xml:space="preserve"> </w:t>
      </w:r>
    </w:p>
    <w:sectPr>
      <w:pgSz w:w="11906" w:h="16838"/>
      <w:pgMar w:top="850" w:right="1349" w:bottom="85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roman"/>
    <w:pitch w:val="default"/>
    <w:sig w:usb0="00000000" w:usb1="00000000" w:usb2="0000007F" w:usb3="00000000" w:csb0="203F01FF" w:csb1="DFFF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none"/>
      <w:pStyle w:val="3"/>
      <w:lvlText w:val="( a )"/>
      <w:lvlJc w:val="left"/>
      <w:pPr>
        <w:tabs>
          <w:tab w:val="left" w:pos="1080"/>
        </w:tabs>
        <w:ind w:left="0" w:firstLine="0"/>
      </w:pPr>
      <w:rPr>
        <w:rFonts w:hint="eastAsia"/>
      </w:rPr>
    </w:lvl>
    <w:lvl w:ilvl="1" w:tentative="0">
      <w:start w:val="1"/>
      <w:numFmt w:val="lowerRoman"/>
      <w:lvlText w:val="( %2 )"/>
      <w:lvlJc w:val="left"/>
      <w:pPr>
        <w:tabs>
          <w:tab w:val="left" w:pos="2291"/>
        </w:tabs>
        <w:ind w:left="851" w:firstLine="0"/>
      </w:pPr>
      <w:rPr>
        <w:rFonts w:hint="eastAsia"/>
      </w:rPr>
    </w:lvl>
    <w:lvl w:ilvl="2" w:tentative="0">
      <w:start w:val="1"/>
      <w:numFmt w:val="decimal"/>
      <w:lvlText w:val="%3."/>
      <w:lvlJc w:val="left"/>
      <w:pPr>
        <w:tabs>
          <w:tab w:val="left" w:pos="2061"/>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
    <w:nsid w:val="4E871967"/>
    <w:multiLevelType w:val="singleLevel"/>
    <w:tmpl w:val="4E871967"/>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Y2NkNzhiNTRiOWQxZWE0Y2VjYjY0NWEyNTY2YmIifQ=="/>
  </w:docVars>
  <w:rsids>
    <w:rsidRoot w:val="00757B99"/>
    <w:rsid w:val="00004990"/>
    <w:rsid w:val="00056787"/>
    <w:rsid w:val="00076AAB"/>
    <w:rsid w:val="0009235A"/>
    <w:rsid w:val="000C3945"/>
    <w:rsid w:val="000E21A8"/>
    <w:rsid w:val="001263E4"/>
    <w:rsid w:val="001829DA"/>
    <w:rsid w:val="00186F29"/>
    <w:rsid w:val="001932F7"/>
    <w:rsid w:val="001A55D0"/>
    <w:rsid w:val="00210003"/>
    <w:rsid w:val="00220518"/>
    <w:rsid w:val="00231BFE"/>
    <w:rsid w:val="00280842"/>
    <w:rsid w:val="002D110E"/>
    <w:rsid w:val="00316F64"/>
    <w:rsid w:val="003567FF"/>
    <w:rsid w:val="003B4988"/>
    <w:rsid w:val="003C0682"/>
    <w:rsid w:val="00426D51"/>
    <w:rsid w:val="00456E2C"/>
    <w:rsid w:val="004E0A07"/>
    <w:rsid w:val="00517D38"/>
    <w:rsid w:val="00526222"/>
    <w:rsid w:val="00554568"/>
    <w:rsid w:val="00556FE6"/>
    <w:rsid w:val="005761FF"/>
    <w:rsid w:val="005D5C19"/>
    <w:rsid w:val="0062728D"/>
    <w:rsid w:val="00692127"/>
    <w:rsid w:val="006F586C"/>
    <w:rsid w:val="007133D7"/>
    <w:rsid w:val="00751840"/>
    <w:rsid w:val="00757B99"/>
    <w:rsid w:val="007C1E39"/>
    <w:rsid w:val="007E1061"/>
    <w:rsid w:val="007F3152"/>
    <w:rsid w:val="008237DC"/>
    <w:rsid w:val="00864508"/>
    <w:rsid w:val="00865562"/>
    <w:rsid w:val="00896B5E"/>
    <w:rsid w:val="008B25C2"/>
    <w:rsid w:val="008B4742"/>
    <w:rsid w:val="008D4148"/>
    <w:rsid w:val="009228B1"/>
    <w:rsid w:val="00924210"/>
    <w:rsid w:val="00943538"/>
    <w:rsid w:val="00956880"/>
    <w:rsid w:val="00963C66"/>
    <w:rsid w:val="00975B9F"/>
    <w:rsid w:val="009A1C1B"/>
    <w:rsid w:val="009E51F3"/>
    <w:rsid w:val="00AB73C6"/>
    <w:rsid w:val="00AC5059"/>
    <w:rsid w:val="00B309B6"/>
    <w:rsid w:val="00B6138B"/>
    <w:rsid w:val="00B63ADB"/>
    <w:rsid w:val="00B95844"/>
    <w:rsid w:val="00BE1486"/>
    <w:rsid w:val="00BE1545"/>
    <w:rsid w:val="00C043BA"/>
    <w:rsid w:val="00C35A71"/>
    <w:rsid w:val="00C606C6"/>
    <w:rsid w:val="00C85B90"/>
    <w:rsid w:val="00CA5E0E"/>
    <w:rsid w:val="00CC444E"/>
    <w:rsid w:val="00D57E4D"/>
    <w:rsid w:val="00D71DE8"/>
    <w:rsid w:val="00D75E60"/>
    <w:rsid w:val="00D877F6"/>
    <w:rsid w:val="00DA7B9B"/>
    <w:rsid w:val="00E30ADD"/>
    <w:rsid w:val="00E325DA"/>
    <w:rsid w:val="00E76771"/>
    <w:rsid w:val="00E77BA3"/>
    <w:rsid w:val="00EB79D1"/>
    <w:rsid w:val="00F21DD3"/>
    <w:rsid w:val="00F44F35"/>
    <w:rsid w:val="00F45150"/>
    <w:rsid w:val="00FE7D76"/>
    <w:rsid w:val="00FF46C0"/>
    <w:rsid w:val="014F3506"/>
    <w:rsid w:val="01D43490"/>
    <w:rsid w:val="02326D99"/>
    <w:rsid w:val="02C84C7A"/>
    <w:rsid w:val="039F51A6"/>
    <w:rsid w:val="052C406D"/>
    <w:rsid w:val="0556565D"/>
    <w:rsid w:val="06043202"/>
    <w:rsid w:val="062855A1"/>
    <w:rsid w:val="073D5FA2"/>
    <w:rsid w:val="08182F98"/>
    <w:rsid w:val="08CF0558"/>
    <w:rsid w:val="09226513"/>
    <w:rsid w:val="092F0693"/>
    <w:rsid w:val="0A423EC6"/>
    <w:rsid w:val="0AA86122"/>
    <w:rsid w:val="0C6145C8"/>
    <w:rsid w:val="0DF95CBA"/>
    <w:rsid w:val="0E6314FF"/>
    <w:rsid w:val="0E8A2ADC"/>
    <w:rsid w:val="0F073F99"/>
    <w:rsid w:val="0F256C33"/>
    <w:rsid w:val="109E0A73"/>
    <w:rsid w:val="10C26A97"/>
    <w:rsid w:val="10FB65A4"/>
    <w:rsid w:val="11D15E59"/>
    <w:rsid w:val="14177099"/>
    <w:rsid w:val="14E64DF7"/>
    <w:rsid w:val="158E377D"/>
    <w:rsid w:val="15CB7014"/>
    <w:rsid w:val="15EA761A"/>
    <w:rsid w:val="16A80A2C"/>
    <w:rsid w:val="188351BD"/>
    <w:rsid w:val="1BA810E9"/>
    <w:rsid w:val="1BDC6813"/>
    <w:rsid w:val="1CDC549E"/>
    <w:rsid w:val="1D18707F"/>
    <w:rsid w:val="1D562233"/>
    <w:rsid w:val="1DC22BC6"/>
    <w:rsid w:val="201709A4"/>
    <w:rsid w:val="20B56876"/>
    <w:rsid w:val="20B96182"/>
    <w:rsid w:val="21A26D34"/>
    <w:rsid w:val="21E40A76"/>
    <w:rsid w:val="2226007B"/>
    <w:rsid w:val="229033F8"/>
    <w:rsid w:val="232A0417"/>
    <w:rsid w:val="233769E2"/>
    <w:rsid w:val="240B6730"/>
    <w:rsid w:val="242335CA"/>
    <w:rsid w:val="249E4DEC"/>
    <w:rsid w:val="24EA00CA"/>
    <w:rsid w:val="259517A3"/>
    <w:rsid w:val="25FF7F13"/>
    <w:rsid w:val="263C3B20"/>
    <w:rsid w:val="27523709"/>
    <w:rsid w:val="27796E2B"/>
    <w:rsid w:val="282B5FE9"/>
    <w:rsid w:val="283575D4"/>
    <w:rsid w:val="28653E7F"/>
    <w:rsid w:val="287F5975"/>
    <w:rsid w:val="28865FAA"/>
    <w:rsid w:val="299201CB"/>
    <w:rsid w:val="2B2A7D65"/>
    <w:rsid w:val="2B5769AE"/>
    <w:rsid w:val="2BFF73C8"/>
    <w:rsid w:val="2C3036F5"/>
    <w:rsid w:val="2D692CFE"/>
    <w:rsid w:val="2DCF3122"/>
    <w:rsid w:val="2EB44D94"/>
    <w:rsid w:val="2FEA1255"/>
    <w:rsid w:val="2FF86D57"/>
    <w:rsid w:val="302009FC"/>
    <w:rsid w:val="305723AA"/>
    <w:rsid w:val="310321F7"/>
    <w:rsid w:val="31654DB2"/>
    <w:rsid w:val="33086C6F"/>
    <w:rsid w:val="33733D47"/>
    <w:rsid w:val="33E0746D"/>
    <w:rsid w:val="34D77A7B"/>
    <w:rsid w:val="35F56BF2"/>
    <w:rsid w:val="36646972"/>
    <w:rsid w:val="369B3548"/>
    <w:rsid w:val="38D33EF5"/>
    <w:rsid w:val="3A816B64"/>
    <w:rsid w:val="3A8F7BCF"/>
    <w:rsid w:val="3AE80991"/>
    <w:rsid w:val="3B015E30"/>
    <w:rsid w:val="3B293AE9"/>
    <w:rsid w:val="3B680FB0"/>
    <w:rsid w:val="3C2A2F02"/>
    <w:rsid w:val="3C6B3628"/>
    <w:rsid w:val="3CFE624A"/>
    <w:rsid w:val="3D32459C"/>
    <w:rsid w:val="3D9930C3"/>
    <w:rsid w:val="3DFB01BF"/>
    <w:rsid w:val="3E591EBE"/>
    <w:rsid w:val="3F095AC2"/>
    <w:rsid w:val="3F211894"/>
    <w:rsid w:val="3F381A86"/>
    <w:rsid w:val="3FE0725A"/>
    <w:rsid w:val="400A6875"/>
    <w:rsid w:val="40EE73E0"/>
    <w:rsid w:val="41702A02"/>
    <w:rsid w:val="41E44FD4"/>
    <w:rsid w:val="43334FE5"/>
    <w:rsid w:val="43C47EA2"/>
    <w:rsid w:val="450E0A64"/>
    <w:rsid w:val="45584909"/>
    <w:rsid w:val="462B4521"/>
    <w:rsid w:val="464A678B"/>
    <w:rsid w:val="464B69A4"/>
    <w:rsid w:val="468D5E72"/>
    <w:rsid w:val="46BB0D9A"/>
    <w:rsid w:val="474321F6"/>
    <w:rsid w:val="47F226BB"/>
    <w:rsid w:val="48D9088B"/>
    <w:rsid w:val="493564C5"/>
    <w:rsid w:val="494A0C6C"/>
    <w:rsid w:val="498717BE"/>
    <w:rsid w:val="4997200B"/>
    <w:rsid w:val="4AE40D6D"/>
    <w:rsid w:val="4B2E1C72"/>
    <w:rsid w:val="4B322072"/>
    <w:rsid w:val="4BAE3BFB"/>
    <w:rsid w:val="4BD52894"/>
    <w:rsid w:val="4D1E464D"/>
    <w:rsid w:val="5092452C"/>
    <w:rsid w:val="51AF10A0"/>
    <w:rsid w:val="52C71612"/>
    <w:rsid w:val="54C03BDF"/>
    <w:rsid w:val="54EF1108"/>
    <w:rsid w:val="5599168F"/>
    <w:rsid w:val="564E0A29"/>
    <w:rsid w:val="56BF7520"/>
    <w:rsid w:val="56FD7987"/>
    <w:rsid w:val="576D5D44"/>
    <w:rsid w:val="58D73260"/>
    <w:rsid w:val="5BE657B9"/>
    <w:rsid w:val="5BEC3CEE"/>
    <w:rsid w:val="5C7F323F"/>
    <w:rsid w:val="5D5F17BD"/>
    <w:rsid w:val="5DF74E99"/>
    <w:rsid w:val="5FB96CFF"/>
    <w:rsid w:val="6207153B"/>
    <w:rsid w:val="62C4039D"/>
    <w:rsid w:val="636E387A"/>
    <w:rsid w:val="63F22F63"/>
    <w:rsid w:val="647F2EC3"/>
    <w:rsid w:val="65F515C0"/>
    <w:rsid w:val="66933AC0"/>
    <w:rsid w:val="66B772E6"/>
    <w:rsid w:val="673B6BE6"/>
    <w:rsid w:val="68C21D58"/>
    <w:rsid w:val="69013C96"/>
    <w:rsid w:val="6B3F2C8E"/>
    <w:rsid w:val="6C8319FA"/>
    <w:rsid w:val="6CC3508C"/>
    <w:rsid w:val="6E411D9B"/>
    <w:rsid w:val="6ECD4AA5"/>
    <w:rsid w:val="6F3F4C7E"/>
    <w:rsid w:val="6F6F17D9"/>
    <w:rsid w:val="749C7697"/>
    <w:rsid w:val="75406CD8"/>
    <w:rsid w:val="760617A8"/>
    <w:rsid w:val="77AE0857"/>
    <w:rsid w:val="77F44655"/>
    <w:rsid w:val="7B0D697D"/>
    <w:rsid w:val="7B874D32"/>
    <w:rsid w:val="7C2D45D5"/>
    <w:rsid w:val="7D726161"/>
    <w:rsid w:val="7E8108FE"/>
    <w:rsid w:val="7EC564AB"/>
    <w:rsid w:val="7EEA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kern w:val="44"/>
      <w:sz w:val="44"/>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widowControl/>
      <w:ind w:firstLine="420"/>
      <w:jc w:val="left"/>
    </w:pPr>
    <w:rPr>
      <w:rFonts w:ascii="MingLiU" w:hAnsi="MingLiU" w:eastAsia="MingLiU" w:cs="Arial Unicode MS"/>
      <w:snapToGrid w:val="0"/>
      <w:kern w:val="0"/>
      <w:sz w:val="20"/>
      <w:szCs w:val="20"/>
    </w:rPr>
  </w:style>
  <w:style w:type="paragraph" w:styleId="4">
    <w:name w:val="Salutation"/>
    <w:basedOn w:val="1"/>
    <w:next w:val="1"/>
    <w:link w:val="17"/>
    <w:autoRedefine/>
    <w:qFormat/>
    <w:uiPriority w:val="0"/>
    <w:rPr>
      <w:kern w:val="0"/>
      <w:sz w:val="24"/>
    </w:rPr>
  </w:style>
  <w:style w:type="paragraph" w:styleId="5">
    <w:name w:val="Body Text"/>
    <w:basedOn w:val="1"/>
    <w:autoRedefine/>
    <w:qFormat/>
    <w:uiPriority w:val="0"/>
    <w:pPr>
      <w:spacing w:after="120"/>
    </w:pPr>
  </w:style>
  <w:style w:type="paragraph" w:styleId="6">
    <w:name w:val="Body Text Indent"/>
    <w:basedOn w:val="1"/>
    <w:autoRedefine/>
    <w:qFormat/>
    <w:uiPriority w:val="0"/>
    <w:pPr>
      <w:spacing w:line="440" w:lineRule="exact"/>
      <w:ind w:firstLine="480" w:firstLineChars="200"/>
    </w:pPr>
    <w:rPr>
      <w:rFonts w:ascii="宋体" w:hAnsi="宋体"/>
      <w:kern w:val="0"/>
      <w:sz w:val="24"/>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after="100"/>
      <w:jc w:val="left"/>
    </w:pPr>
    <w:rPr>
      <w:rFonts w:ascii="宋体" w:hAnsi="宋体"/>
      <w:kern w:val="0"/>
      <w:sz w:val="24"/>
      <w:szCs w:val="20"/>
    </w:rPr>
  </w:style>
  <w:style w:type="paragraph" w:styleId="10">
    <w:name w:val="Body Text First Indent 2"/>
    <w:basedOn w:val="6"/>
    <w:autoRedefine/>
    <w:qFormat/>
    <w:uiPriority w:val="0"/>
    <w:pPr>
      <w:ind w:firstLine="420"/>
    </w:pPr>
    <w:rPr>
      <w:rFonts w:ascii="Calibri" w:hAnsi="Calibri"/>
    </w:rPr>
  </w:style>
  <w:style w:type="character" w:styleId="13">
    <w:name w:val="Hyperlink"/>
    <w:basedOn w:val="12"/>
    <w:autoRedefine/>
    <w:semiHidden/>
    <w:unhideWhenUsed/>
    <w:qFormat/>
    <w:uiPriority w:val="99"/>
    <w:rPr>
      <w:color w:val="0000FF"/>
      <w:u w:val="single"/>
    </w:rPr>
  </w:style>
  <w:style w:type="paragraph" w:customStyle="1" w:styleId="14">
    <w:name w:val="Default"/>
    <w:autoRedefine/>
    <w:qFormat/>
    <w:uiPriority w:val="0"/>
    <w:pPr>
      <w:widowControl w:val="0"/>
      <w:autoSpaceDE w:val="0"/>
      <w:autoSpaceDN w:val="0"/>
      <w:adjustRightInd w:val="0"/>
    </w:pPr>
    <w:rPr>
      <w:rFonts w:ascii=".." w:hAnsi="Times New Roman" w:eastAsia=".." w:cs=".."/>
      <w:color w:val="000000"/>
      <w:sz w:val="24"/>
      <w:szCs w:val="24"/>
      <w:lang w:val="en-US" w:eastAsia="zh-CN" w:bidi="ar-SA"/>
    </w:rPr>
  </w:style>
  <w:style w:type="character" w:customStyle="1" w:styleId="15">
    <w:name w:val="页眉 Char"/>
    <w:basedOn w:val="12"/>
    <w:link w:val="8"/>
    <w:autoRedefine/>
    <w:qFormat/>
    <w:uiPriority w:val="99"/>
    <w:rPr>
      <w:rFonts w:ascii="Times New Roman" w:hAnsi="Times New Roman" w:eastAsia="宋体" w:cs="Times New Roman"/>
      <w:sz w:val="18"/>
      <w:szCs w:val="18"/>
    </w:rPr>
  </w:style>
  <w:style w:type="character" w:customStyle="1" w:styleId="16">
    <w:name w:val="页脚 Char"/>
    <w:basedOn w:val="12"/>
    <w:link w:val="7"/>
    <w:autoRedefine/>
    <w:qFormat/>
    <w:uiPriority w:val="99"/>
    <w:rPr>
      <w:rFonts w:ascii="Times New Roman" w:hAnsi="Times New Roman" w:eastAsia="宋体" w:cs="Times New Roman"/>
      <w:sz w:val="18"/>
      <w:szCs w:val="18"/>
    </w:rPr>
  </w:style>
  <w:style w:type="character" w:customStyle="1" w:styleId="17">
    <w:name w:val="称呼 Char"/>
    <w:basedOn w:val="12"/>
    <w:link w:val="4"/>
    <w:autoRedefine/>
    <w:qFormat/>
    <w:uiPriority w:val="0"/>
    <w:rPr>
      <w:rFonts w:ascii="Times New Roman" w:hAnsi="Times New Roman" w:eastAsia="宋体" w:cs="Times New Roman"/>
      <w:kern w:val="0"/>
      <w:sz w:val="24"/>
      <w:szCs w:val="24"/>
    </w:rPr>
  </w:style>
  <w:style w:type="paragraph" w:customStyle="1" w:styleId="18">
    <w:name w:val="合同正文"/>
    <w:basedOn w:val="1"/>
    <w:autoRedefine/>
    <w:qFormat/>
    <w:uiPriority w:val="0"/>
    <w:pPr>
      <w:spacing w:line="360" w:lineRule="auto"/>
      <w:ind w:firstLine="200" w:firstLineChars="200"/>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1616</Words>
  <Characters>1851</Characters>
  <Lines>12</Lines>
  <Paragraphs>3</Paragraphs>
  <TotalTime>2</TotalTime>
  <ScaleCrop>false</ScaleCrop>
  <LinksUpToDate>false</LinksUpToDate>
  <CharactersWithSpaces>1949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2019-12-08T05:01:00Z</dcterms:created>
  <dc:creator>韩超</dc:creator>
  <cp:lastModifiedBy>YL虎</cp:lastModifiedBy>
  <dcterms:modified xsi:type="dcterms:W3CDTF">2025-11-18T03:03:05Z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4689C6757940497588B25FD50C40BE22</vt:lpwstr>
  </property>
  <property fmtid="{D5CDD505-2E9C-101B-9397-08002B2CF9AE}" pid="4" name="KSOTemplateDocerSaveRecord">
    <vt:lpwstr>eyJoZGlkIjoiZjgyODY1NWIwNDM1ZWI0ZjgzOTBiMjZhOTQzYTA3YzIiLCJ1c2VySWQiOiI3NDgzNzg5NjUifQ==</vt:lpwstr>
  </property>
</Properties>
</file>