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463AB">
      <w:pPr>
        <w:spacing w:line="360" w:lineRule="auto"/>
        <w:jc w:val="left"/>
        <w:rPr>
          <w:rFonts w:hint="eastAsia" w:eastAsia="仿宋_GB2312"/>
          <w:bCs/>
          <w:color w:val="000000"/>
          <w:sz w:val="28"/>
          <w:szCs w:val="28"/>
          <w:highlight w:val="none"/>
          <w:u w:val="single"/>
        </w:rPr>
      </w:pPr>
      <w:bookmarkStart w:id="0" w:name="_Hlk126831517"/>
      <w:r>
        <w:rPr>
          <w:rFonts w:hint="eastAsia" w:eastAsia="仿宋_GB2312"/>
          <w:bCs/>
          <w:color w:val="000000"/>
          <w:sz w:val="28"/>
          <w:szCs w:val="28"/>
          <w:highlight w:val="none"/>
        </w:rPr>
        <w:t>合同编号：</w:t>
      </w:r>
      <w:permStart w:id="0" w:edGrp="everyone"/>
      <w:r>
        <w:rPr>
          <w:rFonts w:ascii="宋体" w:hAnsi="宋体" w:eastAsia="宋体"/>
          <w:highlight w:val="none"/>
          <w:u w:val="single"/>
        </w:rPr>
        <w:t>ZJLQ-FG-</w:t>
      </w:r>
      <w:r>
        <w:rPr>
          <w:rFonts w:hint="eastAsia" w:ascii="宋体" w:hAnsi="宋体"/>
          <w:highlight w:val="none"/>
          <w:u w:val="single"/>
          <w:lang w:val="en-US" w:eastAsia="zh-CN"/>
        </w:rPr>
        <w:t>昌都卡若区农村公路项目</w:t>
      </w:r>
      <w:r>
        <w:rPr>
          <w:rFonts w:hint="eastAsia" w:ascii="宋体" w:hAnsi="宋体" w:eastAsia="宋体"/>
          <w:highlight w:val="none"/>
          <w:u w:val="single"/>
        </w:rPr>
        <w:t>-00</w:t>
      </w:r>
      <w:r>
        <w:rPr>
          <w:rFonts w:hint="eastAsia" w:ascii="宋体" w:hAnsi="宋体"/>
          <w:highlight w:val="none"/>
          <w:u w:val="single"/>
          <w:lang w:val="en-US" w:eastAsia="zh-CN"/>
        </w:rPr>
        <w:t>4</w:t>
      </w:r>
      <w:permEnd w:id="0"/>
    </w:p>
    <w:p w14:paraId="0E7F328C">
      <w:pPr>
        <w:wordWrap w:val="0"/>
        <w:spacing w:line="640" w:lineRule="exact"/>
        <w:jc w:val="both"/>
        <w:rPr>
          <w:rFonts w:ascii="仿宋_GB2312" w:hAnsi="仿宋" w:eastAsia="仿宋_GB2312" w:cs="仿宋"/>
          <w:color w:val="000000" w:themeColor="text1"/>
          <w:sz w:val="24"/>
          <w:szCs w:val="24"/>
          <w:highlight w:val="none"/>
          <w14:textFill>
            <w14:solidFill>
              <w14:schemeClr w14:val="tx1"/>
            </w14:solidFill>
          </w14:textFill>
        </w:rPr>
      </w:pPr>
      <w:r>
        <w:rPr>
          <w:rFonts w:hint="eastAsia" w:eastAsia="仿宋_GB2312"/>
          <w:bCs/>
          <w:color w:val="000000"/>
          <w:sz w:val="28"/>
          <w:szCs w:val="28"/>
          <w:highlight w:val="none"/>
        </w:rPr>
        <w:t>框架协议：</w:t>
      </w:r>
      <w:permStart w:id="1" w:edGrp="everyone"/>
      <w:r>
        <w:rPr>
          <w:rFonts w:hint="eastAsia" w:eastAsia="仿宋_GB2312"/>
          <w:bCs/>
          <w:color w:val="000000"/>
          <w:sz w:val="28"/>
          <w:szCs w:val="28"/>
          <w:highlight w:val="none"/>
          <w:u w:val="single"/>
        </w:rPr>
        <w:t xml:space="preserve">         </w:t>
      </w:r>
      <w:r>
        <w:rPr>
          <w:rFonts w:hint="eastAsia" w:eastAsia="仿宋_GB2312"/>
          <w:bCs/>
          <w:color w:val="000000"/>
          <w:sz w:val="28"/>
          <w:szCs w:val="28"/>
          <w:highlight w:val="none"/>
          <w:u w:val="single"/>
          <w:lang w:val="en-US" w:eastAsia="zh-CN"/>
        </w:rPr>
        <w:t>/</w:t>
      </w:r>
      <w:r>
        <w:rPr>
          <w:rFonts w:hint="eastAsia" w:eastAsia="仿宋_GB2312"/>
          <w:bCs/>
          <w:color w:val="000000"/>
          <w:sz w:val="28"/>
          <w:szCs w:val="28"/>
          <w:highlight w:val="none"/>
          <w:u w:val="single"/>
        </w:rPr>
        <w:t xml:space="preserve">         </w:t>
      </w:r>
      <w:permEnd w:id="1"/>
    </w:p>
    <w:p w14:paraId="467D2948">
      <w:pPr>
        <w:spacing w:line="360" w:lineRule="auto"/>
        <w:jc w:val="left"/>
        <w:rPr>
          <w:rFonts w:hint="eastAsia" w:ascii="仿宋_GB2312" w:hAnsi="仿宋_GB2312" w:eastAsia="仿宋_GB2312" w:cs="仿宋_GB2312"/>
          <w:sz w:val="28"/>
          <w:szCs w:val="28"/>
          <w:highlight w:val="none"/>
        </w:rPr>
      </w:pPr>
      <w:r>
        <w:rPr>
          <w:highlight w:val="none"/>
        </w:rPr>
        <w:pict>
          <v:shape id="_x0000_s1026" o:spid="_x0000_s1026" o:spt="136" type="#_x0000_t136" style="position:absolute;left:0pt;margin-left:100pt;margin-top:100pt;height:100pt;width:200pt;z-index:251663360;mso-width-relative:page;mso-height-relative:page;" coordsize="21600,21600">
            <v:path/>
            <v:fill opacity="32768f" focussize="0,0"/>
            <v:stroke/>
            <v:imagedata o:title=""/>
            <o:lock v:ext="edit"/>
            <v:textpath on="t" fitshape="t" fitpath="t" trim="t" xscale="f" string="" style="font-size:36pt;v-text-align:center;"/>
          </v:shape>
        </w:pict>
      </w:r>
    </w:p>
    <w:p w14:paraId="44BFD501">
      <w:pPr>
        <w:pStyle w:val="3"/>
        <w:rPr>
          <w:rFonts w:hint="eastAsia"/>
          <w:highlight w:val="none"/>
        </w:rPr>
      </w:pPr>
    </w:p>
    <w:p w14:paraId="15E684C6">
      <w:pPr>
        <w:pStyle w:val="3"/>
        <w:rPr>
          <w:rFonts w:hint="eastAsia"/>
          <w:highlight w:val="none"/>
        </w:rPr>
      </w:pPr>
    </w:p>
    <w:p w14:paraId="07B7FF04">
      <w:pPr>
        <w:pStyle w:val="3"/>
        <w:rPr>
          <w:rFonts w:hint="eastAsia"/>
          <w:highlight w:val="none"/>
        </w:rPr>
      </w:pPr>
    </w:p>
    <w:p w14:paraId="0037750D">
      <w:pPr>
        <w:spacing w:line="360" w:lineRule="auto"/>
        <w:jc w:val="center"/>
        <w:rPr>
          <w:rFonts w:hint="eastAsia" w:ascii="华文中宋" w:hAnsi="华文中宋" w:eastAsia="华文中宋" w:cs="华文中宋"/>
          <w:b/>
          <w:sz w:val="52"/>
          <w:szCs w:val="52"/>
          <w:highlight w:val="none"/>
        </w:rPr>
      </w:pPr>
      <w:permStart w:id="2" w:edGrp="everyone"/>
      <w:r>
        <w:rPr>
          <w:rFonts w:hint="eastAsia" w:ascii="华文中宋" w:hAnsi="华文中宋" w:eastAsia="华文中宋" w:cs="华文中宋"/>
          <w:b/>
          <w:sz w:val="52"/>
          <w:szCs w:val="52"/>
          <w:highlight w:val="none"/>
          <w:lang w:val="en-US" w:eastAsia="zh-CN"/>
        </w:rPr>
        <w:t>地材</w:t>
      </w:r>
      <w:permEnd w:id="2"/>
      <w:r>
        <w:rPr>
          <w:rFonts w:hint="eastAsia" w:ascii="华文中宋" w:hAnsi="华文中宋" w:eastAsia="华文中宋" w:cs="华文中宋"/>
          <w:b/>
          <w:sz w:val="52"/>
          <w:szCs w:val="52"/>
          <w:highlight w:val="none"/>
          <w:lang w:val="en-US" w:eastAsia="zh-CN"/>
        </w:rPr>
        <w:t>运输</w:t>
      </w:r>
      <w:r>
        <w:rPr>
          <w:rFonts w:hint="eastAsia" w:ascii="华文中宋" w:hAnsi="华文中宋" w:eastAsia="华文中宋" w:cs="华文中宋"/>
          <w:b/>
          <w:sz w:val="52"/>
          <w:szCs w:val="52"/>
          <w:highlight w:val="none"/>
        </w:rPr>
        <w:t>合同</w:t>
      </w:r>
    </w:p>
    <w:p w14:paraId="4E52AF23">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2336" behindDoc="1" locked="0" layoutInCell="1" allowOverlap="1">
            <wp:simplePos x="0" y="0"/>
            <wp:positionH relativeFrom="column">
              <wp:posOffset>1829435</wp:posOffset>
            </wp:positionH>
            <wp:positionV relativeFrom="paragraph">
              <wp:posOffset>245745</wp:posOffset>
            </wp:positionV>
            <wp:extent cx="1685925" cy="2352675"/>
            <wp:effectExtent l="0" t="0" r="952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4">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62C6FF15">
      <w:pPr>
        <w:spacing w:line="360" w:lineRule="auto"/>
        <w:jc w:val="center"/>
        <w:rPr>
          <w:rFonts w:hint="eastAsia" w:ascii="宋体" w:hAnsi="宋体" w:cs="宋体"/>
          <w:b/>
          <w:sz w:val="28"/>
          <w:szCs w:val="28"/>
          <w:highlight w:val="none"/>
        </w:rPr>
      </w:pPr>
    </w:p>
    <w:p w14:paraId="6666CB97">
      <w:pPr>
        <w:spacing w:line="360" w:lineRule="auto"/>
        <w:jc w:val="center"/>
        <w:rPr>
          <w:rFonts w:hint="eastAsia" w:ascii="宋体" w:hAnsi="宋体" w:cs="宋体"/>
          <w:b/>
          <w:sz w:val="28"/>
          <w:szCs w:val="28"/>
          <w:highlight w:val="none"/>
        </w:rPr>
      </w:pPr>
    </w:p>
    <w:p w14:paraId="78BAA288">
      <w:pPr>
        <w:spacing w:line="360" w:lineRule="auto"/>
        <w:jc w:val="center"/>
        <w:rPr>
          <w:rFonts w:hint="eastAsia" w:ascii="宋体" w:hAnsi="宋体" w:cs="宋体"/>
          <w:b/>
          <w:sz w:val="28"/>
          <w:szCs w:val="28"/>
          <w:highlight w:val="none"/>
        </w:rPr>
      </w:pPr>
    </w:p>
    <w:p w14:paraId="00C05104">
      <w:pPr>
        <w:spacing w:line="360" w:lineRule="auto"/>
        <w:jc w:val="center"/>
        <w:rPr>
          <w:rFonts w:hint="eastAsia" w:ascii="宋体" w:hAnsi="宋体" w:cs="宋体"/>
          <w:b/>
          <w:sz w:val="28"/>
          <w:szCs w:val="28"/>
          <w:highlight w:val="none"/>
        </w:rPr>
      </w:pPr>
    </w:p>
    <w:p w14:paraId="49C19414">
      <w:pPr>
        <w:spacing w:line="360" w:lineRule="auto"/>
        <w:rPr>
          <w:rFonts w:hint="eastAsia" w:ascii="宋体" w:hAnsi="宋体" w:cs="宋体"/>
          <w:b/>
          <w:sz w:val="28"/>
          <w:szCs w:val="28"/>
          <w:highlight w:val="none"/>
        </w:rPr>
      </w:pPr>
    </w:p>
    <w:p w14:paraId="6F24939D">
      <w:pPr>
        <w:pStyle w:val="4"/>
        <w:spacing w:after="120"/>
        <w:ind w:firstLine="560"/>
        <w:rPr>
          <w:rFonts w:hint="eastAsia" w:ascii="宋体" w:hAnsi="宋体" w:cs="宋体"/>
          <w:b/>
          <w:sz w:val="28"/>
          <w:szCs w:val="28"/>
          <w:highlight w:val="none"/>
        </w:rPr>
      </w:pPr>
    </w:p>
    <w:p w14:paraId="1EB112CE">
      <w:pPr>
        <w:pStyle w:val="4"/>
        <w:spacing w:after="120"/>
        <w:ind w:firstLine="560"/>
        <w:rPr>
          <w:rFonts w:hint="eastAsia" w:ascii="宋体" w:hAnsi="宋体" w:cs="宋体"/>
          <w:b/>
          <w:sz w:val="28"/>
          <w:szCs w:val="28"/>
          <w:highlight w:val="none"/>
        </w:rPr>
      </w:pPr>
    </w:p>
    <w:p w14:paraId="6955D7FE">
      <w:pPr>
        <w:spacing w:line="360" w:lineRule="auto"/>
        <w:rPr>
          <w:rFonts w:hint="eastAsia" w:ascii="仿宋_GB2312" w:hAnsi="仿宋_GB2312" w:eastAsia="仿宋_GB2312" w:cs="仿宋_GB2312"/>
          <w:b/>
          <w:bCs/>
          <w:sz w:val="28"/>
          <w:szCs w:val="28"/>
          <w:highlight w:val="none"/>
        </w:rPr>
      </w:pPr>
    </w:p>
    <w:p w14:paraId="05948913">
      <w:pPr>
        <w:spacing w:line="360" w:lineRule="auto"/>
        <w:ind w:firstLine="562" w:firstLineChars="200"/>
        <w:rPr>
          <w:rFonts w:hint="eastAsia" w:ascii="仿宋_GB2312" w:hAnsi="仿宋_GB2312" w:eastAsia="仿宋_GB2312" w:cs="仿宋_GB2312"/>
          <w:sz w:val="28"/>
          <w:szCs w:val="28"/>
          <w:highlight w:val="none"/>
        </w:rPr>
      </w:pPr>
      <w:permStart w:id="3" w:edGrp="everyone"/>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昌都市卡若区嘎玛乡达那村公路工程</w:t>
      </w:r>
      <w:r>
        <w:rPr>
          <w:rFonts w:hint="eastAsia" w:ascii="仿宋_GB2312" w:hAnsi="仿宋_GB2312" w:eastAsia="仿宋_GB2312" w:cs="仿宋_GB2312"/>
          <w:b/>
          <w:color w:val="000000"/>
          <w:sz w:val="28"/>
          <w:szCs w:val="28"/>
          <w:highlight w:val="none"/>
        </w:rPr>
        <w:t xml:space="preserve"> 】</w:t>
      </w:r>
    </w:p>
    <w:p w14:paraId="73273398">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中建路桥集团有限公司</w:t>
      </w:r>
      <w:r>
        <w:rPr>
          <w:rFonts w:hint="eastAsia" w:ascii="仿宋_GB2312" w:hAnsi="仿宋_GB2312" w:eastAsia="仿宋_GB2312" w:cs="仿宋_GB2312"/>
          <w:b/>
          <w:color w:val="000000"/>
          <w:sz w:val="28"/>
          <w:szCs w:val="28"/>
          <w:highlight w:val="none"/>
        </w:rPr>
        <w:t xml:space="preserve">        】</w:t>
      </w:r>
    </w:p>
    <w:p w14:paraId="2C817F83">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w:t>
      </w:r>
    </w:p>
    <w:p w14:paraId="7E315BC5">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w:t>
      </w:r>
    </w:p>
    <w:p w14:paraId="22B985CE">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石家庄市桥西区</w:t>
      </w:r>
      <w:r>
        <w:rPr>
          <w:rFonts w:hint="eastAsia" w:ascii="仿宋_GB2312" w:hAnsi="仿宋_GB2312" w:eastAsia="仿宋_GB2312" w:cs="仿宋_GB2312"/>
          <w:b/>
          <w:color w:val="000000"/>
          <w:sz w:val="28"/>
          <w:szCs w:val="28"/>
          <w:highlight w:val="none"/>
        </w:rPr>
        <w:t xml:space="preserve">        】</w:t>
      </w:r>
      <w:bookmarkEnd w:id="0"/>
    </w:p>
    <w:permEnd w:id="3"/>
    <w:p w14:paraId="4E8F1B9A">
      <w:pPr>
        <w:spacing w:line="480" w:lineRule="auto"/>
        <w:ind w:firstLine="1280" w:firstLineChars="400"/>
        <w:jc w:val="left"/>
        <w:textAlignment w:val="baseline"/>
        <w:rPr>
          <w:rFonts w:ascii="仿宋_GB2312" w:hAnsi="仿宋" w:eastAsia="仿宋_GB2312" w:cs="仿宋"/>
          <w:bCs/>
          <w:color w:val="000000" w:themeColor="text1"/>
          <w:sz w:val="32"/>
          <w:szCs w:val="24"/>
          <w:highlight w:val="none"/>
          <w:u w:val="singl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docGrid w:type="lines" w:linePitch="312" w:charSpace="0"/>
        </w:sectPr>
      </w:pPr>
    </w:p>
    <w:sdt>
      <w:sdtPr>
        <w:rPr>
          <w:rFonts w:ascii="宋体" w:hAnsi="宋体" w:eastAsia="宋体" w:cs="宋体"/>
          <w:color w:val="000000"/>
          <w:kern w:val="0"/>
          <w:sz w:val="24"/>
          <w:szCs w:val="24"/>
          <w:highlight w:val="none"/>
        </w:rPr>
        <w:id w:val="147472720"/>
        <w15:color w:val="DBDBDB"/>
        <w:docPartObj>
          <w:docPartGallery w:val="Table of Contents"/>
          <w:docPartUnique/>
        </w:docPartObj>
      </w:sdtPr>
      <w:sdtEndP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sdtEndPr>
      <w:sdtContent>
        <w:p w14:paraId="38D95B20">
          <w:pPr>
            <w:pStyle w:val="4"/>
            <w:rPr>
              <w:highlight w:val="none"/>
            </w:rPr>
          </w:pPr>
          <w:bookmarkStart w:id="1" w:name="_Toc29946"/>
        </w:p>
        <w:p w14:paraId="0DD79421">
          <w:pPr>
            <w:jc w:val="center"/>
            <w:rPr>
              <w:rFonts w:ascii="黑体" w:hAnsi="黑体" w:eastAsia="黑体" w:cs="黑体"/>
              <w:b/>
              <w:bCs/>
              <w:color w:val="000000" w:themeColor="text1"/>
              <w:sz w:val="36"/>
              <w:szCs w:val="36"/>
              <w:highlight w:val="none"/>
              <w14:textFill>
                <w14:solidFill>
                  <w14:schemeClr w14:val="tx1"/>
                </w14:solidFill>
              </w14:textFill>
            </w:rPr>
          </w:pPr>
          <w:r>
            <w:rPr>
              <w:rFonts w:hint="eastAsia" w:ascii="黑体" w:hAnsi="黑体" w:eastAsia="黑体" w:cs="黑体"/>
              <w:b/>
              <w:bCs/>
              <w:color w:val="000000" w:themeColor="text1"/>
              <w:sz w:val="36"/>
              <w:szCs w:val="36"/>
              <w:highlight w:val="none"/>
              <w14:textFill>
                <w14:solidFill>
                  <w14:schemeClr w14:val="tx1"/>
                </w14:solidFill>
              </w14:textFill>
            </w:rPr>
            <w:t>目  录</w:t>
          </w:r>
        </w:p>
        <w:p w14:paraId="1AED4FC1">
          <w:pPr>
            <w:pStyle w:val="4"/>
            <w:rPr>
              <w:highlight w:val="none"/>
            </w:rPr>
          </w:pPr>
          <w:permStart w:id="4" w:edGrp="everyone"/>
        </w:p>
        <w:p w14:paraId="109E0A8B">
          <w:pPr>
            <w:pStyle w:val="8"/>
            <w:tabs>
              <w:tab w:val="right" w:leader="dot" w:pos="8306"/>
            </w:tabs>
            <w:spacing w:line="312" w:lineRule="auto"/>
            <w:rPr>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fldChar w:fldCharType="begin"/>
          </w:r>
          <w:r>
            <w:rPr>
              <w:rFonts w:hint="eastAsia" w:ascii="仿宋_GB2312" w:hAnsi="仿宋_GB2312" w:eastAsia="仿宋_GB2312" w:cs="仿宋_GB2312"/>
              <w:b/>
              <w:bCs/>
              <w:color w:val="000000" w:themeColor="text1"/>
              <w:highlight w:val="none"/>
              <w14:textFill>
                <w14:solidFill>
                  <w14:schemeClr w14:val="tx1"/>
                </w14:solidFill>
              </w14:textFill>
            </w:rPr>
            <w:instrText xml:space="preserve">TOC \o "1-2" \h \u </w:instrText>
          </w:r>
          <w:r>
            <w:rPr>
              <w:rFonts w:hint="eastAsia" w:ascii="仿宋_GB2312" w:hAnsi="仿宋_GB2312" w:eastAsia="仿宋_GB2312" w:cs="仿宋_GB2312"/>
              <w:b/>
              <w:bCs/>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"_Toc27554"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_Toc27554 \h </w:instrText>
          </w:r>
          <w:r>
            <w:rPr>
              <w:highlight w:val="none"/>
            </w:rPr>
            <w:fldChar w:fldCharType="separate"/>
          </w:r>
          <w:r>
            <w:rPr>
              <w:highlight w:val="none"/>
            </w:rPr>
            <w:t>1</w:t>
          </w:r>
          <w:r>
            <w:rPr>
              <w:highlight w:val="none"/>
            </w:rPr>
            <w:fldChar w:fldCharType="end"/>
          </w:r>
          <w:r>
            <w:rPr>
              <w:highlight w:val="none"/>
            </w:rPr>
            <w:fldChar w:fldCharType="end"/>
          </w:r>
        </w:p>
        <w:p w14:paraId="364D4D34">
          <w:pPr>
            <w:pStyle w:val="8"/>
            <w:tabs>
              <w:tab w:val="right" w:leader="dot" w:pos="8306"/>
            </w:tabs>
            <w:spacing w:line="312" w:lineRule="auto"/>
            <w:rPr>
              <w:highlight w:val="none"/>
            </w:rPr>
          </w:pPr>
          <w:r>
            <w:rPr>
              <w:highlight w:val="none"/>
            </w:rPr>
            <w:fldChar w:fldCharType="begin"/>
          </w:r>
          <w:r>
            <w:rPr>
              <w:highlight w:val="none"/>
            </w:rPr>
            <w:instrText xml:space="preserve"> HYPERLINK \l "_Toc17004" </w:instrText>
          </w:r>
          <w:r>
            <w:rPr>
              <w:highlight w:val="none"/>
            </w:rPr>
            <w:fldChar w:fldCharType="separate"/>
          </w:r>
          <w:r>
            <w:rPr>
              <w:rFonts w:hint="eastAsia" w:ascii="仿宋_GB2312" w:hAnsi="仿宋_GB2312" w:eastAsia="仿宋_GB2312" w:cs="仿宋_GB2312"/>
              <w:kern w:val="0"/>
              <w:sz w:val="28"/>
              <w:szCs w:val="28"/>
              <w:highlight w:val="none"/>
            </w:rPr>
            <w:t>一、工程概况</w:t>
          </w:r>
          <w:r>
            <w:rPr>
              <w:highlight w:val="none"/>
            </w:rPr>
            <w:tab/>
          </w:r>
          <w:r>
            <w:rPr>
              <w:highlight w:val="none"/>
            </w:rPr>
            <w:fldChar w:fldCharType="begin"/>
          </w:r>
          <w:r>
            <w:rPr>
              <w:highlight w:val="none"/>
            </w:rPr>
            <w:instrText xml:space="preserve"> PAGEREF _Toc17004 \h </w:instrText>
          </w:r>
          <w:r>
            <w:rPr>
              <w:highlight w:val="none"/>
            </w:rPr>
            <w:fldChar w:fldCharType="separate"/>
          </w:r>
          <w:r>
            <w:rPr>
              <w:highlight w:val="none"/>
            </w:rPr>
            <w:t>1</w:t>
          </w:r>
          <w:r>
            <w:rPr>
              <w:highlight w:val="none"/>
            </w:rPr>
            <w:fldChar w:fldCharType="end"/>
          </w:r>
          <w:r>
            <w:rPr>
              <w:highlight w:val="none"/>
            </w:rPr>
            <w:fldChar w:fldCharType="end"/>
          </w:r>
        </w:p>
        <w:p w14:paraId="51DF7C65">
          <w:pPr>
            <w:pStyle w:val="8"/>
            <w:tabs>
              <w:tab w:val="right" w:leader="dot" w:pos="8306"/>
            </w:tabs>
            <w:spacing w:line="312" w:lineRule="auto"/>
            <w:rPr>
              <w:highlight w:val="none"/>
            </w:rPr>
          </w:pPr>
          <w:r>
            <w:rPr>
              <w:highlight w:val="none"/>
            </w:rPr>
            <w:fldChar w:fldCharType="begin"/>
          </w:r>
          <w:r>
            <w:rPr>
              <w:highlight w:val="none"/>
            </w:rPr>
            <w:instrText xml:space="preserve"> HYPERLINK \l "_Toc26028" </w:instrText>
          </w:r>
          <w:r>
            <w:rPr>
              <w:highlight w:val="none"/>
            </w:rPr>
            <w:fldChar w:fldCharType="separate"/>
          </w:r>
          <w:r>
            <w:rPr>
              <w:rFonts w:hint="eastAsia" w:ascii="仿宋_GB2312" w:hAnsi="仿宋_GB2312" w:eastAsia="仿宋_GB2312" w:cs="仿宋_GB2312"/>
              <w:kern w:val="0"/>
              <w:sz w:val="28"/>
              <w:szCs w:val="28"/>
              <w:highlight w:val="none"/>
            </w:rPr>
            <w:t>二、货物清单</w:t>
          </w:r>
          <w:r>
            <w:rPr>
              <w:highlight w:val="none"/>
            </w:rPr>
            <w:tab/>
          </w:r>
          <w:r>
            <w:rPr>
              <w:highlight w:val="none"/>
            </w:rPr>
            <w:fldChar w:fldCharType="begin"/>
          </w:r>
          <w:r>
            <w:rPr>
              <w:highlight w:val="none"/>
            </w:rPr>
            <w:instrText xml:space="preserve"> PAGEREF _Toc26028 \h </w:instrText>
          </w:r>
          <w:r>
            <w:rPr>
              <w:highlight w:val="none"/>
            </w:rPr>
            <w:fldChar w:fldCharType="separate"/>
          </w:r>
          <w:r>
            <w:rPr>
              <w:highlight w:val="none"/>
            </w:rPr>
            <w:t>1</w:t>
          </w:r>
          <w:r>
            <w:rPr>
              <w:highlight w:val="none"/>
            </w:rPr>
            <w:fldChar w:fldCharType="end"/>
          </w:r>
          <w:r>
            <w:rPr>
              <w:highlight w:val="none"/>
            </w:rPr>
            <w:fldChar w:fldCharType="end"/>
          </w:r>
        </w:p>
        <w:p w14:paraId="1783040C">
          <w:pPr>
            <w:pStyle w:val="8"/>
            <w:tabs>
              <w:tab w:val="right" w:leader="dot" w:pos="8306"/>
            </w:tabs>
            <w:spacing w:line="312" w:lineRule="auto"/>
            <w:rPr>
              <w:highlight w:val="none"/>
            </w:rPr>
          </w:pPr>
          <w:r>
            <w:rPr>
              <w:highlight w:val="none"/>
            </w:rPr>
            <w:fldChar w:fldCharType="begin"/>
          </w:r>
          <w:r>
            <w:rPr>
              <w:highlight w:val="none"/>
            </w:rPr>
            <w:instrText xml:space="preserve"> HYPERLINK \l "_Toc30660" </w:instrText>
          </w:r>
          <w:r>
            <w:rPr>
              <w:highlight w:val="none"/>
            </w:rPr>
            <w:fldChar w:fldCharType="separate"/>
          </w:r>
          <w:r>
            <w:rPr>
              <w:rFonts w:hint="eastAsia" w:ascii="仿宋_GB2312" w:hAnsi="仿宋_GB2312" w:eastAsia="仿宋_GB2312" w:cs="仿宋_GB2312"/>
              <w:kern w:val="0"/>
              <w:sz w:val="28"/>
              <w:szCs w:val="28"/>
              <w:highlight w:val="none"/>
            </w:rPr>
            <w:t>三、货物供应</w:t>
          </w:r>
          <w:r>
            <w:rPr>
              <w:highlight w:val="none"/>
            </w:rPr>
            <w:tab/>
          </w:r>
          <w:r>
            <w:rPr>
              <w:highlight w:val="none"/>
            </w:rPr>
            <w:fldChar w:fldCharType="begin"/>
          </w:r>
          <w:r>
            <w:rPr>
              <w:highlight w:val="none"/>
            </w:rPr>
            <w:instrText xml:space="preserve"> PAGEREF _Toc30660 \h </w:instrText>
          </w:r>
          <w:r>
            <w:rPr>
              <w:highlight w:val="none"/>
            </w:rPr>
            <w:fldChar w:fldCharType="separate"/>
          </w:r>
          <w:r>
            <w:rPr>
              <w:highlight w:val="none"/>
            </w:rPr>
            <w:t>5</w:t>
          </w:r>
          <w:r>
            <w:rPr>
              <w:highlight w:val="none"/>
            </w:rPr>
            <w:fldChar w:fldCharType="end"/>
          </w:r>
          <w:r>
            <w:rPr>
              <w:highlight w:val="none"/>
            </w:rPr>
            <w:fldChar w:fldCharType="end"/>
          </w:r>
        </w:p>
        <w:p w14:paraId="42C426F1">
          <w:pPr>
            <w:pStyle w:val="8"/>
            <w:tabs>
              <w:tab w:val="right" w:leader="dot" w:pos="8306"/>
            </w:tabs>
            <w:spacing w:line="312" w:lineRule="auto"/>
            <w:rPr>
              <w:highlight w:val="none"/>
            </w:rPr>
          </w:pPr>
          <w:r>
            <w:rPr>
              <w:highlight w:val="none"/>
            </w:rPr>
            <w:fldChar w:fldCharType="begin"/>
          </w:r>
          <w:r>
            <w:rPr>
              <w:highlight w:val="none"/>
            </w:rPr>
            <w:instrText xml:space="preserve"> HYPERLINK \l "_Toc13792" </w:instrText>
          </w:r>
          <w:r>
            <w:rPr>
              <w:highlight w:val="none"/>
            </w:rPr>
            <w:fldChar w:fldCharType="separate"/>
          </w:r>
          <w:r>
            <w:rPr>
              <w:rFonts w:hint="eastAsia" w:ascii="仿宋_GB2312" w:hAnsi="仿宋_GB2312" w:eastAsia="仿宋_GB2312" w:cs="仿宋_GB2312"/>
              <w:kern w:val="0"/>
              <w:sz w:val="28"/>
              <w:szCs w:val="28"/>
              <w:highlight w:val="none"/>
            </w:rPr>
            <w:t>四、货物质量</w:t>
          </w:r>
          <w:r>
            <w:rPr>
              <w:highlight w:val="none"/>
            </w:rPr>
            <w:tab/>
          </w:r>
          <w:r>
            <w:rPr>
              <w:highlight w:val="none"/>
            </w:rPr>
            <w:fldChar w:fldCharType="begin"/>
          </w:r>
          <w:r>
            <w:rPr>
              <w:highlight w:val="none"/>
            </w:rPr>
            <w:instrText xml:space="preserve"> PAGEREF _Toc13792 \h </w:instrText>
          </w:r>
          <w:r>
            <w:rPr>
              <w:highlight w:val="none"/>
            </w:rPr>
            <w:fldChar w:fldCharType="separate"/>
          </w:r>
          <w:r>
            <w:rPr>
              <w:highlight w:val="none"/>
            </w:rPr>
            <w:t>7</w:t>
          </w:r>
          <w:r>
            <w:rPr>
              <w:highlight w:val="none"/>
            </w:rPr>
            <w:fldChar w:fldCharType="end"/>
          </w:r>
          <w:r>
            <w:rPr>
              <w:highlight w:val="none"/>
            </w:rPr>
            <w:fldChar w:fldCharType="end"/>
          </w:r>
        </w:p>
        <w:p w14:paraId="4F429717">
          <w:pPr>
            <w:pStyle w:val="8"/>
            <w:tabs>
              <w:tab w:val="right" w:leader="dot" w:pos="8306"/>
            </w:tabs>
            <w:spacing w:line="312" w:lineRule="auto"/>
            <w:rPr>
              <w:highlight w:val="none"/>
            </w:rPr>
          </w:pPr>
          <w:r>
            <w:rPr>
              <w:highlight w:val="none"/>
            </w:rPr>
            <w:fldChar w:fldCharType="begin"/>
          </w:r>
          <w:r>
            <w:rPr>
              <w:highlight w:val="none"/>
            </w:rPr>
            <w:instrText xml:space="preserve"> HYPERLINK \l "_Toc9873" </w:instrText>
          </w:r>
          <w:r>
            <w:rPr>
              <w:highlight w:val="none"/>
            </w:rPr>
            <w:fldChar w:fldCharType="separate"/>
          </w:r>
          <w:r>
            <w:rPr>
              <w:rFonts w:hint="eastAsia" w:ascii="仿宋_GB2312" w:hAnsi="仿宋_GB2312" w:eastAsia="仿宋_GB2312" w:cs="仿宋_GB2312"/>
              <w:kern w:val="0"/>
              <w:sz w:val="28"/>
              <w:szCs w:val="28"/>
              <w:highlight w:val="none"/>
            </w:rPr>
            <w:t>五、货物验收</w:t>
          </w:r>
          <w:r>
            <w:rPr>
              <w:highlight w:val="none"/>
            </w:rPr>
            <w:tab/>
          </w:r>
          <w:r>
            <w:rPr>
              <w:highlight w:val="none"/>
            </w:rPr>
            <w:fldChar w:fldCharType="begin"/>
          </w:r>
          <w:r>
            <w:rPr>
              <w:highlight w:val="none"/>
            </w:rPr>
            <w:instrText xml:space="preserve"> PAGEREF _Toc9873 \h </w:instrText>
          </w:r>
          <w:r>
            <w:rPr>
              <w:highlight w:val="none"/>
            </w:rPr>
            <w:fldChar w:fldCharType="separate"/>
          </w:r>
          <w:r>
            <w:rPr>
              <w:highlight w:val="none"/>
            </w:rPr>
            <w:t>7</w:t>
          </w:r>
          <w:r>
            <w:rPr>
              <w:highlight w:val="none"/>
            </w:rPr>
            <w:fldChar w:fldCharType="end"/>
          </w:r>
          <w:r>
            <w:rPr>
              <w:highlight w:val="none"/>
            </w:rPr>
            <w:fldChar w:fldCharType="end"/>
          </w:r>
        </w:p>
        <w:p w14:paraId="2FBA50F4">
          <w:pPr>
            <w:pStyle w:val="8"/>
            <w:tabs>
              <w:tab w:val="right" w:leader="dot" w:pos="8306"/>
            </w:tabs>
            <w:spacing w:line="312" w:lineRule="auto"/>
            <w:rPr>
              <w:highlight w:val="none"/>
            </w:rPr>
          </w:pPr>
          <w:r>
            <w:rPr>
              <w:highlight w:val="none"/>
            </w:rPr>
            <w:fldChar w:fldCharType="begin"/>
          </w:r>
          <w:r>
            <w:rPr>
              <w:highlight w:val="none"/>
            </w:rPr>
            <w:instrText xml:space="preserve"> HYPERLINK \l "_Toc31460" </w:instrText>
          </w:r>
          <w:r>
            <w:rPr>
              <w:highlight w:val="none"/>
            </w:rPr>
            <w:fldChar w:fldCharType="separate"/>
          </w:r>
          <w:r>
            <w:rPr>
              <w:rFonts w:hint="eastAsia" w:ascii="仿宋_GB2312" w:hAnsi="仿宋_GB2312" w:eastAsia="仿宋_GB2312" w:cs="仿宋_GB2312"/>
              <w:kern w:val="0"/>
              <w:sz w:val="28"/>
              <w:szCs w:val="28"/>
              <w:highlight w:val="none"/>
            </w:rPr>
            <w:t>六、货物结算</w:t>
          </w:r>
          <w:r>
            <w:rPr>
              <w:highlight w:val="none"/>
            </w:rPr>
            <w:tab/>
          </w:r>
          <w:r>
            <w:rPr>
              <w:highlight w:val="none"/>
            </w:rPr>
            <w:fldChar w:fldCharType="begin"/>
          </w:r>
          <w:r>
            <w:rPr>
              <w:highlight w:val="none"/>
            </w:rPr>
            <w:instrText xml:space="preserve"> PAGEREF _Toc31460 \h </w:instrText>
          </w:r>
          <w:r>
            <w:rPr>
              <w:highlight w:val="none"/>
            </w:rPr>
            <w:fldChar w:fldCharType="separate"/>
          </w:r>
          <w:r>
            <w:rPr>
              <w:highlight w:val="none"/>
            </w:rPr>
            <w:t>8</w:t>
          </w:r>
          <w:r>
            <w:rPr>
              <w:highlight w:val="none"/>
            </w:rPr>
            <w:fldChar w:fldCharType="end"/>
          </w:r>
          <w:r>
            <w:rPr>
              <w:highlight w:val="none"/>
            </w:rPr>
            <w:fldChar w:fldCharType="end"/>
          </w:r>
        </w:p>
        <w:p w14:paraId="3C403EEF">
          <w:pPr>
            <w:pStyle w:val="8"/>
            <w:tabs>
              <w:tab w:val="right" w:leader="dot" w:pos="8306"/>
            </w:tabs>
            <w:spacing w:line="312" w:lineRule="auto"/>
            <w:rPr>
              <w:highlight w:val="none"/>
            </w:rPr>
          </w:pPr>
          <w:r>
            <w:rPr>
              <w:highlight w:val="none"/>
            </w:rPr>
            <w:fldChar w:fldCharType="begin"/>
          </w:r>
          <w:r>
            <w:rPr>
              <w:highlight w:val="none"/>
            </w:rPr>
            <w:instrText xml:space="preserve"> HYPERLINK \l "_Toc21607" </w:instrText>
          </w:r>
          <w:r>
            <w:rPr>
              <w:highlight w:val="none"/>
            </w:rPr>
            <w:fldChar w:fldCharType="separate"/>
          </w:r>
          <w:r>
            <w:rPr>
              <w:rFonts w:hint="eastAsia" w:ascii="仿宋_GB2312" w:hAnsi="仿宋_GB2312" w:eastAsia="仿宋_GB2312" w:cs="仿宋_GB2312"/>
              <w:kern w:val="0"/>
              <w:sz w:val="28"/>
              <w:szCs w:val="28"/>
              <w:highlight w:val="none"/>
            </w:rPr>
            <w:t>七、货物付款</w:t>
          </w:r>
          <w:r>
            <w:rPr>
              <w:highlight w:val="none"/>
            </w:rPr>
            <w:tab/>
          </w:r>
          <w:r>
            <w:rPr>
              <w:highlight w:val="none"/>
            </w:rPr>
            <w:fldChar w:fldCharType="begin"/>
          </w:r>
          <w:r>
            <w:rPr>
              <w:highlight w:val="none"/>
            </w:rPr>
            <w:instrText xml:space="preserve"> PAGEREF _Toc21607 \h </w:instrText>
          </w:r>
          <w:r>
            <w:rPr>
              <w:highlight w:val="none"/>
            </w:rPr>
            <w:fldChar w:fldCharType="separate"/>
          </w:r>
          <w:r>
            <w:rPr>
              <w:highlight w:val="none"/>
            </w:rPr>
            <w:t>10</w:t>
          </w:r>
          <w:r>
            <w:rPr>
              <w:highlight w:val="none"/>
            </w:rPr>
            <w:fldChar w:fldCharType="end"/>
          </w:r>
          <w:r>
            <w:rPr>
              <w:highlight w:val="none"/>
            </w:rPr>
            <w:fldChar w:fldCharType="end"/>
          </w:r>
        </w:p>
        <w:p w14:paraId="5F3B1015">
          <w:pPr>
            <w:pStyle w:val="8"/>
            <w:tabs>
              <w:tab w:val="right" w:leader="dot" w:pos="8306"/>
            </w:tabs>
            <w:spacing w:line="312" w:lineRule="auto"/>
            <w:rPr>
              <w:highlight w:val="none"/>
            </w:rPr>
          </w:pPr>
          <w:r>
            <w:rPr>
              <w:highlight w:val="none"/>
            </w:rPr>
            <w:fldChar w:fldCharType="begin"/>
          </w:r>
          <w:r>
            <w:rPr>
              <w:highlight w:val="none"/>
            </w:rPr>
            <w:instrText xml:space="preserve"> HYPERLINK \l "_Toc10075" </w:instrText>
          </w:r>
          <w:r>
            <w:rPr>
              <w:highlight w:val="none"/>
            </w:rPr>
            <w:fldChar w:fldCharType="separate"/>
          </w:r>
          <w:r>
            <w:rPr>
              <w:rFonts w:hint="eastAsia" w:ascii="仿宋_GB2312" w:hAnsi="仿宋_GB2312" w:eastAsia="仿宋_GB2312" w:cs="仿宋_GB2312"/>
              <w:kern w:val="0"/>
              <w:sz w:val="28"/>
              <w:szCs w:val="28"/>
              <w:highlight w:val="none"/>
            </w:rPr>
            <w:t>八、通知与送达</w:t>
          </w:r>
          <w:r>
            <w:rPr>
              <w:highlight w:val="none"/>
            </w:rPr>
            <w:tab/>
          </w:r>
          <w:r>
            <w:rPr>
              <w:highlight w:val="none"/>
            </w:rPr>
            <w:fldChar w:fldCharType="begin"/>
          </w:r>
          <w:r>
            <w:rPr>
              <w:highlight w:val="none"/>
            </w:rPr>
            <w:instrText xml:space="preserve"> PAGEREF _Toc10075 \h </w:instrText>
          </w:r>
          <w:r>
            <w:rPr>
              <w:highlight w:val="none"/>
            </w:rPr>
            <w:fldChar w:fldCharType="separate"/>
          </w:r>
          <w:r>
            <w:rPr>
              <w:highlight w:val="none"/>
            </w:rPr>
            <w:t>12</w:t>
          </w:r>
          <w:r>
            <w:rPr>
              <w:highlight w:val="none"/>
            </w:rPr>
            <w:fldChar w:fldCharType="end"/>
          </w:r>
          <w:r>
            <w:rPr>
              <w:highlight w:val="none"/>
            </w:rPr>
            <w:fldChar w:fldCharType="end"/>
          </w:r>
        </w:p>
        <w:p w14:paraId="3FF29CC5">
          <w:pPr>
            <w:pStyle w:val="8"/>
            <w:tabs>
              <w:tab w:val="right" w:leader="dot" w:pos="8306"/>
            </w:tabs>
            <w:spacing w:line="312" w:lineRule="auto"/>
            <w:rPr>
              <w:highlight w:val="none"/>
            </w:rPr>
          </w:pPr>
          <w:r>
            <w:rPr>
              <w:highlight w:val="none"/>
            </w:rPr>
            <w:fldChar w:fldCharType="begin"/>
          </w:r>
          <w:r>
            <w:rPr>
              <w:highlight w:val="none"/>
            </w:rPr>
            <w:instrText xml:space="preserve"> HYPERLINK \l "_Toc10043" </w:instrText>
          </w:r>
          <w:r>
            <w:rPr>
              <w:highlight w:val="none"/>
            </w:rPr>
            <w:fldChar w:fldCharType="separate"/>
          </w:r>
          <w:r>
            <w:rPr>
              <w:rFonts w:hint="eastAsia" w:ascii="仿宋_GB2312" w:hAnsi="仿宋_GB2312" w:eastAsia="仿宋_GB2312" w:cs="仿宋_GB2312"/>
              <w:kern w:val="0"/>
              <w:sz w:val="28"/>
              <w:szCs w:val="28"/>
              <w:highlight w:val="none"/>
            </w:rPr>
            <w:t>九、合同生效</w:t>
          </w:r>
          <w:r>
            <w:rPr>
              <w:highlight w:val="none"/>
            </w:rPr>
            <w:tab/>
          </w:r>
          <w:r>
            <w:rPr>
              <w:highlight w:val="none"/>
            </w:rPr>
            <w:fldChar w:fldCharType="begin"/>
          </w:r>
          <w:r>
            <w:rPr>
              <w:highlight w:val="none"/>
            </w:rPr>
            <w:instrText xml:space="preserve"> PAGEREF _Toc10043 \h </w:instrText>
          </w:r>
          <w:r>
            <w:rPr>
              <w:highlight w:val="none"/>
            </w:rPr>
            <w:fldChar w:fldCharType="separate"/>
          </w:r>
          <w:r>
            <w:rPr>
              <w:highlight w:val="none"/>
            </w:rPr>
            <w:t>13</w:t>
          </w:r>
          <w:r>
            <w:rPr>
              <w:highlight w:val="none"/>
            </w:rPr>
            <w:fldChar w:fldCharType="end"/>
          </w:r>
          <w:r>
            <w:rPr>
              <w:highlight w:val="none"/>
            </w:rPr>
            <w:fldChar w:fldCharType="end"/>
          </w:r>
        </w:p>
        <w:p w14:paraId="716DE167">
          <w:pPr>
            <w:pStyle w:val="8"/>
            <w:tabs>
              <w:tab w:val="right" w:leader="dot" w:pos="8306"/>
            </w:tabs>
            <w:spacing w:line="312" w:lineRule="auto"/>
            <w:rPr>
              <w:highlight w:val="none"/>
            </w:rPr>
          </w:pPr>
          <w:r>
            <w:rPr>
              <w:highlight w:val="none"/>
            </w:rPr>
            <w:fldChar w:fldCharType="begin"/>
          </w:r>
          <w:r>
            <w:rPr>
              <w:highlight w:val="none"/>
            </w:rPr>
            <w:instrText xml:space="preserve"> HYPERLINK \l "_Toc14295" </w:instrText>
          </w:r>
          <w:r>
            <w:rPr>
              <w:highlight w:val="none"/>
            </w:rPr>
            <w:fldChar w:fldCharType="separate"/>
          </w:r>
          <w:r>
            <w:rPr>
              <w:rFonts w:hint="eastAsia" w:ascii="仿宋_GB2312" w:hAnsi="仿宋_GB2312" w:eastAsia="仿宋_GB2312" w:cs="仿宋_GB2312"/>
              <w:kern w:val="0"/>
              <w:sz w:val="28"/>
              <w:szCs w:val="28"/>
              <w:highlight w:val="none"/>
            </w:rPr>
            <w:t>附件一 授权委托书</w:t>
          </w:r>
          <w:r>
            <w:rPr>
              <w:highlight w:val="none"/>
            </w:rPr>
            <w:tab/>
          </w:r>
          <w:r>
            <w:rPr>
              <w:highlight w:val="none"/>
            </w:rPr>
            <w:fldChar w:fldCharType="begin"/>
          </w:r>
          <w:r>
            <w:rPr>
              <w:highlight w:val="none"/>
            </w:rPr>
            <w:instrText xml:space="preserve"> PAGEREF _Toc14295 \h </w:instrText>
          </w:r>
          <w:r>
            <w:rPr>
              <w:highlight w:val="none"/>
            </w:rPr>
            <w:fldChar w:fldCharType="separate"/>
          </w:r>
          <w:r>
            <w:rPr>
              <w:highlight w:val="none"/>
            </w:rPr>
            <w:t>14</w:t>
          </w:r>
          <w:r>
            <w:rPr>
              <w:highlight w:val="none"/>
            </w:rPr>
            <w:fldChar w:fldCharType="end"/>
          </w:r>
          <w:r>
            <w:rPr>
              <w:highlight w:val="none"/>
            </w:rPr>
            <w:fldChar w:fldCharType="end"/>
          </w:r>
        </w:p>
        <w:p w14:paraId="1619E932">
          <w:pPr>
            <w:pStyle w:val="8"/>
            <w:tabs>
              <w:tab w:val="right" w:leader="dot" w:pos="8306"/>
            </w:tabs>
            <w:spacing w:line="312" w:lineRule="auto"/>
            <w:rPr>
              <w:highlight w:val="none"/>
            </w:rPr>
          </w:pPr>
          <w:r>
            <w:rPr>
              <w:highlight w:val="none"/>
            </w:rPr>
            <w:fldChar w:fldCharType="begin"/>
          </w:r>
          <w:r>
            <w:rPr>
              <w:highlight w:val="none"/>
            </w:rPr>
            <w:instrText xml:space="preserve"> HYPERLINK \l "_Toc9726" </w:instrText>
          </w:r>
          <w:r>
            <w:rPr>
              <w:highlight w:val="none"/>
            </w:rPr>
            <w:fldChar w:fldCharType="separate"/>
          </w:r>
          <w:r>
            <w:rPr>
              <w:rFonts w:hint="eastAsia" w:ascii="仿宋_GB2312" w:hAnsi="仿宋_GB2312" w:eastAsia="仿宋_GB2312" w:cs="仿宋_GB2312"/>
              <w:kern w:val="0"/>
              <w:sz w:val="28"/>
              <w:szCs w:val="28"/>
              <w:highlight w:val="none"/>
            </w:rPr>
            <w:t>附件二 项目部合规权限告知书</w:t>
          </w:r>
          <w:r>
            <w:rPr>
              <w:highlight w:val="none"/>
            </w:rPr>
            <w:tab/>
          </w:r>
          <w:r>
            <w:rPr>
              <w:highlight w:val="none"/>
            </w:rPr>
            <w:fldChar w:fldCharType="begin"/>
          </w:r>
          <w:r>
            <w:rPr>
              <w:highlight w:val="none"/>
            </w:rPr>
            <w:instrText xml:space="preserve"> PAGEREF _Toc9726 \h </w:instrText>
          </w:r>
          <w:r>
            <w:rPr>
              <w:highlight w:val="none"/>
            </w:rPr>
            <w:fldChar w:fldCharType="separate"/>
          </w:r>
          <w:r>
            <w:rPr>
              <w:highlight w:val="none"/>
            </w:rPr>
            <w:t>15</w:t>
          </w:r>
          <w:r>
            <w:rPr>
              <w:highlight w:val="none"/>
            </w:rPr>
            <w:fldChar w:fldCharType="end"/>
          </w:r>
          <w:r>
            <w:rPr>
              <w:highlight w:val="none"/>
            </w:rPr>
            <w:fldChar w:fldCharType="end"/>
          </w:r>
        </w:p>
        <w:p w14:paraId="21859A8D">
          <w:pPr>
            <w:pStyle w:val="8"/>
            <w:tabs>
              <w:tab w:val="right" w:leader="dot" w:pos="8306"/>
            </w:tabs>
            <w:spacing w:line="312" w:lineRule="auto"/>
            <w:rPr>
              <w:highlight w:val="none"/>
            </w:rPr>
          </w:pPr>
          <w:r>
            <w:rPr>
              <w:highlight w:val="none"/>
            </w:rPr>
            <w:fldChar w:fldCharType="begin"/>
          </w:r>
          <w:r>
            <w:rPr>
              <w:highlight w:val="none"/>
            </w:rPr>
            <w:instrText xml:space="preserve"> HYPERLINK \l "_Toc18824" </w:instrText>
          </w:r>
          <w:r>
            <w:rPr>
              <w:highlight w:val="none"/>
            </w:rPr>
            <w:fldChar w:fldCharType="separate"/>
          </w:r>
          <w:r>
            <w:rPr>
              <w:rFonts w:hint="eastAsia" w:ascii="仿宋_GB2312" w:hAnsi="仿宋_GB2312" w:eastAsia="仿宋_GB2312" w:cs="仿宋_GB2312"/>
              <w:kern w:val="0"/>
              <w:sz w:val="28"/>
              <w:szCs w:val="28"/>
              <w:highlight w:val="none"/>
            </w:rPr>
            <w:t>附件三 安全管理协议书</w:t>
          </w:r>
          <w:r>
            <w:rPr>
              <w:highlight w:val="none"/>
            </w:rPr>
            <w:tab/>
          </w:r>
          <w:r>
            <w:rPr>
              <w:highlight w:val="none"/>
            </w:rPr>
            <w:fldChar w:fldCharType="begin"/>
          </w:r>
          <w:r>
            <w:rPr>
              <w:highlight w:val="none"/>
            </w:rPr>
            <w:instrText xml:space="preserve"> PAGEREF _Toc18824 \h </w:instrText>
          </w:r>
          <w:r>
            <w:rPr>
              <w:highlight w:val="none"/>
            </w:rPr>
            <w:fldChar w:fldCharType="separate"/>
          </w:r>
          <w:r>
            <w:rPr>
              <w:highlight w:val="none"/>
            </w:rPr>
            <w:t>20</w:t>
          </w:r>
          <w:r>
            <w:rPr>
              <w:highlight w:val="none"/>
            </w:rPr>
            <w:fldChar w:fldCharType="end"/>
          </w:r>
          <w:r>
            <w:rPr>
              <w:highlight w:val="none"/>
            </w:rPr>
            <w:fldChar w:fldCharType="end"/>
          </w:r>
        </w:p>
        <w:p w14:paraId="13BF00ED">
          <w:pPr>
            <w:pStyle w:val="8"/>
            <w:tabs>
              <w:tab w:val="right" w:leader="dot" w:pos="8306"/>
            </w:tabs>
            <w:spacing w:line="312" w:lineRule="auto"/>
            <w:rPr>
              <w:highlight w:val="none"/>
            </w:rPr>
          </w:pPr>
          <w:r>
            <w:rPr>
              <w:highlight w:val="none"/>
            </w:rPr>
            <w:fldChar w:fldCharType="begin"/>
          </w:r>
          <w:r>
            <w:rPr>
              <w:highlight w:val="none"/>
            </w:rPr>
            <w:instrText xml:space="preserve"> HYPERLINK \l "_Toc27417" </w:instrText>
          </w:r>
          <w:r>
            <w:rPr>
              <w:highlight w:val="none"/>
            </w:rPr>
            <w:fldChar w:fldCharType="separate"/>
          </w:r>
          <w:r>
            <w:rPr>
              <w:rFonts w:hint="eastAsia" w:ascii="仿宋_GB2312" w:hAnsi="仿宋_GB2312" w:eastAsia="仿宋_GB2312" w:cs="仿宋_GB2312"/>
              <w:kern w:val="0"/>
              <w:sz w:val="28"/>
              <w:szCs w:val="28"/>
              <w:highlight w:val="none"/>
            </w:rPr>
            <w:t>附件四 廉洁从业共建协议</w:t>
          </w:r>
          <w:r>
            <w:rPr>
              <w:highlight w:val="none"/>
            </w:rPr>
            <w:tab/>
          </w:r>
          <w:r>
            <w:rPr>
              <w:highlight w:val="none"/>
            </w:rPr>
            <w:fldChar w:fldCharType="begin"/>
          </w:r>
          <w:r>
            <w:rPr>
              <w:highlight w:val="none"/>
            </w:rPr>
            <w:instrText xml:space="preserve"> PAGEREF _Toc27417 \h </w:instrText>
          </w:r>
          <w:r>
            <w:rPr>
              <w:highlight w:val="none"/>
            </w:rPr>
            <w:fldChar w:fldCharType="separate"/>
          </w:r>
          <w:r>
            <w:rPr>
              <w:highlight w:val="none"/>
            </w:rPr>
            <w:t>24</w:t>
          </w:r>
          <w:r>
            <w:rPr>
              <w:highlight w:val="none"/>
            </w:rPr>
            <w:fldChar w:fldCharType="end"/>
          </w:r>
          <w:r>
            <w:rPr>
              <w:highlight w:val="none"/>
            </w:rPr>
            <w:fldChar w:fldCharType="end"/>
          </w:r>
        </w:p>
        <w:p w14:paraId="0BA10CDB">
          <w:pPr>
            <w:pStyle w:val="8"/>
            <w:tabs>
              <w:tab w:val="right" w:leader="dot" w:pos="8306"/>
            </w:tabs>
            <w:spacing w:line="312" w:lineRule="auto"/>
            <w:rPr>
              <w:highlight w:val="none"/>
            </w:rPr>
          </w:pPr>
          <w:r>
            <w:rPr>
              <w:highlight w:val="none"/>
            </w:rPr>
            <w:fldChar w:fldCharType="begin"/>
          </w:r>
          <w:r>
            <w:rPr>
              <w:highlight w:val="none"/>
            </w:rPr>
            <w:instrText xml:space="preserve"> HYPERLINK \l "_Toc8006"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_Toc8006 \h </w:instrText>
          </w:r>
          <w:r>
            <w:rPr>
              <w:highlight w:val="none"/>
            </w:rPr>
            <w:fldChar w:fldCharType="separate"/>
          </w:r>
          <w:r>
            <w:rPr>
              <w:highlight w:val="none"/>
            </w:rPr>
            <w:t>27</w:t>
          </w:r>
          <w:r>
            <w:rPr>
              <w:highlight w:val="none"/>
            </w:rPr>
            <w:fldChar w:fldCharType="end"/>
          </w:r>
          <w:r>
            <w:rPr>
              <w:highlight w:val="none"/>
            </w:rPr>
            <w:fldChar w:fldCharType="end"/>
          </w:r>
        </w:p>
        <w:p w14:paraId="12774B2C">
          <w:pPr>
            <w:pStyle w:val="8"/>
            <w:tabs>
              <w:tab w:val="right" w:leader="dot" w:pos="8306"/>
            </w:tabs>
            <w:spacing w:line="312" w:lineRule="auto"/>
            <w:rPr>
              <w:highlight w:val="none"/>
            </w:rPr>
          </w:pPr>
          <w:r>
            <w:rPr>
              <w:highlight w:val="none"/>
            </w:rPr>
            <w:fldChar w:fldCharType="begin"/>
          </w:r>
          <w:r>
            <w:rPr>
              <w:highlight w:val="none"/>
            </w:rPr>
            <w:instrText xml:space="preserve"> HYPERLINK \l "_Toc16340" </w:instrText>
          </w:r>
          <w:r>
            <w:rPr>
              <w:highlight w:val="none"/>
            </w:rPr>
            <w:fldChar w:fldCharType="separate"/>
          </w:r>
          <w:r>
            <w:rPr>
              <w:rFonts w:hint="eastAsia" w:ascii="仿宋_GB2312" w:hAnsi="仿宋_GB2312" w:eastAsia="仿宋_GB2312" w:cs="仿宋_GB2312"/>
              <w:kern w:val="0"/>
              <w:sz w:val="28"/>
              <w:szCs w:val="28"/>
              <w:highlight w:val="none"/>
            </w:rPr>
            <w:t>一、货物合同附随义务</w:t>
          </w:r>
          <w:r>
            <w:rPr>
              <w:highlight w:val="none"/>
            </w:rPr>
            <w:tab/>
          </w:r>
          <w:r>
            <w:rPr>
              <w:highlight w:val="none"/>
            </w:rPr>
            <w:fldChar w:fldCharType="begin"/>
          </w:r>
          <w:r>
            <w:rPr>
              <w:highlight w:val="none"/>
            </w:rPr>
            <w:instrText xml:space="preserve"> PAGEREF _Toc16340 \h </w:instrText>
          </w:r>
          <w:r>
            <w:rPr>
              <w:highlight w:val="none"/>
            </w:rPr>
            <w:fldChar w:fldCharType="separate"/>
          </w:r>
          <w:r>
            <w:rPr>
              <w:highlight w:val="none"/>
            </w:rPr>
            <w:t>27</w:t>
          </w:r>
          <w:r>
            <w:rPr>
              <w:highlight w:val="none"/>
            </w:rPr>
            <w:fldChar w:fldCharType="end"/>
          </w:r>
          <w:r>
            <w:rPr>
              <w:highlight w:val="none"/>
            </w:rPr>
            <w:fldChar w:fldCharType="end"/>
          </w:r>
        </w:p>
        <w:p w14:paraId="46142979">
          <w:pPr>
            <w:pStyle w:val="8"/>
            <w:tabs>
              <w:tab w:val="right" w:leader="dot" w:pos="8306"/>
            </w:tabs>
            <w:spacing w:line="312" w:lineRule="auto"/>
            <w:rPr>
              <w:highlight w:val="none"/>
            </w:rPr>
          </w:pPr>
          <w:r>
            <w:rPr>
              <w:highlight w:val="none"/>
            </w:rPr>
            <w:fldChar w:fldCharType="begin"/>
          </w:r>
          <w:r>
            <w:rPr>
              <w:highlight w:val="none"/>
            </w:rPr>
            <w:instrText xml:space="preserve"> HYPERLINK \l "_Toc20440" </w:instrText>
          </w:r>
          <w:r>
            <w:rPr>
              <w:highlight w:val="none"/>
            </w:rPr>
            <w:fldChar w:fldCharType="separate"/>
          </w:r>
          <w:r>
            <w:rPr>
              <w:rFonts w:hint="eastAsia" w:ascii="仿宋_GB2312" w:hAnsi="仿宋_GB2312" w:eastAsia="仿宋_GB2312" w:cs="仿宋_GB2312"/>
              <w:kern w:val="0"/>
              <w:sz w:val="28"/>
              <w:szCs w:val="28"/>
              <w:highlight w:val="none"/>
            </w:rPr>
            <w:t>二、货物违约责任</w:t>
          </w:r>
          <w:r>
            <w:rPr>
              <w:highlight w:val="none"/>
            </w:rPr>
            <w:tab/>
          </w:r>
          <w:r>
            <w:rPr>
              <w:highlight w:val="none"/>
            </w:rPr>
            <w:fldChar w:fldCharType="begin"/>
          </w:r>
          <w:r>
            <w:rPr>
              <w:highlight w:val="none"/>
            </w:rPr>
            <w:instrText xml:space="preserve"> PAGEREF _Toc20440 \h </w:instrText>
          </w:r>
          <w:r>
            <w:rPr>
              <w:highlight w:val="none"/>
            </w:rPr>
            <w:fldChar w:fldCharType="separate"/>
          </w:r>
          <w:r>
            <w:rPr>
              <w:highlight w:val="none"/>
            </w:rPr>
            <w:t>28</w:t>
          </w:r>
          <w:r>
            <w:rPr>
              <w:highlight w:val="none"/>
            </w:rPr>
            <w:fldChar w:fldCharType="end"/>
          </w:r>
          <w:r>
            <w:rPr>
              <w:highlight w:val="none"/>
            </w:rPr>
            <w:fldChar w:fldCharType="end"/>
          </w:r>
        </w:p>
        <w:p w14:paraId="476195B7">
          <w:pPr>
            <w:pStyle w:val="8"/>
            <w:tabs>
              <w:tab w:val="right" w:leader="dot" w:pos="8306"/>
            </w:tabs>
            <w:spacing w:line="312" w:lineRule="auto"/>
            <w:rPr>
              <w:highlight w:val="none"/>
            </w:rPr>
          </w:pPr>
          <w:r>
            <w:rPr>
              <w:highlight w:val="none"/>
            </w:rPr>
            <w:fldChar w:fldCharType="begin"/>
          </w:r>
          <w:r>
            <w:rPr>
              <w:highlight w:val="none"/>
            </w:rPr>
            <w:instrText xml:space="preserve"> HYPERLINK \l "_Toc4079" </w:instrText>
          </w:r>
          <w:r>
            <w:rPr>
              <w:highlight w:val="none"/>
            </w:rPr>
            <w:fldChar w:fldCharType="separate"/>
          </w:r>
          <w:r>
            <w:rPr>
              <w:rFonts w:hint="eastAsia" w:ascii="仿宋_GB2312" w:hAnsi="仿宋_GB2312" w:eastAsia="仿宋_GB2312" w:cs="仿宋_GB2312"/>
              <w:kern w:val="0"/>
              <w:sz w:val="28"/>
              <w:szCs w:val="28"/>
              <w:highlight w:val="none"/>
            </w:rPr>
            <w:t>三、货物缺陷索赔</w:t>
          </w:r>
          <w:r>
            <w:rPr>
              <w:highlight w:val="none"/>
            </w:rPr>
            <w:tab/>
          </w:r>
          <w:r>
            <w:rPr>
              <w:highlight w:val="none"/>
            </w:rPr>
            <w:fldChar w:fldCharType="begin"/>
          </w:r>
          <w:r>
            <w:rPr>
              <w:highlight w:val="none"/>
            </w:rPr>
            <w:instrText xml:space="preserve"> PAGEREF _Toc4079 \h </w:instrText>
          </w:r>
          <w:r>
            <w:rPr>
              <w:highlight w:val="none"/>
            </w:rPr>
            <w:fldChar w:fldCharType="separate"/>
          </w:r>
          <w:r>
            <w:rPr>
              <w:highlight w:val="none"/>
            </w:rPr>
            <w:t>30</w:t>
          </w:r>
          <w:r>
            <w:rPr>
              <w:highlight w:val="none"/>
            </w:rPr>
            <w:fldChar w:fldCharType="end"/>
          </w:r>
          <w:r>
            <w:rPr>
              <w:highlight w:val="none"/>
            </w:rPr>
            <w:fldChar w:fldCharType="end"/>
          </w:r>
        </w:p>
        <w:p w14:paraId="1AF6C235">
          <w:pPr>
            <w:pStyle w:val="8"/>
            <w:tabs>
              <w:tab w:val="right" w:leader="dot" w:pos="8306"/>
            </w:tabs>
            <w:spacing w:line="312" w:lineRule="auto"/>
            <w:rPr>
              <w:highlight w:val="none"/>
            </w:rPr>
          </w:pPr>
          <w:r>
            <w:rPr>
              <w:highlight w:val="none"/>
            </w:rPr>
            <w:fldChar w:fldCharType="begin"/>
          </w:r>
          <w:r>
            <w:rPr>
              <w:highlight w:val="none"/>
            </w:rPr>
            <w:instrText xml:space="preserve"> HYPERLINK \l "_Toc28598" </w:instrText>
          </w:r>
          <w:r>
            <w:rPr>
              <w:highlight w:val="none"/>
            </w:rPr>
            <w:fldChar w:fldCharType="separate"/>
          </w:r>
          <w:r>
            <w:rPr>
              <w:rFonts w:hint="eastAsia" w:ascii="仿宋_GB2312" w:hAnsi="仿宋_GB2312" w:eastAsia="仿宋_GB2312" w:cs="仿宋_GB2312"/>
              <w:kern w:val="0"/>
              <w:sz w:val="28"/>
              <w:szCs w:val="28"/>
              <w:highlight w:val="none"/>
            </w:rPr>
            <w:t>四、合同变更</w:t>
          </w:r>
          <w:r>
            <w:rPr>
              <w:highlight w:val="none"/>
            </w:rPr>
            <w:tab/>
          </w:r>
          <w:r>
            <w:rPr>
              <w:highlight w:val="none"/>
            </w:rPr>
            <w:fldChar w:fldCharType="begin"/>
          </w:r>
          <w:r>
            <w:rPr>
              <w:highlight w:val="none"/>
            </w:rPr>
            <w:instrText xml:space="preserve"> PAGEREF _Toc28598 \h </w:instrText>
          </w:r>
          <w:r>
            <w:rPr>
              <w:highlight w:val="none"/>
            </w:rPr>
            <w:fldChar w:fldCharType="separate"/>
          </w:r>
          <w:r>
            <w:rPr>
              <w:highlight w:val="none"/>
            </w:rPr>
            <w:t>31</w:t>
          </w:r>
          <w:r>
            <w:rPr>
              <w:highlight w:val="none"/>
            </w:rPr>
            <w:fldChar w:fldCharType="end"/>
          </w:r>
          <w:r>
            <w:rPr>
              <w:highlight w:val="none"/>
            </w:rPr>
            <w:fldChar w:fldCharType="end"/>
          </w:r>
        </w:p>
        <w:p w14:paraId="51F6E439">
          <w:pPr>
            <w:pStyle w:val="8"/>
            <w:tabs>
              <w:tab w:val="right" w:leader="dot" w:pos="8306"/>
            </w:tabs>
            <w:spacing w:line="312" w:lineRule="auto"/>
            <w:rPr>
              <w:highlight w:val="none"/>
            </w:rPr>
          </w:pPr>
          <w:r>
            <w:rPr>
              <w:highlight w:val="none"/>
            </w:rPr>
            <w:fldChar w:fldCharType="begin"/>
          </w:r>
          <w:r>
            <w:rPr>
              <w:highlight w:val="none"/>
            </w:rPr>
            <w:instrText xml:space="preserve"> HYPERLINK \l "_Toc24300" </w:instrText>
          </w:r>
          <w:r>
            <w:rPr>
              <w:highlight w:val="none"/>
            </w:rPr>
            <w:fldChar w:fldCharType="separate"/>
          </w:r>
          <w:r>
            <w:rPr>
              <w:rFonts w:hint="eastAsia" w:ascii="仿宋_GB2312" w:hAnsi="仿宋_GB2312" w:eastAsia="仿宋_GB2312" w:cs="仿宋_GB2312"/>
              <w:kern w:val="0"/>
              <w:sz w:val="28"/>
              <w:szCs w:val="28"/>
              <w:highlight w:val="none"/>
            </w:rPr>
            <w:t>五、合同解除</w:t>
          </w:r>
          <w:r>
            <w:rPr>
              <w:highlight w:val="none"/>
            </w:rPr>
            <w:tab/>
          </w:r>
          <w:r>
            <w:rPr>
              <w:highlight w:val="none"/>
            </w:rPr>
            <w:fldChar w:fldCharType="begin"/>
          </w:r>
          <w:r>
            <w:rPr>
              <w:highlight w:val="none"/>
            </w:rPr>
            <w:instrText xml:space="preserve"> PAGEREF _Toc24300 \h </w:instrText>
          </w:r>
          <w:r>
            <w:rPr>
              <w:highlight w:val="none"/>
            </w:rPr>
            <w:fldChar w:fldCharType="separate"/>
          </w:r>
          <w:r>
            <w:rPr>
              <w:highlight w:val="none"/>
            </w:rPr>
            <w:t>31</w:t>
          </w:r>
          <w:r>
            <w:rPr>
              <w:highlight w:val="none"/>
            </w:rPr>
            <w:fldChar w:fldCharType="end"/>
          </w:r>
          <w:r>
            <w:rPr>
              <w:highlight w:val="none"/>
            </w:rPr>
            <w:fldChar w:fldCharType="end"/>
          </w:r>
        </w:p>
        <w:p w14:paraId="26EBAA5A">
          <w:pPr>
            <w:pStyle w:val="8"/>
            <w:tabs>
              <w:tab w:val="right" w:leader="dot" w:pos="8306"/>
            </w:tabs>
            <w:spacing w:line="312" w:lineRule="auto"/>
            <w:rPr>
              <w:highlight w:val="none"/>
            </w:rPr>
          </w:pPr>
          <w:r>
            <w:rPr>
              <w:highlight w:val="none"/>
            </w:rPr>
            <w:fldChar w:fldCharType="begin"/>
          </w:r>
          <w:r>
            <w:rPr>
              <w:highlight w:val="none"/>
            </w:rPr>
            <w:instrText xml:space="preserve"> HYPERLINK \l "_Toc22933" </w:instrText>
          </w:r>
          <w:r>
            <w:rPr>
              <w:highlight w:val="none"/>
            </w:rPr>
            <w:fldChar w:fldCharType="separate"/>
          </w:r>
          <w:r>
            <w:rPr>
              <w:rFonts w:hint="eastAsia" w:ascii="仿宋_GB2312" w:hAnsi="仿宋_GB2312" w:eastAsia="仿宋_GB2312" w:cs="仿宋_GB2312"/>
              <w:kern w:val="0"/>
              <w:sz w:val="28"/>
              <w:szCs w:val="28"/>
              <w:highlight w:val="none"/>
            </w:rPr>
            <w:t>六、不可抗力</w:t>
          </w:r>
          <w:r>
            <w:rPr>
              <w:highlight w:val="none"/>
            </w:rPr>
            <w:tab/>
          </w:r>
          <w:r>
            <w:rPr>
              <w:highlight w:val="none"/>
            </w:rPr>
            <w:fldChar w:fldCharType="begin"/>
          </w:r>
          <w:r>
            <w:rPr>
              <w:highlight w:val="none"/>
            </w:rPr>
            <w:instrText xml:space="preserve"> PAGEREF _Toc22933 \h </w:instrText>
          </w:r>
          <w:r>
            <w:rPr>
              <w:highlight w:val="none"/>
            </w:rPr>
            <w:fldChar w:fldCharType="separate"/>
          </w:r>
          <w:r>
            <w:rPr>
              <w:highlight w:val="none"/>
            </w:rPr>
            <w:t>32</w:t>
          </w:r>
          <w:r>
            <w:rPr>
              <w:highlight w:val="none"/>
            </w:rPr>
            <w:fldChar w:fldCharType="end"/>
          </w:r>
          <w:r>
            <w:rPr>
              <w:highlight w:val="none"/>
            </w:rPr>
            <w:fldChar w:fldCharType="end"/>
          </w:r>
        </w:p>
        <w:p w14:paraId="70D4EC1D">
          <w:pPr>
            <w:pStyle w:val="8"/>
            <w:tabs>
              <w:tab w:val="right" w:leader="dot" w:pos="8306"/>
            </w:tabs>
            <w:spacing w:line="312" w:lineRule="auto"/>
            <w:rPr>
              <w:highlight w:val="none"/>
            </w:rPr>
          </w:pPr>
          <w:r>
            <w:rPr>
              <w:highlight w:val="none"/>
            </w:rPr>
            <w:fldChar w:fldCharType="begin"/>
          </w:r>
          <w:r>
            <w:rPr>
              <w:highlight w:val="none"/>
            </w:rPr>
            <w:instrText xml:space="preserve"> HYPERLINK \l "_Toc29929" </w:instrText>
          </w:r>
          <w:r>
            <w:rPr>
              <w:highlight w:val="none"/>
            </w:rPr>
            <w:fldChar w:fldCharType="separate"/>
          </w:r>
          <w:r>
            <w:rPr>
              <w:rFonts w:hint="eastAsia" w:ascii="仿宋_GB2312" w:hAnsi="仿宋_GB2312" w:eastAsia="仿宋_GB2312" w:cs="仿宋_GB2312"/>
              <w:kern w:val="0"/>
              <w:sz w:val="28"/>
              <w:szCs w:val="28"/>
              <w:highlight w:val="none"/>
            </w:rPr>
            <w:t>七、争议解决</w:t>
          </w:r>
          <w:r>
            <w:rPr>
              <w:highlight w:val="none"/>
            </w:rPr>
            <w:tab/>
          </w:r>
          <w:r>
            <w:rPr>
              <w:highlight w:val="none"/>
            </w:rPr>
            <w:fldChar w:fldCharType="begin"/>
          </w:r>
          <w:r>
            <w:rPr>
              <w:highlight w:val="none"/>
            </w:rPr>
            <w:instrText xml:space="preserve"> PAGEREF _Toc29929 \h </w:instrText>
          </w:r>
          <w:r>
            <w:rPr>
              <w:highlight w:val="none"/>
            </w:rPr>
            <w:fldChar w:fldCharType="separate"/>
          </w:r>
          <w:r>
            <w:rPr>
              <w:highlight w:val="none"/>
            </w:rPr>
            <w:t>32</w:t>
          </w:r>
          <w:r>
            <w:rPr>
              <w:highlight w:val="none"/>
            </w:rPr>
            <w:fldChar w:fldCharType="end"/>
          </w:r>
          <w:r>
            <w:rPr>
              <w:highlight w:val="none"/>
            </w:rPr>
            <w:fldChar w:fldCharType="end"/>
          </w:r>
        </w:p>
        <w:p w14:paraId="1163B618">
          <w:pPr>
            <w:pStyle w:val="8"/>
            <w:tabs>
              <w:tab w:val="right" w:leader="dot" w:pos="8306"/>
            </w:tabs>
            <w:spacing w:line="312" w:lineRule="auto"/>
            <w:rPr>
              <w:highlight w:val="none"/>
            </w:rPr>
          </w:pPr>
          <w:r>
            <w:rPr>
              <w:highlight w:val="none"/>
            </w:rPr>
            <w:fldChar w:fldCharType="begin"/>
          </w:r>
          <w:r>
            <w:rPr>
              <w:highlight w:val="none"/>
            </w:rPr>
            <w:instrText xml:space="preserve"> HYPERLINK \l "_Toc5236" </w:instrText>
          </w:r>
          <w:r>
            <w:rPr>
              <w:highlight w:val="none"/>
            </w:rPr>
            <w:fldChar w:fldCharType="separate"/>
          </w:r>
          <w:r>
            <w:rPr>
              <w:rFonts w:hint="eastAsia" w:ascii="仿宋_GB2312" w:hAnsi="仿宋_GB2312" w:eastAsia="仿宋_GB2312" w:cs="仿宋_GB2312"/>
              <w:kern w:val="0"/>
              <w:sz w:val="28"/>
              <w:szCs w:val="28"/>
              <w:highlight w:val="none"/>
            </w:rPr>
            <w:t>八、保密义务</w:t>
          </w:r>
          <w:r>
            <w:rPr>
              <w:highlight w:val="none"/>
            </w:rPr>
            <w:tab/>
          </w:r>
          <w:r>
            <w:rPr>
              <w:highlight w:val="none"/>
            </w:rPr>
            <w:fldChar w:fldCharType="begin"/>
          </w:r>
          <w:r>
            <w:rPr>
              <w:highlight w:val="none"/>
            </w:rPr>
            <w:instrText xml:space="preserve"> PAGEREF _Toc5236 \h </w:instrText>
          </w:r>
          <w:r>
            <w:rPr>
              <w:highlight w:val="none"/>
            </w:rPr>
            <w:fldChar w:fldCharType="separate"/>
          </w:r>
          <w:r>
            <w:rPr>
              <w:highlight w:val="none"/>
            </w:rPr>
            <w:t>33</w:t>
          </w:r>
          <w:r>
            <w:rPr>
              <w:highlight w:val="none"/>
            </w:rPr>
            <w:fldChar w:fldCharType="end"/>
          </w:r>
          <w:r>
            <w:rPr>
              <w:highlight w:val="none"/>
            </w:rPr>
            <w:fldChar w:fldCharType="end"/>
          </w:r>
        </w:p>
        <w:p w14:paraId="29E49FDD">
          <w:pPr>
            <w:pStyle w:val="8"/>
            <w:tabs>
              <w:tab w:val="right" w:leader="dot" w:pos="8306"/>
            </w:tabs>
            <w:spacing w:line="312" w:lineRule="auto"/>
            <w:rPr>
              <w:highlight w:val="none"/>
            </w:rPr>
          </w:pPr>
          <w:r>
            <w:rPr>
              <w:highlight w:val="none"/>
            </w:rPr>
            <w:fldChar w:fldCharType="begin"/>
          </w:r>
          <w:r>
            <w:rPr>
              <w:highlight w:val="none"/>
            </w:rPr>
            <w:instrText xml:space="preserve"> HYPERLINK \l "_Toc26353" </w:instrText>
          </w:r>
          <w:r>
            <w:rPr>
              <w:highlight w:val="none"/>
            </w:rPr>
            <w:fldChar w:fldCharType="separate"/>
          </w:r>
          <w:r>
            <w:rPr>
              <w:rFonts w:hint="eastAsia" w:ascii="仿宋_GB2312" w:hAnsi="仿宋_GB2312" w:eastAsia="仿宋_GB2312" w:cs="仿宋_GB2312"/>
              <w:kern w:val="0"/>
              <w:sz w:val="28"/>
              <w:szCs w:val="28"/>
              <w:highlight w:val="none"/>
            </w:rPr>
            <w:t>九、其他条款</w:t>
          </w:r>
          <w:r>
            <w:rPr>
              <w:highlight w:val="none"/>
            </w:rPr>
            <w:tab/>
          </w:r>
          <w:r>
            <w:rPr>
              <w:highlight w:val="none"/>
            </w:rPr>
            <w:fldChar w:fldCharType="begin"/>
          </w:r>
          <w:r>
            <w:rPr>
              <w:highlight w:val="none"/>
            </w:rPr>
            <w:instrText xml:space="preserve"> PAGEREF _Toc26353 \h </w:instrText>
          </w:r>
          <w:r>
            <w:rPr>
              <w:highlight w:val="none"/>
            </w:rPr>
            <w:fldChar w:fldCharType="separate"/>
          </w:r>
          <w:r>
            <w:rPr>
              <w:highlight w:val="none"/>
            </w:rPr>
            <w:t>33</w:t>
          </w:r>
          <w:r>
            <w:rPr>
              <w:highlight w:val="none"/>
            </w:rPr>
            <w:fldChar w:fldCharType="end"/>
          </w:r>
          <w:r>
            <w:rPr>
              <w:highlight w:val="none"/>
            </w:rPr>
            <w:fldChar w:fldCharType="end"/>
          </w:r>
        </w:p>
        <w:p w14:paraId="70F5B1F6">
          <w:pPr>
            <w:pStyle w:val="12"/>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fldChar w:fldCharType="end"/>
          </w:r>
          <w:permEnd w:id="4"/>
        </w:p>
      </w:sdtContent>
    </w:sdt>
    <w:p w14:paraId="44540292">
      <w:pPr>
        <w:pStyle w:val="12"/>
        <w:rPr>
          <w:rFonts w:ascii="仿宋_GB2312" w:hAnsi="仿宋_GB2312" w:eastAsia="仿宋_GB2312" w:cs="仿宋_GB2312"/>
          <w:b/>
          <w:bCs/>
          <w:color w:val="000000" w:themeColor="text1"/>
          <w:highlight w:val="none"/>
          <w14:textFill>
            <w14:solidFill>
              <w14:schemeClr w14:val="tx1"/>
            </w14:solidFill>
          </w14:textFill>
        </w:rPr>
      </w:pPr>
    </w:p>
    <w:p w14:paraId="74C8C410">
      <w:pPr>
        <w:pStyle w:val="12"/>
        <w:rPr>
          <w:rFonts w:ascii="仿宋_GB2312" w:hAnsi="仿宋_GB2312" w:eastAsia="仿宋_GB2312" w:cs="仿宋_GB2312"/>
          <w:b/>
          <w:bCs/>
          <w:color w:val="000000" w:themeColor="text1"/>
          <w:highlight w:val="none"/>
          <w14:textFill>
            <w14:solidFill>
              <w14:schemeClr w14:val="tx1"/>
            </w14:solidFill>
          </w14:textFill>
        </w:rPr>
      </w:pPr>
    </w:p>
    <w:p w14:paraId="275151A7">
      <w:pPr>
        <w:pStyle w:val="12"/>
        <w:jc w:val="center"/>
        <w:rPr>
          <w:rFonts w:ascii="黑体" w:hAnsi="黑体" w:eastAsia="黑体" w:cs="黑体"/>
          <w:b/>
          <w:bCs/>
          <w:color w:val="000000" w:themeColor="text1"/>
          <w:sz w:val="32"/>
          <w:szCs w:val="32"/>
          <w:highlight w:val="none"/>
          <w14:textFill>
            <w14:solidFill>
              <w14:schemeClr w14:val="tx1"/>
            </w14:solidFill>
          </w14:textFill>
        </w:rPr>
        <w:sectPr>
          <w:headerReference r:id="rId7" w:type="default"/>
          <w:footerReference r:id="rId8" w:type="default"/>
          <w:pgSz w:w="11906" w:h="16838"/>
          <w:pgMar w:top="1440" w:right="1800" w:bottom="1440" w:left="1800" w:header="850" w:footer="975" w:gutter="0"/>
          <w:pgNumType w:start="1"/>
          <w:cols w:space="0" w:num="1"/>
          <w:docGrid w:linePitch="312" w:charSpace="0"/>
        </w:sectPr>
      </w:pPr>
      <w:bookmarkStart w:id="2" w:name="_Toc22574"/>
      <w:bookmarkStart w:id="3" w:name="_Hlk127188610"/>
    </w:p>
    <w:p w14:paraId="2C6755D9">
      <w:pPr>
        <w:pStyle w:val="12"/>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4" w:name="_Toc9634"/>
      <w:bookmarkStart w:id="5" w:name="_Toc27554"/>
      <w:r>
        <w:rPr>
          <w:rFonts w:hint="eastAsia" w:ascii="黑体" w:hAnsi="黑体" w:eastAsia="黑体" w:cs="黑体"/>
          <w:b/>
          <w:bCs/>
          <w:color w:val="000000" w:themeColor="text1"/>
          <w:sz w:val="32"/>
          <w:szCs w:val="32"/>
          <w:highlight w:val="none"/>
          <w14:textFill>
            <w14:solidFill>
              <w14:schemeClr w14:val="tx1"/>
            </w14:solidFill>
          </w14:textFill>
        </w:rPr>
        <w:t>第一部分</w:t>
      </w:r>
      <w:bookmarkEnd w:id="2"/>
      <w:r>
        <w:rPr>
          <w:rFonts w:hint="eastAsia" w:ascii="黑体" w:hAnsi="黑体" w:eastAsia="黑体" w:cs="黑体"/>
          <w:b/>
          <w:bCs/>
          <w:color w:val="000000" w:themeColor="text1"/>
          <w:sz w:val="32"/>
          <w:szCs w:val="32"/>
          <w:highlight w:val="none"/>
          <w14:textFill>
            <w14:solidFill>
              <w14:schemeClr w14:val="tx1"/>
            </w14:solidFill>
          </w14:textFill>
        </w:rPr>
        <w:t xml:space="preserve"> 专用条款</w:t>
      </w:r>
      <w:bookmarkEnd w:id="4"/>
      <w:bookmarkEnd w:id="5"/>
    </w:p>
    <w:bookmarkEnd w:id="3"/>
    <w:p w14:paraId="112CD8F2">
      <w:pPr>
        <w:pStyle w:val="12"/>
        <w:spacing w:before="240" w:beforeLines="100"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甲方（买方）： </w:t>
      </w:r>
      <w:permStart w:id="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中建</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集团有限公司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
    </w:p>
    <w:p w14:paraId="047C9FEF">
      <w:pPr>
        <w:pStyle w:val="12"/>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乙方（卖方）：</w:t>
      </w:r>
      <w:permStart w:id="6" w:edGrp="everyone"/>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
    </w:p>
    <w:p w14:paraId="3D782D6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根据《中华人民共和国民法典》及有关法律规定，遵循平等、自愿、公平和诚实信用的原则，在对本合同进行充分理解的基础上，双方经友好协商一致，订立本合同并共同遵守。</w:t>
      </w:r>
    </w:p>
    <w:p w14:paraId="4B3F4EE0">
      <w:pPr>
        <w:pStyle w:val="12"/>
        <w:numPr>
          <w:ilvl w:val="0"/>
          <w:numId w:val="1"/>
        </w:numPr>
        <w:spacing w:before="120" w:beforeLines="50" w:after="120" w:afterLines="50" w:line="400" w:lineRule="atLeast"/>
        <w:outlineLvl w:val="0"/>
        <w:rPr>
          <w:rFonts w:ascii="仿宋_GB2312" w:hAnsi="仿宋_GB2312" w:eastAsia="仿宋_GB2312" w:cs="仿宋_GB2312"/>
          <w:b/>
          <w:bCs/>
          <w:color w:val="000000" w:themeColor="text1"/>
          <w:highlight w:val="none"/>
          <w14:textFill>
            <w14:solidFill>
              <w14:schemeClr w14:val="tx1"/>
            </w14:solidFill>
          </w14:textFill>
        </w:rPr>
      </w:pPr>
      <w:bookmarkStart w:id="6" w:name="_Toc16990"/>
      <w:bookmarkStart w:id="7" w:name="_Toc17004"/>
      <w:r>
        <w:rPr>
          <w:rFonts w:hint="eastAsia" w:ascii="仿宋_GB2312" w:hAnsi="仿宋_GB2312" w:eastAsia="仿宋_GB2312" w:cs="仿宋_GB2312"/>
          <w:b/>
          <w:bCs/>
          <w:color w:val="000000" w:themeColor="text1"/>
          <w:highlight w:val="none"/>
          <w14:textFill>
            <w14:solidFill>
              <w14:schemeClr w14:val="tx1"/>
            </w14:solidFill>
          </w14:textFill>
        </w:rPr>
        <w:t>工程概况</w:t>
      </w:r>
      <w:bookmarkEnd w:id="1"/>
      <w:bookmarkEnd w:id="6"/>
      <w:bookmarkEnd w:id="7"/>
    </w:p>
    <w:p w14:paraId="4CE17B0A">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1、工程名称：</w:t>
      </w:r>
      <w:permStart w:id="7"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昌都市卡若区嘎玛乡达那村公路工程</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7"/>
      <w:r>
        <w:rPr>
          <w:rFonts w:hint="eastAsia" w:ascii="仿宋_GB2312" w:hAnsi="仿宋_GB2312" w:eastAsia="仿宋_GB2312" w:cs="仿宋_GB2312"/>
          <w:color w:val="000000" w:themeColor="text1"/>
          <w:highlight w:val="none"/>
          <w14:textFill>
            <w14:solidFill>
              <w14:schemeClr w14:val="tx1"/>
            </w14:solidFill>
          </w14:textFill>
        </w:rPr>
        <w:t>；</w:t>
      </w:r>
    </w:p>
    <w:p w14:paraId="6C989748">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2、工程地点：</w:t>
      </w:r>
      <w:permStart w:id="8"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昌都市卡若区嘎玛乡</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8"/>
      <w:r>
        <w:rPr>
          <w:rFonts w:hint="eastAsia" w:ascii="仿宋_GB2312" w:hAnsi="仿宋_GB2312" w:eastAsia="仿宋_GB2312" w:cs="仿宋_GB2312"/>
          <w:color w:val="000000" w:themeColor="text1"/>
          <w:highlight w:val="none"/>
          <w14:textFill>
            <w14:solidFill>
              <w14:schemeClr w14:val="tx1"/>
            </w14:solidFill>
          </w14:textFill>
        </w:rPr>
        <w:t>；</w:t>
      </w:r>
    </w:p>
    <w:p w14:paraId="1B67FE2A">
      <w:pPr>
        <w:pStyle w:val="12"/>
        <w:numPr>
          <w:ilvl w:val="0"/>
          <w:numId w:val="1"/>
        </w:numPr>
        <w:spacing w:before="120" w:beforeLines="50" w:after="120" w:afterLines="50" w:line="400" w:lineRule="atLeast"/>
        <w:outlineLvl w:val="0"/>
        <w:rPr>
          <w:rFonts w:ascii="仿宋_GB2312" w:hAnsi="仿宋_GB2312" w:eastAsia="仿宋_GB2312" w:cs="仿宋_GB2312"/>
          <w:b/>
          <w:bCs/>
          <w:color w:val="000000" w:themeColor="text1"/>
          <w:highlight w:val="none"/>
          <w14:textFill>
            <w14:solidFill>
              <w14:schemeClr w14:val="tx1"/>
            </w14:solidFill>
          </w14:textFill>
        </w:rPr>
      </w:pPr>
      <w:bookmarkStart w:id="8" w:name="_Toc14548"/>
      <w:bookmarkStart w:id="9" w:name="_Toc2931"/>
      <w:bookmarkStart w:id="10" w:name="_Toc26028"/>
      <w:r>
        <w:rPr>
          <w:rFonts w:hint="eastAsia" w:ascii="仿宋_GB2312" w:hAnsi="仿宋_GB2312" w:eastAsia="仿宋_GB2312" w:cs="仿宋_GB2312"/>
          <w:b/>
          <w:bCs/>
          <w:color w:val="000000" w:themeColor="text1"/>
          <w:highlight w:val="none"/>
          <w14:textFill>
            <w14:solidFill>
              <w14:schemeClr w14:val="tx1"/>
            </w14:solidFill>
          </w14:textFill>
        </w:rPr>
        <w:t>货物清单</w:t>
      </w:r>
      <w:bookmarkEnd w:id="8"/>
      <w:bookmarkEnd w:id="9"/>
      <w:bookmarkEnd w:id="10"/>
    </w:p>
    <w:tbl>
      <w:tblPr>
        <w:tblStyle w:val="9"/>
        <w:tblW w:w="14395" w:type="dxa"/>
        <w:jc w:val="center"/>
        <w:tblLayout w:type="fixed"/>
        <w:tblCellMar>
          <w:top w:w="0" w:type="dxa"/>
          <w:left w:w="108" w:type="dxa"/>
          <w:bottom w:w="0" w:type="dxa"/>
          <w:right w:w="108" w:type="dxa"/>
        </w:tblCellMar>
      </w:tblPr>
      <w:tblGrid>
        <w:gridCol w:w="429"/>
        <w:gridCol w:w="1149"/>
        <w:gridCol w:w="1010"/>
        <w:gridCol w:w="1503"/>
        <w:gridCol w:w="857"/>
        <w:gridCol w:w="2172"/>
        <w:gridCol w:w="1178"/>
        <w:gridCol w:w="780"/>
        <w:gridCol w:w="1228"/>
        <w:gridCol w:w="642"/>
        <w:gridCol w:w="1052"/>
        <w:gridCol w:w="1325"/>
        <w:gridCol w:w="1070"/>
      </w:tblGrid>
      <w:tr w14:paraId="296F618F">
        <w:tblPrEx>
          <w:tblCellMar>
            <w:top w:w="0" w:type="dxa"/>
            <w:left w:w="108" w:type="dxa"/>
            <w:bottom w:w="0" w:type="dxa"/>
            <w:right w:w="108" w:type="dxa"/>
          </w:tblCellMar>
        </w:tblPrEx>
        <w:trPr>
          <w:trHeight w:val="606"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467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ermStart w:id="9" w:edGrp="everyone"/>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B16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货物名称</w:t>
            </w:r>
          </w:p>
        </w:tc>
        <w:tc>
          <w:tcPr>
            <w:tcW w:w="2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ECEF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运输车辆</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F31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计量单位</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784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计量规则</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D66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6C8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运距</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911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不含增值税综合单价（元）</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05EB">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增值税率</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268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 xml:space="preserve">含增值税综合单价（元） </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FC1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含增值税合价</w:t>
            </w:r>
          </w:p>
          <w:p w14:paraId="1F73A34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C34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6EF42001">
        <w:tblPrEx>
          <w:tblCellMar>
            <w:top w:w="0" w:type="dxa"/>
            <w:left w:w="108" w:type="dxa"/>
            <w:bottom w:w="0" w:type="dxa"/>
            <w:right w:w="108" w:type="dxa"/>
          </w:tblCellMar>
        </w:tblPrEx>
        <w:trPr>
          <w:trHeight w:val="288"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4FB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68CE">
            <w:pPr>
              <w:widowControl/>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砂砾</w:t>
            </w:r>
          </w:p>
        </w:tc>
        <w:tc>
          <w:tcPr>
            <w:tcW w:w="2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3DA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9D7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m³</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52C0">
            <w:pPr>
              <w:widowControl/>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以车辆车斗容量为准</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28E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55459.52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FA6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11.42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7346">
            <w:pPr>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58EC">
            <w:pPr>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21EA">
            <w:pPr>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1799">
            <w:pPr>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3586">
            <w:pPr>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791BCCF">
        <w:tblPrEx>
          <w:tblCellMar>
            <w:top w:w="0" w:type="dxa"/>
            <w:left w:w="108" w:type="dxa"/>
            <w:bottom w:w="0" w:type="dxa"/>
            <w:right w:w="108" w:type="dxa"/>
          </w:tblCellMar>
        </w:tblPrEx>
        <w:trPr>
          <w:trHeight w:val="288"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12D4">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B7A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细土</w:t>
            </w:r>
          </w:p>
        </w:tc>
        <w:tc>
          <w:tcPr>
            <w:tcW w:w="2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0057">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1D7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m³</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422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以车辆车斗容量为准</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448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2339.19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42B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11.42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68DF">
            <w:pPr>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7165">
            <w:pPr>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F8D0">
            <w:pPr>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57AA">
            <w:pPr>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B15E">
            <w:pPr>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2D68CF2">
        <w:tblPrEx>
          <w:tblCellMar>
            <w:top w:w="0" w:type="dxa"/>
            <w:left w:w="108" w:type="dxa"/>
            <w:bottom w:w="0" w:type="dxa"/>
            <w:right w:w="108" w:type="dxa"/>
          </w:tblCellMar>
        </w:tblPrEx>
        <w:trPr>
          <w:trHeight w:val="288"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AFD4">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EEF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片石</w:t>
            </w:r>
          </w:p>
        </w:tc>
        <w:tc>
          <w:tcPr>
            <w:tcW w:w="2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6DC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E0C7">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m³</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784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以车辆车斗容量为准</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EB8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34857.00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321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11.42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C7BE">
            <w:pPr>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2CA0">
            <w:pPr>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5D2F">
            <w:pPr>
              <w:jc w:val="center"/>
              <w:rPr>
                <w:rFonts w:ascii="仿宋_GB2312" w:hAnsi="仿宋_GB2312" w:eastAsia="仿宋_GB2312" w:cs="仿宋_GB2312"/>
                <w:color w:val="000000" w:themeColor="text1"/>
                <w:sz w:val="18"/>
                <w:szCs w:val="18"/>
                <w:highlight w:val="none"/>
                <w14:textFill>
                  <w14:solidFill>
                    <w14:schemeClr w14:val="tx1"/>
                  </w14:solidFill>
                </w14:textFill>
              </w:rPr>
            </w:pPr>
            <w:bookmarkStart w:id="136" w:name="_GoBack"/>
            <w:bookmarkEnd w:id="136"/>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0BF7">
            <w:pPr>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F704">
            <w:pPr>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85A2448">
        <w:tblPrEx>
          <w:tblCellMar>
            <w:top w:w="0" w:type="dxa"/>
            <w:left w:w="108" w:type="dxa"/>
            <w:bottom w:w="0" w:type="dxa"/>
            <w:right w:w="108" w:type="dxa"/>
          </w:tblCellMar>
        </w:tblPrEx>
        <w:trPr>
          <w:trHeight w:val="245"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E2D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009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碎石</w:t>
            </w:r>
          </w:p>
        </w:tc>
        <w:tc>
          <w:tcPr>
            <w:tcW w:w="2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833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914F">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m³</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AC6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以车辆车斗容量为准</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DAE5">
            <w:pPr>
              <w:widowControl/>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8000.00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406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11.42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4F17">
            <w:pPr>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9471">
            <w:pPr>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C545">
            <w:pPr>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46B8">
            <w:pPr>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7DCD">
            <w:pPr>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EFE6610">
        <w:tblPrEx>
          <w:tblCellMar>
            <w:top w:w="0" w:type="dxa"/>
            <w:left w:w="108" w:type="dxa"/>
            <w:bottom w:w="0" w:type="dxa"/>
            <w:right w:w="108" w:type="dxa"/>
          </w:tblCellMar>
        </w:tblPrEx>
        <w:trPr>
          <w:trHeight w:val="833" w:hRule="atLeast"/>
          <w:jc w:val="center"/>
        </w:trPr>
        <w:tc>
          <w:tcPr>
            <w:tcW w:w="2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03766">
            <w:pPr>
              <w:spacing w:line="480" w:lineRule="exac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不含税合计（暂估）</w:t>
            </w:r>
          </w:p>
        </w:tc>
        <w:tc>
          <w:tcPr>
            <w:tcW w:w="118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549C17">
            <w:pPr>
              <w:spacing w:line="480" w:lineRule="exac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1DEA6EDC">
        <w:tblPrEx>
          <w:tblCellMar>
            <w:top w:w="0" w:type="dxa"/>
            <w:left w:w="108" w:type="dxa"/>
            <w:bottom w:w="0" w:type="dxa"/>
            <w:right w:w="108" w:type="dxa"/>
          </w:tblCellMar>
        </w:tblPrEx>
        <w:trPr>
          <w:trHeight w:val="318" w:hRule="atLeast"/>
          <w:jc w:val="center"/>
        </w:trPr>
        <w:tc>
          <w:tcPr>
            <w:tcW w:w="2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A331E">
            <w:pPr>
              <w:spacing w:line="480" w:lineRule="exact"/>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lang w:val="en-US" w:eastAsia="zh-CN"/>
                <w14:textFill>
                  <w14:solidFill>
                    <w14:schemeClr w14:val="tx1"/>
                  </w14:solidFill>
                </w14:textFill>
              </w:rPr>
              <w:t>税金合</w:t>
            </w:r>
            <w:r>
              <w:rPr>
                <w:rFonts w:hint="eastAsia" w:ascii="仿宋_GB2312" w:hAnsi="仿宋_GB2312" w:eastAsia="仿宋_GB2312" w:cs="仿宋_GB2312"/>
                <w:b/>
                <w:bCs/>
                <w:color w:val="000000" w:themeColor="text1"/>
                <w:sz w:val="18"/>
                <w:szCs w:val="18"/>
                <w:highlight w:val="none"/>
                <w14:textFill>
                  <w14:solidFill>
                    <w14:schemeClr w14:val="tx1"/>
                  </w14:solidFill>
                </w14:textFill>
              </w:rPr>
              <w:t>计（暂估）</w:t>
            </w:r>
          </w:p>
        </w:tc>
        <w:tc>
          <w:tcPr>
            <w:tcW w:w="118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F52F40">
            <w:pPr>
              <w:spacing w:line="480" w:lineRule="exact"/>
              <w:rPr>
                <w:rFonts w:ascii="仿宋_GB2312" w:hAnsi="仿宋_GB2312" w:eastAsia="仿宋_GB2312" w:cs="仿宋_GB2312"/>
                <w:color w:val="000000" w:themeColor="text1"/>
                <w:sz w:val="18"/>
                <w:szCs w:val="18"/>
                <w:highlight w:val="none"/>
                <w14:textFill>
                  <w14:solidFill>
                    <w14:schemeClr w14:val="tx1"/>
                  </w14:solidFill>
                </w14:textFill>
              </w:rPr>
            </w:pPr>
            <w:sdt>
              <w:sdtPr>
                <w:rPr>
                  <w:rFonts w:hint="eastAsia" w:ascii="仿宋_GB2312" w:hAnsi="仿宋_GB2312" w:eastAsia="仿宋_GB2312" w:cs="仿宋_GB2312"/>
                  <w:color w:val="000000" w:themeColor="text1"/>
                  <w:sz w:val="18"/>
                  <w:szCs w:val="18"/>
                  <w:highlight w:val="none"/>
                  <w14:textFill>
                    <w14:solidFill>
                      <w14:schemeClr w14:val="tx1"/>
                    </w14:solidFill>
                  </w14:textFill>
                </w:rPr>
                <w:id w:val="147461616"/>
                <w:placeholder>
                  <w:docPart w:val="{a81493e8-5ff4-483a-8f19-cb218a9fe392}"/>
                </w:placeholder>
              </w:sdtPr>
              <w:sdtEndPr>
                <w:rPr>
                  <w:rFonts w:hint="eastAsia" w:ascii="仿宋_GB2312" w:hAnsi="仿宋_GB2312" w:eastAsia="仿宋_GB2312" w:cs="仿宋_GB2312"/>
                  <w:color w:val="000000" w:themeColor="text1"/>
                  <w:sz w:val="18"/>
                  <w:szCs w:val="18"/>
                  <w:highlight w:val="none"/>
                  <w14:textFill>
                    <w14:solidFill>
                      <w14:schemeClr w14:val="tx1"/>
                    </w14:solidFill>
                  </w14:textFill>
                </w:rPr>
              </w:sdtEndPr>
              <w:sdtContent>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sdtContent>
            </w:sdt>
          </w:p>
        </w:tc>
      </w:tr>
      <w:tr w14:paraId="3DAFEF15">
        <w:tblPrEx>
          <w:tblCellMar>
            <w:top w:w="0" w:type="dxa"/>
            <w:left w:w="108" w:type="dxa"/>
            <w:bottom w:w="0" w:type="dxa"/>
            <w:right w:w="108" w:type="dxa"/>
          </w:tblCellMar>
        </w:tblPrEx>
        <w:trPr>
          <w:trHeight w:val="318" w:hRule="atLeast"/>
          <w:jc w:val="center"/>
        </w:trPr>
        <w:tc>
          <w:tcPr>
            <w:tcW w:w="2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38D406">
            <w:pPr>
              <w:spacing w:line="480" w:lineRule="exact"/>
              <w:jc w:val="center"/>
              <w:rPr>
                <w:rFonts w:hint="eastAsia"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含税合计（暂估）</w:t>
            </w:r>
          </w:p>
        </w:tc>
        <w:tc>
          <w:tcPr>
            <w:tcW w:w="118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17FAD5">
            <w:pPr>
              <w:spacing w:line="480" w:lineRule="exact"/>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r>
              <w:rPr>
                <w:rFonts w:hint="eastAsia" w:ascii="仿宋_GB2312" w:hAnsi="仿宋_GB2312" w:eastAsia="仿宋_GB2312" w:cs="仿宋_GB2312"/>
                <w:color w:val="000000" w:themeColor="text1"/>
                <w:sz w:val="18"/>
                <w:szCs w:val="18"/>
                <w:highlight w:val="none"/>
                <w14:textFill>
                  <w14:solidFill>
                    <w14:schemeClr w14:val="tx1"/>
                  </w14:solidFill>
                </w14:textFill>
              </w:rPr>
              <w:t xml:space="preserve">   </w:t>
            </w:r>
          </w:p>
        </w:tc>
      </w:tr>
      <w:permEnd w:id="9"/>
    </w:tbl>
    <w:p w14:paraId="7D2DA67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说明：</w:t>
      </w:r>
    </w:p>
    <w:p w14:paraId="14AACD4A">
      <w:pPr>
        <w:pStyle w:val="12"/>
        <w:numPr>
          <w:ilvl w:val="0"/>
          <w:numId w:val="2"/>
        </w:numPr>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合同单价：</w:t>
      </w:r>
      <w:r>
        <w:rPr>
          <w:rFonts w:hint="eastAsia" w:ascii="仿宋_GB2312" w:hAnsi="仿宋_GB2312" w:eastAsia="仿宋_GB2312" w:cs="仿宋_GB2312"/>
          <w:color w:val="000000" w:themeColor="text1"/>
          <w:highlight w:val="none"/>
          <w14:textFill>
            <w14:solidFill>
              <w14:schemeClr w14:val="tx1"/>
            </w14:solidFill>
          </w14:textFill>
        </w:rPr>
        <w:t>本合同综合单价适用第</w:t>
      </w:r>
      <w:permStart w:id="1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1.1</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0"/>
      <w:r>
        <w:rPr>
          <w:rFonts w:hint="eastAsia" w:ascii="仿宋_GB2312" w:hAnsi="仿宋_GB2312" w:eastAsia="仿宋_GB2312" w:cs="仿宋_GB2312"/>
          <w:color w:val="000000" w:themeColor="text1"/>
          <w:highlight w:val="none"/>
          <w14:textFill>
            <w14:solidFill>
              <w14:schemeClr w14:val="tx1"/>
            </w14:solidFill>
          </w14:textFill>
        </w:rPr>
        <w:t>条</w:t>
      </w:r>
    </w:p>
    <w:p w14:paraId="2B1360CF">
      <w:pPr>
        <w:pStyle w:val="12"/>
        <w:numPr>
          <w:ilvl w:val="255"/>
          <w:numId w:val="0"/>
        </w:numPr>
        <w:spacing w:line="48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1.1本合同为固定单价合同；</w:t>
      </w:r>
    </w:p>
    <w:p w14:paraId="11C7A1D3">
      <w:pPr>
        <w:pStyle w:val="12"/>
        <w:numPr>
          <w:ilvl w:val="255"/>
          <w:numId w:val="0"/>
        </w:numPr>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 xml:space="preserve"> 材料运输：按照导航最近距离计算</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如因施工现场实际情况需要调整运输路线，以甲方项目现场责任工程师和生产经理当日签认的运距计算</w:t>
      </w:r>
      <w:r>
        <w:rPr>
          <w:rFonts w:hint="eastAsia" w:ascii="仿宋_GB2312" w:hAnsi="仿宋_GB2312" w:eastAsia="仿宋_GB2312" w:cs="仿宋_GB2312"/>
          <w:color w:val="000000" w:themeColor="text1"/>
          <w:highlight w:val="none"/>
          <w14:textFill>
            <w14:solidFill>
              <w14:schemeClr w14:val="tx1"/>
            </w14:solidFill>
          </w14:textFill>
        </w:rPr>
        <w:t>。</w:t>
      </w:r>
    </w:p>
    <w:p w14:paraId="4EBA8750">
      <w:pPr>
        <w:pStyle w:val="12"/>
        <w:numPr>
          <w:ilvl w:val="255"/>
          <w:numId w:val="0"/>
        </w:numPr>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以上2种</w:t>
      </w:r>
      <w:r>
        <w:rPr>
          <w:rFonts w:hint="eastAsia" w:ascii="仿宋_GB2312" w:hAnsi="仿宋_GB2312" w:eastAsia="仿宋_GB2312" w:cs="仿宋_GB2312"/>
          <w:color w:val="000000" w:themeColor="text1"/>
          <w:highlight w:val="none"/>
          <w14:textFill>
            <w14:solidFill>
              <w14:schemeClr w14:val="tx1"/>
            </w14:solidFill>
          </w14:textFill>
        </w:rPr>
        <w:t>合同价款所包含的内容，但不限于：</w:t>
      </w:r>
    </w:p>
    <w:p w14:paraId="6D7F0AFF">
      <w:pPr>
        <w:pStyle w:val="12"/>
        <w:numPr>
          <w:ilvl w:val="255"/>
          <w:numId w:val="0"/>
        </w:numPr>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（1）包含乙方（工地外部）与环卫、交管、城管等部门办理各种手续和费用以及与周边居民的协调工作。</w:t>
      </w:r>
    </w:p>
    <w:p w14:paraId="65A48193">
      <w:pPr>
        <w:pStyle w:val="12"/>
        <w:numPr>
          <w:ilvl w:val="255"/>
          <w:numId w:val="0"/>
        </w:numPr>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（2）包含车辆等运输造成的道路污染的清理及维修费用，并承担由此引起环卫、市容、交管、城管等部门罚款等经济责任。</w:t>
      </w:r>
    </w:p>
    <w:p w14:paraId="2E97DB92">
      <w:pPr>
        <w:pStyle w:val="12"/>
        <w:numPr>
          <w:ilvl w:val="255"/>
          <w:numId w:val="0"/>
        </w:numPr>
        <w:spacing w:line="480" w:lineRule="exact"/>
        <w:ind w:left="479" w:leftChars="228"/>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运输建筑垃圾、生活垃圾或拉料时，若在工地外发生交通事故，一切责任由乙方负责；若在工地内部发生则由责任方负责。（4）乙方车辆每次进出施工现场时，应自行负责清洗车辆,合同单价中已包含此项费用。</w:t>
      </w:r>
    </w:p>
    <w:p w14:paraId="306AE42C">
      <w:pPr>
        <w:pStyle w:val="12"/>
        <w:numPr>
          <w:ilvl w:val="255"/>
          <w:numId w:val="0"/>
        </w:numPr>
        <w:spacing w:line="48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（5）运输过程中，乙方施工人员的吃、住、行所发生的费用均由承运方自行解决。</w:t>
      </w:r>
    </w:p>
    <w:p w14:paraId="0FE52216">
      <w:pPr>
        <w:pStyle w:val="12"/>
        <w:numPr>
          <w:ilvl w:val="255"/>
          <w:numId w:val="0"/>
        </w:numPr>
        <w:spacing w:line="480" w:lineRule="exac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6）运输车辆装货前车厢内外清理费用，运输前涂刷隔离剂（如需）费用，运输后车厢内清理用。</w:t>
      </w:r>
    </w:p>
    <w:p w14:paraId="46A48BF9">
      <w:pPr>
        <w:pStyle w:val="12"/>
        <w:numPr>
          <w:ilvl w:val="255"/>
          <w:numId w:val="0"/>
        </w:numPr>
        <w:spacing w:line="480" w:lineRule="exac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（7）车厢、罐体的保温层（如需）费用，防雨保温篷布及篷布覆盖费用。</w:t>
      </w:r>
    </w:p>
    <w:p w14:paraId="47AC0B39">
      <w:pPr>
        <w:pStyle w:val="12"/>
        <w:numPr>
          <w:ilvl w:val="255"/>
          <w:numId w:val="0"/>
        </w:numPr>
        <w:spacing w:line="480" w:lineRule="exact"/>
        <w:ind w:firstLine="480" w:firstLineChars="200"/>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（8）车辆定位监控设施费用。</w:t>
      </w:r>
    </w:p>
    <w:p w14:paraId="58A6766C">
      <w:pPr>
        <w:pStyle w:val="12"/>
        <w:numPr>
          <w:ilvl w:val="255"/>
          <w:numId w:val="0"/>
        </w:numPr>
        <w:spacing w:line="480" w:lineRule="exact"/>
        <w:ind w:firstLine="480" w:firstLineChars="200"/>
        <w:rPr>
          <w:rFonts w:ascii="仿宋_GB2312" w:hAnsi="仿宋_GB2312" w:eastAsia="仿宋_GB2312" w:cs="仿宋_GB2312"/>
          <w:color w:val="000000" w:themeColor="text1"/>
          <w:highlight w:val="none"/>
          <w:u w:val="single"/>
          <w14:textFill>
            <w14:solidFill>
              <w14:schemeClr w14:val="tx1"/>
            </w14:solidFill>
          </w14:textFill>
        </w:rPr>
        <w:sectPr>
          <w:headerReference r:id="rId9" w:type="default"/>
          <w:footerReference r:id="rId10" w:type="default"/>
          <w:type w:val="continuous"/>
          <w:pgSz w:w="16838" w:h="11906" w:orient="landscape"/>
          <w:pgMar w:top="1800" w:right="1440" w:bottom="1800" w:left="1440" w:header="1134" w:footer="975" w:gutter="0"/>
          <w:pgNumType w:start="1"/>
          <w:cols w:space="0" w:num="1"/>
          <w:docGrid w:linePitch="312" w:charSpace="0"/>
        </w:sectPr>
      </w:pPr>
      <w:r>
        <w:rPr>
          <w:rFonts w:hint="eastAsia" w:ascii="仿宋_GB2312" w:hAnsi="仿宋_GB2312" w:eastAsia="仿宋_GB2312" w:cs="仿宋_GB2312"/>
          <w:color w:val="000000" w:themeColor="text1"/>
          <w:highlight w:val="none"/>
          <w:u w:val="single"/>
          <w14:textFill>
            <w14:solidFill>
              <w14:schemeClr w14:val="tx1"/>
            </w14:solidFill>
          </w14:textFill>
        </w:rPr>
        <w:t>（</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9</w:t>
      </w:r>
      <w:r>
        <w:rPr>
          <w:rFonts w:hint="eastAsia" w:ascii="仿宋_GB2312" w:hAnsi="仿宋_GB2312" w:eastAsia="仿宋_GB2312" w:cs="仿宋_GB2312"/>
          <w:color w:val="000000" w:themeColor="text1"/>
          <w:highlight w:val="none"/>
          <w:u w:val="single"/>
          <w14:textFill>
            <w14:solidFill>
              <w14:schemeClr w14:val="tx1"/>
            </w14:solidFill>
          </w14:textFill>
        </w:rPr>
        <w:t>）建筑垃圾上车人力及机械资费、</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燃油费、维修保养费、车辆保管费、</w:t>
      </w:r>
      <w:r>
        <w:rPr>
          <w:rFonts w:hint="eastAsia" w:ascii="仿宋_GB2312" w:hAnsi="仿宋_GB2312" w:eastAsia="仿宋_GB2312" w:cs="仿宋_GB2312"/>
          <w:color w:val="000000" w:themeColor="text1"/>
          <w:highlight w:val="none"/>
          <w:u w:val="single"/>
          <w14:textFill>
            <w14:solidFill>
              <w14:schemeClr w14:val="tx1"/>
            </w14:solidFill>
          </w14:textFill>
        </w:rPr>
        <w:t>运输费、卸车费（如有）、卸货前保管费（如有）、政府规费（如有）、保险费</w:t>
      </w:r>
      <w:r>
        <w:rPr>
          <w:rFonts w:hint="eastAsia" w:ascii="仿宋_GB2312" w:hAnsi="仿宋_GB2312" w:eastAsia="仿宋_GB2312" w:cs="仿宋_GB2312"/>
          <w:b w:val="0"/>
          <w:bCs w:val="0"/>
          <w:color w:val="000000" w:themeColor="text1"/>
          <w:highlight w:val="none"/>
          <w:u w:val="single"/>
          <w14:textFill>
            <w14:solidFill>
              <w14:schemeClr w14:val="tx1"/>
            </w14:solidFill>
          </w14:textFill>
        </w:rPr>
        <w:t>、风险费用、利润、增值税金、乙方合理的利润、管理费、市场价格波动带来的风险、向有关部门缴纳的各项费用以及政策性文件所规定的各项应有费用等乙方履行本合同规定义务的全部价款与费税等一切费用，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p>
    <w:p w14:paraId="3A70ACD7">
      <w:pPr>
        <w:pStyle w:val="12"/>
        <w:numPr>
          <w:ilvl w:val="0"/>
          <w:numId w:val="2"/>
        </w:numPr>
        <w:spacing w:line="48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合同工程量：</w:t>
      </w:r>
    </w:p>
    <w:p w14:paraId="34C0133E">
      <w:pPr>
        <w:pStyle w:val="12"/>
        <w:numPr>
          <w:ilvl w:val="0"/>
          <w:numId w:val="0"/>
        </w:numPr>
        <w:spacing w:line="480" w:lineRule="exact"/>
        <w:ind w:firstLine="480"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2.1本合同中约定运输车辆的需用量</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运距</w:t>
      </w:r>
      <w:r>
        <w:rPr>
          <w:rFonts w:hint="eastAsia" w:ascii="仿宋_GB2312" w:hAnsi="仿宋_GB2312" w:eastAsia="仿宋_GB2312" w:cs="仿宋_GB2312"/>
          <w:color w:val="000000" w:themeColor="text1"/>
          <w:highlight w:val="none"/>
          <w14:textFill>
            <w14:solidFill>
              <w14:schemeClr w14:val="tx1"/>
            </w14:solidFill>
          </w14:textFill>
        </w:rPr>
        <w:t>为暂定数量；甲乙双方最终结算数量以甲方现场实际</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发生经甲方确认数量</w:t>
      </w:r>
      <w:r>
        <w:rPr>
          <w:rFonts w:hint="eastAsia" w:ascii="仿宋_GB2312" w:hAnsi="仿宋_GB2312" w:eastAsia="仿宋_GB2312" w:cs="仿宋_GB2312"/>
          <w:color w:val="000000" w:themeColor="text1"/>
          <w:highlight w:val="none"/>
          <w14:textFill>
            <w14:solidFill>
              <w14:schemeClr w14:val="tx1"/>
            </w14:solidFill>
          </w14:textFill>
        </w:rPr>
        <w:t>为准，并依据合同约定</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应扣除的相关</w:t>
      </w:r>
      <w:r>
        <w:rPr>
          <w:rFonts w:hint="eastAsia" w:ascii="仿宋_GB2312" w:hAnsi="仿宋_GB2312" w:eastAsia="仿宋_GB2312" w:cs="仿宋_GB2312"/>
          <w:color w:val="000000" w:themeColor="text1"/>
          <w:highlight w:val="none"/>
          <w14:textFill>
            <w14:solidFill>
              <w14:schemeClr w14:val="tx1"/>
            </w14:solidFill>
          </w14:textFill>
        </w:rPr>
        <w:t>费用后的书面结算数额为准，</w:t>
      </w:r>
      <w:bookmarkStart w:id="11" w:name="_Hlk127200285"/>
      <w:bookmarkStart w:id="12" w:name="_Hlk127188815"/>
      <w:r>
        <w:rPr>
          <w:rFonts w:hint="eastAsia" w:ascii="仿宋_GB2312" w:hAnsi="仿宋_GB2312" w:eastAsia="仿宋_GB2312" w:cs="仿宋_GB2312"/>
          <w:b/>
          <w:bCs/>
          <w:color w:val="000000" w:themeColor="text1"/>
          <w:highlight w:val="none"/>
          <w14:textFill>
            <w14:solidFill>
              <w14:schemeClr w14:val="tx1"/>
            </w14:solidFill>
          </w14:textFill>
        </w:rPr>
        <w:t>乙方不得以合同暂定数量或合同暂定总金额为依据要求甲方支付任何款项，否则按合同第二部分第二条违约条款承担违约责任</w:t>
      </w:r>
      <w:bookmarkEnd w:id="11"/>
      <w:r>
        <w:rPr>
          <w:rFonts w:hint="eastAsia" w:ascii="仿宋_GB2312" w:hAnsi="仿宋_GB2312" w:eastAsia="仿宋_GB2312" w:cs="仿宋_GB2312"/>
          <w:b/>
          <w:bCs/>
          <w:color w:val="000000" w:themeColor="text1"/>
          <w:highlight w:val="none"/>
          <w14:textFill>
            <w14:solidFill>
              <w14:schemeClr w14:val="tx1"/>
            </w14:solidFill>
          </w14:textFill>
        </w:rPr>
        <w:t>。</w:t>
      </w:r>
      <w:bookmarkEnd w:id="12"/>
    </w:p>
    <w:p w14:paraId="1CB03416">
      <w:pPr>
        <w:pStyle w:val="12"/>
        <w:numPr>
          <w:ilvl w:val="0"/>
          <w:numId w:val="0"/>
        </w:numPr>
        <w:spacing w:line="480" w:lineRule="exact"/>
        <w:ind w:firstLine="480" w:firstLineChars="200"/>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2.2若以工程量（如</w:t>
      </w:r>
      <w:r>
        <w:rPr>
          <w:rFonts w:hint="eastAsia" w:ascii="仿宋_GB2312" w:hAnsi="仿宋_GB2312" w:eastAsia="仿宋_GB2312" w:cs="仿宋_GB2312"/>
          <w:color w:val="000000" w:themeColor="text1"/>
          <w:highlight w:val="none"/>
          <w14:textFill>
            <w14:solidFill>
              <w14:schemeClr w14:val="tx1"/>
            </w14:solidFill>
          </w14:textFill>
        </w:rPr>
        <w:t>元/</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吨*</w:t>
      </w:r>
      <w:r>
        <w:rPr>
          <w:rFonts w:hint="eastAsia" w:ascii="仿宋_GB2312" w:hAnsi="仿宋_GB2312" w:eastAsia="仿宋_GB2312" w:cs="仿宋_GB2312"/>
          <w:color w:val="000000" w:themeColor="text1"/>
          <w:highlight w:val="none"/>
          <w14:textFill>
            <w14:solidFill>
              <w14:schemeClr w14:val="tx1"/>
            </w14:solidFill>
          </w14:textFill>
        </w:rPr>
        <w:t>公里</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元/m³*</w:t>
      </w:r>
      <w:r>
        <w:rPr>
          <w:rFonts w:hint="eastAsia" w:ascii="仿宋_GB2312" w:hAnsi="仿宋_GB2312" w:eastAsia="仿宋_GB2312" w:cs="仿宋_GB2312"/>
          <w:color w:val="000000" w:themeColor="text1"/>
          <w:highlight w:val="none"/>
          <w14:textFill>
            <w14:solidFill>
              <w14:schemeClr w14:val="tx1"/>
            </w14:solidFill>
          </w14:textFill>
        </w:rPr>
        <w:t>公里</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元/m³等）结算，乙方提供的设备和人员数量应满足甲方工程施工需求。</w:t>
      </w:r>
    </w:p>
    <w:p w14:paraId="729F12AA">
      <w:pPr>
        <w:pStyle w:val="12"/>
        <w:numPr>
          <w:ilvl w:val="0"/>
          <w:numId w:val="2"/>
        </w:numPr>
        <w:spacing w:line="48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其他</w:t>
      </w:r>
      <w:r>
        <w:rPr>
          <w:rFonts w:hint="eastAsia" w:ascii="仿宋_GB2312" w:hAnsi="仿宋_GB2312" w:eastAsia="仿宋_GB2312" w:cs="仿宋_GB2312"/>
          <w:color w:val="000000" w:themeColor="text1"/>
          <w:highlight w:val="none"/>
          <w14:textFill>
            <w14:solidFill>
              <w14:schemeClr w14:val="tx1"/>
            </w14:solidFill>
          </w14:textFill>
        </w:rPr>
        <w:t>：</w:t>
      </w:r>
      <w:permStart w:id="11"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11"/>
      <w:r>
        <w:rPr>
          <w:rFonts w:hint="eastAsia" w:ascii="仿宋_GB2312" w:hAnsi="仿宋_GB2312" w:eastAsia="仿宋_GB2312" w:cs="仿宋_GB2312"/>
          <w:color w:val="000000" w:themeColor="text1"/>
          <w:highlight w:val="none"/>
          <w14:textFill>
            <w14:solidFill>
              <w14:schemeClr w14:val="tx1"/>
            </w14:solidFill>
          </w14:textFill>
        </w:rPr>
        <w:t>。</w:t>
      </w:r>
    </w:p>
    <w:p w14:paraId="67F963E5">
      <w:pPr>
        <w:pStyle w:val="12"/>
        <w:widowControl/>
        <w:numPr>
          <w:ilvl w:val="0"/>
          <w:numId w:val="1"/>
        </w:numPr>
        <w:spacing w:before="120" w:beforeLines="50" w:after="120" w:afterLines="50" w:line="400" w:lineRule="atLeast"/>
        <w:outlineLvl w:val="0"/>
        <w:rPr>
          <w:rFonts w:ascii="仿宋_GB2312" w:hAnsi="仿宋_GB2312" w:eastAsia="仿宋_GB2312" w:cs="仿宋_GB2312"/>
          <w:b/>
          <w:bCs/>
          <w:color w:val="000000" w:themeColor="text1"/>
          <w:highlight w:val="none"/>
          <w14:textFill>
            <w14:solidFill>
              <w14:schemeClr w14:val="tx1"/>
            </w14:solidFill>
          </w14:textFill>
        </w:rPr>
      </w:pPr>
      <w:bookmarkStart w:id="13" w:name="_Toc15703"/>
      <w:bookmarkStart w:id="14" w:name="_Toc30660"/>
      <w:bookmarkStart w:id="15" w:name="_Toc12005"/>
      <w:r>
        <w:rPr>
          <w:rFonts w:hint="eastAsia" w:ascii="仿宋_GB2312" w:hAnsi="仿宋_GB2312" w:eastAsia="仿宋_GB2312" w:cs="仿宋_GB2312"/>
          <w:b/>
          <w:bCs/>
          <w:color w:val="000000" w:themeColor="text1"/>
          <w:highlight w:val="none"/>
          <w14:textFill>
            <w14:solidFill>
              <w14:schemeClr w14:val="tx1"/>
            </w14:solidFill>
          </w14:textFill>
        </w:rPr>
        <w:t>货物供应</w:t>
      </w:r>
      <w:bookmarkEnd w:id="13"/>
      <w:bookmarkEnd w:id="14"/>
      <w:bookmarkEnd w:id="15"/>
    </w:p>
    <w:p w14:paraId="1738B78E">
      <w:pPr>
        <w:pStyle w:val="12"/>
        <w:spacing w:line="48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1、交货方式：</w:t>
      </w:r>
      <w:r>
        <w:rPr>
          <w:rFonts w:hint="eastAsia" w:ascii="仿宋_GB2312" w:hAnsi="仿宋_GB2312" w:eastAsia="仿宋_GB2312" w:cs="仿宋_GB2312"/>
          <w:color w:val="000000" w:themeColor="text1"/>
          <w:highlight w:val="none"/>
          <w14:textFill>
            <w14:solidFill>
              <w14:schemeClr w14:val="tx1"/>
            </w14:solidFill>
          </w14:textFill>
        </w:rPr>
        <w:t>双方协商一致，</w:t>
      </w:r>
      <w:r>
        <w:rPr>
          <w:rFonts w:hint="eastAsia" w:ascii="仿宋_GB2312" w:hAnsi="仿宋_GB2312" w:eastAsia="仿宋_GB2312" w:cs="仿宋_GB2312"/>
          <w:b/>
          <w:bCs/>
          <w:color w:val="000000" w:themeColor="text1"/>
          <w:highlight w:val="none"/>
          <w14:textFill>
            <w14:solidFill>
              <w14:schemeClr w14:val="tx1"/>
            </w14:solidFill>
          </w14:textFill>
        </w:rPr>
        <w:t>按照甲方要求组织车辆运输</w:t>
      </w:r>
      <w:r>
        <w:rPr>
          <w:rFonts w:hint="eastAsia" w:ascii="仿宋_GB2312" w:hAnsi="仿宋_GB2312" w:eastAsia="仿宋_GB2312" w:cs="仿宋_GB2312"/>
          <w:color w:val="000000" w:themeColor="text1"/>
          <w:highlight w:val="none"/>
          <w14:textFill>
            <w14:solidFill>
              <w14:schemeClr w14:val="tx1"/>
            </w14:solidFill>
          </w14:textFill>
        </w:rPr>
        <w:t>。</w:t>
      </w:r>
    </w:p>
    <w:p w14:paraId="13A50C31">
      <w:pPr>
        <w:pStyle w:val="12"/>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2、交货时间：</w:t>
      </w:r>
      <w:r>
        <w:rPr>
          <w:rFonts w:hint="eastAsia" w:ascii="仿宋_GB2312" w:hAnsi="仿宋_GB2312" w:eastAsia="仿宋_GB2312" w:cs="仿宋_GB2312"/>
          <w:color w:val="000000" w:themeColor="text1"/>
          <w:highlight w:val="none"/>
          <w14:textFill>
            <w14:solidFill>
              <w14:schemeClr w14:val="tx1"/>
            </w14:solidFill>
          </w14:textFill>
        </w:rPr>
        <w:t>按照甲方要求组织车辆，乙方应根据甲方施工进度要求或采购计划在约定期限内完成托运范围内的全部工作内容。</w:t>
      </w:r>
      <w:r>
        <w:rPr>
          <w:rFonts w:hint="eastAsia" w:ascii="仿宋_GB2312" w:hAnsi="仿宋_GB2312" w:eastAsia="仿宋_GB2312" w:cs="仿宋_GB2312"/>
          <w:color w:val="000000" w:themeColor="text1"/>
          <w:spacing w:val="6"/>
          <w:highlight w:val="none"/>
          <w14:textFill>
            <w14:solidFill>
              <w14:schemeClr w14:val="tx1"/>
            </w14:solidFill>
          </w14:textFill>
        </w:rPr>
        <w:t>若运输发生延迟，则应由乙方承担相应责任，包括因运输延迟导致甲方整体工程工期滞后而需要向第三方承担的违约金或甲同意后工期相应顺延。</w:t>
      </w:r>
      <w:bookmarkStart w:id="16" w:name="_Hlk127188986"/>
      <w:r>
        <w:rPr>
          <w:rFonts w:hint="eastAsia" w:ascii="仿宋_GB2312" w:hAnsi="仿宋_GB2312" w:eastAsia="仿宋_GB2312" w:cs="仿宋_GB2312"/>
          <w:b/>
          <w:bCs/>
          <w:color w:val="000000" w:themeColor="text1"/>
          <w:highlight w:val="none"/>
          <w14:textFill>
            <w14:solidFill>
              <w14:schemeClr w14:val="tx1"/>
            </w14:solidFill>
          </w14:textFill>
        </w:rPr>
        <w:t>乙方延期供货次数不超过2次，否则乙方按合同第二部分第二条违约条款承担违约责任。乙方不得因甲方更改需用计划及要求乙方延期交货而向甲方提出索赔。</w:t>
      </w:r>
      <w:bookmarkEnd w:id="16"/>
    </w:p>
    <w:p w14:paraId="1B12912D">
      <w:pPr>
        <w:pStyle w:val="12"/>
        <w:spacing w:line="48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3、交货地点：</w:t>
      </w:r>
      <w:permStart w:id="1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昌都市卡若区嘎玛乡达那村公路工程现场施工甲方指定地点</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2"/>
      <w:r>
        <w:rPr>
          <w:rFonts w:hint="eastAsia" w:ascii="仿宋_GB2312" w:hAnsi="仿宋_GB2312" w:eastAsia="仿宋_GB2312" w:cs="仿宋_GB2312"/>
          <w:color w:val="000000" w:themeColor="text1"/>
          <w:highlight w:val="none"/>
          <w14:textFill>
            <w14:solidFill>
              <w14:schemeClr w14:val="tx1"/>
            </w14:solidFill>
          </w14:textFill>
        </w:rPr>
        <w:t>（工程所在地或甲方指定的其他地点）。</w:t>
      </w:r>
    </w:p>
    <w:p w14:paraId="3C6DB44F">
      <w:pPr>
        <w:pStyle w:val="12"/>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4、交货内容：</w:t>
      </w:r>
      <w:r>
        <w:rPr>
          <w:rFonts w:hint="eastAsia" w:ascii="仿宋_GB2312" w:hAnsi="仿宋_GB2312" w:eastAsia="仿宋_GB2312" w:cs="仿宋_GB2312"/>
          <w:color w:val="000000" w:themeColor="text1"/>
          <w:highlight w:val="none"/>
          <w14:textFill>
            <w14:solidFill>
              <w14:schemeClr w14:val="tx1"/>
            </w14:solidFill>
          </w14:textFill>
        </w:rPr>
        <w:t>交货产品、配套产品及配套服务如下；</w:t>
      </w:r>
      <w:permStart w:id="1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车辆运输  </w:t>
      </w:r>
      <w:permEnd w:id="13"/>
      <w:r>
        <w:rPr>
          <w:rFonts w:hint="eastAsia" w:ascii="仿宋_GB2312" w:hAnsi="仿宋_GB2312" w:eastAsia="仿宋_GB2312" w:cs="仿宋_GB2312"/>
          <w:color w:val="000000" w:themeColor="text1"/>
          <w:highlight w:val="none"/>
          <w14:textFill>
            <w14:solidFill>
              <w14:schemeClr w14:val="tx1"/>
            </w14:solidFill>
          </w14:textFill>
        </w:rPr>
        <w:t>。</w:t>
      </w:r>
    </w:p>
    <w:p w14:paraId="1D1504D3">
      <w:pPr>
        <w:pStyle w:val="12"/>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5、双方代表：</w:t>
      </w:r>
    </w:p>
    <w:p w14:paraId="4F756C7E">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甲方指定收货联系人：</w:t>
      </w:r>
      <w:permStart w:id="14"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贾博存</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1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1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17796919351</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1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17724D42">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乙方指定发货联系人：</w:t>
      </w:r>
      <w:permStart w:id="17"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17"/>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1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8"/>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1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21C8B5E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合同双方更换代表时应及时书面通知对方，保证运输顺利。</w:t>
      </w:r>
      <w:r>
        <w:rPr>
          <w:rFonts w:hint="eastAsia" w:ascii="仿宋_GB2312" w:hAnsi="仿宋_GB2312" w:eastAsia="仿宋_GB2312" w:cs="仿宋_GB2312"/>
          <w:b/>
          <w:bCs/>
          <w:color w:val="000000" w:themeColor="text1"/>
          <w:highlight w:val="none"/>
          <w14:textFill>
            <w14:solidFill>
              <w14:schemeClr w14:val="tx1"/>
            </w14:solidFill>
          </w14:textFill>
        </w:rPr>
        <w:t>甲方已明确要求与指定发货联系人交接，若乙方实际发货为非指定联系人，视为乙方对实际发货人授权委托，并承担本合同项下的义务和责任。</w:t>
      </w:r>
      <w:r>
        <w:rPr>
          <w:rFonts w:hint="eastAsia" w:ascii="仿宋_GB2312" w:hAnsi="仿宋_GB2312" w:eastAsia="仿宋_GB2312" w:cs="仿宋_GB2312"/>
          <w:color w:val="000000" w:themeColor="text1"/>
          <w:highlight w:val="none"/>
          <w14:textFill>
            <w14:solidFill>
              <w14:schemeClr w14:val="tx1"/>
            </w14:solidFill>
          </w14:textFill>
        </w:rPr>
        <w:t>为避免货物</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运输</w:t>
      </w:r>
      <w:r>
        <w:rPr>
          <w:rFonts w:hint="eastAsia" w:ascii="仿宋_GB2312" w:hAnsi="仿宋_GB2312" w:eastAsia="仿宋_GB2312" w:cs="仿宋_GB2312"/>
          <w:color w:val="000000" w:themeColor="text1"/>
          <w:highlight w:val="none"/>
          <w14:textFill>
            <w14:solidFill>
              <w14:schemeClr w14:val="tx1"/>
            </w14:solidFill>
          </w14:textFill>
        </w:rPr>
        <w:t>争议，甲方保留拒绝乙方非指定联系人</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运输</w:t>
      </w:r>
      <w:r>
        <w:rPr>
          <w:rFonts w:hint="eastAsia" w:ascii="仿宋_GB2312" w:hAnsi="仿宋_GB2312" w:eastAsia="仿宋_GB2312" w:cs="仿宋_GB2312"/>
          <w:color w:val="000000" w:themeColor="text1"/>
          <w:highlight w:val="none"/>
          <w14:textFill>
            <w14:solidFill>
              <w14:schemeClr w14:val="tx1"/>
            </w14:solidFill>
          </w14:textFill>
        </w:rPr>
        <w:t>的权利，当批次</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运输</w:t>
      </w:r>
      <w:r>
        <w:rPr>
          <w:rFonts w:hint="eastAsia" w:ascii="仿宋_GB2312" w:hAnsi="仿宋_GB2312" w:eastAsia="仿宋_GB2312" w:cs="仿宋_GB2312"/>
          <w:color w:val="000000" w:themeColor="text1"/>
          <w:highlight w:val="none"/>
          <w14:textFill>
            <w14:solidFill>
              <w14:schemeClr w14:val="tx1"/>
            </w14:solidFill>
          </w14:textFill>
        </w:rPr>
        <w:t>完成后7个工作日内乙方应为该实际</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运输</w:t>
      </w:r>
      <w:r>
        <w:rPr>
          <w:rFonts w:hint="eastAsia" w:ascii="仿宋_GB2312" w:hAnsi="仿宋_GB2312" w:eastAsia="仿宋_GB2312" w:cs="仿宋_GB2312"/>
          <w:color w:val="000000" w:themeColor="text1"/>
          <w:highlight w:val="none"/>
          <w14:textFill>
            <w14:solidFill>
              <w14:schemeClr w14:val="tx1"/>
            </w14:solidFill>
          </w14:textFill>
        </w:rPr>
        <w:t>人向甲方补充出具书面授权委托书，由此产生的费用由乙方承担。甲乙双方授权内容详见附件一、附件二。</w:t>
      </w:r>
    </w:p>
    <w:p w14:paraId="38A1A0F9">
      <w:pPr>
        <w:pStyle w:val="12"/>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6、运输要求：</w:t>
      </w:r>
    </w:p>
    <w:p w14:paraId="11F20C1F">
      <w:pPr>
        <w:pStyle w:val="12"/>
        <w:spacing w:line="48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6.1运输形式：</w:t>
      </w:r>
      <w:r>
        <w:rPr>
          <w:rFonts w:hint="eastAsia" w:ascii="仿宋_GB2312" w:hAnsi="仿宋_GB2312" w:eastAsia="仿宋_GB2312" w:cs="仿宋_GB2312"/>
          <w:color w:val="000000" w:themeColor="text1"/>
          <w:highlight w:val="none"/>
          <w14:textFill>
            <w14:solidFill>
              <w14:schemeClr w14:val="tx1"/>
            </w14:solidFill>
          </w14:textFill>
        </w:rPr>
        <w:t>乙方须按照约定安排车辆至甲方指定的地点（工程所在地或甲方指定的其他地点），并应当和甲方共同协商，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做好运输前的准备工作，</w:t>
      </w:r>
      <w:r>
        <w:rPr>
          <w:rFonts w:hint="eastAsia" w:ascii="仿宋_GB2312" w:hAnsi="仿宋_GB2312" w:eastAsia="仿宋_GB2312" w:cs="仿宋_GB2312"/>
          <w:color w:val="000000" w:themeColor="text1"/>
          <w:highlight w:val="none"/>
          <w14:textFill>
            <w14:solidFill>
              <w14:schemeClr w14:val="tx1"/>
            </w14:solidFill>
          </w14:textFill>
        </w:rPr>
        <w:t>合理安排运输路线、停车地点。</w:t>
      </w:r>
    </w:p>
    <w:p w14:paraId="373B78D9">
      <w:pPr>
        <w:pStyle w:val="12"/>
        <w:spacing w:line="48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6.2注意事项：</w:t>
      </w:r>
      <w:r>
        <w:rPr>
          <w:rFonts w:hint="eastAsia" w:ascii="仿宋_GB2312" w:hAnsi="仿宋_GB2312" w:eastAsia="仿宋_GB2312" w:cs="仿宋_GB2312"/>
          <w:color w:val="000000" w:themeColor="text1"/>
          <w:highlight w:val="none"/>
          <w14:textFill>
            <w14:solidFill>
              <w14:schemeClr w14:val="tx1"/>
            </w14:solidFill>
          </w14:textFill>
        </w:rPr>
        <w:t>乙方应自行勘察现场，熟悉施工现场位置和周围环境，车辆运输过程中，要遵守工程所在地政府</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业主单位、监理单位以及甲方</w:t>
      </w:r>
      <w:r>
        <w:rPr>
          <w:rFonts w:hint="eastAsia" w:ascii="仿宋_GB2312" w:hAnsi="仿宋_GB2312" w:eastAsia="仿宋_GB2312" w:cs="仿宋_GB2312"/>
          <w:color w:val="000000" w:themeColor="text1"/>
          <w:highlight w:val="none"/>
          <w14:textFill>
            <w14:solidFill>
              <w14:schemeClr w14:val="tx1"/>
            </w14:solidFill>
          </w14:textFill>
        </w:rPr>
        <w:t>的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w:t>
      </w:r>
      <w:bookmarkStart w:id="17" w:name="_Hlk127189046"/>
      <w:bookmarkStart w:id="18" w:name="_Hlk127198140"/>
      <w:r>
        <w:rPr>
          <w:rFonts w:hint="eastAsia" w:ascii="仿宋_GB2312" w:hAnsi="仿宋_GB2312" w:eastAsia="仿宋_GB2312" w:cs="仿宋_GB2312"/>
          <w:b/>
          <w:bCs/>
          <w:color w:val="000000" w:themeColor="text1"/>
          <w:highlight w:val="none"/>
          <w14:textFill>
            <w14:solidFill>
              <w14:schemeClr w14:val="tx1"/>
            </w14:solidFill>
          </w14:textFill>
        </w:rPr>
        <w:t>乙方无法按甲方要求将</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货物</w:t>
      </w:r>
      <w:r>
        <w:rPr>
          <w:rFonts w:hint="eastAsia" w:ascii="仿宋_GB2312" w:hAnsi="仿宋_GB2312" w:eastAsia="仿宋_GB2312" w:cs="仿宋_GB2312"/>
          <w:b/>
          <w:bCs/>
          <w:color w:val="000000" w:themeColor="text1"/>
          <w:highlight w:val="none"/>
          <w14:textFill>
            <w14:solidFill>
              <w14:schemeClr w14:val="tx1"/>
            </w14:solidFill>
          </w14:textFill>
        </w:rPr>
        <w:t>送到指定地点卸货的，甲方有权</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追究乙方违约责任</w:t>
      </w:r>
      <w:r>
        <w:rPr>
          <w:rFonts w:hint="eastAsia" w:ascii="仿宋_GB2312" w:hAnsi="仿宋_GB2312" w:eastAsia="仿宋_GB2312" w:cs="仿宋_GB2312"/>
          <w:b/>
          <w:bCs/>
          <w:color w:val="000000" w:themeColor="text1"/>
          <w:highlight w:val="none"/>
          <w14:textFill>
            <w14:solidFill>
              <w14:schemeClr w14:val="tx1"/>
            </w14:solidFill>
          </w14:textFill>
        </w:rPr>
        <w:t>，由此给甲方造成的损失由乙方承担</w:t>
      </w:r>
      <w:bookmarkEnd w:id="17"/>
      <w:r>
        <w:rPr>
          <w:rFonts w:hint="eastAsia" w:ascii="仿宋_GB2312" w:hAnsi="仿宋_GB2312" w:eastAsia="仿宋_GB2312" w:cs="仿宋_GB2312"/>
          <w:b/>
          <w:bCs/>
          <w:color w:val="000000" w:themeColor="text1"/>
          <w:highlight w:val="none"/>
          <w14:textFill>
            <w14:solidFill>
              <w14:schemeClr w14:val="tx1"/>
            </w14:solidFill>
          </w14:textFill>
        </w:rPr>
        <w:t>。</w:t>
      </w:r>
      <w:bookmarkEnd w:id="18"/>
    </w:p>
    <w:p w14:paraId="6EA25E3B">
      <w:pPr>
        <w:spacing w:line="480" w:lineRule="exact"/>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乙方车辆每次进出施工现场时，应自行负责清洗车辆 </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7926808E">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6.3货物的装车、运输、车辆返回全过程出现的安全事故或其它任何意外均由乙方承担责任。装车和运输途中的物资品质发生变化或丢失由乙方负责，由此造成的损失由乙方承担。</w:t>
      </w:r>
    </w:p>
    <w:p w14:paraId="0E3A4A4D">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6.4乙方应对运输人员进行安全管理和安全教育，运输人员遵守交通法规。</w:t>
      </w:r>
    </w:p>
    <w:p w14:paraId="5A12AE42">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应当给负责运送货物的车辆办理交强险及商业保险。如因运载车辆事故、卸货等</w:t>
      </w:r>
    </w:p>
    <w:p w14:paraId="01E47C0B">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原因导致的乙方及任何第三方的人身伤害及经济损失均由乙方负责，并补偿甲方</w:t>
      </w:r>
    </w:p>
    <w:p w14:paraId="5E807029">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及其他方因此造成的损失。</w:t>
      </w:r>
    </w:p>
    <w:p w14:paraId="158DDF9D">
      <w:pPr>
        <w:pStyle w:val="12"/>
        <w:spacing w:line="400" w:lineRule="atLeast"/>
        <w:ind w:firstLine="480" w:firstLineChars="200"/>
        <w:rPr>
          <w:rFonts w:hint="default"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6.5乙方必须保证运输人员不得阻止现场验收人员进行质量检验，不得阻止甲方在指定地点的过磅，装卸料时必须服从甲方现场管理人员的安排和指挥。</w:t>
      </w:r>
    </w:p>
    <w:p w14:paraId="0265262D">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6.6乙方不得利用遥控等科技手段控制磅秤增加物资重量，不得进行任何形式的弄虚作假行为。一经发现，扣除当次全部运费，并交由公安机关处理。</w:t>
      </w:r>
    </w:p>
    <w:p w14:paraId="4C740FA7">
      <w:pPr>
        <w:pStyle w:val="12"/>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6.7</w:t>
      </w:r>
      <w:r>
        <w:rPr>
          <w:rFonts w:hint="eastAsia" w:ascii="仿宋_GB2312" w:hAnsi="仿宋_GB2312" w:eastAsia="仿宋_GB2312" w:cs="仿宋_GB2312"/>
          <w:b w:val="0"/>
          <w:bCs w:val="0"/>
          <w:color w:val="000000" w:themeColor="text1"/>
          <w:highlight w:val="none"/>
          <w14:textFill>
            <w14:solidFill>
              <w14:schemeClr w14:val="tx1"/>
            </w14:solidFill>
          </w14:textFill>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85</w:t>
      </w:r>
      <w:r>
        <w:rPr>
          <w:rFonts w:hint="eastAsia" w:ascii="仿宋_GB2312" w:hAnsi="仿宋_GB2312" w:eastAsia="仿宋_GB2312" w:cs="仿宋_GB2312"/>
          <w:b w:val="0"/>
          <w:bCs w:val="0"/>
          <w:color w:val="000000" w:themeColor="text1"/>
          <w:highlight w:val="none"/>
          <w14:textFill>
            <w14:solidFill>
              <w14:schemeClr w14:val="tx1"/>
            </w14:solidFill>
          </w14:textFill>
        </w:rPr>
        <w:t>dB、夜间小于或等于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highlight w:val="none"/>
          <w14:textFill>
            <w14:solidFill>
              <w14:schemeClr w14:val="tx1"/>
            </w14:solidFill>
          </w14:textFill>
        </w:rPr>
        <w:t>dB。乙方保证乙方人员以及车辆进入本工地现场，应遵守现场的一切卫生环保、文明施工的规定，因违反环保要求所造成的一切罚款由乙方承担。</w:t>
      </w:r>
    </w:p>
    <w:p w14:paraId="00281018">
      <w:pPr>
        <w:pStyle w:val="12"/>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7、货物包装：</w:t>
      </w:r>
    </w:p>
    <w:p w14:paraId="74EF92C3">
      <w:pPr>
        <w:spacing w:line="48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7.1包装标准：</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乙方按照国家或业务主管部门的技术规定执行（标准代号、标准编号及标准名称为</w:t>
      </w:r>
      <w:permStart w:id="2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20"/>
      <w:r>
        <w:rPr>
          <w:rFonts w:hint="eastAsia" w:ascii="仿宋_GB2312" w:hAnsi="仿宋_GB2312" w:eastAsia="仿宋_GB2312" w:cs="仿宋_GB2312"/>
          <w:color w:val="000000" w:themeColor="text1"/>
          <w:sz w:val="24"/>
          <w:szCs w:val="24"/>
          <w:highlight w:val="none"/>
          <w14:textFill>
            <w14:solidFill>
              <w14:schemeClr w14:val="tx1"/>
            </w14:solidFill>
          </w14:textFill>
        </w:rPr>
        <w:t>）；没有上述标准的，或虽有上述标准，但甲方对包装有特殊要求，按如下约定执行：</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满足项目所在地安全文明样板工地要求 </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1862642B">
      <w:pPr>
        <w:pStyle w:val="12"/>
        <w:spacing w:line="48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8、货物意外灭失风险：</w:t>
      </w:r>
      <w:r>
        <w:rPr>
          <w:rFonts w:hint="eastAsia" w:ascii="仿宋_GB2312" w:hAnsi="仿宋_GB2312" w:eastAsia="仿宋_GB2312" w:cs="仿宋_GB2312"/>
          <w:color w:val="000000" w:themeColor="text1"/>
          <w:highlight w:val="none"/>
          <w14:textFill>
            <w14:solidFill>
              <w14:schemeClr w14:val="tx1"/>
            </w14:solidFill>
          </w14:textFill>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并办理验收手续后，该货物的毁损、灭失的风险方由乙方转移至甲方。</w:t>
      </w:r>
    </w:p>
    <w:p w14:paraId="70A3CB04">
      <w:pPr>
        <w:pStyle w:val="12"/>
        <w:widowControl/>
        <w:numPr>
          <w:ilvl w:val="0"/>
          <w:numId w:val="1"/>
        </w:numPr>
        <w:spacing w:before="120" w:beforeLines="50" w:after="120" w:afterLines="50" w:line="400" w:lineRule="atLeast"/>
        <w:outlineLvl w:val="0"/>
        <w:rPr>
          <w:rFonts w:ascii="仿宋_GB2312" w:hAnsi="仿宋_GB2312" w:eastAsia="仿宋_GB2312" w:cs="仿宋_GB2312"/>
          <w:b/>
          <w:bCs/>
          <w:color w:val="000000" w:themeColor="text1"/>
          <w:highlight w:val="none"/>
          <w14:textFill>
            <w14:solidFill>
              <w14:schemeClr w14:val="tx1"/>
            </w14:solidFill>
          </w14:textFill>
        </w:rPr>
      </w:pPr>
      <w:bookmarkStart w:id="19" w:name="_Toc13792"/>
      <w:bookmarkStart w:id="20" w:name="_Toc29361"/>
      <w:bookmarkStart w:id="21" w:name="_Toc16900"/>
      <w:r>
        <w:rPr>
          <w:rFonts w:hint="eastAsia" w:ascii="仿宋_GB2312" w:hAnsi="仿宋_GB2312" w:eastAsia="仿宋_GB2312" w:cs="仿宋_GB2312"/>
          <w:b/>
          <w:bCs/>
          <w:color w:val="000000" w:themeColor="text1"/>
          <w:highlight w:val="none"/>
          <w14:textFill>
            <w14:solidFill>
              <w14:schemeClr w14:val="tx1"/>
            </w14:solidFill>
          </w14:textFill>
        </w:rPr>
        <w:t>货物质量</w:t>
      </w:r>
      <w:bookmarkEnd w:id="19"/>
      <w:bookmarkEnd w:id="20"/>
      <w:bookmarkEnd w:id="21"/>
    </w:p>
    <w:p w14:paraId="7220EB42">
      <w:pPr>
        <w:pStyle w:val="12"/>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1、质量要求及技术标准：</w:t>
      </w:r>
    </w:p>
    <w:p w14:paraId="0823559A">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1.1按照国家标准执行（标准代号、标准编号及标准名称为</w:t>
      </w:r>
      <w:permStart w:id="2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21"/>
      <w:r>
        <w:rPr>
          <w:rFonts w:hint="eastAsia" w:ascii="仿宋_GB2312" w:hAnsi="仿宋_GB2312" w:eastAsia="仿宋_GB2312" w:cs="仿宋_GB2312"/>
          <w:color w:val="000000" w:themeColor="text1"/>
          <w:highlight w:val="none"/>
          <w14:textFill>
            <w14:solidFill>
              <w14:schemeClr w14:val="tx1"/>
            </w14:solidFill>
          </w14:textFill>
        </w:rPr>
        <w:t>）。</w:t>
      </w:r>
    </w:p>
    <w:p w14:paraId="167D7CFF">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1.2无国家标准而有部颁标准的，按部颁标准执行。 　　</w:t>
      </w:r>
    </w:p>
    <w:p w14:paraId="3137C7CF">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1.3无国家和部颁标准的，按企业标准执行。　　</w:t>
      </w:r>
    </w:p>
    <w:p w14:paraId="75147144">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1.4没有上述标准的，或虽有上述标准，但甲方有特殊要求的，按甲乙双方在合同中商定的技术条件、样品或补充的技术要求执行（具体要求</w:t>
      </w:r>
      <w:permStart w:id="2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22"/>
      <w:r>
        <w:rPr>
          <w:rFonts w:hint="eastAsia" w:ascii="仿宋_GB2312" w:hAnsi="仿宋_GB2312" w:eastAsia="仿宋_GB2312" w:cs="仿宋_GB2312"/>
          <w:color w:val="000000" w:themeColor="text1"/>
          <w:highlight w:val="none"/>
          <w14:textFill>
            <w14:solidFill>
              <w14:schemeClr w14:val="tx1"/>
            </w14:solidFill>
          </w14:textFill>
        </w:rPr>
        <w:t>）。</w:t>
      </w:r>
    </w:p>
    <w:p w14:paraId="1C6F710C">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1.5如乙方有通过国家相关质量体系认证的企业标准，且其标准高于上述标准的，按乙方企业标准执行。</w:t>
      </w:r>
    </w:p>
    <w:p w14:paraId="3DC940A9">
      <w:pPr>
        <w:pStyle w:val="12"/>
        <w:spacing w:line="480" w:lineRule="exact"/>
        <w:ind w:left="108" w:right="128"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2、乙方若不能做到工完场清及安全文明施工，</w:t>
      </w:r>
      <w:r>
        <w:rPr>
          <w:rFonts w:hint="eastAsia" w:ascii="仿宋_GB2312" w:hAnsi="仿宋_GB2312" w:eastAsia="仿宋_GB2312" w:cs="仿宋_GB2312"/>
          <w:b/>
          <w:bCs/>
          <w:color w:val="000000" w:themeColor="text1"/>
          <w:highlight w:val="none"/>
          <w14:textFill>
            <w14:solidFill>
              <w14:schemeClr w14:val="tx1"/>
            </w14:solidFill>
          </w14:textFill>
        </w:rPr>
        <w:t>每次甲方扣除乙方工程总合同价款的</w:t>
      </w:r>
      <w:sdt>
        <w:sdtPr>
          <w:rPr>
            <w:rFonts w:hint="eastAsia" w:ascii="仿宋_GB2312" w:hAnsi="仿宋_GB2312" w:eastAsia="仿宋_GB2312" w:cs="仿宋_GB2312"/>
            <w:b/>
            <w:bCs/>
            <w:color w:val="000000" w:themeColor="text1"/>
            <w:highlight w:val="none"/>
            <w14:textFill>
              <w14:solidFill>
                <w14:schemeClr w14:val="tx1"/>
              </w14:solidFill>
            </w14:textFill>
          </w:rPr>
          <w:id w:val="147464747"/>
          <w:placeholder>
            <w:docPart w:val="{0d80e04c-b162-45d0-90b4-24526c5bfa0b}"/>
          </w:placeholder>
          <w:text/>
        </w:sdtPr>
        <w:sdtEndPr>
          <w:rPr>
            <w:rFonts w:hint="eastAsia" w:ascii="仿宋_GB2312" w:hAnsi="仿宋_GB2312" w:eastAsia="仿宋_GB2312" w:cs="仿宋_GB2312"/>
            <w:b/>
            <w:bCs/>
            <w:color w:val="000000" w:themeColor="text1"/>
            <w:highlight w:val="none"/>
            <w14:textFill>
              <w14:solidFill>
                <w14:schemeClr w14:val="tx1"/>
              </w14:solidFill>
            </w14:textFill>
          </w:rPr>
        </w:sdtEndPr>
        <w:sdtContent>
          <w:r>
            <w:rPr>
              <w:rFonts w:hint="eastAsia" w:ascii="仿宋_GB2312" w:hAnsi="仿宋_GB2312" w:eastAsia="仿宋_GB2312" w:cs="仿宋_GB2312"/>
              <w:b/>
              <w:bCs/>
              <w:color w:val="000000" w:themeColor="text1"/>
              <w:highlight w:val="none"/>
              <w14:textFill>
                <w14:solidFill>
                  <w14:schemeClr w14:val="tx1"/>
                </w14:solidFill>
              </w14:textFill>
            </w:rPr>
            <w:t>2%</w:t>
          </w:r>
        </w:sdtContent>
      </w:sdt>
      <w:r>
        <w:rPr>
          <w:rFonts w:hint="eastAsia" w:ascii="仿宋_GB2312" w:hAnsi="仿宋_GB2312" w:eastAsia="仿宋_GB2312" w:cs="仿宋_GB2312"/>
          <w:b/>
          <w:bCs/>
          <w:color w:val="000000" w:themeColor="text1"/>
          <w:highlight w:val="none"/>
          <w14:textFill>
            <w14:solidFill>
              <w14:schemeClr w14:val="tx1"/>
            </w14:solidFill>
          </w14:textFill>
        </w:rPr>
        <w:t>作为违约金</w:t>
      </w:r>
      <w:r>
        <w:rPr>
          <w:rFonts w:hint="eastAsia" w:ascii="仿宋_GB2312" w:hAnsi="仿宋_GB2312" w:eastAsia="仿宋_GB2312" w:cs="仿宋_GB2312"/>
          <w:color w:val="000000" w:themeColor="text1"/>
          <w:highlight w:val="none"/>
          <w14:textFill>
            <w14:solidFill>
              <w14:schemeClr w14:val="tx1"/>
            </w14:solidFill>
          </w14:textFill>
        </w:rPr>
        <w:t>。凡因乙方违章指挥或违章操作造成的安全事故责任及损失均由乙方负责。</w:t>
      </w:r>
    </w:p>
    <w:p w14:paraId="3CF060D8">
      <w:pPr>
        <w:pStyle w:val="12"/>
        <w:spacing w:line="480" w:lineRule="exact"/>
        <w:ind w:left="108" w:right="-100"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3、乙方车辆严禁碰撞施工现场各种设施，因此造成安全事故及损失均由乙方负责。</w:t>
      </w:r>
    </w:p>
    <w:p w14:paraId="1303302D">
      <w:pPr>
        <w:pStyle w:val="12"/>
        <w:spacing w:line="480" w:lineRule="exact"/>
        <w:ind w:left="108" w:right="-102"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4、服从甲方现场指挥人员管理并接受检查和监督，做到文明施工，保证足够的车辆及时进场；</w:t>
      </w:r>
    </w:p>
    <w:p w14:paraId="745EF7B1">
      <w:pPr>
        <w:pStyle w:val="12"/>
        <w:spacing w:line="480" w:lineRule="exact"/>
        <w:ind w:left="108" w:right="-102"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5、所有乙方人员进入施工现场应注意安全，杜绝安全事故发生。承担由于自身安全措施不力等原因造成事故的责任和因此发生的费用。</w:t>
      </w:r>
    </w:p>
    <w:p w14:paraId="607B0675">
      <w:pPr>
        <w:pStyle w:val="12"/>
        <w:widowControl/>
        <w:numPr>
          <w:ilvl w:val="0"/>
          <w:numId w:val="1"/>
        </w:numPr>
        <w:spacing w:before="120" w:beforeLines="50" w:after="120" w:afterLines="50" w:line="400" w:lineRule="atLeast"/>
        <w:outlineLvl w:val="0"/>
        <w:rPr>
          <w:rFonts w:ascii="仿宋_GB2312" w:hAnsi="仿宋_GB2312" w:eastAsia="仿宋_GB2312" w:cs="仿宋_GB2312"/>
          <w:b/>
          <w:bCs/>
          <w:color w:val="000000" w:themeColor="text1"/>
          <w:highlight w:val="none"/>
          <w14:textFill>
            <w14:solidFill>
              <w14:schemeClr w14:val="tx1"/>
            </w14:solidFill>
          </w14:textFill>
        </w:rPr>
      </w:pPr>
      <w:bookmarkStart w:id="22" w:name="_Toc9873"/>
      <w:bookmarkStart w:id="23" w:name="_Toc12481"/>
      <w:bookmarkStart w:id="24" w:name="_Toc25504"/>
      <w:r>
        <w:rPr>
          <w:rFonts w:hint="eastAsia" w:ascii="仿宋_GB2312" w:hAnsi="仿宋_GB2312" w:eastAsia="仿宋_GB2312" w:cs="仿宋_GB2312"/>
          <w:b/>
          <w:bCs/>
          <w:color w:val="000000" w:themeColor="text1"/>
          <w:highlight w:val="none"/>
          <w14:textFill>
            <w14:solidFill>
              <w14:schemeClr w14:val="tx1"/>
            </w14:solidFill>
          </w14:textFill>
        </w:rPr>
        <w:t>货物验收</w:t>
      </w:r>
      <w:bookmarkEnd w:id="22"/>
      <w:bookmarkEnd w:id="23"/>
      <w:bookmarkEnd w:id="24"/>
    </w:p>
    <w:p w14:paraId="4A138BC5">
      <w:pPr>
        <w:pStyle w:val="12"/>
        <w:numPr>
          <w:ilvl w:val="0"/>
          <w:numId w:val="3"/>
        </w:numPr>
        <w:spacing w:line="48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验收人员：</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货物发货、收货须由甲方出具调拨单、验收单、过磅单、收料单、出料单、运距确认单等证明材料，由甲方不少于2人签字验收。</w:t>
      </w:r>
    </w:p>
    <w:p w14:paraId="1AF50DE6">
      <w:pPr>
        <w:pStyle w:val="12"/>
        <w:widowControl/>
        <w:numPr>
          <w:ilvl w:val="0"/>
          <w:numId w:val="3"/>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shd w:val="clear" w:color="auto" w:fill="FFFFFF" w:themeFill="background1"/>
          <w14:textFill>
            <w14:solidFill>
              <w14:schemeClr w14:val="tx1"/>
            </w14:solidFill>
          </w14:textFill>
        </w:rPr>
        <w:t>验收方式：</w:t>
      </w:r>
      <w:r>
        <w:rPr>
          <w:rFonts w:hint="eastAsia" w:ascii="仿宋_GB2312" w:hAnsi="仿宋_GB2312" w:eastAsia="仿宋_GB2312" w:cs="仿宋_GB2312"/>
          <w:color w:val="000000" w:themeColor="text1"/>
          <w:highlight w:val="none"/>
          <w:u w:val="single"/>
          <w:shd w:val="clear" w:color="auto" w:fill="FFFFFF" w:themeFill="background1"/>
          <w:lang w:val="en-US" w:eastAsia="zh-CN"/>
          <w14:textFill>
            <w14:solidFill>
              <w14:schemeClr w14:val="tx1"/>
            </w14:solidFill>
          </w14:textFill>
        </w:rPr>
        <w:t>货物发货、收货</w:t>
      </w:r>
      <w:r>
        <w:rPr>
          <w:rFonts w:hint="eastAsia" w:ascii="仿宋_GB2312" w:hAnsi="仿宋_GB2312" w:eastAsia="仿宋_GB2312" w:cs="仿宋_GB2312"/>
          <w:color w:val="000000" w:themeColor="text1"/>
          <w:highlight w:val="none"/>
          <w:u w:val="single"/>
          <w:shd w:val="clear" w:color="auto" w:fill="FFFFFF" w:themeFill="background1"/>
          <w14:textFill>
            <w14:solidFill>
              <w14:schemeClr w14:val="tx1"/>
            </w14:solidFill>
          </w14:textFill>
        </w:rPr>
        <w:t>以智能地磅、云筑收验货系统为主要载体，结合视频监控系统</w:t>
      </w:r>
      <w:r>
        <w:rPr>
          <w:rFonts w:hint="eastAsia" w:ascii="仿宋_GB2312" w:hAnsi="仿宋_GB2312" w:eastAsia="仿宋_GB2312" w:cs="仿宋_GB2312"/>
          <w:color w:val="000000" w:themeColor="text1"/>
          <w:highlight w:val="none"/>
          <w:u w:val="single"/>
          <w:shd w:val="clear" w:color="auto" w:fill="FFFFFF" w:themeFill="background1"/>
          <w:lang w:val="en-US" w:eastAsia="zh-CN"/>
          <w14:textFill>
            <w14:solidFill>
              <w14:schemeClr w14:val="tx1"/>
            </w14:solidFill>
          </w14:textFill>
        </w:rPr>
        <w:t>须由甲方出具调拨单、过磅单、收料单、出料单、运距确认单等证明材料，甲方收货的的必须由甲方不少于2人签字验收。</w:t>
      </w:r>
    </w:p>
    <w:p w14:paraId="5B00262B">
      <w:pPr>
        <w:pStyle w:val="12"/>
        <w:numPr>
          <w:ilvl w:val="0"/>
          <w:numId w:val="3"/>
        </w:numPr>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数量验收：</w:t>
      </w:r>
    </w:p>
    <w:p w14:paraId="45AF49E4">
      <w:pPr>
        <w:pStyle w:val="12"/>
        <w:spacing w:line="480" w:lineRule="exac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3.1数量验收方式：</w:t>
      </w:r>
      <w:r>
        <w:rPr>
          <w:rFonts w:hint="eastAsia" w:ascii="仿宋_GB2312" w:hAnsi="仿宋_GB2312" w:eastAsia="仿宋_GB2312" w:cs="仿宋_GB2312"/>
          <w:color w:val="000000" w:themeColor="text1"/>
          <w:highlight w:val="none"/>
          <w14:textFill>
            <w14:solidFill>
              <w14:schemeClr w14:val="tx1"/>
            </w14:solidFill>
          </w14:textFill>
        </w:rPr>
        <w:t>甲乙双方在交货现场以</w:t>
      </w:r>
      <w:permStart w:id="23" w:edGrp="everyone"/>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过磅</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 计件</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 检尺</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 其他计量方式</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w:t>
      </w:r>
      <w:r>
        <w:rPr>
          <w:rFonts w:hint="eastAsia" w:ascii="仿宋_GB2312" w:hAnsi="仿宋_GB2312" w:eastAsia="仿宋_GB2312" w:cs="仿宋_GB2312"/>
          <w:highlight w:val="none"/>
          <w:u w:val="single"/>
        </w:rPr>
        <w:t xml:space="preserve">    </w:t>
      </w:r>
      <w:permEnd w:id="23"/>
      <w:r>
        <w:rPr>
          <w:rFonts w:hint="eastAsia" w:ascii="仿宋_GB2312" w:hAnsi="仿宋_GB2312" w:eastAsia="仿宋_GB2312" w:cs="仿宋_GB2312"/>
          <w:color w:val="000000" w:themeColor="text1"/>
          <w:highlight w:val="none"/>
          <w14:textFill>
            <w14:solidFill>
              <w14:schemeClr w14:val="tx1"/>
            </w14:solidFill>
          </w14:textFill>
        </w:rPr>
        <w:t>方式进行数量验收，乙方应对在甲方工地现场的数量验收数据进行确认。建筑垃圾按车计算，则必须满载，非乙方原因导致车载不足时，按满载计算，非甲方原因导致车载不足时，按实际方量折算。</w:t>
      </w:r>
    </w:p>
    <w:p w14:paraId="74B44AB2">
      <w:pPr>
        <w:pStyle w:val="12"/>
        <w:spacing w:line="480" w:lineRule="exact"/>
        <w:ind w:firstLine="480" w:firstLineChars="200"/>
        <w:rPr>
          <w:rFonts w:hint="default" w:ascii="仿宋_GB2312" w:hAnsi="仿宋_GB2312" w:eastAsia="仿宋_GB2312" w:cs="仿宋_GB2312"/>
          <w:color w:val="000000" w:themeColor="text1"/>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若以工程量（如</w:t>
      </w:r>
      <w:r>
        <w:rPr>
          <w:rFonts w:hint="eastAsia" w:ascii="仿宋_GB2312" w:hAnsi="仿宋_GB2312" w:eastAsia="仿宋_GB2312" w:cs="仿宋_GB2312"/>
          <w:color w:val="000000" w:themeColor="text1"/>
          <w:highlight w:val="none"/>
          <w14:textFill>
            <w14:solidFill>
              <w14:schemeClr w14:val="tx1"/>
            </w14:solidFill>
          </w14:textFill>
        </w:rPr>
        <w:t>元/</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吨*</w:t>
      </w:r>
      <w:r>
        <w:rPr>
          <w:rFonts w:hint="eastAsia" w:ascii="仿宋_GB2312" w:hAnsi="仿宋_GB2312" w:eastAsia="仿宋_GB2312" w:cs="仿宋_GB2312"/>
          <w:color w:val="000000" w:themeColor="text1"/>
          <w:highlight w:val="none"/>
          <w14:textFill>
            <w14:solidFill>
              <w14:schemeClr w14:val="tx1"/>
            </w14:solidFill>
          </w14:textFill>
        </w:rPr>
        <w:t>公里</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元/m³*</w:t>
      </w:r>
      <w:r>
        <w:rPr>
          <w:rFonts w:hint="eastAsia" w:ascii="仿宋_GB2312" w:hAnsi="仿宋_GB2312" w:eastAsia="仿宋_GB2312" w:cs="仿宋_GB2312"/>
          <w:color w:val="000000" w:themeColor="text1"/>
          <w:highlight w:val="none"/>
          <w14:textFill>
            <w14:solidFill>
              <w14:schemeClr w14:val="tx1"/>
            </w14:solidFill>
          </w14:textFill>
        </w:rPr>
        <w:t>公里</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元/m³等）结算，尾盘补料计算方式：</w:t>
      </w:r>
      <w:permStart w:id="24"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                               </w:t>
      </w:r>
      <w:permEnd w:id="24"/>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w:t>
      </w:r>
    </w:p>
    <w:p w14:paraId="3F292A91">
      <w:pPr>
        <w:pStyle w:val="12"/>
        <w:spacing w:line="480" w:lineRule="exact"/>
        <w:ind w:left="108" w:right="-102"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3.2数量验收凭据：</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由甲方物资设备负责人、相应收货人员、现场责任工程师共同签署的收货凭据（包括但不限于过磅单据、收料单、调拨单、出料单、供货小票、月度统计单或其他数量统计文件等）仅作为甲方收到乙方所运输物资的数量、型号、规格、发货时间、到货时间等的证明，而不作为甲方付款及结算的唯一凭证，无论该收货凭据上是否载有单价、合价或合计等涉及价款的内容，且乙方不得以此要求甲方支付任何款项或承担任何责任。乙方对甲方签字人员权限负有审查义务。</w:t>
      </w:r>
    </w:p>
    <w:p w14:paraId="05A281CE">
      <w:pPr>
        <w:pStyle w:val="12"/>
        <w:spacing w:line="48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3.3数量争议：</w:t>
      </w:r>
      <w:r>
        <w:rPr>
          <w:rFonts w:hint="eastAsia" w:ascii="仿宋_GB2312" w:hAnsi="仿宋_GB2312" w:eastAsia="仿宋_GB2312" w:cs="仿宋_GB2312"/>
          <w:color w:val="000000" w:themeColor="text1"/>
          <w:highlight w:val="none"/>
          <w14:textFill>
            <w14:solidFill>
              <w14:schemeClr w14:val="tx1"/>
            </w14:solidFill>
          </w14:textFill>
        </w:rPr>
        <w:t>甲方如有数量异议，应在收货后7天内提出，</w:t>
      </w:r>
      <w:r>
        <w:rPr>
          <w:rFonts w:hint="eastAsia" w:ascii="仿宋_GB2312" w:hAnsi="仿宋_GB2312" w:eastAsia="仿宋_GB2312" w:cs="仿宋_GB2312"/>
          <w:b/>
          <w:bCs/>
          <w:color w:val="000000" w:themeColor="text1"/>
          <w:highlight w:val="none"/>
          <w14:textFill>
            <w14:solidFill>
              <w14:schemeClr w14:val="tx1"/>
            </w14:solidFill>
          </w14:textFill>
        </w:rPr>
        <w:t>乙方应在3天内作出答复，未回复视为认可甲方验收数量。</w:t>
      </w:r>
    </w:p>
    <w:p w14:paraId="058F936F">
      <w:pPr>
        <w:pStyle w:val="12"/>
        <w:widowControl/>
        <w:numPr>
          <w:ilvl w:val="0"/>
          <w:numId w:val="1"/>
        </w:numPr>
        <w:spacing w:before="120" w:beforeLines="50" w:after="120" w:afterLines="50" w:line="400" w:lineRule="atLeast"/>
        <w:outlineLvl w:val="0"/>
        <w:rPr>
          <w:rFonts w:ascii="仿宋_GB2312" w:hAnsi="仿宋_GB2312" w:eastAsia="仿宋_GB2312" w:cs="仿宋_GB2312"/>
          <w:b/>
          <w:bCs/>
          <w:color w:val="000000" w:themeColor="text1"/>
          <w:highlight w:val="none"/>
          <w14:textFill>
            <w14:solidFill>
              <w14:schemeClr w14:val="tx1"/>
            </w14:solidFill>
          </w14:textFill>
        </w:rPr>
      </w:pPr>
      <w:bookmarkStart w:id="25" w:name="_Toc32015"/>
      <w:bookmarkStart w:id="26" w:name="_Toc24231"/>
      <w:bookmarkStart w:id="27" w:name="_Toc31460"/>
      <w:r>
        <w:rPr>
          <w:rFonts w:hint="eastAsia" w:ascii="仿宋_GB2312" w:hAnsi="仿宋_GB2312" w:eastAsia="仿宋_GB2312" w:cs="仿宋_GB2312"/>
          <w:b/>
          <w:bCs/>
          <w:color w:val="000000" w:themeColor="text1"/>
          <w:highlight w:val="none"/>
          <w14:textFill>
            <w14:solidFill>
              <w14:schemeClr w14:val="tx1"/>
            </w14:solidFill>
          </w14:textFill>
        </w:rPr>
        <w:t>货物结算</w:t>
      </w:r>
      <w:bookmarkEnd w:id="25"/>
      <w:bookmarkEnd w:id="26"/>
      <w:bookmarkEnd w:id="27"/>
    </w:p>
    <w:p w14:paraId="0FAA48DA">
      <w:pPr>
        <w:pStyle w:val="12"/>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结算周期：</w:t>
      </w:r>
    </w:p>
    <w:p w14:paraId="2CA3058E">
      <w:pPr>
        <w:pStyle w:val="12"/>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乙方每月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与甲方核对上月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至本月</w:t>
      </w:r>
      <w:r>
        <w:rPr>
          <w:rFonts w:hint="eastAsia" w:ascii="仿宋_GB2312" w:hAnsi="仿宋_GB2312" w:eastAsia="仿宋_GB2312" w:cs="仿宋_GB2312"/>
          <w:color w:val="000000" w:themeColor="text1"/>
          <w:highlight w:val="none"/>
          <w:u w:val="single"/>
          <w14:textFill>
            <w14:solidFill>
              <w14:schemeClr w14:val="tx1"/>
            </w14:solidFill>
          </w14:textFill>
        </w:rPr>
        <w:t>15日</w:t>
      </w:r>
      <w:r>
        <w:rPr>
          <w:rFonts w:hint="eastAsia" w:ascii="仿宋_GB2312" w:hAnsi="仿宋_GB2312" w:eastAsia="仿宋_GB2312" w:cs="仿宋_GB2312"/>
          <w:color w:val="000000" w:themeColor="text1"/>
          <w:highlight w:val="none"/>
          <w14:textFill>
            <w14:solidFill>
              <w14:schemeClr w14:val="tx1"/>
            </w14:solidFill>
          </w14:textFill>
        </w:rPr>
        <w:t>所</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提供运输服务</w:t>
      </w:r>
      <w:r>
        <w:rPr>
          <w:rFonts w:hint="eastAsia"/>
          <w:highlight w:val="none"/>
          <w:lang w:val="en-US" w:eastAsia="zh-CN"/>
        </w:rPr>
        <w:t>的</w:t>
      </w:r>
      <w:r>
        <w:rPr>
          <w:rFonts w:hint="eastAsia" w:ascii="仿宋_GB2312" w:hAnsi="仿宋_GB2312" w:eastAsia="仿宋_GB2312" w:cs="仿宋_GB2312"/>
          <w:color w:val="000000" w:themeColor="text1"/>
          <w:highlight w:val="none"/>
          <w14:textFill>
            <w14:solidFill>
              <w14:schemeClr w14:val="tx1"/>
            </w14:solidFill>
          </w14:textFill>
        </w:rPr>
        <w:t>数量，并办理完结算手续。</w:t>
      </w:r>
      <w:r>
        <w:rPr>
          <w:rFonts w:hint="eastAsia" w:ascii="仿宋_GB2312" w:hAnsi="仿宋_GB2312" w:eastAsia="仿宋_GB2312" w:cs="仿宋_GB2312"/>
          <w:b/>
          <w:bCs/>
          <w:color w:val="000000" w:themeColor="text1"/>
          <w:highlight w:val="none"/>
          <w14:textFill>
            <w14:solidFill>
              <w14:schemeClr w14:val="tx1"/>
            </w14:solidFill>
          </w14:textFill>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26B76D29">
      <w:pPr>
        <w:pStyle w:val="12"/>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结算流程：</w:t>
      </w:r>
    </w:p>
    <w:p w14:paraId="07D8BEC5">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双方结算分为过程结算及最终结算。过程结算按下表流程进行。最终结算于</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运输完成</w:t>
      </w:r>
      <w:r>
        <w:rPr>
          <w:rFonts w:hint="eastAsia" w:ascii="仿宋_GB2312" w:hAnsi="仿宋_GB2312" w:eastAsia="仿宋_GB2312" w:cs="仿宋_GB2312"/>
          <w:color w:val="000000" w:themeColor="text1"/>
          <w:highlight w:val="none"/>
          <w:u w:val="single"/>
          <w14:textFill>
            <w14:solidFill>
              <w14:schemeClr w14:val="tx1"/>
            </w14:solidFill>
          </w14:textFill>
        </w:rPr>
        <w:t>后一个月内办理。</w:t>
      </w:r>
    </w:p>
    <w:p w14:paraId="2E488A97">
      <w:pPr>
        <w:pStyle w:val="12"/>
        <w:numPr>
          <w:ilvl w:val="0"/>
          <w:numId w:val="4"/>
        </w:numPr>
        <w:spacing w:line="400" w:lineRule="atLeast"/>
        <w:ind w:firstLine="482"/>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-1270</wp:posOffset>
                </wp:positionH>
                <wp:positionV relativeFrom="paragraph">
                  <wp:posOffset>52705</wp:posOffset>
                </wp:positionV>
                <wp:extent cx="5069205" cy="1310005"/>
                <wp:effectExtent l="4445" t="5080" r="260350" b="18415"/>
                <wp:wrapTopAndBottom/>
                <wp:docPr id="10" name="组合 10"/>
                <wp:cNvGraphicFramePr/>
                <a:graphic xmlns:a="http://schemas.openxmlformats.org/drawingml/2006/main">
                  <a:graphicData uri="http://schemas.microsoft.com/office/word/2010/wordprocessingGroup">
                    <wpg:wgp>
                      <wpg:cNvGrpSpPr/>
                      <wpg:grpSpPr>
                        <a:xfrm>
                          <a:off x="0" y="0"/>
                          <a:ext cx="5069205" cy="1309856"/>
                          <a:chOff x="2081" y="142374"/>
                          <a:chExt cx="7983" cy="2063"/>
                        </a:xfrm>
                      </wpg:grpSpPr>
                      <wpg:grpSp>
                        <wpg:cNvPr id="4" name="组合 5"/>
                        <wpg:cNvGrpSpPr/>
                        <wpg:grpSpPr>
                          <a:xfrm>
                            <a:off x="2081" y="142374"/>
                            <a:ext cx="7983" cy="2063"/>
                            <a:chOff x="4655" y="144888"/>
                            <a:chExt cx="7983" cy="2291"/>
                          </a:xfrm>
                        </wpg:grpSpPr>
                        <wps:wsp>
                          <wps:cNvPr id="9" name="文本框 3"/>
                          <wps:cNvSpPr txBox="1"/>
                          <wps:spPr>
                            <a:xfrm>
                              <a:off x="4655" y="144888"/>
                              <a:ext cx="3492" cy="116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0ABCFCF">
                                <w:pPr>
                                  <w:pStyle w:val="12"/>
                                  <w:jc w:val="both"/>
                                  <w:outlineLvl w:val="0"/>
                                  <w:rPr>
                                    <w:rFonts w:hint="default" w:ascii="仿宋_GB2312" w:hAnsi="仿宋_GB2312" w:eastAsia="仿宋_GB2312" w:cs="仿宋_GB2312"/>
                                    <w:lang w:val="en-US" w:eastAsia="zh-CN"/>
                                  </w:rPr>
                                </w:pPr>
                                <w:r>
                                  <w:rPr>
                                    <w:rFonts w:hint="eastAsia" w:ascii="仿宋_GB2312" w:hAnsi="仿宋_GB2312" w:eastAsia="仿宋_GB2312" w:cs="仿宋_GB2312"/>
                                  </w:rPr>
                                  <w:t>1.甲乙双方在核对</w:t>
                                </w:r>
                                <w:r>
                                  <w:rPr>
                                    <w:rFonts w:hint="eastAsia" w:ascii="仿宋_GB2312" w:hAnsi="仿宋_GB2312" w:eastAsia="仿宋_GB2312" w:cs="仿宋_GB2312"/>
                                    <w:lang w:val="en-US" w:eastAsia="zh-CN"/>
                                  </w:rPr>
                                  <w:t>调拨单、过磅单、</w:t>
                                </w:r>
                                <w:r>
                                  <w:rPr>
                                    <w:rFonts w:hint="eastAsia" w:ascii="仿宋_GB2312" w:hAnsi="仿宋_GB2312" w:eastAsia="仿宋_GB2312" w:cs="仿宋_GB2312"/>
                                  </w:rPr>
                                  <w:t>收料单</w:t>
                                </w:r>
                                <w:r>
                                  <w:rPr>
                                    <w:rFonts w:hint="eastAsia" w:ascii="仿宋_GB2312" w:hAnsi="仿宋_GB2312" w:eastAsia="仿宋_GB2312" w:cs="仿宋_GB2312"/>
                                    <w:lang w:val="en-US" w:eastAsia="zh-CN"/>
                                  </w:rPr>
                                  <w:t>、运距确认单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6"/>
                          <wps:cNvSpPr txBox="1"/>
                          <wps:spPr>
                            <a:xfrm>
                              <a:off x="8740" y="144974"/>
                              <a:ext cx="3898"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4B4ECA5">
                                <w:pPr>
                                  <w:pStyle w:val="12"/>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2CA6A63F">
                                <w:pPr>
                                  <w:pStyle w:val="12"/>
                                  <w:outlineLvl w:val="0"/>
                                  <w:rPr>
                                    <w:rFonts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8"/>
                          <wps:cNvSpPr txBox="1"/>
                          <wps:spPr>
                            <a:xfrm>
                              <a:off x="4676" y="146097"/>
                              <a:ext cx="3469" cy="108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1C7BF75">
                                <w:pPr>
                                  <w:pStyle w:val="12"/>
                                  <w:outlineLvl w:val="0"/>
                                  <w:rPr>
                                    <w:rFonts w:ascii="仿宋_GB2312" w:hAnsi="仿宋_GB2312" w:eastAsia="仿宋_GB2312" w:cs="仿宋_GB2312"/>
                                  </w:rPr>
                                </w:pPr>
                                <w:r>
                                  <w:rPr>
                                    <w:rFonts w:hint="eastAsia" w:ascii="仿宋_GB2312" w:hAnsi="仿宋_GB2312" w:eastAsia="仿宋_GB2312" w:cs="仿宋_GB2312"/>
                                  </w:rPr>
                                  <w:t>4.甲方公司复核结算，复核完成后按比例支付结算款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 name="文本框 11"/>
                          <wps:cNvSpPr txBox="1"/>
                          <wps:spPr>
                            <a:xfrm>
                              <a:off x="8706" y="145858"/>
                              <a:ext cx="3927" cy="12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0E34EDE">
                                <w:pPr>
                                  <w:pStyle w:val="12"/>
                                  <w:outlineLvl w:val="0"/>
                                  <w:rPr>
                                    <w:rFonts w:ascii="仿宋_GB2312" w:hAnsi="仿宋_GB2312" w:eastAsia="仿宋_GB2312" w:cs="仿宋_GB2312"/>
                                  </w:rPr>
                                </w:pPr>
                                <w:r>
                                  <w:rPr>
                                    <w:rFonts w:hint="eastAsia" w:ascii="仿宋_GB2312" w:hAnsi="仿宋_GB2312" w:eastAsia="仿宋_GB2312" w:cs="仿宋_GB2312"/>
                                  </w:rPr>
                                  <w:t>3.甲方项目部初步审核过程结算，乙方依据金额开具等额发票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4" name="肘形连接符 2"/>
                        <wps:cNvCnPr/>
                        <wps:spPr>
                          <a:xfrm flipH="1">
                            <a:off x="10059" y="142690"/>
                            <a:ext cx="5" cy="973"/>
                          </a:xfrm>
                          <a:prstGeom prst="bentConnector3">
                            <a:avLst>
                              <a:gd name="adj1" fmla="val -7500000"/>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25" name="直接箭头连接符 4"/>
                        <wps:cNvCnPr/>
                        <wps:spPr>
                          <a:xfrm>
                            <a:off x="5573" y="142689"/>
                            <a:ext cx="593"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6" name="直接箭头连接符 7"/>
                        <wps:cNvCnPr/>
                        <wps:spPr>
                          <a:xfrm flipH="1">
                            <a:off x="5571" y="143663"/>
                            <a:ext cx="561"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0.1pt;margin-top:4.15pt;height:103.15pt;width:399.15pt;mso-wrap-distance-bottom:0pt;mso-wrap-distance-top:0pt;z-index:251659264;mso-width-relative:page;mso-height-relative:page;" coordorigin="2081,142374" coordsize="7983,2063" o:gfxdata="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BksfGK2AAAAAcBAAAPAAAAAAAAAAEAIAAA&#10;ACIAAABkcnMvZG93bnJldi54bWxQSwECFAAUAAAACACHTuJA2aO7e/EEAABsFgAADgAAAAAAAAAB&#10;ACAAAAAnAQAAZHJzL2Uyb0RvYy54bWxQSwUGAAAAAAYABgBZAQAAiggAAAAA&#10;">
                <o:lock v:ext="edit" aspectratio="f"/>
                <v:group id="组合 5" o:spid="_x0000_s1026" o:spt="203" style="position:absolute;left:2081;top:142374;height:2063;width:7983;" coordorigin="4655,144888" coordsize="7983,2291"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文本框 3" o:spid="_x0000_s1026" o:spt="202" type="#_x0000_t202" style="position:absolute;left:4655;top:144888;height:1169;width:3492;"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30ABCFCF">
                          <w:pPr>
                            <w:pStyle w:val="12"/>
                            <w:jc w:val="both"/>
                            <w:outlineLvl w:val="0"/>
                            <w:rPr>
                              <w:rFonts w:hint="default" w:ascii="仿宋_GB2312" w:hAnsi="仿宋_GB2312" w:eastAsia="仿宋_GB2312" w:cs="仿宋_GB2312"/>
                              <w:lang w:val="en-US" w:eastAsia="zh-CN"/>
                            </w:rPr>
                          </w:pPr>
                          <w:r>
                            <w:rPr>
                              <w:rFonts w:hint="eastAsia" w:ascii="仿宋_GB2312" w:hAnsi="仿宋_GB2312" w:eastAsia="仿宋_GB2312" w:cs="仿宋_GB2312"/>
                            </w:rPr>
                            <w:t>1.甲乙双方在核对</w:t>
                          </w:r>
                          <w:r>
                            <w:rPr>
                              <w:rFonts w:hint="eastAsia" w:ascii="仿宋_GB2312" w:hAnsi="仿宋_GB2312" w:eastAsia="仿宋_GB2312" w:cs="仿宋_GB2312"/>
                              <w:lang w:val="en-US" w:eastAsia="zh-CN"/>
                            </w:rPr>
                            <w:t>调拨单、过磅单、</w:t>
                          </w:r>
                          <w:r>
                            <w:rPr>
                              <w:rFonts w:hint="eastAsia" w:ascii="仿宋_GB2312" w:hAnsi="仿宋_GB2312" w:eastAsia="仿宋_GB2312" w:cs="仿宋_GB2312"/>
                            </w:rPr>
                            <w:t>收料单</w:t>
                          </w:r>
                          <w:r>
                            <w:rPr>
                              <w:rFonts w:hint="eastAsia" w:ascii="仿宋_GB2312" w:hAnsi="仿宋_GB2312" w:eastAsia="仿宋_GB2312" w:cs="仿宋_GB2312"/>
                              <w:lang w:val="en-US" w:eastAsia="zh-CN"/>
                            </w:rPr>
                            <w:t>、运距确认单</w:t>
                          </w:r>
                        </w:p>
                      </w:txbxContent>
                    </v:textbox>
                  </v:shape>
                  <v:shape id="文本框 6" o:spid="_x0000_s1026" o:spt="202" type="#_x0000_t202" style="position:absolute;left:8740;top:144974;height:825;width:3898;"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54B4ECA5">
                          <w:pPr>
                            <w:pStyle w:val="12"/>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2CA6A63F">
                          <w:pPr>
                            <w:pStyle w:val="12"/>
                            <w:outlineLvl w:val="0"/>
                            <w:rPr>
                              <w:rFonts w:ascii="仿宋_GB2312" w:hAnsi="仿宋_GB2312" w:eastAsia="仿宋_GB2312" w:cs="仿宋_GB2312"/>
                            </w:rPr>
                          </w:pPr>
                        </w:p>
                      </w:txbxContent>
                    </v:textbox>
                  </v:shape>
                  <v:shape id="文本框 8" o:spid="_x0000_s1026" o:spt="202" type="#_x0000_t202" style="position:absolute;left:4676;top:146097;height:1082;width:3469;" fillcolor="#FFFFFF [3201]" filled="t" stroked="t" coordsize="21600,21600" o:gfxdata="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3U7QC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71C7BF75">
                          <w:pPr>
                            <w:pStyle w:val="12"/>
                            <w:outlineLvl w:val="0"/>
                            <w:rPr>
                              <w:rFonts w:ascii="仿宋_GB2312" w:hAnsi="仿宋_GB2312" w:eastAsia="仿宋_GB2312" w:cs="仿宋_GB2312"/>
                            </w:rPr>
                          </w:pPr>
                          <w:r>
                            <w:rPr>
                              <w:rFonts w:hint="eastAsia" w:ascii="仿宋_GB2312" w:hAnsi="仿宋_GB2312" w:eastAsia="仿宋_GB2312" w:cs="仿宋_GB2312"/>
                            </w:rPr>
                            <w:t>4.甲方公司复核结算，复核完成后按比例支付结算款</w:t>
                          </w:r>
                        </w:p>
                      </w:txbxContent>
                    </v:textbox>
                  </v:shape>
                  <v:shape id="文本框 11" o:spid="_x0000_s1026" o:spt="202" type="#_x0000_t202" style="position:absolute;left:8706;top:145858;height:1218;width:3927;" fillcolor="#FFFFFF [3201]" filled="t" stroked="t" coordsize="21600,21600" o:gfxdata="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0Gc3e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70E34EDE">
                          <w:pPr>
                            <w:pStyle w:val="12"/>
                            <w:outlineLvl w:val="0"/>
                            <w:rPr>
                              <w:rFonts w:ascii="仿宋_GB2312" w:hAnsi="仿宋_GB2312" w:eastAsia="仿宋_GB2312" w:cs="仿宋_GB2312"/>
                            </w:rPr>
                          </w:pPr>
                          <w:r>
                            <w:rPr>
                              <w:rFonts w:hint="eastAsia" w:ascii="仿宋_GB2312" w:hAnsi="仿宋_GB2312" w:eastAsia="仿宋_GB2312" w:cs="仿宋_GB2312"/>
                            </w:rPr>
                            <w:t>3.甲方项目部初步审核过程结算，乙方依据金额开具等额发票</w:t>
                          </w:r>
                        </w:p>
                      </w:txbxContent>
                    </v:textbox>
                  </v:shape>
                </v:group>
                <v:shape id="肘形连接符 2" o:spid="_x0000_s1026" o:spt="34" type="#_x0000_t34" style="position:absolute;left:10059;top:142690;flip:x;height:973;width:5;" filled="f" stroked="t" coordsize="21600,21600" o:gfxdata="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1DAHG8AAAA&#10;2wAAAA8AAAAAAAAAAQAgAAAAIgAAAGRycy9kb3ducmV2LnhtbFBLAQIUABQAAAAIAIdO4kAzLwWe&#10;OwAAADkAAAAQAAAAAAAAAAEAIAAAAAsBAABkcnMvc2hhcGV4bWwueG1sUEsFBgAAAAAGAAYAWwEA&#10;ALUDAAAAAA==&#10;" adj="-1620000">
                  <v:fill on="f" focussize="0,0"/>
                  <v:stroke weight="1pt" color="#000000 [3200]" miterlimit="8" joinstyle="miter" endarrow="open"/>
                  <v:imagedata o:title=""/>
                  <o:lock v:ext="edit" aspectratio="f"/>
                </v:shape>
                <v:shape id="直接箭头连接符 4" o:spid="_x0000_s1026" o:spt="32" type="#_x0000_t32" style="position:absolute;left:5573;top:142689;height:1;width:593;" filled="f" stroked="t" coordsize="21600,21600" o:gfxdata="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0NX28AAAA&#10;2wAAAA8AAAAAAAAAAQAgAAAAIgAAAGRycy9kb3ducmV2LnhtbFBLAQIUABQAAAAIAIdO4kAzLwWe&#10;OwAAADkAAAAQAAAAAAAAAAEAIAAAAAsBAABkcnMvc2hhcGV4bWwueG1sUEsFBgAAAAAGAAYAWwEA&#10;ALUDAAAAAA==&#10;">
                  <v:fill on="f" focussize="0,0"/>
                  <v:stroke weight="1pt" color="#000000 [3200]" miterlimit="8" joinstyle="miter" endarrow="open"/>
                  <v:imagedata o:title=""/>
                  <o:lock v:ext="edit" aspectratio="f"/>
                </v:shape>
                <v:shape id="直接箭头连接符 7" o:spid="_x0000_s1026" o:spt="32" type="#_x0000_t32" style="position:absolute;left:5571;top:143663;flip:x;height:7;width:561;" filled="f" stroked="t" coordsize="21600,21600" o:gfxdata="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FvOW/&#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w10:wrap type="topAndBottom"/>
              </v:group>
            </w:pict>
          </mc:Fallback>
        </mc:AlternateContent>
      </w:r>
      <w:r>
        <w:rPr>
          <w:rFonts w:hint="eastAsia" w:ascii="仿宋_GB2312" w:hAnsi="仿宋_GB2312" w:eastAsia="仿宋_GB2312" w:cs="仿宋_GB2312"/>
          <w:b/>
          <w:bCs/>
          <w:color w:val="000000" w:themeColor="text1"/>
          <w:highlight w:val="none"/>
          <w14:textFill>
            <w14:solidFill>
              <w14:schemeClr w14:val="tx1"/>
            </w14:solidFill>
          </w14:textFill>
        </w:rPr>
        <w:t>增值税专用发票：</w:t>
      </w:r>
    </w:p>
    <w:p w14:paraId="650F55B5">
      <w:pPr>
        <w:pStyle w:val="12"/>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3.1增值税票要求：</w:t>
      </w:r>
    </w:p>
    <w:p w14:paraId="48E1FFE5">
      <w:pPr>
        <w:pStyle w:val="12"/>
        <w:spacing w:line="48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3.1.1税票信息：</w:t>
      </w:r>
      <w:r>
        <w:rPr>
          <w:rFonts w:hint="eastAsia" w:ascii="仿宋_GB2312" w:hAnsi="仿宋_GB2312" w:eastAsia="仿宋_GB2312" w:cs="仿宋_GB2312"/>
          <w:color w:val="000000" w:themeColor="text1"/>
          <w:highlight w:val="none"/>
          <w14:textFill>
            <w14:solidFill>
              <w14:schemeClr w14:val="tx1"/>
            </w14:solidFill>
          </w14:textFill>
        </w:rPr>
        <w:t>乙方应按甲方要求提供以其本单位名义开具，适用</w:t>
      </w:r>
      <w:permStart w:id="2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3%/13 %</w:t>
      </w:r>
      <w:permEnd w:id="25"/>
      <w:r>
        <w:rPr>
          <w:rFonts w:hint="eastAsia" w:ascii="仿宋_GB2312" w:hAnsi="仿宋_GB2312" w:eastAsia="仿宋_GB2312" w:cs="仿宋_GB2312"/>
          <w:color w:val="000000" w:themeColor="text1"/>
          <w:highlight w:val="none"/>
          <w14:textFill>
            <w14:solidFill>
              <w14:schemeClr w14:val="tx1"/>
            </w14:solidFill>
          </w14:textFill>
        </w:rPr>
        <w:t>税率的增值税专用发票，并加盖与本合同中乙方名称一致的发票专用章（如税务部门要求合同、发票等备案登记的，乙方承担相关费用并办理相关手续）。</w:t>
      </w:r>
    </w:p>
    <w:p w14:paraId="73F33C15">
      <w:pPr>
        <w:pStyle w:val="12"/>
        <w:spacing w:line="48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3.1.2计税方式：</w:t>
      </w:r>
      <w:r>
        <w:rPr>
          <w:rFonts w:hint="eastAsia" w:ascii="仿宋_GB2312" w:hAnsi="仿宋_GB2312" w:eastAsia="仿宋_GB2312" w:cs="仿宋_GB2312"/>
          <w:color w:val="000000" w:themeColor="text1"/>
          <w:highlight w:val="none"/>
          <w14:textFill>
            <w14:solidFill>
              <w14:schemeClr w14:val="tx1"/>
            </w14:solidFill>
          </w14:textFill>
        </w:rPr>
        <w:t>本合同所涉应税行为计税方法为</w:t>
      </w:r>
      <w:permStart w:id="2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一般计税方法 </w:t>
      </w:r>
      <w:permEnd w:id="26"/>
      <w:r>
        <w:rPr>
          <w:rFonts w:hint="eastAsia" w:ascii="仿宋_GB2312" w:hAnsi="仿宋_GB2312" w:eastAsia="仿宋_GB2312" w:cs="仿宋_GB2312"/>
          <w:color w:val="000000" w:themeColor="text1"/>
          <w:highlight w:val="none"/>
          <w14:textFill>
            <w14:solidFill>
              <w14:schemeClr w14:val="tx1"/>
            </w14:solidFill>
          </w14:textFill>
        </w:rPr>
        <w:t>。</w:t>
      </w:r>
    </w:p>
    <w:p w14:paraId="04900D70">
      <w:pPr>
        <w:pStyle w:val="12"/>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3.1.3税票金额：</w:t>
      </w:r>
      <w:r>
        <w:rPr>
          <w:rFonts w:hint="eastAsia" w:ascii="仿宋_GB2312" w:hAnsi="仿宋_GB2312" w:eastAsia="仿宋_GB2312" w:cs="仿宋_GB2312"/>
          <w:color w:val="000000" w:themeColor="text1"/>
          <w:highlight w:val="none"/>
          <w14:textFill>
            <w14:solidFill>
              <w14:schemeClr w14:val="tx1"/>
            </w14:solidFill>
          </w14:textFill>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运输</w:t>
      </w:r>
      <w:r>
        <w:rPr>
          <w:rFonts w:hint="eastAsia" w:ascii="仿宋_GB2312" w:hAnsi="仿宋_GB2312" w:eastAsia="仿宋_GB2312" w:cs="仿宋_GB2312"/>
          <w:color w:val="000000" w:themeColor="text1"/>
          <w:highlight w:val="none"/>
          <w14:textFill>
            <w14:solidFill>
              <w14:schemeClr w14:val="tx1"/>
            </w14:solidFill>
          </w14:textFill>
        </w:rPr>
        <w:t>内容、结算内容相一致，并加盖发票专用章。</w:t>
      </w:r>
      <w:r>
        <w:rPr>
          <w:rFonts w:hint="eastAsia" w:ascii="仿宋_GB2312" w:hAnsi="仿宋_GB2312" w:eastAsia="仿宋_GB2312" w:cs="仿宋_GB2312"/>
          <w:b/>
          <w:bCs/>
          <w:color w:val="000000" w:themeColor="text1"/>
          <w:highlight w:val="none"/>
          <w14:textFill>
            <w14:solidFill>
              <w14:schemeClr w14:val="tx1"/>
            </w14:solidFill>
          </w14:textFill>
        </w:rPr>
        <w:t>如乙方未提供发票或提供发票不合规、不及时、无法认证，甲方有权拒绝付款，且不视为甲方付款逾期，乙方无权要求甲方支付利息、违约金或赔偿损失。</w:t>
      </w:r>
    </w:p>
    <w:p w14:paraId="2AEE90FA">
      <w:pPr>
        <w:pStyle w:val="12"/>
        <w:spacing w:line="48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3.1.4税率变化：</w:t>
      </w:r>
      <w:r>
        <w:rPr>
          <w:rFonts w:hint="eastAsia" w:ascii="仿宋_GB2312" w:hAnsi="仿宋_GB2312" w:eastAsia="仿宋_GB2312" w:cs="仿宋_GB2312"/>
          <w:color w:val="000000" w:themeColor="text1"/>
          <w:highlight w:val="none"/>
          <w14:textFill>
            <w14:solidFill>
              <w14:schemeClr w14:val="tx1"/>
            </w14:solidFill>
          </w14:textFill>
        </w:rPr>
        <w:t>合同执行过程中如遇国家税务政策调整导致适用税率发生变化，以货物</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运输</w:t>
      </w:r>
      <w:r>
        <w:rPr>
          <w:rFonts w:hint="eastAsia" w:ascii="仿宋_GB2312" w:hAnsi="仿宋_GB2312" w:eastAsia="仿宋_GB2312" w:cs="仿宋_GB2312"/>
          <w:color w:val="000000" w:themeColor="text1"/>
          <w:highlight w:val="none"/>
          <w14:textFill>
            <w14:solidFill>
              <w14:schemeClr w14:val="tx1"/>
            </w14:solidFill>
          </w14:textFill>
        </w:rPr>
        <w:t>验收时间点依据适用政策调整，执行按照新的税率，合同含税价格依据新的税率相应调整，乙方承担相应的纳税义务提供新税率的增值税专用发票。</w:t>
      </w:r>
    </w:p>
    <w:p w14:paraId="6E807B44">
      <w:pPr>
        <w:pStyle w:val="12"/>
        <w:spacing w:line="48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 税票丢失：</w:t>
      </w:r>
      <w:r>
        <w:rPr>
          <w:rFonts w:hint="eastAsia" w:ascii="仿宋_GB2312" w:hAnsi="仿宋_GB2312" w:eastAsia="仿宋_GB2312" w:cs="仿宋_GB2312"/>
          <w:color w:val="000000" w:themeColor="text1"/>
          <w:highlight w:val="none"/>
          <w14:textFill>
            <w14:solidFill>
              <w14:schemeClr w14:val="tx1"/>
            </w14:solidFill>
          </w14:textFill>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43C0B004">
      <w:pPr>
        <w:pStyle w:val="12"/>
        <w:spacing w:line="480" w:lineRule="exac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3.3税务信息：</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07BA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1971545F">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ermStart w:id="27" w:edGrp="everyone"/>
            <w:r>
              <w:rPr>
                <w:rFonts w:hint="eastAsia" w:ascii="仿宋_GB2312" w:hAnsi="仿宋_GB2312" w:eastAsia="仿宋_GB2312" w:cs="仿宋_GB2312"/>
                <w:b/>
                <w:color w:val="000000" w:themeColor="text1"/>
                <w:sz w:val="24"/>
                <w:szCs w:val="24"/>
                <w:highlight w:val="none"/>
                <w14:textFill>
                  <w14:solidFill>
                    <w14:schemeClr w14:val="tx1"/>
                  </w14:solidFill>
                </w14:textFill>
              </w:rPr>
              <w:t>甲方</w:t>
            </w:r>
          </w:p>
        </w:tc>
        <w:tc>
          <w:tcPr>
            <w:tcW w:w="1845" w:type="dxa"/>
            <w:tcBorders>
              <w:top w:val="single" w:color="auto" w:sz="12" w:space="0"/>
            </w:tcBorders>
            <w:vAlign w:val="bottom"/>
          </w:tcPr>
          <w:p w14:paraId="6CDC847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single" w:color="auto" w:sz="12" w:space="0"/>
              <w:right w:val="single" w:color="auto" w:sz="12" w:space="0"/>
            </w:tcBorders>
          </w:tcPr>
          <w:p w14:paraId="1A2F52C2">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中建路桥集团有限公司</w:t>
            </w:r>
          </w:p>
        </w:tc>
      </w:tr>
      <w:tr w14:paraId="1199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6C9FF0C0">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6BD185B9">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5D106E58">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一般纳税人</w:t>
            </w:r>
          </w:p>
        </w:tc>
      </w:tr>
      <w:tr w14:paraId="1A60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7744027B">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19C59BC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77938AF3">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91130000401700454L</w:t>
            </w:r>
          </w:p>
        </w:tc>
      </w:tr>
      <w:tr w14:paraId="2902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48F9794">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1688249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tcPr>
          <w:p w14:paraId="5C0886D8">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河北省</w:t>
            </w:r>
            <w:r>
              <w:rPr>
                <w:rFonts w:hint="eastAsia" w:ascii="仿宋_GB2312" w:hAnsi="仿宋_GB2312" w:eastAsia="仿宋_GB2312" w:cs="仿宋_GB2312"/>
                <w:color w:val="000000" w:themeColor="text1"/>
                <w:sz w:val="24"/>
                <w:szCs w:val="24"/>
                <w:highlight w:val="none"/>
                <w14:textFill>
                  <w14:solidFill>
                    <w14:schemeClr w14:val="tx1"/>
                  </w14:solidFill>
                </w14:textFill>
              </w:rPr>
              <w:t>石家庄市</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桥西区</w:t>
            </w:r>
            <w:r>
              <w:rPr>
                <w:rFonts w:hint="eastAsia" w:ascii="仿宋_GB2312" w:hAnsi="仿宋_GB2312" w:eastAsia="仿宋_GB2312" w:cs="仿宋_GB2312"/>
                <w:color w:val="000000" w:themeColor="text1"/>
                <w:sz w:val="24"/>
                <w:szCs w:val="24"/>
                <w:highlight w:val="none"/>
                <w14:textFill>
                  <w14:solidFill>
                    <w14:schemeClr w14:val="tx1"/>
                  </w14:solidFill>
                </w14:textFill>
              </w:rPr>
              <w:t>建设南大街70号、0311-86028814</w:t>
            </w:r>
          </w:p>
        </w:tc>
      </w:tr>
      <w:tr w14:paraId="310A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068B405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4BE0720A">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right w:val="single" w:color="auto" w:sz="12" w:space="0"/>
            </w:tcBorders>
            <w:vAlign w:val="top"/>
          </w:tcPr>
          <w:p w14:paraId="51445EEF">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建行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石家庄</w:t>
            </w:r>
            <w:r>
              <w:rPr>
                <w:rFonts w:hint="eastAsia" w:ascii="仿宋_GB2312" w:hAnsi="仿宋_GB2312" w:eastAsia="仿宋_GB2312" w:cs="仿宋_GB2312"/>
                <w:color w:val="000000" w:themeColor="text1"/>
                <w:sz w:val="24"/>
                <w:szCs w:val="24"/>
                <w:highlight w:val="none"/>
                <w14:textFill>
                  <w14:solidFill>
                    <w14:schemeClr w14:val="tx1"/>
                  </w14:solidFill>
                </w14:textFill>
              </w:rPr>
              <w:t>平安大街支行13001618601050504927</w:t>
            </w:r>
          </w:p>
        </w:tc>
      </w:tr>
      <w:tr w14:paraId="7ADB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686914FC">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tcBorders>
              <w:bottom w:val="double" w:color="auto" w:sz="4" w:space="0"/>
            </w:tcBorders>
            <w:vAlign w:val="bottom"/>
          </w:tcPr>
          <w:p w14:paraId="5985F989">
            <w:pPr>
              <w:snapToGrid w:val="0"/>
              <w:spacing w:line="400" w:lineRule="atLeast"/>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      注</w:t>
            </w:r>
          </w:p>
          <w:p w14:paraId="2440F4E2">
            <w:pPr>
              <w:rPr>
                <w:highlight w:val="none"/>
              </w:rPr>
            </w:pPr>
          </w:p>
        </w:tc>
        <w:tc>
          <w:tcPr>
            <w:tcW w:w="6143" w:type="dxa"/>
            <w:tcBorders>
              <w:bottom w:val="double" w:color="auto" w:sz="4" w:space="0"/>
              <w:right w:val="single" w:color="auto" w:sz="12" w:space="0"/>
            </w:tcBorders>
          </w:tcPr>
          <w:p w14:paraId="4866F84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162D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37236957">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乙方</w:t>
            </w:r>
          </w:p>
        </w:tc>
        <w:tc>
          <w:tcPr>
            <w:tcW w:w="1845" w:type="dxa"/>
            <w:tcBorders>
              <w:top w:val="double" w:color="auto" w:sz="4" w:space="0"/>
            </w:tcBorders>
            <w:vAlign w:val="bottom"/>
          </w:tcPr>
          <w:p w14:paraId="34D960B4">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double" w:color="auto" w:sz="4" w:space="0"/>
              <w:right w:val="single" w:color="auto" w:sz="12" w:space="0"/>
            </w:tcBorders>
          </w:tcPr>
          <w:p w14:paraId="4A98472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71CC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3424685C">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5C24097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7520441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4C25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74125D86">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410F719D">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048262F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3B8A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3435E6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02B03AFD">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vAlign w:val="bottom"/>
          </w:tcPr>
          <w:p w14:paraId="76F69952">
            <w:pPr>
              <w:pStyle w:val="12"/>
              <w:jc w:val="both"/>
              <w:rPr>
                <w:rFonts w:ascii="仿宋_GB2312" w:hAnsi="仿宋_GB2312" w:eastAsia="仿宋_GB2312" w:cs="仿宋_GB2312"/>
                <w:bCs/>
                <w:color w:val="000000" w:themeColor="text1"/>
                <w:kern w:val="2"/>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tc>
      </w:tr>
      <w:tr w14:paraId="4E16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695A461B">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tcBorders>
              <w:bottom w:val="single" w:color="auto" w:sz="12" w:space="0"/>
            </w:tcBorders>
            <w:vAlign w:val="bottom"/>
          </w:tcPr>
          <w:p w14:paraId="791432B8">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bottom w:val="single" w:color="auto" w:sz="12" w:space="0"/>
              <w:right w:val="single" w:color="auto" w:sz="12" w:space="0"/>
            </w:tcBorders>
          </w:tcPr>
          <w:p w14:paraId="637A7765">
            <w:pPr>
              <w:snapToGrid w:val="0"/>
              <w:spacing w:line="400" w:lineRule="atLeast"/>
              <w:contextualSpacing/>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permEnd w:id="27"/>
    </w:tbl>
    <w:p w14:paraId="0C3E1CCB">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任何一方如上述信息发生变更，应提前10日以书面方式通知另一方。如一方未按本合同规定通知而使另一方遭受损失的，应予以赔偿。</w:t>
      </w:r>
    </w:p>
    <w:p w14:paraId="2183DDE8">
      <w:pPr>
        <w:pStyle w:val="12"/>
        <w:widowControl/>
        <w:numPr>
          <w:ilvl w:val="0"/>
          <w:numId w:val="1"/>
        </w:numPr>
        <w:spacing w:before="120" w:beforeLines="50" w:after="120" w:afterLines="50" w:line="400" w:lineRule="atLeast"/>
        <w:outlineLvl w:val="0"/>
        <w:rPr>
          <w:rFonts w:ascii="仿宋_GB2312" w:hAnsi="仿宋_GB2312" w:eastAsia="仿宋_GB2312" w:cs="仿宋_GB2312"/>
          <w:b/>
          <w:bCs/>
          <w:color w:val="000000" w:themeColor="text1"/>
          <w:highlight w:val="none"/>
          <w14:textFill>
            <w14:solidFill>
              <w14:schemeClr w14:val="tx1"/>
            </w14:solidFill>
          </w14:textFill>
        </w:rPr>
      </w:pPr>
      <w:bookmarkStart w:id="28" w:name="_Toc21607"/>
      <w:bookmarkStart w:id="29" w:name="_Toc21859"/>
      <w:bookmarkStart w:id="30" w:name="_Toc18540"/>
      <w:r>
        <w:rPr>
          <w:rFonts w:hint="eastAsia" w:ascii="仿宋_GB2312" w:hAnsi="仿宋_GB2312" w:eastAsia="仿宋_GB2312" w:cs="仿宋_GB2312"/>
          <w:b/>
          <w:bCs/>
          <w:color w:val="000000" w:themeColor="text1"/>
          <w:highlight w:val="none"/>
          <w14:textFill>
            <w14:solidFill>
              <w14:schemeClr w14:val="tx1"/>
            </w14:solidFill>
          </w14:textFill>
        </w:rPr>
        <w:t>货物付款</w:t>
      </w:r>
      <w:bookmarkEnd w:id="28"/>
      <w:bookmarkEnd w:id="29"/>
      <w:bookmarkEnd w:id="30"/>
    </w:p>
    <w:p w14:paraId="3C251221">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1、支付周期及支付比例：</w:t>
      </w:r>
      <w:r>
        <w:rPr>
          <w:rFonts w:hint="eastAsia" w:ascii="仿宋_GB2312" w:hAnsi="仿宋_GB2312" w:eastAsia="仿宋_GB2312" w:cs="仿宋_GB2312"/>
          <w:color w:val="000000" w:themeColor="text1"/>
          <w:highlight w:val="none"/>
          <w14:textFill>
            <w14:solidFill>
              <w14:schemeClr w14:val="tx1"/>
            </w14:solidFill>
          </w14:textFill>
        </w:rPr>
        <w:t>双方办理完结算后，适用第</w:t>
      </w:r>
      <w:permStart w:id="2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28"/>
      <w:r>
        <w:rPr>
          <w:rFonts w:hint="eastAsia" w:ascii="仿宋_GB2312" w:hAnsi="仿宋_GB2312" w:eastAsia="仿宋_GB2312" w:cs="仿宋_GB2312"/>
          <w:color w:val="000000" w:themeColor="text1"/>
          <w:highlight w:val="none"/>
          <w14:textFill>
            <w14:solidFill>
              <w14:schemeClr w14:val="tx1"/>
            </w14:solidFill>
          </w14:textFill>
        </w:rPr>
        <w:t>条付款条件：</w:t>
      </w:r>
    </w:p>
    <w:p w14:paraId="5FA7E05B">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1.1本合同无预付款，</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运输费</w:t>
      </w:r>
      <w:r>
        <w:rPr>
          <w:rFonts w:hint="eastAsia" w:ascii="仿宋_GB2312" w:hAnsi="仿宋_GB2312" w:eastAsia="仿宋_GB2312" w:cs="仿宋_GB2312"/>
          <w:color w:val="000000" w:themeColor="text1"/>
          <w:highlight w:val="none"/>
          <w14:textFill>
            <w14:solidFill>
              <w14:schemeClr w14:val="tx1"/>
            </w14:solidFill>
          </w14:textFill>
        </w:rPr>
        <w:t>来源于项目工程结算款。</w:t>
      </w:r>
      <w:r>
        <w:rPr>
          <w:rFonts w:hint="eastAsia" w:ascii="仿宋_GB2312" w:hAnsi="仿宋_GB2312" w:eastAsia="仿宋_GB2312" w:cs="仿宋_GB2312"/>
          <w:color w:val="auto"/>
          <w:sz w:val="24"/>
          <w:szCs w:val="24"/>
          <w:highlight w:val="none"/>
          <w:lang w:val="en-US" w:eastAsia="zh-CN"/>
        </w:rPr>
        <w:t>甲方按资金审批计划对租赁费进行支付。</w:t>
      </w:r>
      <w:r>
        <w:rPr>
          <w:rFonts w:hint="eastAsia" w:ascii="仿宋_GB2312" w:hAnsi="仿宋_GB2312" w:eastAsia="仿宋_GB2312" w:cs="仿宋_GB2312"/>
          <w:color w:val="000000" w:themeColor="text1"/>
          <w:highlight w:val="none"/>
          <w14:textFill>
            <w14:solidFill>
              <w14:schemeClr w14:val="tx1"/>
            </w14:solidFill>
          </w14:textFill>
        </w:rPr>
        <w:t>付款期限自双方确认结算金额之日起计算，暂定为在甲乙双方完成月度物资结算手续且甲方收到乙方相应全额发票后，</w:t>
      </w:r>
      <w:permStart w:id="29" w:edGrp="everyone"/>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 xml:space="preserve"> </w:t>
      </w:r>
      <w:permEnd w:id="29"/>
      <w:r>
        <w:rPr>
          <w:rFonts w:hint="eastAsia" w:ascii="仿宋_GB2312" w:hAnsi="仿宋_GB2312" w:eastAsia="仿宋_GB2312" w:cs="仿宋_GB2312"/>
          <w:color w:val="000000" w:themeColor="text1"/>
          <w:highlight w:val="none"/>
          <w14:textFill>
            <w14:solidFill>
              <w14:schemeClr w14:val="tx1"/>
            </w14:solidFill>
          </w14:textFill>
        </w:rPr>
        <w:t>个月内支付当期应付货款的</w:t>
      </w:r>
      <w:permStart w:id="30" w:edGrp="everyone"/>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95</w:t>
      </w:r>
      <w:r>
        <w:rPr>
          <w:rFonts w:hint="eastAsia" w:ascii="仿宋_GB2312" w:hAnsi="仿宋_GB2312" w:eastAsia="仿宋_GB2312" w:cs="仿宋_GB2312"/>
          <w:color w:val="000000" w:themeColor="text1"/>
          <w:highlight w:val="none"/>
          <w14:textFill>
            <w14:solidFill>
              <w14:schemeClr w14:val="tx1"/>
            </w14:solidFill>
          </w14:textFill>
        </w:rPr>
        <w:t xml:space="preserve"> </w:t>
      </w:r>
      <w:permEnd w:id="30"/>
      <w:r>
        <w:rPr>
          <w:rFonts w:hint="eastAsia" w:ascii="仿宋_GB2312" w:hAnsi="仿宋_GB2312" w:eastAsia="仿宋_GB2312" w:cs="仿宋_GB2312"/>
          <w:color w:val="000000" w:themeColor="text1"/>
          <w:highlight w:val="none"/>
          <w14:textFill>
            <w14:solidFill>
              <w14:schemeClr w14:val="tx1"/>
            </w14:solidFill>
          </w14:textFill>
        </w:rPr>
        <w:t>%，</w:t>
      </w:r>
      <w:permStart w:id="31" w:edGrp="everyone"/>
      <w:r>
        <w:rPr>
          <w:rFonts w:hint="eastAsia" w:ascii="仿宋_GB2312" w:hAnsi="仿宋_GB2312" w:eastAsia="仿宋_GB2312" w:cs="仿宋_GB2312"/>
          <w:color w:val="000000" w:themeColor="text1"/>
          <w:highlight w:val="none"/>
          <w14:textFill>
            <w14:solidFill>
              <w14:schemeClr w14:val="tx1"/>
            </w14:solidFill>
          </w14:textFill>
        </w:rPr>
        <w:t xml:space="preserve">   </w:t>
      </w:r>
      <w:permEnd w:id="31"/>
      <w:r>
        <w:rPr>
          <w:rFonts w:hint="eastAsia" w:ascii="仿宋_GB2312" w:hAnsi="仿宋_GB2312" w:eastAsia="仿宋_GB2312" w:cs="仿宋_GB2312"/>
          <w:color w:val="000000" w:themeColor="text1"/>
          <w:highlight w:val="none"/>
          <w14:textFill>
            <w14:solidFill>
              <w14:schemeClr w14:val="tx1"/>
            </w14:solidFill>
          </w14:textFill>
        </w:rPr>
        <w:t>个月内支付至当期货款的</w:t>
      </w:r>
      <w:permStart w:id="32" w:edGrp="everyone"/>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highlight w:val="none"/>
          <w14:textFill>
            <w14:solidFill>
              <w14:schemeClr w14:val="tx1"/>
            </w14:solidFill>
          </w14:textFill>
        </w:rPr>
        <w:t xml:space="preserve"> </w:t>
      </w:r>
      <w:permEnd w:id="32"/>
      <w:r>
        <w:rPr>
          <w:rFonts w:hint="eastAsia" w:ascii="仿宋_GB2312" w:hAnsi="仿宋_GB2312" w:eastAsia="仿宋_GB2312" w:cs="仿宋_GB2312"/>
          <w:color w:val="000000" w:themeColor="text1"/>
          <w:highlight w:val="none"/>
          <w14:textFill>
            <w14:solidFill>
              <w14:schemeClr w14:val="tx1"/>
            </w14:solidFill>
          </w14:textFill>
        </w:rPr>
        <w:t>%，余下</w:t>
      </w:r>
      <w:permStart w:id="33" w:edGrp="everyone"/>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14:textFill>
            <w14:solidFill>
              <w14:schemeClr w14:val="tx1"/>
            </w14:solidFill>
          </w14:textFill>
        </w:rPr>
        <w:t xml:space="preserve"> </w:t>
      </w:r>
      <w:permEnd w:id="33"/>
      <w:r>
        <w:rPr>
          <w:rFonts w:hint="eastAsia" w:ascii="仿宋_GB2312" w:hAnsi="仿宋_GB2312" w:eastAsia="仿宋_GB2312" w:cs="仿宋_GB2312"/>
          <w:color w:val="000000" w:themeColor="text1"/>
          <w:highlight w:val="none"/>
          <w14:textFill>
            <w14:solidFill>
              <w14:schemeClr w14:val="tx1"/>
            </w14:solidFill>
          </w14:textFill>
        </w:rPr>
        <w:t>%货款在乙方所供当期物资经检验合格后的</w:t>
      </w:r>
      <w:permStart w:id="3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34"/>
      <w:r>
        <w:rPr>
          <w:rFonts w:hint="eastAsia" w:ascii="仿宋_GB2312" w:hAnsi="仿宋_GB2312" w:eastAsia="仿宋_GB2312" w:cs="仿宋_GB2312"/>
          <w:color w:val="000000" w:themeColor="text1"/>
          <w:highlight w:val="none"/>
          <w14:textFill>
            <w14:solidFill>
              <w14:schemeClr w14:val="tx1"/>
            </w14:solidFill>
          </w14:textFill>
        </w:rPr>
        <w:t>个工作日内付清。以此类推。</w:t>
      </w:r>
    </w:p>
    <w:p w14:paraId="5CC06D6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其他：</w:t>
      </w:r>
      <w:permStart w:id="35"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35"/>
      <w:r>
        <w:rPr>
          <w:rFonts w:hint="eastAsia" w:ascii="仿宋_GB2312" w:hAnsi="仿宋_GB2312" w:eastAsia="仿宋_GB2312" w:cs="仿宋_GB2312"/>
          <w:color w:val="000000" w:themeColor="text1"/>
          <w:highlight w:val="none"/>
          <w14:textFill>
            <w14:solidFill>
              <w14:schemeClr w14:val="tx1"/>
            </w14:solidFill>
          </w14:textFill>
        </w:rPr>
        <w:t>。</w:t>
      </w:r>
    </w:p>
    <w:p w14:paraId="31545350">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2、支付形式：</w:t>
      </w:r>
      <w:r>
        <w:rPr>
          <w:rFonts w:hint="eastAsia" w:ascii="仿宋_GB2312" w:hAnsi="仿宋_GB2312" w:eastAsia="仿宋_GB2312" w:cs="仿宋_GB2312"/>
          <w:color w:val="000000" w:themeColor="text1"/>
          <w:highlight w:val="none"/>
          <w14:textFill>
            <w14:solidFill>
              <w14:schemeClr w14:val="tx1"/>
            </w14:solidFill>
          </w14:textFill>
        </w:rPr>
        <w:t>本合同付款形式适用第</w:t>
      </w:r>
      <w:permStart w:id="3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2.2  </w:t>
      </w:r>
      <w:permEnd w:id="36"/>
      <w:r>
        <w:rPr>
          <w:rFonts w:hint="eastAsia" w:ascii="仿宋_GB2312" w:hAnsi="仿宋_GB2312" w:eastAsia="仿宋_GB2312" w:cs="仿宋_GB2312"/>
          <w:color w:val="000000" w:themeColor="text1"/>
          <w:highlight w:val="none"/>
          <w14:textFill>
            <w14:solidFill>
              <w14:schemeClr w14:val="tx1"/>
            </w14:solidFill>
          </w14:textFill>
        </w:rPr>
        <w:t>条；</w:t>
      </w:r>
    </w:p>
    <w:p w14:paraId="7E77513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2.1货币付款。</w:t>
      </w:r>
    </w:p>
    <w:p w14:paraId="720BBAE0">
      <w:pPr>
        <w:tabs>
          <w:tab w:val="left" w:pos="765"/>
        </w:tabs>
        <w:spacing w:line="400" w:lineRule="exact"/>
        <w:ind w:firstLine="42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14:textFill>
            <w14:solidFill>
              <w14:schemeClr w14:val="tx1"/>
            </w14:solidFill>
          </w14:textFill>
        </w:rPr>
        <w:t>货币及其他的形式（包括且不限于支票、电汇、银行承兑汇票、商业承兑汇票、保理、信用证、供应链融资等）向乙方付款。（其中非现金付款方式不低于合同总价的</w:t>
      </w:r>
      <w:permStart w:id="3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37"/>
      <w:r>
        <w:rPr>
          <w:rFonts w:hint="eastAsia" w:ascii="仿宋_GB2312" w:hAnsi="仿宋_GB2312" w:eastAsia="仿宋_GB2312" w:cs="仿宋_GB2312"/>
          <w:color w:val="000000" w:themeColor="text1"/>
          <w:sz w:val="24"/>
          <w:szCs w:val="24"/>
          <w:highlight w:val="none"/>
          <w14:textFill>
            <w14:solidFill>
              <w14:schemeClr w14:val="tx1"/>
            </w14:solidFill>
          </w14:textFill>
        </w:rPr>
        <w:t>%，期限为六个月，因此产生的相关贴现成本由乙方承担。</w:t>
      </w:r>
    </w:p>
    <w:p w14:paraId="5B14E285">
      <w:pPr>
        <w:tabs>
          <w:tab w:val="left" w:pos="765"/>
        </w:tabs>
        <w:spacing w:line="400" w:lineRule="exact"/>
        <w:ind w:firstLine="480" w:firstLineChars="20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乙方须保证资金往来账户与本合同所约定账户一致，开票单位名称与合同约定名称一致。）</w:t>
      </w:r>
    </w:p>
    <w:p w14:paraId="50A121A6">
      <w:pPr>
        <w:pStyle w:val="12"/>
        <w:spacing w:line="48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3、付款条件：</w:t>
      </w:r>
      <w:r>
        <w:rPr>
          <w:rFonts w:hint="eastAsia" w:ascii="仿宋_GB2312" w:hAnsi="仿宋_GB2312" w:eastAsia="仿宋_GB2312" w:cs="仿宋_GB2312"/>
          <w:color w:val="000000" w:themeColor="text1"/>
          <w:highlight w:val="none"/>
          <w14:textFill>
            <w14:solidFill>
              <w14:schemeClr w14:val="tx1"/>
            </w14:solidFill>
          </w14:textFill>
        </w:rPr>
        <w:t>乙方向甲方申请付款时，应先行满足以下条件：</w:t>
      </w:r>
    </w:p>
    <w:p w14:paraId="6BE03439">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运输服务已按甲方要求完成</w:t>
      </w:r>
      <w:r>
        <w:rPr>
          <w:rFonts w:hint="eastAsia" w:ascii="仿宋_GB2312" w:hAnsi="仿宋_GB2312" w:eastAsia="仿宋_GB2312" w:cs="仿宋_GB2312"/>
          <w:color w:val="000000" w:themeColor="text1"/>
          <w:highlight w:val="none"/>
          <w14:textFill>
            <w14:solidFill>
              <w14:schemeClr w14:val="tx1"/>
            </w14:solidFill>
          </w14:textFill>
        </w:rPr>
        <w:t>。</w:t>
      </w:r>
    </w:p>
    <w:p w14:paraId="6BE3D1B3">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3.2乙方申请付款依据的结算单已由甲方最终有效确认，付款期限已经届满。</w:t>
      </w:r>
    </w:p>
    <w:p w14:paraId="4260B3FD">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3.3乙方已向甲方提供与结算等额增值税专用发票，且甲方已完成发票认证。</w:t>
      </w:r>
    </w:p>
    <w:p w14:paraId="340E9623">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在支付条件达成的基础上，甲方按以上方式向乙方付款，预付款不适用上述条件。</w:t>
      </w:r>
    </w:p>
    <w:p w14:paraId="68E6D030">
      <w:pPr>
        <w:pStyle w:val="12"/>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4、乙方收款账户：</w:t>
      </w:r>
    </w:p>
    <w:p w14:paraId="1199CCCA">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开户银行：</w:t>
      </w:r>
      <w:permStart w:id="3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38"/>
    </w:p>
    <w:p w14:paraId="73D8F078">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银行帐号：</w:t>
      </w:r>
      <w:permStart w:id="3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39"/>
    </w:p>
    <w:p w14:paraId="0B9D7508">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乙方指定</w:t>
      </w:r>
      <w:permStart w:id="4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0"/>
      <w:r>
        <w:rPr>
          <w:rFonts w:hint="eastAsia" w:ascii="仿宋_GB2312" w:hAnsi="仿宋_GB2312" w:eastAsia="仿宋_GB2312" w:cs="仿宋_GB2312"/>
          <w:color w:val="000000" w:themeColor="text1"/>
          <w:highlight w:val="none"/>
          <w14:textFill>
            <w14:solidFill>
              <w14:schemeClr w14:val="tx1"/>
            </w14:solidFill>
          </w14:textFill>
        </w:rPr>
        <w:t>（身份证号：</w:t>
      </w:r>
      <w:permStart w:id="4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1"/>
      <w:r>
        <w:rPr>
          <w:rFonts w:hint="eastAsia" w:ascii="仿宋_GB2312" w:hAnsi="仿宋_GB2312" w:eastAsia="仿宋_GB2312" w:cs="仿宋_GB2312"/>
          <w:color w:val="000000" w:themeColor="text1"/>
          <w:highlight w:val="none"/>
          <w14:textFill>
            <w14:solidFill>
              <w14:schemeClr w14:val="tx1"/>
            </w14:solidFill>
          </w14:textFill>
        </w:rPr>
        <w:t>）作为收款经办人，同甲方相关人员沟通洽商付款具体事宜。</w:t>
      </w:r>
    </w:p>
    <w:p w14:paraId="75AAB56B">
      <w:pPr>
        <w:pStyle w:val="12"/>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甲方仅向乙方本单位名下银行账户支付价款，未经甲方同意，乙方不得委托任何第三方代为收款，否则甲方有权拒绝付款。</w:t>
      </w:r>
    </w:p>
    <w:p w14:paraId="5D443F2D">
      <w:pPr>
        <w:pStyle w:val="12"/>
        <w:spacing w:line="48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5、账户变动：</w:t>
      </w:r>
      <w:r>
        <w:rPr>
          <w:rFonts w:hint="eastAsia" w:ascii="仿宋_GB2312" w:hAnsi="仿宋_GB2312" w:eastAsia="仿宋_GB2312" w:cs="仿宋_GB2312"/>
          <w:color w:val="000000" w:themeColor="text1"/>
          <w:highlight w:val="none"/>
          <w14:textFill>
            <w14:solidFill>
              <w14:schemeClr w14:val="tx1"/>
            </w14:solidFill>
          </w14:textFill>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13B302B0">
      <w:pPr>
        <w:pStyle w:val="12"/>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6、履约保证金缴纳及退还：</w:t>
      </w:r>
    </w:p>
    <w:p w14:paraId="78B206A9">
      <w:pPr>
        <w:spacing w:line="480" w:lineRule="exact"/>
        <w:ind w:firstLine="482"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6.1履约保证金缴纳形式：</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乙方在签订合同前应向甲方缴纳合同额的</w:t>
      </w:r>
      <w:permStart w:id="4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p w14:paraId="6F220E6C">
      <w:pPr>
        <w:spacing w:line="48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42"/>
      <w:r>
        <w:rPr>
          <w:rFonts w:hint="eastAsia" w:ascii="仿宋_GB2312" w:hAnsi="仿宋_GB2312" w:eastAsia="仿宋_GB2312" w:cs="仿宋_GB2312"/>
          <w:color w:val="000000" w:themeColor="text1"/>
          <w:sz w:val="24"/>
          <w:szCs w:val="24"/>
          <w:highlight w:val="none"/>
          <w14:textFill>
            <w14:solidFill>
              <w14:schemeClr w14:val="tx1"/>
            </w14:solidFill>
          </w14:textFill>
        </w:rPr>
        <w:t>%或</w:t>
      </w:r>
      <w:permStart w:id="4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43"/>
      <w:r>
        <w:rPr>
          <w:rFonts w:hint="eastAsia" w:ascii="仿宋_GB2312" w:hAnsi="仿宋_GB2312" w:eastAsia="仿宋_GB2312" w:cs="仿宋_GB2312"/>
          <w:color w:val="000000" w:themeColor="text1"/>
          <w:sz w:val="24"/>
          <w:szCs w:val="24"/>
          <w:highlight w:val="none"/>
          <w14:textFill>
            <w14:solidFill>
              <w14:schemeClr w14:val="tx1"/>
            </w14:solidFill>
          </w14:textFill>
        </w:rPr>
        <w:t>元的履约保证金，具体缴纳形式采用第</w:t>
      </w:r>
      <w:permStart w:id="4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6.1.1</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44"/>
      <w:r>
        <w:rPr>
          <w:rFonts w:hint="eastAsia" w:ascii="仿宋_GB2312" w:hAnsi="仿宋_GB2312" w:eastAsia="仿宋_GB2312" w:cs="仿宋_GB2312"/>
          <w:color w:val="000000" w:themeColor="text1"/>
          <w:sz w:val="24"/>
          <w:szCs w:val="24"/>
          <w:highlight w:val="none"/>
          <w14:textFill>
            <w14:solidFill>
              <w14:schemeClr w14:val="tx1"/>
            </w14:solidFill>
          </w14:textFill>
        </w:rPr>
        <w:t>种：</w:t>
      </w:r>
    </w:p>
    <w:p w14:paraId="566F19DC">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6.1.1无需缴纳履约保证金。</w:t>
      </w:r>
    </w:p>
    <w:p w14:paraId="23F4CD68">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6.1.2银行转账：乙方未参与甲方其他在建项目，采用银行转账方式缴纳履约保证金，并由项目相应会计根据财务部规定办理相应流程，开具证明件。</w:t>
      </w:r>
    </w:p>
    <w:p w14:paraId="0AF28F7B">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6.1.3应付款抵扣：乙方参与甲方其他在建项目，履约保证金从其他项目应付款中抵扣，并由项目相应会计根据财务部规定办理相应流程，开具证明件。</w:t>
      </w:r>
    </w:p>
    <w:p w14:paraId="5A3E35A6">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6.1.4履约保函</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只接受银行保函，不接受商业保函</w:t>
      </w:r>
      <w:r>
        <w:rPr>
          <w:rFonts w:hint="eastAsia" w:ascii="仿宋_GB2312" w:hAnsi="仿宋_GB2312" w:eastAsia="仿宋_GB2312" w:cs="仿宋_GB2312"/>
          <w:color w:val="auto"/>
          <w:sz w:val="24"/>
          <w:szCs w:val="24"/>
          <w:highlight w:val="none"/>
        </w:rPr>
        <w:t>。</w:t>
      </w:r>
    </w:p>
    <w:p w14:paraId="200B9056">
      <w:pPr>
        <w:spacing w:line="480" w:lineRule="exact"/>
        <w:ind w:firstLine="480"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6.1.5其他</w:t>
      </w:r>
      <w:permStart w:id="4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45"/>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509A3FD7">
      <w:pPr>
        <w:spacing w:line="48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6.1.6履约保证金缴纳账户：</w:t>
      </w:r>
    </w:p>
    <w:p w14:paraId="4B587548">
      <w:pPr>
        <w:spacing w:line="480" w:lineRule="exac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户名：</w:t>
      </w:r>
      <w:permStart w:id="4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eastAsia="仿宋_GB2312" w:hAnsiTheme="minorEastAsia"/>
          <w:b w:val="0"/>
          <w:bCs/>
          <w:sz w:val="21"/>
          <w:szCs w:val="21"/>
          <w:u w:val="single"/>
        </w:rPr>
        <w:t>中建路桥集团第六工程有限公司</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46"/>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90566E9">
      <w:pPr>
        <w:spacing w:line="480" w:lineRule="exac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帐号：</w:t>
      </w:r>
      <w:permStart w:id="4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13050165527200000297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47"/>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A600BA0">
      <w:pPr>
        <w:spacing w:line="480" w:lineRule="exac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w:t>
      </w:r>
      <w:permStart w:id="4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建行邢台青青家园支行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48"/>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3F77792E">
      <w:pPr>
        <w:pStyle w:val="12"/>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6.2 履约保证金退还：</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已缴纳履约保证金的，</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在合同完成后</w:t>
      </w:r>
      <w:permStart w:id="49"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 xml:space="preserve"> 15 </w:t>
      </w:r>
      <w:permEnd w:id="49"/>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工作日内甲方无息退还乙方</w:t>
      </w: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履约保</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证金（扣除违约金及应扣除款项）</w:t>
      </w:r>
      <w:r>
        <w:rPr>
          <w:rFonts w:hint="eastAsia" w:ascii="仿宋_GB2312" w:hAnsi="仿宋_GB2312" w:eastAsia="仿宋_GB2312" w:cs="仿宋_GB2312"/>
          <w:color w:val="000000" w:themeColor="text1"/>
          <w:highlight w:val="none"/>
          <w14:textFill>
            <w14:solidFill>
              <w14:schemeClr w14:val="tx1"/>
            </w14:solidFill>
          </w14:textFill>
        </w:rPr>
        <w:t>。</w:t>
      </w:r>
    </w:p>
    <w:p w14:paraId="3E8C80FD">
      <w:pPr>
        <w:spacing w:line="400" w:lineRule="atLeast"/>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如发生以下任何一种情况履约保证金不予退还：</w:t>
      </w:r>
    </w:p>
    <w:p w14:paraId="0EAFA4DF">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.1无法正常</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提供服务</w:t>
      </w:r>
      <w:r>
        <w:rPr>
          <w:rFonts w:hint="eastAsia" w:ascii="仿宋_GB2312" w:hAnsi="仿宋_GB2312" w:eastAsia="仿宋_GB2312" w:cs="仿宋_GB2312"/>
          <w:color w:val="000000" w:themeColor="text1"/>
          <w:sz w:val="24"/>
          <w:szCs w:val="24"/>
          <w:highlight w:val="none"/>
          <w14:textFill>
            <w14:solidFill>
              <w14:schemeClr w14:val="tx1"/>
            </w14:solidFill>
          </w14:textFill>
        </w:rPr>
        <w:t>的情况，包括任何原因的不</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运输</w:t>
      </w:r>
      <w:r>
        <w:rPr>
          <w:rFonts w:hint="eastAsia" w:ascii="仿宋_GB2312" w:hAnsi="仿宋_GB2312" w:eastAsia="仿宋_GB2312" w:cs="仿宋_GB2312"/>
          <w:color w:val="000000" w:themeColor="text1"/>
          <w:sz w:val="24"/>
          <w:szCs w:val="24"/>
          <w:highlight w:val="none"/>
          <w14:textFill>
            <w14:solidFill>
              <w14:schemeClr w14:val="tx1"/>
            </w14:solidFill>
          </w14:textFill>
        </w:rPr>
        <w:t>或连续5日历天未能按甲方要求</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提供运输服务</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51F1D3FD">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.2供应的</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运输服务</w:t>
      </w:r>
      <w:r>
        <w:rPr>
          <w:rFonts w:hint="eastAsia" w:ascii="仿宋_GB2312" w:hAnsi="仿宋_GB2312" w:eastAsia="仿宋_GB2312" w:cs="仿宋_GB2312"/>
          <w:color w:val="000000" w:themeColor="text1"/>
          <w:sz w:val="24"/>
          <w:szCs w:val="24"/>
          <w:highlight w:val="none"/>
          <w14:textFill>
            <w14:solidFill>
              <w14:schemeClr w14:val="tx1"/>
            </w14:solidFill>
          </w14:textFill>
        </w:rPr>
        <w:t>不符合国家、甲方、业主和监理相关标准和要求，且在规定时间内不予调换、处理的情况。</w:t>
      </w:r>
    </w:p>
    <w:p w14:paraId="00C77838">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.3不服从甲方管理的。</w:t>
      </w:r>
    </w:p>
    <w:p w14:paraId="46100828">
      <w:pPr>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.4因乙方原因给甲方造成损失的。</w:t>
      </w:r>
    </w:p>
    <w:p w14:paraId="416325D5">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bookmarkStart w:id="31" w:name="_Toc10245"/>
      <w:r>
        <w:rPr>
          <w:rFonts w:hint="eastAsia" w:ascii="仿宋_GB2312" w:hAnsi="仿宋_GB2312" w:eastAsia="仿宋_GB2312" w:cs="仿宋_GB2312"/>
          <w:b/>
          <w:bCs/>
          <w:color w:val="000000" w:themeColor="text1"/>
          <w:highlight w:val="none"/>
          <w14:textFill>
            <w14:solidFill>
              <w14:schemeClr w14:val="tx1"/>
            </w14:solidFill>
          </w14:textFill>
        </w:rPr>
        <w:t>7、甲方禁止项目部及任何人员以甲方、甲方子企业或甲方项目部</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名义</w:t>
      </w:r>
      <w:r>
        <w:rPr>
          <w:rFonts w:hint="eastAsia" w:ascii="仿宋_GB2312" w:hAnsi="仿宋_GB2312" w:eastAsia="仿宋_GB2312" w:cs="仿宋_GB2312"/>
          <w:b/>
          <w:bCs/>
          <w:color w:val="000000" w:themeColor="text1"/>
          <w:highlight w:val="none"/>
          <w14:textFill>
            <w14:solidFill>
              <w14:schemeClr w14:val="tx1"/>
            </w14:solidFill>
          </w14:textFill>
        </w:rPr>
        <w:t>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701E33E1">
      <w:pPr>
        <w:pStyle w:val="12"/>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bookmarkStart w:id="32" w:name="_Toc10075"/>
      <w:bookmarkStart w:id="33" w:name="_Toc10246"/>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如双方因货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w:t>
      </w:r>
    </w:p>
    <w:p w14:paraId="15EB0BAC">
      <w:pPr>
        <w:spacing w:line="480" w:lineRule="exact"/>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9、甲方拖欠线索受理联系人</w:t>
      </w:r>
    </w:p>
    <w:p w14:paraId="2D7479B0">
      <w:pPr>
        <w:spacing w:line="480" w:lineRule="exact"/>
        <w:ind w:firstLine="480" w:firstLineChars="200"/>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项目部联系人：</w:t>
      </w:r>
      <w:permStart w:id="50"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刘浩鹏 </w:t>
      </w:r>
      <w:permEnd w:id="50"/>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，联系电话：</w:t>
      </w:r>
      <w:permStart w:id="51"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19902176858 </w:t>
      </w:r>
      <w:permEnd w:id="51"/>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p>
    <w:p w14:paraId="405AB861">
      <w:pPr>
        <w:spacing w:line="480" w:lineRule="exact"/>
        <w:ind w:firstLine="480" w:firstLineChars="200"/>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公司联系人：</w:t>
      </w:r>
      <w:permStart w:id="52"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张海萍</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52"/>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，联系电话：</w:t>
      </w:r>
      <w:permStart w:id="53"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val="0"/>
          <w:iCs w:val="0"/>
          <w:color w:val="000000" w:themeColor="text1"/>
          <w:sz w:val="24"/>
          <w:szCs w:val="24"/>
          <w:highlight w:val="none"/>
          <w:u w:val="single"/>
          <w:lang w:val="en-US" w:eastAsia="zh-CN"/>
          <w14:textFill>
            <w14:solidFill>
              <w14:schemeClr w14:val="tx1"/>
            </w14:solidFill>
          </w14:textFill>
        </w:rPr>
        <w:t>0319-2620099</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53"/>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p>
    <w:p w14:paraId="23CB1554">
      <w:pPr>
        <w:spacing w:line="480" w:lineRule="exact"/>
        <w:ind w:firstLine="480" w:firstLineChars="200"/>
        <w:rPr>
          <w:rFonts w:hint="default"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公司信访投诉电话：</w:t>
      </w:r>
      <w:permStart w:id="54"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val="0"/>
          <w:iCs w:val="0"/>
          <w:color w:val="000000" w:themeColor="text1"/>
          <w:sz w:val="24"/>
          <w:szCs w:val="24"/>
          <w:highlight w:val="none"/>
          <w:u w:val="single"/>
          <w:lang w:val="en-US" w:eastAsia="zh-CN"/>
          <w14:textFill>
            <w14:solidFill>
              <w14:schemeClr w14:val="tx1"/>
            </w14:solidFill>
          </w14:textFill>
        </w:rPr>
        <w:t xml:space="preserve">0319-2620099 </w:t>
      </w:r>
      <w:permEnd w:id="54"/>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p>
    <w:p w14:paraId="41A1E985">
      <w:pPr>
        <w:spacing w:line="480" w:lineRule="exact"/>
        <w:ind w:firstLine="480" w:firstLineChars="200"/>
        <w:rPr>
          <w:rFonts w:hint="default"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信访投诉邮箱：</w:t>
      </w:r>
      <w:permStart w:id="55"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宋体"/>
          <w:b/>
          <w:bCs/>
          <w:sz w:val="24"/>
          <w:szCs w:val="24"/>
          <w:u w:val="single"/>
        </w:rPr>
        <w:fldChar w:fldCharType="begin"/>
      </w:r>
      <w:r>
        <w:rPr>
          <w:rFonts w:ascii="宋体" w:hAnsi="宋体" w:eastAsia="宋体" w:cs="宋体"/>
          <w:b/>
          <w:bCs/>
          <w:sz w:val="24"/>
          <w:szCs w:val="24"/>
          <w:u w:val="single"/>
        </w:rPr>
        <w:instrText xml:space="preserve"> HYPERLINK "mailto:zjlq6bgsh@163.com" </w:instrText>
      </w:r>
      <w:r>
        <w:rPr>
          <w:rFonts w:ascii="宋体" w:hAnsi="宋体" w:eastAsia="宋体" w:cs="宋体"/>
          <w:b/>
          <w:bCs/>
          <w:sz w:val="24"/>
          <w:szCs w:val="24"/>
          <w:u w:val="single"/>
        </w:rPr>
        <w:fldChar w:fldCharType="separate"/>
      </w:r>
      <w:r>
        <w:rPr>
          <w:rStyle w:val="11"/>
          <w:rFonts w:ascii="宋体" w:hAnsi="宋体" w:eastAsia="宋体" w:cs="宋体"/>
          <w:b/>
          <w:bCs/>
          <w:sz w:val="24"/>
          <w:szCs w:val="24"/>
        </w:rPr>
        <w:t>zjlq6bgsh@163.com</w:t>
      </w:r>
      <w:r>
        <w:rPr>
          <w:rFonts w:ascii="宋体" w:hAnsi="宋体" w:eastAsia="宋体" w:cs="宋体"/>
          <w:b/>
          <w:bCs/>
          <w:sz w:val="24"/>
          <w:szCs w:val="24"/>
          <w:u w:val="single"/>
        </w:rPr>
        <w:fldChar w:fldCharType="end"/>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55"/>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p>
    <w:p w14:paraId="5066398D">
      <w:pPr>
        <w:spacing w:line="480" w:lineRule="exact"/>
        <w:ind w:firstLine="480" w:firstLineChars="200"/>
        <w:rPr>
          <w:rFonts w:hint="eastAsia"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云筑网中建系统账款投诉平台：</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https://ts.yzw.cn</w:t>
      </w:r>
    </w:p>
    <w:p w14:paraId="431C72DF">
      <w:pPr>
        <w:pStyle w:val="12"/>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、其他：</w:t>
      </w:r>
      <w:permStart w:id="56"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6"/>
      <w:r>
        <w:rPr>
          <w:rFonts w:hint="eastAsia" w:ascii="仿宋_GB2312" w:hAnsi="仿宋_GB2312" w:eastAsia="仿宋_GB2312" w:cs="仿宋_GB2312"/>
          <w:color w:val="000000" w:themeColor="text1"/>
          <w:highlight w:val="none"/>
          <w14:textFill>
            <w14:solidFill>
              <w14:schemeClr w14:val="tx1"/>
            </w14:solidFill>
          </w14:textFill>
        </w:rPr>
        <w:t>。</w:t>
      </w:r>
    </w:p>
    <w:p w14:paraId="71E2C54A">
      <w:pPr>
        <w:pStyle w:val="12"/>
        <w:widowControl/>
        <w:numPr>
          <w:ilvl w:val="0"/>
          <w:numId w:val="1"/>
        </w:numPr>
        <w:spacing w:before="120" w:beforeLines="50" w:after="120" w:afterLines="50" w:line="400" w:lineRule="atLeast"/>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通知与送达</w:t>
      </w:r>
      <w:bookmarkEnd w:id="31"/>
      <w:bookmarkEnd w:id="32"/>
      <w:bookmarkEnd w:id="33"/>
    </w:p>
    <w:p w14:paraId="048A5353">
      <w:pPr>
        <w:pStyle w:val="12"/>
        <w:numPr>
          <w:ilvl w:val="0"/>
          <w:numId w:val="5"/>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本合同中涉及合同、文件、律师函、仲裁、诉讼文书的送达地址或邮箱及法律后果作如下约定：</w:t>
      </w:r>
    </w:p>
    <w:p w14:paraId="6F833D0F">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1.1甲方确认其有效的送达地址为：</w:t>
      </w:r>
      <w:permStart w:id="5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昌都市卡若区嘎玛乡达那村公路工程项目经理部</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7"/>
      <w:r>
        <w:rPr>
          <w:rFonts w:hint="eastAsia" w:ascii="仿宋_GB2312" w:hAnsi="仿宋_GB2312" w:eastAsia="仿宋_GB2312" w:cs="仿宋_GB2312"/>
          <w:color w:val="000000" w:themeColor="text1"/>
          <w:highlight w:val="none"/>
          <w14:textFill>
            <w14:solidFill>
              <w14:schemeClr w14:val="tx1"/>
            </w14:solidFill>
          </w14:textFill>
        </w:rPr>
        <w:t>；</w:t>
      </w:r>
    </w:p>
    <w:p w14:paraId="09E65C61">
      <w:pPr>
        <w:pStyle w:val="12"/>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5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刘浩鹏，19902176858</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8"/>
      <w:r>
        <w:rPr>
          <w:rFonts w:hint="eastAsia" w:ascii="仿宋_GB2312" w:hAnsi="仿宋_GB2312" w:eastAsia="仿宋_GB2312" w:cs="仿宋_GB2312"/>
          <w:color w:val="000000" w:themeColor="text1"/>
          <w:highlight w:val="none"/>
          <w14:textFill>
            <w14:solidFill>
              <w14:schemeClr w14:val="tx1"/>
            </w14:solidFill>
          </w14:textFill>
        </w:rPr>
        <w:t>；邮箱：</w:t>
      </w:r>
      <w:permStart w:id="5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9"/>
      <w:r>
        <w:rPr>
          <w:rFonts w:hint="eastAsia" w:ascii="仿宋_GB2312" w:hAnsi="仿宋_GB2312" w:eastAsia="仿宋_GB2312" w:cs="仿宋_GB2312"/>
          <w:color w:val="000000" w:themeColor="text1"/>
          <w:highlight w:val="none"/>
          <w14:textFill>
            <w14:solidFill>
              <w14:schemeClr w14:val="tx1"/>
            </w14:solidFill>
          </w14:textFill>
        </w:rPr>
        <w:t>；</w:t>
      </w:r>
    </w:p>
    <w:p w14:paraId="78B09275">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1.2乙方确认其有效的送达地址为：</w:t>
      </w:r>
      <w:permStart w:id="6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0"/>
      <w:r>
        <w:rPr>
          <w:rFonts w:hint="eastAsia" w:ascii="仿宋_GB2312" w:hAnsi="仿宋_GB2312" w:eastAsia="仿宋_GB2312" w:cs="仿宋_GB2312"/>
          <w:color w:val="000000" w:themeColor="text1"/>
          <w:highlight w:val="none"/>
          <w14:textFill>
            <w14:solidFill>
              <w14:schemeClr w14:val="tx1"/>
            </w14:solidFill>
          </w14:textFill>
        </w:rPr>
        <w:t>；</w:t>
      </w:r>
    </w:p>
    <w:p w14:paraId="4BDEF6BA">
      <w:pPr>
        <w:pStyle w:val="12"/>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6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1"/>
      <w:r>
        <w:rPr>
          <w:rFonts w:hint="eastAsia" w:ascii="仿宋_GB2312" w:hAnsi="仿宋_GB2312" w:eastAsia="仿宋_GB2312" w:cs="仿宋_GB2312"/>
          <w:color w:val="000000" w:themeColor="text1"/>
          <w:highlight w:val="none"/>
          <w14:textFill>
            <w14:solidFill>
              <w14:schemeClr w14:val="tx1"/>
            </w14:solidFill>
          </w14:textFill>
        </w:rPr>
        <w:t>；邮箱：</w:t>
      </w:r>
      <w:permStart w:id="6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2"/>
      <w:r>
        <w:rPr>
          <w:rFonts w:hint="eastAsia" w:ascii="仿宋_GB2312" w:hAnsi="仿宋_GB2312" w:eastAsia="仿宋_GB2312" w:cs="仿宋_GB2312"/>
          <w:color w:val="000000" w:themeColor="text1"/>
          <w:highlight w:val="none"/>
          <w14:textFill>
            <w14:solidFill>
              <w14:schemeClr w14:val="tx1"/>
            </w14:solidFill>
          </w14:textFill>
        </w:rPr>
        <w:t>；</w:t>
      </w:r>
    </w:p>
    <w:p w14:paraId="14297609">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2、双方该送达地址或邮箱适用范围包括双方就合同发生纠纷时的律师函和法律文书的送达，同时包括在争议进入仲裁、民事诉讼程序后的一审、二审、再审和执行程序。</w:t>
      </w:r>
    </w:p>
    <w:p w14:paraId="169FD6CF">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58801461">
      <w:pPr>
        <w:pStyle w:val="12"/>
        <w:widowControl/>
        <w:numPr>
          <w:ilvl w:val="0"/>
          <w:numId w:val="1"/>
        </w:numPr>
        <w:spacing w:before="120" w:beforeLines="50" w:after="120" w:afterLines="50" w:line="400" w:lineRule="atLeast"/>
        <w:outlineLvl w:val="0"/>
        <w:rPr>
          <w:rFonts w:ascii="仿宋_GB2312" w:hAnsi="仿宋_GB2312" w:eastAsia="仿宋_GB2312" w:cs="仿宋_GB2312"/>
          <w:b/>
          <w:bCs/>
          <w:color w:val="000000" w:themeColor="text1"/>
          <w:highlight w:val="none"/>
          <w14:textFill>
            <w14:solidFill>
              <w14:schemeClr w14:val="tx1"/>
            </w14:solidFill>
          </w14:textFill>
        </w:rPr>
      </w:pPr>
      <w:bookmarkStart w:id="34" w:name="_Toc10043"/>
      <w:bookmarkStart w:id="35" w:name="_Toc4701"/>
      <w:bookmarkStart w:id="36" w:name="_Toc27158"/>
      <w:r>
        <w:rPr>
          <w:rFonts w:hint="eastAsia" w:ascii="仿宋_GB2312" w:hAnsi="仿宋_GB2312" w:eastAsia="仿宋_GB2312" w:cs="仿宋_GB2312"/>
          <w:b/>
          <w:bCs/>
          <w:color w:val="000000" w:themeColor="text1"/>
          <w:highlight w:val="none"/>
          <w14:textFill>
            <w14:solidFill>
              <w14:schemeClr w14:val="tx1"/>
            </w14:solidFill>
          </w14:textFill>
        </w:rPr>
        <w:t>合同生效</w:t>
      </w:r>
      <w:bookmarkEnd w:id="34"/>
      <w:bookmarkEnd w:id="35"/>
      <w:bookmarkEnd w:id="36"/>
    </w:p>
    <w:p w14:paraId="1424E8F6">
      <w:pPr>
        <w:pStyle w:val="12"/>
        <w:numPr>
          <w:ilvl w:val="255"/>
          <w:numId w:val="0"/>
        </w:numPr>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37" w:name="_Toc15785_WPSOffice_Level1"/>
      <w:bookmarkStart w:id="38" w:name="_Toc6851_WPSOffice_Level1"/>
      <w:bookmarkStart w:id="39" w:name="_Toc7989"/>
      <w:bookmarkStart w:id="40" w:name="_Toc31827_WPSOffice_Level1"/>
      <w:bookmarkStart w:id="41" w:name="_Toc21939"/>
      <w:r>
        <w:rPr>
          <w:rFonts w:hint="eastAsia" w:ascii="仿宋_GB2312" w:hAnsi="仿宋_GB2312" w:eastAsia="仿宋_GB2312" w:cs="仿宋_GB2312"/>
          <w:color w:val="000000" w:themeColor="text1"/>
          <w:highlight w:val="none"/>
          <w14:textFill>
            <w14:solidFill>
              <w14:schemeClr w14:val="tx1"/>
            </w14:solidFill>
          </w14:textFill>
        </w:rPr>
        <w:t>1、本合同签约形式适用第</w:t>
      </w:r>
      <w:permStart w:id="6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3"/>
      <w:r>
        <w:rPr>
          <w:rFonts w:hint="eastAsia" w:ascii="仿宋_GB2312" w:hAnsi="仿宋_GB2312" w:eastAsia="仿宋_GB2312" w:cs="仿宋_GB2312"/>
          <w:color w:val="000000" w:themeColor="text1"/>
          <w:highlight w:val="none"/>
          <w14:textFill>
            <w14:solidFill>
              <w14:schemeClr w14:val="tx1"/>
            </w14:solidFill>
          </w14:textFill>
        </w:rPr>
        <w:t>条；</w:t>
      </w:r>
    </w:p>
    <w:p w14:paraId="771A9D38">
      <w:pPr>
        <w:pStyle w:val="12"/>
        <w:numPr>
          <w:ilvl w:val="255"/>
          <w:numId w:val="0"/>
        </w:numPr>
        <w:spacing w:line="400" w:lineRule="atLeast"/>
        <w:ind w:firstLine="480" w:firstLineChars="200"/>
        <w:jc w:val="lef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双方同意通过“E签宝”(网址：https://121.28.96.6:8813/main-index-web)以电子签章的方式签署本合同，本合同自双方加盖电子签章之日起生效。合同生效后，双方均可对本合同进行查阅、下载、打印。下载、打印后的合同可以与“E签宝”中的电子合同进行比对，如有不同，以“E签宝”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74ADA041">
      <w:pPr>
        <w:pStyle w:val="12"/>
        <w:numPr>
          <w:ilvl w:val="0"/>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1.2双方同意通过加盖物理印章的方式签署本合同，合同自双方盖章后生效，完成合同约定的全部内容且保修期满后即告终止。合同壹式</w:t>
      </w:r>
      <w:permStart w:id="64"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陆</w:t>
      </w:r>
      <w:permEnd w:id="64"/>
      <w:r>
        <w:rPr>
          <w:rFonts w:hint="eastAsia" w:ascii="仿宋_GB2312" w:hAnsi="仿宋_GB2312" w:eastAsia="仿宋_GB2312" w:cs="仿宋_GB2312"/>
          <w:color w:val="000000" w:themeColor="text1"/>
          <w:highlight w:val="none"/>
          <w14:textFill>
            <w14:solidFill>
              <w14:schemeClr w14:val="tx1"/>
            </w14:solidFill>
          </w14:textFill>
        </w:rPr>
        <w:t>份，甲方执</w:t>
      </w:r>
      <w:permStart w:id="65"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伍</w:t>
      </w:r>
      <w:permEnd w:id="65"/>
      <w:r>
        <w:rPr>
          <w:rFonts w:hint="eastAsia" w:ascii="仿宋_GB2312" w:hAnsi="仿宋_GB2312" w:eastAsia="仿宋_GB2312" w:cs="仿宋_GB2312"/>
          <w:color w:val="000000" w:themeColor="text1"/>
          <w:highlight w:val="none"/>
          <w14:textFill>
            <w14:solidFill>
              <w14:schemeClr w14:val="tx1"/>
            </w14:solidFill>
          </w14:textFill>
        </w:rPr>
        <w:t>份，乙方执</w:t>
      </w:r>
      <w:permStart w:id="66"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壹</w:t>
      </w:r>
      <w:permEnd w:id="66"/>
      <w:r>
        <w:rPr>
          <w:rFonts w:hint="eastAsia" w:ascii="仿宋_GB2312" w:hAnsi="仿宋_GB2312" w:eastAsia="仿宋_GB2312" w:cs="仿宋_GB2312"/>
          <w:color w:val="000000" w:themeColor="text1"/>
          <w:highlight w:val="none"/>
          <w14:textFill>
            <w14:solidFill>
              <w14:schemeClr w14:val="tx1"/>
            </w14:solidFill>
          </w14:textFill>
        </w:rPr>
        <w:t>份。</w:t>
      </w:r>
    </w:p>
    <w:p w14:paraId="6D92FFBB">
      <w:pPr>
        <w:spacing w:line="480" w:lineRule="exact"/>
        <w:ind w:firstLine="504" w:firstLineChars="200"/>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以下无正文</w:t>
      </w:r>
      <w:bookmarkEnd w:id="37"/>
      <w:bookmarkEnd w:id="38"/>
      <w:bookmarkEnd w:id="39"/>
      <w:bookmarkEnd w:id="40"/>
      <w:bookmarkEnd w:id="41"/>
      <w:bookmarkStart w:id="42" w:name="_Toc8898_WPSOffice_Level1"/>
      <w:bookmarkStart w:id="43" w:name="_Toc6163_WPSOffice_Level1"/>
      <w:bookmarkStart w:id="44" w:name="_Toc19595_WPSOffice_Level1"/>
    </w:p>
    <w:p w14:paraId="15F07060">
      <w:pPr>
        <w:spacing w:line="480" w:lineRule="exac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5" w:name="_Toc31108"/>
      <w:bookmarkStart w:id="46" w:name="_Toc22745"/>
      <w:bookmarkStart w:id="47" w:name="_Toc2337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附件一 授权委托书</w:t>
      </w:r>
      <w:bookmarkEnd w:id="42"/>
      <w:bookmarkEnd w:id="43"/>
      <w:bookmarkEnd w:id="44"/>
      <w:bookmarkEnd w:id="45"/>
      <w:bookmarkEnd w:id="46"/>
      <w:bookmarkEnd w:id="47"/>
    </w:p>
    <w:p w14:paraId="03DAE89D">
      <w:pPr>
        <w:spacing w:line="480" w:lineRule="exac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8" w:name="_Toc14040"/>
      <w:bookmarkStart w:id="49" w:name="_Toc5250_WPSOffice_Level1"/>
      <w:bookmarkStart w:id="50" w:name="_Toc27542"/>
      <w:bookmarkStart w:id="51" w:name="_Toc28148"/>
      <w:bookmarkStart w:id="52" w:name="_Toc16133_WPSOffice_Level1"/>
      <w:bookmarkStart w:id="53" w:name="_Toc3383_WPSOffice_Level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附件二 </w:t>
      </w:r>
      <w:bookmarkEnd w:id="48"/>
      <w:bookmarkEnd w:id="49"/>
      <w:bookmarkEnd w:id="50"/>
      <w:bookmarkEnd w:id="51"/>
      <w:bookmarkEnd w:id="52"/>
      <w:bookmarkEnd w:id="5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项目部合规权限告知书</w:t>
      </w:r>
    </w:p>
    <w:p w14:paraId="3DB36385">
      <w:pPr>
        <w:spacing w:line="480" w:lineRule="exac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54" w:name="_Toc19768_WPSOffice_Level1"/>
      <w:bookmarkStart w:id="55" w:name="_Toc641_WPSOffice_Level1"/>
      <w:bookmarkStart w:id="56" w:name="_Toc22730_WPSOffice_Level1"/>
      <w:bookmarkStart w:id="57" w:name="_Toc3486"/>
      <w:bookmarkStart w:id="58" w:name="_Toc26796"/>
      <w:bookmarkStart w:id="59" w:name="_Toc66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附件三 </w:t>
      </w:r>
      <w:bookmarkEnd w:id="54"/>
      <w:bookmarkEnd w:id="55"/>
      <w:bookmarkEnd w:id="5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安全管理协议书</w:t>
      </w:r>
      <w:bookmarkEnd w:id="57"/>
      <w:bookmarkEnd w:id="58"/>
      <w:bookmarkEnd w:id="59"/>
    </w:p>
    <w:p w14:paraId="46FBC4C8">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60" w:name="_Toc8260_WPSOffice_Level1"/>
      <w:bookmarkStart w:id="61" w:name="_Toc19161_WPSOffice_Level1"/>
      <w:bookmarkStart w:id="62" w:name="_Toc24584_WPSOffice_Level1"/>
      <w:bookmarkStart w:id="63" w:name="_Toc459"/>
      <w:bookmarkStart w:id="64" w:name="_Toc16539"/>
      <w:bookmarkStart w:id="65" w:name="_Toc25961"/>
      <w:r>
        <w:rPr>
          <w:rFonts w:hint="eastAsia" w:ascii="仿宋_GB2312" w:hAnsi="仿宋_GB2312" w:eastAsia="仿宋_GB2312" w:cs="仿宋_GB2312"/>
          <w:color w:val="000000" w:themeColor="text1"/>
          <w:highlight w:val="none"/>
          <w14:textFill>
            <w14:solidFill>
              <w14:schemeClr w14:val="tx1"/>
            </w14:solidFill>
          </w14:textFill>
        </w:rPr>
        <w:t xml:space="preserve">附件四 </w:t>
      </w:r>
      <w:bookmarkEnd w:id="60"/>
      <w:bookmarkEnd w:id="61"/>
      <w:bookmarkEnd w:id="62"/>
      <w:r>
        <w:rPr>
          <w:rFonts w:hint="eastAsia" w:ascii="仿宋_GB2312" w:hAnsi="仿宋_GB2312" w:eastAsia="仿宋_GB2312" w:cs="仿宋_GB2312"/>
          <w:color w:val="000000" w:themeColor="text1"/>
          <w:highlight w:val="none"/>
          <w14:textFill>
            <w14:solidFill>
              <w14:schemeClr w14:val="tx1"/>
            </w14:solidFill>
          </w14:textFill>
        </w:rPr>
        <w:t>廉洁从业共建协议</w:t>
      </w:r>
      <w:bookmarkEnd w:id="63"/>
      <w:bookmarkEnd w:id="64"/>
      <w:bookmarkEnd w:id="65"/>
    </w:p>
    <w:p w14:paraId="0B208153">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66" w:name="_Toc3144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56006843">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p>
    <w:p w14:paraId="69B801D6">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59C1FEE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5561C1A">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1FE1DE2B">
      <w:pPr>
        <w:pStyle w:val="12"/>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0981B4FC">
      <w:pPr>
        <w:autoSpaceDE w:val="0"/>
        <w:autoSpaceDN w:val="0"/>
        <w:adjustRightInd w:val="0"/>
        <w:spacing w:line="400" w:lineRule="exact"/>
        <w:rPr>
          <w:rFonts w:ascii="仿宋_GB2312" w:hAnsi="仿宋_GB2312" w:eastAsia="仿宋_GB2312" w:cs="仿宋_GB2312"/>
          <w:color w:val="000000" w:themeColor="text1"/>
          <w:kern w:val="0"/>
          <w:sz w:val="24"/>
          <w:szCs w:val="24"/>
          <w:highlight w:val="none"/>
          <w14:textFill>
            <w14:solidFill>
              <w14:schemeClr w14:val="tx1"/>
            </w14:solidFill>
          </w14:textFill>
        </w:rPr>
        <w:sectPr>
          <w:headerReference r:id="rId11" w:type="default"/>
          <w:pgSz w:w="11906" w:h="16838"/>
          <w:pgMar w:top="1440" w:right="1800" w:bottom="1440" w:left="1800" w:header="850" w:footer="975" w:gutter="0"/>
          <w:cols w:space="0" w:num="1"/>
          <w:docGrid w:linePitch="312" w:charSpace="0"/>
        </w:sect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050134FE">
      <w:pPr>
        <w:autoSpaceDE w:val="0"/>
        <w:autoSpaceDN w:val="0"/>
        <w:adjustRightInd w:val="0"/>
        <w:spacing w:line="400" w:lineRule="exact"/>
        <w:outlineLvl w:val="0"/>
        <w:rPr>
          <w:rFonts w:ascii="仿宋_GB2312" w:hAnsi="仿宋_GB2312" w:eastAsia="仿宋_GB2312" w:cs="仿宋_GB2312"/>
          <w:color w:val="000000" w:themeColor="text1"/>
          <w:kern w:val="0"/>
          <w:sz w:val="30"/>
          <w:szCs w:val="30"/>
          <w:highlight w:val="none"/>
          <w14:textFill>
            <w14:solidFill>
              <w14:schemeClr w14:val="tx1"/>
            </w14:solidFill>
          </w14:textFill>
        </w:rPr>
      </w:pPr>
      <w:bookmarkStart w:id="67" w:name="_Toc14295"/>
      <w:bookmarkStart w:id="68" w:name="_Toc20350"/>
      <w:r>
        <w:rPr>
          <w:rFonts w:hint="eastAsia" w:ascii="仿宋_GB2312" w:hAnsi="仿宋_GB2312" w:eastAsia="仿宋_GB2312" w:cs="仿宋_GB2312"/>
          <w:color w:val="000000" w:themeColor="text1"/>
          <w:kern w:val="0"/>
          <w:sz w:val="30"/>
          <w:szCs w:val="30"/>
          <w:highlight w:val="none"/>
          <w14:textFill>
            <w14:solidFill>
              <w14:schemeClr w14:val="tx1"/>
            </w14:solidFill>
          </w14:textFill>
        </w:rPr>
        <w:t>附件一：</w:t>
      </w:r>
      <w:bookmarkEnd w:id="66"/>
      <w:bookmarkEnd w:id="67"/>
      <w:bookmarkEnd w:id="68"/>
    </w:p>
    <w:p w14:paraId="033B03C0">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permStart w:id="67" w:edGrp="everyone"/>
      <w:r>
        <w:rPr>
          <w:rFonts w:hint="eastAsia" w:ascii="仿宋_GB2312" w:hAnsi="仿宋_GB2312" w:eastAsia="仿宋_GB2312" w:cs="仿宋_GB2312"/>
          <w:b/>
          <w:color w:val="000000" w:themeColor="text1"/>
          <w:sz w:val="30"/>
          <w:szCs w:val="30"/>
          <w:highlight w:val="none"/>
          <w14:textFill>
            <w14:solidFill>
              <w14:schemeClr w14:val="tx1"/>
            </w14:solidFill>
          </w14:textFill>
        </w:rPr>
        <w:t>授权委托书</w:t>
      </w:r>
    </w:p>
    <w:p w14:paraId="608604CA">
      <w:pPr>
        <w:autoSpaceDE w:val="0"/>
        <w:autoSpaceDN w:val="0"/>
        <w:adjustRightInd w:val="0"/>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p>
    <w:p w14:paraId="6DD88CCA">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bookmarkStart w:id="69" w:name="_Toc16973"/>
      <w:r>
        <w:rPr>
          <w:rFonts w:hint="eastAsia" w:ascii="仿宋_GB2312" w:hAnsi="仿宋_GB2312" w:eastAsia="仿宋_GB2312" w:cs="仿宋_GB2312"/>
          <w:b/>
          <w:color w:val="000000" w:themeColor="text1"/>
          <w:sz w:val="24"/>
          <w:szCs w:val="24"/>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）系</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公司（乙方）的法定代表人，现授权委托</w:t>
      </w:r>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身份证号码：</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为我公司合法的代理人。以本公司的名义负责</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项目招投标、合同签署及合同履行等事宜。</w:t>
      </w:r>
    </w:p>
    <w:p w14:paraId="4B77D74F">
      <w:pPr>
        <w:autoSpaceDE w:val="0"/>
        <w:autoSpaceDN w:val="0"/>
        <w:adjustRightIn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代理人在合同履行过程中所签署的一切文件和处理与之有关的一切事务，包括但不限于签署往来函件、签署会议纪要、货物</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运输</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、乙方结算办理、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运输款</w:t>
      </w:r>
      <w:r>
        <w:rPr>
          <w:rFonts w:hint="eastAsia" w:ascii="仿宋_GB2312" w:hAnsi="仿宋_GB2312" w:eastAsia="仿宋_GB2312" w:cs="仿宋_GB2312"/>
          <w:color w:val="000000" w:themeColor="text1"/>
          <w:sz w:val="24"/>
          <w:szCs w:val="24"/>
          <w:highlight w:val="none"/>
          <w14:textFill>
            <w14:solidFill>
              <w14:schemeClr w14:val="tx1"/>
            </w14:solidFill>
          </w14:textFill>
        </w:rPr>
        <w:t>的收取、发票开具等均具有法律效力，授权人均予以认可。</w:t>
      </w:r>
    </w:p>
    <w:p w14:paraId="4BCAE4F4">
      <w:pPr>
        <w:keepNext/>
        <w:keepLines/>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本授权委托的期限为自</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日至</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26B44CB3">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代理人无转委托权。</w:t>
      </w:r>
    </w:p>
    <w:p w14:paraId="5F682138">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特此授权。</w:t>
      </w:r>
    </w:p>
    <w:p w14:paraId="32CE0A13">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委托单位全称（公章）：          </w:t>
      </w:r>
    </w:p>
    <w:p w14:paraId="092E99E4">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法定代表人：</w:t>
      </w:r>
    </w:p>
    <w:p w14:paraId="47CB06C0">
      <w:pPr>
        <w:spacing w:line="400" w:lineRule="exact"/>
        <w:ind w:firstLine="480" w:firstLineChars="200"/>
        <w:jc w:val="righ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5DBC7D23">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代理人声明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：我对以上授权委托事项完全接受，自愿履行。</w:t>
      </w:r>
    </w:p>
    <w:p w14:paraId="552DC088">
      <w:pPr>
        <w:spacing w:line="40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被委托人</w:t>
      </w:r>
      <w:r>
        <w:rPr>
          <w:rFonts w:hint="eastAsia" w:ascii="仿宋_GB2312" w:hAnsi="仿宋_GB2312" w:eastAsia="仿宋_GB2312" w:cs="仿宋_GB2312"/>
          <w:color w:val="000000" w:themeColor="text1"/>
          <w:sz w:val="24"/>
          <w:szCs w:val="24"/>
          <w:highlight w:val="none"/>
          <w14:textFill>
            <w14:solidFill>
              <w14:schemeClr w14:val="tx1"/>
            </w14:solidFill>
          </w14:textFill>
        </w:rPr>
        <w:t>（本人签字）：</w:t>
      </w:r>
    </w:p>
    <w:p w14:paraId="0D244E07">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p w14:paraId="6E7C401F">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p>
    <w:p w14:paraId="4F2D272F">
      <w:pPr>
        <w:spacing w:line="48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4"/>
          <w:szCs w:val="24"/>
          <w:highlight w:val="none"/>
          <w14:textFill>
            <w14:solidFill>
              <w14:schemeClr w14:val="tx1"/>
            </w14:solidFill>
          </w14:textFill>
        </w:rPr>
        <w:t>：</w:t>
      </w:r>
    </w:p>
    <w:tbl>
      <w:tblPr>
        <w:tblStyle w:val="9"/>
        <w:tblpPr w:leftFromText="180" w:rightFromText="180" w:vertAnchor="text" w:horzAnchor="page" w:tblpX="1537" w:tblpY="248"/>
        <w:tblOverlap w:val="never"/>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4"/>
        <w:gridCol w:w="4322"/>
      </w:tblGrid>
      <w:tr w14:paraId="65D4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4694" w:type="dxa"/>
            <w:tcBorders>
              <w:right w:val="single" w:color="000000" w:sz="4" w:space="0"/>
            </w:tcBorders>
            <w:vAlign w:val="center"/>
          </w:tcPr>
          <w:p w14:paraId="7C4D1A40">
            <w:pPr>
              <w:autoSpaceDE w:val="0"/>
              <w:autoSpaceDN w:val="0"/>
              <w:adjustRightInd w:val="0"/>
              <w:spacing w:line="48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4322" w:type="dxa"/>
            <w:tcBorders>
              <w:left w:val="single" w:color="000000" w:sz="4" w:space="0"/>
            </w:tcBorders>
            <w:vAlign w:val="center"/>
          </w:tcPr>
          <w:p w14:paraId="23DF812B">
            <w:pPr>
              <w:autoSpaceDE w:val="0"/>
              <w:autoSpaceDN w:val="0"/>
              <w:adjustRightInd w:val="0"/>
              <w:spacing w:line="480" w:lineRule="exact"/>
              <w:ind w:firstLine="480" w:firstLineChars="200"/>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tbl>
    <w:p w14:paraId="7A1684A1">
      <w:pPr>
        <w:spacing w:line="480" w:lineRule="exact"/>
        <w:ind w:firstLine="482" w:firstLineChars="200"/>
        <w:rPr>
          <w:rFonts w:ascii="仿宋_GB2312" w:hAnsi="仿宋_GB2312" w:eastAsia="仿宋_GB2312" w:cs="仿宋_GB2312"/>
          <w:b/>
          <w:color w:val="000000" w:themeColor="text1"/>
          <w:sz w:val="24"/>
          <w:szCs w:val="24"/>
          <w:highlight w:val="none"/>
          <w:u w:val="dash"/>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法定代表人身份证复印件粘贴处：</w:t>
      </w:r>
    </w:p>
    <w:tbl>
      <w:tblPr>
        <w:tblStyle w:val="9"/>
        <w:tblpPr w:leftFromText="180" w:rightFromText="180" w:vertAnchor="text" w:horzAnchor="page" w:tblpX="1538" w:tblpY="112"/>
        <w:tblOverlap w:val="never"/>
        <w:tblW w:w="8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3"/>
        <w:gridCol w:w="4303"/>
      </w:tblGrid>
      <w:tr w14:paraId="3829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trPr>
        <w:tc>
          <w:tcPr>
            <w:tcW w:w="4693" w:type="dxa"/>
            <w:tcBorders>
              <w:right w:val="single" w:color="000000" w:sz="4" w:space="0"/>
            </w:tcBorders>
            <w:vAlign w:val="center"/>
          </w:tcPr>
          <w:p w14:paraId="57C086AF">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4303" w:type="dxa"/>
            <w:tcBorders>
              <w:left w:val="single" w:color="000000" w:sz="4" w:space="0"/>
            </w:tcBorders>
            <w:vAlign w:val="center"/>
          </w:tcPr>
          <w:p w14:paraId="095B07D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permEnd w:id="67"/>
    </w:tbl>
    <w:p w14:paraId="2FC26164">
      <w:pPr>
        <w:spacing w:line="400" w:lineRule="exact"/>
        <w:ind w:right="210" w:rightChars="100"/>
        <w:rPr>
          <w:rFonts w:ascii="仿宋_GB2312" w:hAnsi="仿宋_GB2312" w:eastAsia="仿宋_GB2312" w:cs="仿宋_GB2312"/>
          <w:color w:val="000000" w:themeColor="text1"/>
          <w:sz w:val="30"/>
          <w:szCs w:val="30"/>
          <w:highlight w:val="none"/>
          <w14:textFill>
            <w14:solidFill>
              <w14:schemeClr w14:val="tx1"/>
            </w14:solidFill>
          </w14:textFill>
        </w:rPr>
        <w:sectPr>
          <w:pgSz w:w="11905" w:h="16838"/>
          <w:pgMar w:top="1440" w:right="1800" w:bottom="1440" w:left="1800" w:header="850" w:footer="975" w:gutter="0"/>
          <w:cols w:space="0" w:num="1"/>
          <w:docGrid w:linePitch="312" w:charSpace="0"/>
        </w:sectPr>
      </w:pPr>
    </w:p>
    <w:p w14:paraId="0BD95F3F">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70" w:name="_Toc9726"/>
      <w:bookmarkStart w:id="71" w:name="_Toc29169"/>
      <w:r>
        <w:rPr>
          <w:rFonts w:hint="eastAsia" w:ascii="仿宋_GB2312" w:hAnsi="仿宋_GB2312" w:eastAsia="仿宋_GB2312" w:cs="仿宋_GB2312"/>
          <w:color w:val="000000" w:themeColor="text1"/>
          <w:sz w:val="30"/>
          <w:szCs w:val="30"/>
          <w:highlight w:val="none"/>
          <w14:textFill>
            <w14:solidFill>
              <w14:schemeClr w14:val="tx1"/>
            </w14:solidFill>
          </w14:textFill>
        </w:rPr>
        <w:t>附件二：</w:t>
      </w:r>
      <w:bookmarkEnd w:id="69"/>
      <w:bookmarkEnd w:id="70"/>
      <w:bookmarkEnd w:id="71"/>
    </w:p>
    <w:p w14:paraId="71B23D9F">
      <w:pPr>
        <w:spacing w:line="400" w:lineRule="exact"/>
        <w:ind w:firstLine="602" w:firstLineChars="200"/>
        <w:jc w:val="center"/>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项目部合规权限告知书</w:t>
      </w:r>
    </w:p>
    <w:p w14:paraId="649FAF19">
      <w:pPr>
        <w:autoSpaceDE w:val="0"/>
        <w:autoSpaceDN w:val="0"/>
        <w:adjustRightInd w:val="0"/>
        <w:spacing w:before="240" w:beforeLines="100"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致：</w:t>
      </w:r>
      <w:permStart w:id="68" w:edGrp="everyone"/>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ermEnd w:id="68"/>
      <w:r>
        <w:rPr>
          <w:rFonts w:hint="eastAsia" w:ascii="仿宋_GB2312" w:hAnsi="仿宋_GB2312" w:eastAsia="仿宋_GB2312" w:cs="仿宋_GB2312"/>
          <w:color w:val="000000" w:themeColor="text1"/>
          <w:sz w:val="24"/>
          <w:szCs w:val="24"/>
          <w14:textFill>
            <w14:solidFill>
              <w14:schemeClr w14:val="tx1"/>
            </w14:solidFill>
          </w14:textFill>
        </w:rPr>
        <w:t>（乙方全称）</w:t>
      </w:r>
    </w:p>
    <w:p w14:paraId="5D0D3F7A">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ermStart w:id="69" w:edGrp="everyone"/>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bookmarkStart w:id="72" w:name="_Hlk126830603"/>
      <w:r>
        <w:rPr>
          <w:rFonts w:hint="eastAsia" w:ascii="仿宋_GB2312" w:hAnsi="仿宋_GB2312" w:eastAsia="仿宋_GB2312" w:cs="仿宋_GB2312"/>
          <w:color w:val="000000" w:themeColor="text1"/>
          <w:sz w:val="24"/>
          <w:szCs w:val="24"/>
          <w:u w:val="single"/>
          <w14:textFill>
            <w14:solidFill>
              <w14:schemeClr w14:val="tx1"/>
            </w14:solidFill>
          </w14:textFill>
        </w:rPr>
        <w:t>中建路桥集团有限公司</w:t>
      </w:r>
      <w:bookmarkEnd w:id="72"/>
      <w:permEnd w:id="69"/>
      <w:r>
        <w:rPr>
          <w:rFonts w:hint="eastAsia" w:ascii="仿宋_GB2312" w:hAnsi="仿宋_GB2312" w:eastAsia="仿宋_GB2312" w:cs="仿宋_GB2312"/>
          <w:color w:val="000000" w:themeColor="text1"/>
          <w:sz w:val="24"/>
          <w:szCs w:val="24"/>
          <w:lang w:val="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采购方</w:t>
      </w:r>
      <w:r>
        <w:rPr>
          <w:rFonts w:hint="eastAsia" w:ascii="仿宋_GB2312" w:hAnsi="仿宋_GB2312" w:eastAsia="仿宋_GB2312" w:cs="仿宋_GB2312"/>
          <w:color w:val="000000" w:themeColor="text1"/>
          <w:sz w:val="24"/>
          <w:szCs w:val="24"/>
          <w:lang w:val="zh-CN"/>
          <w14:textFill>
            <w14:solidFill>
              <w14:schemeClr w14:val="tx1"/>
            </w14:solidFill>
          </w14:textFill>
        </w:rPr>
        <w:t>全称，以下简称本公司），系依法成立并有效存续的公司。现向本公司</w:t>
      </w:r>
      <w:permStart w:id="70" w:edGrp="everyone"/>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昌都市卡若区嘎玛乡达那村公路工程</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ermEnd w:id="70"/>
      <w:r>
        <w:rPr>
          <w:rFonts w:hint="eastAsia" w:ascii="仿宋_GB2312" w:hAnsi="仿宋_GB2312" w:eastAsia="仿宋_GB2312" w:cs="仿宋_GB2312"/>
          <w:color w:val="000000" w:themeColor="text1"/>
          <w:sz w:val="24"/>
          <w:szCs w:val="24"/>
          <w:lang w:val="zh-CN"/>
          <w14:textFill>
            <w14:solidFill>
              <w14:schemeClr w14:val="tx1"/>
            </w14:solidFill>
          </w14:textFill>
        </w:rPr>
        <w:t>项目部(以下简称项目部)签发项目部合规权限告知书（以下简称本</w:t>
      </w:r>
      <w:r>
        <w:rPr>
          <w:rFonts w:hint="eastAsia" w:ascii="仿宋_GB2312" w:hAnsi="仿宋_GB2312" w:eastAsia="仿宋_GB2312" w:cs="仿宋_GB2312"/>
          <w:color w:val="000000" w:themeColor="text1"/>
          <w:sz w:val="24"/>
          <w:szCs w:val="24"/>
          <w14:textFill>
            <w14:solidFill>
              <w14:schemeClr w14:val="tx1"/>
            </w14:solidFill>
          </w14:textFill>
        </w:rPr>
        <w:t>告知</w:t>
      </w:r>
      <w:r>
        <w:rPr>
          <w:rFonts w:hint="eastAsia" w:ascii="仿宋_GB2312" w:hAnsi="仿宋_GB2312" w:eastAsia="仿宋_GB2312" w:cs="仿宋_GB2312"/>
          <w:color w:val="000000" w:themeColor="text1"/>
          <w:sz w:val="24"/>
          <w:szCs w:val="24"/>
          <w:lang w:val="zh-CN"/>
          <w14:textFill>
            <w14:solidFill>
              <w14:schemeClr w14:val="tx1"/>
            </w14:solidFill>
          </w14:textFill>
        </w:rPr>
        <w:t>书），项目经理</w:t>
      </w:r>
      <w:permStart w:id="71" w:edGrp="everyone"/>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卜宗</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ermEnd w:id="71"/>
      <w:r>
        <w:rPr>
          <w:rFonts w:hint="eastAsia" w:ascii="仿宋_GB2312" w:hAnsi="仿宋_GB2312" w:eastAsia="仿宋_GB2312" w:cs="仿宋_GB2312"/>
          <w:color w:val="000000" w:themeColor="text1"/>
          <w:sz w:val="24"/>
          <w:szCs w:val="24"/>
          <w14:textFill>
            <w14:solidFill>
              <w14:schemeClr w14:val="tx1"/>
            </w14:solidFill>
          </w14:textFill>
        </w:rPr>
        <w:t>（身份证号：</w:t>
      </w:r>
      <w:permStart w:id="72" w:edGrp="everyone"/>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130104197708152432</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ermEnd w:id="72"/>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CN"/>
          <w14:textFill>
            <w14:solidFill>
              <w14:schemeClr w14:val="tx1"/>
            </w14:solidFill>
          </w14:textFill>
        </w:rPr>
        <w:t xml:space="preserve">代表本公司行使权限。 </w:t>
      </w:r>
    </w:p>
    <w:p w14:paraId="60490CA7">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一、</w:t>
      </w:r>
      <w:r>
        <w:rPr>
          <w:rFonts w:hint="eastAsia" w:ascii="仿宋_GB2312" w:hAnsi="仿宋_GB2312" w:eastAsia="仿宋_GB2312" w:cs="仿宋_GB2312"/>
          <w:color w:val="000000" w:themeColor="text1"/>
          <w:sz w:val="24"/>
          <w:szCs w:val="24"/>
          <w:lang w:val="zh-CN"/>
          <w14:textFill>
            <w14:solidFill>
              <w14:schemeClr w14:val="tx1"/>
            </w14:solidFill>
          </w14:textFill>
        </w:rPr>
        <w:t>项目部须严格按合同约定行使权利，履行义务。本授权书规定与合同约定相冲突的，以合同约定为准。</w:t>
      </w:r>
    </w:p>
    <w:p w14:paraId="6D773AA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二、项目部行使权限，须由项目经理签字并加盖项目部公章，否则本公司不予认可，亦不承担任何责任。</w:t>
      </w:r>
    </w:p>
    <w:p w14:paraId="12113C2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三、项目经理</w:t>
      </w:r>
      <w:r>
        <w:rPr>
          <w:rFonts w:hint="eastAsia" w:ascii="仿宋_GB2312" w:hAnsi="仿宋_GB2312" w:eastAsia="仿宋_GB2312" w:cs="仿宋_GB2312"/>
          <w:color w:val="000000" w:themeColor="text1"/>
          <w:sz w:val="24"/>
          <w:szCs w:val="24"/>
          <w14:textFill>
            <w14:solidFill>
              <w14:schemeClr w14:val="tx1"/>
            </w14:solidFill>
          </w14:textFill>
        </w:rPr>
        <w:t>不</w:t>
      </w:r>
      <w:r>
        <w:rPr>
          <w:rFonts w:hint="eastAsia" w:ascii="仿宋_GB2312" w:hAnsi="仿宋_GB2312" w:eastAsia="仿宋_GB2312" w:cs="仿宋_GB2312"/>
          <w:color w:val="000000" w:themeColor="text1"/>
          <w:sz w:val="24"/>
          <w:szCs w:val="24"/>
          <w:lang w:val="zh-CN"/>
          <w14:textFill>
            <w14:solidFill>
              <w14:schemeClr w14:val="tx1"/>
            </w14:solidFill>
          </w14:textFill>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14:textFill>
            <w14:solidFill>
              <w14:schemeClr w14:val="tx1"/>
            </w14:solidFill>
          </w14:textFill>
        </w:rPr>
        <w:t>擅自</w:t>
      </w:r>
      <w:r>
        <w:rPr>
          <w:rFonts w:hint="eastAsia" w:ascii="仿宋_GB2312" w:hAnsi="仿宋_GB2312" w:eastAsia="仿宋_GB2312" w:cs="仿宋_GB2312"/>
          <w:color w:val="000000" w:themeColor="text1"/>
          <w:sz w:val="24"/>
          <w:szCs w:val="24"/>
          <w:lang w:val="zh-CN"/>
          <w14:textFill>
            <w14:solidFill>
              <w14:schemeClr w14:val="tx1"/>
            </w14:solidFill>
          </w14:textFill>
        </w:rPr>
        <w:t>转授权人员以任何形式签字、盖章本公司均不予认可，亦不承担任何责任。</w:t>
      </w:r>
    </w:p>
    <w:p w14:paraId="3A3CB1C1">
      <w:pPr>
        <w:autoSpaceDE w:val="0"/>
        <w:autoSpaceDN w:val="0"/>
        <w:adjustRightInd w:val="0"/>
        <w:spacing w:line="400" w:lineRule="exact"/>
        <w:ind w:firstLine="480" w:firstLineChars="20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四、项目所有合同、协议等具有权利义务性质的文件均需加盖合同专用章，否则本公司不予认可，亦不承担任何责任。</w:t>
      </w:r>
    </w:p>
    <w:p w14:paraId="457C04F1">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五、凡涉及项目经济性事项，项目部须严格在本授权书规定的权限范围内行使，否则，即使经项目部加盖公章、项目经理签字，本公司亦不予认可，不承担任何责任。</w:t>
      </w:r>
    </w:p>
    <w:p w14:paraId="41D664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1.项目部有权审批如下事项：</w:t>
      </w:r>
    </w:p>
    <w:tbl>
      <w:tblPr>
        <w:tblStyle w:val="9"/>
        <w:tblpPr w:leftFromText="180" w:rightFromText="180" w:vertAnchor="text" w:horzAnchor="margin" w:tblpXSpec="center" w:tblpY="87"/>
        <w:tblOverlap w:val="never"/>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09"/>
        <w:gridCol w:w="1974"/>
        <w:gridCol w:w="5117"/>
      </w:tblGrid>
      <w:tr w14:paraId="24F2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vAlign w:val="center"/>
          </w:tcPr>
          <w:p w14:paraId="58DA3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1209" w:type="dxa"/>
            <w:vAlign w:val="center"/>
          </w:tcPr>
          <w:p w14:paraId="46C5A47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板块</w:t>
            </w:r>
          </w:p>
        </w:tc>
        <w:tc>
          <w:tcPr>
            <w:tcW w:w="1974" w:type="dxa"/>
            <w:vAlign w:val="center"/>
          </w:tcPr>
          <w:p w14:paraId="2742A1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授权事项</w:t>
            </w:r>
          </w:p>
        </w:tc>
        <w:tc>
          <w:tcPr>
            <w:tcW w:w="5117" w:type="dxa"/>
            <w:vAlign w:val="center"/>
          </w:tcPr>
          <w:p w14:paraId="4249D1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授权权限</w:t>
            </w:r>
          </w:p>
        </w:tc>
      </w:tr>
      <w:tr w14:paraId="0E71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083B6C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p>
        </w:tc>
        <w:tc>
          <w:tcPr>
            <w:tcW w:w="1209" w:type="dxa"/>
            <w:vMerge w:val="restart"/>
            <w:vAlign w:val="center"/>
          </w:tcPr>
          <w:p w14:paraId="2808B3A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总包管理</w:t>
            </w:r>
          </w:p>
        </w:tc>
        <w:tc>
          <w:tcPr>
            <w:tcW w:w="1974" w:type="dxa"/>
            <w:vAlign w:val="center"/>
          </w:tcPr>
          <w:p w14:paraId="70E218E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申请开工</w:t>
            </w:r>
          </w:p>
        </w:tc>
        <w:tc>
          <w:tcPr>
            <w:tcW w:w="5117" w:type="dxa"/>
            <w:vAlign w:val="center"/>
          </w:tcPr>
          <w:p w14:paraId="2CE2A8C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有权向建设单位申请开工。</w:t>
            </w:r>
          </w:p>
        </w:tc>
      </w:tr>
      <w:tr w14:paraId="4536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AA80B5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p>
        </w:tc>
        <w:tc>
          <w:tcPr>
            <w:tcW w:w="1209" w:type="dxa"/>
            <w:vMerge w:val="continue"/>
            <w:vAlign w:val="center"/>
          </w:tcPr>
          <w:p w14:paraId="0BC885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6BBA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w:t>
            </w:r>
          </w:p>
        </w:tc>
        <w:tc>
          <w:tcPr>
            <w:tcW w:w="5117" w:type="dxa"/>
            <w:vAlign w:val="center"/>
          </w:tcPr>
          <w:p w14:paraId="0812684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施工方案、施工组织设计、技术措施的编制、交底、实施和落实。</w:t>
            </w:r>
          </w:p>
        </w:tc>
      </w:tr>
      <w:tr w14:paraId="4BCD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6485D7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p>
        </w:tc>
        <w:tc>
          <w:tcPr>
            <w:tcW w:w="1209" w:type="dxa"/>
            <w:vMerge w:val="continue"/>
            <w:vAlign w:val="center"/>
          </w:tcPr>
          <w:p w14:paraId="61358A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5E1995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报送工程进度</w:t>
            </w:r>
          </w:p>
        </w:tc>
        <w:tc>
          <w:tcPr>
            <w:tcW w:w="5117" w:type="dxa"/>
            <w:vAlign w:val="center"/>
          </w:tcPr>
          <w:p w14:paraId="1694214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对外报送工程进度计划及调整。</w:t>
            </w:r>
          </w:p>
        </w:tc>
      </w:tr>
      <w:tr w14:paraId="0D9E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39339C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4</w:t>
            </w:r>
          </w:p>
        </w:tc>
        <w:tc>
          <w:tcPr>
            <w:tcW w:w="1209" w:type="dxa"/>
            <w:vMerge w:val="continue"/>
            <w:vAlign w:val="center"/>
          </w:tcPr>
          <w:p w14:paraId="621CA0F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5838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物资需用计划</w:t>
            </w:r>
          </w:p>
        </w:tc>
        <w:tc>
          <w:tcPr>
            <w:tcW w:w="5117" w:type="dxa"/>
            <w:vAlign w:val="center"/>
          </w:tcPr>
          <w:p w14:paraId="7689556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有权向建设单位报送物资需用计划（适用于工程所需材料由建设单位提供）。</w:t>
            </w:r>
          </w:p>
        </w:tc>
      </w:tr>
      <w:tr w14:paraId="5ADE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923EFC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5</w:t>
            </w:r>
          </w:p>
        </w:tc>
        <w:tc>
          <w:tcPr>
            <w:tcW w:w="1209" w:type="dxa"/>
            <w:vMerge w:val="continue"/>
            <w:vAlign w:val="center"/>
          </w:tcPr>
          <w:p w14:paraId="12B2CF8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D062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甲供材过程及质量问题反馈</w:t>
            </w:r>
          </w:p>
        </w:tc>
        <w:tc>
          <w:tcPr>
            <w:tcW w:w="5117" w:type="dxa"/>
            <w:vAlign w:val="center"/>
          </w:tcPr>
          <w:p w14:paraId="05564D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有权就建设单位方供应（控制）的物质，供货过程及质量问题，向建设单位发联系函。</w:t>
            </w:r>
          </w:p>
        </w:tc>
      </w:tr>
      <w:tr w14:paraId="4A8F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2A13A2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6</w:t>
            </w:r>
          </w:p>
        </w:tc>
        <w:tc>
          <w:tcPr>
            <w:tcW w:w="1209" w:type="dxa"/>
            <w:vMerge w:val="continue"/>
            <w:vAlign w:val="center"/>
          </w:tcPr>
          <w:p w14:paraId="1E3FE1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3C918B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废旧物资处理</w:t>
            </w:r>
          </w:p>
        </w:tc>
        <w:tc>
          <w:tcPr>
            <w:tcW w:w="5117" w:type="dxa"/>
            <w:vAlign w:val="center"/>
          </w:tcPr>
          <w:p w14:paraId="24C5926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确定的方案实施处理废旧物资。</w:t>
            </w:r>
          </w:p>
        </w:tc>
      </w:tr>
      <w:tr w14:paraId="45AC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6F2622B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7</w:t>
            </w:r>
          </w:p>
        </w:tc>
        <w:tc>
          <w:tcPr>
            <w:tcW w:w="1209" w:type="dxa"/>
            <w:vMerge w:val="continue"/>
            <w:vAlign w:val="center"/>
          </w:tcPr>
          <w:p w14:paraId="250E1F3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9D07A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设计变更、签证、索赔</w:t>
            </w:r>
          </w:p>
        </w:tc>
        <w:tc>
          <w:tcPr>
            <w:tcW w:w="5117" w:type="dxa"/>
            <w:vAlign w:val="center"/>
          </w:tcPr>
          <w:p w14:paraId="3DF045A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有权向建设单位报送设计变更、签证、索赔报价单</w:t>
            </w:r>
          </w:p>
        </w:tc>
      </w:tr>
      <w:tr w14:paraId="44CB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A7CA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8</w:t>
            </w:r>
          </w:p>
        </w:tc>
        <w:tc>
          <w:tcPr>
            <w:tcW w:w="1209" w:type="dxa"/>
            <w:vMerge w:val="continue"/>
            <w:vAlign w:val="center"/>
          </w:tcPr>
          <w:p w14:paraId="6B1A491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A74061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对外报量书</w:t>
            </w:r>
          </w:p>
        </w:tc>
        <w:tc>
          <w:tcPr>
            <w:tcW w:w="5117" w:type="dxa"/>
            <w:vAlign w:val="center"/>
          </w:tcPr>
          <w:p w14:paraId="001BC7C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有权编制对外报量书并报送甲方审核。</w:t>
            </w:r>
          </w:p>
        </w:tc>
      </w:tr>
      <w:tr w14:paraId="73C8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CACE95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9</w:t>
            </w:r>
          </w:p>
        </w:tc>
        <w:tc>
          <w:tcPr>
            <w:tcW w:w="1209" w:type="dxa"/>
            <w:vMerge w:val="continue"/>
            <w:vAlign w:val="center"/>
          </w:tcPr>
          <w:p w14:paraId="708183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3A57D7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付款申请</w:t>
            </w:r>
          </w:p>
        </w:tc>
        <w:tc>
          <w:tcPr>
            <w:tcW w:w="5117" w:type="dxa"/>
            <w:vAlign w:val="center"/>
          </w:tcPr>
          <w:p w14:paraId="6ECAC3D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有权向建设单位提出付款申请。</w:t>
            </w:r>
          </w:p>
        </w:tc>
      </w:tr>
      <w:tr w14:paraId="0403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654D00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10</w:t>
            </w:r>
          </w:p>
        </w:tc>
        <w:tc>
          <w:tcPr>
            <w:tcW w:w="1209" w:type="dxa"/>
            <w:vMerge w:val="continue"/>
            <w:vAlign w:val="center"/>
          </w:tcPr>
          <w:p w14:paraId="5EBE5F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8704C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申请工程竣工验收</w:t>
            </w:r>
          </w:p>
        </w:tc>
        <w:tc>
          <w:tcPr>
            <w:tcW w:w="5117" w:type="dxa"/>
            <w:vAlign w:val="center"/>
          </w:tcPr>
          <w:p w14:paraId="172BBD2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有权报监理单位、建设单位组织验收。验收合格的，有权向建设单位提出竣工验收申请。</w:t>
            </w:r>
          </w:p>
        </w:tc>
      </w:tr>
      <w:tr w14:paraId="6FE3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EA0D4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11</w:t>
            </w:r>
          </w:p>
        </w:tc>
        <w:tc>
          <w:tcPr>
            <w:tcW w:w="1209" w:type="dxa"/>
            <w:vMerge w:val="continue"/>
            <w:vAlign w:val="center"/>
          </w:tcPr>
          <w:p w14:paraId="4B04E6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600191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工程交付</w:t>
            </w:r>
          </w:p>
        </w:tc>
        <w:tc>
          <w:tcPr>
            <w:tcW w:w="5117" w:type="dxa"/>
            <w:vAlign w:val="center"/>
          </w:tcPr>
          <w:p w14:paraId="1CCFED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有权组织向建设单位进行交付，办理工程移交单。</w:t>
            </w:r>
          </w:p>
        </w:tc>
      </w:tr>
      <w:tr w14:paraId="47C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7FE2B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12</w:t>
            </w:r>
          </w:p>
        </w:tc>
        <w:tc>
          <w:tcPr>
            <w:tcW w:w="1209" w:type="dxa"/>
            <w:vMerge w:val="continue"/>
            <w:vAlign w:val="center"/>
          </w:tcPr>
          <w:p w14:paraId="0CE73E5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E4E9DD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撤销保函</w:t>
            </w:r>
          </w:p>
        </w:tc>
        <w:tc>
          <w:tcPr>
            <w:tcW w:w="5117" w:type="dxa"/>
            <w:vAlign w:val="center"/>
          </w:tcPr>
          <w:p w14:paraId="490B0B7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有权办理我公司对外开立的保函撤销相关工作。</w:t>
            </w:r>
          </w:p>
        </w:tc>
      </w:tr>
      <w:tr w14:paraId="2D9F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82223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13</w:t>
            </w:r>
          </w:p>
        </w:tc>
        <w:tc>
          <w:tcPr>
            <w:tcW w:w="1209" w:type="dxa"/>
            <w:vMerge w:val="continue"/>
            <w:vAlign w:val="center"/>
          </w:tcPr>
          <w:p w14:paraId="10C87D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67832B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递交结算资料</w:t>
            </w:r>
          </w:p>
        </w:tc>
        <w:tc>
          <w:tcPr>
            <w:tcW w:w="5117" w:type="dxa"/>
            <w:vAlign w:val="center"/>
          </w:tcPr>
          <w:p w14:paraId="7C3F90B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有权向建设单位递交工程结算书及结算资料。</w:t>
            </w:r>
          </w:p>
        </w:tc>
      </w:tr>
      <w:tr w14:paraId="4D66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3A35C7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14</w:t>
            </w:r>
          </w:p>
        </w:tc>
        <w:tc>
          <w:tcPr>
            <w:tcW w:w="1209" w:type="dxa"/>
            <w:vMerge w:val="continue"/>
            <w:vAlign w:val="center"/>
          </w:tcPr>
          <w:p w14:paraId="0D2039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84B84C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应收账款对账</w:t>
            </w:r>
          </w:p>
        </w:tc>
        <w:tc>
          <w:tcPr>
            <w:tcW w:w="5117" w:type="dxa"/>
            <w:vAlign w:val="center"/>
          </w:tcPr>
          <w:p w14:paraId="74326C0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有权与建设单位进行对账，将双方应收（付）账款金额核对一致。</w:t>
            </w:r>
          </w:p>
        </w:tc>
      </w:tr>
      <w:tr w14:paraId="3B2D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CDE22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15</w:t>
            </w:r>
          </w:p>
        </w:tc>
        <w:tc>
          <w:tcPr>
            <w:tcW w:w="1209" w:type="dxa"/>
            <w:vMerge w:val="continue"/>
            <w:vAlign w:val="center"/>
          </w:tcPr>
          <w:p w14:paraId="026943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B5D45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催款单</w:t>
            </w:r>
          </w:p>
        </w:tc>
        <w:tc>
          <w:tcPr>
            <w:tcW w:w="5117" w:type="dxa"/>
            <w:vAlign w:val="center"/>
          </w:tcPr>
          <w:p w14:paraId="644160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根据《工程施工合同》有关条款，在存在拖欠工程款时，有权向建设单位发函催收。</w:t>
            </w:r>
          </w:p>
        </w:tc>
      </w:tr>
      <w:tr w14:paraId="5ECE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7B259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16</w:t>
            </w:r>
          </w:p>
        </w:tc>
        <w:tc>
          <w:tcPr>
            <w:tcW w:w="1209" w:type="dxa"/>
            <w:vMerge w:val="restart"/>
            <w:vAlign w:val="center"/>
          </w:tcPr>
          <w:p w14:paraId="645D15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分包(供)管理</w:t>
            </w:r>
          </w:p>
        </w:tc>
        <w:tc>
          <w:tcPr>
            <w:tcW w:w="1974" w:type="dxa"/>
            <w:vAlign w:val="center"/>
          </w:tcPr>
          <w:p w14:paraId="61FC6F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分包（供）合同管理</w:t>
            </w:r>
          </w:p>
        </w:tc>
        <w:tc>
          <w:tcPr>
            <w:tcW w:w="5117" w:type="dxa"/>
            <w:vAlign w:val="center"/>
          </w:tcPr>
          <w:p w14:paraId="2C5BF4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授权范围进行谈判，均需报</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/公司审批签约。</w:t>
            </w:r>
          </w:p>
        </w:tc>
      </w:tr>
      <w:tr w14:paraId="2334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0C10D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1209" w:type="dxa"/>
            <w:vMerge w:val="continue"/>
            <w:vAlign w:val="center"/>
          </w:tcPr>
          <w:p w14:paraId="65EF19D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0BF321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合同交底管理</w:t>
            </w:r>
          </w:p>
        </w:tc>
        <w:tc>
          <w:tcPr>
            <w:tcW w:w="5117" w:type="dxa"/>
            <w:vAlign w:val="center"/>
          </w:tcPr>
          <w:p w14:paraId="61F2305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将相关工程洽商记录、施工图纸及会审记录、设计变更通知书或设计变更图发至乙方，并做书面交底。</w:t>
            </w:r>
          </w:p>
        </w:tc>
      </w:tr>
      <w:tr w14:paraId="71C2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D36BC8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27EBD24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CEDAC1B">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sz w:val="24"/>
                <w:szCs w:val="24"/>
                <w:lang w:val="zh-CN"/>
              </w:rPr>
              <w:t>分包合同签证管理</w:t>
            </w:r>
          </w:p>
        </w:tc>
        <w:tc>
          <w:tcPr>
            <w:tcW w:w="5117" w:type="dxa"/>
            <w:vAlign w:val="center"/>
          </w:tcPr>
          <w:p w14:paraId="64F04CE4">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合同签证接收与初审(单份单项额度2万元以下的经济签证签署至项目经理，单份单项额度2万元以上的经济签证应签署至子企业总经济师。对同一个分包商累计现场签证不得超过10万元，且不得超过分包合同额的5%；结果需报公司/分公司审核，审核后方可作为结算依据）</w:t>
            </w:r>
          </w:p>
        </w:tc>
      </w:tr>
      <w:tr w14:paraId="2C6D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2327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4D680B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shd w:val="clear" w:color="auto" w:fill="auto"/>
            <w:vAlign w:val="center"/>
          </w:tcPr>
          <w:p w14:paraId="2B94C803">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分包单位进退场</w:t>
            </w:r>
          </w:p>
        </w:tc>
        <w:tc>
          <w:tcPr>
            <w:tcW w:w="5117" w:type="dxa"/>
            <w:shd w:val="clear" w:color="auto" w:fill="auto"/>
            <w:vAlign w:val="center"/>
          </w:tcPr>
          <w:p w14:paraId="05C9DE9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有权确认分包人员、机械、材料等施工资源进退场。</w:t>
            </w:r>
          </w:p>
        </w:tc>
      </w:tr>
      <w:tr w14:paraId="76C9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0D44E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20</w:t>
            </w:r>
          </w:p>
        </w:tc>
        <w:tc>
          <w:tcPr>
            <w:tcW w:w="1209" w:type="dxa"/>
            <w:vMerge w:val="continue"/>
            <w:vAlign w:val="center"/>
          </w:tcPr>
          <w:p w14:paraId="6BCD97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946530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劳动力分配计划</w:t>
            </w:r>
          </w:p>
        </w:tc>
        <w:tc>
          <w:tcPr>
            <w:tcW w:w="5117" w:type="dxa"/>
            <w:vAlign w:val="center"/>
          </w:tcPr>
          <w:p w14:paraId="29ECA6D6">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有权要求分包方按要求配置劳动力。</w:t>
            </w:r>
          </w:p>
        </w:tc>
      </w:tr>
      <w:tr w14:paraId="43F7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798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1209" w:type="dxa"/>
            <w:vMerge w:val="continue"/>
            <w:vAlign w:val="center"/>
          </w:tcPr>
          <w:p w14:paraId="1485ADD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76B7D47">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现场零星工程指令</w:t>
            </w:r>
          </w:p>
        </w:tc>
        <w:tc>
          <w:tcPr>
            <w:tcW w:w="5117" w:type="dxa"/>
            <w:vAlign w:val="center"/>
          </w:tcPr>
          <w:p w14:paraId="21B1FB04">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有权根据需要向分</w:t>
            </w:r>
            <w:r>
              <w:rPr>
                <w:rFonts w:hint="eastAsia" w:ascii="仿宋_GB2312" w:hAnsi="仿宋_GB2312" w:eastAsia="仿宋_GB2312" w:cs="仿宋_GB2312"/>
                <w:b/>
                <w:bCs/>
                <w:sz w:val="24"/>
                <w:szCs w:val="24"/>
              </w:rPr>
              <w:t>包</w:t>
            </w:r>
            <w:r>
              <w:rPr>
                <w:rFonts w:hint="eastAsia" w:ascii="仿宋_GB2312" w:hAnsi="仿宋_GB2312" w:eastAsia="仿宋_GB2312" w:cs="仿宋_GB2312"/>
                <w:b/>
                <w:bCs/>
                <w:sz w:val="24"/>
                <w:szCs w:val="24"/>
                <w:lang w:val="zh-CN"/>
              </w:rPr>
              <w:t>方签发现场零星工程指令（金额在2万元以内）。</w:t>
            </w:r>
          </w:p>
        </w:tc>
      </w:tr>
      <w:tr w14:paraId="31CC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restart"/>
            <w:vAlign w:val="center"/>
          </w:tcPr>
          <w:p w14:paraId="0976BE5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1209" w:type="dxa"/>
            <w:vMerge w:val="continue"/>
            <w:vAlign w:val="center"/>
          </w:tcPr>
          <w:p w14:paraId="2B7083E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restart"/>
            <w:vAlign w:val="center"/>
          </w:tcPr>
          <w:p w14:paraId="16819B5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紧急采购、零星物资采购</w:t>
            </w:r>
          </w:p>
        </w:tc>
        <w:tc>
          <w:tcPr>
            <w:tcW w:w="5117" w:type="dxa"/>
            <w:vAlign w:val="center"/>
          </w:tcPr>
          <w:p w14:paraId="053087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零星采购：</w:t>
            </w:r>
            <w:r>
              <w:rPr>
                <w:rFonts w:hint="eastAsia" w:ascii="仿宋_GB2312" w:hAnsi="仿宋_GB2312" w:eastAsia="仿宋_GB2312" w:cs="仿宋_GB2312"/>
                <w:b/>
                <w:bCs/>
                <w:sz w:val="24"/>
                <w:szCs w:val="24"/>
              </w:rPr>
              <w:t>按制度权限、额度审批后采购。</w:t>
            </w:r>
          </w:p>
        </w:tc>
      </w:tr>
      <w:tr w14:paraId="07F3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continue"/>
            <w:vAlign w:val="center"/>
          </w:tcPr>
          <w:p w14:paraId="075BD1C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209" w:type="dxa"/>
            <w:vMerge w:val="continue"/>
            <w:vAlign w:val="center"/>
          </w:tcPr>
          <w:p w14:paraId="688BA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continue"/>
            <w:vAlign w:val="center"/>
          </w:tcPr>
          <w:p w14:paraId="50EB631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5117" w:type="dxa"/>
            <w:vAlign w:val="center"/>
          </w:tcPr>
          <w:p w14:paraId="71453AF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紧急采购：报公司审核后，项目实施采购。</w:t>
            </w:r>
          </w:p>
        </w:tc>
      </w:tr>
      <w:tr w14:paraId="6041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1DEB92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1209" w:type="dxa"/>
            <w:vMerge w:val="continue"/>
            <w:vAlign w:val="center"/>
          </w:tcPr>
          <w:p w14:paraId="7872254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E0CBDE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材料、料具、设备进退场</w:t>
            </w:r>
          </w:p>
        </w:tc>
        <w:tc>
          <w:tcPr>
            <w:tcW w:w="5117" w:type="dxa"/>
            <w:vAlign w:val="center"/>
          </w:tcPr>
          <w:p w14:paraId="59DF22A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14:textFill>
                  <w14:solidFill>
                    <w14:schemeClr w14:val="tx1"/>
                  </w14:solidFill>
                </w14:textFill>
              </w:rPr>
              <w:t>分供方</w:t>
            </w:r>
            <w:r>
              <w:rPr>
                <w:rFonts w:hint="eastAsia" w:ascii="仿宋_GB2312" w:hAnsi="仿宋_GB2312" w:eastAsia="仿宋_GB2312" w:cs="仿宋_GB2312"/>
                <w:b/>
                <w:bCs/>
                <w:color w:val="000000" w:themeColor="text1"/>
                <w:sz w:val="24"/>
                <w:szCs w:val="24"/>
                <w:lang w:val="zh-CN"/>
                <w14:textFill>
                  <w14:solidFill>
                    <w14:schemeClr w14:val="tx1"/>
                  </w14:solidFill>
                </w14:textFill>
              </w:rPr>
              <w:t>发送物资进退场通知单；有权确认材料、料具、设备及退货材料的进退场单据。</w:t>
            </w:r>
          </w:p>
        </w:tc>
      </w:tr>
      <w:tr w14:paraId="66EB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CE53A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24</w:t>
            </w:r>
          </w:p>
        </w:tc>
        <w:tc>
          <w:tcPr>
            <w:tcW w:w="1209" w:type="dxa"/>
            <w:vMerge w:val="continue"/>
            <w:vAlign w:val="center"/>
          </w:tcPr>
          <w:p w14:paraId="110FC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5AACF2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w:t>
            </w:r>
            <w:r>
              <w:rPr>
                <w:rFonts w:hint="eastAsia" w:ascii="仿宋_GB2312" w:hAnsi="仿宋_GB2312" w:eastAsia="仿宋_GB2312" w:cs="仿宋_GB2312"/>
                <w:b/>
                <w:bCs/>
                <w:color w:val="000000" w:themeColor="text1"/>
                <w:sz w:val="24"/>
                <w:szCs w:val="24"/>
                <w14:textFill>
                  <w14:solidFill>
                    <w14:schemeClr w14:val="tx1"/>
                  </w14:solidFill>
                </w14:textFill>
              </w:rPr>
              <w:t>检验</w:t>
            </w:r>
          </w:p>
        </w:tc>
        <w:tc>
          <w:tcPr>
            <w:tcW w:w="5117" w:type="dxa"/>
            <w:vAlign w:val="center"/>
          </w:tcPr>
          <w:p w14:paraId="24DA54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对乙方</w:t>
            </w:r>
            <w:r>
              <w:rPr>
                <w:rFonts w:hint="eastAsia" w:ascii="仿宋_GB2312" w:hAnsi="仿宋_GB2312" w:eastAsia="仿宋_GB2312" w:cs="仿宋_GB2312"/>
                <w:b/>
                <w:bCs/>
                <w:color w:val="000000" w:themeColor="text1"/>
                <w:sz w:val="24"/>
                <w:szCs w:val="24"/>
                <w14:textFill>
                  <w14:solidFill>
                    <w14:schemeClr w14:val="tx1"/>
                  </w14:solidFill>
                </w14:textFill>
              </w:rPr>
              <w:t>物资</w:t>
            </w:r>
            <w:r>
              <w:rPr>
                <w:rFonts w:hint="eastAsia" w:ascii="仿宋_GB2312" w:hAnsi="仿宋_GB2312" w:eastAsia="仿宋_GB2312" w:cs="仿宋_GB2312"/>
                <w:b/>
                <w:bCs/>
                <w:color w:val="000000" w:themeColor="text1"/>
                <w:sz w:val="24"/>
                <w:szCs w:val="24"/>
                <w:lang w:val="zh-CN"/>
                <w14:textFill>
                  <w14:solidFill>
                    <w14:schemeClr w14:val="tx1"/>
                  </w14:solidFill>
                </w14:textFill>
              </w:rPr>
              <w:t>设备进行检验、试验、检测与计量，联系乙方退货或更换，出具进场设备不合格记录。</w:t>
            </w:r>
          </w:p>
        </w:tc>
      </w:tr>
      <w:tr w14:paraId="332E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07BC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50DCC28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20BFD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物资发放</w:t>
            </w:r>
          </w:p>
        </w:tc>
        <w:tc>
          <w:tcPr>
            <w:tcW w:w="5117" w:type="dxa"/>
            <w:vAlign w:val="center"/>
          </w:tcPr>
          <w:p w14:paraId="436C7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有权确认有关物资发放的领料单、退货单、混凝土浇灌申请表（不含调拨单）。</w:t>
            </w:r>
          </w:p>
        </w:tc>
      </w:tr>
      <w:tr w14:paraId="57D5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9F4AF4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Merge w:val="continue"/>
            <w:vAlign w:val="center"/>
          </w:tcPr>
          <w:p w14:paraId="0AF4EB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E8E97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履约整改通知</w:t>
            </w:r>
          </w:p>
        </w:tc>
        <w:tc>
          <w:tcPr>
            <w:tcW w:w="5117" w:type="dxa"/>
            <w:vAlign w:val="center"/>
          </w:tcPr>
          <w:p w14:paraId="325090F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对分包分供方工程项目的履约情况进行监控和核查，发现问题后，有权通知要求分包分供方进行整改。</w:t>
            </w:r>
          </w:p>
        </w:tc>
      </w:tr>
      <w:tr w14:paraId="00C0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1F49D9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continue"/>
            <w:vAlign w:val="center"/>
          </w:tcPr>
          <w:p w14:paraId="604E89D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0ACAB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分包分供方处罚</w:t>
            </w:r>
          </w:p>
        </w:tc>
        <w:tc>
          <w:tcPr>
            <w:tcW w:w="5117" w:type="dxa"/>
            <w:vAlign w:val="center"/>
          </w:tcPr>
          <w:p w14:paraId="791048A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有权根据合同约定对不服从管理或违约的分包分供方作出处罚的决定。</w:t>
            </w:r>
          </w:p>
        </w:tc>
      </w:tr>
      <w:tr w14:paraId="46CA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62F6D6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28</w:t>
            </w:r>
          </w:p>
        </w:tc>
        <w:tc>
          <w:tcPr>
            <w:tcW w:w="1209" w:type="dxa"/>
            <w:vMerge w:val="continue"/>
            <w:vAlign w:val="center"/>
          </w:tcPr>
          <w:p w14:paraId="1485C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B2AF09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结算初步办理</w:t>
            </w:r>
          </w:p>
        </w:tc>
        <w:tc>
          <w:tcPr>
            <w:tcW w:w="5117" w:type="dxa"/>
            <w:vAlign w:val="center"/>
          </w:tcPr>
          <w:p w14:paraId="695D993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初步编制</w:t>
            </w:r>
            <w:r>
              <w:rPr>
                <w:rFonts w:hint="eastAsia" w:ascii="仿宋_GB2312" w:hAnsi="仿宋_GB2312" w:eastAsia="仿宋_GB2312" w:cs="仿宋_GB2312"/>
                <w:b/>
                <w:bCs/>
                <w:color w:val="000000" w:themeColor="text1"/>
                <w:sz w:val="24"/>
                <w:szCs w:val="24"/>
                <w14:textFill>
                  <w14:solidFill>
                    <w14:schemeClr w14:val="tx1"/>
                  </w14:solidFill>
                </w14:textFill>
              </w:rPr>
              <w:t>分包分供</w:t>
            </w:r>
            <w:r>
              <w:rPr>
                <w:rFonts w:hint="eastAsia" w:ascii="仿宋_GB2312" w:hAnsi="仿宋_GB2312" w:eastAsia="仿宋_GB2312" w:cs="仿宋_GB2312"/>
                <w:b/>
                <w:bCs/>
                <w:color w:val="000000" w:themeColor="text1"/>
                <w:sz w:val="24"/>
                <w:szCs w:val="24"/>
                <w:lang w:val="zh-CN"/>
                <w14:textFill>
                  <w14:solidFill>
                    <w14:schemeClr w14:val="tx1"/>
                  </w14:solidFill>
                </w14:textFill>
              </w:rPr>
              <w:t>结算单提交甲方</w:t>
            </w:r>
            <w:r>
              <w:rPr>
                <w:rFonts w:hint="eastAsia" w:ascii="仿宋_GB2312" w:hAnsi="仿宋_GB2312" w:eastAsia="仿宋_GB2312" w:cs="仿宋_GB2312"/>
                <w:b/>
                <w:bCs/>
                <w:color w:val="000000" w:themeColor="text1"/>
                <w:sz w:val="24"/>
                <w:szCs w:val="24"/>
                <w14:textFill>
                  <w14:solidFill>
                    <w14:schemeClr w14:val="tx1"/>
                  </w14:solidFill>
                </w14:textFill>
              </w:rPr>
              <w:t>分子公司/集团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确认。</w:t>
            </w:r>
          </w:p>
        </w:tc>
      </w:tr>
      <w:tr w14:paraId="1D1E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BEE565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3173AA4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D57B80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分包分供方结算扣款</w:t>
            </w:r>
          </w:p>
        </w:tc>
        <w:tc>
          <w:tcPr>
            <w:tcW w:w="5117" w:type="dxa"/>
            <w:vAlign w:val="center"/>
          </w:tcPr>
          <w:p w14:paraId="693B259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有权在中间结算和最终结算时扣除分包分供方应扣款项（包括但不限于</w:t>
            </w:r>
            <w:r>
              <w:rPr>
                <w:rFonts w:hint="eastAsia" w:ascii="仿宋_GB2312" w:hAnsi="仿宋_GB2312" w:eastAsia="仿宋_GB2312" w:cs="仿宋_GB2312"/>
                <w:b/>
                <w:bCs/>
                <w:color w:val="000000" w:themeColor="text1"/>
                <w:sz w:val="24"/>
                <w:szCs w:val="24"/>
                <w14:textFill>
                  <w14:solidFill>
                    <w14:schemeClr w14:val="tx1"/>
                  </w14:solidFill>
                </w14:textFill>
              </w:rPr>
              <w:t>质保金、</w:t>
            </w:r>
            <w:r>
              <w:rPr>
                <w:rFonts w:hint="eastAsia" w:ascii="仿宋_GB2312" w:hAnsi="仿宋_GB2312" w:eastAsia="仿宋_GB2312" w:cs="仿宋_GB2312"/>
                <w:b/>
                <w:bCs/>
                <w:color w:val="000000" w:themeColor="text1"/>
                <w:sz w:val="24"/>
                <w:szCs w:val="24"/>
                <w:lang w:val="zh-CN"/>
                <w14:textFill>
                  <w14:solidFill>
                    <w14:schemeClr w14:val="tx1"/>
                  </w14:solidFill>
                </w14:textFill>
              </w:rPr>
              <w:t>委托采购材料扣款、料具、机械租赁费扣款、项目现场管理费用扣款、临建费、维修费扣款、规费分摊扣款、水电费、罚款及税金扣款等）。</w:t>
            </w:r>
          </w:p>
        </w:tc>
      </w:tr>
      <w:tr w14:paraId="2BFB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393FAC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30</w:t>
            </w:r>
          </w:p>
        </w:tc>
        <w:tc>
          <w:tcPr>
            <w:tcW w:w="1209" w:type="dxa"/>
            <w:vMerge w:val="restart"/>
            <w:vAlign w:val="center"/>
          </w:tcPr>
          <w:p w14:paraId="4F07B61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安全管理</w:t>
            </w:r>
          </w:p>
        </w:tc>
        <w:tc>
          <w:tcPr>
            <w:tcW w:w="1974" w:type="dxa"/>
            <w:vAlign w:val="center"/>
          </w:tcPr>
          <w:p w14:paraId="75E0C95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事故现场秩序维护</w:t>
            </w:r>
          </w:p>
        </w:tc>
        <w:tc>
          <w:tcPr>
            <w:tcW w:w="5117" w:type="dxa"/>
            <w:vAlign w:val="center"/>
          </w:tcPr>
          <w:p w14:paraId="4B9847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有权维护安全事故现场秩序。涉及赔偿的，赔偿数额确定需经</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审批（不含安全事故责任认定及赔偿）。</w:t>
            </w:r>
          </w:p>
        </w:tc>
      </w:tr>
      <w:tr w14:paraId="626B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BF9B1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31</w:t>
            </w:r>
          </w:p>
        </w:tc>
        <w:tc>
          <w:tcPr>
            <w:tcW w:w="1209" w:type="dxa"/>
            <w:vMerge w:val="continue"/>
            <w:vAlign w:val="center"/>
          </w:tcPr>
          <w:p w14:paraId="75AE4C2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AAD2D7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安全事故处理方案</w:t>
            </w:r>
          </w:p>
        </w:tc>
        <w:tc>
          <w:tcPr>
            <w:tcW w:w="5117" w:type="dxa"/>
            <w:vAlign w:val="center"/>
          </w:tcPr>
          <w:p w14:paraId="20B532D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发生安全事故后，有权启动应急预案。</w:t>
            </w:r>
          </w:p>
        </w:tc>
      </w:tr>
      <w:tr w14:paraId="2817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6F82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32</w:t>
            </w:r>
          </w:p>
        </w:tc>
        <w:tc>
          <w:tcPr>
            <w:tcW w:w="1209" w:type="dxa"/>
            <w:vMerge w:val="continue"/>
            <w:vAlign w:val="center"/>
          </w:tcPr>
          <w:p w14:paraId="047BD2E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D55D7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w:t>
            </w:r>
            <w:r>
              <w:rPr>
                <w:rFonts w:hint="eastAsia" w:ascii="仿宋_GB2312" w:hAnsi="仿宋_GB2312" w:eastAsia="仿宋_GB2312" w:cs="仿宋_GB2312"/>
                <w:b/>
                <w:bCs/>
                <w:color w:val="000000" w:themeColor="text1"/>
                <w:sz w:val="24"/>
                <w:szCs w:val="24"/>
                <w14:textFill>
                  <w14:solidFill>
                    <w14:schemeClr w14:val="tx1"/>
                  </w14:solidFill>
                </w14:textFill>
              </w:rPr>
              <w:t>整改</w:t>
            </w:r>
          </w:p>
        </w:tc>
        <w:tc>
          <w:tcPr>
            <w:tcW w:w="5117" w:type="dxa"/>
            <w:vAlign w:val="center"/>
          </w:tcPr>
          <w:p w14:paraId="012ED5F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对存在的安全生产隐患，下达《安全隐患整改通知书》</w:t>
            </w:r>
          </w:p>
          <w:p w14:paraId="7CD23A6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对存在重大安全生产隐患，下达《安全隐患局部停工整改令》</w:t>
            </w:r>
          </w:p>
        </w:tc>
      </w:tr>
      <w:tr w14:paraId="0C78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AD45E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33</w:t>
            </w:r>
          </w:p>
        </w:tc>
        <w:tc>
          <w:tcPr>
            <w:tcW w:w="1209" w:type="dxa"/>
            <w:vMerge w:val="restart"/>
            <w:vAlign w:val="center"/>
          </w:tcPr>
          <w:p w14:paraId="0040708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质量管理</w:t>
            </w:r>
          </w:p>
        </w:tc>
        <w:tc>
          <w:tcPr>
            <w:tcW w:w="1974" w:type="dxa"/>
            <w:vAlign w:val="center"/>
          </w:tcPr>
          <w:p w14:paraId="4329E3E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质量验收</w:t>
            </w:r>
          </w:p>
        </w:tc>
        <w:tc>
          <w:tcPr>
            <w:tcW w:w="5117" w:type="dxa"/>
            <w:vAlign w:val="center"/>
          </w:tcPr>
          <w:p w14:paraId="3918EE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有权组织实施质量验收工作。</w:t>
            </w:r>
          </w:p>
        </w:tc>
      </w:tr>
      <w:tr w14:paraId="0174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DA63F2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1209" w:type="dxa"/>
            <w:vMerge w:val="continue"/>
            <w:vAlign w:val="center"/>
          </w:tcPr>
          <w:p w14:paraId="6DD0AEF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9D58C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质量事故应急措施</w:t>
            </w:r>
          </w:p>
        </w:tc>
        <w:tc>
          <w:tcPr>
            <w:tcW w:w="5117" w:type="dxa"/>
            <w:vAlign w:val="center"/>
          </w:tcPr>
          <w:p w14:paraId="107C090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质量事故发生后，有权立即采取措施防止事故扩大（1小时内上报</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p>
        </w:tc>
      </w:tr>
      <w:tr w14:paraId="2CDC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1619E7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7909968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E1513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质量事故处理方案</w:t>
            </w:r>
          </w:p>
        </w:tc>
        <w:tc>
          <w:tcPr>
            <w:tcW w:w="5117" w:type="dxa"/>
            <w:vAlign w:val="center"/>
          </w:tcPr>
          <w:p w14:paraId="01F4F15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有权按照</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制定质量事故处理方案处理事故相关事宜。</w:t>
            </w:r>
          </w:p>
        </w:tc>
      </w:tr>
      <w:tr w14:paraId="3F36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80BB6C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Align w:val="center"/>
          </w:tcPr>
          <w:p w14:paraId="1470D5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环境管理</w:t>
            </w:r>
          </w:p>
        </w:tc>
        <w:tc>
          <w:tcPr>
            <w:tcW w:w="1974" w:type="dxa"/>
            <w:vAlign w:val="center"/>
          </w:tcPr>
          <w:p w14:paraId="47BD5E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环境污染事故应急措施</w:t>
            </w:r>
          </w:p>
        </w:tc>
        <w:tc>
          <w:tcPr>
            <w:tcW w:w="5117" w:type="dxa"/>
            <w:vAlign w:val="center"/>
          </w:tcPr>
          <w:p w14:paraId="46DD9F5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环境污染事故发生后，有权立即采取措施防止事故扩大（1小时内上报分</w:t>
            </w:r>
            <w:r>
              <w:rPr>
                <w:rFonts w:hint="eastAsia" w:ascii="仿宋_GB2312" w:hAnsi="仿宋_GB2312" w:eastAsia="仿宋_GB2312" w:cs="仿宋_GB2312"/>
                <w:b/>
                <w:bCs/>
                <w:color w:val="000000" w:themeColor="text1"/>
                <w:sz w:val="24"/>
                <w:szCs w:val="24"/>
                <w14:textFill>
                  <w14:solidFill>
                    <w14:schemeClr w14:val="tx1"/>
                  </w14:solidFill>
                </w14:textFill>
              </w:rPr>
              <w:t>子</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w:t>
            </w:r>
          </w:p>
        </w:tc>
      </w:tr>
      <w:tr w14:paraId="25D7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7868E6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restart"/>
            <w:vAlign w:val="center"/>
          </w:tcPr>
          <w:p w14:paraId="4011D39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维保管理</w:t>
            </w:r>
          </w:p>
        </w:tc>
        <w:tc>
          <w:tcPr>
            <w:tcW w:w="1974" w:type="dxa"/>
            <w:vAlign w:val="center"/>
          </w:tcPr>
          <w:p w14:paraId="06EE4CD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维修整改通知</w:t>
            </w:r>
          </w:p>
        </w:tc>
        <w:tc>
          <w:tcPr>
            <w:tcW w:w="5117" w:type="dxa"/>
            <w:vAlign w:val="center"/>
          </w:tcPr>
          <w:p w14:paraId="7F060AB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有权向分包分供方发送维修整改通知。</w:t>
            </w:r>
          </w:p>
        </w:tc>
      </w:tr>
      <w:tr w14:paraId="10FD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EFBE40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306757B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079C5D9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协商维修方案</w:t>
            </w:r>
          </w:p>
        </w:tc>
        <w:tc>
          <w:tcPr>
            <w:tcW w:w="5117" w:type="dxa"/>
            <w:vAlign w:val="center"/>
          </w:tcPr>
          <w:p w14:paraId="14BF7BD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对存在的质量问题有权与建设单位协商维修方案。</w:t>
            </w:r>
          </w:p>
        </w:tc>
      </w:tr>
      <w:tr w14:paraId="26FA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CCEDB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74C945F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8D507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组织维修</w:t>
            </w:r>
          </w:p>
        </w:tc>
        <w:tc>
          <w:tcPr>
            <w:tcW w:w="5117" w:type="dxa"/>
            <w:vAlign w:val="center"/>
          </w:tcPr>
          <w:p w14:paraId="1054F9A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有权向建设单位报送维修登记单、维修任务书。</w:t>
            </w:r>
          </w:p>
        </w:tc>
      </w:tr>
      <w:tr w14:paraId="11A2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CF452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40</w:t>
            </w:r>
          </w:p>
        </w:tc>
        <w:tc>
          <w:tcPr>
            <w:tcW w:w="1209" w:type="dxa"/>
            <w:vMerge w:val="continue"/>
            <w:vAlign w:val="center"/>
          </w:tcPr>
          <w:p w14:paraId="440E058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F66D1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维修验收</w:t>
            </w:r>
          </w:p>
        </w:tc>
        <w:tc>
          <w:tcPr>
            <w:tcW w:w="5117" w:type="dxa"/>
            <w:vAlign w:val="center"/>
          </w:tcPr>
          <w:p w14:paraId="50C4313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有权组织建设单位对保修工作进行验收、有权组织对分包分供的维修验收。</w:t>
            </w:r>
          </w:p>
        </w:tc>
      </w:tr>
      <w:tr w14:paraId="236C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355422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41</w:t>
            </w:r>
          </w:p>
        </w:tc>
        <w:tc>
          <w:tcPr>
            <w:tcW w:w="1209" w:type="dxa"/>
            <w:vMerge w:val="restart"/>
            <w:vAlign w:val="center"/>
          </w:tcPr>
          <w:p w14:paraId="48D7C36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催收清欠</w:t>
            </w:r>
          </w:p>
        </w:tc>
        <w:tc>
          <w:tcPr>
            <w:tcW w:w="1974" w:type="dxa"/>
            <w:vAlign w:val="center"/>
          </w:tcPr>
          <w:p w14:paraId="186F72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质保金到期催付</w:t>
            </w:r>
          </w:p>
        </w:tc>
        <w:tc>
          <w:tcPr>
            <w:tcW w:w="5117" w:type="dxa"/>
            <w:vAlign w:val="center"/>
          </w:tcPr>
          <w:p w14:paraId="0677225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有权向建设单位发《保修期满通知书》。</w:t>
            </w:r>
          </w:p>
        </w:tc>
      </w:tr>
      <w:tr w14:paraId="72B9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3E3057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42</w:t>
            </w:r>
          </w:p>
        </w:tc>
        <w:tc>
          <w:tcPr>
            <w:tcW w:w="1209" w:type="dxa"/>
            <w:vMerge w:val="continue"/>
            <w:vAlign w:val="center"/>
          </w:tcPr>
          <w:p w14:paraId="575535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AF8A4A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其他到期应付款催付</w:t>
            </w:r>
          </w:p>
        </w:tc>
        <w:tc>
          <w:tcPr>
            <w:tcW w:w="5117" w:type="dxa"/>
            <w:vAlign w:val="center"/>
          </w:tcPr>
          <w:p w14:paraId="2FD0A7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有权向建设单位发催款函。</w:t>
            </w:r>
          </w:p>
        </w:tc>
      </w:tr>
      <w:tr w14:paraId="3962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05B5F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43</w:t>
            </w:r>
          </w:p>
        </w:tc>
        <w:tc>
          <w:tcPr>
            <w:tcW w:w="1209" w:type="dxa"/>
            <w:vAlign w:val="center"/>
          </w:tcPr>
          <w:p w14:paraId="4B2337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往来函件</w:t>
            </w:r>
          </w:p>
        </w:tc>
        <w:tc>
          <w:tcPr>
            <w:tcW w:w="1974" w:type="dxa"/>
            <w:vAlign w:val="center"/>
          </w:tcPr>
          <w:p w14:paraId="211D905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工程往来函件</w:t>
            </w:r>
          </w:p>
        </w:tc>
        <w:tc>
          <w:tcPr>
            <w:tcW w:w="5117" w:type="dxa"/>
            <w:vAlign w:val="center"/>
          </w:tcPr>
          <w:p w14:paraId="0638500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有权报送或接收项目工程联系函（如图纸会审、技术核定、设计变更通知等）。</w:t>
            </w:r>
          </w:p>
        </w:tc>
      </w:tr>
    </w:tbl>
    <w:p w14:paraId="1CDC181F">
      <w:pPr>
        <w:numPr>
          <w:ilvl w:val="0"/>
          <w:numId w:val="6"/>
        </w:numPr>
        <w:autoSpaceDE w:val="0"/>
        <w:autoSpaceDN w:val="0"/>
        <w:adjustRightInd w:val="0"/>
        <w:spacing w:line="400" w:lineRule="exact"/>
        <w:rPr>
          <w:rFonts w:hint="eastAsia" w:ascii="仿宋_GB2312" w:hAnsi="仿宋_GB2312" w:eastAsia="仿宋_GB2312" w:cs="仿宋_GB2312"/>
          <w:b/>
          <w:bCs/>
          <w:color w:val="000000" w:themeColor="text1"/>
          <w:sz w:val="24"/>
          <w:szCs w:val="24"/>
          <w14:textFill>
            <w14:solidFill>
              <w14:schemeClr w14:val="tx1"/>
            </w14:solidFill>
          </w14:textFill>
        </w:rPr>
      </w:pPr>
      <w:bookmarkStart w:id="73" w:name="_Hlk126826460"/>
      <w:r>
        <w:rPr>
          <w:rFonts w:hint="eastAsia" w:ascii="仿宋_GB2312" w:hAnsi="仿宋_GB2312" w:eastAsia="仿宋_GB2312" w:cs="仿宋_GB2312"/>
          <w:b/>
          <w:bCs/>
          <w:color w:val="000000" w:themeColor="text1"/>
          <w:sz w:val="24"/>
          <w:szCs w:val="24"/>
          <w14:textFill>
            <w14:solidFill>
              <w14:schemeClr w14:val="tx1"/>
            </w14:solidFill>
          </w14:textFill>
        </w:rPr>
        <w:t>项目部无权审批以下事项：</w:t>
      </w:r>
    </w:p>
    <w:bookmarkEnd w:id="73"/>
    <w:tbl>
      <w:tblPr>
        <w:tblStyle w:val="9"/>
        <w:tblW w:w="9542"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809"/>
      </w:tblGrid>
      <w:tr w14:paraId="2EDEEC3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42962EE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bookmarkStart w:id="74" w:name="_Hlk127195047"/>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8809" w:type="dxa"/>
            <w:tcBorders>
              <w:top w:val="single" w:color="auto" w:sz="4" w:space="0"/>
              <w:left w:val="single" w:color="auto" w:sz="4" w:space="0"/>
              <w:bottom w:val="single" w:color="auto" w:sz="4" w:space="0"/>
              <w:right w:val="single" w:color="auto" w:sz="4" w:space="0"/>
            </w:tcBorders>
            <w:vAlign w:val="center"/>
          </w:tcPr>
          <w:p w14:paraId="1693603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禁止性事项</w:t>
            </w:r>
          </w:p>
        </w:tc>
      </w:tr>
      <w:tr w14:paraId="0D05934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18790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8809" w:type="dxa"/>
            <w:tcBorders>
              <w:top w:val="single" w:color="auto" w:sz="4" w:space="0"/>
              <w:left w:val="single" w:color="auto" w:sz="4" w:space="0"/>
              <w:bottom w:val="single" w:color="auto" w:sz="4" w:space="0"/>
              <w:right w:val="single" w:color="auto" w:sz="4" w:space="0"/>
            </w:tcBorders>
            <w:vAlign w:val="center"/>
          </w:tcPr>
          <w:p w14:paraId="7AE70DB3">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签署（或变更）各类经济类合同（包含但不限于总承包合同及其补充协议、专业分包合同、劳务分包合同、物资设备料具采购、租赁合同、设备安装拆除合同、技术咨询合同等各类合同）。</w:t>
            </w:r>
          </w:p>
        </w:tc>
      </w:tr>
      <w:tr w14:paraId="69C3EDB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9EFB90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8809" w:type="dxa"/>
            <w:tcBorders>
              <w:top w:val="single" w:color="auto" w:sz="4" w:space="0"/>
              <w:left w:val="single" w:color="auto" w:sz="4" w:space="0"/>
              <w:bottom w:val="single" w:color="auto" w:sz="4" w:space="0"/>
              <w:right w:val="single" w:color="auto" w:sz="4" w:space="0"/>
            </w:tcBorders>
            <w:vAlign w:val="center"/>
          </w:tcPr>
          <w:p w14:paraId="6C99F7CA">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未经分子公司/集团书面批准擅自购买材料、设备。</w:t>
            </w:r>
          </w:p>
        </w:tc>
      </w:tr>
      <w:tr w14:paraId="3A3FE55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C82ECD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8809" w:type="dxa"/>
            <w:tcBorders>
              <w:top w:val="single" w:color="auto" w:sz="4" w:space="0"/>
              <w:left w:val="single" w:color="auto" w:sz="4" w:space="0"/>
              <w:bottom w:val="single" w:color="auto" w:sz="4" w:space="0"/>
              <w:right w:val="single" w:color="auto" w:sz="4" w:space="0"/>
            </w:tcBorders>
            <w:vAlign w:val="center"/>
          </w:tcPr>
          <w:p w14:paraId="65C46412">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放弃或限制行使工程项目优先受偿权、签署</w:t>
            </w:r>
            <w:r>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t>代他人清偿债务的文件，签署任何放弃债权的文件</w:t>
            </w:r>
            <w:r>
              <w:rPr>
                <w:rFonts w:hint="eastAsia" w:ascii="仿宋_GB2312" w:hAnsi="仿宋_GB2312" w:eastAsia="仿宋_GB2312" w:cs="仿宋_GB2312"/>
                <w:b/>
                <w:bCs/>
                <w:color w:val="000000" w:themeColor="text1"/>
                <w:kern w:val="0"/>
                <w:sz w:val="24"/>
                <w:szCs w:val="24"/>
                <w14:textFill>
                  <w14:solidFill>
                    <w14:schemeClr w14:val="tx1"/>
                  </w14:solidFill>
                </w14:textFill>
              </w:rPr>
              <w:t>。</w:t>
            </w:r>
          </w:p>
        </w:tc>
      </w:tr>
      <w:tr w14:paraId="365812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04D72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8809" w:type="dxa"/>
            <w:tcBorders>
              <w:top w:val="single" w:color="auto" w:sz="4" w:space="0"/>
              <w:left w:val="single" w:color="auto" w:sz="4" w:space="0"/>
              <w:bottom w:val="single" w:color="auto" w:sz="4" w:space="0"/>
              <w:right w:val="single" w:color="auto" w:sz="4" w:space="0"/>
            </w:tcBorders>
            <w:vAlign w:val="center"/>
          </w:tcPr>
          <w:p w14:paraId="7629A2D1">
            <w:pPr>
              <w:widowControl/>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进行银行贷款等融资活动</w:t>
            </w:r>
          </w:p>
        </w:tc>
      </w:tr>
      <w:tr w14:paraId="38AA1FD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BD90B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8809" w:type="dxa"/>
            <w:tcBorders>
              <w:top w:val="single" w:color="auto" w:sz="4" w:space="0"/>
              <w:left w:val="single" w:color="auto" w:sz="4" w:space="0"/>
              <w:bottom w:val="single" w:color="auto" w:sz="4" w:space="0"/>
              <w:right w:val="single" w:color="auto" w:sz="4" w:space="0"/>
            </w:tcBorders>
            <w:vAlign w:val="center"/>
          </w:tcPr>
          <w:p w14:paraId="0096EA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对外提供担保、出具欠条、签订还款协议、签订调价协议、各类保证书、承诺书。</w:t>
            </w:r>
          </w:p>
        </w:tc>
      </w:tr>
      <w:tr w14:paraId="6A3B25F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194796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8809" w:type="dxa"/>
            <w:tcBorders>
              <w:top w:val="single" w:color="auto" w:sz="4" w:space="0"/>
              <w:left w:val="single" w:color="auto" w:sz="4" w:space="0"/>
              <w:bottom w:val="single" w:color="auto" w:sz="4" w:space="0"/>
              <w:right w:val="single" w:color="auto" w:sz="4" w:space="0"/>
            </w:tcBorders>
            <w:vAlign w:val="center"/>
          </w:tcPr>
          <w:p w14:paraId="68038611">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对外开立各类保函</w:t>
            </w:r>
          </w:p>
        </w:tc>
      </w:tr>
      <w:tr w14:paraId="57CEF06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A2D901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8809" w:type="dxa"/>
            <w:tcBorders>
              <w:top w:val="single" w:color="auto" w:sz="4" w:space="0"/>
              <w:left w:val="single" w:color="auto" w:sz="4" w:space="0"/>
              <w:bottom w:val="single" w:color="auto" w:sz="4" w:space="0"/>
              <w:right w:val="single" w:color="auto" w:sz="4" w:space="0"/>
            </w:tcBorders>
            <w:vAlign w:val="center"/>
          </w:tcPr>
          <w:p w14:paraId="40FD7DC6">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对外拆借资金，以甲方、甲方子企业或甲方项目部名义对外借款。</w:t>
            </w:r>
          </w:p>
        </w:tc>
      </w:tr>
      <w:tr w14:paraId="08AFB1E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8EA0A6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8809" w:type="dxa"/>
            <w:tcBorders>
              <w:top w:val="single" w:color="auto" w:sz="4" w:space="0"/>
              <w:left w:val="single" w:color="auto" w:sz="4" w:space="0"/>
              <w:bottom w:val="single" w:color="auto" w:sz="4" w:space="0"/>
              <w:right w:val="single" w:color="auto" w:sz="4" w:space="0"/>
            </w:tcBorders>
            <w:vAlign w:val="center"/>
          </w:tcPr>
          <w:p w14:paraId="059D902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私设小金库，坐支现金。</w:t>
            </w:r>
          </w:p>
        </w:tc>
      </w:tr>
      <w:tr w14:paraId="7D29EC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74902A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8809" w:type="dxa"/>
            <w:tcBorders>
              <w:top w:val="single" w:color="auto" w:sz="4" w:space="0"/>
              <w:left w:val="single" w:color="auto" w:sz="4" w:space="0"/>
              <w:bottom w:val="single" w:color="auto" w:sz="4" w:space="0"/>
              <w:right w:val="single" w:color="auto" w:sz="4" w:space="0"/>
            </w:tcBorders>
            <w:vAlign w:val="center"/>
          </w:tcPr>
          <w:p w14:paraId="26F76D5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超出本综合授权书权限的分包（供）合同签证办理。</w:t>
            </w:r>
          </w:p>
        </w:tc>
      </w:tr>
      <w:tr w14:paraId="340E351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C716A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10</w:t>
            </w:r>
          </w:p>
        </w:tc>
        <w:tc>
          <w:tcPr>
            <w:tcW w:w="8809" w:type="dxa"/>
            <w:tcBorders>
              <w:top w:val="single" w:color="auto" w:sz="4" w:space="0"/>
              <w:left w:val="single" w:color="auto" w:sz="4" w:space="0"/>
              <w:bottom w:val="single" w:color="auto" w:sz="4" w:space="0"/>
              <w:right w:val="single" w:color="auto" w:sz="4" w:space="0"/>
            </w:tcBorders>
            <w:vAlign w:val="center"/>
          </w:tcPr>
          <w:p w14:paraId="361DE60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确认总包结算、确认分包合同结算（含甲指分包）。</w:t>
            </w:r>
          </w:p>
        </w:tc>
      </w:tr>
      <w:tr w14:paraId="4743562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016B2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11</w:t>
            </w:r>
          </w:p>
        </w:tc>
        <w:tc>
          <w:tcPr>
            <w:tcW w:w="8809" w:type="dxa"/>
            <w:tcBorders>
              <w:top w:val="single" w:color="auto" w:sz="4" w:space="0"/>
              <w:left w:val="single" w:color="auto" w:sz="4" w:space="0"/>
              <w:bottom w:val="single" w:color="auto" w:sz="4" w:space="0"/>
              <w:right w:val="single" w:color="auto" w:sz="4" w:space="0"/>
            </w:tcBorders>
            <w:vAlign w:val="center"/>
          </w:tcPr>
          <w:p w14:paraId="21CCC23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确认材料、设备、料具结算及赔偿（含零星材料、甲供材）。</w:t>
            </w:r>
          </w:p>
        </w:tc>
      </w:tr>
      <w:tr w14:paraId="4B37C360">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4DDD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12</w:t>
            </w:r>
          </w:p>
        </w:tc>
        <w:tc>
          <w:tcPr>
            <w:tcW w:w="8809" w:type="dxa"/>
            <w:tcBorders>
              <w:top w:val="single" w:color="auto" w:sz="4" w:space="0"/>
              <w:left w:val="single" w:color="auto" w:sz="4" w:space="0"/>
              <w:bottom w:val="single" w:color="auto" w:sz="4" w:space="0"/>
              <w:right w:val="single" w:color="auto" w:sz="4" w:space="0"/>
            </w:tcBorders>
            <w:vAlign w:val="center"/>
          </w:tcPr>
          <w:p w14:paraId="2F46D3CA">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设立或变更劳动关系（包括签订劳动合同、确认劳动关系等）</w:t>
            </w:r>
          </w:p>
        </w:tc>
      </w:tr>
      <w:tr w14:paraId="70C7BB0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54F0F4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13</w:t>
            </w:r>
          </w:p>
        </w:tc>
        <w:tc>
          <w:tcPr>
            <w:tcW w:w="8809" w:type="dxa"/>
            <w:tcBorders>
              <w:top w:val="single" w:color="auto" w:sz="4" w:space="0"/>
              <w:left w:val="single" w:color="auto" w:sz="4" w:space="0"/>
              <w:bottom w:val="single" w:color="auto" w:sz="4" w:space="0"/>
              <w:right w:val="single" w:color="auto" w:sz="4" w:space="0"/>
            </w:tcBorders>
            <w:vAlign w:val="center"/>
          </w:tcPr>
          <w:p w14:paraId="350A8C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向工伤认定机构提交工伤认定申请或确认工伤事故。</w:t>
            </w:r>
          </w:p>
        </w:tc>
      </w:tr>
      <w:tr w14:paraId="77DF0DC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5E1A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14</w:t>
            </w:r>
          </w:p>
        </w:tc>
        <w:tc>
          <w:tcPr>
            <w:tcW w:w="8809" w:type="dxa"/>
            <w:tcBorders>
              <w:top w:val="single" w:color="auto" w:sz="4" w:space="0"/>
              <w:left w:val="single" w:color="auto" w:sz="4" w:space="0"/>
              <w:bottom w:val="single" w:color="auto" w:sz="4" w:space="0"/>
              <w:right w:val="single" w:color="auto" w:sz="4" w:space="0"/>
            </w:tcBorders>
            <w:vAlign w:val="center"/>
          </w:tcPr>
          <w:p w14:paraId="6A20656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确认第三方维修费用。</w:t>
            </w:r>
          </w:p>
        </w:tc>
      </w:tr>
      <w:tr w14:paraId="1A4253A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321C5E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15</w:t>
            </w:r>
          </w:p>
        </w:tc>
        <w:tc>
          <w:tcPr>
            <w:tcW w:w="8809" w:type="dxa"/>
            <w:tcBorders>
              <w:top w:val="single" w:color="auto" w:sz="4" w:space="0"/>
              <w:left w:val="single" w:color="auto" w:sz="4" w:space="0"/>
              <w:bottom w:val="single" w:color="auto" w:sz="4" w:space="0"/>
              <w:right w:val="single" w:color="auto" w:sz="4" w:space="0"/>
            </w:tcBorders>
            <w:vAlign w:val="center"/>
          </w:tcPr>
          <w:p w14:paraId="01B1BA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决定废旧物资处理方案。</w:t>
            </w:r>
          </w:p>
        </w:tc>
      </w:tr>
      <w:tr w14:paraId="2E7450B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9129C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16</w:t>
            </w:r>
          </w:p>
        </w:tc>
        <w:tc>
          <w:tcPr>
            <w:tcW w:w="8809" w:type="dxa"/>
            <w:tcBorders>
              <w:top w:val="single" w:color="auto" w:sz="4" w:space="0"/>
              <w:left w:val="single" w:color="auto" w:sz="4" w:space="0"/>
              <w:bottom w:val="single" w:color="auto" w:sz="4" w:space="0"/>
              <w:right w:val="single" w:color="auto" w:sz="4" w:space="0"/>
            </w:tcBorders>
            <w:vAlign w:val="center"/>
          </w:tcPr>
          <w:p w14:paraId="44FCB9E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分包分供合同涨价、奖励、补偿、增加合同外的工作范围、变更分包分供合同模式。</w:t>
            </w:r>
          </w:p>
        </w:tc>
      </w:tr>
      <w:tr w14:paraId="0F41726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F4A7EF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8809" w:type="dxa"/>
            <w:tcBorders>
              <w:top w:val="single" w:color="auto" w:sz="4" w:space="0"/>
              <w:left w:val="single" w:color="auto" w:sz="4" w:space="0"/>
              <w:bottom w:val="single" w:color="auto" w:sz="4" w:space="0"/>
              <w:right w:val="single" w:color="auto" w:sz="4" w:space="0"/>
            </w:tcBorders>
            <w:vAlign w:val="center"/>
          </w:tcPr>
          <w:p w14:paraId="27F579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危险性较大的分部分项工程安全施工方案。</w:t>
            </w:r>
          </w:p>
        </w:tc>
      </w:tr>
      <w:tr w14:paraId="72D5C984">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CCE4DF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18</w:t>
            </w:r>
          </w:p>
        </w:tc>
        <w:tc>
          <w:tcPr>
            <w:tcW w:w="8809" w:type="dxa"/>
            <w:tcBorders>
              <w:top w:val="single" w:color="auto" w:sz="4" w:space="0"/>
              <w:left w:val="single" w:color="auto" w:sz="4" w:space="0"/>
              <w:bottom w:val="single" w:color="auto" w:sz="4" w:space="0"/>
              <w:right w:val="single" w:color="auto" w:sz="4" w:space="0"/>
            </w:tcBorders>
            <w:vAlign w:val="center"/>
          </w:tcPr>
          <w:p w14:paraId="71916B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接收诉讼法律文书、处理人民法院协助执行通知或参加仲裁、诉讼。</w:t>
            </w:r>
          </w:p>
        </w:tc>
      </w:tr>
      <w:bookmarkEnd w:id="74"/>
    </w:tbl>
    <w:p w14:paraId="0EA0B9D4">
      <w:pPr>
        <w:numPr>
          <w:ilvl w:val="0"/>
          <w:numId w:val="7"/>
        </w:numPr>
        <w:autoSpaceDE w:val="0"/>
        <w:autoSpaceDN w:val="0"/>
        <w:adjustRightInd w:val="0"/>
        <w:spacing w:line="400" w:lineRule="exact"/>
        <w:rPr>
          <w:rFonts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若项目经理发生变更，则由新委任的项目经理承继。</w:t>
      </w:r>
    </w:p>
    <w:p w14:paraId="0B317154">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本授权书未明确的事项执行本公司有关规章制度。</w:t>
      </w:r>
    </w:p>
    <w:p w14:paraId="758FC656">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本授权书经本公司加盖合同专用章后生效。本公司有权随时变更或撤销本授权书，并书面告知贵司。</w:t>
      </w:r>
    </w:p>
    <w:p w14:paraId="4705AAA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3F70515C">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52EE12F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125A275C">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授权单位（盖章）：</w:t>
      </w:r>
    </w:p>
    <w:p w14:paraId="27A4AC8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737C2C35">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7DB8D3AD">
      <w:pPr>
        <w:autoSpaceDE w:val="0"/>
        <w:autoSpaceDN w:val="0"/>
        <w:adjustRightInd w:val="0"/>
        <w:spacing w:line="400" w:lineRule="atLeast"/>
        <w:ind w:firstLine="6000" w:firstLineChars="2500"/>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被委托人：</w:t>
      </w: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p>
    <w:p w14:paraId="369D9FBD">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5805F44B">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w:t>
      </w:r>
      <w:r>
        <w:rPr>
          <w:rFonts w:hint="eastAsia" w:ascii="仿宋_GB2312" w:hAnsi="仿宋_GB2312" w:eastAsia="仿宋_GB2312" w:cs="仿宋_GB2312"/>
          <w:color w:val="000000" w:themeColor="text1"/>
          <w:sz w:val="24"/>
          <w:szCs w:val="24"/>
          <w:lang w:val="zh-CN"/>
          <w14:textFill>
            <w14:solidFill>
              <w14:schemeClr w14:val="tx1"/>
            </w14:solidFill>
          </w14:textFill>
        </w:rPr>
        <w:t>确认：我司已完全理解并清楚贵司对</w:t>
      </w:r>
      <w:r>
        <w:rPr>
          <w:rFonts w:hint="eastAsia" w:ascii="仿宋_GB2312" w:hAnsi="仿宋_GB2312" w:eastAsia="仿宋_GB2312" w:cs="仿宋_GB2312"/>
          <w:color w:val="000000" w:themeColor="text1"/>
          <w:sz w:val="24"/>
          <w:szCs w:val="24"/>
          <w14:textFill>
            <w14:solidFill>
              <w14:schemeClr w14:val="tx1"/>
            </w14:solidFill>
          </w14:textFill>
        </w:rPr>
        <w:t xml:space="preserve">项目部及项目经理的授权范围，并严格遵照执行。超出贵司授权范围的行为属于无权代理行为，对贵司无效，贵司不承担任何法律责任。我司将谨慎审查相关文件的签署主体资格和权限，对于无权代理人签署的相关文件，应及时与贵司核实。      </w:t>
      </w:r>
    </w:p>
    <w:p w14:paraId="7779CAE4">
      <w:pPr>
        <w:spacing w:line="400" w:lineRule="exact"/>
        <w:ind w:right="210" w:rightChars="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乙方（公章）：           </w:t>
      </w:r>
    </w:p>
    <w:p w14:paraId="16699161">
      <w:pPr>
        <w:autoSpaceDE w:val="0"/>
        <w:autoSpaceDN w:val="0"/>
        <w:adjustRightInd w:val="0"/>
        <w:spacing w:line="400" w:lineRule="atLeast"/>
        <w:ind w:firstLine="1680" w:firstLineChars="7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6AFAF626">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38C20DAF">
      <w:pPr>
        <w:autoSpaceDE w:val="0"/>
        <w:autoSpaceDN w:val="0"/>
        <w:adjustRightInd w:val="0"/>
        <w:spacing w:line="400" w:lineRule="atLeast"/>
        <w:ind w:firstLine="1920" w:firstLineChars="8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被委托人：</w:t>
      </w:r>
    </w:p>
    <w:p w14:paraId="0793D269">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23108DFE">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11A9B7B0">
      <w:pPr>
        <w:rPr>
          <w:rFonts w:ascii="仿宋_GB2312" w:hAnsi="仿宋_GB2312" w:eastAsia="仿宋_GB2312" w:cs="仿宋_GB2312"/>
          <w:color w:val="000000" w:themeColor="text1"/>
          <w:sz w:val="24"/>
          <w:szCs w:val="24"/>
          <w:highlight w:val="none"/>
          <w14:textFill>
            <w14:solidFill>
              <w14:schemeClr w14:val="tx1"/>
            </w14:solidFill>
          </w14:textFill>
        </w:rPr>
      </w:pPr>
    </w:p>
    <w:p w14:paraId="7DD2E4C8">
      <w:pPr>
        <w:spacing w:line="400" w:lineRule="exact"/>
        <w:ind w:right="210" w:rightChars="100"/>
        <w:rPr>
          <w:rFonts w:ascii="仿宋_GB2312" w:hAnsi="仿宋_GB2312" w:eastAsia="仿宋_GB2312" w:cs="仿宋_GB2312"/>
          <w:color w:val="000000" w:themeColor="text1"/>
          <w:sz w:val="24"/>
          <w:szCs w:val="24"/>
          <w:highlight w:val="none"/>
          <w14:textFill>
            <w14:solidFill>
              <w14:schemeClr w14:val="tx1"/>
            </w14:solidFill>
          </w14:textFill>
        </w:rPr>
        <w:sectPr>
          <w:footerReference r:id="rId12" w:type="default"/>
          <w:pgSz w:w="11906" w:h="16838"/>
          <w:pgMar w:top="1440" w:right="1800" w:bottom="1440" w:left="1800" w:header="850" w:footer="975" w:gutter="0"/>
          <w:cols w:space="0" w:num="1"/>
          <w:docGrid w:linePitch="312" w:charSpace="0"/>
        </w:sectPr>
      </w:pPr>
      <w:bookmarkStart w:id="75" w:name="_Toc15118"/>
    </w:p>
    <w:p w14:paraId="17B85082">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76" w:name="_Toc18824"/>
      <w:bookmarkStart w:id="77" w:name="_Toc21060"/>
      <w:r>
        <w:rPr>
          <w:rFonts w:hint="eastAsia" w:ascii="仿宋_GB2312" w:hAnsi="仿宋_GB2312" w:eastAsia="仿宋_GB2312" w:cs="仿宋_GB2312"/>
          <w:color w:val="000000" w:themeColor="text1"/>
          <w:sz w:val="30"/>
          <w:szCs w:val="30"/>
          <w:highlight w:val="none"/>
          <w14:textFill>
            <w14:solidFill>
              <w14:schemeClr w14:val="tx1"/>
            </w14:solidFill>
          </w14:textFill>
        </w:rPr>
        <w:t>附件三：</w:t>
      </w:r>
      <w:bookmarkEnd w:id="75"/>
      <w:bookmarkEnd w:id="76"/>
      <w:bookmarkEnd w:id="77"/>
    </w:p>
    <w:p w14:paraId="10DB057E">
      <w:pPr>
        <w:spacing w:line="400" w:lineRule="exact"/>
        <w:ind w:firstLine="602" w:firstLineChars="200"/>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安全管理协议书</w:t>
      </w:r>
    </w:p>
    <w:p w14:paraId="25F1D117">
      <w:pPr>
        <w:wordWrap w:val="0"/>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p>
    <w:p w14:paraId="7A9BB10D">
      <w:pPr>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bookmarkStart w:id="78" w:name="_Hlk126826529"/>
      <w:permStart w:id="7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集团有限公司</w:t>
      </w:r>
      <w:bookmarkEnd w:id="78"/>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73"/>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24AD55DE">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74" w:edGrp="everyone"/>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ermEnd w:id="74"/>
    </w:p>
    <w:p w14:paraId="3976D5A5">
      <w:pPr>
        <w:pStyle w:val="5"/>
        <w:tabs>
          <w:tab w:val="left" w:pos="2100"/>
        </w:tabs>
        <w:spacing w:line="400" w:lineRule="exact"/>
        <w:ind w:right="210" w:rightChars="100" w:firstLine="480" w:firstLineChars="200"/>
        <w:rPr>
          <w:rFonts w:hAnsi="仿宋_GB2312" w:cs="仿宋_GB2312"/>
          <w:color w:val="000000" w:themeColor="text1"/>
          <w:sz w:val="24"/>
          <w:highlight w:val="none"/>
          <w14:textFill>
            <w14:solidFill>
              <w14:schemeClr w14:val="tx1"/>
            </w14:solidFill>
          </w14:textFill>
        </w:rPr>
      </w:pPr>
      <w:r>
        <w:rPr>
          <w:rFonts w:hint="eastAsia" w:hAnsi="仿宋_GB2312" w:cs="仿宋_GB2312"/>
          <w:color w:val="000000" w:themeColor="text1"/>
          <w:sz w:val="24"/>
          <w:highlight w:val="none"/>
          <w14:textFill>
            <w14:solidFill>
              <w14:schemeClr w14:val="tx1"/>
            </w14:solidFill>
          </w14:textFill>
        </w:rPr>
        <w:t>根据《中华人民共和国民法典》、《安全生产法》及有关法律规定，遵循平等、自愿、公平和诚实信用的原则，双方就合同范围内且在项目部施工现场范围内安全事项协商一致，订立本合同并共同遵守。</w:t>
      </w:r>
    </w:p>
    <w:p w14:paraId="1DB2581A">
      <w:pPr>
        <w:snapToGrid w:val="0"/>
        <w:spacing w:line="400" w:lineRule="exact"/>
        <w:ind w:firstLine="482"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第一条共同约定</w:t>
      </w:r>
    </w:p>
    <w:p w14:paraId="5FAF94A8">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1、双方应共同遵守</w:t>
      </w:r>
      <w:permStart w:id="75"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《安全生产法》、《中华人民共和国建筑法》、《建设工程安全生产管理条例》、《房屋建筑和市政基础设施工程分包管理办法》《安全生产许可证条例》</w:t>
      </w:r>
      <w:permEnd w:id="75"/>
      <w:r>
        <w:rPr>
          <w:rFonts w:hint="eastAsia" w:ascii="仿宋_GB2312" w:hAnsi="仿宋_GB2312" w:eastAsia="仿宋_GB2312" w:cs="仿宋_GB2312"/>
          <w:color w:val="000000" w:themeColor="text1"/>
          <w:sz w:val="24"/>
          <w:szCs w:val="24"/>
          <w:highlight w:val="none"/>
          <w14:textFill>
            <w14:solidFill>
              <w14:schemeClr w14:val="tx1"/>
            </w14:solidFill>
          </w14:textFill>
        </w:rPr>
        <w:t>等一系列有关安全生产的法律法规，严格执行建设部标准</w:t>
      </w:r>
      <w:permStart w:id="76"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JGJ59—2011《建筑安全施工检查标准》</w:t>
      </w:r>
      <w:permEnd w:id="76"/>
      <w:r>
        <w:rPr>
          <w:rFonts w:hint="eastAsia" w:ascii="仿宋_GB2312" w:hAnsi="仿宋_GB2312" w:eastAsia="仿宋_GB2312" w:cs="仿宋_GB2312"/>
          <w:color w:val="000000" w:themeColor="text1"/>
          <w:sz w:val="24"/>
          <w:szCs w:val="24"/>
          <w:highlight w:val="none"/>
          <w14:textFill>
            <w14:solidFill>
              <w14:schemeClr w14:val="tx1"/>
            </w14:solidFill>
          </w14:textFill>
        </w:rPr>
        <w:t>等一系列标准规程及</w:t>
      </w:r>
      <w:permStart w:id="7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昌都</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77"/>
      <w:r>
        <w:rPr>
          <w:rFonts w:hint="eastAsia" w:ascii="仿宋_GB2312" w:hAnsi="仿宋_GB2312" w:eastAsia="仿宋_GB2312" w:cs="仿宋_GB2312"/>
          <w:color w:val="000000" w:themeColor="text1"/>
          <w:sz w:val="24"/>
          <w:szCs w:val="24"/>
          <w:highlight w:val="none"/>
          <w14:textFill>
            <w14:solidFill>
              <w14:schemeClr w14:val="tx1"/>
            </w14:solidFill>
          </w14:textFill>
        </w:rPr>
        <w:t>市有关安全生产的规章制度。</w:t>
      </w:r>
    </w:p>
    <w:p w14:paraId="1C66E8E8">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2、双方应共同遵守</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中建集团</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、中建交通</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w:t>
      </w:r>
      <w:r>
        <w:rPr>
          <w:rFonts w:hint="eastAsia" w:ascii="仿宋_GB2312" w:hAnsi="仿宋_GB2312" w:eastAsia="仿宋_GB2312" w:cs="仿宋_GB2312"/>
          <w:color w:val="000000" w:themeColor="text1"/>
          <w:sz w:val="24"/>
          <w:szCs w:val="24"/>
          <w:highlight w:val="none"/>
          <w14:textFill>
            <w14:solidFill>
              <w14:schemeClr w14:val="tx1"/>
            </w14:solidFill>
          </w14:textFill>
        </w:rPr>
        <w:t>等系列安全生产规章制度。贯彻执行项目职业健康安全和环境管理体系的各项要求。</w:t>
      </w:r>
    </w:p>
    <w:p w14:paraId="2B9AB7B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3、安全文明施工管理目标、指标：以项目部总包单位制定的为准。</w:t>
      </w:r>
    </w:p>
    <w:p w14:paraId="7E634492">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4、在甲方施工区域以外场所安全工作及发生的不良后果由乙方自行承担。</w:t>
      </w:r>
    </w:p>
    <w:p w14:paraId="1EDE7845">
      <w:pPr>
        <w:pStyle w:val="12"/>
        <w:spacing w:line="400" w:lineRule="exact"/>
        <w:ind w:firstLine="482" w:firstLineChars="200"/>
        <w:rPr>
          <w:rFonts w:ascii="仿宋_GB2312" w:hAnsi="仿宋_GB2312" w:eastAsia="仿宋_GB2312" w:cs="仿宋_GB2312"/>
          <w:b/>
          <w:bCs/>
          <w:color w:val="000000" w:themeColor="text1"/>
          <w:kern w:val="2"/>
          <w:highlight w:val="none"/>
          <w14:textFill>
            <w14:solidFill>
              <w14:schemeClr w14:val="tx1"/>
            </w14:solidFill>
          </w14:textFill>
        </w:rPr>
      </w:pPr>
      <w:r>
        <w:rPr>
          <w:rFonts w:hint="eastAsia" w:ascii="仿宋_GB2312" w:hAnsi="仿宋_GB2312" w:eastAsia="仿宋_GB2312" w:cs="仿宋_GB2312"/>
          <w:b/>
          <w:bCs/>
          <w:color w:val="000000" w:themeColor="text1"/>
          <w:kern w:val="2"/>
          <w:highlight w:val="none"/>
          <w14:textFill>
            <w14:solidFill>
              <w14:schemeClr w14:val="tx1"/>
            </w14:solidFill>
          </w14:textFill>
        </w:rPr>
        <w:t>第二条 环境与职业健康安全</w:t>
      </w:r>
    </w:p>
    <w:p w14:paraId="0A4FC037">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1、乙方车辆及材料在运输途中及到达甲方现场后应遵守国家和地方现行的有关环境保护、职业健康安全的法律、法规和其他要求。</w:t>
      </w:r>
    </w:p>
    <w:p w14:paraId="20C0AF08">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2、乙方需遵守《道路交通安全法》，应当给负责运送货物的车辆办理交强险及商业保险，否则发生的人员伤亡事故或货物毁损由责任方承担，与甲方无关。</w:t>
      </w:r>
    </w:p>
    <w:p w14:paraId="4FBB7336">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4B58898C">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4、乙方到施工现场的人员必须佩戴安全帽，穿戴整洁，严禁吸烟和大声喧哗，遵守需方项目的规章制度，否则将按需方有关制度处罚。</w:t>
      </w:r>
    </w:p>
    <w:p w14:paraId="0E8FB548">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5、由于非甲方的任何第三方原因导致乙方人员伤亡及财产损害均由乙方承担相应损失。</w:t>
      </w:r>
    </w:p>
    <w:p w14:paraId="7C67AA68">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第三条 甲方的安全责任、权利和义务  </w:t>
      </w:r>
    </w:p>
    <w:p w14:paraId="7FD2A632">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1、甲方在现场履行管理、监督职责，认真履行第一条共同约定的内容，对乙方在进入总包施工现场的施工安全进行监督、指导、检查。 </w:t>
      </w:r>
    </w:p>
    <w:p w14:paraId="54CFFBC4">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2、对乙方安排生产、运输任务的同时，对按照规定程序审批的施工组织设计进行书面安全技术交底，并办理交底双方签字手续（如有）。 </w:t>
      </w:r>
    </w:p>
    <w:p w14:paraId="06D27A47">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3、在合同中约定由甲方向使用单位提供的安全防护设施，应完整齐全，并且符合安全要求，并整改乙方提出的不安全问题。</w:t>
      </w:r>
    </w:p>
    <w:p w14:paraId="5046772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7B5736B0">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5、对安全素质差、不服从安全生产管理的人员责令其限期退场，造成的工期损失、经济损失由乙方承担。对不执行规章制度的人员，可视情节轻重，按照项目奖罚制度进行安全违约处罚。</w:t>
      </w:r>
    </w:p>
    <w:p w14:paraId="4AABBABC">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6、对达不到规定的安全生产条件、存在重大安全隐患或发生安全事故，可要求乙方限期退场，或者中止合同，造成项目工期损失、经济损失由乙方承担。</w:t>
      </w:r>
    </w:p>
    <w:p w14:paraId="175973C9">
      <w:pPr>
        <w:snapToGrid w:val="0"/>
        <w:spacing w:line="400" w:lineRule="exact"/>
        <w:ind w:firstLine="55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7、按照规定要求对乙方自有的材料和自带（含租赁）施工机具、起重 吊装设备、运输车辆等进行安全生产监督检查，有权拒绝乙方不合格产品进场（已进场的限期退场）。</w:t>
      </w:r>
    </w:p>
    <w:p w14:paraId="1AB23A0A">
      <w:pPr>
        <w:snapToGrid w:val="0"/>
        <w:spacing w:line="480" w:lineRule="exact"/>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8、与安全生产关系直接的大型设备、特种设备、安全设施设备、防护用品进场时，项目安全生产监督管理部门应参与验收，验收合格签字后方可进场。</w:t>
      </w:r>
    </w:p>
    <w:p w14:paraId="55731752">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第四条 乙方的安全责任、权利和义务  </w:t>
      </w:r>
    </w:p>
    <w:p w14:paraId="68A98B3E">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1、乙方应认真履行第一条共同约定的内容，接受甲方的监督、检查工作。</w:t>
      </w:r>
    </w:p>
    <w:p w14:paraId="7EC89BD8">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2、乙方应具备所</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运</w:t>
      </w:r>
      <w:r>
        <w:rPr>
          <w:rFonts w:hint="eastAsia" w:ascii="仿宋_GB2312" w:hAnsi="仿宋_GB2312" w:eastAsia="仿宋_GB2312" w:cs="仿宋_GB2312"/>
          <w:color w:val="000000" w:themeColor="text1"/>
          <w:sz w:val="24"/>
          <w:szCs w:val="24"/>
          <w:highlight w:val="none"/>
          <w14:textFill>
            <w14:solidFill>
              <w14:schemeClr w14:val="tx1"/>
            </w14:solidFill>
          </w14:textFill>
        </w:rPr>
        <w:t>货物的运输资质或证照，不得跨资质承运相应货物。若乙方委托第三方单位承运相应货物，不解除乙方应承担本合同项下的义务和责任。</w:t>
      </w:r>
    </w:p>
    <w:p w14:paraId="569C0C0C">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594B9114">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0F0D4305">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1F94DB52">
      <w:pPr>
        <w:snapToGrid w:val="0"/>
        <w:spacing w:line="400" w:lineRule="exact"/>
        <w:ind w:firstLine="453"/>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 </w:t>
      </w:r>
    </w:p>
    <w:p w14:paraId="3EBFC019">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7、对甲方所提供的安全设施不能保证安全施工时，应及时提出，也可拒绝施工；在施工中不得未经甲方现场负责人同意私自拆除安全防护设施。 </w:t>
      </w:r>
    </w:p>
    <w:p w14:paraId="35C09B93">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8、乙方自备的设备及工具必须保证环保、性能良好、各安全装置齐全灵敏有效。进工地前必须报项目监督试机，验收并填写验收表，达不到环保和</w:t>
      </w:r>
      <w:permStart w:id="78"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w:t>
      </w:r>
      <w:permEnd w:id="78"/>
      <w:r>
        <w:rPr>
          <w:rFonts w:hint="eastAsia" w:ascii="仿宋_GB2312" w:hAnsi="仿宋_GB2312" w:eastAsia="仿宋_GB2312" w:cs="仿宋_GB2312"/>
          <w:color w:val="000000" w:themeColor="text1"/>
          <w:sz w:val="24"/>
          <w:szCs w:val="24"/>
          <w:highlight w:val="none"/>
          <w14:textFill>
            <w14:solidFill>
              <w14:schemeClr w14:val="tx1"/>
            </w14:solidFill>
          </w14:textFill>
        </w:rPr>
        <w:t>标准的设备及工具严禁在工地使用。</w:t>
      </w:r>
    </w:p>
    <w:p w14:paraId="340EA247">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9、乙方自带设备或工具必须相匹配的质量合格的电缆线，并自备符合当地主管部门要求的末级标准配电箱。</w:t>
      </w:r>
    </w:p>
    <w:p w14:paraId="513DD367">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10、必须按规定提取和使用安全技术措施经费，为作业人员提供符合国家标准或行业标准的劳动防护用品，并督促、教育作业人员按照使用规则佩戴、使用。 </w:t>
      </w:r>
    </w:p>
    <w:p w14:paraId="4A4502C0">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11、对甲方人员违章指挥或者可能危及人身安全、财产损失的指挥，乙方有权拒绝。 </w:t>
      </w:r>
    </w:p>
    <w:p w14:paraId="0A172685">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12、不得进行违反安全法律和其他、安全生产规章制度的行为。</w:t>
      </w:r>
    </w:p>
    <w:p w14:paraId="13470CFA">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13、乙方对供应的材料在甲方施工场地外运输过程发生的安全事故承担全部责任，不得向甲方提出索赔要求。</w:t>
      </w:r>
    </w:p>
    <w:p w14:paraId="5EC6CF10">
      <w:pPr>
        <w:spacing w:line="400" w:lineRule="exact"/>
        <w:jc w:val="left"/>
        <w:rPr>
          <w:rFonts w:ascii="仿宋_GB2312" w:hAnsi="仿宋_GB2312" w:eastAsia="仿宋_GB2312" w:cs="仿宋_GB2312"/>
          <w:color w:val="000000" w:themeColor="text1"/>
          <w:sz w:val="24"/>
          <w:szCs w:val="24"/>
          <w:highlight w:val="none"/>
          <w:shd w:val="clear" w:color="auto" w:fill="FF0000"/>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14、乙方对因自身原因发生的安全事故承担全部责任。由于乙方原因而引发的被当地有关部门处罚的各类事件，乙方承担相应罚款、工期损失及经济损失；</w:t>
      </w:r>
    </w:p>
    <w:p w14:paraId="0C080086">
      <w:pPr>
        <w:spacing w:line="400" w:lineRule="exact"/>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15、在施工现场发生事故时，应积极抢救伤员，保护事故现场，防止事故扩大，按甲方要求提供事故有关资料，并配合调查。</w:t>
      </w:r>
    </w:p>
    <w:p w14:paraId="2F8CD18E">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第五条 事故处理 </w:t>
      </w:r>
    </w:p>
    <w:p w14:paraId="4E182EFF">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1、若发生事故应立即启动事故应急预案，采取有效措施组织抢救，防止事故扩大，减少人员伤亡和财产损失，同时应按</w:t>
      </w:r>
      <w:permStart w:id="79"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《生产安全事故报告和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调查</w:t>
      </w:r>
      <w:r>
        <w:rPr>
          <w:rFonts w:hint="eastAsia" w:ascii="仿宋_GB2312" w:hAnsi="仿宋_GB2312" w:eastAsia="仿宋_GB2312" w:cs="仿宋_GB2312"/>
          <w:color w:val="000000" w:themeColor="text1"/>
          <w:sz w:val="24"/>
          <w:szCs w:val="24"/>
          <w:highlight w:val="none"/>
          <w14:textFill>
            <w14:solidFill>
              <w14:schemeClr w14:val="tx1"/>
            </w14:solidFill>
          </w14:textFill>
        </w:rPr>
        <w:t>处理条例》（493号令）</w:t>
      </w:r>
      <w:permEnd w:id="79"/>
      <w:r>
        <w:rPr>
          <w:rFonts w:hint="eastAsia" w:ascii="仿宋_GB2312" w:hAnsi="仿宋_GB2312" w:eastAsia="仿宋_GB2312" w:cs="仿宋_GB2312"/>
          <w:color w:val="000000" w:themeColor="text1"/>
          <w:sz w:val="24"/>
          <w:szCs w:val="24"/>
          <w:highlight w:val="none"/>
          <w14:textFill>
            <w14:solidFill>
              <w14:schemeClr w14:val="tx1"/>
            </w14:solidFill>
          </w14:textFill>
        </w:rPr>
        <w:t>的规定进行事故处理及上报。乙方应及时将事故情况向甲方上报，不得迟报、漏报、谎报或瞒报。</w:t>
      </w:r>
    </w:p>
    <w:p w14:paraId="03DA5A3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2、在施工现场内发生重伤或死亡事故，由甲方主管部门牵头，乙方为主，甲乙双方共同参加，按照规定报告有关部门进行调查，查清事故原因，分清事故责任，提出对事故责任者的处理意见。 </w:t>
      </w:r>
    </w:p>
    <w:p w14:paraId="0A68CA1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3、由于没有认真履行安全责任，造成重大伤亡事故，情节严重的主要直接责任者，已触及国家刑律，应提请有关部门进行调查处理。 </w:t>
      </w:r>
    </w:p>
    <w:p w14:paraId="65DEDF75">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2C91C6A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5、由于甲方主要责任造成的伤亡事故，乙方有权要求甲方进行经济赔偿。由于乙方主要责任造成的伤亡事故，甲方有权要求乙方承担违约责任。</w:t>
      </w:r>
    </w:p>
    <w:p w14:paraId="6F19D757">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6、由于第三方责任导致乙方人员伤亡，及由于乙方责任导致第三方人员伤亡，由乙方负责并处理。</w:t>
      </w:r>
    </w:p>
    <w:p w14:paraId="30919C1C">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5019BF06">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41D8D1CC">
      <w:pPr>
        <w:spacing w:line="400" w:lineRule="exact"/>
        <w:ind w:firstLine="516" w:firstLineChars="214"/>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第六条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本合同生效条件与主合同相同。</w:t>
      </w:r>
    </w:p>
    <w:p w14:paraId="3D0CFD06">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14:paraId="2E2320AB">
      <w:pPr>
        <w:spacing w:line="400" w:lineRule="exact"/>
        <w:ind w:firstLine="570"/>
        <w:rPr>
          <w:rFonts w:ascii="仿宋_GB2312" w:hAnsi="仿宋_GB2312" w:eastAsia="仿宋_GB2312" w:cs="仿宋_GB2312"/>
          <w:color w:val="000000" w:themeColor="text1"/>
          <w:sz w:val="24"/>
          <w:szCs w:val="24"/>
          <w:highlight w:val="none"/>
          <w14:textFill>
            <w14:solidFill>
              <w14:schemeClr w14:val="tx1"/>
            </w14:solidFill>
          </w14:textFill>
        </w:rPr>
      </w:pPr>
      <w:bookmarkStart w:id="79" w:name="_Hlk127200928"/>
      <w:bookmarkStart w:id="80" w:name="_Hlk127203185"/>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甲方（盖章）：                        乙方（公章）：                    </w:t>
      </w:r>
    </w:p>
    <w:bookmarkEnd w:id="79"/>
    <w:p w14:paraId="56DFAC42">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63CF50C4">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1A6676AD">
      <w:pPr>
        <w:autoSpaceDE w:val="0"/>
        <w:autoSpaceDN w:val="0"/>
        <w:adjustRightInd w:val="0"/>
        <w:spacing w:line="400" w:lineRule="atLeast"/>
        <w:ind w:firstLine="1200" w:firstLineChars="5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574E6EA5">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4E9AD805">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AF61CFB">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End w:id="80"/>
    </w:p>
    <w:p w14:paraId="02B214C5">
      <w:pPr>
        <w:spacing w:line="400" w:lineRule="exact"/>
        <w:ind w:right="210" w:rightChars="100"/>
        <w:rPr>
          <w:rFonts w:ascii="仿宋_GB2312" w:hAnsi="仿宋_GB2312" w:eastAsia="仿宋_GB2312" w:cs="仿宋_GB2312"/>
          <w:color w:val="000000" w:themeColor="text1"/>
          <w:sz w:val="24"/>
          <w:szCs w:val="24"/>
          <w:highlight w:val="none"/>
          <w14:textFill>
            <w14:solidFill>
              <w14:schemeClr w14:val="tx1"/>
            </w14:solidFill>
          </w14:textFill>
        </w:rPr>
        <w:sectPr>
          <w:pgSz w:w="11906" w:h="16838"/>
          <w:pgMar w:top="1440" w:right="1800" w:bottom="1440" w:left="1800" w:header="850" w:footer="975" w:gutter="0"/>
          <w:cols w:space="0" w:num="1"/>
          <w:docGrid w:linePitch="312" w:charSpace="0"/>
        </w:sectPr>
      </w:pPr>
      <w:bookmarkStart w:id="81" w:name="_Toc8251"/>
    </w:p>
    <w:p w14:paraId="3548F2E5">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82" w:name="_Toc27417"/>
      <w:bookmarkStart w:id="83" w:name="_Toc23351"/>
      <w:r>
        <w:rPr>
          <w:rFonts w:hint="eastAsia" w:ascii="仿宋_GB2312" w:hAnsi="仿宋_GB2312" w:eastAsia="仿宋_GB2312" w:cs="仿宋_GB2312"/>
          <w:color w:val="000000" w:themeColor="text1"/>
          <w:sz w:val="30"/>
          <w:szCs w:val="30"/>
          <w:highlight w:val="none"/>
          <w14:textFill>
            <w14:solidFill>
              <w14:schemeClr w14:val="tx1"/>
            </w14:solidFill>
          </w14:textFill>
        </w:rPr>
        <w:t>附件四：</w:t>
      </w:r>
      <w:bookmarkEnd w:id="81"/>
      <w:bookmarkEnd w:id="82"/>
      <w:bookmarkEnd w:id="83"/>
    </w:p>
    <w:p w14:paraId="2251FEBA">
      <w:pPr>
        <w:spacing w:line="400" w:lineRule="exact"/>
        <w:jc w:val="center"/>
        <w:rPr>
          <w:rFonts w:ascii="仿宋_GB2312" w:hAnsi="仿宋_GB2312" w:eastAsia="仿宋_GB2312" w:cs="仿宋_GB2312"/>
          <w:color w:val="000000" w:themeColor="text1"/>
          <w:sz w:val="30"/>
          <w:szCs w:val="30"/>
          <w:highlight w:val="none"/>
          <w14:textFill>
            <w14:solidFill>
              <w14:schemeClr w14:val="tx1"/>
            </w14:solidFill>
          </w14:textFill>
        </w:rPr>
      </w:pPr>
      <w:bookmarkStart w:id="84" w:name="_Toc16461"/>
      <w:r>
        <w:rPr>
          <w:rFonts w:hint="eastAsia" w:ascii="仿宋_GB2312" w:hAnsi="仿宋_GB2312" w:eastAsia="仿宋_GB2312" w:cs="仿宋_GB2312"/>
          <w:b/>
          <w:color w:val="000000" w:themeColor="text1"/>
          <w:sz w:val="30"/>
          <w:szCs w:val="30"/>
          <w:highlight w:val="none"/>
          <w14:textFill>
            <w14:solidFill>
              <w14:schemeClr w14:val="tx1"/>
            </w14:solidFill>
          </w14:textFill>
        </w:rPr>
        <w:t>廉洁</w:t>
      </w:r>
      <w:bookmarkEnd w:id="84"/>
      <w:r>
        <w:rPr>
          <w:rFonts w:hint="eastAsia" w:ascii="仿宋_GB2312" w:hAnsi="仿宋_GB2312" w:eastAsia="仿宋_GB2312" w:cs="仿宋_GB2312"/>
          <w:b/>
          <w:color w:val="000000" w:themeColor="text1"/>
          <w:sz w:val="30"/>
          <w:szCs w:val="30"/>
          <w:highlight w:val="none"/>
          <w14:textFill>
            <w14:solidFill>
              <w14:schemeClr w14:val="tx1"/>
            </w14:solidFill>
          </w14:textFill>
        </w:rPr>
        <w:t>从业共建协议</w:t>
      </w:r>
    </w:p>
    <w:p w14:paraId="4610E953">
      <w:pPr>
        <w:spacing w:line="460" w:lineRule="exact"/>
        <w:ind w:firstLine="480" w:firstLineChars="200"/>
        <w:rPr>
          <w:rFonts w:hint="default" w:ascii="仿宋_GB2312" w:hAnsi="宋体" w:eastAsia="仿宋_GB2312"/>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permStart w:id="80" w:edGrp="everyone"/>
      <w:r>
        <w:rPr>
          <w:rFonts w:hint="eastAsia" w:ascii="仿宋_GB2312" w:hAnsi="宋体" w:eastAsia="仿宋_GB2312"/>
          <w:color w:val="000000" w:themeColor="text1"/>
          <w:sz w:val="24"/>
          <w:szCs w:val="24"/>
          <w:highlight w:val="none"/>
          <w:u w:val="single"/>
          <w14:textFill>
            <w14:solidFill>
              <w14:schemeClr w14:val="tx1"/>
            </w14:solidFill>
          </w14:textFill>
        </w:rPr>
        <w:t>中建</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集团有限公司 </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permEnd w:id="80"/>
    </w:p>
    <w:p w14:paraId="633A0FE2">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81"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81"/>
    </w:p>
    <w:p w14:paraId="20E8B8E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5CC0605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5"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一、双方的责任</w:t>
      </w:r>
      <w:bookmarkEnd w:id="85"/>
    </w:p>
    <w:p w14:paraId="7042E10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1.1应严格遵守国家关于建设工程的有关法律、法规，相关政策，以及廉政建设的各项规定。</w:t>
      </w:r>
    </w:p>
    <w:p w14:paraId="07429E9B">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1.2严格执行建设工程合同文件，自觉按合同办事。</w:t>
      </w:r>
    </w:p>
    <w:p w14:paraId="65C458B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39F5BB7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6"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1.4发现双方在业务活动中有违规、违纪、违法行为的，应及时提醒对方，情节严重的，如实进行举报，一经查实，严肃处理。</w:t>
      </w:r>
    </w:p>
    <w:bookmarkEnd w:id="86"/>
    <w:p w14:paraId="326D4C5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7"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二、甲方责任</w:t>
      </w:r>
      <w:bookmarkEnd w:id="87"/>
    </w:p>
    <w:p w14:paraId="5E61BFD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14:paraId="4193DE9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2.1按照甲方的招（议）标程序确定供应商，确保公正、公平对待所有合作方；不得在招标文件中有针对性地故意设定条件，以不公正的方法确定供应商；</w:t>
      </w:r>
    </w:p>
    <w:p w14:paraId="0A3F249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w:t>
      </w: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14:paraId="2EC7DF07">
      <w:pPr>
        <w:widowControl/>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w:t>
      </w: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14:paraId="565CB570">
      <w:pPr>
        <w:widowControl/>
        <w:spacing w:line="400" w:lineRule="exact"/>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w:t>
      </w: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14:paraId="4122244B">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2.5不得向乙方和相关单位索要或接受回扣、礼金、有价证券、贵重物品和好处费、感谢费等。</w:t>
      </w:r>
    </w:p>
    <w:p w14:paraId="2996B1D2">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2.6不得在乙方和相关单位报销任何应由业主方或个人支付的费用。</w:t>
      </w:r>
    </w:p>
    <w:p w14:paraId="37582B4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2.7不得要求、暗示或接受乙方和相关单位为个人装修住房、婚丧嫁娶、配偶子女的工作安排以及出国(境)、旅游等提供方便。</w:t>
      </w:r>
    </w:p>
    <w:p w14:paraId="45B643A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2.8不得参加有可能影响公正执行公务的乙方和相关单位的宴请、健身、娱乐等活动。</w:t>
      </w:r>
    </w:p>
    <w:p w14:paraId="3D23E77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8" w:name="_Toc300671951"/>
      <w:r>
        <w:rPr>
          <w:rFonts w:hint="eastAsia" w:ascii="仿宋_GB2312" w:hAnsi="宋体" w:eastAsia="仿宋_GB2312" w:cs="宋体"/>
          <w:color w:val="000000" w:themeColor="text1"/>
          <w:kern w:val="0"/>
          <w:sz w:val="24"/>
          <w:szCs w:val="24"/>
          <w:highlight w:val="none"/>
          <w14:textFill>
            <w14:solidFill>
              <w14:schemeClr w14:val="tx1"/>
            </w14:solidFill>
          </w14:textFill>
        </w:rPr>
        <w:t>三、乙方责任</w:t>
      </w:r>
      <w:bookmarkEnd w:id="88"/>
    </w:p>
    <w:p w14:paraId="3C010BD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14:paraId="3FB09D06">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w:t>
      </w: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根据自己的实力参与甲方的招（议）标，遵守甲方的管理制度；不得在招标之前或过程中，以不正当手段谋求中标。</w:t>
      </w:r>
    </w:p>
    <w:p w14:paraId="277FCE6F">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3.2不得向甲方员工及其亲属输送任何个人利益以寻求合作机会，不得为甲方人员配偶、子女及特定关系人安排工作、谋取不正当利益或提供各类方便。</w:t>
      </w:r>
    </w:p>
    <w:p w14:paraId="212E6A09">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3.3不得以任何理由为甲方和相关单位报销应由对方或个人支付的费用，包括出差期间的交通费和住宿费等。</w:t>
      </w:r>
    </w:p>
    <w:p w14:paraId="3D1FC786">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3.4不得以甲方员工及其亲属的家庭装修、婚丧嫁娶、出国留学等事宜为由进行提供资金及物资资助等行贿行为。</w:t>
      </w:r>
    </w:p>
    <w:p w14:paraId="2493F022">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14:paraId="6B1F48D8">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14:paraId="66AC8D6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不得与甲方员工就标书合同条款中的利益条款进行私下协商或达成默契。</w:t>
      </w:r>
    </w:p>
    <w:p w14:paraId="140E0FB0">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14:paraId="3062D6FB">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14:paraId="72E69564">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14:paraId="648A956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9"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四、违约责任</w:t>
      </w:r>
      <w:bookmarkEnd w:id="89"/>
    </w:p>
    <w:p w14:paraId="13E3EB4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4.1甲方工作人员有违反本责任书第一、二条责任行为的，依据有关法律及甲方《员工守则》，提交甲方纪检部门进行处理。</w:t>
      </w:r>
    </w:p>
    <w:p w14:paraId="57BEE31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罚款。</w:t>
      </w:r>
    </w:p>
    <w:p w14:paraId="6E7A7FC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4.3甲方</w:t>
      </w: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工作人员</w:t>
      </w:r>
      <w:r>
        <w:rPr>
          <w:rFonts w:hint="eastAsia" w:ascii="仿宋_GB2312" w:hAnsi="宋体" w:eastAsia="仿宋_GB2312" w:cs="宋体"/>
          <w:color w:val="000000" w:themeColor="text1"/>
          <w:kern w:val="0"/>
          <w:sz w:val="24"/>
          <w:szCs w:val="24"/>
          <w:highlight w:val="none"/>
          <w14:textFill>
            <w14:solidFill>
              <w14:schemeClr w14:val="tx1"/>
            </w14:solidFill>
          </w14:textFill>
        </w:rPr>
        <w:t>不得接受可能影响公正执行公务的礼金（包括各种有价证券）、礼品馈赠。因各种原因未能拒收的，一律上交所属部门并登记。</w:t>
      </w:r>
    </w:p>
    <w:p w14:paraId="3CFBCE62">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w:t>
      </w: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14:paraId="2C6B7550">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4.5本责任书作为主合同的组成部分，与本合同具有同等法律效力。生效条件与主合同相同。</w:t>
      </w:r>
    </w:p>
    <w:p w14:paraId="7DB55BF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五、监督举报渠道</w:t>
      </w:r>
    </w:p>
    <w:p w14:paraId="68229878">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5.1信访办公室</w:t>
      </w:r>
    </w:p>
    <w:p w14:paraId="6DEB5C9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来信地址：石家庄市建设南大街38号中建路桥集团有限公司信访办公室（收）</w:t>
      </w:r>
    </w:p>
    <w:p w14:paraId="651C8BAE">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156F4C6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电话：0311-66538159</w:t>
      </w:r>
    </w:p>
    <w:p w14:paraId="79F90D21">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电子邮箱：sinorbbg@cscec.com</w:t>
      </w:r>
    </w:p>
    <w:p w14:paraId="3372FB7D">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5.2纪检监督工作部</w:t>
      </w:r>
    </w:p>
    <w:p w14:paraId="48712F79">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来信地址：石家庄市建设南大街38号中建路桥集团有限公司纪检监督工作部（收）</w:t>
      </w:r>
    </w:p>
    <w:p w14:paraId="21774485">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006CAAF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电话：0311-66538173</w:t>
      </w:r>
    </w:p>
    <w:p w14:paraId="417A90BF">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电子邮箱：sinorbjc@cscec.com</w:t>
      </w:r>
    </w:p>
    <w:p w14:paraId="67BF669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六</w:t>
      </w:r>
      <w:r>
        <w:rPr>
          <w:rFonts w:hint="eastAsia" w:ascii="仿宋_GB2312" w:hAnsi="宋体" w:eastAsia="仿宋_GB2312" w:cs="宋体"/>
          <w:color w:val="000000" w:themeColor="text1"/>
          <w:kern w:val="0"/>
          <w:sz w:val="24"/>
          <w:szCs w:val="24"/>
          <w:highlight w:val="none"/>
          <w14:textFill>
            <w14:solidFill>
              <w14:schemeClr w14:val="tx1"/>
            </w14:solidFill>
          </w14:textFill>
        </w:rPr>
        <w:t>、责任书有效期</w:t>
      </w:r>
    </w:p>
    <w:p w14:paraId="082C296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p>
    <w:p w14:paraId="02BFD508">
      <w:pPr>
        <w:spacing w:line="400" w:lineRule="atLeast"/>
        <w:ind w:left="4" w:leftChars="2" w:right="210" w:rightChars="100" w:firstLine="448" w:firstLineChars="187"/>
        <w:rPr>
          <w:rFonts w:ascii="仿宋_GB2312" w:hAnsi="仿宋_GB2312" w:eastAsia="仿宋_GB2312" w:cs="仿宋_GB2312"/>
          <w:bCs/>
          <w:color w:val="000000" w:themeColor="text1"/>
          <w:sz w:val="24"/>
          <w:szCs w:val="24"/>
          <w:highlight w:val="none"/>
          <w14:textFill>
            <w14:solidFill>
              <w14:schemeClr w14:val="tx1"/>
            </w14:solidFill>
          </w14:textFill>
        </w:rPr>
      </w:pPr>
      <w:bookmarkStart w:id="90" w:name="_Hlk127199163"/>
    </w:p>
    <w:p w14:paraId="11C641C5">
      <w:pPr>
        <w:spacing w:line="400" w:lineRule="exact"/>
        <w:ind w:firstLine="57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甲方（盖章）：                        乙方（公章）：                    </w:t>
      </w:r>
    </w:p>
    <w:p w14:paraId="15D27CBA">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5F0F61BC">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61806DF9">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2D99DD50">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25B8FB96">
      <w:pPr>
        <w:spacing w:line="400" w:lineRule="atLeast"/>
        <w:ind w:right="210" w:rightChars="100" w:firstLine="720" w:firstLineChars="300"/>
        <w:rPr>
          <w:rFonts w:ascii="仿宋_GB2312" w:hAnsi="仿宋_GB2312" w:eastAsia="仿宋_GB2312" w:cs="仿宋_GB2312"/>
          <w:bCs/>
          <w:color w:val="000000" w:themeColor="text1"/>
          <w:sz w:val="24"/>
          <w:szCs w:val="24"/>
          <w:highlight w:val="none"/>
          <w14:textFill>
            <w14:solidFill>
              <w14:schemeClr w14:val="tx1"/>
            </w14:solidFill>
          </w14:textFill>
        </w:rPr>
      </w:pPr>
    </w:p>
    <w:bookmarkEnd w:id="90"/>
    <w:p w14:paraId="387B4665">
      <w:pPr>
        <w:rPr>
          <w:color w:val="000000" w:themeColor="text1"/>
          <w:highlight w:val="none"/>
          <w14:textFill>
            <w14:solidFill>
              <w14:schemeClr w14:val="tx1"/>
            </w14:solidFill>
          </w14:textFill>
        </w:rPr>
      </w:pPr>
    </w:p>
    <w:p w14:paraId="2211AF4C">
      <w:pPr>
        <w:pStyle w:val="4"/>
        <w:rPr>
          <w:color w:val="000000" w:themeColor="text1"/>
          <w:highlight w:val="none"/>
          <w14:textFill>
            <w14:solidFill>
              <w14:schemeClr w14:val="tx1"/>
            </w14:solidFill>
          </w14:textFill>
        </w:rPr>
        <w:sectPr>
          <w:pgSz w:w="11906" w:h="16838"/>
          <w:pgMar w:top="1440" w:right="1800" w:bottom="1440" w:left="1800" w:header="850" w:footer="975" w:gutter="0"/>
          <w:cols w:space="0" w:num="1"/>
          <w:docGrid w:linePitch="312" w:charSpace="0"/>
        </w:sectPr>
      </w:pPr>
    </w:p>
    <w:p w14:paraId="3EC4A353">
      <w:pPr>
        <w:pStyle w:val="12"/>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91" w:name="_Toc32710"/>
      <w:bookmarkStart w:id="92" w:name="_Toc8006"/>
      <w:r>
        <w:rPr>
          <w:rFonts w:hint="eastAsia" w:ascii="黑体" w:hAnsi="黑体" w:eastAsia="黑体" w:cs="黑体"/>
          <w:b/>
          <w:bCs/>
          <w:color w:val="000000" w:themeColor="text1"/>
          <w:sz w:val="32"/>
          <w:szCs w:val="32"/>
          <w:highlight w:val="none"/>
          <w14:textFill>
            <w14:solidFill>
              <w14:schemeClr w14:val="tx1"/>
            </w14:solidFill>
          </w14:textFill>
        </w:rPr>
        <w:t>第二部分 通用条款</w:t>
      </w:r>
      <w:bookmarkEnd w:id="91"/>
      <w:bookmarkEnd w:id="92"/>
    </w:p>
    <w:p w14:paraId="4D7742B9">
      <w:pPr>
        <w:pStyle w:val="12"/>
        <w:numPr>
          <w:ilvl w:val="0"/>
          <w:numId w:val="8"/>
        </w:numPr>
        <w:spacing w:before="120" w:beforeLines="50" w:after="120" w:afterLines="50" w:line="480" w:lineRule="exac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93" w:name="_Toc16340"/>
      <w:bookmarkStart w:id="94" w:name="_Toc1495"/>
      <w:bookmarkStart w:id="95" w:name="_Toc23634"/>
      <w:bookmarkStart w:id="96" w:name="_Toc27284"/>
      <w:r>
        <w:rPr>
          <w:rFonts w:hint="eastAsia" w:ascii="仿宋_GB2312" w:hAnsi="仿宋_GB2312" w:eastAsia="仿宋_GB2312" w:cs="仿宋_GB2312"/>
          <w:b/>
          <w:bCs/>
          <w:color w:val="000000" w:themeColor="text1"/>
          <w:highlight w:val="none"/>
          <w14:textFill>
            <w14:solidFill>
              <w14:schemeClr w14:val="tx1"/>
            </w14:solidFill>
          </w14:textFill>
        </w:rPr>
        <w:t>货物合同附随义务</w:t>
      </w:r>
      <w:bookmarkEnd w:id="93"/>
      <w:bookmarkEnd w:id="94"/>
      <w:bookmarkEnd w:id="95"/>
      <w:bookmarkEnd w:id="96"/>
    </w:p>
    <w:p w14:paraId="1C788146">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1.乙方义务</w:t>
      </w:r>
    </w:p>
    <w:p w14:paraId="3C58EF44">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1.1乙方合规义务</w:t>
      </w:r>
    </w:p>
    <w:p w14:paraId="4A897F90">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1.1.1合规开展行业竞争：</w:t>
      </w:r>
      <w:r>
        <w:rPr>
          <w:rFonts w:hint="eastAsia" w:ascii="仿宋_GB2312" w:hAnsi="仿宋_GB2312" w:eastAsia="仿宋_GB2312" w:cs="仿宋_GB2312"/>
          <w:color w:val="000000" w:themeColor="text1"/>
          <w:highlight w:val="none"/>
          <w14:textFill>
            <w14:solidFill>
              <w14:schemeClr w14:val="tx1"/>
            </w14:solidFill>
          </w14:textFill>
        </w:rPr>
        <w:t>积极防范和制止垄断行为，不实施任何市场排除、限制竞争行为；不组织经营者集中等违法垄断行为，不实施不正当竞争行为和不正当价格行为，不从事商誉诋毁等违法违规竞争行为。</w:t>
      </w:r>
    </w:p>
    <w:p w14:paraId="19340936">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1.1.2合规保障服务生产：</w:t>
      </w:r>
      <w:r>
        <w:rPr>
          <w:rFonts w:hint="eastAsia" w:ascii="仿宋_GB2312" w:hAnsi="仿宋_GB2312" w:eastAsia="仿宋_GB2312" w:cs="仿宋_GB2312"/>
          <w:color w:val="000000" w:themeColor="text1"/>
          <w:highlight w:val="none"/>
          <w14:textFill>
            <w14:solidFill>
              <w14:schemeClr w14:val="tx1"/>
            </w14:solidFill>
          </w14:textFill>
        </w:rPr>
        <w:t>恪守契约精神，严格按照合同约定时间和地点完成货物交付，全力保障项目物资设备</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运输服务</w:t>
      </w:r>
      <w:r>
        <w:rPr>
          <w:rFonts w:hint="eastAsia" w:ascii="仿宋_GB2312" w:hAnsi="仿宋_GB2312" w:eastAsia="仿宋_GB2312" w:cs="仿宋_GB2312"/>
          <w:color w:val="000000" w:themeColor="text1"/>
          <w:highlight w:val="none"/>
          <w14:textFill>
            <w14:solidFill>
              <w14:schemeClr w14:val="tx1"/>
            </w14:solidFill>
          </w14:textFill>
        </w:rPr>
        <w:t>需求。</w:t>
      </w:r>
    </w:p>
    <w:p w14:paraId="75701914">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1.1.3合规履行安全管控职责：</w:t>
      </w:r>
      <w:r>
        <w:rPr>
          <w:rFonts w:hint="eastAsia" w:ascii="仿宋_GB2312" w:hAnsi="仿宋_GB2312" w:eastAsia="仿宋_GB2312" w:cs="仿宋_GB2312"/>
          <w:color w:val="000000" w:themeColor="text1"/>
          <w:highlight w:val="none"/>
          <w14:textFill>
            <w14:solidFill>
              <w14:schemeClr w14:val="tx1"/>
            </w14:solidFill>
          </w14:textFill>
        </w:rPr>
        <w:t>自觉遵守甲方施工现场有关安全文明施工、环境和职业健康安全方面的要求，绝不出现违反安全法律和其他安全生产规章制度的行为，具体要求详见合同附件三。</w:t>
      </w:r>
    </w:p>
    <w:p w14:paraId="57A2BA1C">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1.1.4合规履行质量管控职责：</w:t>
      </w:r>
      <w:r>
        <w:rPr>
          <w:rFonts w:hint="eastAsia" w:ascii="仿宋_GB2312" w:hAnsi="仿宋_GB2312" w:eastAsia="仿宋_GB2312" w:cs="仿宋_GB2312"/>
          <w:color w:val="000000" w:themeColor="text1"/>
          <w:highlight w:val="none"/>
          <w14:textFill>
            <w14:solidFill>
              <w14:schemeClr w14:val="tx1"/>
            </w14:solidFill>
          </w14:textFill>
        </w:rPr>
        <w:t>绝不供应质量不合格</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设备</w:t>
      </w:r>
      <w:r>
        <w:rPr>
          <w:rFonts w:hint="eastAsia" w:ascii="仿宋_GB2312" w:hAnsi="仿宋_GB2312" w:eastAsia="仿宋_GB2312" w:cs="仿宋_GB2312"/>
          <w:color w:val="000000" w:themeColor="text1"/>
          <w:highlight w:val="none"/>
          <w14:textFill>
            <w14:solidFill>
              <w14:schemeClr w14:val="tx1"/>
            </w14:solidFill>
          </w14:textFill>
        </w:rPr>
        <w:t>，加强自身各环节质量管理，绝不出现任何质量或数量瑕疵，严控假冒伪劣货物流通，严格按本合同约定质量标准和数量要求履约生产。</w:t>
      </w:r>
    </w:p>
    <w:p w14:paraId="2BCE50A6">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1.1.5合规依法纳税职责：</w:t>
      </w:r>
      <w:r>
        <w:rPr>
          <w:rFonts w:hint="eastAsia" w:ascii="仿宋_GB2312" w:hAnsi="仿宋_GB2312" w:eastAsia="仿宋_GB2312" w:cs="仿宋_GB2312"/>
          <w:color w:val="000000" w:themeColor="text1"/>
          <w:highlight w:val="none"/>
          <w14:textFill>
            <w14:solidFill>
              <w14:schemeClr w14:val="tx1"/>
            </w14:solidFill>
          </w14:textFill>
        </w:rPr>
        <w:t>严格按照国家税法规定，履行合法合规纳税义务，绝不虚开或伪造增值税专用发票。</w:t>
      </w:r>
    </w:p>
    <w:p w14:paraId="54662E77">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1.1.6合规拥有</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设备</w:t>
      </w:r>
      <w:r>
        <w:rPr>
          <w:rFonts w:hint="eastAsia" w:ascii="仿宋_GB2312" w:hAnsi="仿宋_GB2312" w:eastAsia="仿宋_GB2312" w:cs="仿宋_GB2312"/>
          <w:b/>
          <w:bCs/>
          <w:color w:val="000000" w:themeColor="text1"/>
          <w:highlight w:val="none"/>
          <w14:textFill>
            <w14:solidFill>
              <w14:schemeClr w14:val="tx1"/>
            </w14:solidFill>
          </w14:textFill>
        </w:rPr>
        <w:t>所有权：</w:t>
      </w:r>
      <w:r>
        <w:rPr>
          <w:rFonts w:hint="eastAsia" w:ascii="仿宋_GB2312" w:hAnsi="仿宋_GB2312" w:eastAsia="仿宋_GB2312" w:cs="仿宋_GB2312"/>
          <w:color w:val="000000" w:themeColor="text1"/>
          <w:highlight w:val="none"/>
          <w14:textFill>
            <w14:solidFill>
              <w14:schemeClr w14:val="tx1"/>
            </w14:solidFill>
          </w14:textFill>
        </w:rPr>
        <w:t>保证对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设备</w:t>
      </w:r>
      <w:r>
        <w:rPr>
          <w:rFonts w:hint="eastAsia" w:ascii="仿宋_GB2312" w:hAnsi="仿宋_GB2312" w:eastAsia="仿宋_GB2312" w:cs="仿宋_GB2312"/>
          <w:color w:val="000000" w:themeColor="text1"/>
          <w:highlight w:val="none"/>
          <w14:textFill>
            <w14:solidFill>
              <w14:schemeClr w14:val="tx1"/>
            </w14:solidFill>
          </w14:textFill>
        </w:rPr>
        <w:t>具有所有权或受委托代理销售权，并向甲方出具相关凭证。保证交付的货物不附有任何担保权、留置权或设定其他权利负担。</w:t>
      </w:r>
    </w:p>
    <w:p w14:paraId="2A73BB6D">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1.1.7合规拥有</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设备</w:t>
      </w:r>
      <w:r>
        <w:rPr>
          <w:rFonts w:ascii="仿宋_GB2312" w:hAnsi="仿宋_GB2312" w:eastAsia="仿宋_GB2312" w:cs="仿宋_GB2312"/>
          <w:b/>
          <w:bCs/>
          <w:color w:val="000000" w:themeColor="text1"/>
          <w:highlight w:val="none"/>
          <w14:textFill>
            <w14:solidFill>
              <w14:schemeClr w14:val="tx1"/>
            </w14:solidFill>
          </w14:textFill>
        </w:rPr>
        <w:t>知识产权：</w:t>
      </w:r>
      <w:r>
        <w:rPr>
          <w:rFonts w:ascii="仿宋_GB2312" w:hAnsi="仿宋_GB2312" w:eastAsia="仿宋_GB2312" w:cs="仿宋_GB2312"/>
          <w:color w:val="000000" w:themeColor="text1"/>
          <w:highlight w:val="none"/>
          <w14:textFill>
            <w14:solidFill>
              <w14:schemeClr w14:val="tx1"/>
            </w14:solidFill>
          </w14:textFill>
        </w:rPr>
        <w:t>保障甲方在工程所在地使用其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设备</w:t>
      </w:r>
      <w:r>
        <w:rPr>
          <w:rFonts w:ascii="仿宋_GB2312" w:hAnsi="仿宋_GB2312" w:eastAsia="仿宋_GB2312" w:cs="仿宋_GB2312"/>
          <w:color w:val="000000" w:themeColor="text1"/>
          <w:highlight w:val="none"/>
          <w14:textFill>
            <w14:solidFill>
              <w14:schemeClr w14:val="tx1"/>
            </w14:solidFill>
          </w14:textFill>
        </w:rPr>
        <w:t>、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71208B28">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1.1.8合规开展廉洁共建职责：</w:t>
      </w:r>
      <w:r>
        <w:rPr>
          <w:rFonts w:hint="eastAsia" w:ascii="仿宋_GB2312" w:hAnsi="仿宋_GB2312" w:eastAsia="仿宋_GB2312" w:cs="仿宋_GB2312"/>
          <w:color w:val="000000" w:themeColor="text1"/>
          <w:highlight w:val="none"/>
          <w14:textFill>
            <w14:solidFill>
              <w14:schemeClr w14:val="tx1"/>
            </w14:solidFill>
          </w14:textFill>
        </w:rPr>
        <w:t xml:space="preserve">绝不从事任何形式的商业贿赂、利益输送及其他不正当交易；绝不以任何理由为甲方、相关单位或个人组织有可能影响公正执行公务的宴请、娱乐等活动，具体要求详见合同附件四。 </w:t>
      </w:r>
    </w:p>
    <w:p w14:paraId="21C5D2BD">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1.2乙方其他义务</w:t>
      </w:r>
    </w:p>
    <w:p w14:paraId="0EB58FE9">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1.2.1增值服务：</w:t>
      </w:r>
      <w:r>
        <w:rPr>
          <w:rFonts w:hint="eastAsia" w:ascii="仿宋_GB2312" w:hAnsi="仿宋_GB2312" w:eastAsia="仿宋_GB2312" w:cs="仿宋_GB2312"/>
          <w:color w:val="000000" w:themeColor="text1"/>
          <w:highlight w:val="none"/>
          <w14:textFill>
            <w14:solidFill>
              <w14:schemeClr w14:val="tx1"/>
            </w14:solidFill>
          </w14:textFill>
        </w:rPr>
        <w:t>乙方应提供与货物配套的增值服务；包括但不限于技术支持、深化设计、现场培训及货物安装指导等工作，相应费用已在综合单价考虑。</w:t>
      </w:r>
    </w:p>
    <w:p w14:paraId="634B4157">
      <w:pPr>
        <w:pStyle w:val="12"/>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2.甲方义务</w:t>
      </w:r>
    </w:p>
    <w:p w14:paraId="52942121">
      <w:pPr>
        <w:pStyle w:val="12"/>
        <w:spacing w:line="48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设备</w:t>
      </w:r>
      <w:r>
        <w:rPr>
          <w:rFonts w:hint="eastAsia" w:ascii="仿宋_GB2312" w:hAnsi="仿宋_GB2312" w:eastAsia="仿宋_GB2312" w:cs="仿宋_GB2312"/>
          <w:b/>
          <w:bCs/>
          <w:color w:val="000000" w:themeColor="text1"/>
          <w:highlight w:val="none"/>
          <w14:textFill>
            <w14:solidFill>
              <w14:schemeClr w14:val="tx1"/>
            </w14:solidFill>
          </w14:textFill>
        </w:rPr>
        <w:t>需用计划：</w:t>
      </w:r>
      <w:r>
        <w:rPr>
          <w:rFonts w:hint="eastAsia" w:ascii="仿宋_GB2312" w:hAnsi="仿宋_GB2312" w:eastAsia="仿宋_GB2312" w:cs="仿宋_GB2312"/>
          <w:color w:val="000000" w:themeColor="text1"/>
          <w:highlight w:val="none"/>
          <w14:textFill>
            <w14:solidFill>
              <w14:schemeClr w14:val="tx1"/>
            </w14:solidFill>
          </w14:textFill>
        </w:rPr>
        <w:t>甲方合理制定</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设备</w:t>
      </w:r>
      <w:r>
        <w:rPr>
          <w:rFonts w:hint="eastAsia" w:ascii="仿宋_GB2312" w:hAnsi="仿宋_GB2312" w:eastAsia="仿宋_GB2312" w:cs="仿宋_GB2312"/>
          <w:color w:val="000000" w:themeColor="text1"/>
          <w:highlight w:val="none"/>
          <w14:textFill>
            <w14:solidFill>
              <w14:schemeClr w14:val="tx1"/>
            </w14:solidFill>
          </w14:textFill>
        </w:rPr>
        <w:t>总需用计划及日常需用计划，并按照合同约定提前通知乙方，给予乙方充足</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准备</w:t>
      </w:r>
      <w:r>
        <w:rPr>
          <w:rFonts w:hint="eastAsia" w:ascii="仿宋_GB2312" w:hAnsi="仿宋_GB2312" w:eastAsia="仿宋_GB2312" w:cs="仿宋_GB2312"/>
          <w:color w:val="000000" w:themeColor="text1"/>
          <w:highlight w:val="none"/>
          <w14:textFill>
            <w14:solidFill>
              <w14:schemeClr w14:val="tx1"/>
            </w14:solidFill>
          </w14:textFill>
        </w:rPr>
        <w:t>期。</w:t>
      </w:r>
    </w:p>
    <w:p w14:paraId="42E798ED">
      <w:pPr>
        <w:pStyle w:val="12"/>
        <w:spacing w:line="48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2.2配合材料卸货：</w:t>
      </w:r>
      <w:r>
        <w:rPr>
          <w:rFonts w:hint="eastAsia" w:ascii="仿宋_GB2312" w:hAnsi="仿宋_GB2312" w:eastAsia="仿宋_GB2312" w:cs="仿宋_GB2312"/>
          <w:color w:val="000000" w:themeColor="text1"/>
          <w:highlight w:val="none"/>
          <w14:textFill>
            <w14:solidFill>
              <w14:schemeClr w14:val="tx1"/>
            </w14:solidFill>
          </w14:textFill>
        </w:rPr>
        <w:t>乙方在材料运抵交货前2天通知甲方，甲方应在验收合格后，提供堆放场地或堆放仓库，</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配合乙方将材料卸车</w:t>
      </w:r>
      <w:r>
        <w:rPr>
          <w:rFonts w:hint="eastAsia" w:ascii="仿宋_GB2312" w:hAnsi="仿宋_GB2312" w:eastAsia="仿宋_GB2312" w:cs="仿宋_GB2312"/>
          <w:color w:val="000000" w:themeColor="text1"/>
          <w:highlight w:val="none"/>
          <w14:textFill>
            <w14:solidFill>
              <w14:schemeClr w14:val="tx1"/>
            </w14:solidFill>
          </w14:textFill>
        </w:rPr>
        <w:t>。</w:t>
      </w:r>
    </w:p>
    <w:p w14:paraId="31355F4A">
      <w:pPr>
        <w:pStyle w:val="12"/>
        <w:numPr>
          <w:ilvl w:val="0"/>
          <w:numId w:val="8"/>
        </w:numPr>
        <w:spacing w:before="120" w:beforeLines="50" w:after="120" w:afterLines="50" w:line="480" w:lineRule="exac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97" w:name="_Toc5814"/>
      <w:bookmarkStart w:id="98" w:name="_Toc3762"/>
      <w:bookmarkStart w:id="99" w:name="_Toc13486"/>
      <w:bookmarkStart w:id="100" w:name="_Toc20440"/>
      <w:r>
        <w:rPr>
          <w:rFonts w:hint="eastAsia" w:ascii="仿宋_GB2312" w:hAnsi="仿宋_GB2312" w:eastAsia="仿宋_GB2312" w:cs="仿宋_GB2312"/>
          <w:b/>
          <w:bCs/>
          <w:color w:val="000000" w:themeColor="text1"/>
          <w:highlight w:val="none"/>
          <w14:textFill>
            <w14:solidFill>
              <w14:schemeClr w14:val="tx1"/>
            </w14:solidFill>
          </w14:textFill>
        </w:rPr>
        <w:t>货物违约责任</w:t>
      </w:r>
      <w:bookmarkEnd w:id="97"/>
      <w:bookmarkEnd w:id="98"/>
      <w:bookmarkEnd w:id="99"/>
      <w:bookmarkEnd w:id="100"/>
    </w:p>
    <w:p w14:paraId="0262176C">
      <w:pPr>
        <w:pStyle w:val="12"/>
        <w:numPr>
          <w:ilvl w:val="0"/>
          <w:numId w:val="9"/>
        </w:numPr>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未按计划时间供应：</w:t>
      </w:r>
    </w:p>
    <w:p w14:paraId="7D9C8749">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乙方未能按本合同第三条款中书面计划的要求提供车辆，若因非甲方原因致使延期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提供运输服务</w:t>
      </w:r>
      <w:r>
        <w:rPr>
          <w:rFonts w:hint="eastAsia" w:ascii="仿宋_GB2312" w:hAnsi="仿宋_GB2312" w:eastAsia="仿宋_GB2312" w:cs="仿宋_GB2312"/>
          <w:color w:val="000000" w:themeColor="text1"/>
          <w:highlight w:val="none"/>
          <w14:textFill>
            <w14:solidFill>
              <w14:schemeClr w14:val="tx1"/>
            </w14:solidFill>
          </w14:textFill>
        </w:rPr>
        <w:t>的次数超过</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 次</w:t>
      </w:r>
      <w:r>
        <w:rPr>
          <w:rFonts w:hint="eastAsia" w:ascii="仿宋_GB2312" w:hAnsi="仿宋_GB2312" w:eastAsia="仿宋_GB2312" w:cs="仿宋_GB2312"/>
          <w:color w:val="000000" w:themeColor="text1"/>
          <w:highlight w:val="none"/>
          <w14:textFill>
            <w14:solidFill>
              <w14:schemeClr w14:val="tx1"/>
            </w14:solidFill>
          </w14:textFill>
        </w:rPr>
        <w:t>，乙方须向甲方支付违约金，</w:t>
      </w:r>
      <w:r>
        <w:rPr>
          <w:rFonts w:hint="eastAsia" w:ascii="仿宋_GB2312" w:hAnsi="仿宋_GB2312" w:eastAsia="仿宋_GB2312" w:cs="仿宋_GB2312"/>
          <w:b/>
          <w:bCs/>
          <w:color w:val="000000" w:themeColor="text1"/>
          <w:highlight w:val="none"/>
          <w14:textFill>
            <w14:solidFill>
              <w14:schemeClr w14:val="tx1"/>
            </w14:solidFill>
          </w14:textFill>
        </w:rPr>
        <w:t>违约金按照</w:t>
      </w:r>
      <w:r>
        <w:rPr>
          <w:rFonts w:hint="eastAsia" w:ascii="仿宋_GB2312" w:hAnsi="仿宋_GB2312" w:eastAsia="仿宋_GB2312" w:cs="仿宋_GB2312"/>
          <w:b/>
          <w:bCs/>
          <w:color w:val="000000" w:themeColor="text1"/>
          <w:highlight w:val="none"/>
          <w:u w:val="single"/>
          <w14:textFill>
            <w14:solidFill>
              <w14:schemeClr w14:val="tx1"/>
            </w14:solidFill>
          </w14:textFill>
        </w:rPr>
        <w:t>20000元/次</w:t>
      </w:r>
      <w:r>
        <w:rPr>
          <w:rFonts w:hint="eastAsia" w:ascii="仿宋_GB2312" w:hAnsi="仿宋_GB2312" w:eastAsia="仿宋_GB2312" w:cs="仿宋_GB2312"/>
          <w:b/>
          <w:bCs/>
          <w:color w:val="000000" w:themeColor="text1"/>
          <w:highlight w:val="none"/>
          <w14:textFill>
            <w14:solidFill>
              <w14:schemeClr w14:val="tx1"/>
            </w14:solidFill>
          </w14:textFill>
        </w:rPr>
        <w:t>计，且违约金外乙方必须承担甲方</w:t>
      </w:r>
      <w:r>
        <w:rPr>
          <w:rFonts w:hint="eastAsia" w:ascii="仿宋_GB2312" w:hAnsi="仿宋_GB2312" w:eastAsia="仿宋_GB2312" w:cs="仿宋_GB2312"/>
          <w:b/>
          <w:bCs/>
          <w:color w:val="000000" w:themeColor="text1"/>
          <w:highlight w:val="none"/>
          <w:u w:val="single"/>
          <w14:textFill>
            <w14:solidFill>
              <w14:schemeClr w14:val="tx1"/>
            </w14:solidFill>
          </w14:textFill>
        </w:rPr>
        <w:t>项目实际工期损失及经济损失</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乙方延迟交付超</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highlight w:val="none"/>
          <w14:textFill>
            <w14:solidFill>
              <w14:schemeClr w14:val="tx1"/>
            </w14:solidFill>
          </w14:textFill>
        </w:rPr>
        <w:t>日的，甲方有权单方解除本合同。</w:t>
      </w:r>
    </w:p>
    <w:p w14:paraId="6EC1991A">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乙方应全力保障项目的</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服务</w:t>
      </w:r>
      <w:r>
        <w:rPr>
          <w:rFonts w:hint="eastAsia" w:ascii="仿宋_GB2312" w:hAnsi="仿宋_GB2312" w:eastAsia="仿宋_GB2312" w:cs="仿宋_GB2312"/>
          <w:color w:val="000000" w:themeColor="text1"/>
          <w:highlight w:val="none"/>
          <w14:textFill>
            <w14:solidFill>
              <w14:schemeClr w14:val="tx1"/>
            </w14:solidFill>
          </w14:textFill>
        </w:rPr>
        <w:t>，因乙方资源组织问题引起的</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服务</w:t>
      </w:r>
      <w:r>
        <w:rPr>
          <w:rFonts w:hint="eastAsia" w:ascii="仿宋_GB2312" w:hAnsi="仿宋_GB2312" w:eastAsia="仿宋_GB2312" w:cs="仿宋_GB2312"/>
          <w:color w:val="000000" w:themeColor="text1"/>
          <w:highlight w:val="none"/>
          <w14:textFill>
            <w14:solidFill>
              <w14:schemeClr w14:val="tx1"/>
            </w14:solidFill>
          </w14:textFill>
        </w:rPr>
        <w:t>困难，乙方不能或不愿解决的，甲方可寻找其他供应单位代为解决，因此引起的甲方成本增加在结算中扣除。</w:t>
      </w:r>
    </w:p>
    <w:p w14:paraId="7D5E105F">
      <w:pPr>
        <w:pStyle w:val="12"/>
        <w:numPr>
          <w:ilvl w:val="0"/>
          <w:numId w:val="9"/>
        </w:numPr>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未按指定地点或方式供应：</w:t>
      </w:r>
    </w:p>
    <w:p w14:paraId="375DC39C">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乙方不能按本合同约定地点、方式</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提供车辆</w:t>
      </w:r>
      <w:r>
        <w:rPr>
          <w:rFonts w:hint="eastAsia" w:ascii="仿宋_GB2312" w:hAnsi="仿宋_GB2312" w:eastAsia="仿宋_GB2312" w:cs="仿宋_GB2312"/>
          <w:color w:val="000000" w:themeColor="text1"/>
          <w:highlight w:val="none"/>
          <w14:textFill>
            <w14:solidFill>
              <w14:schemeClr w14:val="tx1"/>
            </w14:solidFill>
          </w14:textFill>
        </w:rPr>
        <w:t>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否则按照</w:t>
      </w:r>
      <w:r>
        <w:rPr>
          <w:rFonts w:hint="eastAsia" w:ascii="仿宋_GB2312" w:hAnsi="仿宋_GB2312" w:eastAsia="仿宋_GB2312" w:cs="仿宋_GB2312"/>
          <w:b/>
          <w:bCs/>
          <w:color w:val="000000" w:themeColor="text1"/>
          <w:highlight w:val="none"/>
          <w:u w:val="single"/>
          <w14:textFill>
            <w14:solidFill>
              <w14:schemeClr w14:val="tx1"/>
            </w14:solidFill>
          </w14:textFill>
        </w:rPr>
        <w:t>20000元/次</w:t>
      </w:r>
      <w:r>
        <w:rPr>
          <w:rFonts w:hint="eastAsia" w:ascii="仿宋_GB2312" w:hAnsi="仿宋_GB2312" w:eastAsia="仿宋_GB2312" w:cs="仿宋_GB2312"/>
          <w:b/>
          <w:bCs/>
          <w:color w:val="000000" w:themeColor="text1"/>
          <w:highlight w:val="none"/>
          <w14:textFill>
            <w14:solidFill>
              <w14:schemeClr w14:val="tx1"/>
            </w14:solidFill>
          </w14:textFill>
        </w:rPr>
        <w:t>承担违约金，且违约金外乙方必须承担甲方</w:t>
      </w:r>
      <w:r>
        <w:rPr>
          <w:rFonts w:hint="eastAsia" w:ascii="仿宋_GB2312" w:hAnsi="仿宋_GB2312" w:eastAsia="仿宋_GB2312" w:cs="仿宋_GB2312"/>
          <w:b/>
          <w:bCs/>
          <w:color w:val="000000" w:themeColor="text1"/>
          <w:highlight w:val="none"/>
          <w:u w:val="single"/>
          <w14:textFill>
            <w14:solidFill>
              <w14:schemeClr w14:val="tx1"/>
            </w14:solidFill>
          </w14:textFill>
        </w:rPr>
        <w:t>项目实际工期损失及经济损失</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6D0EF88E">
      <w:pPr>
        <w:pStyle w:val="12"/>
        <w:numPr>
          <w:ilvl w:val="0"/>
          <w:numId w:val="9"/>
        </w:numPr>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不符合约定</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设备</w:t>
      </w:r>
      <w:r>
        <w:rPr>
          <w:rFonts w:hint="eastAsia" w:ascii="仿宋_GB2312" w:hAnsi="仿宋_GB2312" w:eastAsia="仿宋_GB2312" w:cs="仿宋_GB2312"/>
          <w:b/>
          <w:bCs/>
          <w:color w:val="000000" w:themeColor="text1"/>
          <w:highlight w:val="none"/>
          <w14:textFill>
            <w14:solidFill>
              <w14:schemeClr w14:val="tx1"/>
            </w14:solidFill>
          </w14:textFill>
        </w:rPr>
        <w:t>质量标准：</w:t>
      </w:r>
    </w:p>
    <w:p w14:paraId="6884E4F1">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设备</w:t>
      </w:r>
      <w:r>
        <w:rPr>
          <w:rFonts w:hint="eastAsia" w:ascii="仿宋_GB2312" w:hAnsi="仿宋_GB2312" w:eastAsia="仿宋_GB2312" w:cs="仿宋_GB2312"/>
          <w:color w:val="000000" w:themeColor="text1"/>
          <w:highlight w:val="none"/>
          <w14:textFill>
            <w14:solidFill>
              <w14:schemeClr w14:val="tx1"/>
            </w14:solidFill>
          </w14:textFill>
        </w:rPr>
        <w:t>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并按照</w:t>
      </w:r>
      <w:r>
        <w:rPr>
          <w:rFonts w:hint="eastAsia" w:ascii="仿宋_GB2312" w:hAnsi="仿宋_GB2312" w:eastAsia="仿宋_GB2312" w:cs="仿宋_GB2312"/>
          <w:b/>
          <w:bCs/>
          <w:color w:val="000000" w:themeColor="text1"/>
          <w:highlight w:val="none"/>
          <w:u w:val="single"/>
          <w14:textFill>
            <w14:solidFill>
              <w14:schemeClr w14:val="tx1"/>
            </w14:solidFill>
          </w14:textFill>
        </w:rPr>
        <w:t>20000元/次</w:t>
      </w:r>
      <w:r>
        <w:rPr>
          <w:rFonts w:hint="eastAsia" w:ascii="仿宋_GB2312" w:hAnsi="仿宋_GB2312" w:eastAsia="仿宋_GB2312" w:cs="仿宋_GB2312"/>
          <w:b/>
          <w:bCs/>
          <w:color w:val="000000" w:themeColor="text1"/>
          <w:highlight w:val="none"/>
          <w14:textFill>
            <w14:solidFill>
              <w14:schemeClr w14:val="tx1"/>
            </w14:solidFill>
          </w14:textFill>
        </w:rPr>
        <w:t>承担违约金，且违约金外乙方必须承担甲方</w:t>
      </w:r>
      <w:r>
        <w:rPr>
          <w:rFonts w:hint="eastAsia" w:ascii="仿宋_GB2312" w:hAnsi="仿宋_GB2312" w:eastAsia="仿宋_GB2312" w:cs="仿宋_GB2312"/>
          <w:b/>
          <w:bCs/>
          <w:color w:val="000000" w:themeColor="text1"/>
          <w:highlight w:val="none"/>
          <w:u w:val="single"/>
          <w14:textFill>
            <w14:solidFill>
              <w14:schemeClr w14:val="tx1"/>
            </w14:solidFill>
          </w14:textFill>
        </w:rPr>
        <w:t>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06484D10">
      <w:pPr>
        <w:pStyle w:val="12"/>
        <w:spacing w:line="480" w:lineRule="exact"/>
        <w:ind w:firstLine="480"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原因</w:t>
      </w:r>
      <w:r>
        <w:rPr>
          <w:rFonts w:hint="eastAsia" w:ascii="仿宋_GB2312" w:hAnsi="仿宋_GB2312" w:eastAsia="仿宋_GB2312" w:cs="仿宋_GB2312"/>
          <w:color w:val="000000" w:themeColor="text1"/>
          <w:highlight w:val="none"/>
          <w14:textFill>
            <w14:solidFill>
              <w14:schemeClr w14:val="tx1"/>
            </w14:solidFill>
          </w14:textFill>
        </w:rPr>
        <w:t>致使交付的货物存在质量或数量瑕疵的，除赔偿甲方对应货物的货款外，</w:t>
      </w:r>
      <w:r>
        <w:rPr>
          <w:rFonts w:hint="eastAsia" w:ascii="仿宋_GB2312" w:hAnsi="仿宋_GB2312" w:eastAsia="仿宋_GB2312" w:cs="仿宋_GB2312"/>
          <w:b/>
          <w:bCs/>
          <w:color w:val="000000" w:themeColor="text1"/>
          <w:highlight w:val="none"/>
          <w14:textFill>
            <w14:solidFill>
              <w14:schemeClr w14:val="tx1"/>
            </w14:solidFill>
          </w14:textFill>
        </w:rPr>
        <w:t>并按照</w:t>
      </w:r>
      <w:r>
        <w:rPr>
          <w:rFonts w:hint="eastAsia" w:ascii="仿宋_GB2312" w:hAnsi="仿宋_GB2312" w:eastAsia="仿宋_GB2312" w:cs="仿宋_GB2312"/>
          <w:b/>
          <w:bCs/>
          <w:color w:val="000000" w:themeColor="text1"/>
          <w:highlight w:val="none"/>
          <w:u w:val="single"/>
          <w14:textFill>
            <w14:solidFill>
              <w14:schemeClr w14:val="tx1"/>
            </w14:solidFill>
          </w14:textFill>
        </w:rPr>
        <w:t>20000元/次</w:t>
      </w:r>
      <w:r>
        <w:rPr>
          <w:rFonts w:hint="eastAsia" w:ascii="仿宋_GB2312" w:hAnsi="仿宋_GB2312" w:eastAsia="仿宋_GB2312" w:cs="仿宋_GB2312"/>
          <w:b/>
          <w:bCs/>
          <w:color w:val="000000" w:themeColor="text1"/>
          <w:highlight w:val="none"/>
          <w14:textFill>
            <w14:solidFill>
              <w14:schemeClr w14:val="tx1"/>
            </w14:solidFill>
          </w14:textFill>
        </w:rPr>
        <w:t>承担违约金，且违约金外乙方必须承担甲方</w:t>
      </w:r>
      <w:r>
        <w:rPr>
          <w:rFonts w:hint="eastAsia" w:ascii="仿宋_GB2312" w:hAnsi="仿宋_GB2312" w:eastAsia="仿宋_GB2312" w:cs="仿宋_GB2312"/>
          <w:b/>
          <w:bCs/>
          <w:color w:val="000000" w:themeColor="text1"/>
          <w:highlight w:val="none"/>
          <w:u w:val="single"/>
          <w14:textFill>
            <w14:solidFill>
              <w14:schemeClr w14:val="tx1"/>
            </w14:solidFill>
          </w14:textFill>
        </w:rPr>
        <w:t>项目实际工期损失及经济损失</w:t>
      </w:r>
      <w:r>
        <w:rPr>
          <w:rFonts w:hint="eastAsia" w:ascii="仿宋_GB2312" w:hAnsi="仿宋_GB2312" w:eastAsia="仿宋_GB2312" w:cs="仿宋_GB2312"/>
          <w:b/>
          <w:bCs/>
          <w:color w:val="000000" w:themeColor="text1"/>
          <w:highlight w:val="none"/>
          <w14:textFill>
            <w14:solidFill>
              <w14:schemeClr w14:val="tx1"/>
            </w14:solidFill>
          </w14:textFill>
        </w:rPr>
        <w:t>。</w:t>
      </w:r>
    </w:p>
    <w:p w14:paraId="1A1CCFAF">
      <w:pPr>
        <w:pStyle w:val="12"/>
        <w:numPr>
          <w:ilvl w:val="0"/>
          <w:numId w:val="9"/>
        </w:numPr>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未履行开具增值税发票义务：</w:t>
      </w:r>
    </w:p>
    <w:p w14:paraId="046B6085">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乙方存在下列情形之一的，甲方有权单方解除合同，并有权直接从乙方应付款项中双倍扣除甲方未能抵扣的税金（扣除金额=不含税结算金额×</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r>
        <w:rPr>
          <w:rFonts w:hint="eastAsia" w:ascii="仿宋_GB2312" w:hAnsi="仿宋_GB2312" w:eastAsia="仿宋_GB2312" w:cs="仿宋_GB2312"/>
          <w:color w:val="000000" w:themeColor="text1"/>
          <w:highlight w:val="none"/>
          <w14:textFill>
            <w14:solidFill>
              <w14:schemeClr w14:val="tx1"/>
            </w14:solidFill>
          </w14:textFill>
        </w:rPr>
        <w:t>%增值税税率×2）作为违约金：</w:t>
      </w:r>
    </w:p>
    <w:p w14:paraId="4481C861">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4.1不具有开具增值税专用发票的纳税人资格。</w:t>
      </w:r>
    </w:p>
    <w:p w14:paraId="04A30C45">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4.2未能按本合同约定的税率开具增值税专用发票。</w:t>
      </w:r>
    </w:p>
    <w:p w14:paraId="5ED5D379">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4.3提供的增值税专用发票是乙方以外的主体开具。</w:t>
      </w:r>
    </w:p>
    <w:p w14:paraId="7ED4D3D1">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4.4拖欠增值税专用发票金额累计达100万元以上。</w:t>
      </w:r>
    </w:p>
    <w:p w14:paraId="1D1BE3AB">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14:textFill>
            <w14:solidFill>
              <w14:schemeClr w14:val="tx1"/>
            </w14:solidFill>
          </w14:textFill>
        </w:rPr>
        <w:t>提供伪造的增值税专用发票。</w:t>
      </w:r>
    </w:p>
    <w:p w14:paraId="5F418F0F">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highlight w:val="none"/>
          <w14:textFill>
            <w14:solidFill>
              <w14:schemeClr w14:val="tx1"/>
            </w14:solidFill>
          </w14:textFill>
        </w:rPr>
        <w:t>虚开增值税专用发票。</w:t>
      </w:r>
    </w:p>
    <w:p w14:paraId="7AFA5CAB">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highlight w:val="none"/>
          <w14:textFill>
            <w14:solidFill>
              <w14:schemeClr w14:val="tx1"/>
            </w14:solidFill>
          </w14:textFill>
        </w:rPr>
        <w:t>其它导致甲方无法进行增值税抵扣的情形。</w:t>
      </w:r>
    </w:p>
    <w:p w14:paraId="1E2598C9">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乙方存在以上情形的，除承担相应违约责任外，还应赔偿甲方因此所受损失，同时不免除乙方开具合法合规增值税专用发票的义务。</w:t>
      </w:r>
    </w:p>
    <w:p w14:paraId="34CA5F79">
      <w:pPr>
        <w:pStyle w:val="12"/>
        <w:spacing w:line="48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若乙方开具或提供的增值税专用发票发生本条第4款情形超过3次的或给甲方造成重大损失的，则乙方除按本款前述约定承担责任外，甲方有权单方解除本合同。</w:t>
      </w:r>
    </w:p>
    <w:p w14:paraId="4DF00F38">
      <w:pPr>
        <w:pStyle w:val="12"/>
        <w:spacing w:line="48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如乙方未在税务机关要求的期限内缴纳税款，导致甲方无法抵扣进项税的，甲方有权拒绝付款，如已经支付的，甲方有权追回已支付的款项，并要求乙方支付违约金或赔偿损失。</w:t>
      </w:r>
    </w:p>
    <w:p w14:paraId="3A763D47">
      <w:pPr>
        <w:pStyle w:val="12"/>
        <w:numPr>
          <w:ilvl w:val="0"/>
          <w:numId w:val="9"/>
        </w:numPr>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未履行安全责任及义务：</w:t>
      </w:r>
    </w:p>
    <w:p w14:paraId="1EB79DAC">
      <w:pPr>
        <w:pStyle w:val="12"/>
        <w:spacing w:line="48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乙方不能满足甲方有关安全文明施工措施、环境和职业健康安全方面的要求时，乙方按照项目</w:t>
      </w:r>
      <w:r>
        <w:rPr>
          <w:rFonts w:hint="eastAsia" w:ascii="仿宋_GB2312" w:hAnsi="仿宋_GB2312" w:eastAsia="仿宋_GB2312" w:cs="仿宋_GB2312"/>
          <w:color w:val="000000" w:themeColor="text1"/>
          <w:highlight w:val="none"/>
          <w:u w:val="single"/>
          <w14:textFill>
            <w14:solidFill>
              <w14:schemeClr w14:val="tx1"/>
            </w14:solidFill>
          </w14:textFill>
        </w:rPr>
        <w:t>实际工期损失、经济损失</w:t>
      </w:r>
      <w:r>
        <w:rPr>
          <w:rFonts w:hint="eastAsia" w:ascii="仿宋_GB2312" w:hAnsi="仿宋_GB2312" w:eastAsia="仿宋_GB2312" w:cs="仿宋_GB2312"/>
          <w:color w:val="000000" w:themeColor="text1"/>
          <w:highlight w:val="none"/>
          <w14:textFill>
            <w14:solidFill>
              <w14:schemeClr w14:val="tx1"/>
            </w14:solidFill>
          </w14:textFill>
        </w:rPr>
        <w:t>承担违约金。</w:t>
      </w:r>
    </w:p>
    <w:p w14:paraId="39C6B38F">
      <w:pPr>
        <w:pStyle w:val="12"/>
        <w:numPr>
          <w:ilvl w:val="0"/>
          <w:numId w:val="9"/>
        </w:numPr>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未经同意转让权利及义务：</w:t>
      </w:r>
    </w:p>
    <w:p w14:paraId="4CCCBBD8">
      <w:pPr>
        <w:pStyle w:val="12"/>
        <w:spacing w:line="48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未经甲方书面同意，乙方不得以对甲方享有之任何债权向其他第三方进行转让或提供任何形式之担保或保证等。</w:t>
      </w:r>
      <w:r>
        <w:rPr>
          <w:rFonts w:hint="eastAsia" w:ascii="仿宋_GB2312" w:hAnsi="仿宋_GB2312" w:eastAsia="仿宋_GB2312" w:cs="仿宋_GB2312"/>
          <w:color w:val="000000" w:themeColor="text1"/>
          <w:highlight w:val="none"/>
          <w14:textFill>
            <w14:solidFill>
              <w14:schemeClr w14:val="tx1"/>
            </w14:solidFill>
          </w14:textFill>
        </w:rPr>
        <w:t>乙方擅自转让或提供担保的，转让及对外提供担保无效，乙方应在违约转让债权之日起五日内，按照违约转让债权总额的5%向甲方支付违约金，逾期支付并应承担违约付款责任，同时债权转让不发生法律效力。经甲方同意转让合同权利，不解除乙方应承担本合同项下的义务和责任。</w:t>
      </w:r>
    </w:p>
    <w:p w14:paraId="3BC608A2">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101" w:name="_Hlk126834115"/>
      <w:bookmarkStart w:id="102" w:name="_Hlk127191104"/>
      <w:r>
        <w:rPr>
          <w:rFonts w:hint="eastAsia" w:ascii="仿宋_GB2312" w:hAnsi="仿宋_GB2312" w:eastAsia="仿宋_GB2312" w:cs="仿宋_GB2312"/>
          <w:b/>
          <w:bCs/>
          <w:color w:val="000000" w:themeColor="text1"/>
          <w:highlight w:val="none"/>
          <w14:textFill>
            <w14:solidFill>
              <w14:schemeClr w14:val="tx1"/>
            </w14:solidFill>
          </w14:textFill>
        </w:rPr>
        <w:t>7、</w:t>
      </w:r>
      <w:bookmarkStart w:id="103" w:name="_Hlk126829881"/>
      <w:r>
        <w:rPr>
          <w:rFonts w:hint="eastAsia" w:ascii="仿宋_GB2312" w:hAnsi="仿宋_GB2312" w:eastAsia="仿宋_GB2312" w:cs="仿宋_GB2312"/>
          <w:b/>
          <w:bCs/>
          <w:color w:val="000000" w:themeColor="text1"/>
          <w:highlight w:val="none"/>
          <w14:textFill>
            <w14:solidFill>
              <w14:schemeClr w14:val="tx1"/>
            </w14:solidFill>
          </w14:textFill>
        </w:rPr>
        <w:t>未履行结算义务：</w:t>
      </w:r>
    </w:p>
    <w:p w14:paraId="594B467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若发现乙方存在以下行为，视为违约并处以相应的罚款，在当期结算款中扣除（当期结算款额度不够的在下期结算款中扣除），并保留追究相应责任的权利。</w:t>
      </w:r>
    </w:p>
    <w:p w14:paraId="0E4C2EAD">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（1）伪造或虚开工程量数据，一经发现处以罚款2万元/次。</w:t>
      </w:r>
    </w:p>
    <w:p w14:paraId="3C98A435">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（2）伪造甲方管理人员签字盖章，一经发现处以罚款5万元/次。</w:t>
      </w:r>
    </w:p>
    <w:p w14:paraId="23A73675">
      <w:pPr>
        <w:pStyle w:val="12"/>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（3）伪造结算书或其他结算相关材料，一经发现处以罚款10万元/次</w:t>
      </w:r>
      <w:bookmarkEnd w:id="101"/>
      <w:r>
        <w:rPr>
          <w:rFonts w:hint="eastAsia" w:ascii="仿宋_GB2312" w:hAnsi="仿宋_GB2312" w:eastAsia="仿宋_GB2312" w:cs="仿宋_GB2312"/>
          <w:color w:val="000000" w:themeColor="text1"/>
          <w:highlight w:val="none"/>
          <w14:textFill>
            <w14:solidFill>
              <w14:schemeClr w14:val="tx1"/>
            </w14:solidFill>
          </w14:textFill>
        </w:rPr>
        <w:t>。</w:t>
      </w:r>
    </w:p>
    <w:bookmarkEnd w:id="102"/>
    <w:bookmarkEnd w:id="103"/>
    <w:p w14:paraId="61936361">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104" w:name="_Toc27514"/>
      <w:bookmarkStart w:id="105" w:name="_Toc18687"/>
      <w:bookmarkStart w:id="106" w:name="_Toc11521"/>
      <w:bookmarkStart w:id="107" w:name="_Toc4079"/>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供货知识产权存在瑕疵</w:t>
      </w:r>
      <w:r>
        <w:rPr>
          <w:rFonts w:hint="eastAsia" w:ascii="仿宋_GB2312" w:hAnsi="仿宋_GB2312" w:eastAsia="仿宋_GB2312" w:cs="仿宋_GB2312"/>
          <w:b/>
          <w:bCs/>
          <w:color w:val="000000" w:themeColor="text1"/>
          <w:highlight w:val="none"/>
          <w14:textFill>
            <w14:solidFill>
              <w14:schemeClr w14:val="tx1"/>
            </w14:solidFill>
          </w14:textFill>
        </w:rPr>
        <w:t>：</w:t>
      </w:r>
    </w:p>
    <w:p w14:paraId="595AD3D4">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若乙方提供</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设备</w:t>
      </w:r>
      <w:r>
        <w:rPr>
          <w:rFonts w:hint="eastAsia" w:ascii="仿宋_GB2312" w:hAnsi="仿宋_GB2312" w:eastAsia="仿宋_GB2312" w:cs="仿宋_GB2312"/>
          <w:color w:val="000000" w:themeColor="text1"/>
          <w:highlight w:val="none"/>
          <w14:textFill>
            <w14:solidFill>
              <w14:schemeClr w14:val="tx1"/>
            </w14:solidFill>
          </w14:textFill>
        </w:rPr>
        <w:t>侵犯他人知识产权（或专利权）导致他人向甲方索赔的，乙方承担由此给甲方造成的一切损失，包括但不限于甲方处理此纠纷发生的律师费、诉讼费、仲裁费、差旅费等一切损失。此外，乙方应向甲方支付合同价款</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20 </w:t>
      </w:r>
      <w:r>
        <w:rPr>
          <w:rFonts w:hint="eastAsia" w:ascii="仿宋_GB2312" w:hAnsi="仿宋_GB2312" w:eastAsia="仿宋_GB2312" w:cs="仿宋_GB2312"/>
          <w:color w:val="000000" w:themeColor="text1"/>
          <w:highlight w:val="none"/>
          <w14:textFill>
            <w14:solidFill>
              <w14:schemeClr w14:val="tx1"/>
            </w14:solidFill>
          </w14:textFill>
        </w:rPr>
        <w:t>％的违约金。甲方针对上述一切损失有权从乙方结算货款中扣除或依法追索。</w:t>
      </w:r>
    </w:p>
    <w:p w14:paraId="047BAC9A">
      <w:pPr>
        <w:pStyle w:val="12"/>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9、私运项目物资</w:t>
      </w:r>
    </w:p>
    <w:p w14:paraId="2402DB95">
      <w:pPr>
        <w:pStyle w:val="12"/>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若乙方私自运送甲方现场物资出场，乙方需向甲方支付所涉及物资原值【2】倍的违约金，情节严重的交由司法机关处理。</w:t>
      </w:r>
    </w:p>
    <w:p w14:paraId="12743594">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、未履行本协议约定义务：</w:t>
      </w:r>
    </w:p>
    <w:p w14:paraId="5A909C06">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乙方不履行本协议约定义务或中途终止履行合同（符合本合同约定的调价和合同解除条件除外）的，乙方按照项目实际工期损失、经济损失承担违约金。</w:t>
      </w:r>
    </w:p>
    <w:p w14:paraId="0219DC5F">
      <w:pPr>
        <w:pStyle w:val="12"/>
        <w:spacing w:line="400" w:lineRule="atLeast"/>
        <w:ind w:firstLine="482" w:firstLineChars="20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highlight w:val="none"/>
          <w14:textFill>
            <w14:solidFill>
              <w14:schemeClr w14:val="tx1"/>
            </w14:solidFill>
          </w14:textFill>
        </w:rPr>
        <w:t>、违约后的处置方式：</w:t>
      </w:r>
    </w:p>
    <w:p w14:paraId="2E905C89">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乙方违约后，甲方有权直接从乙方结算款或应付款中扣除违约金；甲方决定合同继续履行的，乙方除承担上述违约责任，仍应继续履行合同。</w:t>
      </w:r>
    </w:p>
    <w:p w14:paraId="3E541B6B">
      <w:pPr>
        <w:pStyle w:val="12"/>
        <w:numPr>
          <w:ilvl w:val="0"/>
          <w:numId w:val="8"/>
        </w:numPr>
        <w:spacing w:before="120" w:beforeLines="50" w:after="120" w:afterLines="50" w:line="480" w:lineRule="exact"/>
        <w:ind w:firstLine="482"/>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货物缺陷索赔</w:t>
      </w:r>
      <w:bookmarkEnd w:id="104"/>
      <w:bookmarkEnd w:id="105"/>
      <w:bookmarkEnd w:id="106"/>
      <w:bookmarkEnd w:id="107"/>
    </w:p>
    <w:p w14:paraId="208991F4">
      <w:pPr>
        <w:pStyle w:val="13"/>
        <w:spacing w:after="24" w:afterLines="10" w:line="480" w:lineRule="exac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1、质量缺陷索赔：</w:t>
      </w:r>
      <w:r>
        <w:rPr>
          <w:rFonts w:hint="eastAsia" w:ascii="仿宋_GB2312" w:hAnsi="仿宋_GB2312" w:eastAsia="仿宋_GB2312" w:cs="仿宋_GB2312"/>
          <w:color w:val="000000" w:themeColor="text1"/>
          <w:sz w:val="24"/>
          <w:highlight w:val="none"/>
          <w14:textFill>
            <w14:solidFill>
              <w14:schemeClr w14:val="tx1"/>
            </w14:solidFill>
          </w14:textFill>
        </w:rPr>
        <w:t>如甲方在各阶段的检验过程中发现</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因乙方原因造成所运输</w:t>
      </w:r>
      <w:r>
        <w:rPr>
          <w:rFonts w:hint="eastAsia" w:ascii="仿宋_GB2312" w:hAnsi="仿宋_GB2312" w:eastAsia="仿宋_GB2312" w:cs="仿宋_GB2312"/>
          <w:color w:val="000000" w:themeColor="text1"/>
          <w:sz w:val="24"/>
          <w:highlight w:val="none"/>
          <w14:textFill>
            <w14:solidFill>
              <w14:schemeClr w14:val="tx1"/>
            </w14:solidFill>
          </w14:textFill>
        </w:rPr>
        <w:t>货物不合格现象，可提出索赔。若选择索赔，甲方有权邀请当地有关质量监督管理部门或其他鉴定机构进行检验，并出具检验证书，可以据此向乙方提出索赔。</w:t>
      </w:r>
    </w:p>
    <w:p w14:paraId="2D5BFD2D">
      <w:pPr>
        <w:pStyle w:val="13"/>
        <w:spacing w:after="24" w:afterLines="10" w:line="480" w:lineRule="exac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2、缺陷索赔解决方式：</w:t>
      </w:r>
    </w:p>
    <w:p w14:paraId="05883717">
      <w:pPr>
        <w:pStyle w:val="13"/>
        <w:spacing w:after="24" w:afterLines="10" w:line="480" w:lineRule="exac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2.1乙方负担</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因乙方原因造成所运输货物不合格</w:t>
      </w:r>
      <w:r>
        <w:rPr>
          <w:rFonts w:hint="eastAsia" w:ascii="仿宋_GB2312" w:hAnsi="仿宋_GB2312" w:eastAsia="仿宋_GB2312" w:cs="仿宋_GB2312"/>
          <w:color w:val="000000" w:themeColor="text1"/>
          <w:sz w:val="24"/>
          <w:highlight w:val="none"/>
          <w14:textFill>
            <w14:solidFill>
              <w14:schemeClr w14:val="tx1"/>
            </w14:solidFill>
          </w14:textFill>
        </w:rPr>
        <w:t>发生的一切损失和费用，包括</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材料费、设备费、</w:t>
      </w:r>
      <w:r>
        <w:rPr>
          <w:rFonts w:hint="eastAsia" w:ascii="仿宋_GB2312" w:hAnsi="仿宋_GB2312" w:eastAsia="仿宋_GB2312" w:cs="仿宋_GB2312"/>
          <w:color w:val="000000" w:themeColor="text1"/>
          <w:sz w:val="24"/>
          <w:highlight w:val="none"/>
          <w14:textFill>
            <w14:solidFill>
              <w14:schemeClr w14:val="tx1"/>
            </w14:solidFill>
          </w14:textFill>
        </w:rPr>
        <w:t>利息、银行费用、运输和保险费、检验费、仓储和装卸费以及为保管和保护货物所发生的其它必要费用，比如工期延误损失导致业主向甲方的索赔等。</w:t>
      </w:r>
    </w:p>
    <w:p w14:paraId="5C4A44CA">
      <w:pPr>
        <w:pStyle w:val="13"/>
        <w:spacing w:after="24" w:afterLines="10" w:line="480" w:lineRule="exact"/>
        <w:ind w:right="0" w:firstLine="482" w:firstLineChars="200"/>
        <w:rPr>
          <w:rFonts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14:textFill>
            <w14:solidFill>
              <w14:schemeClr w14:val="tx1"/>
            </w14:solidFill>
          </w14:textFill>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14:textFill>
            <w14:solidFill>
              <w14:schemeClr w14:val="tx1"/>
            </w14:solidFill>
          </w14:textFill>
        </w:rPr>
        <w:t>甲方有权从乙方</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运输费</w:t>
      </w:r>
      <w:r>
        <w:rPr>
          <w:rFonts w:hint="eastAsia" w:ascii="仿宋_GB2312" w:hAnsi="仿宋_GB2312" w:eastAsia="仿宋_GB2312" w:cs="仿宋_GB2312"/>
          <w:b/>
          <w:bCs/>
          <w:color w:val="000000" w:themeColor="text1"/>
          <w:sz w:val="24"/>
          <w:highlight w:val="none"/>
          <w14:textFill>
            <w14:solidFill>
              <w14:schemeClr w14:val="tx1"/>
            </w14:solidFill>
          </w14:textFill>
        </w:rPr>
        <w:t>中扣除索赔金额，不足部分，甲方有权向乙方追偿。</w:t>
      </w:r>
    </w:p>
    <w:p w14:paraId="0F0663E8">
      <w:pPr>
        <w:pStyle w:val="12"/>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4、其他缺陷索赔：</w:t>
      </w:r>
      <w:r>
        <w:rPr>
          <w:rFonts w:hint="eastAsia" w:ascii="仿宋_GB2312" w:hAnsi="仿宋_GB2312" w:eastAsia="仿宋_GB2312" w:cs="仿宋_GB2312"/>
          <w:color w:val="000000" w:themeColor="text1"/>
          <w:highlight w:val="none"/>
          <w14:textFill>
            <w14:solidFill>
              <w14:schemeClr w14:val="tx1"/>
            </w14:solidFill>
          </w14:textFill>
        </w:rPr>
        <w:t>对于甲方提出的非质量缺陷的其他索赔通知，参照适用缺陷索赔规则。</w:t>
      </w:r>
    </w:p>
    <w:p w14:paraId="7ADFF011">
      <w:pPr>
        <w:pStyle w:val="12"/>
        <w:numPr>
          <w:ilvl w:val="0"/>
          <w:numId w:val="8"/>
        </w:numPr>
        <w:spacing w:before="120" w:beforeLines="50" w:after="120" w:afterLines="50" w:line="480" w:lineRule="exac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108" w:name="_Toc28598"/>
      <w:bookmarkStart w:id="109" w:name="_Toc21910"/>
      <w:bookmarkStart w:id="110" w:name="_Toc9520"/>
      <w:bookmarkStart w:id="111" w:name="_Toc29321"/>
      <w:r>
        <w:rPr>
          <w:rFonts w:hint="eastAsia" w:ascii="仿宋_GB2312" w:hAnsi="仿宋_GB2312" w:eastAsia="仿宋_GB2312" w:cs="仿宋_GB2312"/>
          <w:b/>
          <w:bCs/>
          <w:color w:val="000000" w:themeColor="text1"/>
          <w:highlight w:val="none"/>
          <w14:textFill>
            <w14:solidFill>
              <w14:schemeClr w14:val="tx1"/>
            </w14:solidFill>
          </w14:textFill>
        </w:rPr>
        <w:t>合同变更</w:t>
      </w:r>
      <w:bookmarkEnd w:id="108"/>
      <w:bookmarkEnd w:id="109"/>
      <w:bookmarkEnd w:id="110"/>
      <w:bookmarkEnd w:id="111"/>
    </w:p>
    <w:p w14:paraId="4034E041">
      <w:pPr>
        <w:pStyle w:val="12"/>
        <w:numPr>
          <w:ilvl w:val="0"/>
          <w:numId w:val="1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12" w:name="_Toc2588"/>
      <w:bookmarkStart w:id="113" w:name="_Toc18285"/>
      <w:r>
        <w:rPr>
          <w:rFonts w:hint="eastAsia" w:ascii="仿宋_GB2312" w:hAnsi="仿宋_GB2312" w:eastAsia="仿宋_GB2312" w:cs="仿宋_GB2312"/>
          <w:color w:val="000000" w:themeColor="text1"/>
          <w:highlight w:val="none"/>
          <w14:textFill>
            <w14:solidFill>
              <w14:schemeClr w14:val="tx1"/>
            </w14:solidFill>
          </w14:textFill>
        </w:rPr>
        <w:t>经双方协商一致可以对本合同条款进行修改、变更或增减，并成为本合同的补充文件，具有同等法律效力。</w:t>
      </w:r>
      <w:r>
        <w:rPr>
          <w:rFonts w:hint="eastAsia" w:ascii="仿宋_GB2312" w:hAnsi="仿宋_GB2312" w:eastAsia="仿宋_GB2312" w:cs="仿宋_GB2312"/>
          <w:b/>
          <w:bCs/>
          <w:color w:val="000000" w:themeColor="text1"/>
          <w:highlight w:val="none"/>
          <w14:textFill>
            <w14:solidFill>
              <w14:schemeClr w14:val="tx1"/>
            </w14:solidFill>
          </w14:textFill>
        </w:rPr>
        <w:t>此类补充文件需按本合同约定的生效条件加盖与本合同相同的印章才可视为成立并生效。</w:t>
      </w:r>
    </w:p>
    <w:p w14:paraId="7644AF18">
      <w:pPr>
        <w:pStyle w:val="12"/>
        <w:numPr>
          <w:ilvl w:val="0"/>
          <w:numId w:val="1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工程建设单位、监理单位及相关部门出台的相关规定文件、市场准入制度造成合同不能执行，甲方不承担任何责任。</w:t>
      </w:r>
    </w:p>
    <w:p w14:paraId="50EA81C0">
      <w:pPr>
        <w:pStyle w:val="12"/>
        <w:numPr>
          <w:ilvl w:val="0"/>
          <w:numId w:val="8"/>
        </w:numPr>
        <w:spacing w:before="120" w:beforeLines="50" w:after="120" w:afterLines="50" w:line="480" w:lineRule="exac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114" w:name="_Toc24300"/>
      <w:bookmarkStart w:id="115" w:name="_Toc16725"/>
      <w:r>
        <w:rPr>
          <w:rFonts w:hint="eastAsia" w:ascii="仿宋_GB2312" w:hAnsi="仿宋_GB2312" w:eastAsia="仿宋_GB2312" w:cs="仿宋_GB2312"/>
          <w:b/>
          <w:bCs/>
          <w:color w:val="000000" w:themeColor="text1"/>
          <w:highlight w:val="none"/>
          <w14:textFill>
            <w14:solidFill>
              <w14:schemeClr w14:val="tx1"/>
            </w14:solidFill>
          </w14:textFill>
        </w:rPr>
        <w:t>合同解除</w:t>
      </w:r>
      <w:bookmarkEnd w:id="112"/>
      <w:bookmarkEnd w:id="113"/>
      <w:bookmarkEnd w:id="114"/>
      <w:bookmarkEnd w:id="115"/>
    </w:p>
    <w:p w14:paraId="34B4BF62">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因不可抗力致使不能实现合同目的等原因，经甲、乙双方协商一致同意可解除合同。</w:t>
      </w:r>
    </w:p>
    <w:p w14:paraId="37578418">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如甲方与业主签订的总承包合同解除或终止，或因业主变更导致甲方无需</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租赁设备进行运输服务</w:t>
      </w:r>
      <w:r>
        <w:rPr>
          <w:rFonts w:hint="eastAsia" w:ascii="仿宋_GB2312" w:hAnsi="仿宋_GB2312" w:eastAsia="仿宋_GB2312" w:cs="仿宋_GB2312"/>
          <w:color w:val="000000" w:themeColor="text1"/>
          <w:highlight w:val="none"/>
          <w14:textFill>
            <w14:solidFill>
              <w14:schemeClr w14:val="tx1"/>
            </w14:solidFill>
          </w14:textFill>
        </w:rPr>
        <w:t>，则甲方以书面形式通知乙方终止本合同，甲方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为本合同</w:t>
      </w:r>
      <w:r>
        <w:rPr>
          <w:rFonts w:hint="eastAsia" w:ascii="仿宋_GB2312" w:hAnsi="仿宋_GB2312" w:eastAsia="仿宋_GB2312" w:cs="仿宋_GB2312"/>
          <w:color w:val="000000" w:themeColor="text1"/>
          <w:highlight w:val="none"/>
          <w14:textFill>
            <w14:solidFill>
              <w14:schemeClr w14:val="tx1"/>
            </w14:solidFill>
          </w14:textFill>
        </w:rPr>
        <w:t>定制化加工半成品费用双方协商处理，非定制化费用由乙方承担。</w:t>
      </w:r>
    </w:p>
    <w:p w14:paraId="4B1A2938">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3、乙方具有下列事由之一的，甲方可以单方全部解除合同或部分解除合同或终止合同，乙方已收款项全部无条件返还：</w:t>
      </w:r>
    </w:p>
    <w:p w14:paraId="53B4D166">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3.1乙方所提供的</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设备、运输车辆</w:t>
      </w:r>
      <w:r>
        <w:rPr>
          <w:rFonts w:hint="eastAsia" w:ascii="仿宋_GB2312" w:hAnsi="仿宋_GB2312" w:eastAsia="仿宋_GB2312" w:cs="仿宋_GB2312"/>
          <w:color w:val="000000" w:themeColor="text1"/>
          <w:highlight w:val="none"/>
          <w14:textFill>
            <w14:solidFill>
              <w14:schemeClr w14:val="tx1"/>
            </w14:solidFill>
          </w14:textFill>
        </w:rPr>
        <w:t>无法通过相关部门（如质监、监理、设计方、甲方及当地相关政府部门等）验收合格；</w:t>
      </w:r>
    </w:p>
    <w:p w14:paraId="3A310027">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3.2在</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运输过程中</w:t>
      </w:r>
      <w:r>
        <w:rPr>
          <w:rFonts w:hint="eastAsia" w:ascii="仿宋_GB2312" w:hAnsi="仿宋_GB2312" w:eastAsia="仿宋_GB2312" w:cs="仿宋_GB2312"/>
          <w:color w:val="000000" w:themeColor="text1"/>
          <w:highlight w:val="none"/>
          <w14:textFill>
            <w14:solidFill>
              <w14:schemeClr w14:val="tx1"/>
            </w14:solidFill>
          </w14:textFill>
        </w:rPr>
        <w:t>造成人员、财产受到损害的；</w:t>
      </w:r>
    </w:p>
    <w:p w14:paraId="63AB3B58">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3.3乙方将本合同全部项下权利义务或部分转让的；</w:t>
      </w:r>
    </w:p>
    <w:p w14:paraId="0A347026">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3.4未按本合同约定时间</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提供运输服务</w:t>
      </w:r>
      <w:r>
        <w:rPr>
          <w:rFonts w:hint="eastAsia" w:ascii="仿宋_GB2312" w:hAnsi="仿宋_GB2312" w:eastAsia="仿宋_GB2312" w:cs="仿宋_GB2312"/>
          <w:color w:val="000000" w:themeColor="text1"/>
          <w:highlight w:val="none"/>
          <w14:textFill>
            <w14:solidFill>
              <w14:schemeClr w14:val="tx1"/>
            </w14:solidFill>
          </w14:textFill>
        </w:rPr>
        <w:t>累计延误达10日历天；</w:t>
      </w:r>
    </w:p>
    <w:p w14:paraId="05E11D35">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3.5因</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设备</w:t>
      </w:r>
      <w:r>
        <w:rPr>
          <w:rFonts w:hint="eastAsia" w:ascii="仿宋_GB2312" w:hAnsi="仿宋_GB2312" w:eastAsia="仿宋_GB2312" w:cs="仿宋_GB2312"/>
          <w:color w:val="000000" w:themeColor="text1"/>
          <w:highlight w:val="none"/>
          <w14:textFill>
            <w14:solidFill>
              <w14:schemeClr w14:val="tx1"/>
            </w14:solidFill>
          </w14:textFill>
        </w:rPr>
        <w:t>质量未达到本合同第二条技术标准及质量要求和国家、地方政府相关部门的相关规范和要求，在甲方要求时间内无法更换或补充至甲方要求；</w:t>
      </w:r>
    </w:p>
    <w:p w14:paraId="3E6BC031">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3.6甲方发现</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设备</w:t>
      </w:r>
      <w:r>
        <w:rPr>
          <w:rFonts w:hint="eastAsia" w:ascii="仿宋_GB2312" w:hAnsi="仿宋_GB2312" w:eastAsia="仿宋_GB2312" w:cs="仿宋_GB2312"/>
          <w:color w:val="000000" w:themeColor="text1"/>
          <w:highlight w:val="none"/>
          <w14:textFill>
            <w14:solidFill>
              <w14:schemeClr w14:val="tx1"/>
            </w14:solidFill>
          </w14:textFill>
        </w:rPr>
        <w:t>不能满足本合同约定的质量标准时，或在本合同履行过程中，乙方未按甲方的要求及时进行整改的；</w:t>
      </w:r>
    </w:p>
    <w:p w14:paraId="736EFA20">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3.7在本合同履行过程中乙方漠视甲方、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建设单位、监理单位</w:t>
      </w:r>
      <w:r>
        <w:rPr>
          <w:rFonts w:hint="eastAsia" w:ascii="仿宋_GB2312" w:hAnsi="仿宋_GB2312" w:eastAsia="仿宋_GB2312" w:cs="仿宋_GB2312"/>
          <w:color w:val="000000" w:themeColor="text1"/>
          <w:highlight w:val="none"/>
          <w14:textFill>
            <w14:solidFill>
              <w14:schemeClr w14:val="tx1"/>
            </w14:solidFill>
          </w14:textFill>
        </w:rPr>
        <w:t>指令的或未按甲方、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建设单位、监理单位</w:t>
      </w:r>
      <w:r>
        <w:rPr>
          <w:rFonts w:hint="eastAsia" w:ascii="仿宋_GB2312" w:hAnsi="仿宋_GB2312" w:eastAsia="仿宋_GB2312" w:cs="仿宋_GB2312"/>
          <w:color w:val="000000" w:themeColor="text1"/>
          <w:highlight w:val="none"/>
          <w14:textFill>
            <w14:solidFill>
              <w14:schemeClr w14:val="tx1"/>
            </w14:solidFill>
          </w14:textFill>
        </w:rPr>
        <w:t>指令执行的；</w:t>
      </w:r>
    </w:p>
    <w:p w14:paraId="4318354E">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3.9其他法律规定可解除合同的事由。</w:t>
      </w:r>
    </w:p>
    <w:p w14:paraId="0D4C980A">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甲方因本条规定的事项行使权利所发生的合理费用，包括但不限于诉讼费、鉴定费、律师费等全部由乙方承担。</w:t>
      </w:r>
    </w:p>
    <w:p w14:paraId="63C5ED6F">
      <w:pPr>
        <w:pStyle w:val="12"/>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4、合同解除或终止后，乙方应当积极配合甲方及时办理合同结算及支付手续，否则甲方有权单方办理结算，视为乙方认可甲方审定的结算额。</w:t>
      </w:r>
    </w:p>
    <w:p w14:paraId="2FE57645">
      <w:pPr>
        <w:pStyle w:val="12"/>
        <w:numPr>
          <w:ilvl w:val="0"/>
          <w:numId w:val="8"/>
        </w:numPr>
        <w:spacing w:before="120" w:beforeLines="50" w:after="120" w:afterLines="50" w:line="480" w:lineRule="exac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116" w:name="_Toc24603"/>
      <w:bookmarkStart w:id="117" w:name="_Toc23596"/>
      <w:bookmarkStart w:id="118" w:name="_Toc15757"/>
      <w:bookmarkStart w:id="119" w:name="_Toc22933"/>
      <w:r>
        <w:rPr>
          <w:rFonts w:hint="eastAsia" w:ascii="仿宋_GB2312" w:hAnsi="仿宋_GB2312" w:eastAsia="仿宋_GB2312" w:cs="仿宋_GB2312"/>
          <w:b/>
          <w:bCs/>
          <w:color w:val="000000" w:themeColor="text1"/>
          <w:highlight w:val="none"/>
          <w14:textFill>
            <w14:solidFill>
              <w14:schemeClr w14:val="tx1"/>
            </w14:solidFill>
          </w14:textFill>
        </w:rPr>
        <w:t>不可抗力</w:t>
      </w:r>
      <w:bookmarkEnd w:id="116"/>
      <w:bookmarkEnd w:id="117"/>
      <w:bookmarkEnd w:id="118"/>
      <w:bookmarkEnd w:id="119"/>
    </w:p>
    <w:p w14:paraId="5844E919">
      <w:pPr>
        <w:pStyle w:val="12"/>
        <w:numPr>
          <w:ilvl w:val="0"/>
          <w:numId w:val="11"/>
        </w:numPr>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不可抗力的确认：</w:t>
      </w:r>
    </w:p>
    <w:p w14:paraId="3CA4821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73C6F340">
      <w:pPr>
        <w:pStyle w:val="12"/>
        <w:numPr>
          <w:ilvl w:val="0"/>
          <w:numId w:val="11"/>
        </w:numPr>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不可抗力的通知：</w:t>
      </w:r>
    </w:p>
    <w:p w14:paraId="08693AB1">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2.1不可抗力事件发生后，乙方应立即通知甲方，并在力所能及的条件下迅速采取措施，尽力减少损失，甲方应协助乙方采取措施。若因乙方未能尽力挽救，导致损失扩大的，由乙方承担全部责任。</w:t>
      </w:r>
    </w:p>
    <w:p w14:paraId="236BA832">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2.2不可抗力事件结束后14天内，乙方应向甲方提交清理和修复费用的正式报告及有关资料。</w:t>
      </w:r>
    </w:p>
    <w:p w14:paraId="5ABE2023">
      <w:pPr>
        <w:pStyle w:val="12"/>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3、不可抗力风险的承担</w:t>
      </w:r>
    </w:p>
    <w:p w14:paraId="35006B9F">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3.1不可抗力导致的人员伤亡、财产损失、费用增加和（或）作业期限延误等后果，由合同当事人按以下原则承担：</w:t>
      </w:r>
    </w:p>
    <w:p w14:paraId="16E34ACA">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①乙方施工设备的损坏由乙方承担；</w:t>
      </w:r>
    </w:p>
    <w:p w14:paraId="168B351D">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②甲方和乙方承担各自人员伤亡和财产的损失；</w:t>
      </w:r>
    </w:p>
    <w:p w14:paraId="7BC0E874">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③因不可抗力影响乙方履行合同约定的义务，已经引起或将引起工期延误的，应当顺延工期，由此导致乙方停工的费用损失由乙方承担；因不可抗力引起或将引起工期延误，甲方要求赶工的，由此增加的赶工费用由甲方承担；</w:t>
      </w:r>
    </w:p>
    <w:p w14:paraId="7064C873">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④乙方在停工期间按照甲方要求照管和清理分包工程的费用由甲方承担。不可抗力发生后，合同当事人均应采取措施尽量避免和减少损失的扩大，任何一方当事人没有采取有效措施导致损失扩大的，应对扩大的损失承担责任。</w:t>
      </w:r>
    </w:p>
    <w:p w14:paraId="4F1EFC07">
      <w:pPr>
        <w:pStyle w:val="12"/>
        <w:spacing w:line="480" w:lineRule="exac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4、因不可抗力解除合同</w:t>
      </w:r>
    </w:p>
    <w:p w14:paraId="5E37FB9D">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因不可抗力导致</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本</w:t>
      </w:r>
      <w:r>
        <w:rPr>
          <w:rFonts w:hint="eastAsia" w:ascii="仿宋_GB2312" w:hAnsi="仿宋_GB2312" w:eastAsia="仿宋_GB2312" w:cs="仿宋_GB2312"/>
          <w:color w:val="000000" w:themeColor="text1"/>
          <w:highlight w:val="none"/>
          <w14:textFill>
            <w14:solidFill>
              <w14:schemeClr w14:val="tx1"/>
            </w14:solidFill>
          </w14:textFill>
        </w:rPr>
        <w:t>合同无法履行连续超过84天或累计超过140天的，甲方和乙方均有权解除</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本</w:t>
      </w:r>
      <w:r>
        <w:rPr>
          <w:rFonts w:hint="eastAsia" w:ascii="仿宋_GB2312" w:hAnsi="仿宋_GB2312" w:eastAsia="仿宋_GB2312" w:cs="仿宋_GB2312"/>
          <w:color w:val="000000" w:themeColor="text1"/>
          <w:highlight w:val="none"/>
          <w14:textFill>
            <w14:solidFill>
              <w14:schemeClr w14:val="tx1"/>
            </w14:solidFill>
          </w14:textFill>
        </w:rPr>
        <w:t>合同。</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本</w:t>
      </w:r>
      <w:r>
        <w:rPr>
          <w:rFonts w:hint="eastAsia" w:ascii="仿宋_GB2312" w:hAnsi="仿宋_GB2312" w:eastAsia="仿宋_GB2312" w:cs="仿宋_GB2312"/>
          <w:color w:val="000000" w:themeColor="text1"/>
          <w:highlight w:val="none"/>
          <w14:textFill>
            <w14:solidFill>
              <w14:schemeClr w14:val="tx1"/>
            </w14:solidFill>
          </w14:textFill>
        </w:rPr>
        <w:t>合同解除后，甲方有权暂停对乙方的付款，直到双方就退场达成一致。</w:t>
      </w:r>
    </w:p>
    <w:p w14:paraId="34685CE9">
      <w:pPr>
        <w:pStyle w:val="12"/>
        <w:numPr>
          <w:ilvl w:val="0"/>
          <w:numId w:val="8"/>
        </w:numPr>
        <w:spacing w:before="120" w:beforeLines="50" w:after="120" w:afterLines="50" w:line="480" w:lineRule="exac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120" w:name="_Toc4470"/>
      <w:bookmarkStart w:id="121" w:name="_Toc18501"/>
      <w:bookmarkStart w:id="122" w:name="_Toc29929"/>
      <w:bookmarkStart w:id="123" w:name="_Toc3034"/>
      <w:r>
        <w:rPr>
          <w:rFonts w:hint="eastAsia" w:ascii="仿宋_GB2312" w:hAnsi="仿宋_GB2312" w:eastAsia="仿宋_GB2312" w:cs="仿宋_GB2312"/>
          <w:b/>
          <w:bCs/>
          <w:color w:val="000000" w:themeColor="text1"/>
          <w:highlight w:val="none"/>
          <w14:textFill>
            <w14:solidFill>
              <w14:schemeClr w14:val="tx1"/>
            </w14:solidFill>
          </w14:textFill>
        </w:rPr>
        <w:t>争议解决</w:t>
      </w:r>
      <w:bookmarkEnd w:id="120"/>
      <w:bookmarkEnd w:id="121"/>
      <w:bookmarkEnd w:id="122"/>
      <w:bookmarkEnd w:id="123"/>
    </w:p>
    <w:p w14:paraId="102D62B6">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争议和解：</w:t>
      </w:r>
      <w:r>
        <w:rPr>
          <w:rFonts w:hint="eastAsia" w:ascii="仿宋_GB2312" w:hAnsi="仿宋_GB2312" w:eastAsia="仿宋_GB2312" w:cs="仿宋_GB2312"/>
          <w:color w:val="000000" w:themeColor="text1"/>
          <w:highlight w:val="none"/>
          <w14:textFill>
            <w14:solidFill>
              <w14:schemeClr w14:val="tx1"/>
            </w14:solidFill>
          </w14:textFill>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50C52E3B">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在对方收到上述通知之日起3个月为双方和解期限。在和解期限内，若双方达成和解协议的，双方的权利义务按照和解协议履行；若未达成和解协议的，任何一方可采取本条第2款约定的争议解决方式。</w:t>
      </w:r>
    </w:p>
    <w:p w14:paraId="51C26313">
      <w:pPr>
        <w:pStyle w:val="12"/>
        <w:spacing w:line="400" w:lineRule="atLeast"/>
        <w:ind w:firstLine="482" w:firstLineChars="200"/>
        <w:jc w:val="both"/>
        <w:rPr>
          <w:rFonts w:hint="eastAsia" w:ascii="仿宋_GB2312" w:hAnsi="仿宋_GB2312" w:eastAsia="仿宋_GB2312" w:cs="仿宋_GB2312"/>
          <w:b/>
          <w:bCs/>
          <w:color w:val="000000" w:themeColor="text1"/>
          <w:highlight w:val="none"/>
          <w:lang w:val="en-US" w:eastAsia="zh-CN"/>
          <w14:textFill>
            <w14:solidFill>
              <w14:schemeClr w14:val="tx1"/>
            </w14:solidFill>
          </w14:textFill>
        </w:rPr>
      </w:pPr>
      <w:bookmarkStart w:id="124" w:name="_Hlk127194929"/>
      <w:bookmarkStart w:id="125" w:name="_Hlk126830485"/>
      <w:bookmarkStart w:id="126" w:name="_Hlk126770481"/>
      <w:bookmarkStart w:id="127" w:name="_Toc31739"/>
      <w:bookmarkStart w:id="128" w:name="_Toc26424"/>
      <w:bookmarkStart w:id="129" w:name="_Toc7991"/>
      <w:bookmarkStart w:id="130" w:name="_Toc5236"/>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2、争议仲裁:</w:t>
      </w:r>
    </w:p>
    <w:p w14:paraId="4E623619">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2.1因本合同引起或与之相关任何争议、纠纷或权利主张，和解不成且已超过和解期的,双方同意提交石家庄仲裁委员会裁决。</w:t>
      </w: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none"/>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124"/>
      <w:bookmarkEnd w:id="125"/>
      <w:r>
        <w:rPr>
          <w:rFonts w:hint="eastAsia" w:ascii="仿宋_GB2312" w:hAnsi="仿宋_GB2312" w:eastAsia="仿宋_GB2312" w:cs="仿宋_GB2312"/>
          <w:b/>
          <w:bCs/>
          <w:color w:val="000000" w:themeColor="text1"/>
          <w:highlight w:val="none"/>
          <w14:textFill>
            <w14:solidFill>
              <w14:schemeClr w14:val="tx1"/>
            </w14:solidFill>
          </w14:textFill>
        </w:rPr>
        <w:t>。</w:t>
      </w:r>
      <w:bookmarkEnd w:id="126"/>
    </w:p>
    <w:p w14:paraId="28406442">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14:textFill>
            <w14:solidFill>
              <w14:schemeClr w14:val="tx1"/>
            </w14:solidFill>
          </w14:textFill>
        </w:rPr>
        <w:t>因仲裁产生的各项</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合理</w:t>
      </w:r>
      <w:r>
        <w:rPr>
          <w:rFonts w:hint="eastAsia" w:ascii="仿宋_GB2312" w:hAnsi="仿宋_GB2312" w:eastAsia="仿宋_GB2312" w:cs="仿宋_GB2312"/>
          <w:b/>
          <w:bCs/>
          <w:color w:val="000000" w:themeColor="text1"/>
          <w:highlight w:val="none"/>
          <w14:textFill>
            <w14:solidFill>
              <w14:schemeClr w14:val="tx1"/>
            </w14:solidFill>
          </w14:textFill>
        </w:rPr>
        <w:t>费用由</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双方自行</w:t>
      </w:r>
      <w:r>
        <w:rPr>
          <w:rFonts w:hint="eastAsia" w:ascii="仿宋_GB2312" w:hAnsi="仿宋_GB2312" w:eastAsia="仿宋_GB2312" w:cs="仿宋_GB2312"/>
          <w:b/>
          <w:bCs/>
          <w:color w:val="000000" w:themeColor="text1"/>
          <w:highlight w:val="none"/>
          <w14:textFill>
            <w14:solidFill>
              <w14:schemeClr w14:val="tx1"/>
            </w14:solidFill>
          </w14:textFill>
        </w:rPr>
        <w:t>承担，包括但不限于</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案件受理费、</w:t>
      </w:r>
      <w:r>
        <w:rPr>
          <w:rFonts w:hint="eastAsia" w:ascii="仿宋_GB2312" w:hAnsi="仿宋_GB2312" w:eastAsia="仿宋_GB2312" w:cs="仿宋_GB2312"/>
          <w:b/>
          <w:bCs/>
          <w:color w:val="000000" w:themeColor="text1"/>
          <w:highlight w:val="none"/>
          <w14:textFill>
            <w14:solidFill>
              <w14:schemeClr w14:val="tx1"/>
            </w14:solidFill>
          </w14:textFill>
        </w:rPr>
        <w:t>仲裁费、律师费、保全费、保全保险费、差旅费、公证费及鉴定费等因仲裁引发的费用。</w:t>
      </w:r>
    </w:p>
    <w:p w14:paraId="754D17C7">
      <w:pPr>
        <w:pStyle w:val="12"/>
        <w:numPr>
          <w:ilvl w:val="0"/>
          <w:numId w:val="8"/>
        </w:numPr>
        <w:spacing w:before="120" w:beforeLines="50" w:after="120" w:afterLines="50" w:line="480" w:lineRule="exact"/>
        <w:ind w:firstLine="482"/>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保密义务</w:t>
      </w:r>
      <w:bookmarkEnd w:id="127"/>
      <w:bookmarkEnd w:id="128"/>
      <w:bookmarkEnd w:id="129"/>
      <w:bookmarkEnd w:id="130"/>
    </w:p>
    <w:p w14:paraId="7EE6BE10">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1252DC99">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2、除合同另有约定以外，本合同列明的所有资料始终为甲方财产，若甲方要求，乙方应于其合同义务履行完毕以后退还甲方相应资料（包括所有副本）。</w:t>
      </w:r>
    </w:p>
    <w:p w14:paraId="2561EF2C">
      <w:pPr>
        <w:pStyle w:val="12"/>
        <w:numPr>
          <w:ilvl w:val="0"/>
          <w:numId w:val="8"/>
        </w:numPr>
        <w:spacing w:before="120" w:beforeLines="50" w:after="120" w:afterLines="50" w:line="480" w:lineRule="exac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131" w:name="_Toc26353"/>
      <w:bookmarkStart w:id="132" w:name="_Toc12269"/>
      <w:bookmarkStart w:id="133" w:name="_Toc12970"/>
      <w:bookmarkStart w:id="134" w:name="_Toc25103"/>
      <w:r>
        <w:rPr>
          <w:rFonts w:hint="eastAsia" w:ascii="仿宋_GB2312" w:hAnsi="仿宋_GB2312" w:eastAsia="仿宋_GB2312" w:cs="仿宋_GB2312"/>
          <w:b/>
          <w:bCs/>
          <w:color w:val="000000" w:themeColor="text1"/>
          <w:highlight w:val="none"/>
          <w14:textFill>
            <w14:solidFill>
              <w14:schemeClr w14:val="tx1"/>
            </w14:solidFill>
          </w14:textFill>
        </w:rPr>
        <w:t>其他条款</w:t>
      </w:r>
      <w:bookmarkEnd w:id="131"/>
      <w:bookmarkEnd w:id="132"/>
    </w:p>
    <w:p w14:paraId="6B7E993E">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本合同与甲方招标文件、乙方投标文件及承诺有相抵触之处，均以本合同条款为准。</w:t>
      </w:r>
    </w:p>
    <w:p w14:paraId="3C48D00F">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2、本合同附件是本合同有效组成部分，与本合同具有同等效力。</w:t>
      </w:r>
    </w:p>
    <w:p w14:paraId="1C7BC8C8">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3、本合同未尽事宜，按《中华人民共和国民法典》有关规定执行。</w:t>
      </w:r>
    </w:p>
    <w:p w14:paraId="13E2A77E">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bookmarkStart w:id="135" w:name="_Toc7207"/>
      <w:r>
        <w:rPr>
          <w:rFonts w:hint="eastAsia" w:ascii="仿宋_GB2312" w:hAnsi="仿宋_GB2312" w:eastAsia="仿宋_GB2312" w:cs="仿宋_GB2312"/>
          <w:color w:val="000000" w:themeColor="text1"/>
          <w:highlight w:val="none"/>
          <w14:textFill>
            <w14:solidFill>
              <w14:schemeClr w14:val="tx1"/>
            </w14:solidFill>
          </w14:textFill>
        </w:rPr>
        <w:t>4、其他约定</w:t>
      </w:r>
      <w:permStart w:id="8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82"/>
      <w:r>
        <w:rPr>
          <w:rFonts w:hint="eastAsia" w:ascii="仿宋_GB2312" w:hAnsi="仿宋_GB2312" w:eastAsia="仿宋_GB2312" w:cs="仿宋_GB2312"/>
          <w:color w:val="000000" w:themeColor="text1"/>
          <w:highlight w:val="none"/>
          <w14:textFill>
            <w14:solidFill>
              <w14:schemeClr w14:val="tx1"/>
            </w14:solidFill>
          </w14:textFill>
        </w:rPr>
        <w:t xml:space="preserve"> 。</w:t>
      </w:r>
    </w:p>
    <w:p w14:paraId="3B9744BD">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以下无正文</w:t>
      </w:r>
      <w:bookmarkEnd w:id="135"/>
      <w:r>
        <w:rPr>
          <w:rFonts w:hint="eastAsia" w:ascii="仿宋_GB2312" w:hAnsi="仿宋_GB2312" w:eastAsia="仿宋_GB2312" w:cs="仿宋_GB2312"/>
          <w:color w:val="000000" w:themeColor="text1"/>
          <w:highlight w:val="none"/>
          <w14:textFill>
            <w14:solidFill>
              <w14:schemeClr w14:val="tx1"/>
            </w14:solidFill>
          </w14:textFill>
        </w:rPr>
        <w:t>，手写条款无效。</w:t>
      </w:r>
      <w:bookmarkEnd w:id="133"/>
      <w:bookmarkEnd w:id="134"/>
    </w:p>
    <w:p w14:paraId="0439A78D">
      <w:pPr>
        <w:rPr>
          <w:highlight w:val="none"/>
        </w:rPr>
      </w:pPr>
    </w:p>
    <w:p w14:paraId="3C1B630C">
      <w:pPr>
        <w:pStyle w:val="4"/>
        <w:rPr>
          <w:highlight w:val="none"/>
        </w:rPr>
      </w:pPr>
    </w:p>
    <w:p w14:paraId="1E8D30A7">
      <w:pPr>
        <w:pStyle w:val="12"/>
        <w:spacing w:line="400" w:lineRule="atLeast"/>
        <w:ind w:firstLine="480" w:firstLineChars="200"/>
        <w:jc w:val="both"/>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甲  方：                               乙  方：</w:t>
      </w:r>
    </w:p>
    <w:p w14:paraId="0F87816E">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1461859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74D91CC6">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EF163BF">
      <w:pPr>
        <w:pStyle w:val="4"/>
        <w:rPr>
          <w:highlight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w:t>
      </w:r>
    </w:p>
    <w:p w14:paraId="139F2F34">
      <w:pPr>
        <w:pStyle w:val="4"/>
        <w:rPr>
          <w:highlight w:val="none"/>
        </w:rPr>
      </w:pPr>
    </w:p>
    <w:sectPr>
      <w:pgSz w:w="11906" w:h="16838"/>
      <w:pgMar w:top="1440" w:right="1800" w:bottom="1440" w:left="1800" w:header="850" w:footer="97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5BE0A">
    <w:pPr>
      <w:tabs>
        <w:tab w:val="center" w:pos="4153"/>
        <w:tab w:val="right" w:pos="8306"/>
      </w:tabs>
      <w:snapToGrid w:val="0"/>
      <w:jc w:val="center"/>
      <w:rPr>
        <w:rFonts w:ascii="仿宋" w:hAnsi="仿宋" w:eastAsia="仿宋" w:cs="仿宋"/>
        <w:sz w:val="24"/>
        <w:szCs w:val="36"/>
      </w:rPr>
    </w:pPr>
  </w:p>
  <w:p w14:paraId="25478F70">
    <w:pPr>
      <w:tabs>
        <w:tab w:val="center" w:pos="4153"/>
        <w:tab w:val="right" w:pos="8306"/>
      </w:tabs>
      <w:snapToGrid w:val="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614E8">
    <w:pPr>
      <w:tabs>
        <w:tab w:val="center" w:pos="4153"/>
        <w:tab w:val="right" w:pos="8306"/>
      </w:tabs>
      <w:snapToGrid w:val="0"/>
      <w:jc w:val="center"/>
      <w:rPr>
        <w:rFonts w:ascii="仿宋" w:hAnsi="仿宋" w:eastAsia="仿宋" w:cs="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0BA16">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80F3A">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E24A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D3E24A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00FF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1C528">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7A91C528">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48BA8">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438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7" name="图片 7"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3EB6CF7E">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2B83">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r>
      <w:rPr>
        <w:rFonts w:hint="eastAsia"/>
        <w:sz w:val="18"/>
      </w:rPr>
      <w:drawing>
        <wp:anchor distT="0" distB="0" distL="114300" distR="114300" simplePos="0" relativeHeight="251660288" behindDoc="0" locked="0" layoutInCell="1" allowOverlap="1">
          <wp:simplePos x="0" y="0"/>
          <wp:positionH relativeFrom="column">
            <wp:posOffset>-377825</wp:posOffset>
          </wp:positionH>
          <wp:positionV relativeFrom="paragraph">
            <wp:posOffset>389890</wp:posOffset>
          </wp:positionV>
          <wp:extent cx="2520315" cy="314325"/>
          <wp:effectExtent l="0" t="0" r="13335" b="9525"/>
          <wp:wrapSquare wrapText="bothSides"/>
          <wp:docPr id="23" name="图片 23"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6"/>
                  <pic:cNvPicPr>
                    <a:picLocks noChangeAspect="1"/>
                  </pic:cNvPicPr>
                </pic:nvPicPr>
                <pic:blipFill>
                  <a:blip r:embed="rId1"/>
                  <a:stretch>
                    <a:fillRect/>
                  </a:stretch>
                </pic:blipFill>
                <pic:spPr>
                  <a:xfrm>
                    <a:off x="0" y="0"/>
                    <a:ext cx="2520315" cy="3143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B1DEB">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4989B315">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B0B4A">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643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5" name="图片 5"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sz w:val="18"/>
        <w:szCs w:val="24"/>
        <w:lang w:val="en-US" w:eastAsia="zh-CN"/>
      </w:rPr>
      <w:t xml:space="preserve">                                                               </w:t>
    </w:r>
    <w:r>
      <w:rPr>
        <w:rFonts w:hint="eastAsia"/>
        <w:sz w:val="18"/>
        <w:szCs w:val="24"/>
      </w:rPr>
      <w:t xml:space="preserve">  </w:t>
    </w:r>
    <w:r>
      <w:rPr>
        <w:rFonts w:hint="eastAsia" w:ascii="宋体" w:hAnsi="宋体" w:cs="宋体"/>
        <w:b/>
        <w:color w:val="000000"/>
        <w:szCs w:val="21"/>
      </w:rPr>
      <w:t>CSCEC</w:t>
    </w:r>
  </w:p>
  <w:p w14:paraId="7BE785E7">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1FB23">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7456"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6" name="图片 6"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2E5F165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988A0"/>
    <w:multiLevelType w:val="singleLevel"/>
    <w:tmpl w:val="CDF988A0"/>
    <w:lvl w:ilvl="0" w:tentative="0">
      <w:start w:val="1"/>
      <w:numFmt w:val="decimal"/>
      <w:suff w:val="nothing"/>
      <w:lvlText w:val="%1、"/>
      <w:lvlJc w:val="left"/>
    </w:lvl>
  </w:abstractNum>
  <w:abstractNum w:abstractNumId="1">
    <w:nsid w:val="D6CC21DA"/>
    <w:multiLevelType w:val="singleLevel"/>
    <w:tmpl w:val="D6CC21DA"/>
    <w:lvl w:ilvl="0" w:tentative="0">
      <w:start w:val="1"/>
      <w:numFmt w:val="decimal"/>
      <w:suff w:val="nothing"/>
      <w:lvlText w:val="%1、"/>
      <w:lvlJc w:val="left"/>
    </w:lvl>
  </w:abstractNum>
  <w:abstractNum w:abstractNumId="2">
    <w:nsid w:val="DA2CD928"/>
    <w:multiLevelType w:val="singleLevel"/>
    <w:tmpl w:val="DA2CD928"/>
    <w:lvl w:ilvl="0" w:tentative="0">
      <w:start w:val="1"/>
      <w:numFmt w:val="decimal"/>
      <w:suff w:val="nothing"/>
      <w:lvlText w:val="%1、"/>
      <w:lvlJc w:val="left"/>
    </w:lvl>
  </w:abstractNum>
  <w:abstractNum w:abstractNumId="3">
    <w:nsid w:val="EEFD7662"/>
    <w:multiLevelType w:val="singleLevel"/>
    <w:tmpl w:val="EEFD7662"/>
    <w:lvl w:ilvl="0" w:tentative="0">
      <w:start w:val="1"/>
      <w:numFmt w:val="decimal"/>
      <w:suff w:val="nothing"/>
      <w:lvlText w:val="%1、"/>
      <w:lvlJc w:val="left"/>
    </w:lvl>
  </w:abstractNum>
  <w:abstractNum w:abstractNumId="4">
    <w:nsid w:val="EFACCE70"/>
    <w:multiLevelType w:val="singleLevel"/>
    <w:tmpl w:val="EFACCE70"/>
    <w:lvl w:ilvl="0" w:tentative="0">
      <w:start w:val="1"/>
      <w:numFmt w:val="chineseCounting"/>
      <w:suff w:val="nothing"/>
      <w:lvlText w:val="%1、"/>
      <w:lvlJc w:val="left"/>
      <w:pPr>
        <w:ind w:left="-62"/>
      </w:pPr>
      <w:rPr>
        <w:rFonts w:hint="eastAsia"/>
      </w:rPr>
    </w:lvl>
  </w:abstractNum>
  <w:abstractNum w:abstractNumId="5">
    <w:nsid w:val="F4B4D53B"/>
    <w:multiLevelType w:val="singleLevel"/>
    <w:tmpl w:val="F4B4D53B"/>
    <w:lvl w:ilvl="0" w:tentative="0">
      <w:start w:val="1"/>
      <w:numFmt w:val="decimal"/>
      <w:suff w:val="nothing"/>
      <w:lvlText w:val="%1、"/>
      <w:lvlJc w:val="left"/>
    </w:lvl>
  </w:abstractNum>
  <w:abstractNum w:abstractNumId="6">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7">
    <w:nsid w:val="1C870535"/>
    <w:multiLevelType w:val="singleLevel"/>
    <w:tmpl w:val="1C870535"/>
    <w:lvl w:ilvl="0" w:tentative="0">
      <w:start w:val="1"/>
      <w:numFmt w:val="decimal"/>
      <w:suff w:val="nothing"/>
      <w:lvlText w:val="%1、"/>
      <w:lvlJc w:val="left"/>
      <w:rPr>
        <w:rFonts w:hint="default"/>
        <w:b/>
        <w:bCs/>
      </w:rPr>
    </w:lvl>
  </w:abstractNum>
  <w:abstractNum w:abstractNumId="8">
    <w:nsid w:val="29022787"/>
    <w:multiLevelType w:val="singleLevel"/>
    <w:tmpl w:val="29022787"/>
    <w:lvl w:ilvl="0" w:tentative="0">
      <w:start w:val="1"/>
      <w:numFmt w:val="chineseCounting"/>
      <w:suff w:val="nothing"/>
      <w:lvlText w:val="%1、"/>
      <w:lvlJc w:val="left"/>
      <w:pPr>
        <w:ind w:left="380" w:firstLine="40"/>
      </w:pPr>
      <w:rPr>
        <w:rFonts w:hint="eastAsia"/>
      </w:rPr>
    </w:lvl>
  </w:abstractNum>
  <w:abstractNum w:abstractNumId="9">
    <w:nsid w:val="567023B9"/>
    <w:multiLevelType w:val="singleLevel"/>
    <w:tmpl w:val="567023B9"/>
    <w:lvl w:ilvl="0" w:tentative="0">
      <w:start w:val="1"/>
      <w:numFmt w:val="decimal"/>
      <w:suff w:val="nothing"/>
      <w:lvlText w:val="%1、"/>
      <w:lvlJc w:val="left"/>
    </w:lvl>
  </w:abstractNum>
  <w:abstractNum w:abstractNumId="10">
    <w:nsid w:val="5A99D076"/>
    <w:multiLevelType w:val="singleLevel"/>
    <w:tmpl w:val="5A99D076"/>
    <w:lvl w:ilvl="0" w:tentative="0">
      <w:start w:val="2"/>
      <w:numFmt w:val="decimal"/>
      <w:lvlText w:val="%1."/>
      <w:lvlJc w:val="left"/>
      <w:pPr>
        <w:tabs>
          <w:tab w:val="left" w:pos="312"/>
        </w:tabs>
        <w:ind w:left="480" w:firstLine="0"/>
      </w:pPr>
    </w:lvl>
  </w:abstractNum>
  <w:num w:numId="1">
    <w:abstractNumId w:val="8"/>
  </w:num>
  <w:num w:numId="2">
    <w:abstractNumId w:val="2"/>
  </w:num>
  <w:num w:numId="3">
    <w:abstractNumId w:val="7"/>
  </w:num>
  <w:num w:numId="4">
    <w:abstractNumId w:val="3"/>
  </w:num>
  <w:num w:numId="5">
    <w:abstractNumId w:val="5"/>
  </w:num>
  <w:num w:numId="6">
    <w:abstractNumId w:val="10"/>
  </w:num>
  <w:num w:numId="7">
    <w:abstractNumId w:val="6"/>
  </w:num>
  <w:num w:numId="8">
    <w:abstractNumId w:val="4"/>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dit="readOnly" w:enforcement="1" w:cryptProviderType="rsaFull" w:cryptAlgorithmClass="hash" w:cryptAlgorithmType="typeAny" w:cryptAlgorithmSid="4" w:cryptSpinCount="0" w:hash="86ZBscX2WxhwUsTTH4SqR9ebIRg=" w:salt="YsKD30nltljidvx3Ja2D3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000000"/>
    <w:rsid w:val="00532DFE"/>
    <w:rsid w:val="0109647A"/>
    <w:rsid w:val="02B95452"/>
    <w:rsid w:val="03A2514E"/>
    <w:rsid w:val="05910E48"/>
    <w:rsid w:val="07A616B6"/>
    <w:rsid w:val="09A009DE"/>
    <w:rsid w:val="0AE36146"/>
    <w:rsid w:val="0BF041C7"/>
    <w:rsid w:val="0C310998"/>
    <w:rsid w:val="0C6425BA"/>
    <w:rsid w:val="0E967AEE"/>
    <w:rsid w:val="110F36F7"/>
    <w:rsid w:val="12D33873"/>
    <w:rsid w:val="12D76E99"/>
    <w:rsid w:val="15D5665A"/>
    <w:rsid w:val="16C22F1C"/>
    <w:rsid w:val="190567F9"/>
    <w:rsid w:val="19495B3C"/>
    <w:rsid w:val="19A31A14"/>
    <w:rsid w:val="1B3978B8"/>
    <w:rsid w:val="1B9501E7"/>
    <w:rsid w:val="1CBD66FD"/>
    <w:rsid w:val="26013E5E"/>
    <w:rsid w:val="27F73F79"/>
    <w:rsid w:val="285B0D46"/>
    <w:rsid w:val="296A7702"/>
    <w:rsid w:val="2AA97980"/>
    <w:rsid w:val="2C972AC7"/>
    <w:rsid w:val="2E0D1839"/>
    <w:rsid w:val="2ECF4912"/>
    <w:rsid w:val="324E3C27"/>
    <w:rsid w:val="33811DDB"/>
    <w:rsid w:val="34CC75FD"/>
    <w:rsid w:val="364D7ADF"/>
    <w:rsid w:val="3900549D"/>
    <w:rsid w:val="3C210C5C"/>
    <w:rsid w:val="417E5228"/>
    <w:rsid w:val="43943BDF"/>
    <w:rsid w:val="43E520C9"/>
    <w:rsid w:val="4C7059F5"/>
    <w:rsid w:val="4D894772"/>
    <w:rsid w:val="4E143B1F"/>
    <w:rsid w:val="4F7749F9"/>
    <w:rsid w:val="539F3E8B"/>
    <w:rsid w:val="554B1696"/>
    <w:rsid w:val="57566715"/>
    <w:rsid w:val="5C65001C"/>
    <w:rsid w:val="5D6B37DA"/>
    <w:rsid w:val="5E31760E"/>
    <w:rsid w:val="5EC71C55"/>
    <w:rsid w:val="623C2777"/>
    <w:rsid w:val="62DD795A"/>
    <w:rsid w:val="63DA38F5"/>
    <w:rsid w:val="656C355D"/>
    <w:rsid w:val="69036312"/>
    <w:rsid w:val="69E50B5C"/>
    <w:rsid w:val="6FD63EC9"/>
    <w:rsid w:val="70066763"/>
    <w:rsid w:val="71AB0F38"/>
    <w:rsid w:val="73133AF6"/>
    <w:rsid w:val="73FC61F4"/>
    <w:rsid w:val="77BC6A0F"/>
    <w:rsid w:val="785D2A9A"/>
    <w:rsid w:val="7C40052B"/>
    <w:rsid w:val="7EAA3560"/>
    <w:rsid w:val="7FC34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0"/>
    <w:rPr>
      <w:szCs w:val="28"/>
    </w:rPr>
  </w:style>
  <w:style w:type="paragraph" w:styleId="4">
    <w:name w:val="Plain Text"/>
    <w:basedOn w:val="1"/>
    <w:autoRedefine/>
    <w:qFormat/>
    <w:uiPriority w:val="0"/>
    <w:rPr>
      <w:rFonts w:ascii="黑体" w:hAnsi="Courier New" w:eastAsia="黑体"/>
      <w:szCs w:val="20"/>
    </w:rPr>
  </w:style>
  <w:style w:type="paragraph" w:styleId="5">
    <w:name w:val="Body Text Indent 2"/>
    <w:basedOn w:val="1"/>
    <w:autoRedefine/>
    <w:qFormat/>
    <w:uiPriority w:val="0"/>
    <w:pPr>
      <w:ind w:firstLine="540" w:firstLineChars="180"/>
    </w:pPr>
    <w:rPr>
      <w:rFonts w:ascii="仿宋_GB2312" w:eastAsia="仿宋_GB2312"/>
      <w:sz w:val="30"/>
      <w:szCs w:val="24"/>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0"/>
  </w:style>
  <w:style w:type="character" w:styleId="11">
    <w:name w:val="Hyperlink"/>
    <w:basedOn w:val="10"/>
    <w:qFormat/>
    <w:uiPriority w:val="0"/>
    <w:rPr>
      <w:color w:val="0000FF"/>
      <w:u w:val="single"/>
    </w:rPr>
  </w:style>
  <w:style w:type="paragraph" w:customStyle="1" w:styleId="1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3">
    <w:name w:val="。"/>
    <w:basedOn w:val="1"/>
    <w:autoRedefine/>
    <w:qFormat/>
    <w:uiPriority w:val="0"/>
    <w:pPr>
      <w:adjustRightInd w:val="0"/>
      <w:spacing w:line="312" w:lineRule="atLeast"/>
      <w:ind w:right="679"/>
      <w:textAlignment w:val="baseline"/>
    </w:pPr>
    <w:rPr>
      <w:rFonts w:ascii="宋体"/>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d80e04c-b162-45d0-90b4-24526c5bfa0b}"/>
        <w:style w:val=""/>
        <w:category>
          <w:name w:val="常规"/>
          <w:gallery w:val="placeholder"/>
        </w:category>
        <w:types>
          <w:type w:val="bbPlcHdr"/>
        </w:types>
        <w:behaviors>
          <w:behavior w:val="content"/>
        </w:behaviors>
        <w:description w:val=""/>
        <w:guid w:val="{0d80e04c-b162-45d0-90b4-24526c5bfa0b}"/>
      </w:docPartPr>
      <w:docPartBody>
        <w:p w14:paraId="3A95D28D">
          <w:r>
            <w:rPr>
              <w:color w:val="808080"/>
            </w:rPr>
            <w:t>单击此处输入文字。</w:t>
          </w:r>
        </w:p>
      </w:docPartBody>
    </w:docPart>
    <w:docPart>
      <w:docPartPr>
        <w:name w:val="{a81493e8-5ff4-483a-8f19-cb218a9fe392}"/>
        <w:style w:val=""/>
        <w:category>
          <w:name w:val="常规"/>
          <w:gallery w:val="placeholder"/>
        </w:category>
        <w:types>
          <w:type w:val="bbPlcHdr"/>
        </w:types>
        <w:behaviors>
          <w:behavior w:val="content"/>
        </w:behaviors>
        <w:description w:val=""/>
        <w:guid w:val="{a81493e8-5ff4-483a-8f19-cb218a9fe392}"/>
      </w:docPartPr>
      <w:docPartBody>
        <w:p w14:paraId="6B88A55C">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21323</Words>
  <Characters>22114</Characters>
  <Lines>0</Lines>
  <Paragraphs>0</Paragraphs>
  <TotalTime>0</TotalTime>
  <ScaleCrop>false</ScaleCrop>
  <LinksUpToDate>false</LinksUpToDate>
  <CharactersWithSpaces>24329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2024-01-08T05:11:00Z</dcterms:created>
  <dc:creator>周轶群</dc:creator>
  <cp:lastModifiedBy>劉</cp:lastModifiedBy>
  <dcterms:modified xsi:type="dcterms:W3CDTF">2025-11-08T10:48:12Z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C6C87B525C434E8DA6D081968FB3CC8A_12</vt:lpwstr>
  </property>
  <property fmtid="{D5CDD505-2E9C-101B-9397-08002B2CF9AE}" pid="4" name="KSOTemplateDocerSaveRecord">
    <vt:lpwstr>eyJoZGlkIjoiZjc4MTM0MzQxYzc2ZjU2Yjg5MzQzNGFiYTc4NDVkNGUiLCJ1c2VySWQiOiIxNjA2ODQ2NTA1In0=</vt:lpwstr>
  </property>
</Properties>
</file>