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46BA8">
      <w:pPr>
        <w:spacing w:line="360" w:lineRule="auto"/>
        <w:jc w:val="left"/>
        <w:rPr>
          <w:rFonts w:hint="eastAsia" w:eastAsia="仿宋_GB2312"/>
          <w:bCs/>
          <w:color w:val="000000"/>
          <w:sz w:val="28"/>
          <w:szCs w:val="28"/>
          <w:highlight w:val="none"/>
          <w:u w:val="single"/>
        </w:rPr>
      </w:pPr>
      <w:bookmarkStart w:id="0" w:name="_Hlk126831517"/>
      <w:permStart w:id="0" w:edGrp="everyone"/>
      <w:permEnd w:id="0"/>
      <w:r>
        <w:rPr>
          <w:rFonts w:hint="eastAsia" w:eastAsia="仿宋_GB2312"/>
          <w:bCs/>
          <w:color w:val="000000"/>
          <w:sz w:val="28"/>
          <w:szCs w:val="28"/>
          <w:highlight w:val="none"/>
        </w:rPr>
        <w:t>合同编号：</w:t>
      </w:r>
      <w:permStart w:id="1" w:edGrp="everyone"/>
      <w:r>
        <w:rPr>
          <w:rFonts w:hint="eastAsia" w:eastAsia="仿宋_GB2312"/>
          <w:bCs/>
          <w:color w:val="000000"/>
          <w:sz w:val="28"/>
          <w:szCs w:val="28"/>
          <w:highlight w:val="none"/>
          <w:u w:val="single"/>
        </w:rPr>
        <w:t xml:space="preserve"> </w:t>
      </w:r>
      <w:r>
        <w:rPr>
          <w:rFonts w:hint="eastAsia" w:eastAsia="仿宋_GB2312"/>
          <w:bCs/>
          <w:color w:val="000000"/>
          <w:sz w:val="24"/>
          <w:szCs w:val="24"/>
          <w:highlight w:val="none"/>
          <w:u w:val="single"/>
        </w:rPr>
        <w:t>ZJLQ-F</w:t>
      </w:r>
      <w:r>
        <w:rPr>
          <w:rFonts w:hint="eastAsia" w:eastAsia="仿宋_GB2312"/>
          <w:bCs/>
          <w:color w:val="000000"/>
          <w:sz w:val="24"/>
          <w:szCs w:val="24"/>
          <w:highlight w:val="none"/>
          <w:u w:val="single"/>
          <w:lang w:val="en-US" w:eastAsia="zh-CN"/>
        </w:rPr>
        <w:t>G</w:t>
      </w:r>
      <w:r>
        <w:rPr>
          <w:rFonts w:hint="eastAsia" w:eastAsia="仿宋_GB2312"/>
          <w:bCs/>
          <w:color w:val="000000"/>
          <w:sz w:val="24"/>
          <w:szCs w:val="24"/>
          <w:highlight w:val="none"/>
          <w:u w:val="single"/>
        </w:rPr>
        <w:t>-太行山高速养护项目-001</w:t>
      </w:r>
      <w:permEnd w:id="1"/>
    </w:p>
    <w:p w14:paraId="7028E310">
      <w:pPr>
        <w:wordWrap w:val="0"/>
        <w:spacing w:line="640" w:lineRule="exact"/>
        <w:jc w:val="both"/>
        <w:rPr>
          <w:rFonts w:ascii="仿宋_GB2312" w:hAnsi="仿宋" w:eastAsia="仿宋_GB2312" w:cs="仿宋"/>
          <w:color w:val="000000" w:themeColor="text1"/>
          <w:sz w:val="24"/>
          <w:szCs w:val="24"/>
          <w:highlight w:val="none"/>
          <w14:textFill>
            <w14:solidFill>
              <w14:schemeClr w14:val="tx1"/>
            </w14:solidFill>
          </w14:textFill>
        </w:rPr>
      </w:pPr>
      <w:r>
        <w:rPr>
          <w:rFonts w:hint="eastAsia" w:eastAsia="仿宋_GB2312"/>
          <w:bCs/>
          <w:color w:val="000000"/>
          <w:sz w:val="28"/>
          <w:szCs w:val="28"/>
          <w:highlight w:val="none"/>
        </w:rPr>
        <w:t>框架协议：</w:t>
      </w:r>
      <w:permStart w:id="2" w:edGrp="everyone"/>
      <w:r>
        <w:rPr>
          <w:rFonts w:hint="eastAsia" w:eastAsia="仿宋_GB2312"/>
          <w:bCs/>
          <w:color w:val="000000"/>
          <w:sz w:val="28"/>
          <w:szCs w:val="28"/>
          <w:highlight w:val="none"/>
          <w:u w:val="single"/>
        </w:rPr>
        <w:t xml:space="preserve">                    </w:t>
      </w:r>
      <w:permEnd w:id="2"/>
    </w:p>
    <w:p w14:paraId="741C9448">
      <w:pPr>
        <w:spacing w:line="360" w:lineRule="auto"/>
        <w:jc w:val="left"/>
        <w:rPr>
          <w:rFonts w:hint="eastAsia" w:ascii="仿宋_GB2312" w:hAnsi="仿宋_GB2312" w:eastAsia="仿宋_GB2312" w:cs="仿宋_GB2312"/>
          <w:sz w:val="28"/>
          <w:szCs w:val="28"/>
          <w:highlight w:val="none"/>
        </w:rPr>
      </w:pPr>
      <w:r>
        <w:rPr>
          <w:highlight w:val="none"/>
        </w:rPr>
        <w:pict>
          <v:shape id="_x0000_s1026" o:spid="_x0000_s1026" o:spt="136" type="#_x0000_t136" style="position:absolute;left:0pt;margin-left:100pt;margin-top:100pt;height:100pt;width:200pt;z-index:251663360;mso-width-relative:page;mso-height-relative:page;" coordsize="21600,21600">
            <v:path/>
            <v:fill opacity="32768f" focussize="0,0"/>
            <v:stroke/>
            <v:imagedata o:title=""/>
            <o:lock v:ext="edit"/>
            <v:textpath on="t" fitshape="t" fitpath="t" trim="t" xscale="f" string="" style="font-size:36pt;v-text-align:center;"/>
          </v:shape>
        </w:pict>
      </w:r>
    </w:p>
    <w:p w14:paraId="573ED83B">
      <w:pPr>
        <w:pStyle w:val="2"/>
        <w:rPr>
          <w:rFonts w:hint="eastAsia"/>
          <w:highlight w:val="none"/>
        </w:rPr>
      </w:pPr>
    </w:p>
    <w:p w14:paraId="5FE9DEF8">
      <w:pPr>
        <w:pStyle w:val="2"/>
        <w:rPr>
          <w:rFonts w:hint="eastAsia"/>
          <w:highlight w:val="none"/>
        </w:rPr>
      </w:pPr>
    </w:p>
    <w:p w14:paraId="0032B077">
      <w:pPr>
        <w:pStyle w:val="2"/>
        <w:rPr>
          <w:rFonts w:hint="eastAsia"/>
          <w:highlight w:val="none"/>
        </w:rPr>
      </w:pPr>
    </w:p>
    <w:p w14:paraId="7918AD79">
      <w:pPr>
        <w:spacing w:line="360" w:lineRule="auto"/>
        <w:jc w:val="center"/>
        <w:rPr>
          <w:rFonts w:hint="eastAsia" w:ascii="华文中宋" w:hAnsi="华文中宋" w:eastAsia="华文中宋" w:cs="华文中宋"/>
          <w:b/>
          <w:sz w:val="52"/>
          <w:szCs w:val="52"/>
          <w:highlight w:val="none"/>
        </w:rPr>
      </w:pPr>
      <w:permStart w:id="3" w:edGrp="everyone"/>
      <w:r>
        <w:rPr>
          <w:rFonts w:hint="eastAsia" w:ascii="华文中宋" w:hAnsi="华文中宋" w:eastAsia="华文中宋" w:cs="华文中宋"/>
          <w:b/>
          <w:sz w:val="52"/>
          <w:szCs w:val="52"/>
          <w:highlight w:val="none"/>
        </w:rPr>
        <w:t>【</w:t>
      </w:r>
      <w:r>
        <w:rPr>
          <w:rFonts w:hint="eastAsia" w:ascii="华文中宋" w:hAnsi="华文中宋" w:eastAsia="华文中宋" w:cs="华文中宋"/>
          <w:b/>
          <w:sz w:val="52"/>
          <w:szCs w:val="52"/>
          <w:highlight w:val="none"/>
          <w:lang w:val="en-US" w:eastAsia="zh-CN"/>
        </w:rPr>
        <w:t>边坡防护物资</w:t>
      </w:r>
      <w:r>
        <w:rPr>
          <w:rFonts w:hint="eastAsia" w:ascii="华文中宋" w:hAnsi="华文中宋" w:eastAsia="华文中宋" w:cs="华文中宋"/>
          <w:b/>
          <w:sz w:val="52"/>
          <w:szCs w:val="52"/>
          <w:highlight w:val="none"/>
        </w:rPr>
        <w:t>】</w:t>
      </w:r>
      <w:permEnd w:id="3"/>
      <w:r>
        <w:rPr>
          <w:rFonts w:hint="eastAsia" w:ascii="华文中宋" w:hAnsi="华文中宋" w:eastAsia="华文中宋" w:cs="华文中宋"/>
          <w:b/>
          <w:sz w:val="52"/>
          <w:szCs w:val="52"/>
          <w:highlight w:val="none"/>
        </w:rPr>
        <w:t>采购与供应合同</w:t>
      </w:r>
    </w:p>
    <w:p w14:paraId="03D84E81">
      <w:pPr>
        <w:spacing w:line="360" w:lineRule="auto"/>
        <w:jc w:val="center"/>
        <w:rPr>
          <w:rFonts w:hint="eastAsia" w:ascii="宋体" w:hAnsi="宋体" w:cs="宋体"/>
          <w:b/>
          <w:sz w:val="28"/>
          <w:szCs w:val="28"/>
          <w:highlight w:val="none"/>
        </w:rPr>
      </w:pPr>
      <w:r>
        <w:rPr>
          <w:highlight w:val="none"/>
        </w:rPr>
        <w:drawing>
          <wp:anchor distT="0" distB="0" distL="114300" distR="114300" simplePos="0" relativeHeight="251662336" behindDoc="1" locked="0" layoutInCell="1" allowOverlap="1">
            <wp:simplePos x="0" y="0"/>
            <wp:positionH relativeFrom="column">
              <wp:posOffset>1829435</wp:posOffset>
            </wp:positionH>
            <wp:positionV relativeFrom="paragraph">
              <wp:posOffset>245745</wp:posOffset>
            </wp:positionV>
            <wp:extent cx="1685925" cy="2352675"/>
            <wp:effectExtent l="0" t="0" r="9525" b="9525"/>
            <wp:wrapNone/>
            <wp:docPr id="1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说明: 图片1"/>
                    <pic:cNvPicPr>
                      <a:picLocks noChangeAspect="1"/>
                    </pic:cNvPicPr>
                  </pic:nvPicPr>
                  <pic:blipFill>
                    <a:blip r:embed="rId14">
                      <a:clrChange>
                        <a:clrFrom>
                          <a:srgbClr val="FEFEFC"/>
                        </a:clrFrom>
                        <a:clrTo>
                          <a:srgbClr val="FEFEFC">
                            <a:alpha val="0"/>
                          </a:srgbClr>
                        </a:clrTo>
                      </a:clrChange>
                    </a:blip>
                    <a:stretch>
                      <a:fillRect/>
                    </a:stretch>
                  </pic:blipFill>
                  <pic:spPr>
                    <a:xfrm>
                      <a:off x="0" y="0"/>
                      <a:ext cx="1685925" cy="2352675"/>
                    </a:xfrm>
                    <a:prstGeom prst="rect">
                      <a:avLst/>
                    </a:prstGeom>
                    <a:noFill/>
                    <a:ln>
                      <a:noFill/>
                    </a:ln>
                  </pic:spPr>
                </pic:pic>
              </a:graphicData>
            </a:graphic>
          </wp:anchor>
        </w:drawing>
      </w:r>
    </w:p>
    <w:p w14:paraId="0A573421">
      <w:pPr>
        <w:spacing w:line="360" w:lineRule="auto"/>
        <w:jc w:val="center"/>
        <w:rPr>
          <w:rFonts w:hint="eastAsia" w:ascii="宋体" w:hAnsi="宋体" w:cs="宋体"/>
          <w:b/>
          <w:sz w:val="28"/>
          <w:szCs w:val="28"/>
          <w:highlight w:val="none"/>
        </w:rPr>
      </w:pPr>
    </w:p>
    <w:p w14:paraId="2F6CBB18">
      <w:pPr>
        <w:spacing w:line="360" w:lineRule="auto"/>
        <w:jc w:val="center"/>
        <w:rPr>
          <w:rFonts w:hint="eastAsia" w:ascii="宋体" w:hAnsi="宋体" w:cs="宋体"/>
          <w:b/>
          <w:sz w:val="28"/>
          <w:szCs w:val="28"/>
          <w:highlight w:val="none"/>
        </w:rPr>
      </w:pPr>
    </w:p>
    <w:p w14:paraId="5DB9B7DA">
      <w:pPr>
        <w:spacing w:line="360" w:lineRule="auto"/>
        <w:jc w:val="center"/>
        <w:rPr>
          <w:rFonts w:hint="eastAsia" w:ascii="宋体" w:hAnsi="宋体" w:cs="宋体"/>
          <w:b/>
          <w:sz w:val="28"/>
          <w:szCs w:val="28"/>
          <w:highlight w:val="none"/>
        </w:rPr>
      </w:pPr>
    </w:p>
    <w:p w14:paraId="6A9A5699">
      <w:pPr>
        <w:spacing w:line="360" w:lineRule="auto"/>
        <w:jc w:val="center"/>
        <w:rPr>
          <w:rFonts w:hint="eastAsia" w:ascii="宋体" w:hAnsi="宋体" w:cs="宋体"/>
          <w:b/>
          <w:sz w:val="28"/>
          <w:szCs w:val="28"/>
          <w:highlight w:val="none"/>
        </w:rPr>
      </w:pPr>
    </w:p>
    <w:p w14:paraId="7DDEE88A">
      <w:pPr>
        <w:spacing w:line="360" w:lineRule="auto"/>
        <w:rPr>
          <w:rFonts w:hint="eastAsia" w:ascii="宋体" w:hAnsi="宋体" w:cs="宋体"/>
          <w:b/>
          <w:sz w:val="28"/>
          <w:szCs w:val="28"/>
          <w:highlight w:val="none"/>
        </w:rPr>
      </w:pPr>
    </w:p>
    <w:p w14:paraId="2491A3A2">
      <w:pPr>
        <w:pStyle w:val="4"/>
        <w:spacing w:after="120"/>
        <w:ind w:firstLine="560"/>
        <w:rPr>
          <w:rFonts w:hint="eastAsia" w:ascii="宋体" w:hAnsi="宋体" w:cs="宋体"/>
          <w:b/>
          <w:sz w:val="28"/>
          <w:szCs w:val="28"/>
          <w:highlight w:val="none"/>
        </w:rPr>
      </w:pPr>
    </w:p>
    <w:p w14:paraId="3C3CC732">
      <w:pPr>
        <w:pStyle w:val="4"/>
        <w:spacing w:after="120"/>
        <w:ind w:firstLine="560"/>
        <w:rPr>
          <w:rFonts w:hint="eastAsia" w:ascii="宋体" w:hAnsi="宋体" w:cs="宋体"/>
          <w:b/>
          <w:sz w:val="28"/>
          <w:szCs w:val="28"/>
          <w:highlight w:val="none"/>
        </w:rPr>
      </w:pPr>
    </w:p>
    <w:p w14:paraId="46389760">
      <w:pPr>
        <w:spacing w:line="360" w:lineRule="auto"/>
        <w:rPr>
          <w:rFonts w:hint="eastAsia" w:ascii="仿宋_GB2312" w:hAnsi="仿宋_GB2312" w:eastAsia="仿宋_GB2312" w:cs="仿宋_GB2312"/>
          <w:b/>
          <w:bCs/>
          <w:sz w:val="28"/>
          <w:szCs w:val="28"/>
          <w:highlight w:val="none"/>
        </w:rPr>
      </w:pPr>
    </w:p>
    <w:p w14:paraId="3CD1102E">
      <w:pPr>
        <w:spacing w:line="360" w:lineRule="auto"/>
        <w:ind w:firstLine="562" w:firstLineChars="200"/>
        <w:rPr>
          <w:rFonts w:hint="eastAsia" w:ascii="仿宋_GB2312" w:hAnsi="仿宋_GB2312" w:eastAsia="仿宋_GB2312" w:cs="仿宋_GB2312"/>
          <w:sz w:val="28"/>
          <w:szCs w:val="28"/>
          <w:highlight w:val="none"/>
        </w:rPr>
      </w:pPr>
      <w:permStart w:id="4" w:edGrp="everyone"/>
      <w:r>
        <w:rPr>
          <w:rFonts w:hint="eastAsia" w:ascii="仿宋_GB2312" w:hAnsi="仿宋_GB2312" w:eastAsia="仿宋_GB2312" w:cs="仿宋_GB2312"/>
          <w:b/>
          <w:bCs/>
          <w:sz w:val="28"/>
          <w:szCs w:val="28"/>
          <w:highlight w:val="none"/>
        </w:rPr>
        <w:t>项目名称：</w:t>
      </w:r>
      <w:r>
        <w:rPr>
          <w:rFonts w:hint="eastAsia" w:ascii="仿宋_GB2312" w:hAnsi="仿宋_GB2312" w:eastAsia="仿宋_GB2312" w:cs="仿宋_GB2312"/>
          <w:b/>
          <w:color w:val="000000"/>
          <w:sz w:val="28"/>
          <w:szCs w:val="28"/>
          <w:highlight w:val="none"/>
        </w:rPr>
        <w:t>【</w:t>
      </w:r>
      <w:r>
        <w:rPr>
          <w:rFonts w:hint="eastAsia" w:ascii="仿宋_GB2312" w:hAnsi="仿宋_GB2312" w:eastAsia="仿宋_GB2312" w:cs="仿宋_GB2312"/>
          <w:b/>
          <w:bCs/>
          <w:sz w:val="28"/>
          <w:szCs w:val="28"/>
          <w:highlight w:val="none"/>
        </w:rPr>
        <w:t>太行山高速公路邢邯段 K93+155~K93+370路堑边坡等3处风险点治理工程</w:t>
      </w:r>
      <w:r>
        <w:rPr>
          <w:rFonts w:hint="eastAsia" w:ascii="仿宋_GB2312" w:hAnsi="仿宋_GB2312" w:eastAsia="仿宋_GB2312" w:cs="仿宋_GB2312"/>
          <w:b/>
          <w:color w:val="000000"/>
          <w:sz w:val="28"/>
          <w:szCs w:val="28"/>
          <w:highlight w:val="none"/>
        </w:rPr>
        <w:t>】</w:t>
      </w:r>
    </w:p>
    <w:p w14:paraId="3B453B7D">
      <w:pPr>
        <w:spacing w:line="360" w:lineRule="auto"/>
        <w:ind w:firstLine="562" w:firstLineChars="200"/>
        <w:jc w:val="both"/>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甲    方：</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bCs/>
          <w:sz w:val="28"/>
          <w:szCs w:val="28"/>
          <w:highlight w:val="none"/>
        </w:rPr>
        <w:t xml:space="preserve">中建路桥集团有限公司 </w:t>
      </w:r>
      <w:r>
        <w:rPr>
          <w:rFonts w:hint="eastAsia" w:ascii="仿宋_GB2312" w:hAnsi="仿宋_GB2312" w:eastAsia="仿宋_GB2312" w:cs="仿宋_GB2312"/>
          <w:b/>
          <w:color w:val="000000"/>
          <w:sz w:val="28"/>
          <w:szCs w:val="28"/>
          <w:highlight w:val="none"/>
          <w:u w:val="none"/>
        </w:rPr>
        <w:t xml:space="preserve"> </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p>
    <w:p w14:paraId="451AF158">
      <w:pPr>
        <w:spacing w:line="360" w:lineRule="auto"/>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乙    方：</w:t>
      </w:r>
      <w:r>
        <w:rPr>
          <w:rFonts w:hint="eastAsia" w:ascii="仿宋_GB2312" w:hAnsi="仿宋_GB2312" w:eastAsia="仿宋_GB2312" w:cs="仿宋_GB2312"/>
          <w:b/>
          <w:color w:val="000000"/>
          <w:sz w:val="28"/>
          <w:szCs w:val="28"/>
          <w:highlight w:val="none"/>
        </w:rPr>
        <w:t>【                                  】</w:t>
      </w:r>
    </w:p>
    <w:p w14:paraId="5CED8AF2">
      <w:pPr>
        <w:spacing w:line="360" w:lineRule="auto"/>
        <w:ind w:firstLine="56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签订时间：</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bCs/>
          <w:sz w:val="28"/>
          <w:szCs w:val="28"/>
          <w:highlight w:val="none"/>
        </w:rPr>
        <w:t xml:space="preserve"> </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p>
    <w:p w14:paraId="06B47A95">
      <w:pPr>
        <w:spacing w:line="360" w:lineRule="auto"/>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签订地点：</w:t>
      </w:r>
      <w:r>
        <w:rPr>
          <w:rFonts w:hint="eastAsia" w:ascii="仿宋_GB2312" w:hAnsi="仿宋_GB2312" w:eastAsia="仿宋_GB2312" w:cs="仿宋_GB2312"/>
          <w:b/>
          <w:color w:val="000000"/>
          <w:sz w:val="28"/>
          <w:szCs w:val="28"/>
          <w:highlight w:val="none"/>
        </w:rPr>
        <w:t>【</w:t>
      </w:r>
      <w:r>
        <w:rPr>
          <w:rFonts w:hint="eastAsia" w:ascii="仿宋_GB2312" w:hAnsi="仿宋_GB2312" w:eastAsia="仿宋_GB2312" w:cs="仿宋_GB2312"/>
          <w:b/>
          <w:color w:val="000000"/>
          <w:sz w:val="28"/>
          <w:szCs w:val="28"/>
          <w:highlight w:val="none"/>
          <w:lang w:val="en-US" w:eastAsia="zh-CN"/>
        </w:rPr>
        <w:t xml:space="preserve">           石家庄市桥西区   </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p>
    <w:p w14:paraId="0D0CAA60">
      <w:pPr>
        <w:spacing w:line="480" w:lineRule="auto"/>
        <w:ind w:firstLine="1120" w:firstLineChars="400"/>
        <w:jc w:val="left"/>
        <w:textAlignment w:val="baseline"/>
        <w:rPr>
          <w:rFonts w:ascii="仿宋_GB2312" w:hAnsi="仿宋" w:eastAsia="仿宋_GB2312" w:cs="仿宋"/>
          <w:bCs/>
          <w:color w:val="000000" w:themeColor="text1"/>
          <w:sz w:val="32"/>
          <w:szCs w:val="24"/>
          <w:highlight w:val="none"/>
          <w:u w:val="single"/>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800" w:bottom="1440" w:left="1800" w:header="850" w:footer="975" w:gutter="0"/>
          <w:pgNumType w:start="1"/>
          <w:cols w:space="0" w:num="1"/>
          <w:titlePg/>
          <w:docGrid w:linePitch="312" w:charSpace="0"/>
        </w:sectPr>
      </w:pPr>
      <w:r>
        <w:rPr>
          <w:rFonts w:hint="eastAsia" w:ascii="仿宋_GB2312" w:hAnsi="仿宋_GB2312" w:eastAsia="仿宋_GB2312" w:cs="仿宋_GB2312"/>
          <w:color w:val="C00000"/>
          <w:sz w:val="28"/>
          <w:szCs w:val="28"/>
          <w:highlight w:val="none"/>
        </w:rPr>
        <w:t>（）</w:t>
      </w:r>
      <w:bookmarkEnd w:id="0"/>
    </w:p>
    <w:permEnd w:id="4"/>
    <w:sdt>
      <w:sdtPr>
        <w:rPr>
          <w:rFonts w:asciiTheme="minorHAnsi" w:hAnsiTheme="minorHAnsi" w:eastAsiaTheme="minorEastAsia" w:cstheme="minorBidi"/>
          <w:szCs w:val="22"/>
          <w:highlight w:val="none"/>
        </w:rPr>
        <w:id w:val="147479450"/>
        <w15:color w:val="DBDBDB"/>
        <w:docPartObj>
          <w:docPartGallery w:val="Table of Contents"/>
          <w:docPartUnique/>
        </w:docPartObj>
      </w:sdtPr>
      <w:sdtEndPr>
        <w:rPr>
          <w:rFonts w:ascii="仿宋" w:hAnsi="仿宋" w:eastAsia="仿宋" w:cs="仿宋"/>
          <w:color w:val="000000" w:themeColor="text1"/>
          <w:szCs w:val="22"/>
          <w:highlight w:val="none"/>
          <w14:textFill>
            <w14:solidFill>
              <w14:schemeClr w14:val="tx1"/>
            </w14:solidFill>
          </w14:textFill>
        </w:rPr>
      </w:sdtEndPr>
      <w:sdtContent>
        <w:p w14:paraId="03F68A4F">
          <w:pPr>
            <w:pStyle w:val="4"/>
            <w:rPr>
              <w:highlight w:val="none"/>
            </w:rPr>
          </w:pPr>
        </w:p>
        <w:p w14:paraId="48D61705">
          <w:pPr>
            <w:jc w:val="center"/>
            <w:rPr>
              <w:rFonts w:ascii="黑体" w:hAnsi="黑体" w:eastAsia="黑体" w:cs="黑体"/>
              <w:b/>
              <w:bCs/>
              <w:color w:val="000000" w:themeColor="text1"/>
              <w:sz w:val="36"/>
              <w:szCs w:val="36"/>
              <w:highlight w:val="none"/>
              <w14:textFill>
                <w14:solidFill>
                  <w14:schemeClr w14:val="tx1"/>
                </w14:solidFill>
              </w14:textFill>
            </w:rPr>
          </w:pPr>
          <w:permStart w:id="5" w:edGrp="everyone"/>
          <w:r>
            <w:rPr>
              <w:rFonts w:hint="eastAsia" w:ascii="黑体" w:hAnsi="黑体" w:eastAsia="黑体" w:cs="黑体"/>
              <w:b/>
              <w:bCs/>
              <w:color w:val="000000" w:themeColor="text1"/>
              <w:sz w:val="36"/>
              <w:szCs w:val="36"/>
              <w:highlight w:val="none"/>
              <w14:textFill>
                <w14:solidFill>
                  <w14:schemeClr w14:val="tx1"/>
                </w14:solidFill>
              </w14:textFill>
            </w:rPr>
            <w:t>目</w:t>
          </w:r>
          <w:r>
            <w:rPr>
              <w:rFonts w:ascii="黑体" w:hAnsi="黑体" w:eastAsia="黑体" w:cs="黑体"/>
              <w:b/>
              <w:bCs/>
              <w:color w:val="000000" w:themeColor="text1"/>
              <w:sz w:val="36"/>
              <w:szCs w:val="36"/>
              <w:highlight w:val="none"/>
              <w14:textFill>
                <w14:solidFill>
                  <w14:schemeClr w14:val="tx1"/>
                </w14:solidFill>
              </w14:textFill>
            </w:rPr>
            <w:t xml:space="preserve">  </w:t>
          </w:r>
          <w:r>
            <w:rPr>
              <w:rFonts w:hint="eastAsia" w:ascii="黑体" w:hAnsi="黑体" w:eastAsia="黑体" w:cs="黑体"/>
              <w:b/>
              <w:bCs/>
              <w:color w:val="000000" w:themeColor="text1"/>
              <w:sz w:val="36"/>
              <w:szCs w:val="36"/>
              <w:highlight w:val="none"/>
              <w14:textFill>
                <w14:solidFill>
                  <w14:schemeClr w14:val="tx1"/>
                </w14:solidFill>
              </w14:textFill>
            </w:rPr>
            <w:t>录</w:t>
          </w:r>
        </w:p>
        <w:p w14:paraId="7052BA17">
          <w:pPr>
            <w:pStyle w:val="4"/>
            <w:rPr>
              <w:highlight w:val="none"/>
            </w:rPr>
          </w:pPr>
        </w:p>
        <w:p w14:paraId="28E2A186">
          <w:pPr>
            <w:pStyle w:val="8"/>
            <w:tabs>
              <w:tab w:val="right" w:leader="dot" w:pos="8306"/>
            </w:tabs>
            <w:spacing w:line="312" w:lineRule="auto"/>
            <w:rPr>
              <w:highlight w:val="none"/>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TOC \o "1-1" \h \u </w:instrText>
          </w:r>
          <w:r>
            <w:rPr>
              <w:rFonts w:hint="eastAsia" w:ascii="仿宋" w:hAnsi="仿宋" w:eastAsia="仿宋" w:cs="仿宋"/>
              <w:color w:val="000000" w:themeColor="text1"/>
              <w:highlight w:val="none"/>
              <w14:textFill>
                <w14:solidFill>
                  <w14:schemeClr w14:val="tx1"/>
                </w14:solidFill>
              </w14:textFill>
            </w:rPr>
            <w:fldChar w:fldCharType="separate"/>
          </w:r>
          <w:r>
            <w:rPr>
              <w:highlight w:val="none"/>
            </w:rPr>
            <w:fldChar w:fldCharType="begin"/>
          </w:r>
          <w:r>
            <w:rPr>
              <w:highlight w:val="none"/>
            </w:rPr>
            <w:instrText xml:space="preserve"> HYPERLINK \l "_Toc5953" </w:instrText>
          </w:r>
          <w:r>
            <w:rPr>
              <w:highlight w:val="none"/>
            </w:rPr>
            <w:fldChar w:fldCharType="separate"/>
          </w:r>
          <w:r>
            <w:rPr>
              <w:rFonts w:hint="eastAsia" w:ascii="黑体" w:hAnsi="黑体" w:eastAsia="黑体" w:cs="黑体"/>
              <w:bCs/>
              <w:sz w:val="30"/>
              <w:szCs w:val="30"/>
              <w:highlight w:val="none"/>
            </w:rPr>
            <w:t>第一部分 专用条款</w:t>
          </w:r>
          <w:r>
            <w:rPr>
              <w:highlight w:val="none"/>
            </w:rPr>
            <w:tab/>
          </w:r>
          <w:r>
            <w:rPr>
              <w:highlight w:val="none"/>
            </w:rPr>
            <w:fldChar w:fldCharType="begin"/>
          </w:r>
          <w:r>
            <w:rPr>
              <w:highlight w:val="none"/>
            </w:rPr>
            <w:instrText xml:space="preserve"> PAGEREF _Toc5953 \h </w:instrText>
          </w:r>
          <w:r>
            <w:rPr>
              <w:highlight w:val="none"/>
            </w:rPr>
            <w:fldChar w:fldCharType="separate"/>
          </w:r>
          <w:r>
            <w:rPr>
              <w:highlight w:val="none"/>
            </w:rPr>
            <w:t>1</w:t>
          </w:r>
          <w:r>
            <w:rPr>
              <w:highlight w:val="none"/>
            </w:rPr>
            <w:fldChar w:fldCharType="end"/>
          </w:r>
          <w:r>
            <w:rPr>
              <w:highlight w:val="none"/>
            </w:rPr>
            <w:fldChar w:fldCharType="end"/>
          </w:r>
        </w:p>
        <w:p w14:paraId="56AFCCED">
          <w:pPr>
            <w:pStyle w:val="8"/>
            <w:tabs>
              <w:tab w:val="right" w:leader="dot" w:pos="8306"/>
            </w:tabs>
            <w:spacing w:line="312" w:lineRule="auto"/>
            <w:rPr>
              <w:highlight w:val="none"/>
            </w:rPr>
          </w:pPr>
          <w:r>
            <w:rPr>
              <w:highlight w:val="none"/>
            </w:rPr>
            <w:fldChar w:fldCharType="begin"/>
          </w:r>
          <w:r>
            <w:rPr>
              <w:highlight w:val="none"/>
            </w:rPr>
            <w:instrText xml:space="preserve"> HYPERLINK \l "_Toc640" </w:instrText>
          </w:r>
          <w:r>
            <w:rPr>
              <w:highlight w:val="none"/>
            </w:rPr>
            <w:fldChar w:fldCharType="separate"/>
          </w:r>
          <w:r>
            <w:rPr>
              <w:rFonts w:hint="eastAsia" w:ascii="仿宋_GB2312" w:hAnsi="仿宋_GB2312" w:eastAsia="仿宋_GB2312" w:cs="仿宋_GB2312"/>
              <w:kern w:val="0"/>
              <w:sz w:val="28"/>
              <w:szCs w:val="28"/>
              <w:highlight w:val="none"/>
            </w:rPr>
            <w:t>一、工程概况</w:t>
          </w:r>
          <w:r>
            <w:rPr>
              <w:highlight w:val="none"/>
            </w:rPr>
            <w:tab/>
          </w:r>
          <w:r>
            <w:rPr>
              <w:highlight w:val="none"/>
            </w:rPr>
            <w:fldChar w:fldCharType="begin"/>
          </w:r>
          <w:r>
            <w:rPr>
              <w:highlight w:val="none"/>
            </w:rPr>
            <w:instrText xml:space="preserve"> PAGEREF _Toc640 \h </w:instrText>
          </w:r>
          <w:r>
            <w:rPr>
              <w:highlight w:val="none"/>
            </w:rPr>
            <w:fldChar w:fldCharType="separate"/>
          </w:r>
          <w:r>
            <w:rPr>
              <w:highlight w:val="none"/>
            </w:rPr>
            <w:t>1</w:t>
          </w:r>
          <w:r>
            <w:rPr>
              <w:highlight w:val="none"/>
            </w:rPr>
            <w:fldChar w:fldCharType="end"/>
          </w:r>
          <w:r>
            <w:rPr>
              <w:highlight w:val="none"/>
            </w:rPr>
            <w:fldChar w:fldCharType="end"/>
          </w:r>
        </w:p>
        <w:p w14:paraId="20F260C1">
          <w:pPr>
            <w:pStyle w:val="8"/>
            <w:tabs>
              <w:tab w:val="right" w:leader="dot" w:pos="8306"/>
            </w:tabs>
            <w:spacing w:line="312" w:lineRule="auto"/>
            <w:rPr>
              <w:highlight w:val="none"/>
            </w:rPr>
          </w:pPr>
          <w:r>
            <w:rPr>
              <w:highlight w:val="none"/>
            </w:rPr>
            <w:fldChar w:fldCharType="begin"/>
          </w:r>
          <w:r>
            <w:rPr>
              <w:highlight w:val="none"/>
            </w:rPr>
            <w:instrText xml:space="preserve"> HYPERLINK \l "_Toc6010" </w:instrText>
          </w:r>
          <w:r>
            <w:rPr>
              <w:highlight w:val="none"/>
            </w:rPr>
            <w:fldChar w:fldCharType="separate"/>
          </w:r>
          <w:r>
            <w:rPr>
              <w:rFonts w:hint="eastAsia" w:ascii="仿宋_GB2312" w:hAnsi="仿宋_GB2312" w:eastAsia="仿宋_GB2312" w:cs="仿宋_GB2312"/>
              <w:kern w:val="0"/>
              <w:sz w:val="28"/>
              <w:szCs w:val="28"/>
              <w:highlight w:val="none"/>
            </w:rPr>
            <w:t>二、货物清单</w:t>
          </w:r>
          <w:r>
            <w:rPr>
              <w:highlight w:val="none"/>
            </w:rPr>
            <w:tab/>
          </w:r>
          <w:r>
            <w:rPr>
              <w:highlight w:val="none"/>
            </w:rPr>
            <w:fldChar w:fldCharType="begin"/>
          </w:r>
          <w:r>
            <w:rPr>
              <w:highlight w:val="none"/>
            </w:rPr>
            <w:instrText xml:space="preserve"> PAGEREF _Toc6010 \h </w:instrText>
          </w:r>
          <w:r>
            <w:rPr>
              <w:highlight w:val="none"/>
            </w:rPr>
            <w:fldChar w:fldCharType="separate"/>
          </w:r>
          <w:r>
            <w:rPr>
              <w:highlight w:val="none"/>
            </w:rPr>
            <w:t>1</w:t>
          </w:r>
          <w:r>
            <w:rPr>
              <w:highlight w:val="none"/>
            </w:rPr>
            <w:fldChar w:fldCharType="end"/>
          </w:r>
          <w:r>
            <w:rPr>
              <w:highlight w:val="none"/>
            </w:rPr>
            <w:fldChar w:fldCharType="end"/>
          </w:r>
        </w:p>
        <w:p w14:paraId="7FD2BD9B">
          <w:pPr>
            <w:pStyle w:val="8"/>
            <w:tabs>
              <w:tab w:val="right" w:leader="dot" w:pos="8306"/>
            </w:tabs>
            <w:spacing w:line="312" w:lineRule="auto"/>
            <w:rPr>
              <w:highlight w:val="none"/>
            </w:rPr>
          </w:pPr>
          <w:r>
            <w:rPr>
              <w:highlight w:val="none"/>
            </w:rPr>
            <w:fldChar w:fldCharType="begin"/>
          </w:r>
          <w:r>
            <w:rPr>
              <w:highlight w:val="none"/>
            </w:rPr>
            <w:instrText xml:space="preserve"> HYPERLINK \l "_Toc23444" </w:instrText>
          </w:r>
          <w:r>
            <w:rPr>
              <w:highlight w:val="none"/>
            </w:rPr>
            <w:fldChar w:fldCharType="separate"/>
          </w:r>
          <w:r>
            <w:rPr>
              <w:rFonts w:hint="eastAsia" w:ascii="仿宋_GB2312" w:hAnsi="仿宋_GB2312" w:eastAsia="仿宋_GB2312" w:cs="仿宋_GB2312"/>
              <w:kern w:val="0"/>
              <w:sz w:val="28"/>
              <w:szCs w:val="28"/>
              <w:highlight w:val="none"/>
            </w:rPr>
            <w:t>三、货物供应</w:t>
          </w:r>
          <w:r>
            <w:rPr>
              <w:highlight w:val="none"/>
            </w:rPr>
            <w:tab/>
          </w:r>
          <w:r>
            <w:rPr>
              <w:highlight w:val="none"/>
            </w:rPr>
            <w:fldChar w:fldCharType="begin"/>
          </w:r>
          <w:r>
            <w:rPr>
              <w:highlight w:val="none"/>
            </w:rPr>
            <w:instrText xml:space="preserve"> PAGEREF _Toc23444 \h </w:instrText>
          </w:r>
          <w:r>
            <w:rPr>
              <w:highlight w:val="none"/>
            </w:rPr>
            <w:fldChar w:fldCharType="separate"/>
          </w:r>
          <w:r>
            <w:rPr>
              <w:highlight w:val="none"/>
            </w:rPr>
            <w:t>2</w:t>
          </w:r>
          <w:r>
            <w:rPr>
              <w:highlight w:val="none"/>
            </w:rPr>
            <w:fldChar w:fldCharType="end"/>
          </w:r>
          <w:r>
            <w:rPr>
              <w:highlight w:val="none"/>
            </w:rPr>
            <w:fldChar w:fldCharType="end"/>
          </w:r>
        </w:p>
        <w:p w14:paraId="658A5717">
          <w:pPr>
            <w:pStyle w:val="8"/>
            <w:tabs>
              <w:tab w:val="right" w:leader="dot" w:pos="8306"/>
            </w:tabs>
            <w:spacing w:line="312" w:lineRule="auto"/>
            <w:rPr>
              <w:highlight w:val="none"/>
            </w:rPr>
          </w:pPr>
          <w:r>
            <w:rPr>
              <w:highlight w:val="none"/>
            </w:rPr>
            <w:fldChar w:fldCharType="begin"/>
          </w:r>
          <w:r>
            <w:rPr>
              <w:highlight w:val="none"/>
            </w:rPr>
            <w:instrText xml:space="preserve"> HYPERLINK \l "_Toc12447" </w:instrText>
          </w:r>
          <w:r>
            <w:rPr>
              <w:highlight w:val="none"/>
            </w:rPr>
            <w:fldChar w:fldCharType="separate"/>
          </w:r>
          <w:r>
            <w:rPr>
              <w:rFonts w:hint="eastAsia" w:ascii="仿宋_GB2312" w:hAnsi="仿宋_GB2312" w:eastAsia="仿宋_GB2312" w:cs="仿宋_GB2312"/>
              <w:kern w:val="0"/>
              <w:sz w:val="28"/>
              <w:szCs w:val="28"/>
              <w:highlight w:val="none"/>
            </w:rPr>
            <w:t>四、货物质量</w:t>
          </w:r>
          <w:r>
            <w:rPr>
              <w:highlight w:val="none"/>
            </w:rPr>
            <w:tab/>
          </w:r>
          <w:r>
            <w:rPr>
              <w:highlight w:val="none"/>
            </w:rPr>
            <w:fldChar w:fldCharType="begin"/>
          </w:r>
          <w:r>
            <w:rPr>
              <w:highlight w:val="none"/>
            </w:rPr>
            <w:instrText xml:space="preserve"> PAGEREF _Toc12447 \h </w:instrText>
          </w:r>
          <w:r>
            <w:rPr>
              <w:highlight w:val="none"/>
            </w:rPr>
            <w:fldChar w:fldCharType="separate"/>
          </w:r>
          <w:r>
            <w:rPr>
              <w:highlight w:val="none"/>
            </w:rPr>
            <w:t>4</w:t>
          </w:r>
          <w:r>
            <w:rPr>
              <w:highlight w:val="none"/>
            </w:rPr>
            <w:fldChar w:fldCharType="end"/>
          </w:r>
          <w:r>
            <w:rPr>
              <w:highlight w:val="none"/>
            </w:rPr>
            <w:fldChar w:fldCharType="end"/>
          </w:r>
        </w:p>
        <w:p w14:paraId="1563E5A1">
          <w:pPr>
            <w:pStyle w:val="8"/>
            <w:tabs>
              <w:tab w:val="right" w:leader="dot" w:pos="8306"/>
            </w:tabs>
            <w:spacing w:line="312" w:lineRule="auto"/>
            <w:rPr>
              <w:highlight w:val="none"/>
            </w:rPr>
          </w:pPr>
          <w:r>
            <w:rPr>
              <w:highlight w:val="none"/>
            </w:rPr>
            <w:fldChar w:fldCharType="begin"/>
          </w:r>
          <w:r>
            <w:rPr>
              <w:highlight w:val="none"/>
            </w:rPr>
            <w:instrText xml:space="preserve"> HYPERLINK \l "_Toc3621" </w:instrText>
          </w:r>
          <w:r>
            <w:rPr>
              <w:highlight w:val="none"/>
            </w:rPr>
            <w:fldChar w:fldCharType="separate"/>
          </w:r>
          <w:r>
            <w:rPr>
              <w:rFonts w:hint="eastAsia" w:ascii="仿宋_GB2312" w:hAnsi="仿宋_GB2312" w:eastAsia="仿宋_GB2312" w:cs="仿宋_GB2312"/>
              <w:kern w:val="0"/>
              <w:sz w:val="28"/>
              <w:szCs w:val="28"/>
              <w:highlight w:val="none"/>
            </w:rPr>
            <w:t>五、货物验收</w:t>
          </w:r>
          <w:r>
            <w:rPr>
              <w:highlight w:val="none"/>
            </w:rPr>
            <w:tab/>
          </w:r>
          <w:r>
            <w:rPr>
              <w:highlight w:val="none"/>
            </w:rPr>
            <w:fldChar w:fldCharType="begin"/>
          </w:r>
          <w:r>
            <w:rPr>
              <w:highlight w:val="none"/>
            </w:rPr>
            <w:instrText xml:space="preserve"> PAGEREF _Toc3621 \h </w:instrText>
          </w:r>
          <w:r>
            <w:rPr>
              <w:highlight w:val="none"/>
            </w:rPr>
            <w:fldChar w:fldCharType="separate"/>
          </w:r>
          <w:r>
            <w:rPr>
              <w:highlight w:val="none"/>
            </w:rPr>
            <w:t>5</w:t>
          </w:r>
          <w:r>
            <w:rPr>
              <w:highlight w:val="none"/>
            </w:rPr>
            <w:fldChar w:fldCharType="end"/>
          </w:r>
          <w:r>
            <w:rPr>
              <w:highlight w:val="none"/>
            </w:rPr>
            <w:fldChar w:fldCharType="end"/>
          </w:r>
        </w:p>
        <w:p w14:paraId="3ABE9CB6">
          <w:pPr>
            <w:pStyle w:val="8"/>
            <w:tabs>
              <w:tab w:val="right" w:leader="dot" w:pos="8306"/>
            </w:tabs>
            <w:spacing w:line="312" w:lineRule="auto"/>
            <w:rPr>
              <w:highlight w:val="none"/>
            </w:rPr>
          </w:pPr>
          <w:r>
            <w:rPr>
              <w:highlight w:val="none"/>
            </w:rPr>
            <w:fldChar w:fldCharType="begin"/>
          </w:r>
          <w:r>
            <w:rPr>
              <w:highlight w:val="none"/>
            </w:rPr>
            <w:instrText xml:space="preserve"> HYPERLINK \l "_Toc23953" </w:instrText>
          </w:r>
          <w:r>
            <w:rPr>
              <w:highlight w:val="none"/>
            </w:rPr>
            <w:fldChar w:fldCharType="separate"/>
          </w:r>
          <w:r>
            <w:rPr>
              <w:rFonts w:hint="eastAsia" w:ascii="仿宋_GB2312" w:hAnsi="仿宋_GB2312" w:eastAsia="仿宋_GB2312" w:cs="仿宋_GB2312"/>
              <w:kern w:val="0"/>
              <w:sz w:val="28"/>
              <w:szCs w:val="28"/>
              <w:highlight w:val="none"/>
            </w:rPr>
            <w:t>六、货物结算</w:t>
          </w:r>
          <w:r>
            <w:rPr>
              <w:highlight w:val="none"/>
            </w:rPr>
            <w:tab/>
          </w:r>
          <w:r>
            <w:rPr>
              <w:highlight w:val="none"/>
            </w:rPr>
            <w:fldChar w:fldCharType="begin"/>
          </w:r>
          <w:r>
            <w:rPr>
              <w:highlight w:val="none"/>
            </w:rPr>
            <w:instrText xml:space="preserve"> PAGEREF _Toc23953 \h </w:instrText>
          </w:r>
          <w:r>
            <w:rPr>
              <w:highlight w:val="none"/>
            </w:rPr>
            <w:fldChar w:fldCharType="separate"/>
          </w:r>
          <w:r>
            <w:rPr>
              <w:highlight w:val="none"/>
            </w:rPr>
            <w:t>7</w:t>
          </w:r>
          <w:r>
            <w:rPr>
              <w:highlight w:val="none"/>
            </w:rPr>
            <w:fldChar w:fldCharType="end"/>
          </w:r>
          <w:r>
            <w:rPr>
              <w:highlight w:val="none"/>
            </w:rPr>
            <w:fldChar w:fldCharType="end"/>
          </w:r>
        </w:p>
        <w:p w14:paraId="3A871502">
          <w:pPr>
            <w:pStyle w:val="8"/>
            <w:tabs>
              <w:tab w:val="right" w:leader="dot" w:pos="8306"/>
            </w:tabs>
            <w:spacing w:line="312" w:lineRule="auto"/>
            <w:rPr>
              <w:highlight w:val="none"/>
            </w:rPr>
          </w:pPr>
          <w:r>
            <w:rPr>
              <w:highlight w:val="none"/>
            </w:rPr>
            <w:fldChar w:fldCharType="begin"/>
          </w:r>
          <w:r>
            <w:rPr>
              <w:highlight w:val="none"/>
            </w:rPr>
            <w:instrText xml:space="preserve"> HYPERLINK \l "_Toc32138" </w:instrText>
          </w:r>
          <w:r>
            <w:rPr>
              <w:highlight w:val="none"/>
            </w:rPr>
            <w:fldChar w:fldCharType="separate"/>
          </w:r>
          <w:r>
            <w:rPr>
              <w:rFonts w:hint="eastAsia" w:ascii="仿宋_GB2312" w:hAnsi="仿宋_GB2312" w:eastAsia="仿宋_GB2312" w:cs="仿宋_GB2312"/>
              <w:kern w:val="0"/>
              <w:sz w:val="28"/>
              <w:szCs w:val="28"/>
              <w:highlight w:val="none"/>
            </w:rPr>
            <w:t>七、货物付款</w:t>
          </w:r>
          <w:r>
            <w:rPr>
              <w:highlight w:val="none"/>
            </w:rPr>
            <w:tab/>
          </w:r>
          <w:r>
            <w:rPr>
              <w:highlight w:val="none"/>
            </w:rPr>
            <w:fldChar w:fldCharType="begin"/>
          </w:r>
          <w:r>
            <w:rPr>
              <w:highlight w:val="none"/>
            </w:rPr>
            <w:instrText xml:space="preserve"> PAGEREF _Toc32138 \h </w:instrText>
          </w:r>
          <w:r>
            <w:rPr>
              <w:highlight w:val="none"/>
            </w:rPr>
            <w:fldChar w:fldCharType="separate"/>
          </w:r>
          <w:r>
            <w:rPr>
              <w:highlight w:val="none"/>
            </w:rPr>
            <w:t>8</w:t>
          </w:r>
          <w:r>
            <w:rPr>
              <w:highlight w:val="none"/>
            </w:rPr>
            <w:fldChar w:fldCharType="end"/>
          </w:r>
          <w:r>
            <w:rPr>
              <w:highlight w:val="none"/>
            </w:rPr>
            <w:fldChar w:fldCharType="end"/>
          </w:r>
        </w:p>
        <w:p w14:paraId="7ED59223">
          <w:pPr>
            <w:pStyle w:val="8"/>
            <w:tabs>
              <w:tab w:val="right" w:leader="dot" w:pos="8306"/>
            </w:tabs>
            <w:spacing w:line="312" w:lineRule="auto"/>
            <w:rPr>
              <w:highlight w:val="none"/>
            </w:rPr>
          </w:pPr>
          <w:r>
            <w:rPr>
              <w:highlight w:val="none"/>
            </w:rPr>
            <w:fldChar w:fldCharType="begin"/>
          </w:r>
          <w:r>
            <w:rPr>
              <w:highlight w:val="none"/>
            </w:rPr>
            <w:instrText xml:space="preserve"> HYPERLINK \l "_Toc24664" </w:instrText>
          </w:r>
          <w:r>
            <w:rPr>
              <w:highlight w:val="none"/>
            </w:rPr>
            <w:fldChar w:fldCharType="separate"/>
          </w:r>
          <w:r>
            <w:rPr>
              <w:rFonts w:hint="eastAsia" w:ascii="仿宋_GB2312" w:hAnsi="仿宋_GB2312" w:eastAsia="仿宋_GB2312" w:cs="仿宋_GB2312"/>
              <w:kern w:val="0"/>
              <w:sz w:val="28"/>
              <w:szCs w:val="28"/>
              <w:highlight w:val="none"/>
            </w:rPr>
            <w:t>八、通知与送达</w:t>
          </w:r>
          <w:r>
            <w:rPr>
              <w:highlight w:val="none"/>
            </w:rPr>
            <w:tab/>
          </w:r>
          <w:r>
            <w:rPr>
              <w:highlight w:val="none"/>
            </w:rPr>
            <w:fldChar w:fldCharType="begin"/>
          </w:r>
          <w:r>
            <w:rPr>
              <w:highlight w:val="none"/>
            </w:rPr>
            <w:instrText xml:space="preserve"> PAGEREF _Toc24664 \h </w:instrText>
          </w:r>
          <w:r>
            <w:rPr>
              <w:highlight w:val="none"/>
            </w:rPr>
            <w:fldChar w:fldCharType="separate"/>
          </w:r>
          <w:r>
            <w:rPr>
              <w:highlight w:val="none"/>
            </w:rPr>
            <w:t>10</w:t>
          </w:r>
          <w:r>
            <w:rPr>
              <w:highlight w:val="none"/>
            </w:rPr>
            <w:fldChar w:fldCharType="end"/>
          </w:r>
          <w:r>
            <w:rPr>
              <w:highlight w:val="none"/>
            </w:rPr>
            <w:fldChar w:fldCharType="end"/>
          </w:r>
        </w:p>
        <w:p w14:paraId="381B1BF0">
          <w:pPr>
            <w:pStyle w:val="8"/>
            <w:tabs>
              <w:tab w:val="right" w:leader="dot" w:pos="8306"/>
            </w:tabs>
            <w:spacing w:line="312" w:lineRule="auto"/>
            <w:rPr>
              <w:highlight w:val="none"/>
            </w:rPr>
          </w:pPr>
          <w:r>
            <w:rPr>
              <w:highlight w:val="none"/>
            </w:rPr>
            <w:fldChar w:fldCharType="begin"/>
          </w:r>
          <w:r>
            <w:rPr>
              <w:highlight w:val="none"/>
            </w:rPr>
            <w:instrText xml:space="preserve"> HYPERLINK \l "_Toc26478" </w:instrText>
          </w:r>
          <w:r>
            <w:rPr>
              <w:highlight w:val="none"/>
            </w:rPr>
            <w:fldChar w:fldCharType="separate"/>
          </w:r>
          <w:r>
            <w:rPr>
              <w:rFonts w:hint="eastAsia" w:ascii="仿宋_GB2312" w:hAnsi="仿宋_GB2312" w:eastAsia="仿宋_GB2312" w:cs="仿宋_GB2312"/>
              <w:kern w:val="0"/>
              <w:sz w:val="28"/>
              <w:szCs w:val="28"/>
              <w:highlight w:val="none"/>
            </w:rPr>
            <w:t>九、合同生效</w:t>
          </w:r>
          <w:r>
            <w:rPr>
              <w:highlight w:val="none"/>
            </w:rPr>
            <w:tab/>
          </w:r>
          <w:r>
            <w:rPr>
              <w:highlight w:val="none"/>
            </w:rPr>
            <w:fldChar w:fldCharType="begin"/>
          </w:r>
          <w:r>
            <w:rPr>
              <w:highlight w:val="none"/>
            </w:rPr>
            <w:instrText xml:space="preserve"> PAGEREF _Toc26478 \h </w:instrText>
          </w:r>
          <w:r>
            <w:rPr>
              <w:highlight w:val="none"/>
            </w:rPr>
            <w:fldChar w:fldCharType="separate"/>
          </w:r>
          <w:r>
            <w:rPr>
              <w:highlight w:val="none"/>
            </w:rPr>
            <w:t>11</w:t>
          </w:r>
          <w:r>
            <w:rPr>
              <w:highlight w:val="none"/>
            </w:rPr>
            <w:fldChar w:fldCharType="end"/>
          </w:r>
          <w:r>
            <w:rPr>
              <w:highlight w:val="none"/>
            </w:rPr>
            <w:fldChar w:fldCharType="end"/>
          </w:r>
        </w:p>
        <w:p w14:paraId="1894A767">
          <w:pPr>
            <w:pStyle w:val="8"/>
            <w:tabs>
              <w:tab w:val="right" w:leader="dot" w:pos="8306"/>
            </w:tabs>
            <w:spacing w:line="312" w:lineRule="auto"/>
            <w:rPr>
              <w:highlight w:val="none"/>
            </w:rPr>
          </w:pPr>
          <w:r>
            <w:rPr>
              <w:highlight w:val="none"/>
            </w:rPr>
            <w:fldChar w:fldCharType="begin"/>
          </w:r>
          <w:r>
            <w:rPr>
              <w:highlight w:val="none"/>
            </w:rPr>
            <w:instrText xml:space="preserve"> HYPERLINK \l "_Toc7321" </w:instrText>
          </w:r>
          <w:r>
            <w:rPr>
              <w:highlight w:val="none"/>
            </w:rPr>
            <w:fldChar w:fldCharType="separate"/>
          </w:r>
          <w:r>
            <w:rPr>
              <w:rFonts w:hint="eastAsia" w:ascii="仿宋_GB2312" w:hAnsi="仿宋_GB2312" w:eastAsia="仿宋_GB2312" w:cs="仿宋_GB2312"/>
              <w:kern w:val="0"/>
              <w:sz w:val="28"/>
              <w:szCs w:val="28"/>
              <w:highlight w:val="none"/>
            </w:rPr>
            <w:t>附件一 授权委托书</w:t>
          </w:r>
          <w:r>
            <w:rPr>
              <w:highlight w:val="none"/>
            </w:rPr>
            <w:tab/>
          </w:r>
          <w:r>
            <w:rPr>
              <w:highlight w:val="none"/>
            </w:rPr>
            <w:fldChar w:fldCharType="begin"/>
          </w:r>
          <w:r>
            <w:rPr>
              <w:highlight w:val="none"/>
            </w:rPr>
            <w:instrText xml:space="preserve"> PAGEREF _Toc7321 \h </w:instrText>
          </w:r>
          <w:r>
            <w:rPr>
              <w:highlight w:val="none"/>
            </w:rPr>
            <w:fldChar w:fldCharType="separate"/>
          </w:r>
          <w:r>
            <w:rPr>
              <w:highlight w:val="none"/>
            </w:rPr>
            <w:t>13</w:t>
          </w:r>
          <w:r>
            <w:rPr>
              <w:highlight w:val="none"/>
            </w:rPr>
            <w:fldChar w:fldCharType="end"/>
          </w:r>
          <w:r>
            <w:rPr>
              <w:highlight w:val="none"/>
            </w:rPr>
            <w:fldChar w:fldCharType="end"/>
          </w:r>
        </w:p>
        <w:p w14:paraId="40785E24">
          <w:pPr>
            <w:pStyle w:val="8"/>
            <w:tabs>
              <w:tab w:val="right" w:leader="dot" w:pos="8306"/>
            </w:tabs>
            <w:spacing w:line="312" w:lineRule="auto"/>
            <w:rPr>
              <w:highlight w:val="none"/>
            </w:rPr>
          </w:pPr>
          <w:r>
            <w:rPr>
              <w:highlight w:val="none"/>
            </w:rPr>
            <w:fldChar w:fldCharType="begin"/>
          </w:r>
          <w:r>
            <w:rPr>
              <w:highlight w:val="none"/>
            </w:rPr>
            <w:instrText xml:space="preserve"> HYPERLINK \l "_Toc21254" </w:instrText>
          </w:r>
          <w:r>
            <w:rPr>
              <w:highlight w:val="none"/>
            </w:rPr>
            <w:fldChar w:fldCharType="separate"/>
          </w:r>
          <w:r>
            <w:rPr>
              <w:rFonts w:hint="eastAsia" w:ascii="仿宋_GB2312" w:hAnsi="仿宋_GB2312" w:eastAsia="仿宋_GB2312" w:cs="仿宋_GB2312"/>
              <w:kern w:val="0"/>
              <w:sz w:val="28"/>
              <w:szCs w:val="28"/>
              <w:highlight w:val="none"/>
            </w:rPr>
            <w:t>附件二 项目部合规权限告知书</w:t>
          </w:r>
          <w:r>
            <w:rPr>
              <w:highlight w:val="none"/>
            </w:rPr>
            <w:tab/>
          </w:r>
          <w:r>
            <w:rPr>
              <w:highlight w:val="none"/>
            </w:rPr>
            <w:fldChar w:fldCharType="begin"/>
          </w:r>
          <w:r>
            <w:rPr>
              <w:highlight w:val="none"/>
            </w:rPr>
            <w:instrText xml:space="preserve"> PAGEREF _Toc21254 \h </w:instrText>
          </w:r>
          <w:r>
            <w:rPr>
              <w:highlight w:val="none"/>
            </w:rPr>
            <w:fldChar w:fldCharType="separate"/>
          </w:r>
          <w:r>
            <w:rPr>
              <w:highlight w:val="none"/>
            </w:rPr>
            <w:t>14</w:t>
          </w:r>
          <w:r>
            <w:rPr>
              <w:highlight w:val="none"/>
            </w:rPr>
            <w:fldChar w:fldCharType="end"/>
          </w:r>
          <w:r>
            <w:rPr>
              <w:highlight w:val="none"/>
            </w:rPr>
            <w:fldChar w:fldCharType="end"/>
          </w:r>
        </w:p>
        <w:p w14:paraId="534609AB">
          <w:pPr>
            <w:pStyle w:val="8"/>
            <w:tabs>
              <w:tab w:val="right" w:leader="dot" w:pos="8306"/>
            </w:tabs>
            <w:spacing w:line="312" w:lineRule="auto"/>
            <w:rPr>
              <w:highlight w:val="none"/>
            </w:rPr>
          </w:pPr>
          <w:r>
            <w:rPr>
              <w:highlight w:val="none"/>
            </w:rPr>
            <w:fldChar w:fldCharType="begin"/>
          </w:r>
          <w:r>
            <w:rPr>
              <w:highlight w:val="none"/>
            </w:rPr>
            <w:instrText xml:space="preserve"> HYPERLINK \l "_Toc20069" </w:instrText>
          </w:r>
          <w:r>
            <w:rPr>
              <w:highlight w:val="none"/>
            </w:rPr>
            <w:fldChar w:fldCharType="separate"/>
          </w:r>
          <w:r>
            <w:rPr>
              <w:rFonts w:hint="eastAsia" w:ascii="仿宋_GB2312" w:hAnsi="仿宋_GB2312" w:eastAsia="仿宋_GB2312" w:cs="仿宋_GB2312"/>
              <w:kern w:val="0"/>
              <w:sz w:val="28"/>
              <w:szCs w:val="28"/>
              <w:highlight w:val="none"/>
            </w:rPr>
            <w:t>附件三 安全管理协议书</w:t>
          </w:r>
          <w:r>
            <w:rPr>
              <w:highlight w:val="none"/>
            </w:rPr>
            <w:tab/>
          </w:r>
          <w:r>
            <w:rPr>
              <w:highlight w:val="none"/>
            </w:rPr>
            <w:fldChar w:fldCharType="begin"/>
          </w:r>
          <w:r>
            <w:rPr>
              <w:highlight w:val="none"/>
            </w:rPr>
            <w:instrText xml:space="preserve"> PAGEREF _Toc20069 \h </w:instrText>
          </w:r>
          <w:r>
            <w:rPr>
              <w:highlight w:val="none"/>
            </w:rPr>
            <w:fldChar w:fldCharType="separate"/>
          </w:r>
          <w:r>
            <w:rPr>
              <w:highlight w:val="none"/>
            </w:rPr>
            <w:t>19</w:t>
          </w:r>
          <w:r>
            <w:rPr>
              <w:highlight w:val="none"/>
            </w:rPr>
            <w:fldChar w:fldCharType="end"/>
          </w:r>
          <w:r>
            <w:rPr>
              <w:highlight w:val="none"/>
            </w:rPr>
            <w:fldChar w:fldCharType="end"/>
          </w:r>
        </w:p>
        <w:p w14:paraId="32CD1E93">
          <w:pPr>
            <w:pStyle w:val="8"/>
            <w:tabs>
              <w:tab w:val="right" w:leader="dot" w:pos="8306"/>
            </w:tabs>
            <w:spacing w:line="312" w:lineRule="auto"/>
            <w:rPr>
              <w:highlight w:val="none"/>
            </w:rPr>
          </w:pPr>
          <w:r>
            <w:rPr>
              <w:highlight w:val="none"/>
            </w:rPr>
            <w:fldChar w:fldCharType="begin"/>
          </w:r>
          <w:r>
            <w:rPr>
              <w:highlight w:val="none"/>
            </w:rPr>
            <w:instrText xml:space="preserve"> HYPERLINK \l "_Toc24322" </w:instrText>
          </w:r>
          <w:r>
            <w:rPr>
              <w:highlight w:val="none"/>
            </w:rPr>
            <w:fldChar w:fldCharType="separate"/>
          </w:r>
          <w:r>
            <w:rPr>
              <w:rFonts w:hint="eastAsia" w:ascii="仿宋_GB2312" w:hAnsi="仿宋_GB2312" w:eastAsia="仿宋_GB2312" w:cs="仿宋_GB2312"/>
              <w:kern w:val="0"/>
              <w:sz w:val="28"/>
              <w:szCs w:val="28"/>
              <w:highlight w:val="none"/>
            </w:rPr>
            <w:t xml:space="preserve">附件四 </w:t>
          </w:r>
          <w:r>
            <w:rPr>
              <w:rFonts w:hint="eastAsia" w:ascii="仿宋_GB2312" w:hAnsi="仿宋_GB2312" w:eastAsia="仿宋_GB2312" w:cs="仿宋_GB2312"/>
              <w:sz w:val="28"/>
              <w:szCs w:val="28"/>
              <w:highlight w:val="none"/>
            </w:rPr>
            <w:t>廉洁从业共建协议</w:t>
          </w:r>
          <w:r>
            <w:rPr>
              <w:highlight w:val="none"/>
            </w:rPr>
            <w:tab/>
          </w:r>
          <w:r>
            <w:rPr>
              <w:highlight w:val="none"/>
            </w:rPr>
            <w:fldChar w:fldCharType="begin"/>
          </w:r>
          <w:r>
            <w:rPr>
              <w:highlight w:val="none"/>
            </w:rPr>
            <w:instrText xml:space="preserve"> PAGEREF _Toc24322 \h </w:instrText>
          </w:r>
          <w:r>
            <w:rPr>
              <w:highlight w:val="none"/>
            </w:rPr>
            <w:fldChar w:fldCharType="separate"/>
          </w:r>
          <w:r>
            <w:rPr>
              <w:highlight w:val="none"/>
            </w:rPr>
            <w:t>23</w:t>
          </w:r>
          <w:r>
            <w:rPr>
              <w:highlight w:val="none"/>
            </w:rPr>
            <w:fldChar w:fldCharType="end"/>
          </w:r>
          <w:r>
            <w:rPr>
              <w:highlight w:val="none"/>
            </w:rPr>
            <w:fldChar w:fldCharType="end"/>
          </w:r>
        </w:p>
        <w:p w14:paraId="78BA12A7">
          <w:pPr>
            <w:pStyle w:val="8"/>
            <w:tabs>
              <w:tab w:val="right" w:leader="dot" w:pos="8306"/>
            </w:tabs>
            <w:spacing w:line="312" w:lineRule="auto"/>
            <w:rPr>
              <w:highlight w:val="none"/>
            </w:rPr>
          </w:pPr>
          <w:r>
            <w:rPr>
              <w:highlight w:val="none"/>
            </w:rPr>
            <w:fldChar w:fldCharType="begin"/>
          </w:r>
          <w:r>
            <w:rPr>
              <w:highlight w:val="none"/>
            </w:rPr>
            <w:instrText xml:space="preserve"> HYPERLINK \l "_Toc18674" </w:instrText>
          </w:r>
          <w:r>
            <w:rPr>
              <w:highlight w:val="none"/>
            </w:rPr>
            <w:fldChar w:fldCharType="separate"/>
          </w:r>
          <w:r>
            <w:rPr>
              <w:rFonts w:hint="eastAsia" w:ascii="黑体" w:hAnsi="黑体" w:eastAsia="黑体" w:cs="黑体"/>
              <w:bCs/>
              <w:sz w:val="30"/>
              <w:szCs w:val="30"/>
              <w:highlight w:val="none"/>
            </w:rPr>
            <w:t>第二部分 通用条款</w:t>
          </w:r>
          <w:r>
            <w:rPr>
              <w:highlight w:val="none"/>
            </w:rPr>
            <w:tab/>
          </w:r>
          <w:r>
            <w:rPr>
              <w:highlight w:val="none"/>
            </w:rPr>
            <w:fldChar w:fldCharType="begin"/>
          </w:r>
          <w:r>
            <w:rPr>
              <w:highlight w:val="none"/>
            </w:rPr>
            <w:instrText xml:space="preserve"> PAGEREF _Toc18674 \h </w:instrText>
          </w:r>
          <w:r>
            <w:rPr>
              <w:highlight w:val="none"/>
            </w:rPr>
            <w:fldChar w:fldCharType="separate"/>
          </w:r>
          <w:r>
            <w:rPr>
              <w:highlight w:val="none"/>
            </w:rPr>
            <w:t>26</w:t>
          </w:r>
          <w:r>
            <w:rPr>
              <w:highlight w:val="none"/>
            </w:rPr>
            <w:fldChar w:fldCharType="end"/>
          </w:r>
          <w:r>
            <w:rPr>
              <w:highlight w:val="none"/>
            </w:rPr>
            <w:fldChar w:fldCharType="end"/>
          </w:r>
        </w:p>
        <w:p w14:paraId="561753E6">
          <w:pPr>
            <w:pStyle w:val="8"/>
            <w:tabs>
              <w:tab w:val="right" w:leader="dot" w:pos="8306"/>
            </w:tabs>
            <w:spacing w:line="312" w:lineRule="auto"/>
            <w:rPr>
              <w:highlight w:val="none"/>
            </w:rPr>
          </w:pPr>
          <w:r>
            <w:rPr>
              <w:highlight w:val="none"/>
            </w:rPr>
            <w:fldChar w:fldCharType="begin"/>
          </w:r>
          <w:r>
            <w:rPr>
              <w:highlight w:val="none"/>
            </w:rPr>
            <w:instrText xml:space="preserve"> HYPERLINK \l "_Toc3066" </w:instrText>
          </w:r>
          <w:r>
            <w:rPr>
              <w:highlight w:val="none"/>
            </w:rPr>
            <w:fldChar w:fldCharType="separate"/>
          </w:r>
          <w:r>
            <w:rPr>
              <w:rFonts w:hint="eastAsia" w:ascii="仿宋_GB2312" w:hAnsi="仿宋_GB2312" w:eastAsia="仿宋_GB2312" w:cs="仿宋_GB2312"/>
              <w:kern w:val="0"/>
              <w:sz w:val="28"/>
              <w:szCs w:val="28"/>
              <w:highlight w:val="none"/>
            </w:rPr>
            <w:t>一、货物合同附随义务</w:t>
          </w:r>
          <w:r>
            <w:rPr>
              <w:highlight w:val="none"/>
            </w:rPr>
            <w:tab/>
          </w:r>
          <w:r>
            <w:rPr>
              <w:highlight w:val="none"/>
            </w:rPr>
            <w:fldChar w:fldCharType="begin"/>
          </w:r>
          <w:r>
            <w:rPr>
              <w:highlight w:val="none"/>
            </w:rPr>
            <w:instrText xml:space="preserve"> PAGEREF _Toc3066 \h </w:instrText>
          </w:r>
          <w:r>
            <w:rPr>
              <w:highlight w:val="none"/>
            </w:rPr>
            <w:fldChar w:fldCharType="separate"/>
          </w:r>
          <w:r>
            <w:rPr>
              <w:highlight w:val="none"/>
            </w:rPr>
            <w:t>26</w:t>
          </w:r>
          <w:r>
            <w:rPr>
              <w:highlight w:val="none"/>
            </w:rPr>
            <w:fldChar w:fldCharType="end"/>
          </w:r>
          <w:r>
            <w:rPr>
              <w:highlight w:val="none"/>
            </w:rPr>
            <w:fldChar w:fldCharType="end"/>
          </w:r>
        </w:p>
        <w:p w14:paraId="4AC02A40">
          <w:pPr>
            <w:pStyle w:val="8"/>
            <w:tabs>
              <w:tab w:val="right" w:leader="dot" w:pos="8306"/>
            </w:tabs>
            <w:spacing w:line="312" w:lineRule="auto"/>
            <w:rPr>
              <w:highlight w:val="none"/>
            </w:rPr>
          </w:pPr>
          <w:r>
            <w:rPr>
              <w:highlight w:val="none"/>
            </w:rPr>
            <w:fldChar w:fldCharType="begin"/>
          </w:r>
          <w:r>
            <w:rPr>
              <w:highlight w:val="none"/>
            </w:rPr>
            <w:instrText xml:space="preserve"> HYPERLINK \l "_Toc965" </w:instrText>
          </w:r>
          <w:r>
            <w:rPr>
              <w:highlight w:val="none"/>
            </w:rPr>
            <w:fldChar w:fldCharType="separate"/>
          </w:r>
          <w:r>
            <w:rPr>
              <w:rFonts w:hint="eastAsia" w:ascii="仿宋_GB2312" w:hAnsi="仿宋_GB2312" w:eastAsia="仿宋_GB2312" w:cs="仿宋_GB2312"/>
              <w:kern w:val="0"/>
              <w:sz w:val="28"/>
              <w:szCs w:val="28"/>
              <w:highlight w:val="none"/>
            </w:rPr>
            <w:t>二、货物违约责任</w:t>
          </w:r>
          <w:r>
            <w:rPr>
              <w:highlight w:val="none"/>
            </w:rPr>
            <w:tab/>
          </w:r>
          <w:r>
            <w:rPr>
              <w:highlight w:val="none"/>
            </w:rPr>
            <w:fldChar w:fldCharType="begin"/>
          </w:r>
          <w:r>
            <w:rPr>
              <w:highlight w:val="none"/>
            </w:rPr>
            <w:instrText xml:space="preserve"> PAGEREF _Toc965 \h </w:instrText>
          </w:r>
          <w:r>
            <w:rPr>
              <w:highlight w:val="none"/>
            </w:rPr>
            <w:fldChar w:fldCharType="separate"/>
          </w:r>
          <w:r>
            <w:rPr>
              <w:highlight w:val="none"/>
            </w:rPr>
            <w:t>27</w:t>
          </w:r>
          <w:r>
            <w:rPr>
              <w:highlight w:val="none"/>
            </w:rPr>
            <w:fldChar w:fldCharType="end"/>
          </w:r>
          <w:r>
            <w:rPr>
              <w:highlight w:val="none"/>
            </w:rPr>
            <w:fldChar w:fldCharType="end"/>
          </w:r>
        </w:p>
        <w:p w14:paraId="6EF212C1">
          <w:pPr>
            <w:pStyle w:val="8"/>
            <w:tabs>
              <w:tab w:val="right" w:leader="dot" w:pos="8306"/>
            </w:tabs>
            <w:spacing w:line="312" w:lineRule="auto"/>
            <w:rPr>
              <w:highlight w:val="none"/>
            </w:rPr>
          </w:pPr>
          <w:r>
            <w:rPr>
              <w:highlight w:val="none"/>
            </w:rPr>
            <w:fldChar w:fldCharType="begin"/>
          </w:r>
          <w:r>
            <w:rPr>
              <w:highlight w:val="none"/>
            </w:rPr>
            <w:instrText xml:space="preserve"> HYPERLINK \l "_Toc20335" </w:instrText>
          </w:r>
          <w:r>
            <w:rPr>
              <w:highlight w:val="none"/>
            </w:rPr>
            <w:fldChar w:fldCharType="separate"/>
          </w:r>
          <w:r>
            <w:rPr>
              <w:rFonts w:hint="eastAsia" w:ascii="仿宋_GB2312" w:hAnsi="仿宋_GB2312" w:eastAsia="仿宋_GB2312" w:cs="仿宋_GB2312"/>
              <w:kern w:val="0"/>
              <w:sz w:val="28"/>
              <w:szCs w:val="28"/>
              <w:highlight w:val="none"/>
            </w:rPr>
            <w:t>三、货物缺陷索赔</w:t>
          </w:r>
          <w:r>
            <w:rPr>
              <w:highlight w:val="none"/>
            </w:rPr>
            <w:tab/>
          </w:r>
          <w:r>
            <w:rPr>
              <w:highlight w:val="none"/>
            </w:rPr>
            <w:fldChar w:fldCharType="begin"/>
          </w:r>
          <w:r>
            <w:rPr>
              <w:highlight w:val="none"/>
            </w:rPr>
            <w:instrText xml:space="preserve"> PAGEREF _Toc20335 \h </w:instrText>
          </w:r>
          <w:r>
            <w:rPr>
              <w:highlight w:val="none"/>
            </w:rPr>
            <w:fldChar w:fldCharType="separate"/>
          </w:r>
          <w:r>
            <w:rPr>
              <w:highlight w:val="none"/>
            </w:rPr>
            <w:t>29</w:t>
          </w:r>
          <w:r>
            <w:rPr>
              <w:highlight w:val="none"/>
            </w:rPr>
            <w:fldChar w:fldCharType="end"/>
          </w:r>
          <w:r>
            <w:rPr>
              <w:highlight w:val="none"/>
            </w:rPr>
            <w:fldChar w:fldCharType="end"/>
          </w:r>
        </w:p>
        <w:p w14:paraId="1839E864">
          <w:pPr>
            <w:pStyle w:val="8"/>
            <w:tabs>
              <w:tab w:val="right" w:leader="dot" w:pos="8306"/>
            </w:tabs>
            <w:spacing w:line="312" w:lineRule="auto"/>
            <w:rPr>
              <w:highlight w:val="none"/>
            </w:rPr>
          </w:pPr>
          <w:r>
            <w:rPr>
              <w:highlight w:val="none"/>
            </w:rPr>
            <w:fldChar w:fldCharType="begin"/>
          </w:r>
          <w:r>
            <w:rPr>
              <w:highlight w:val="none"/>
            </w:rPr>
            <w:instrText xml:space="preserve"> HYPERLINK \l "_Toc12864" </w:instrText>
          </w:r>
          <w:r>
            <w:rPr>
              <w:highlight w:val="none"/>
            </w:rPr>
            <w:fldChar w:fldCharType="separate"/>
          </w:r>
          <w:r>
            <w:rPr>
              <w:rFonts w:hint="eastAsia" w:ascii="仿宋_GB2312" w:hAnsi="仿宋_GB2312" w:eastAsia="仿宋_GB2312" w:cs="仿宋_GB2312"/>
              <w:kern w:val="0"/>
              <w:sz w:val="28"/>
              <w:szCs w:val="28"/>
              <w:highlight w:val="none"/>
            </w:rPr>
            <w:t>四、合同变更</w:t>
          </w:r>
          <w:r>
            <w:rPr>
              <w:highlight w:val="none"/>
            </w:rPr>
            <w:tab/>
          </w:r>
          <w:r>
            <w:rPr>
              <w:highlight w:val="none"/>
            </w:rPr>
            <w:fldChar w:fldCharType="begin"/>
          </w:r>
          <w:r>
            <w:rPr>
              <w:highlight w:val="none"/>
            </w:rPr>
            <w:instrText xml:space="preserve"> PAGEREF _Toc12864 \h </w:instrText>
          </w:r>
          <w:r>
            <w:rPr>
              <w:highlight w:val="none"/>
            </w:rPr>
            <w:fldChar w:fldCharType="separate"/>
          </w:r>
          <w:r>
            <w:rPr>
              <w:highlight w:val="none"/>
            </w:rPr>
            <w:t>30</w:t>
          </w:r>
          <w:r>
            <w:rPr>
              <w:highlight w:val="none"/>
            </w:rPr>
            <w:fldChar w:fldCharType="end"/>
          </w:r>
          <w:r>
            <w:rPr>
              <w:highlight w:val="none"/>
            </w:rPr>
            <w:fldChar w:fldCharType="end"/>
          </w:r>
        </w:p>
        <w:p w14:paraId="0DC7F411">
          <w:pPr>
            <w:pStyle w:val="8"/>
            <w:tabs>
              <w:tab w:val="right" w:leader="dot" w:pos="8306"/>
            </w:tabs>
            <w:spacing w:line="312" w:lineRule="auto"/>
            <w:rPr>
              <w:highlight w:val="none"/>
            </w:rPr>
          </w:pPr>
          <w:r>
            <w:rPr>
              <w:highlight w:val="none"/>
            </w:rPr>
            <w:fldChar w:fldCharType="begin"/>
          </w:r>
          <w:r>
            <w:rPr>
              <w:highlight w:val="none"/>
            </w:rPr>
            <w:instrText xml:space="preserve"> HYPERLINK \l "_Toc23441" </w:instrText>
          </w:r>
          <w:r>
            <w:rPr>
              <w:highlight w:val="none"/>
            </w:rPr>
            <w:fldChar w:fldCharType="separate"/>
          </w:r>
          <w:r>
            <w:rPr>
              <w:rFonts w:hint="eastAsia" w:ascii="仿宋_GB2312" w:hAnsi="仿宋_GB2312" w:eastAsia="仿宋_GB2312" w:cs="仿宋_GB2312"/>
              <w:kern w:val="0"/>
              <w:sz w:val="28"/>
              <w:szCs w:val="28"/>
              <w:highlight w:val="none"/>
            </w:rPr>
            <w:t>五、合同解除</w:t>
          </w:r>
          <w:r>
            <w:rPr>
              <w:highlight w:val="none"/>
            </w:rPr>
            <w:tab/>
          </w:r>
          <w:r>
            <w:rPr>
              <w:highlight w:val="none"/>
            </w:rPr>
            <w:fldChar w:fldCharType="begin"/>
          </w:r>
          <w:r>
            <w:rPr>
              <w:highlight w:val="none"/>
            </w:rPr>
            <w:instrText xml:space="preserve"> PAGEREF _Toc23441 \h </w:instrText>
          </w:r>
          <w:r>
            <w:rPr>
              <w:highlight w:val="none"/>
            </w:rPr>
            <w:fldChar w:fldCharType="separate"/>
          </w:r>
          <w:r>
            <w:rPr>
              <w:highlight w:val="none"/>
            </w:rPr>
            <w:t>30</w:t>
          </w:r>
          <w:r>
            <w:rPr>
              <w:highlight w:val="none"/>
            </w:rPr>
            <w:fldChar w:fldCharType="end"/>
          </w:r>
          <w:r>
            <w:rPr>
              <w:highlight w:val="none"/>
            </w:rPr>
            <w:fldChar w:fldCharType="end"/>
          </w:r>
        </w:p>
        <w:p w14:paraId="6D24CBF2">
          <w:pPr>
            <w:pStyle w:val="8"/>
            <w:tabs>
              <w:tab w:val="right" w:leader="dot" w:pos="8306"/>
            </w:tabs>
            <w:spacing w:line="312" w:lineRule="auto"/>
            <w:rPr>
              <w:highlight w:val="none"/>
            </w:rPr>
          </w:pPr>
          <w:r>
            <w:rPr>
              <w:highlight w:val="none"/>
            </w:rPr>
            <w:fldChar w:fldCharType="begin"/>
          </w:r>
          <w:r>
            <w:rPr>
              <w:highlight w:val="none"/>
            </w:rPr>
            <w:instrText xml:space="preserve"> HYPERLINK \l "_Toc16580" </w:instrText>
          </w:r>
          <w:r>
            <w:rPr>
              <w:highlight w:val="none"/>
            </w:rPr>
            <w:fldChar w:fldCharType="separate"/>
          </w:r>
          <w:r>
            <w:rPr>
              <w:rFonts w:hint="eastAsia" w:ascii="仿宋_GB2312" w:hAnsi="仿宋_GB2312" w:eastAsia="仿宋_GB2312" w:cs="仿宋_GB2312"/>
              <w:kern w:val="0"/>
              <w:sz w:val="28"/>
              <w:szCs w:val="28"/>
              <w:highlight w:val="none"/>
            </w:rPr>
            <w:t>六、不可抗力</w:t>
          </w:r>
          <w:r>
            <w:rPr>
              <w:highlight w:val="none"/>
            </w:rPr>
            <w:tab/>
          </w:r>
          <w:r>
            <w:rPr>
              <w:highlight w:val="none"/>
            </w:rPr>
            <w:fldChar w:fldCharType="begin"/>
          </w:r>
          <w:r>
            <w:rPr>
              <w:highlight w:val="none"/>
            </w:rPr>
            <w:instrText xml:space="preserve"> PAGEREF _Toc16580 \h </w:instrText>
          </w:r>
          <w:r>
            <w:rPr>
              <w:highlight w:val="none"/>
            </w:rPr>
            <w:fldChar w:fldCharType="separate"/>
          </w:r>
          <w:r>
            <w:rPr>
              <w:highlight w:val="none"/>
            </w:rPr>
            <w:t>31</w:t>
          </w:r>
          <w:r>
            <w:rPr>
              <w:highlight w:val="none"/>
            </w:rPr>
            <w:fldChar w:fldCharType="end"/>
          </w:r>
          <w:r>
            <w:rPr>
              <w:highlight w:val="none"/>
            </w:rPr>
            <w:fldChar w:fldCharType="end"/>
          </w:r>
        </w:p>
        <w:p w14:paraId="5A2FC7B8">
          <w:pPr>
            <w:pStyle w:val="8"/>
            <w:tabs>
              <w:tab w:val="right" w:leader="dot" w:pos="8306"/>
            </w:tabs>
            <w:spacing w:line="312" w:lineRule="auto"/>
            <w:rPr>
              <w:highlight w:val="none"/>
            </w:rPr>
          </w:pPr>
          <w:r>
            <w:rPr>
              <w:highlight w:val="none"/>
            </w:rPr>
            <w:fldChar w:fldCharType="begin"/>
          </w:r>
          <w:r>
            <w:rPr>
              <w:highlight w:val="none"/>
            </w:rPr>
            <w:instrText xml:space="preserve"> HYPERLINK \l "_Toc10852" </w:instrText>
          </w:r>
          <w:r>
            <w:rPr>
              <w:highlight w:val="none"/>
            </w:rPr>
            <w:fldChar w:fldCharType="separate"/>
          </w:r>
          <w:r>
            <w:rPr>
              <w:rFonts w:hint="eastAsia" w:ascii="仿宋_GB2312" w:hAnsi="仿宋_GB2312" w:eastAsia="仿宋_GB2312" w:cs="仿宋_GB2312"/>
              <w:kern w:val="0"/>
              <w:sz w:val="28"/>
              <w:szCs w:val="28"/>
              <w:highlight w:val="none"/>
            </w:rPr>
            <w:t>七、争议解决</w:t>
          </w:r>
          <w:r>
            <w:rPr>
              <w:highlight w:val="none"/>
            </w:rPr>
            <w:tab/>
          </w:r>
          <w:r>
            <w:rPr>
              <w:highlight w:val="none"/>
            </w:rPr>
            <w:fldChar w:fldCharType="begin"/>
          </w:r>
          <w:r>
            <w:rPr>
              <w:highlight w:val="none"/>
            </w:rPr>
            <w:instrText xml:space="preserve"> PAGEREF _Toc10852 \h </w:instrText>
          </w:r>
          <w:r>
            <w:rPr>
              <w:highlight w:val="none"/>
            </w:rPr>
            <w:fldChar w:fldCharType="separate"/>
          </w:r>
          <w:r>
            <w:rPr>
              <w:highlight w:val="none"/>
            </w:rPr>
            <w:t>32</w:t>
          </w:r>
          <w:r>
            <w:rPr>
              <w:highlight w:val="none"/>
            </w:rPr>
            <w:fldChar w:fldCharType="end"/>
          </w:r>
          <w:r>
            <w:rPr>
              <w:highlight w:val="none"/>
            </w:rPr>
            <w:fldChar w:fldCharType="end"/>
          </w:r>
        </w:p>
        <w:p w14:paraId="6AD1E87B">
          <w:pPr>
            <w:pStyle w:val="8"/>
            <w:tabs>
              <w:tab w:val="right" w:leader="dot" w:pos="8306"/>
            </w:tabs>
            <w:spacing w:line="312" w:lineRule="auto"/>
            <w:rPr>
              <w:highlight w:val="none"/>
            </w:rPr>
          </w:pPr>
          <w:r>
            <w:rPr>
              <w:highlight w:val="none"/>
            </w:rPr>
            <w:fldChar w:fldCharType="begin"/>
          </w:r>
          <w:r>
            <w:rPr>
              <w:highlight w:val="none"/>
            </w:rPr>
            <w:instrText xml:space="preserve"> HYPERLINK \l "_Toc11207" </w:instrText>
          </w:r>
          <w:r>
            <w:rPr>
              <w:highlight w:val="none"/>
            </w:rPr>
            <w:fldChar w:fldCharType="separate"/>
          </w:r>
          <w:r>
            <w:rPr>
              <w:rFonts w:hint="eastAsia" w:ascii="仿宋_GB2312" w:hAnsi="仿宋_GB2312" w:eastAsia="仿宋_GB2312" w:cs="仿宋_GB2312"/>
              <w:kern w:val="0"/>
              <w:sz w:val="28"/>
              <w:szCs w:val="28"/>
              <w:highlight w:val="none"/>
            </w:rPr>
            <w:t>八、保密义务</w:t>
          </w:r>
          <w:r>
            <w:rPr>
              <w:highlight w:val="none"/>
            </w:rPr>
            <w:tab/>
          </w:r>
          <w:r>
            <w:rPr>
              <w:highlight w:val="none"/>
            </w:rPr>
            <w:fldChar w:fldCharType="begin"/>
          </w:r>
          <w:r>
            <w:rPr>
              <w:highlight w:val="none"/>
            </w:rPr>
            <w:instrText xml:space="preserve"> PAGEREF _Toc11207 \h </w:instrText>
          </w:r>
          <w:r>
            <w:rPr>
              <w:highlight w:val="none"/>
            </w:rPr>
            <w:fldChar w:fldCharType="separate"/>
          </w:r>
          <w:r>
            <w:rPr>
              <w:highlight w:val="none"/>
            </w:rPr>
            <w:t>32</w:t>
          </w:r>
          <w:r>
            <w:rPr>
              <w:highlight w:val="none"/>
            </w:rPr>
            <w:fldChar w:fldCharType="end"/>
          </w:r>
          <w:r>
            <w:rPr>
              <w:highlight w:val="none"/>
            </w:rPr>
            <w:fldChar w:fldCharType="end"/>
          </w:r>
        </w:p>
        <w:p w14:paraId="1FC31133">
          <w:pPr>
            <w:pStyle w:val="8"/>
            <w:tabs>
              <w:tab w:val="right" w:leader="dot" w:pos="8306"/>
            </w:tabs>
            <w:spacing w:line="312" w:lineRule="auto"/>
            <w:rPr>
              <w:highlight w:val="none"/>
            </w:rPr>
          </w:pPr>
          <w:r>
            <w:rPr>
              <w:highlight w:val="none"/>
            </w:rPr>
            <w:fldChar w:fldCharType="begin"/>
          </w:r>
          <w:r>
            <w:rPr>
              <w:highlight w:val="none"/>
            </w:rPr>
            <w:instrText xml:space="preserve"> HYPERLINK \l "_Toc3848" </w:instrText>
          </w:r>
          <w:r>
            <w:rPr>
              <w:highlight w:val="none"/>
            </w:rPr>
            <w:fldChar w:fldCharType="separate"/>
          </w:r>
          <w:r>
            <w:rPr>
              <w:rFonts w:hint="eastAsia" w:ascii="仿宋_GB2312" w:hAnsi="仿宋_GB2312" w:eastAsia="仿宋_GB2312" w:cs="仿宋_GB2312"/>
              <w:kern w:val="0"/>
              <w:sz w:val="28"/>
              <w:szCs w:val="28"/>
              <w:highlight w:val="none"/>
            </w:rPr>
            <w:t>九、其他条款</w:t>
          </w:r>
          <w:r>
            <w:rPr>
              <w:highlight w:val="none"/>
            </w:rPr>
            <w:tab/>
          </w:r>
          <w:r>
            <w:rPr>
              <w:highlight w:val="none"/>
            </w:rPr>
            <w:fldChar w:fldCharType="begin"/>
          </w:r>
          <w:r>
            <w:rPr>
              <w:highlight w:val="none"/>
            </w:rPr>
            <w:instrText xml:space="preserve"> PAGEREF _Toc3848 \h </w:instrText>
          </w:r>
          <w:r>
            <w:rPr>
              <w:highlight w:val="none"/>
            </w:rPr>
            <w:fldChar w:fldCharType="separate"/>
          </w:r>
          <w:r>
            <w:rPr>
              <w:highlight w:val="none"/>
            </w:rPr>
            <w:t>32</w:t>
          </w:r>
          <w:r>
            <w:rPr>
              <w:highlight w:val="none"/>
            </w:rPr>
            <w:fldChar w:fldCharType="end"/>
          </w:r>
          <w:r>
            <w:rPr>
              <w:highlight w:val="none"/>
            </w:rPr>
            <w:fldChar w:fldCharType="end"/>
          </w:r>
        </w:p>
        <w:p w14:paraId="6D6F6E3E">
          <w:pPr>
            <w:spacing w:line="312" w:lineRule="auto"/>
            <w:jc w:val="center"/>
            <w:rPr>
              <w:rFonts w:ascii="仿宋" w:hAnsi="仿宋" w:eastAsia="仿宋" w:cs="仿宋"/>
              <w:color w:val="000000" w:themeColor="text1"/>
              <w:highlight w:val="none"/>
              <w14:textFill>
                <w14:solidFill>
                  <w14:schemeClr w14:val="tx1"/>
                </w14:solidFill>
              </w14:textFill>
            </w:rPr>
            <w:sectPr>
              <w:headerReference r:id="rId7" w:type="first"/>
              <w:footerReference r:id="rId9" w:type="first"/>
              <w:footerReference r:id="rId8" w:type="default"/>
              <w:pgSz w:w="11906" w:h="16838"/>
              <w:pgMar w:top="1440" w:right="1800" w:bottom="1440" w:left="1800" w:header="850" w:footer="975" w:gutter="0"/>
              <w:pgNumType w:start="1"/>
              <w:cols w:space="0" w:num="1"/>
              <w:titlePg/>
              <w:docGrid w:linePitch="312" w:charSpace="0"/>
            </w:sectPr>
          </w:pPr>
          <w:r>
            <w:rPr>
              <w:rFonts w:hint="eastAsia" w:ascii="仿宋" w:hAnsi="仿宋" w:eastAsia="仿宋" w:cs="仿宋"/>
              <w:color w:val="000000" w:themeColor="text1"/>
              <w:highlight w:val="none"/>
              <w14:textFill>
                <w14:solidFill>
                  <w14:schemeClr w14:val="tx1"/>
                </w14:solidFill>
              </w14:textFill>
            </w:rPr>
            <w:fldChar w:fldCharType="end"/>
          </w:r>
          <w:permEnd w:id="5"/>
        </w:p>
      </w:sdtContent>
    </w:sdt>
    <w:p w14:paraId="24B58658">
      <w:pPr>
        <w:pStyle w:val="12"/>
        <w:jc w:val="center"/>
        <w:outlineLvl w:val="0"/>
        <w:rPr>
          <w:rFonts w:ascii="仿宋" w:hAnsi="仿宋" w:eastAsia="仿宋" w:cs="仿宋"/>
          <w:b/>
          <w:bCs/>
          <w:color w:val="000000" w:themeColor="text1"/>
          <w:sz w:val="32"/>
          <w:szCs w:val="32"/>
          <w:highlight w:val="none"/>
          <w14:textFill>
            <w14:solidFill>
              <w14:schemeClr w14:val="tx1"/>
            </w14:solidFill>
          </w14:textFill>
        </w:rPr>
      </w:pPr>
      <w:bookmarkStart w:id="1" w:name="_Toc22574"/>
      <w:bookmarkStart w:id="2" w:name="_Toc31405"/>
      <w:bookmarkStart w:id="3" w:name="_Toc5953"/>
      <w:r>
        <w:rPr>
          <w:rFonts w:hint="eastAsia" w:ascii="黑体" w:hAnsi="黑体" w:eastAsia="黑体" w:cs="黑体"/>
          <w:b/>
          <w:bCs/>
          <w:color w:val="000000" w:themeColor="text1"/>
          <w:sz w:val="32"/>
          <w:szCs w:val="32"/>
          <w:highlight w:val="none"/>
          <w14:textFill>
            <w14:solidFill>
              <w14:schemeClr w14:val="tx1"/>
            </w14:solidFill>
          </w14:textFill>
        </w:rPr>
        <w:t>第一部分</w:t>
      </w:r>
      <w:bookmarkEnd w:id="1"/>
      <w:r>
        <w:rPr>
          <w:rFonts w:hint="eastAsia" w:ascii="黑体" w:hAnsi="黑体" w:eastAsia="黑体" w:cs="黑体"/>
          <w:b/>
          <w:bCs/>
          <w:color w:val="000000" w:themeColor="text1"/>
          <w:sz w:val="32"/>
          <w:szCs w:val="32"/>
          <w:highlight w:val="none"/>
          <w14:textFill>
            <w14:solidFill>
              <w14:schemeClr w14:val="tx1"/>
            </w14:solidFill>
          </w14:textFill>
        </w:rPr>
        <w:t xml:space="preserve"> 专用条款</w:t>
      </w:r>
      <w:bookmarkEnd w:id="2"/>
      <w:bookmarkEnd w:id="3"/>
    </w:p>
    <w:p w14:paraId="05632326">
      <w:pPr>
        <w:pStyle w:val="12"/>
        <w:spacing w:before="240" w:beforeLines="100" w:line="400" w:lineRule="atLeast"/>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甲方（买方）： </w:t>
      </w:r>
      <w:permStart w:id="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中建</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路桥</w:t>
      </w:r>
      <w:r>
        <w:rPr>
          <w:rFonts w:hint="eastAsia" w:ascii="仿宋_GB2312" w:hAnsi="仿宋_GB2312" w:eastAsia="仿宋_GB2312" w:cs="仿宋_GB2312"/>
          <w:color w:val="000000" w:themeColor="text1"/>
          <w:highlight w:val="none"/>
          <w:u w:val="single"/>
          <w14:textFill>
            <w14:solidFill>
              <w14:schemeClr w14:val="tx1"/>
            </w14:solidFill>
          </w14:textFill>
        </w:rPr>
        <w:t>集团有限公司</w:t>
      </w:r>
      <w:permEnd w:id="6"/>
    </w:p>
    <w:p w14:paraId="3BAE9A44">
      <w:pPr>
        <w:pStyle w:val="12"/>
        <w:spacing w:line="400" w:lineRule="atLeas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乙方（卖方）：</w:t>
      </w:r>
      <w:permStart w:id="7" w:edGrp="everyone"/>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ascii="仿宋_GB2312" w:hAnsi="仿宋_GB2312" w:eastAsia="仿宋_GB2312" w:cs="仿宋_GB2312"/>
          <w:color w:val="000000" w:themeColor="text1"/>
          <w:highlight w:val="none"/>
          <w:u w:val="single"/>
          <w14:textFill>
            <w14:solidFill>
              <w14:schemeClr w14:val="tx1"/>
            </w14:solidFill>
          </w14:textFill>
        </w:rPr>
        <w:t xml:space="preserve">                 </w:t>
      </w:r>
    </w:p>
    <w:permEnd w:id="7"/>
    <w:p w14:paraId="633853ED">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根据《中华人民共和国民法典》及有关法律规定，遵循平等、自愿、公平和诚实信用的原则，在对本合同进行充分理解的基础上，双方经友好协商一致，订立本合同并共同遵守。</w:t>
      </w:r>
    </w:p>
    <w:p w14:paraId="79F5B57B">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4" w:name="_Toc29946"/>
      <w:bookmarkStart w:id="5" w:name="_Toc17203"/>
      <w:bookmarkStart w:id="6" w:name="_Toc640"/>
      <w:r>
        <w:rPr>
          <w:rFonts w:hint="eastAsia" w:ascii="仿宋_GB2312" w:hAnsi="仿宋_GB2312" w:eastAsia="仿宋_GB2312" w:cs="仿宋_GB2312"/>
          <w:b/>
          <w:bCs/>
          <w:color w:val="000000" w:themeColor="text1"/>
          <w:highlight w:val="none"/>
          <w14:textFill>
            <w14:solidFill>
              <w14:schemeClr w14:val="tx1"/>
            </w14:solidFill>
          </w14:textFill>
        </w:rPr>
        <w:t>工程概况</w:t>
      </w:r>
      <w:bookmarkEnd w:id="4"/>
      <w:bookmarkEnd w:id="5"/>
      <w:bookmarkEnd w:id="6"/>
    </w:p>
    <w:p w14:paraId="17E0D9A2">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1、工程名称：</w:t>
      </w:r>
      <w:permStart w:id="8" w:edGrp="everyone"/>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太行山高速公路邢邯段 K93+155~K93+370路堑边坡等3处风险点治理工程</w:t>
      </w:r>
      <w:permEnd w:id="8"/>
      <w:r>
        <w:rPr>
          <w:rFonts w:hint="eastAsia" w:ascii="仿宋_GB2312" w:hAnsi="仿宋_GB2312" w:eastAsia="仿宋_GB2312" w:cs="仿宋_GB2312"/>
          <w:color w:val="000000" w:themeColor="text1"/>
          <w:highlight w:val="none"/>
          <w14:textFill>
            <w14:solidFill>
              <w14:schemeClr w14:val="tx1"/>
            </w14:solidFill>
          </w14:textFill>
        </w:rPr>
        <w:t>；</w:t>
      </w:r>
    </w:p>
    <w:p w14:paraId="5B976016">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2、工程地点：</w:t>
      </w:r>
      <w:permStart w:id="9" w:edGrp="everyone"/>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邢台市</w:t>
      </w:r>
      <w:r>
        <w:rPr>
          <w:rFonts w:ascii="仿宋_GB2312" w:hAnsi="仿宋_GB2312" w:eastAsia="仿宋_GB2312" w:cs="仿宋_GB2312"/>
          <w:color w:val="000000" w:themeColor="text1"/>
          <w:highlight w:val="none"/>
          <w:u w:val="single"/>
          <w14:textFill>
            <w14:solidFill>
              <w14:schemeClr w14:val="tx1"/>
            </w14:solidFill>
          </w14:textFill>
        </w:rPr>
        <w:t xml:space="preserve"> </w:t>
      </w:r>
      <w:permEnd w:id="9"/>
      <w:r>
        <w:rPr>
          <w:rFonts w:hint="eastAsia" w:ascii="仿宋_GB2312" w:hAnsi="仿宋_GB2312" w:eastAsia="仿宋_GB2312" w:cs="仿宋_GB2312"/>
          <w:color w:val="000000" w:themeColor="text1"/>
          <w:highlight w:val="none"/>
          <w14:textFill>
            <w14:solidFill>
              <w14:schemeClr w14:val="tx1"/>
            </w14:solidFill>
          </w14:textFill>
        </w:rPr>
        <w:t>；</w:t>
      </w:r>
    </w:p>
    <w:p w14:paraId="2F06DAA7">
      <w:pPr>
        <w:pStyle w:val="12"/>
        <w:numPr>
          <w:ilvl w:val="0"/>
          <w:numId w:val="1"/>
        </w:numPr>
        <w:spacing w:before="120" w:beforeLines="50" w:after="120" w:afterLines="50" w:line="400" w:lineRule="atLeast"/>
        <w:ind w:firstLine="482" w:firstLineChars="200"/>
        <w:outlineLvl w:val="0"/>
        <w:rPr>
          <w:rFonts w:hint="default" w:ascii="仿宋_GB2312" w:hAnsi="仿宋_GB2312" w:eastAsia="仿宋_GB2312" w:cs="仿宋_GB2312"/>
          <w:color w:val="000000" w:themeColor="text1"/>
          <w:highlight w:val="none"/>
          <w:u w:val="single"/>
          <w:lang w:val="en-US" w:eastAsia="zh-CN"/>
          <w14:textFill>
            <w14:solidFill>
              <w14:schemeClr w14:val="tx1"/>
            </w14:solidFill>
          </w14:textFill>
        </w:rPr>
      </w:pPr>
      <w:bookmarkStart w:id="7" w:name="_Toc6010"/>
      <w:bookmarkStart w:id="8" w:name="_Toc23103"/>
      <w:bookmarkStart w:id="9" w:name="_Toc2931"/>
      <w:r>
        <w:rPr>
          <w:rFonts w:hint="eastAsia" w:ascii="仿宋_GB2312" w:hAnsi="仿宋_GB2312" w:eastAsia="仿宋_GB2312" w:cs="仿宋_GB2312"/>
          <w:b/>
          <w:bCs/>
          <w:color w:val="000000" w:themeColor="text1"/>
          <w:highlight w:val="none"/>
          <w14:textFill>
            <w14:solidFill>
              <w14:schemeClr w14:val="tx1"/>
            </w14:solidFill>
          </w14:textFill>
        </w:rPr>
        <w:t>货物清单</w:t>
      </w:r>
      <w:bookmarkEnd w:id="7"/>
      <w:bookmarkEnd w:id="8"/>
      <w:bookmarkEnd w:id="9"/>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价款、计价方式</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125"/>
        <w:gridCol w:w="930"/>
        <w:gridCol w:w="465"/>
        <w:gridCol w:w="1005"/>
        <w:gridCol w:w="885"/>
        <w:gridCol w:w="689"/>
        <w:gridCol w:w="518"/>
        <w:gridCol w:w="1074"/>
        <w:gridCol w:w="781"/>
        <w:gridCol w:w="494"/>
      </w:tblGrid>
      <w:tr w14:paraId="2FB6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326" w:type="pct"/>
            <w:shd w:val="clear" w:color="auto" w:fill="auto"/>
            <w:vAlign w:val="center"/>
          </w:tcPr>
          <w:p w14:paraId="22BF11B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ermStart w:id="10" w:edGrp="everyone"/>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序号</w:t>
            </w:r>
          </w:p>
        </w:tc>
        <w:tc>
          <w:tcPr>
            <w:tcW w:w="660" w:type="pct"/>
            <w:shd w:val="clear" w:color="auto" w:fill="auto"/>
            <w:vAlign w:val="center"/>
          </w:tcPr>
          <w:p w14:paraId="792FE889">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名称</w:t>
            </w:r>
          </w:p>
        </w:tc>
        <w:tc>
          <w:tcPr>
            <w:tcW w:w="545" w:type="pct"/>
            <w:shd w:val="clear" w:color="auto" w:fill="auto"/>
            <w:vAlign w:val="center"/>
          </w:tcPr>
          <w:p w14:paraId="58DE95F0">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规格参数</w:t>
            </w:r>
          </w:p>
        </w:tc>
        <w:tc>
          <w:tcPr>
            <w:tcW w:w="272" w:type="pct"/>
            <w:shd w:val="clear" w:color="auto" w:fill="auto"/>
            <w:vAlign w:val="center"/>
          </w:tcPr>
          <w:p w14:paraId="58F68DA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计量</w:t>
            </w:r>
          </w:p>
          <w:p w14:paraId="71AEF3E2">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单位</w:t>
            </w:r>
          </w:p>
        </w:tc>
        <w:tc>
          <w:tcPr>
            <w:tcW w:w="589" w:type="pct"/>
            <w:shd w:val="clear" w:color="auto" w:fill="auto"/>
            <w:vAlign w:val="center"/>
          </w:tcPr>
          <w:p w14:paraId="4DE361A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暂定</w:t>
            </w:r>
          </w:p>
          <w:p w14:paraId="10AD443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数量</w:t>
            </w:r>
          </w:p>
        </w:tc>
        <w:tc>
          <w:tcPr>
            <w:tcW w:w="519" w:type="pct"/>
            <w:shd w:val="clear" w:color="auto" w:fill="auto"/>
            <w:vAlign w:val="center"/>
          </w:tcPr>
          <w:p w14:paraId="791BC45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39E763B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01058936">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404" w:type="pct"/>
            <w:shd w:val="clear" w:color="auto" w:fill="auto"/>
            <w:vAlign w:val="center"/>
          </w:tcPr>
          <w:p w14:paraId="0787AAA2">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443877D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75C3F8D9">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303" w:type="pct"/>
            <w:shd w:val="clear" w:color="auto" w:fill="auto"/>
            <w:vAlign w:val="center"/>
          </w:tcPr>
          <w:p w14:paraId="07B7669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增值</w:t>
            </w:r>
          </w:p>
          <w:p w14:paraId="01378405">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税率</w:t>
            </w:r>
          </w:p>
        </w:tc>
        <w:tc>
          <w:tcPr>
            <w:tcW w:w="630" w:type="pct"/>
            <w:shd w:val="clear" w:color="auto" w:fill="auto"/>
            <w:vAlign w:val="center"/>
          </w:tcPr>
          <w:p w14:paraId="7B42921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04F4F020">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7F21D93A">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458" w:type="pct"/>
            <w:shd w:val="clear" w:color="auto" w:fill="auto"/>
            <w:vAlign w:val="center"/>
          </w:tcPr>
          <w:p w14:paraId="39261B1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11A8751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38FD320E">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289" w:type="pct"/>
            <w:shd w:val="clear" w:color="auto" w:fill="auto"/>
            <w:vAlign w:val="center"/>
          </w:tcPr>
          <w:p w14:paraId="2689611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备注</w:t>
            </w:r>
          </w:p>
        </w:tc>
      </w:tr>
      <w:tr w14:paraId="65BDF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26" w:type="pct"/>
            <w:shd w:val="clear" w:color="auto" w:fill="auto"/>
            <w:vAlign w:val="center"/>
          </w:tcPr>
          <w:p w14:paraId="51D64664">
            <w:pPr>
              <w:spacing w:line="500" w:lineRule="exact"/>
              <w:jc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eastAsia="仿宋_GB2312"/>
                <w:sz w:val="21"/>
                <w:szCs w:val="21"/>
                <w:highlight w:val="none"/>
              </w:rPr>
              <w:t>1</w:t>
            </w:r>
          </w:p>
        </w:tc>
        <w:tc>
          <w:tcPr>
            <w:tcW w:w="660" w:type="pct"/>
            <w:shd w:val="clear" w:color="auto" w:fill="auto"/>
            <w:vAlign w:val="center"/>
          </w:tcPr>
          <w:p w14:paraId="4E8168AD">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水泥</w:t>
            </w:r>
          </w:p>
        </w:tc>
        <w:tc>
          <w:tcPr>
            <w:tcW w:w="545" w:type="pct"/>
            <w:shd w:val="clear" w:color="auto" w:fill="auto"/>
            <w:vAlign w:val="center"/>
          </w:tcPr>
          <w:p w14:paraId="37C28BEC">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42.5</w:t>
            </w:r>
          </w:p>
        </w:tc>
        <w:tc>
          <w:tcPr>
            <w:tcW w:w="272" w:type="pct"/>
            <w:shd w:val="clear" w:color="auto" w:fill="auto"/>
            <w:vAlign w:val="center"/>
          </w:tcPr>
          <w:p w14:paraId="4F7B56FE">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t</w:t>
            </w:r>
          </w:p>
        </w:tc>
        <w:tc>
          <w:tcPr>
            <w:tcW w:w="589" w:type="pct"/>
            <w:shd w:val="clear" w:color="auto" w:fill="auto"/>
            <w:vAlign w:val="center"/>
          </w:tcPr>
          <w:p w14:paraId="7007E61A">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 xml:space="preserve">30101.06 </w:t>
            </w:r>
          </w:p>
        </w:tc>
        <w:tc>
          <w:tcPr>
            <w:tcW w:w="519" w:type="pct"/>
            <w:shd w:val="clear" w:color="auto" w:fill="auto"/>
            <w:noWrap/>
            <w:vAlign w:val="center"/>
          </w:tcPr>
          <w:p w14:paraId="3798B66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04" w:type="pct"/>
            <w:shd w:val="clear" w:color="auto" w:fill="auto"/>
            <w:noWrap/>
            <w:vAlign w:val="center"/>
          </w:tcPr>
          <w:p w14:paraId="2A1AA7CC">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03" w:type="pct"/>
            <w:shd w:val="clear" w:color="auto" w:fill="auto"/>
            <w:noWrap/>
            <w:vAlign w:val="center"/>
          </w:tcPr>
          <w:p w14:paraId="30955475">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0" w:type="pct"/>
            <w:shd w:val="clear" w:color="auto" w:fill="auto"/>
            <w:noWrap/>
            <w:vAlign w:val="center"/>
          </w:tcPr>
          <w:p w14:paraId="1DA8ED4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58" w:type="pct"/>
            <w:shd w:val="clear" w:color="auto" w:fill="auto"/>
            <w:noWrap/>
            <w:vAlign w:val="center"/>
          </w:tcPr>
          <w:p w14:paraId="697DBC38">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9" w:type="pct"/>
            <w:shd w:val="clear" w:color="auto" w:fill="auto"/>
            <w:vAlign w:val="center"/>
          </w:tcPr>
          <w:p w14:paraId="74D0C35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498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26" w:type="pct"/>
            <w:shd w:val="clear" w:color="auto" w:fill="auto"/>
            <w:vAlign w:val="center"/>
          </w:tcPr>
          <w:p w14:paraId="59F94F1C">
            <w:pPr>
              <w:spacing w:line="500" w:lineRule="exact"/>
              <w:jc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eastAsia="仿宋_GB2312"/>
                <w:sz w:val="21"/>
                <w:szCs w:val="21"/>
                <w:highlight w:val="none"/>
              </w:rPr>
              <w:t>2</w:t>
            </w:r>
          </w:p>
        </w:tc>
        <w:tc>
          <w:tcPr>
            <w:tcW w:w="660" w:type="pct"/>
            <w:shd w:val="clear" w:color="auto" w:fill="auto"/>
            <w:vAlign w:val="center"/>
          </w:tcPr>
          <w:p w14:paraId="5269E14B">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水泥混凝土</w:t>
            </w:r>
          </w:p>
        </w:tc>
        <w:tc>
          <w:tcPr>
            <w:tcW w:w="545" w:type="pct"/>
            <w:shd w:val="clear" w:color="auto" w:fill="auto"/>
            <w:vAlign w:val="center"/>
          </w:tcPr>
          <w:p w14:paraId="0EF19A64">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C25</w:t>
            </w:r>
          </w:p>
        </w:tc>
        <w:tc>
          <w:tcPr>
            <w:tcW w:w="272" w:type="pct"/>
            <w:shd w:val="clear" w:color="auto" w:fill="auto"/>
            <w:noWrap/>
            <w:vAlign w:val="center"/>
          </w:tcPr>
          <w:p w14:paraId="18D30C08">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m3</w:t>
            </w:r>
          </w:p>
        </w:tc>
        <w:tc>
          <w:tcPr>
            <w:tcW w:w="589" w:type="pct"/>
            <w:shd w:val="clear" w:color="auto" w:fill="auto"/>
            <w:vAlign w:val="center"/>
          </w:tcPr>
          <w:p w14:paraId="499F8201">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 xml:space="preserve">3315.81 </w:t>
            </w:r>
          </w:p>
        </w:tc>
        <w:tc>
          <w:tcPr>
            <w:tcW w:w="519" w:type="pct"/>
            <w:shd w:val="clear" w:color="auto" w:fill="auto"/>
            <w:noWrap/>
            <w:vAlign w:val="center"/>
          </w:tcPr>
          <w:p w14:paraId="39EBD48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04" w:type="pct"/>
            <w:shd w:val="clear" w:color="auto" w:fill="auto"/>
            <w:noWrap/>
            <w:vAlign w:val="center"/>
          </w:tcPr>
          <w:p w14:paraId="4C8D26C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03" w:type="pct"/>
            <w:shd w:val="clear" w:color="auto" w:fill="auto"/>
            <w:noWrap/>
            <w:vAlign w:val="center"/>
          </w:tcPr>
          <w:p w14:paraId="11B2EAE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0" w:type="pct"/>
            <w:shd w:val="clear" w:color="auto" w:fill="auto"/>
            <w:noWrap/>
            <w:vAlign w:val="center"/>
          </w:tcPr>
          <w:p w14:paraId="0A537B1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58" w:type="pct"/>
            <w:shd w:val="clear" w:color="auto" w:fill="auto"/>
            <w:noWrap/>
            <w:vAlign w:val="center"/>
          </w:tcPr>
          <w:p w14:paraId="2F95376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9" w:type="pct"/>
            <w:shd w:val="clear" w:color="auto" w:fill="auto"/>
            <w:noWrap/>
            <w:vAlign w:val="center"/>
          </w:tcPr>
          <w:p w14:paraId="1356D0B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CD0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26" w:type="pct"/>
            <w:shd w:val="clear" w:color="auto" w:fill="auto"/>
            <w:vAlign w:val="center"/>
          </w:tcPr>
          <w:p w14:paraId="7BB5F78D">
            <w:pPr>
              <w:spacing w:line="500" w:lineRule="exact"/>
              <w:jc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eastAsia="仿宋_GB2312"/>
                <w:sz w:val="21"/>
                <w:szCs w:val="21"/>
                <w:highlight w:val="none"/>
              </w:rPr>
              <w:t>3</w:t>
            </w:r>
          </w:p>
        </w:tc>
        <w:tc>
          <w:tcPr>
            <w:tcW w:w="660" w:type="pct"/>
            <w:shd w:val="clear" w:color="auto" w:fill="auto"/>
            <w:vAlign w:val="center"/>
          </w:tcPr>
          <w:p w14:paraId="2B0F33AB">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水泥混凝土</w:t>
            </w:r>
          </w:p>
        </w:tc>
        <w:tc>
          <w:tcPr>
            <w:tcW w:w="545" w:type="pct"/>
            <w:shd w:val="clear" w:color="auto" w:fill="auto"/>
            <w:vAlign w:val="center"/>
          </w:tcPr>
          <w:p w14:paraId="7D9FF878">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C30</w:t>
            </w:r>
          </w:p>
        </w:tc>
        <w:tc>
          <w:tcPr>
            <w:tcW w:w="272" w:type="pct"/>
            <w:shd w:val="clear" w:color="auto" w:fill="auto"/>
            <w:noWrap/>
            <w:vAlign w:val="center"/>
          </w:tcPr>
          <w:p w14:paraId="500A9CFD">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m3</w:t>
            </w:r>
          </w:p>
        </w:tc>
        <w:tc>
          <w:tcPr>
            <w:tcW w:w="589" w:type="pct"/>
            <w:shd w:val="clear" w:color="auto" w:fill="auto"/>
            <w:vAlign w:val="center"/>
          </w:tcPr>
          <w:p w14:paraId="4DF04C87">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 xml:space="preserve">886.21 </w:t>
            </w:r>
          </w:p>
        </w:tc>
        <w:tc>
          <w:tcPr>
            <w:tcW w:w="519" w:type="pct"/>
            <w:shd w:val="clear" w:color="auto" w:fill="auto"/>
            <w:noWrap/>
            <w:vAlign w:val="center"/>
          </w:tcPr>
          <w:p w14:paraId="48C4859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04" w:type="pct"/>
            <w:shd w:val="clear" w:color="auto" w:fill="auto"/>
            <w:noWrap/>
            <w:vAlign w:val="center"/>
          </w:tcPr>
          <w:p w14:paraId="01A19C0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03" w:type="pct"/>
            <w:shd w:val="clear" w:color="auto" w:fill="auto"/>
            <w:noWrap/>
            <w:vAlign w:val="center"/>
          </w:tcPr>
          <w:p w14:paraId="4507DDC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0" w:type="pct"/>
            <w:shd w:val="clear" w:color="auto" w:fill="auto"/>
            <w:noWrap/>
            <w:vAlign w:val="center"/>
          </w:tcPr>
          <w:p w14:paraId="18DC227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58" w:type="pct"/>
            <w:shd w:val="clear" w:color="auto" w:fill="auto"/>
            <w:noWrap/>
            <w:vAlign w:val="center"/>
          </w:tcPr>
          <w:p w14:paraId="3E08E64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9" w:type="pct"/>
            <w:shd w:val="clear" w:color="auto" w:fill="auto"/>
            <w:noWrap/>
            <w:vAlign w:val="center"/>
          </w:tcPr>
          <w:p w14:paraId="3E6E595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E7A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26" w:type="pct"/>
            <w:shd w:val="clear" w:color="auto" w:fill="auto"/>
            <w:vAlign w:val="center"/>
          </w:tcPr>
          <w:p w14:paraId="1C95908B">
            <w:pPr>
              <w:spacing w:line="500" w:lineRule="exact"/>
              <w:jc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4</w:t>
            </w:r>
          </w:p>
        </w:tc>
        <w:tc>
          <w:tcPr>
            <w:tcW w:w="660" w:type="pct"/>
            <w:shd w:val="clear" w:color="auto" w:fill="auto"/>
            <w:vAlign w:val="center"/>
          </w:tcPr>
          <w:p w14:paraId="45C5C9D4">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预制混凝土六菱砖</w:t>
            </w:r>
          </w:p>
        </w:tc>
        <w:tc>
          <w:tcPr>
            <w:tcW w:w="545" w:type="pct"/>
            <w:shd w:val="clear" w:color="auto" w:fill="auto"/>
            <w:vAlign w:val="center"/>
          </w:tcPr>
          <w:p w14:paraId="3E396707">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C25</w:t>
            </w:r>
          </w:p>
        </w:tc>
        <w:tc>
          <w:tcPr>
            <w:tcW w:w="272" w:type="pct"/>
            <w:shd w:val="clear" w:color="auto" w:fill="auto"/>
            <w:noWrap/>
            <w:vAlign w:val="center"/>
          </w:tcPr>
          <w:p w14:paraId="73F47A3F">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m3</w:t>
            </w:r>
          </w:p>
        </w:tc>
        <w:tc>
          <w:tcPr>
            <w:tcW w:w="589" w:type="pct"/>
            <w:shd w:val="clear" w:color="auto" w:fill="auto"/>
            <w:vAlign w:val="center"/>
          </w:tcPr>
          <w:p w14:paraId="11396336">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 xml:space="preserve">109.60 </w:t>
            </w:r>
          </w:p>
        </w:tc>
        <w:tc>
          <w:tcPr>
            <w:tcW w:w="519" w:type="pct"/>
            <w:shd w:val="clear" w:color="auto" w:fill="auto"/>
            <w:noWrap/>
            <w:vAlign w:val="center"/>
          </w:tcPr>
          <w:p w14:paraId="35E2B0C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04" w:type="pct"/>
            <w:shd w:val="clear" w:color="auto" w:fill="auto"/>
            <w:noWrap/>
            <w:vAlign w:val="center"/>
          </w:tcPr>
          <w:p w14:paraId="28A4305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03" w:type="pct"/>
            <w:shd w:val="clear" w:color="auto" w:fill="auto"/>
            <w:noWrap/>
            <w:vAlign w:val="center"/>
          </w:tcPr>
          <w:p w14:paraId="4E06C74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0" w:type="pct"/>
            <w:shd w:val="clear" w:color="auto" w:fill="auto"/>
            <w:noWrap/>
            <w:vAlign w:val="center"/>
          </w:tcPr>
          <w:p w14:paraId="08326ED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58" w:type="pct"/>
            <w:shd w:val="clear" w:color="auto" w:fill="auto"/>
            <w:noWrap/>
            <w:vAlign w:val="center"/>
          </w:tcPr>
          <w:p w14:paraId="123D85D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9" w:type="pct"/>
            <w:shd w:val="clear" w:color="auto" w:fill="auto"/>
            <w:noWrap/>
            <w:vAlign w:val="center"/>
          </w:tcPr>
          <w:p w14:paraId="1C1FA16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54F5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26" w:type="pct"/>
            <w:shd w:val="clear" w:color="auto" w:fill="auto"/>
            <w:vAlign w:val="center"/>
          </w:tcPr>
          <w:p w14:paraId="23CCBB83">
            <w:pPr>
              <w:spacing w:line="500" w:lineRule="exact"/>
              <w:jc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5</w:t>
            </w:r>
          </w:p>
        </w:tc>
        <w:tc>
          <w:tcPr>
            <w:tcW w:w="660" w:type="pct"/>
            <w:shd w:val="clear" w:color="auto" w:fill="auto"/>
            <w:vAlign w:val="center"/>
          </w:tcPr>
          <w:p w14:paraId="2DEF20AD">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混凝土预制块</w:t>
            </w:r>
          </w:p>
        </w:tc>
        <w:tc>
          <w:tcPr>
            <w:tcW w:w="545" w:type="pct"/>
            <w:shd w:val="clear" w:color="auto" w:fill="auto"/>
            <w:vAlign w:val="center"/>
          </w:tcPr>
          <w:p w14:paraId="77608197">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C40</w:t>
            </w:r>
          </w:p>
        </w:tc>
        <w:tc>
          <w:tcPr>
            <w:tcW w:w="272" w:type="pct"/>
            <w:shd w:val="clear" w:color="auto" w:fill="auto"/>
            <w:noWrap/>
            <w:vAlign w:val="center"/>
          </w:tcPr>
          <w:p w14:paraId="45E6CE16">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m3</w:t>
            </w:r>
          </w:p>
        </w:tc>
        <w:tc>
          <w:tcPr>
            <w:tcW w:w="589" w:type="pct"/>
            <w:shd w:val="clear" w:color="auto" w:fill="auto"/>
            <w:vAlign w:val="center"/>
          </w:tcPr>
          <w:p w14:paraId="48E93826">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 xml:space="preserve">25.40 </w:t>
            </w:r>
          </w:p>
        </w:tc>
        <w:tc>
          <w:tcPr>
            <w:tcW w:w="519" w:type="pct"/>
            <w:shd w:val="clear" w:color="auto" w:fill="auto"/>
            <w:noWrap/>
            <w:vAlign w:val="center"/>
          </w:tcPr>
          <w:p w14:paraId="572A4B6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04" w:type="pct"/>
            <w:shd w:val="clear" w:color="auto" w:fill="auto"/>
            <w:noWrap/>
            <w:vAlign w:val="center"/>
          </w:tcPr>
          <w:p w14:paraId="11335EC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03" w:type="pct"/>
            <w:shd w:val="clear" w:color="auto" w:fill="auto"/>
            <w:noWrap/>
            <w:vAlign w:val="center"/>
          </w:tcPr>
          <w:p w14:paraId="27C9F7E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0" w:type="pct"/>
            <w:shd w:val="clear" w:color="auto" w:fill="auto"/>
            <w:noWrap/>
            <w:vAlign w:val="center"/>
          </w:tcPr>
          <w:p w14:paraId="1E85FDD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58" w:type="pct"/>
            <w:shd w:val="clear" w:color="auto" w:fill="auto"/>
            <w:noWrap/>
            <w:vAlign w:val="center"/>
          </w:tcPr>
          <w:p w14:paraId="1E8702B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9" w:type="pct"/>
            <w:shd w:val="clear" w:color="auto" w:fill="auto"/>
            <w:noWrap/>
            <w:vAlign w:val="center"/>
          </w:tcPr>
          <w:p w14:paraId="3CA216E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FCE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26" w:type="pct"/>
            <w:shd w:val="clear" w:color="auto" w:fill="auto"/>
            <w:vAlign w:val="center"/>
          </w:tcPr>
          <w:p w14:paraId="7B8E2C8D">
            <w:pPr>
              <w:spacing w:line="500" w:lineRule="exact"/>
              <w:jc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6</w:t>
            </w:r>
          </w:p>
        </w:tc>
        <w:tc>
          <w:tcPr>
            <w:tcW w:w="660" w:type="pct"/>
            <w:shd w:val="clear" w:color="auto" w:fill="auto"/>
            <w:vAlign w:val="center"/>
          </w:tcPr>
          <w:p w14:paraId="2C5124C7">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水泥稳定碎石</w:t>
            </w:r>
          </w:p>
        </w:tc>
        <w:tc>
          <w:tcPr>
            <w:tcW w:w="545" w:type="pct"/>
            <w:shd w:val="clear" w:color="auto" w:fill="auto"/>
            <w:vAlign w:val="center"/>
          </w:tcPr>
          <w:p w14:paraId="07235BD8">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水泥含量5%</w:t>
            </w:r>
          </w:p>
        </w:tc>
        <w:tc>
          <w:tcPr>
            <w:tcW w:w="272" w:type="pct"/>
            <w:shd w:val="clear" w:color="auto" w:fill="auto"/>
            <w:noWrap/>
            <w:vAlign w:val="center"/>
          </w:tcPr>
          <w:p w14:paraId="4D39977B">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t</w:t>
            </w:r>
          </w:p>
        </w:tc>
        <w:tc>
          <w:tcPr>
            <w:tcW w:w="589" w:type="pct"/>
            <w:shd w:val="clear" w:color="auto" w:fill="auto"/>
            <w:vAlign w:val="center"/>
          </w:tcPr>
          <w:p w14:paraId="6F6AE5FC">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 xml:space="preserve">2812.95 </w:t>
            </w:r>
          </w:p>
        </w:tc>
        <w:tc>
          <w:tcPr>
            <w:tcW w:w="519" w:type="pct"/>
            <w:shd w:val="clear" w:color="auto" w:fill="auto"/>
            <w:noWrap/>
            <w:vAlign w:val="center"/>
          </w:tcPr>
          <w:p w14:paraId="72DA93C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04" w:type="pct"/>
            <w:shd w:val="clear" w:color="auto" w:fill="auto"/>
            <w:noWrap/>
            <w:vAlign w:val="center"/>
          </w:tcPr>
          <w:p w14:paraId="6A62BF3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03" w:type="pct"/>
            <w:shd w:val="clear" w:color="auto" w:fill="auto"/>
            <w:noWrap/>
            <w:vAlign w:val="center"/>
          </w:tcPr>
          <w:p w14:paraId="5C66C4C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0" w:type="pct"/>
            <w:shd w:val="clear" w:color="auto" w:fill="auto"/>
            <w:noWrap/>
            <w:vAlign w:val="center"/>
          </w:tcPr>
          <w:p w14:paraId="0B4C982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58" w:type="pct"/>
            <w:shd w:val="clear" w:color="auto" w:fill="auto"/>
            <w:noWrap/>
            <w:vAlign w:val="center"/>
          </w:tcPr>
          <w:p w14:paraId="31E215C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9" w:type="pct"/>
            <w:shd w:val="clear" w:color="auto" w:fill="auto"/>
            <w:noWrap/>
            <w:vAlign w:val="center"/>
          </w:tcPr>
          <w:p w14:paraId="5EDC576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C3F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26" w:type="pct"/>
            <w:shd w:val="clear" w:color="auto" w:fill="auto"/>
            <w:vAlign w:val="center"/>
          </w:tcPr>
          <w:p w14:paraId="6F7EA110">
            <w:pPr>
              <w:spacing w:line="500" w:lineRule="exact"/>
              <w:jc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7</w:t>
            </w:r>
          </w:p>
        </w:tc>
        <w:tc>
          <w:tcPr>
            <w:tcW w:w="660" w:type="pct"/>
            <w:shd w:val="clear" w:color="auto" w:fill="auto"/>
            <w:vAlign w:val="center"/>
          </w:tcPr>
          <w:p w14:paraId="0A6B5EA0">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沥青稳定级配碎石</w:t>
            </w:r>
          </w:p>
        </w:tc>
        <w:tc>
          <w:tcPr>
            <w:tcW w:w="545" w:type="pct"/>
            <w:shd w:val="clear" w:color="auto" w:fill="auto"/>
            <w:vAlign w:val="center"/>
          </w:tcPr>
          <w:p w14:paraId="4716C7C2">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ATB-25</w:t>
            </w:r>
          </w:p>
        </w:tc>
        <w:tc>
          <w:tcPr>
            <w:tcW w:w="272" w:type="pct"/>
            <w:shd w:val="clear" w:color="auto" w:fill="auto"/>
            <w:noWrap/>
            <w:vAlign w:val="center"/>
          </w:tcPr>
          <w:p w14:paraId="6B5C9E22">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t</w:t>
            </w:r>
          </w:p>
        </w:tc>
        <w:tc>
          <w:tcPr>
            <w:tcW w:w="589" w:type="pct"/>
            <w:shd w:val="clear" w:color="auto" w:fill="auto"/>
            <w:vAlign w:val="center"/>
          </w:tcPr>
          <w:p w14:paraId="03DEBD0D">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 xml:space="preserve">1455.36 </w:t>
            </w:r>
          </w:p>
        </w:tc>
        <w:tc>
          <w:tcPr>
            <w:tcW w:w="519" w:type="pct"/>
            <w:shd w:val="clear" w:color="auto" w:fill="auto"/>
            <w:noWrap/>
            <w:vAlign w:val="center"/>
          </w:tcPr>
          <w:p w14:paraId="2BB577F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04" w:type="pct"/>
            <w:shd w:val="clear" w:color="auto" w:fill="auto"/>
            <w:noWrap/>
            <w:vAlign w:val="center"/>
          </w:tcPr>
          <w:p w14:paraId="79A779B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03" w:type="pct"/>
            <w:shd w:val="clear" w:color="auto" w:fill="auto"/>
            <w:noWrap/>
            <w:vAlign w:val="center"/>
          </w:tcPr>
          <w:p w14:paraId="62B08C5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0" w:type="pct"/>
            <w:shd w:val="clear" w:color="auto" w:fill="auto"/>
            <w:noWrap/>
            <w:vAlign w:val="center"/>
          </w:tcPr>
          <w:p w14:paraId="3DEE30D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58" w:type="pct"/>
            <w:shd w:val="clear" w:color="auto" w:fill="auto"/>
            <w:noWrap/>
            <w:vAlign w:val="center"/>
          </w:tcPr>
          <w:p w14:paraId="0EC48E5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9" w:type="pct"/>
            <w:shd w:val="clear" w:color="auto" w:fill="auto"/>
            <w:noWrap/>
            <w:vAlign w:val="center"/>
          </w:tcPr>
          <w:p w14:paraId="0C5AC63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5B69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26" w:type="pct"/>
            <w:shd w:val="clear" w:color="auto" w:fill="auto"/>
            <w:vAlign w:val="center"/>
          </w:tcPr>
          <w:p w14:paraId="030E7872">
            <w:pPr>
              <w:spacing w:line="500" w:lineRule="exact"/>
              <w:jc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8</w:t>
            </w:r>
          </w:p>
        </w:tc>
        <w:tc>
          <w:tcPr>
            <w:tcW w:w="660" w:type="pct"/>
            <w:shd w:val="clear" w:color="auto" w:fill="auto"/>
            <w:vAlign w:val="center"/>
          </w:tcPr>
          <w:p w14:paraId="69AEE8C3">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改性沥青混凝土</w:t>
            </w:r>
          </w:p>
        </w:tc>
        <w:tc>
          <w:tcPr>
            <w:tcW w:w="545" w:type="pct"/>
            <w:shd w:val="clear" w:color="auto" w:fill="auto"/>
            <w:vAlign w:val="center"/>
          </w:tcPr>
          <w:p w14:paraId="3DEC8E6A">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AC-13</w:t>
            </w:r>
          </w:p>
        </w:tc>
        <w:tc>
          <w:tcPr>
            <w:tcW w:w="272" w:type="pct"/>
            <w:shd w:val="clear" w:color="auto" w:fill="auto"/>
            <w:noWrap/>
            <w:vAlign w:val="center"/>
          </w:tcPr>
          <w:p w14:paraId="2B305627">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t</w:t>
            </w:r>
          </w:p>
        </w:tc>
        <w:tc>
          <w:tcPr>
            <w:tcW w:w="589" w:type="pct"/>
            <w:shd w:val="clear" w:color="auto" w:fill="auto"/>
            <w:vAlign w:val="center"/>
          </w:tcPr>
          <w:p w14:paraId="41E2D662">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 xml:space="preserve">1786.56 </w:t>
            </w:r>
          </w:p>
        </w:tc>
        <w:tc>
          <w:tcPr>
            <w:tcW w:w="519" w:type="pct"/>
            <w:shd w:val="clear" w:color="auto" w:fill="auto"/>
            <w:noWrap/>
            <w:vAlign w:val="center"/>
          </w:tcPr>
          <w:p w14:paraId="067624C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04" w:type="pct"/>
            <w:shd w:val="clear" w:color="auto" w:fill="auto"/>
            <w:noWrap/>
            <w:vAlign w:val="center"/>
          </w:tcPr>
          <w:p w14:paraId="1A1A83B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03" w:type="pct"/>
            <w:shd w:val="clear" w:color="auto" w:fill="auto"/>
            <w:noWrap/>
            <w:vAlign w:val="center"/>
          </w:tcPr>
          <w:p w14:paraId="64068FA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0" w:type="pct"/>
            <w:shd w:val="clear" w:color="auto" w:fill="auto"/>
            <w:noWrap/>
            <w:vAlign w:val="center"/>
          </w:tcPr>
          <w:p w14:paraId="15E87A0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58" w:type="pct"/>
            <w:shd w:val="clear" w:color="auto" w:fill="auto"/>
            <w:noWrap/>
            <w:vAlign w:val="center"/>
          </w:tcPr>
          <w:p w14:paraId="314BF0A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9" w:type="pct"/>
            <w:shd w:val="clear" w:color="auto" w:fill="auto"/>
            <w:noWrap/>
            <w:vAlign w:val="center"/>
          </w:tcPr>
          <w:p w14:paraId="336913B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0C8D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26" w:type="pct"/>
            <w:shd w:val="clear" w:color="auto" w:fill="auto"/>
            <w:vAlign w:val="center"/>
          </w:tcPr>
          <w:p w14:paraId="35011EFD">
            <w:pPr>
              <w:spacing w:line="500" w:lineRule="exact"/>
              <w:jc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9</w:t>
            </w:r>
          </w:p>
        </w:tc>
        <w:tc>
          <w:tcPr>
            <w:tcW w:w="660" w:type="pct"/>
            <w:shd w:val="clear" w:color="auto" w:fill="auto"/>
            <w:vAlign w:val="center"/>
          </w:tcPr>
          <w:p w14:paraId="7B51E2D1">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沥青混凝土</w:t>
            </w:r>
          </w:p>
        </w:tc>
        <w:tc>
          <w:tcPr>
            <w:tcW w:w="545" w:type="pct"/>
            <w:shd w:val="clear" w:color="auto" w:fill="auto"/>
            <w:vAlign w:val="center"/>
          </w:tcPr>
          <w:p w14:paraId="794B49A2">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ARHM-20</w:t>
            </w:r>
          </w:p>
        </w:tc>
        <w:tc>
          <w:tcPr>
            <w:tcW w:w="272" w:type="pct"/>
            <w:shd w:val="clear" w:color="auto" w:fill="auto"/>
            <w:noWrap/>
            <w:vAlign w:val="center"/>
          </w:tcPr>
          <w:p w14:paraId="4C842D6B">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t</w:t>
            </w:r>
          </w:p>
        </w:tc>
        <w:tc>
          <w:tcPr>
            <w:tcW w:w="589" w:type="pct"/>
            <w:shd w:val="clear" w:color="auto" w:fill="auto"/>
            <w:vAlign w:val="center"/>
          </w:tcPr>
          <w:p w14:paraId="5383F664">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 xml:space="preserve">2679.84 </w:t>
            </w:r>
          </w:p>
        </w:tc>
        <w:tc>
          <w:tcPr>
            <w:tcW w:w="519" w:type="pct"/>
            <w:shd w:val="clear" w:color="auto" w:fill="auto"/>
            <w:noWrap/>
            <w:vAlign w:val="center"/>
          </w:tcPr>
          <w:p w14:paraId="3C43B2F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04" w:type="pct"/>
            <w:shd w:val="clear" w:color="auto" w:fill="auto"/>
            <w:noWrap/>
            <w:vAlign w:val="center"/>
          </w:tcPr>
          <w:p w14:paraId="7BFE244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03" w:type="pct"/>
            <w:shd w:val="clear" w:color="auto" w:fill="auto"/>
            <w:noWrap/>
            <w:vAlign w:val="center"/>
          </w:tcPr>
          <w:p w14:paraId="56C3FF5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0" w:type="pct"/>
            <w:shd w:val="clear" w:color="auto" w:fill="auto"/>
            <w:noWrap/>
            <w:vAlign w:val="center"/>
          </w:tcPr>
          <w:p w14:paraId="7FC848F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58" w:type="pct"/>
            <w:shd w:val="clear" w:color="auto" w:fill="auto"/>
            <w:noWrap/>
            <w:vAlign w:val="center"/>
          </w:tcPr>
          <w:p w14:paraId="164FF8F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9" w:type="pct"/>
            <w:shd w:val="clear" w:color="auto" w:fill="auto"/>
            <w:noWrap/>
            <w:vAlign w:val="center"/>
          </w:tcPr>
          <w:p w14:paraId="6FAB973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143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326" w:type="pct"/>
            <w:shd w:val="clear" w:color="auto" w:fill="auto"/>
            <w:vAlign w:val="center"/>
          </w:tcPr>
          <w:p w14:paraId="3FE45339">
            <w:pPr>
              <w:spacing w:line="500" w:lineRule="exact"/>
              <w:jc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10</w:t>
            </w:r>
          </w:p>
        </w:tc>
        <w:tc>
          <w:tcPr>
            <w:tcW w:w="660" w:type="pct"/>
            <w:shd w:val="clear" w:color="auto" w:fill="auto"/>
            <w:vAlign w:val="center"/>
          </w:tcPr>
          <w:p w14:paraId="056B23E7">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波形梁护栏</w:t>
            </w:r>
          </w:p>
        </w:tc>
        <w:tc>
          <w:tcPr>
            <w:tcW w:w="545" w:type="pct"/>
            <w:shd w:val="clear" w:color="auto" w:fill="auto"/>
            <w:vAlign w:val="center"/>
          </w:tcPr>
          <w:p w14:paraId="09876EC8">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Gr-A-2C</w:t>
            </w:r>
          </w:p>
        </w:tc>
        <w:tc>
          <w:tcPr>
            <w:tcW w:w="272" w:type="pct"/>
            <w:shd w:val="clear" w:color="auto" w:fill="auto"/>
            <w:noWrap/>
            <w:vAlign w:val="center"/>
          </w:tcPr>
          <w:p w14:paraId="1EBFF9DF">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m</w:t>
            </w:r>
          </w:p>
        </w:tc>
        <w:tc>
          <w:tcPr>
            <w:tcW w:w="589" w:type="pct"/>
            <w:shd w:val="clear" w:color="auto" w:fill="auto"/>
            <w:vAlign w:val="center"/>
          </w:tcPr>
          <w:p w14:paraId="6A4E8439">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 xml:space="preserve">72.00 </w:t>
            </w:r>
          </w:p>
        </w:tc>
        <w:tc>
          <w:tcPr>
            <w:tcW w:w="519" w:type="pct"/>
            <w:shd w:val="clear" w:color="auto" w:fill="auto"/>
            <w:noWrap/>
            <w:vAlign w:val="center"/>
          </w:tcPr>
          <w:p w14:paraId="76F2277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04" w:type="pct"/>
            <w:shd w:val="clear" w:color="auto" w:fill="auto"/>
            <w:noWrap/>
            <w:vAlign w:val="center"/>
          </w:tcPr>
          <w:p w14:paraId="0EBD4D0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03" w:type="pct"/>
            <w:shd w:val="clear" w:color="auto" w:fill="auto"/>
            <w:noWrap/>
            <w:vAlign w:val="center"/>
          </w:tcPr>
          <w:p w14:paraId="1ADD932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0" w:type="pct"/>
            <w:shd w:val="clear" w:color="auto" w:fill="auto"/>
            <w:noWrap/>
            <w:vAlign w:val="center"/>
          </w:tcPr>
          <w:p w14:paraId="3D1751D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58" w:type="pct"/>
            <w:shd w:val="clear" w:color="auto" w:fill="auto"/>
            <w:noWrap/>
            <w:vAlign w:val="center"/>
          </w:tcPr>
          <w:p w14:paraId="0512CB3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9" w:type="pct"/>
            <w:shd w:val="clear" w:color="auto" w:fill="auto"/>
            <w:noWrap/>
            <w:vAlign w:val="center"/>
          </w:tcPr>
          <w:p w14:paraId="36FD6B5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9DD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6" w:type="pct"/>
            <w:shd w:val="clear" w:color="auto" w:fill="auto"/>
            <w:vAlign w:val="center"/>
          </w:tcPr>
          <w:p w14:paraId="2F10031C">
            <w:pPr>
              <w:spacing w:line="500" w:lineRule="exact"/>
              <w:jc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11</w:t>
            </w:r>
          </w:p>
        </w:tc>
        <w:tc>
          <w:tcPr>
            <w:tcW w:w="660" w:type="pct"/>
            <w:shd w:val="clear" w:color="auto" w:fill="auto"/>
            <w:vAlign w:val="center"/>
          </w:tcPr>
          <w:p w14:paraId="1963F8B6">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光圆钢筋</w:t>
            </w:r>
          </w:p>
        </w:tc>
        <w:tc>
          <w:tcPr>
            <w:tcW w:w="545" w:type="pct"/>
            <w:shd w:val="clear" w:color="auto" w:fill="auto"/>
            <w:vAlign w:val="center"/>
          </w:tcPr>
          <w:p w14:paraId="02DA874A">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φ8</w:t>
            </w:r>
          </w:p>
        </w:tc>
        <w:tc>
          <w:tcPr>
            <w:tcW w:w="272" w:type="pct"/>
            <w:shd w:val="clear" w:color="auto" w:fill="auto"/>
            <w:noWrap/>
            <w:vAlign w:val="center"/>
          </w:tcPr>
          <w:p w14:paraId="01A81ADF">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t</w:t>
            </w:r>
          </w:p>
        </w:tc>
        <w:tc>
          <w:tcPr>
            <w:tcW w:w="589" w:type="pct"/>
            <w:shd w:val="clear" w:color="auto" w:fill="auto"/>
            <w:vAlign w:val="center"/>
          </w:tcPr>
          <w:p w14:paraId="577C339D">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 xml:space="preserve">20.42 </w:t>
            </w:r>
          </w:p>
        </w:tc>
        <w:tc>
          <w:tcPr>
            <w:tcW w:w="519" w:type="pct"/>
            <w:shd w:val="clear" w:color="auto" w:fill="auto"/>
            <w:noWrap/>
            <w:vAlign w:val="center"/>
          </w:tcPr>
          <w:p w14:paraId="2D5C3DA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04" w:type="pct"/>
            <w:shd w:val="clear" w:color="auto" w:fill="auto"/>
            <w:noWrap/>
            <w:vAlign w:val="center"/>
          </w:tcPr>
          <w:p w14:paraId="7D9F755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03" w:type="pct"/>
            <w:shd w:val="clear" w:color="auto" w:fill="auto"/>
            <w:noWrap/>
            <w:vAlign w:val="center"/>
          </w:tcPr>
          <w:p w14:paraId="3BB6DE1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0" w:type="pct"/>
            <w:shd w:val="clear" w:color="auto" w:fill="auto"/>
            <w:noWrap/>
            <w:vAlign w:val="center"/>
          </w:tcPr>
          <w:p w14:paraId="0DDFB54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58" w:type="pct"/>
            <w:shd w:val="clear" w:color="auto" w:fill="auto"/>
            <w:noWrap/>
            <w:vAlign w:val="center"/>
          </w:tcPr>
          <w:p w14:paraId="2E88FCA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9" w:type="pct"/>
            <w:shd w:val="clear" w:color="auto" w:fill="auto"/>
            <w:noWrap/>
            <w:vAlign w:val="center"/>
          </w:tcPr>
          <w:p w14:paraId="48D6707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36E6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26" w:type="pct"/>
            <w:shd w:val="clear" w:color="auto" w:fill="auto"/>
            <w:vAlign w:val="center"/>
          </w:tcPr>
          <w:p w14:paraId="3E03E07E">
            <w:pPr>
              <w:spacing w:line="500" w:lineRule="exact"/>
              <w:jc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12</w:t>
            </w:r>
          </w:p>
        </w:tc>
        <w:tc>
          <w:tcPr>
            <w:tcW w:w="660" w:type="pct"/>
            <w:shd w:val="clear" w:color="auto" w:fill="auto"/>
            <w:vAlign w:val="center"/>
          </w:tcPr>
          <w:p w14:paraId="195BAAB8">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光圆钢筋</w:t>
            </w:r>
          </w:p>
        </w:tc>
        <w:tc>
          <w:tcPr>
            <w:tcW w:w="545" w:type="pct"/>
            <w:shd w:val="clear" w:color="auto" w:fill="auto"/>
            <w:vAlign w:val="center"/>
          </w:tcPr>
          <w:p w14:paraId="33DD9467">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φ12</w:t>
            </w:r>
          </w:p>
        </w:tc>
        <w:tc>
          <w:tcPr>
            <w:tcW w:w="272" w:type="pct"/>
            <w:shd w:val="clear" w:color="auto" w:fill="auto"/>
            <w:noWrap/>
            <w:vAlign w:val="center"/>
          </w:tcPr>
          <w:p w14:paraId="0CDFB235">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t</w:t>
            </w:r>
          </w:p>
        </w:tc>
        <w:tc>
          <w:tcPr>
            <w:tcW w:w="589" w:type="pct"/>
            <w:shd w:val="clear" w:color="auto" w:fill="auto"/>
            <w:vAlign w:val="center"/>
          </w:tcPr>
          <w:p w14:paraId="386A5EA2">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 xml:space="preserve">15.38 </w:t>
            </w:r>
          </w:p>
        </w:tc>
        <w:tc>
          <w:tcPr>
            <w:tcW w:w="519" w:type="pct"/>
            <w:shd w:val="clear" w:color="auto" w:fill="auto"/>
            <w:noWrap/>
            <w:vAlign w:val="center"/>
          </w:tcPr>
          <w:p w14:paraId="517C7C5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04" w:type="pct"/>
            <w:shd w:val="clear" w:color="auto" w:fill="auto"/>
            <w:noWrap/>
            <w:vAlign w:val="center"/>
          </w:tcPr>
          <w:p w14:paraId="7F018A6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03" w:type="pct"/>
            <w:shd w:val="clear" w:color="auto" w:fill="auto"/>
            <w:noWrap/>
            <w:vAlign w:val="center"/>
          </w:tcPr>
          <w:p w14:paraId="35D688D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0" w:type="pct"/>
            <w:shd w:val="clear" w:color="auto" w:fill="auto"/>
            <w:noWrap/>
            <w:vAlign w:val="center"/>
          </w:tcPr>
          <w:p w14:paraId="6DA7AD7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58" w:type="pct"/>
            <w:shd w:val="clear" w:color="auto" w:fill="auto"/>
            <w:noWrap/>
            <w:vAlign w:val="center"/>
          </w:tcPr>
          <w:p w14:paraId="3C36E61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9" w:type="pct"/>
            <w:shd w:val="clear" w:color="auto" w:fill="auto"/>
            <w:noWrap/>
            <w:vAlign w:val="center"/>
          </w:tcPr>
          <w:p w14:paraId="76C5CF4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DFC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26" w:type="pct"/>
            <w:shd w:val="clear" w:color="auto" w:fill="auto"/>
            <w:vAlign w:val="center"/>
          </w:tcPr>
          <w:p w14:paraId="645F78BD">
            <w:pPr>
              <w:spacing w:line="500" w:lineRule="exact"/>
              <w:jc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13</w:t>
            </w:r>
          </w:p>
        </w:tc>
        <w:tc>
          <w:tcPr>
            <w:tcW w:w="660" w:type="pct"/>
            <w:shd w:val="clear" w:color="auto" w:fill="auto"/>
            <w:vAlign w:val="center"/>
          </w:tcPr>
          <w:p w14:paraId="6F1842CD">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光圆钢筋</w:t>
            </w:r>
          </w:p>
        </w:tc>
        <w:tc>
          <w:tcPr>
            <w:tcW w:w="545" w:type="pct"/>
            <w:shd w:val="clear" w:color="auto" w:fill="auto"/>
            <w:vAlign w:val="center"/>
          </w:tcPr>
          <w:p w14:paraId="20CE21A0">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φ16</w:t>
            </w:r>
          </w:p>
        </w:tc>
        <w:tc>
          <w:tcPr>
            <w:tcW w:w="272" w:type="pct"/>
            <w:shd w:val="clear" w:color="auto" w:fill="auto"/>
            <w:noWrap/>
            <w:vAlign w:val="center"/>
          </w:tcPr>
          <w:p w14:paraId="20359FC3">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t</w:t>
            </w:r>
          </w:p>
        </w:tc>
        <w:tc>
          <w:tcPr>
            <w:tcW w:w="589" w:type="pct"/>
            <w:shd w:val="clear" w:color="auto" w:fill="auto"/>
            <w:vAlign w:val="center"/>
          </w:tcPr>
          <w:p w14:paraId="1026DF3C">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 xml:space="preserve">2.11 </w:t>
            </w:r>
          </w:p>
        </w:tc>
        <w:tc>
          <w:tcPr>
            <w:tcW w:w="519" w:type="pct"/>
            <w:shd w:val="clear" w:color="auto" w:fill="auto"/>
            <w:noWrap/>
            <w:vAlign w:val="center"/>
          </w:tcPr>
          <w:p w14:paraId="6BA795E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04" w:type="pct"/>
            <w:shd w:val="clear" w:color="auto" w:fill="auto"/>
            <w:noWrap/>
            <w:vAlign w:val="center"/>
          </w:tcPr>
          <w:p w14:paraId="5024DD7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03" w:type="pct"/>
            <w:shd w:val="clear" w:color="auto" w:fill="auto"/>
            <w:noWrap/>
            <w:vAlign w:val="center"/>
          </w:tcPr>
          <w:p w14:paraId="2F59B5B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0" w:type="pct"/>
            <w:shd w:val="clear" w:color="auto" w:fill="auto"/>
            <w:noWrap/>
            <w:vAlign w:val="center"/>
          </w:tcPr>
          <w:p w14:paraId="2456E98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58" w:type="pct"/>
            <w:shd w:val="clear" w:color="auto" w:fill="auto"/>
            <w:noWrap/>
            <w:vAlign w:val="center"/>
          </w:tcPr>
          <w:p w14:paraId="331069B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9" w:type="pct"/>
            <w:shd w:val="clear" w:color="auto" w:fill="auto"/>
            <w:noWrap/>
            <w:vAlign w:val="center"/>
          </w:tcPr>
          <w:p w14:paraId="56CCAC4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7BC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26" w:type="pct"/>
            <w:shd w:val="clear" w:color="auto" w:fill="auto"/>
            <w:vAlign w:val="center"/>
          </w:tcPr>
          <w:p w14:paraId="76BAFE0D">
            <w:pPr>
              <w:spacing w:line="500" w:lineRule="exact"/>
              <w:jc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14</w:t>
            </w:r>
          </w:p>
        </w:tc>
        <w:tc>
          <w:tcPr>
            <w:tcW w:w="660" w:type="pct"/>
            <w:shd w:val="clear" w:color="auto" w:fill="auto"/>
            <w:vAlign w:val="center"/>
          </w:tcPr>
          <w:p w14:paraId="26A3852A">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带肋钢筋</w:t>
            </w:r>
          </w:p>
        </w:tc>
        <w:tc>
          <w:tcPr>
            <w:tcW w:w="545" w:type="pct"/>
            <w:shd w:val="clear" w:color="auto" w:fill="auto"/>
            <w:vAlign w:val="center"/>
          </w:tcPr>
          <w:p w14:paraId="6A3A9A37">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φ16</w:t>
            </w:r>
          </w:p>
        </w:tc>
        <w:tc>
          <w:tcPr>
            <w:tcW w:w="272" w:type="pct"/>
            <w:shd w:val="clear" w:color="auto" w:fill="auto"/>
            <w:noWrap/>
            <w:vAlign w:val="center"/>
          </w:tcPr>
          <w:p w14:paraId="53EF8EBE">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t</w:t>
            </w:r>
          </w:p>
        </w:tc>
        <w:tc>
          <w:tcPr>
            <w:tcW w:w="589" w:type="pct"/>
            <w:shd w:val="clear" w:color="auto" w:fill="auto"/>
            <w:vAlign w:val="center"/>
          </w:tcPr>
          <w:p w14:paraId="79A0C3B2">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 xml:space="preserve">50.85 </w:t>
            </w:r>
          </w:p>
        </w:tc>
        <w:tc>
          <w:tcPr>
            <w:tcW w:w="519" w:type="pct"/>
            <w:shd w:val="clear" w:color="auto" w:fill="auto"/>
            <w:noWrap/>
            <w:vAlign w:val="center"/>
          </w:tcPr>
          <w:p w14:paraId="4F9611F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04" w:type="pct"/>
            <w:shd w:val="clear" w:color="auto" w:fill="auto"/>
            <w:noWrap/>
            <w:vAlign w:val="center"/>
          </w:tcPr>
          <w:p w14:paraId="4A66875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03" w:type="pct"/>
            <w:shd w:val="clear" w:color="auto" w:fill="auto"/>
            <w:noWrap/>
            <w:vAlign w:val="center"/>
          </w:tcPr>
          <w:p w14:paraId="5E7CA07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0" w:type="pct"/>
            <w:shd w:val="clear" w:color="auto" w:fill="auto"/>
            <w:noWrap/>
            <w:vAlign w:val="center"/>
          </w:tcPr>
          <w:p w14:paraId="1687F51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58" w:type="pct"/>
            <w:shd w:val="clear" w:color="auto" w:fill="auto"/>
            <w:noWrap/>
            <w:vAlign w:val="center"/>
          </w:tcPr>
          <w:p w14:paraId="6009693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9" w:type="pct"/>
            <w:shd w:val="clear" w:color="auto" w:fill="auto"/>
            <w:noWrap/>
            <w:vAlign w:val="center"/>
          </w:tcPr>
          <w:p w14:paraId="1CA6F1F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6967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6" w:type="pct"/>
            <w:shd w:val="clear" w:color="auto" w:fill="auto"/>
            <w:vAlign w:val="center"/>
          </w:tcPr>
          <w:p w14:paraId="0285F9CF">
            <w:pPr>
              <w:spacing w:line="500" w:lineRule="exact"/>
              <w:jc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15</w:t>
            </w:r>
          </w:p>
        </w:tc>
        <w:tc>
          <w:tcPr>
            <w:tcW w:w="660" w:type="pct"/>
            <w:shd w:val="clear" w:color="auto" w:fill="auto"/>
            <w:vAlign w:val="center"/>
          </w:tcPr>
          <w:p w14:paraId="18D08B8D">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带肋钢筋</w:t>
            </w:r>
          </w:p>
        </w:tc>
        <w:tc>
          <w:tcPr>
            <w:tcW w:w="545" w:type="pct"/>
            <w:shd w:val="clear" w:color="auto" w:fill="auto"/>
            <w:vAlign w:val="center"/>
          </w:tcPr>
          <w:p w14:paraId="203464BB">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φ22</w:t>
            </w:r>
          </w:p>
        </w:tc>
        <w:tc>
          <w:tcPr>
            <w:tcW w:w="272" w:type="pct"/>
            <w:shd w:val="clear" w:color="auto" w:fill="auto"/>
            <w:noWrap/>
            <w:vAlign w:val="center"/>
          </w:tcPr>
          <w:p w14:paraId="34E2CB6D">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t</w:t>
            </w:r>
          </w:p>
        </w:tc>
        <w:tc>
          <w:tcPr>
            <w:tcW w:w="589" w:type="pct"/>
            <w:shd w:val="clear" w:color="auto" w:fill="auto"/>
            <w:vAlign w:val="center"/>
          </w:tcPr>
          <w:p w14:paraId="49450DB4">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 xml:space="preserve">120.44 </w:t>
            </w:r>
          </w:p>
        </w:tc>
        <w:tc>
          <w:tcPr>
            <w:tcW w:w="519" w:type="pct"/>
            <w:shd w:val="clear" w:color="auto" w:fill="auto"/>
            <w:noWrap/>
            <w:vAlign w:val="center"/>
          </w:tcPr>
          <w:p w14:paraId="4BE636E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04" w:type="pct"/>
            <w:shd w:val="clear" w:color="auto" w:fill="auto"/>
            <w:noWrap/>
            <w:vAlign w:val="center"/>
          </w:tcPr>
          <w:p w14:paraId="08034CD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03" w:type="pct"/>
            <w:shd w:val="clear" w:color="auto" w:fill="auto"/>
            <w:noWrap/>
            <w:vAlign w:val="center"/>
          </w:tcPr>
          <w:p w14:paraId="2F5AE4F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0" w:type="pct"/>
            <w:shd w:val="clear" w:color="auto" w:fill="auto"/>
            <w:noWrap/>
            <w:vAlign w:val="center"/>
          </w:tcPr>
          <w:p w14:paraId="71881B9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58" w:type="pct"/>
            <w:shd w:val="clear" w:color="auto" w:fill="auto"/>
            <w:noWrap/>
            <w:vAlign w:val="center"/>
          </w:tcPr>
          <w:p w14:paraId="0B6FA84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9" w:type="pct"/>
            <w:shd w:val="clear" w:color="auto" w:fill="auto"/>
            <w:noWrap/>
            <w:vAlign w:val="center"/>
          </w:tcPr>
          <w:p w14:paraId="640C69F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D3D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326" w:type="pct"/>
            <w:shd w:val="clear" w:color="auto" w:fill="auto"/>
            <w:vAlign w:val="center"/>
          </w:tcPr>
          <w:p w14:paraId="4A2D4B23">
            <w:pPr>
              <w:spacing w:line="500" w:lineRule="exact"/>
              <w:jc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16</w:t>
            </w:r>
          </w:p>
        </w:tc>
        <w:tc>
          <w:tcPr>
            <w:tcW w:w="660" w:type="pct"/>
            <w:shd w:val="clear" w:color="auto" w:fill="auto"/>
            <w:vAlign w:val="center"/>
          </w:tcPr>
          <w:p w14:paraId="13AD8275">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带肋钢筋</w:t>
            </w:r>
          </w:p>
        </w:tc>
        <w:tc>
          <w:tcPr>
            <w:tcW w:w="545" w:type="pct"/>
            <w:shd w:val="clear" w:color="auto" w:fill="auto"/>
            <w:vAlign w:val="center"/>
          </w:tcPr>
          <w:p w14:paraId="6A419B64">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φ25</w:t>
            </w:r>
          </w:p>
        </w:tc>
        <w:tc>
          <w:tcPr>
            <w:tcW w:w="272" w:type="pct"/>
            <w:shd w:val="clear" w:color="auto" w:fill="auto"/>
            <w:noWrap/>
            <w:vAlign w:val="center"/>
          </w:tcPr>
          <w:p w14:paraId="0CD3A0FF">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t</w:t>
            </w:r>
          </w:p>
        </w:tc>
        <w:tc>
          <w:tcPr>
            <w:tcW w:w="589" w:type="pct"/>
            <w:shd w:val="clear" w:color="auto" w:fill="auto"/>
            <w:vAlign w:val="center"/>
          </w:tcPr>
          <w:p w14:paraId="3304DFC2">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 xml:space="preserve">65.59 </w:t>
            </w:r>
          </w:p>
        </w:tc>
        <w:tc>
          <w:tcPr>
            <w:tcW w:w="519" w:type="pct"/>
            <w:shd w:val="clear" w:color="auto" w:fill="auto"/>
            <w:noWrap/>
            <w:vAlign w:val="center"/>
          </w:tcPr>
          <w:p w14:paraId="6C4A04F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04" w:type="pct"/>
            <w:shd w:val="clear" w:color="auto" w:fill="auto"/>
            <w:noWrap/>
            <w:vAlign w:val="center"/>
          </w:tcPr>
          <w:p w14:paraId="031EC27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03" w:type="pct"/>
            <w:shd w:val="clear" w:color="auto" w:fill="auto"/>
            <w:noWrap/>
            <w:vAlign w:val="center"/>
          </w:tcPr>
          <w:p w14:paraId="03E6B8C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0" w:type="pct"/>
            <w:shd w:val="clear" w:color="auto" w:fill="auto"/>
            <w:noWrap/>
            <w:vAlign w:val="center"/>
          </w:tcPr>
          <w:p w14:paraId="016248F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58" w:type="pct"/>
            <w:shd w:val="clear" w:color="auto" w:fill="auto"/>
            <w:noWrap/>
            <w:vAlign w:val="center"/>
          </w:tcPr>
          <w:p w14:paraId="3A4D4AD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9" w:type="pct"/>
            <w:shd w:val="clear" w:color="auto" w:fill="auto"/>
            <w:noWrap/>
            <w:vAlign w:val="center"/>
          </w:tcPr>
          <w:p w14:paraId="357475A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BAB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26" w:type="pct"/>
            <w:shd w:val="clear" w:color="auto" w:fill="auto"/>
            <w:vAlign w:val="center"/>
          </w:tcPr>
          <w:p w14:paraId="590A121D">
            <w:pPr>
              <w:spacing w:line="500" w:lineRule="exact"/>
              <w:jc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17</w:t>
            </w:r>
          </w:p>
        </w:tc>
        <w:tc>
          <w:tcPr>
            <w:tcW w:w="660" w:type="pct"/>
            <w:shd w:val="clear" w:color="auto" w:fill="auto"/>
            <w:vAlign w:val="center"/>
          </w:tcPr>
          <w:p w14:paraId="219CD61D">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带肋钢筋</w:t>
            </w:r>
          </w:p>
        </w:tc>
        <w:tc>
          <w:tcPr>
            <w:tcW w:w="545" w:type="pct"/>
            <w:shd w:val="clear" w:color="auto" w:fill="auto"/>
            <w:vAlign w:val="center"/>
          </w:tcPr>
          <w:p w14:paraId="3B02198D">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φ32</w:t>
            </w:r>
          </w:p>
        </w:tc>
        <w:tc>
          <w:tcPr>
            <w:tcW w:w="272" w:type="pct"/>
            <w:shd w:val="clear" w:color="auto" w:fill="auto"/>
            <w:noWrap/>
            <w:vAlign w:val="center"/>
          </w:tcPr>
          <w:p w14:paraId="460BD242">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t</w:t>
            </w:r>
          </w:p>
        </w:tc>
        <w:tc>
          <w:tcPr>
            <w:tcW w:w="589" w:type="pct"/>
            <w:shd w:val="clear" w:color="auto" w:fill="auto"/>
            <w:vAlign w:val="center"/>
          </w:tcPr>
          <w:p w14:paraId="3407D7BF">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 xml:space="preserve">43.29 </w:t>
            </w:r>
          </w:p>
        </w:tc>
        <w:tc>
          <w:tcPr>
            <w:tcW w:w="519" w:type="pct"/>
            <w:shd w:val="clear" w:color="auto" w:fill="auto"/>
            <w:noWrap/>
            <w:vAlign w:val="center"/>
          </w:tcPr>
          <w:p w14:paraId="64A9B53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04" w:type="pct"/>
            <w:shd w:val="clear" w:color="auto" w:fill="auto"/>
            <w:noWrap/>
            <w:vAlign w:val="center"/>
          </w:tcPr>
          <w:p w14:paraId="610413F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03" w:type="pct"/>
            <w:shd w:val="clear" w:color="auto" w:fill="auto"/>
            <w:noWrap/>
            <w:vAlign w:val="center"/>
          </w:tcPr>
          <w:p w14:paraId="1805BEF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0" w:type="pct"/>
            <w:shd w:val="clear" w:color="auto" w:fill="auto"/>
            <w:noWrap/>
            <w:vAlign w:val="center"/>
          </w:tcPr>
          <w:p w14:paraId="3E6C57B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58" w:type="pct"/>
            <w:shd w:val="clear" w:color="auto" w:fill="auto"/>
            <w:noWrap/>
            <w:vAlign w:val="center"/>
          </w:tcPr>
          <w:p w14:paraId="5FE6EE1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9" w:type="pct"/>
            <w:shd w:val="clear" w:color="auto" w:fill="auto"/>
            <w:noWrap/>
            <w:vAlign w:val="center"/>
          </w:tcPr>
          <w:p w14:paraId="5C1B19D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23C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326" w:type="pct"/>
            <w:shd w:val="clear" w:color="auto" w:fill="auto"/>
            <w:vAlign w:val="center"/>
          </w:tcPr>
          <w:p w14:paraId="727461D3">
            <w:pPr>
              <w:spacing w:line="500" w:lineRule="exact"/>
              <w:jc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18</w:t>
            </w:r>
          </w:p>
        </w:tc>
        <w:tc>
          <w:tcPr>
            <w:tcW w:w="660" w:type="pct"/>
            <w:shd w:val="clear" w:color="auto" w:fill="auto"/>
            <w:vAlign w:val="center"/>
          </w:tcPr>
          <w:p w14:paraId="3DC7F102">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钢绞线</w:t>
            </w:r>
          </w:p>
        </w:tc>
        <w:tc>
          <w:tcPr>
            <w:tcW w:w="545" w:type="pct"/>
            <w:shd w:val="clear" w:color="auto" w:fill="auto"/>
            <w:vAlign w:val="center"/>
          </w:tcPr>
          <w:p w14:paraId="20F14E02">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φ15.2</w:t>
            </w:r>
          </w:p>
        </w:tc>
        <w:tc>
          <w:tcPr>
            <w:tcW w:w="272" w:type="pct"/>
            <w:shd w:val="clear" w:color="auto" w:fill="auto"/>
            <w:noWrap/>
            <w:vAlign w:val="center"/>
          </w:tcPr>
          <w:p w14:paraId="688377AD">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吨</w:t>
            </w:r>
          </w:p>
        </w:tc>
        <w:tc>
          <w:tcPr>
            <w:tcW w:w="589" w:type="pct"/>
            <w:shd w:val="clear" w:color="auto" w:fill="auto"/>
            <w:vAlign w:val="center"/>
          </w:tcPr>
          <w:p w14:paraId="3C8B9DD2">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 xml:space="preserve">49.48 </w:t>
            </w:r>
          </w:p>
        </w:tc>
        <w:tc>
          <w:tcPr>
            <w:tcW w:w="519" w:type="pct"/>
            <w:shd w:val="clear" w:color="auto" w:fill="auto"/>
            <w:noWrap/>
            <w:vAlign w:val="center"/>
          </w:tcPr>
          <w:p w14:paraId="5F49B83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04" w:type="pct"/>
            <w:shd w:val="clear" w:color="auto" w:fill="auto"/>
            <w:noWrap/>
            <w:vAlign w:val="center"/>
          </w:tcPr>
          <w:p w14:paraId="3357C18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03" w:type="pct"/>
            <w:shd w:val="clear" w:color="auto" w:fill="auto"/>
            <w:noWrap/>
            <w:vAlign w:val="center"/>
          </w:tcPr>
          <w:p w14:paraId="3CA3FB2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0" w:type="pct"/>
            <w:shd w:val="clear" w:color="auto" w:fill="auto"/>
            <w:noWrap/>
            <w:vAlign w:val="center"/>
          </w:tcPr>
          <w:p w14:paraId="31FD75E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58" w:type="pct"/>
            <w:shd w:val="clear" w:color="auto" w:fill="auto"/>
            <w:noWrap/>
            <w:vAlign w:val="center"/>
          </w:tcPr>
          <w:p w14:paraId="7E684AE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9" w:type="pct"/>
            <w:shd w:val="clear" w:color="auto" w:fill="auto"/>
            <w:noWrap/>
            <w:vAlign w:val="center"/>
          </w:tcPr>
          <w:p w14:paraId="740E9B5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3E4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26" w:type="pct"/>
            <w:shd w:val="clear" w:color="auto" w:fill="auto"/>
            <w:vAlign w:val="center"/>
          </w:tcPr>
          <w:p w14:paraId="4074C211">
            <w:pPr>
              <w:spacing w:line="500" w:lineRule="exact"/>
              <w:jc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19</w:t>
            </w:r>
          </w:p>
        </w:tc>
        <w:tc>
          <w:tcPr>
            <w:tcW w:w="660" w:type="pct"/>
            <w:shd w:val="clear" w:color="auto" w:fill="auto"/>
            <w:vAlign w:val="center"/>
          </w:tcPr>
          <w:p w14:paraId="243F148B">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锚具</w:t>
            </w:r>
          </w:p>
        </w:tc>
        <w:tc>
          <w:tcPr>
            <w:tcW w:w="545" w:type="pct"/>
            <w:shd w:val="clear" w:color="auto" w:fill="auto"/>
            <w:vAlign w:val="center"/>
          </w:tcPr>
          <w:p w14:paraId="07B5BBF3">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OVM-15-6</w:t>
            </w:r>
          </w:p>
        </w:tc>
        <w:tc>
          <w:tcPr>
            <w:tcW w:w="272" w:type="pct"/>
            <w:shd w:val="clear" w:color="auto" w:fill="auto"/>
            <w:noWrap/>
            <w:vAlign w:val="center"/>
          </w:tcPr>
          <w:p w14:paraId="24B46180">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套</w:t>
            </w:r>
          </w:p>
        </w:tc>
        <w:tc>
          <w:tcPr>
            <w:tcW w:w="589" w:type="pct"/>
            <w:shd w:val="clear" w:color="auto" w:fill="auto"/>
            <w:vAlign w:val="center"/>
          </w:tcPr>
          <w:p w14:paraId="0347CBC8">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 xml:space="preserve">396.00 </w:t>
            </w:r>
          </w:p>
        </w:tc>
        <w:tc>
          <w:tcPr>
            <w:tcW w:w="519" w:type="pct"/>
            <w:shd w:val="clear" w:color="auto" w:fill="auto"/>
            <w:noWrap/>
            <w:vAlign w:val="center"/>
          </w:tcPr>
          <w:p w14:paraId="491579E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04" w:type="pct"/>
            <w:shd w:val="clear" w:color="auto" w:fill="auto"/>
            <w:noWrap/>
            <w:vAlign w:val="center"/>
          </w:tcPr>
          <w:p w14:paraId="79DF0E5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03" w:type="pct"/>
            <w:shd w:val="clear" w:color="auto" w:fill="auto"/>
            <w:noWrap/>
            <w:vAlign w:val="center"/>
          </w:tcPr>
          <w:p w14:paraId="5DFB202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0" w:type="pct"/>
            <w:shd w:val="clear" w:color="auto" w:fill="auto"/>
            <w:noWrap/>
            <w:vAlign w:val="center"/>
          </w:tcPr>
          <w:p w14:paraId="23F4AC5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58" w:type="pct"/>
            <w:shd w:val="clear" w:color="auto" w:fill="auto"/>
            <w:noWrap/>
            <w:vAlign w:val="center"/>
          </w:tcPr>
          <w:p w14:paraId="159A5AB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9" w:type="pct"/>
            <w:shd w:val="clear" w:color="auto" w:fill="auto"/>
            <w:noWrap/>
            <w:vAlign w:val="center"/>
          </w:tcPr>
          <w:p w14:paraId="396D6A7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38A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26" w:type="pct"/>
            <w:shd w:val="clear" w:color="auto" w:fill="auto"/>
            <w:vAlign w:val="center"/>
          </w:tcPr>
          <w:p w14:paraId="4C2D93D8">
            <w:pPr>
              <w:spacing w:line="500" w:lineRule="exact"/>
              <w:jc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20</w:t>
            </w:r>
          </w:p>
        </w:tc>
        <w:tc>
          <w:tcPr>
            <w:tcW w:w="660" w:type="pct"/>
            <w:shd w:val="clear" w:color="auto" w:fill="auto"/>
            <w:vAlign w:val="center"/>
          </w:tcPr>
          <w:p w14:paraId="3FB1AC60">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PVC管</w:t>
            </w:r>
          </w:p>
        </w:tc>
        <w:tc>
          <w:tcPr>
            <w:tcW w:w="545" w:type="pct"/>
            <w:shd w:val="clear" w:color="auto" w:fill="auto"/>
            <w:vAlign w:val="center"/>
          </w:tcPr>
          <w:p w14:paraId="0D17971D">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φ9O</w:t>
            </w:r>
          </w:p>
        </w:tc>
        <w:tc>
          <w:tcPr>
            <w:tcW w:w="272" w:type="pct"/>
            <w:shd w:val="clear" w:color="auto" w:fill="auto"/>
            <w:noWrap/>
            <w:vAlign w:val="center"/>
          </w:tcPr>
          <w:p w14:paraId="74A146FA">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m</w:t>
            </w:r>
          </w:p>
        </w:tc>
        <w:tc>
          <w:tcPr>
            <w:tcW w:w="589" w:type="pct"/>
            <w:shd w:val="clear" w:color="auto" w:fill="auto"/>
            <w:vAlign w:val="center"/>
          </w:tcPr>
          <w:p w14:paraId="38E8871F">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 xml:space="preserve">132.00 </w:t>
            </w:r>
          </w:p>
        </w:tc>
        <w:tc>
          <w:tcPr>
            <w:tcW w:w="519" w:type="pct"/>
            <w:shd w:val="clear" w:color="auto" w:fill="auto"/>
            <w:noWrap/>
            <w:vAlign w:val="center"/>
          </w:tcPr>
          <w:p w14:paraId="7078FD0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04" w:type="pct"/>
            <w:shd w:val="clear" w:color="auto" w:fill="auto"/>
            <w:noWrap/>
            <w:vAlign w:val="center"/>
          </w:tcPr>
          <w:p w14:paraId="686633C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03" w:type="pct"/>
            <w:shd w:val="clear" w:color="auto" w:fill="auto"/>
            <w:noWrap/>
            <w:vAlign w:val="center"/>
          </w:tcPr>
          <w:p w14:paraId="6FE56DB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0" w:type="pct"/>
            <w:shd w:val="clear" w:color="auto" w:fill="auto"/>
            <w:noWrap/>
            <w:vAlign w:val="center"/>
          </w:tcPr>
          <w:p w14:paraId="08ECFA1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58" w:type="pct"/>
            <w:shd w:val="clear" w:color="auto" w:fill="auto"/>
            <w:noWrap/>
            <w:vAlign w:val="center"/>
          </w:tcPr>
          <w:p w14:paraId="760DA85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9" w:type="pct"/>
            <w:shd w:val="clear" w:color="auto" w:fill="auto"/>
            <w:noWrap/>
            <w:vAlign w:val="center"/>
          </w:tcPr>
          <w:p w14:paraId="585ECDD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28F5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26" w:type="pct"/>
            <w:shd w:val="clear" w:color="auto" w:fill="auto"/>
            <w:vAlign w:val="center"/>
          </w:tcPr>
          <w:p w14:paraId="4A9929A9">
            <w:pPr>
              <w:spacing w:line="500" w:lineRule="exact"/>
              <w:jc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21</w:t>
            </w:r>
          </w:p>
        </w:tc>
        <w:tc>
          <w:tcPr>
            <w:tcW w:w="660" w:type="pct"/>
            <w:shd w:val="clear" w:color="auto" w:fill="auto"/>
            <w:vAlign w:val="center"/>
          </w:tcPr>
          <w:p w14:paraId="24C9051C">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主动防护网</w:t>
            </w:r>
          </w:p>
        </w:tc>
        <w:tc>
          <w:tcPr>
            <w:tcW w:w="545" w:type="pct"/>
            <w:shd w:val="clear" w:color="auto" w:fill="auto"/>
            <w:vAlign w:val="center"/>
          </w:tcPr>
          <w:p w14:paraId="47D83174">
            <w:pPr>
              <w:jc w:val="left"/>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 xml:space="preserve">         </w:t>
            </w:r>
          </w:p>
        </w:tc>
        <w:tc>
          <w:tcPr>
            <w:tcW w:w="272" w:type="pct"/>
            <w:shd w:val="clear" w:color="auto" w:fill="auto"/>
            <w:noWrap/>
            <w:vAlign w:val="center"/>
          </w:tcPr>
          <w:p w14:paraId="0BDA7F7E">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m2</w:t>
            </w:r>
          </w:p>
        </w:tc>
        <w:tc>
          <w:tcPr>
            <w:tcW w:w="589" w:type="pct"/>
            <w:shd w:val="clear" w:color="auto" w:fill="auto"/>
            <w:vAlign w:val="center"/>
          </w:tcPr>
          <w:p w14:paraId="27940F3C">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 xml:space="preserve">1793.19 </w:t>
            </w:r>
          </w:p>
        </w:tc>
        <w:tc>
          <w:tcPr>
            <w:tcW w:w="519" w:type="pct"/>
            <w:shd w:val="clear" w:color="auto" w:fill="auto"/>
            <w:noWrap/>
            <w:vAlign w:val="center"/>
          </w:tcPr>
          <w:p w14:paraId="6FFE30E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04" w:type="pct"/>
            <w:shd w:val="clear" w:color="auto" w:fill="auto"/>
            <w:noWrap/>
            <w:vAlign w:val="center"/>
          </w:tcPr>
          <w:p w14:paraId="1E00D67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03" w:type="pct"/>
            <w:shd w:val="clear" w:color="auto" w:fill="auto"/>
            <w:noWrap/>
            <w:vAlign w:val="center"/>
          </w:tcPr>
          <w:p w14:paraId="0D0C8B9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0" w:type="pct"/>
            <w:shd w:val="clear" w:color="auto" w:fill="auto"/>
            <w:noWrap/>
            <w:vAlign w:val="center"/>
          </w:tcPr>
          <w:p w14:paraId="5E1B0E3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58" w:type="pct"/>
            <w:shd w:val="clear" w:color="auto" w:fill="auto"/>
            <w:noWrap/>
            <w:vAlign w:val="center"/>
          </w:tcPr>
          <w:p w14:paraId="304CB8F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9" w:type="pct"/>
            <w:shd w:val="clear" w:color="auto" w:fill="auto"/>
            <w:noWrap/>
            <w:vAlign w:val="center"/>
          </w:tcPr>
          <w:p w14:paraId="286AFEA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D0C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26" w:type="pct"/>
            <w:shd w:val="clear" w:color="auto" w:fill="auto"/>
            <w:vAlign w:val="center"/>
          </w:tcPr>
          <w:p w14:paraId="67F0D9D9">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合计</w:t>
            </w:r>
          </w:p>
        </w:tc>
        <w:tc>
          <w:tcPr>
            <w:tcW w:w="660" w:type="pct"/>
            <w:shd w:val="clear" w:color="auto" w:fill="auto"/>
            <w:vAlign w:val="center"/>
          </w:tcPr>
          <w:p w14:paraId="3625C004">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545" w:type="pct"/>
            <w:shd w:val="clear" w:color="auto" w:fill="auto"/>
            <w:vAlign w:val="center"/>
          </w:tcPr>
          <w:p w14:paraId="3B26CE7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272" w:type="pct"/>
            <w:shd w:val="clear" w:color="auto" w:fill="auto"/>
            <w:noWrap/>
            <w:vAlign w:val="center"/>
          </w:tcPr>
          <w:p w14:paraId="67BA0F8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589" w:type="pct"/>
            <w:shd w:val="clear" w:color="auto" w:fill="auto"/>
            <w:vAlign w:val="center"/>
          </w:tcPr>
          <w:p w14:paraId="4842269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9" w:type="pct"/>
            <w:shd w:val="clear" w:color="auto" w:fill="auto"/>
            <w:noWrap/>
            <w:vAlign w:val="center"/>
          </w:tcPr>
          <w:p w14:paraId="52C3D1B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04" w:type="pct"/>
            <w:shd w:val="clear" w:color="auto" w:fill="auto"/>
            <w:noWrap/>
            <w:vAlign w:val="center"/>
          </w:tcPr>
          <w:p w14:paraId="75AF42E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03" w:type="pct"/>
            <w:shd w:val="clear" w:color="auto" w:fill="auto"/>
            <w:noWrap/>
            <w:vAlign w:val="center"/>
          </w:tcPr>
          <w:p w14:paraId="4671173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30" w:type="pct"/>
            <w:shd w:val="clear" w:color="auto" w:fill="auto"/>
            <w:noWrap/>
            <w:vAlign w:val="center"/>
          </w:tcPr>
          <w:p w14:paraId="4FADCFF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58" w:type="pct"/>
            <w:shd w:val="clear" w:color="auto" w:fill="auto"/>
            <w:noWrap/>
            <w:vAlign w:val="center"/>
          </w:tcPr>
          <w:p w14:paraId="7F96255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89" w:type="pct"/>
            <w:shd w:val="clear" w:color="auto" w:fill="auto"/>
            <w:noWrap/>
            <w:vAlign w:val="center"/>
          </w:tcPr>
          <w:p w14:paraId="3DCAEE0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661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0" w:type="pct"/>
            <w:gridSpan w:val="11"/>
            <w:shd w:val="clear" w:color="auto" w:fill="auto"/>
            <w:vAlign w:val="center"/>
          </w:tcPr>
          <w:p w14:paraId="26A6B8C0">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不含增值税总价（暂定）</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p>
        </w:tc>
      </w:tr>
      <w:tr w14:paraId="38CA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6E37E7C7">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含增值税总价（暂定）</w:t>
            </w:r>
            <w:r>
              <w:rPr>
                <w:rFonts w:hint="eastAsia" w:ascii="仿宋_GB2312" w:hAnsi="宋体" w:eastAsia="仿宋_GB2312"/>
                <w:color w:val="000000" w:themeColor="text1"/>
                <w:sz w:val="18"/>
                <w:szCs w:val="18"/>
                <w:highlight w:val="none"/>
                <w14:textFill>
                  <w14:solidFill>
                    <w14:schemeClr w14:val="tx1"/>
                  </w14:solidFill>
                </w14:textFill>
              </w:rPr>
              <w:t>：</w:t>
            </w:r>
            <w:r>
              <w:rPr>
                <w:rFonts w:hint="eastAsia" w:ascii="仿宋_GB2312" w:hAnsi="仿宋_GB2312" w:eastAsia="仿宋_GB2312" w:cs="仿宋_GB2312"/>
                <w:color w:val="000000" w:themeColor="text1"/>
                <w:sz w:val="18"/>
                <w:szCs w:val="18"/>
                <w:highlight w:val="none"/>
                <w14:textFill>
                  <w14:solidFill>
                    <w14:schemeClr w14:val="tx1"/>
                  </w14:solidFill>
                </w14:textFill>
              </w:rPr>
              <w:t>不含增值税暂定总价*（1+增值税税率）=</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r>
      <w:permEnd w:id="10"/>
    </w:tbl>
    <w:p w14:paraId="748A5529">
      <w:pPr>
        <w:pStyle w:val="12"/>
        <w:spacing w:line="400" w:lineRule="atLeast"/>
        <w:ind w:left="479" w:leftChars="228"/>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说明：</w:t>
      </w:r>
    </w:p>
    <w:p w14:paraId="4C42371A">
      <w:pPr>
        <w:pStyle w:val="12"/>
        <w:numPr>
          <w:ilvl w:val="0"/>
          <w:numId w:val="2"/>
        </w:numPr>
        <w:spacing w:line="400" w:lineRule="atLeast"/>
        <w:ind w:firstLine="482"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合同单价：</w:t>
      </w:r>
      <w:r>
        <w:rPr>
          <w:rFonts w:hint="eastAsia" w:ascii="仿宋_GB2312" w:hAnsi="仿宋_GB2312" w:eastAsia="仿宋_GB2312" w:cs="仿宋_GB2312"/>
          <w:color w:val="000000" w:themeColor="text1"/>
          <w:highlight w:val="none"/>
          <w14:textFill>
            <w14:solidFill>
              <w14:schemeClr w14:val="tx1"/>
            </w14:solidFill>
          </w14:textFill>
        </w:rPr>
        <w:t>本合同综合单价适用第</w:t>
      </w:r>
      <w:permStart w:id="1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1.1</w:t>
      </w:r>
      <w:r>
        <w:rPr>
          <w:rFonts w:hint="eastAsia" w:ascii="仿宋_GB2312" w:hAnsi="仿宋_GB2312" w:eastAsia="仿宋_GB2312" w:cs="仿宋_GB2312"/>
          <w:color w:val="000000" w:themeColor="text1"/>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1.3</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11"/>
      <w:r>
        <w:rPr>
          <w:rFonts w:hint="eastAsia" w:ascii="仿宋_GB2312" w:hAnsi="仿宋_GB2312" w:eastAsia="仿宋_GB2312" w:cs="仿宋_GB2312"/>
          <w:color w:val="000000" w:themeColor="text1"/>
          <w:highlight w:val="none"/>
          <w14:textFill>
            <w14:solidFill>
              <w14:schemeClr w14:val="tx1"/>
            </w14:solidFill>
          </w14:textFill>
        </w:rPr>
        <w:t>条</w:t>
      </w:r>
    </w:p>
    <w:p w14:paraId="7B9BC213">
      <w:pPr>
        <w:pStyle w:val="12"/>
        <w:numPr>
          <w:ilvl w:val="255"/>
          <w:numId w:val="0"/>
        </w:numPr>
        <w:spacing w:line="400" w:lineRule="atLeast"/>
        <w:ind w:firstLine="482" w:firstLineChars="200"/>
        <w:outlineLvl w:val="2"/>
        <w:rPr>
          <w:rFonts w:hint="eastAsia" w:ascii="仿宋_GB2312" w:hAnsi="仿宋_GB2312" w:eastAsia="仿宋_GB2312" w:cs="仿宋_GB2312"/>
          <w:b/>
          <w:bCs/>
          <w:color w:val="000000" w:themeColor="text1"/>
          <w:highlight w:val="none"/>
          <w:u w:val="singl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highlight w:val="none"/>
          <w14:textFill>
            <w14:solidFill>
              <w14:schemeClr w14:val="tx1"/>
            </w14:solidFill>
          </w14:textFill>
        </w:rPr>
        <w:t>本合同为</w:t>
      </w:r>
      <w:r>
        <w:rPr>
          <w:rFonts w:hint="eastAsia" w:ascii="仿宋_GB2312" w:hAnsi="仿宋_GB2312" w:eastAsia="仿宋_GB2312" w:cs="仿宋_GB2312"/>
          <w:b/>
          <w:bCs/>
          <w:color w:val="000000" w:themeColor="text1"/>
          <w:highlight w:val="none"/>
          <w:lang w:eastAsia="zh-Hans"/>
          <w14:textFill>
            <w14:solidFill>
              <w14:schemeClr w14:val="tx1"/>
            </w14:solidFill>
          </w14:textFill>
        </w:rPr>
        <w:t>固定</w:t>
      </w:r>
      <w:r>
        <w:rPr>
          <w:rFonts w:hint="eastAsia" w:ascii="仿宋_GB2312" w:hAnsi="仿宋_GB2312" w:eastAsia="仿宋_GB2312" w:cs="仿宋_GB2312"/>
          <w:b/>
          <w:bCs/>
          <w:color w:val="000000" w:themeColor="text1"/>
          <w:highlight w:val="none"/>
          <w14:textFill>
            <w14:solidFill>
              <w14:schemeClr w14:val="tx1"/>
            </w14:solidFill>
          </w14:textFill>
        </w:rPr>
        <w:t>单价合同；</w:t>
      </w:r>
      <w:r>
        <w:rPr>
          <w:rFonts w:hint="eastAsia" w:ascii="仿宋_GB2312" w:hAnsi="仿宋_GB2312" w:eastAsia="仿宋_GB2312" w:cs="仿宋_GB2312"/>
          <w:b/>
          <w:bCs/>
          <w:color w:val="000000" w:themeColor="text1"/>
          <w:highlight w:val="none"/>
          <w:u w:val="single"/>
          <w14:textFill>
            <w14:solidFill>
              <w14:schemeClr w14:val="tx1"/>
            </w14:solidFill>
          </w14:textFill>
        </w:rPr>
        <w:t>不</w:t>
      </w:r>
      <w:bookmarkStart w:id="10" w:name="_Hlk127188815"/>
      <w:r>
        <w:rPr>
          <w:rFonts w:hint="eastAsia" w:ascii="仿宋_GB2312" w:hAnsi="仿宋_GB2312" w:eastAsia="仿宋_GB2312" w:cs="仿宋_GB2312"/>
          <w:b/>
          <w:bCs/>
          <w:color w:val="000000" w:themeColor="text1"/>
          <w:highlight w:val="none"/>
          <w:u w:val="single"/>
          <w14:textFill>
            <w14:solidFill>
              <w14:schemeClr w14:val="tx1"/>
            </w14:solidFill>
          </w14:textFill>
        </w:rPr>
        <w:t>含增值税综合单价为物资运至工地的单价包括</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但不限于</w:t>
      </w:r>
      <w:r>
        <w:rPr>
          <w:rFonts w:hint="eastAsia" w:ascii="仿宋_GB2312" w:hAnsi="仿宋_GB2312" w:eastAsia="仿宋_GB2312" w:cs="仿宋_GB2312"/>
          <w:b/>
          <w:bCs/>
          <w:color w:val="000000" w:themeColor="text1"/>
          <w:highlight w:val="none"/>
          <w:u w:val="single"/>
          <w14:textFill>
            <w14:solidFill>
              <w14:schemeClr w14:val="tx1"/>
            </w14:solidFill>
          </w14:textFill>
        </w:rPr>
        <w:t>材料费（或设备费）、包装回收费、卸货前损耗费、安装指导费、调试费、测试费（如有）、卸货前保管费（如有）、税金、包装费、上车人力及机械资费（由乙方自行协调，甲方只进行指定场地和材料验收工作）、出库费、出厂检测费（包括但不限于到场后的第三方检测费用）</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、码放费、保险费、</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中转</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仓储费、驻厂监造费、运输造成的道路污染的清理及维修费用、</w:t>
      </w:r>
      <w:r>
        <w:rPr>
          <w:rFonts w:hint="eastAsia" w:ascii="仿宋_GB2312" w:hAnsi="仿宋_GB2312" w:eastAsia="仿宋_GB2312" w:cs="仿宋_GB2312"/>
          <w:b/>
          <w:bCs/>
          <w:color w:val="000000" w:themeColor="text1"/>
          <w:highlight w:val="none"/>
          <w:u w:val="single"/>
          <w14:textFill>
            <w14:solidFill>
              <w14:schemeClr w14:val="tx1"/>
            </w14:solidFill>
          </w14:textFill>
        </w:rPr>
        <w:t>出库吊装费、运输费、过江过桥费、高速公路费等，含工地卸货挂钩卸车人工费</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资料费、财务费、</w:t>
      </w:r>
      <w:r>
        <w:rPr>
          <w:rFonts w:hint="eastAsia" w:ascii="仿宋_GB2312" w:hAnsi="仿宋_GB2312" w:eastAsia="仿宋_GB2312" w:cs="仿宋_GB2312"/>
          <w:b/>
          <w:bCs/>
          <w:color w:val="000000" w:themeColor="text1"/>
          <w:highlight w:val="none"/>
          <w:u w:val="single"/>
          <w14:textFill>
            <w14:solidFill>
              <w14:schemeClr w14:val="tx1"/>
            </w14:solidFill>
          </w14:textFill>
        </w:rPr>
        <w:t>乙方合理的利润、管理费、市场价格波动带来的风险、向有关部门缴纳的各项费用以及政策性文件所规定的各项应有费用等乙方履行本合同规定义务的全部价款与费税</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等一切费用</w:t>
      </w:r>
      <w:r>
        <w:rPr>
          <w:rFonts w:hint="eastAsia" w:ascii="仿宋_GB2312" w:hAnsi="仿宋_GB2312" w:eastAsia="仿宋_GB2312" w:cs="仿宋_GB2312"/>
          <w:b/>
          <w:bCs/>
          <w:color w:val="000000" w:themeColor="text1"/>
          <w:highlight w:val="none"/>
          <w:u w:val="single"/>
          <w14:textFill>
            <w14:solidFill>
              <w14:schemeClr w14:val="tx1"/>
            </w14:solidFill>
          </w14:textFill>
        </w:rPr>
        <w:t>乙方不得以任何理由向甲方另行索要其它费用，除本合同规定的因素外，不得因政府政策变动、市场环境改变、增值税以外其他税费税率调整等而调整。除合同条款另有约定外，乙方在合同签订前和签订时已确定采用的专利、专有技术、技术秘密的使用费已包含在签约合同价中。</w:t>
      </w:r>
    </w:p>
    <w:p w14:paraId="5C6FE3C3">
      <w:pPr>
        <w:pStyle w:val="12"/>
        <w:numPr>
          <w:ilvl w:val="255"/>
          <w:numId w:val="0"/>
        </w:numPr>
        <w:spacing w:line="400" w:lineRule="atLeast"/>
        <w:ind w:firstLine="482" w:firstLineChars="200"/>
        <w:outlineLvl w:val="2"/>
        <w:rPr>
          <w:highlight w:val="none"/>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1.2</w:t>
      </w:r>
      <w:r>
        <w:rPr>
          <w:rFonts w:hint="eastAsia" w:ascii="仿宋_GB2312" w:hAnsi="仿宋_GB2312" w:eastAsia="仿宋_GB2312" w:cs="仿宋_GB2312"/>
          <w:b/>
          <w:bCs/>
          <w:color w:val="000000" w:themeColor="text1"/>
          <w:highlight w:val="none"/>
          <w14:textFill>
            <w14:solidFill>
              <w14:schemeClr w14:val="tx1"/>
            </w14:solidFill>
          </w14:textFill>
        </w:rPr>
        <w:t>本合同约定的“</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不含税</w:t>
      </w:r>
      <w:r>
        <w:rPr>
          <w:rFonts w:hint="eastAsia" w:ascii="仿宋_GB2312" w:hAnsi="仿宋_GB2312" w:eastAsia="仿宋_GB2312" w:cs="仿宋_GB2312"/>
          <w:b/>
          <w:bCs/>
          <w:color w:val="000000" w:themeColor="text1"/>
          <w:highlight w:val="none"/>
          <w14:textFill>
            <w14:solidFill>
              <w14:schemeClr w14:val="tx1"/>
            </w14:solidFill>
          </w14:textFill>
        </w:rPr>
        <w:t>综合单价”为固定单价，即不受市场变化影响，且无论进场数量多少价格亦不发生变化</w:t>
      </w:r>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p>
    <w:p w14:paraId="7809F5FA">
      <w:pPr>
        <w:pStyle w:val="12"/>
        <w:numPr>
          <w:ilvl w:val="0"/>
          <w:numId w:val="0"/>
        </w:numPr>
        <w:spacing w:before="120" w:beforeLines="50" w:after="120" w:afterLines="50" w:line="400" w:lineRule="atLeast"/>
        <w:ind w:firstLine="482" w:firstLineChars="200"/>
        <w:outlineLvl w:val="0"/>
        <w:rPr>
          <w:rFonts w:hint="default" w:ascii="仿宋_GB2312" w:hAnsi="仿宋_GB2312" w:eastAsia="仿宋_GB2312" w:cs="仿宋_GB2312"/>
          <w:b/>
          <w:bCs/>
          <w:color w:val="000000" w:themeColor="text1"/>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14:textFill>
            <w14:solidFill>
              <w14:schemeClr w14:val="tx1"/>
            </w14:solidFill>
          </w14:textFill>
        </w:rPr>
        <w:t>1.3</w:t>
      </w: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其他：</w:t>
      </w:r>
      <w:permStart w:id="12" w:edGrp="everyone"/>
      <w:r>
        <w:rPr>
          <w:rFonts w:hint="eastAsia" w:ascii="仿宋_GB2312" w:hAnsi="仿宋_GB2312" w:eastAsia="仿宋_GB2312" w:cs="仿宋_GB2312"/>
          <w:b/>
          <w:bCs/>
          <w:color w:val="000000" w:themeColor="text1"/>
          <w:u w:val="single"/>
          <w14:textFill>
            <w14:solidFill>
              <w14:schemeClr w14:val="tx1"/>
            </w14:solidFill>
          </w14:textFill>
        </w:rPr>
        <w:t>本合同中的水泥稳定碎石</w:t>
      </w:r>
      <w:r>
        <w:rPr>
          <w:rFonts w:hint="eastAsia" w:ascii="仿宋_GB2312" w:hAnsi="仿宋_GB2312" w:eastAsia="仿宋_GB2312" w:cs="仿宋_GB2312"/>
          <w:b/>
          <w:bCs/>
          <w:color w:val="000000" w:themeColor="text1"/>
          <w:u w:val="single"/>
          <w:lang w:eastAsia="zh-CN"/>
          <w14:textFill>
            <w14:solidFill>
              <w14:schemeClr w14:val="tx1"/>
            </w14:solidFill>
          </w14:textFill>
        </w:rPr>
        <w:t>、</w:t>
      </w:r>
      <w:r>
        <w:rPr>
          <w:rFonts w:hint="eastAsia" w:ascii="仿宋_GB2312" w:hAnsi="仿宋_GB2312" w:eastAsia="仿宋_GB2312" w:cs="仿宋_GB2312"/>
          <w:b/>
          <w:bCs/>
          <w:color w:val="000000" w:themeColor="text1"/>
          <w:u w:val="single"/>
          <w:lang w:val="en-US" w:eastAsia="zh-CN"/>
          <w14:textFill>
            <w14:solidFill>
              <w14:schemeClr w14:val="tx1"/>
            </w14:solidFill>
          </w14:textFill>
        </w:rPr>
        <w:t>沥青混凝土</w:t>
      </w:r>
      <w:r>
        <w:rPr>
          <w:rFonts w:hint="eastAsia" w:ascii="仿宋_GB2312" w:hAnsi="仿宋_GB2312" w:eastAsia="仿宋_GB2312" w:cs="仿宋_GB2312"/>
          <w:b/>
          <w:bCs/>
          <w:color w:val="000000" w:themeColor="text1"/>
          <w:u w:val="single"/>
          <w14:textFill>
            <w14:solidFill>
              <w14:schemeClr w14:val="tx1"/>
            </w14:solidFill>
          </w14:textFill>
        </w:rPr>
        <w:t>的适配费用均包含在综合单价内，甲方不再支付额外费用。</w:t>
      </w:r>
      <w:permEnd w:id="12"/>
    </w:p>
    <w:p w14:paraId="4F20F2F5">
      <w:pPr>
        <w:pStyle w:val="12"/>
        <w:numPr>
          <w:ilvl w:val="0"/>
          <w:numId w:val="2"/>
        </w:numPr>
        <w:spacing w:line="400" w:lineRule="atLeast"/>
        <w:ind w:firstLine="482" w:firstLineChars="200"/>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乙方所供物资必须为</w:t>
      </w:r>
      <w:permStart w:id="13" w:edGrp="everyone"/>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 xml:space="preserve"> / </w:t>
      </w:r>
      <w:permEnd w:id="13"/>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公司生产产品。</w:t>
      </w:r>
    </w:p>
    <w:p w14:paraId="4AAF5B27">
      <w:pPr>
        <w:pStyle w:val="12"/>
        <w:numPr>
          <w:ilvl w:val="0"/>
          <w:numId w:val="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合同工程量：</w:t>
      </w:r>
    </w:p>
    <w:p w14:paraId="47DCD1C2">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3.1</w:t>
      </w:r>
      <w:r>
        <w:rPr>
          <w:rFonts w:hint="eastAsia" w:ascii="仿宋_GB2312" w:hAnsi="仿宋_GB2312" w:eastAsia="仿宋_GB2312" w:cs="仿宋_GB2312"/>
          <w:color w:val="000000" w:themeColor="text1"/>
          <w:highlight w:val="none"/>
          <w14:textFill>
            <w14:solidFill>
              <w14:schemeClr w14:val="tx1"/>
            </w14:solidFill>
          </w14:textFill>
        </w:rPr>
        <w:t>本合同中约定货物工程量为暂定数量；甲乙双方最终结算数量以甲方最终签收的实际数量，并依据合同约定扣除不合格产品、损失等费用后的书面结算数额为准，</w:t>
      </w:r>
      <w:r>
        <w:rPr>
          <w:rFonts w:hint="eastAsia" w:ascii="仿宋_GB2312" w:hAnsi="仿宋_GB2312" w:eastAsia="仿宋_GB2312" w:cs="仿宋_GB2312"/>
          <w:b/>
          <w:bCs/>
          <w:color w:val="000000" w:themeColor="text1"/>
          <w:highlight w:val="none"/>
          <w14:textFill>
            <w14:solidFill>
              <w14:schemeClr w14:val="tx1"/>
            </w14:solidFill>
          </w14:textFill>
        </w:rPr>
        <w:t>乙方不得以合同暂定数量或合同暂定总金额为依据要求甲方支付任何款项，否则按合同第二部分第二条违约条款承担违约责任。</w:t>
      </w:r>
      <w:bookmarkEnd w:id="10"/>
      <w:r>
        <w:rPr>
          <w:rFonts w:hint="eastAsia" w:ascii="仿宋_GB2312" w:hAnsi="仿宋_GB2312" w:eastAsia="仿宋_GB2312" w:cs="仿宋_GB2312"/>
          <w:b/>
          <w:bCs/>
          <w:color w:val="000000" w:themeColor="text1"/>
          <w:highlight w:val="none"/>
          <w14:textFill>
            <w14:solidFill>
              <w14:schemeClr w14:val="tx1"/>
            </w14:solidFill>
          </w14:textFill>
        </w:rPr>
        <w:t xml:space="preserve">   </w:t>
      </w:r>
    </w:p>
    <w:p w14:paraId="7655C09B">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1" w:name="_Toc13168"/>
      <w:bookmarkStart w:id="12" w:name="_Toc23444"/>
      <w:bookmarkStart w:id="13" w:name="_Toc15703"/>
      <w:r>
        <w:rPr>
          <w:rFonts w:hint="eastAsia" w:ascii="仿宋_GB2312" w:hAnsi="仿宋_GB2312" w:eastAsia="仿宋_GB2312" w:cs="仿宋_GB2312"/>
          <w:b/>
          <w:bCs/>
          <w:color w:val="000000" w:themeColor="text1"/>
          <w:highlight w:val="none"/>
          <w14:textFill>
            <w14:solidFill>
              <w14:schemeClr w14:val="tx1"/>
            </w14:solidFill>
          </w14:textFill>
        </w:rPr>
        <w:t>货物供应</w:t>
      </w:r>
      <w:bookmarkEnd w:id="11"/>
      <w:bookmarkEnd w:id="12"/>
      <w:bookmarkEnd w:id="13"/>
    </w:p>
    <w:p w14:paraId="1E8E635C">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1、交货方式：</w:t>
      </w:r>
      <w:r>
        <w:rPr>
          <w:rFonts w:hint="eastAsia" w:ascii="仿宋_GB2312" w:hAnsi="仿宋_GB2312" w:eastAsia="仿宋_GB2312" w:cs="仿宋_GB2312"/>
          <w:color w:val="000000" w:themeColor="text1"/>
          <w:highlight w:val="none"/>
          <w14:textFill>
            <w14:solidFill>
              <w14:schemeClr w14:val="tx1"/>
            </w14:solidFill>
          </w14:textFill>
        </w:rPr>
        <w:t>双方协商一致，执行第</w:t>
      </w:r>
      <w:permStart w:id="1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1.1</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14"/>
      <w:r>
        <w:rPr>
          <w:rFonts w:hint="eastAsia" w:ascii="仿宋_GB2312" w:hAnsi="仿宋_GB2312" w:eastAsia="仿宋_GB2312" w:cs="仿宋_GB2312"/>
          <w:color w:val="000000" w:themeColor="text1"/>
          <w:highlight w:val="none"/>
          <w14:textFill>
            <w14:solidFill>
              <w14:schemeClr w14:val="tx1"/>
            </w14:solidFill>
          </w14:textFill>
        </w:rPr>
        <w:t>种交货方式；</w:t>
      </w:r>
    </w:p>
    <w:p w14:paraId="3AAFC54C">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1.1送货卸车：</w:t>
      </w:r>
      <w:r>
        <w:rPr>
          <w:rFonts w:hint="eastAsia" w:ascii="仿宋_GB2312" w:hAnsi="仿宋_GB2312" w:eastAsia="仿宋_GB2312" w:cs="仿宋_GB2312"/>
          <w:color w:val="000000" w:themeColor="text1"/>
          <w:highlight w:val="none"/>
          <w14:textFill>
            <w14:solidFill>
              <w14:schemeClr w14:val="tx1"/>
            </w14:solidFill>
          </w14:textFill>
        </w:rPr>
        <w:t>乙方送货至甲方指定地点；合同综合单价已含卸车费用，卸车工作由乙方负责，若由甲方负责卸车，发生的相应费用结算款中扣除。</w:t>
      </w:r>
    </w:p>
    <w:p w14:paraId="69087D49">
      <w:pPr>
        <w:pStyle w:val="12"/>
        <w:spacing w:line="400" w:lineRule="atLeast"/>
        <w:ind w:firstLine="482"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1.2送货不卸车：</w:t>
      </w:r>
      <w:r>
        <w:rPr>
          <w:rFonts w:hint="eastAsia" w:ascii="仿宋_GB2312" w:hAnsi="仿宋_GB2312" w:eastAsia="仿宋_GB2312" w:cs="仿宋_GB2312"/>
          <w:color w:val="000000" w:themeColor="text1"/>
          <w:highlight w:val="none"/>
          <w14:textFill>
            <w14:solidFill>
              <w14:schemeClr w14:val="tx1"/>
            </w14:solidFill>
          </w14:textFill>
        </w:rPr>
        <w:t>合同综合单价不含卸车费用，卸车工作由甲方组织。</w:t>
      </w:r>
    </w:p>
    <w:p w14:paraId="1AA75640">
      <w:pPr>
        <w:pStyle w:val="12"/>
        <w:spacing w:line="400" w:lineRule="atLeast"/>
        <w:ind w:firstLine="482" w:firstLineChars="200"/>
        <w:rPr>
          <w:rFonts w:hint="default" w:ascii="仿宋_GB2312" w:hAnsi="仿宋_GB2312" w:eastAsia="仿宋_GB2312" w:cs="仿宋_GB2312"/>
          <w:b/>
          <w:bCs/>
          <w:color w:val="000000" w:themeColor="text1"/>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1.3其他</w:t>
      </w:r>
      <w:permStart w:id="15" w:edGrp="everyone"/>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 xml:space="preserve"> / </w:t>
      </w:r>
    </w:p>
    <w:permEnd w:id="15"/>
    <w:p w14:paraId="165EDFFB">
      <w:pPr>
        <w:pStyle w:val="12"/>
        <w:spacing w:line="400" w:lineRule="atLeast"/>
        <w:ind w:firstLine="482" w:firstLineChars="200"/>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2、交货时间：</w:t>
      </w:r>
      <w:r>
        <w:rPr>
          <w:rFonts w:hint="eastAsia" w:ascii="仿宋_GB2312" w:hAnsi="仿宋_GB2312" w:eastAsia="仿宋_GB2312" w:cs="仿宋_GB2312"/>
          <w:color w:val="000000" w:themeColor="text1"/>
          <w:highlight w:val="none"/>
          <w14:textFill>
            <w14:solidFill>
              <w14:schemeClr w14:val="tx1"/>
            </w14:solidFill>
          </w14:textFill>
        </w:rPr>
        <w:t>甲方施工现场材料负责人提前</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Start w:id="1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16"/>
      <w:r>
        <w:rPr>
          <w:rFonts w:hint="eastAsia" w:ascii="仿宋_GB2312" w:hAnsi="仿宋_GB2312" w:eastAsia="仿宋_GB2312" w:cs="仿宋_GB2312"/>
          <w:color w:val="000000" w:themeColor="text1"/>
          <w:highlight w:val="none"/>
          <w14:textFill>
            <w14:solidFill>
              <w14:schemeClr w14:val="tx1"/>
            </w14:solidFill>
          </w14:textFill>
        </w:rPr>
        <w:t>天向乙方提供每批次的需用计划（云筑网订单、计划联系函、电子邮件等），乙方根据甲方所提供的需用计划及时将货物配送至甲方指定堆场。</w:t>
      </w:r>
      <w:r>
        <w:rPr>
          <w:rFonts w:hint="eastAsia" w:ascii="仿宋_GB2312" w:hAnsi="仿宋_GB2312" w:eastAsia="仿宋_GB2312" w:cs="仿宋_GB2312"/>
          <w:b/>
          <w:bCs/>
          <w:color w:val="000000" w:themeColor="text1"/>
          <w:highlight w:val="none"/>
          <w14:textFill>
            <w14:solidFill>
              <w14:schemeClr w14:val="tx1"/>
            </w14:solidFill>
          </w14:textFill>
        </w:rPr>
        <w:t>乙方延期供货次数不超过2次，否则乙方按合同第二部分第二条违约条款承担违约责任。乙方不得因甲方更改需用计划及要求乙方延期交货而向甲方提出索赔</w:t>
      </w: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14:textFill>
            <w14:solidFill>
              <w14:schemeClr w14:val="tx1"/>
            </w14:solidFill>
          </w14:textFill>
        </w:rPr>
        <w:t>根据工程项目施工需要，甲方对所采购物资的数量和送货时间如有变更，及时书面通知乙方，乙方按变更后的数量和送货时间供货，新增或减少的物资价格不变。</w:t>
      </w:r>
    </w:p>
    <w:p w14:paraId="427A5FC5">
      <w:pPr>
        <w:pStyle w:val="12"/>
        <w:spacing w:line="400" w:lineRule="atLeast"/>
        <w:ind w:firstLine="482" w:firstLineChars="200"/>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3、交货地点：</w:t>
      </w:r>
      <w:permStart w:id="1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甲方指定地点</w:t>
      </w:r>
      <w:permEnd w:id="17"/>
      <w:r>
        <w:rPr>
          <w:rFonts w:hint="eastAsia" w:ascii="仿宋_GB2312" w:hAnsi="仿宋_GB2312" w:eastAsia="仿宋_GB2312" w:cs="仿宋_GB2312"/>
          <w:color w:val="000000" w:themeColor="text1"/>
          <w:highlight w:val="none"/>
          <w:u w:val="single"/>
          <w14:textFill>
            <w14:solidFill>
              <w14:schemeClr w14:val="tx1"/>
            </w14:solidFill>
          </w14:textFill>
        </w:rPr>
        <w:t>。</w:t>
      </w:r>
    </w:p>
    <w:p w14:paraId="769A0C3E">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4、交货内容：</w:t>
      </w:r>
      <w:permStart w:id="18" w:edGrp="everyone"/>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交货产品、配套产品及配套服务如下</w:t>
      </w:r>
      <w:r>
        <w:rPr>
          <w:rFonts w:hint="eastAsia" w:ascii="仿宋_GB2312" w:hAnsi="仿宋_GB2312" w:eastAsia="仿宋_GB2312" w:cs="仿宋_GB2312"/>
          <w:color w:val="000000" w:themeColor="text1"/>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18"/>
      <w:r>
        <w:rPr>
          <w:rFonts w:hint="eastAsia" w:ascii="仿宋_GB2312" w:hAnsi="仿宋_GB2312" w:eastAsia="仿宋_GB2312" w:cs="仿宋_GB2312"/>
          <w:color w:val="000000" w:themeColor="text1"/>
          <w:highlight w:val="none"/>
          <w14:textFill>
            <w14:solidFill>
              <w14:schemeClr w14:val="tx1"/>
            </w14:solidFill>
          </w14:textFill>
        </w:rPr>
        <w:t>。</w:t>
      </w:r>
    </w:p>
    <w:p w14:paraId="0D5784B2">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5、双方代表：</w:t>
      </w:r>
    </w:p>
    <w:p w14:paraId="622E74A9">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甲方指定收货联系人：</w:t>
      </w:r>
      <w:permStart w:id="19" w:edGrp="everyone"/>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邢丞</w:t>
      </w:r>
      <w:permEnd w:id="19"/>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，电话：</w:t>
      </w:r>
      <w:permStart w:id="20" w:edGrp="everyone"/>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15226751218</w:t>
      </w:r>
      <w:permEnd w:id="20"/>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，电子邮箱：</w:t>
      </w:r>
      <w:permStart w:id="21" w:edGrp="everyone"/>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2805383993@qq.com</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1"/>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p w14:paraId="2E89F966">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乙方指定发货联系人：</w:t>
      </w:r>
      <w:permStart w:id="22"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2"/>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，电话：</w:t>
      </w:r>
      <w:permStart w:id="23"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3"/>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，电子邮箱：</w:t>
      </w:r>
      <w:permStart w:id="24"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4"/>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p w14:paraId="4DB9335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4" w:name="_Hlk126833838"/>
      <w:r>
        <w:rPr>
          <w:rFonts w:hint="eastAsia" w:ascii="仿宋_GB2312" w:hAnsi="仿宋_GB2312" w:eastAsia="仿宋_GB2312" w:cs="仿宋_GB2312"/>
          <w:color w:val="000000" w:themeColor="text1"/>
          <w:highlight w:val="none"/>
          <w14:textFill>
            <w14:solidFill>
              <w14:schemeClr w14:val="tx1"/>
            </w14:solidFill>
          </w14:textFill>
        </w:rPr>
        <w:t>合同双方更换代表时应及时书面通知对方，保证货物交接顺利。</w:t>
      </w:r>
      <w:r>
        <w:rPr>
          <w:rFonts w:hint="eastAsia" w:ascii="仿宋_GB2312" w:hAnsi="仿宋_GB2312" w:eastAsia="仿宋_GB2312" w:cs="仿宋_GB2312"/>
          <w:b/>
          <w:bCs/>
          <w:color w:val="000000" w:themeColor="text1"/>
          <w:highlight w:val="none"/>
          <w14:textFill>
            <w14:solidFill>
              <w14:schemeClr w14:val="tx1"/>
            </w14:solidFill>
          </w14:textFill>
        </w:rPr>
        <w:t>甲方已明确要求与指定发货联系人交接，若乙方实际发货为非指定联系人，视为乙方对实际发货人授权委托，当批次供货完成后7个工作日内乙方应为该实际发货人向甲方补充出具书面授权委托书，并承担本合同项下的义务和责任。</w:t>
      </w:r>
      <w:r>
        <w:rPr>
          <w:rFonts w:hint="eastAsia" w:ascii="仿宋_GB2312" w:hAnsi="仿宋_GB2312" w:eastAsia="仿宋_GB2312" w:cs="仿宋_GB2312"/>
          <w:color w:val="000000" w:themeColor="text1"/>
          <w:highlight w:val="none"/>
          <w14:textFill>
            <w14:solidFill>
              <w14:schemeClr w14:val="tx1"/>
            </w14:solidFill>
          </w14:textFill>
        </w:rPr>
        <w:t>为避免货物供应争议，甲方保留拒绝乙方非指定联系人供货的权利，由此产生的费用由乙方承担。甲乙双方授权内容详见附件一、附件二</w:t>
      </w:r>
      <w:bookmarkEnd w:id="14"/>
      <w:r>
        <w:rPr>
          <w:rFonts w:hint="eastAsia" w:ascii="仿宋_GB2312" w:hAnsi="仿宋_GB2312" w:eastAsia="仿宋_GB2312" w:cs="仿宋_GB2312"/>
          <w:color w:val="000000" w:themeColor="text1"/>
          <w:highlight w:val="none"/>
          <w14:textFill>
            <w14:solidFill>
              <w14:schemeClr w14:val="tx1"/>
            </w14:solidFill>
          </w14:textFill>
        </w:rPr>
        <w:t>。</w:t>
      </w:r>
    </w:p>
    <w:p w14:paraId="6C99587B">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6、运输要求：</w:t>
      </w:r>
    </w:p>
    <w:p w14:paraId="77798E79">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6.1运输形式：</w:t>
      </w:r>
      <w:r>
        <w:rPr>
          <w:rFonts w:hint="eastAsia" w:ascii="仿宋_GB2312" w:hAnsi="仿宋_GB2312" w:eastAsia="仿宋_GB2312" w:cs="仿宋_GB2312"/>
          <w:color w:val="000000" w:themeColor="text1"/>
          <w:highlight w:val="none"/>
          <w14:textFill>
            <w14:solidFill>
              <w14:schemeClr w14:val="tx1"/>
            </w14:solidFill>
          </w14:textFill>
        </w:rPr>
        <w:t>乙方须组织专用的运输工具将货物运至甲方指定的地点（工程所在地或甲方指定的其他地点），并应当和甲方共同协商，合理安排送货路线、停车地点。</w:t>
      </w:r>
    </w:p>
    <w:p w14:paraId="09369747">
      <w:pPr>
        <w:pStyle w:val="12"/>
        <w:spacing w:line="400" w:lineRule="atLeast"/>
        <w:ind w:firstLine="482" w:firstLineChars="200"/>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6.2注意事项：</w:t>
      </w:r>
      <w:r>
        <w:rPr>
          <w:rFonts w:hint="eastAsia" w:ascii="仿宋_GB2312" w:hAnsi="仿宋_GB2312" w:eastAsia="仿宋_GB2312" w:cs="仿宋_GB2312"/>
          <w:color w:val="000000" w:themeColor="text1"/>
          <w:highlight w:val="none"/>
          <w14:textFill>
            <w14:solidFill>
              <w14:schemeClr w14:val="tx1"/>
            </w14:solidFill>
          </w14:textFill>
        </w:rPr>
        <w:t>乙方应自行勘察现场，熟悉施工现场位置和周围环境，货物运输过程中，要遵守工程所在地政府的有关道路交通、环保卫生等方面的规定。乙方负责与政府有关管理部门协调沟通，保障车辆在工程所在区域顺利通行至施工现场，并承担因违反有关规定造成的一切责任和经济损失，乙方保证甲方免予承担由此造成的任何法律责任，若甲方因此遭受到任何责任或损失，乙方需赔偿给甲方。</w:t>
      </w:r>
      <w:bookmarkStart w:id="15" w:name="_Hlk127189046"/>
      <w:r>
        <w:rPr>
          <w:rFonts w:hint="eastAsia" w:ascii="仿宋_GB2312" w:hAnsi="仿宋_GB2312" w:eastAsia="仿宋_GB2312" w:cs="仿宋_GB2312"/>
          <w:b/>
          <w:bCs/>
          <w:color w:val="000000" w:themeColor="text1"/>
          <w:highlight w:val="none"/>
          <w14:textFill>
            <w14:solidFill>
              <w14:schemeClr w14:val="tx1"/>
            </w14:solidFill>
          </w14:textFill>
        </w:rPr>
        <w:t>乙方无法按甲方要求将产品送到指定地点卸货的，甲方有权不予验收，由此给甲方造成的损失由乙方承担</w:t>
      </w:r>
      <w:bookmarkEnd w:id="15"/>
      <w:r>
        <w:rPr>
          <w:rFonts w:hint="eastAsia" w:ascii="仿宋_GB2312" w:hAnsi="仿宋_GB2312" w:eastAsia="仿宋_GB2312" w:cs="仿宋_GB2312"/>
          <w:b/>
          <w:bCs/>
          <w:color w:val="000000" w:themeColor="text1"/>
          <w:highlight w:val="none"/>
          <w14:textFill>
            <w14:solidFill>
              <w14:schemeClr w14:val="tx1"/>
            </w14:solidFill>
          </w14:textFill>
        </w:rPr>
        <w:t>。</w:t>
      </w:r>
    </w:p>
    <w:p w14:paraId="08F39C42">
      <w:pPr>
        <w:pStyle w:val="12"/>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6.3货物的装车、运输、车辆返回全过程出现的安全事故或其它任何意外均由乙方承担责任。装车和运输途中的物资品质发生变化或丢失由乙方负责，由此造成的损失由乙方承担。</w:t>
      </w:r>
    </w:p>
    <w:p w14:paraId="34204581">
      <w:pPr>
        <w:pStyle w:val="12"/>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6.4乙方应对运输人员进行安全管理和安全教育，运输人员遵守交通法规。</w:t>
      </w:r>
    </w:p>
    <w:p w14:paraId="52453B0F">
      <w:pPr>
        <w:pStyle w:val="12"/>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应当给负责运送货物的车辆办理交强险及商业保险。如因运载车辆事故、卸货等</w:t>
      </w:r>
    </w:p>
    <w:p w14:paraId="1DD67A31">
      <w:pPr>
        <w:pStyle w:val="12"/>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原因导致的乙方及任何第三方的人身伤害及经济损失均由乙方负责，并补偿甲方</w:t>
      </w:r>
    </w:p>
    <w:p w14:paraId="211DB85F">
      <w:pPr>
        <w:pStyle w:val="12"/>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及其他方因此造成的损失。</w:t>
      </w:r>
    </w:p>
    <w:p w14:paraId="2E7EAD02">
      <w:pPr>
        <w:pStyle w:val="12"/>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6.5乙方必须保证运输人员不得阻止现场验收人员进行质量检验，不得阻止到达甲方指定地点的运输车辆过磅，卸料时必须服从甲方现场管理人员的安排和指挥。不合格的物资必须在规定时间内无条件运走调换，否则按废弃物处理，损失由乙方承担。</w:t>
      </w:r>
    </w:p>
    <w:p w14:paraId="0EAD72BD">
      <w:pPr>
        <w:pStyle w:val="12"/>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6.6乙方不得利用遥控等科技手段控制磅秤增加物资重量，不得进行任何形式的弄虚作假行为。一经发现，甲方将按发现作弊或弄虚作假数量占本批次运输物资百分比扣除发现作弊日前物资进场总数量对应的货款，并交由公安机关处理。</w:t>
      </w:r>
    </w:p>
    <w:p w14:paraId="4F8F9E84">
      <w:pPr>
        <w:pStyle w:val="12"/>
        <w:spacing w:line="400" w:lineRule="atLeast"/>
        <w:ind w:firstLine="480" w:firstLineChars="20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6.7</w:t>
      </w:r>
      <w:r>
        <w:rPr>
          <w:rFonts w:hint="eastAsia" w:ascii="仿宋_GB2312" w:hAnsi="仿宋_GB2312" w:eastAsia="仿宋_GB2312" w:cs="仿宋_GB2312"/>
          <w:b w:val="0"/>
          <w:bCs w:val="0"/>
          <w:color w:val="000000" w:themeColor="text1"/>
          <w:highlight w:val="none"/>
          <w14:textFill>
            <w14:solidFill>
              <w14:schemeClr w14:val="tx1"/>
            </w14:solidFill>
          </w14:textFill>
        </w:rPr>
        <w:t>乙方保证在运输和卸货过程中应采取相应的环保措施，符合国家环保要求。车辆在进入项目现场要保证不沾泥土和脏物，车辆出入项目现场必须在项目大门内现场洗车。乙方在卸货过程中保证噪声白天小于或等于</w:t>
      </w:r>
      <w:r>
        <w:rPr>
          <w:rFonts w:hint="eastAsia" w:ascii="仿宋_GB2312" w:hAnsi="仿宋_GB2312" w:eastAsia="仿宋_GB2312" w:cs="仿宋_GB2312"/>
          <w:color w:val="000000" w:themeColor="text1"/>
          <w:kern w:val="0"/>
          <w:sz w:val="24"/>
          <w:szCs w:val="24"/>
          <w:highlight w:val="none"/>
          <w:u w:val="none"/>
          <w:lang w:val="en-US" w:eastAsia="zh-CN"/>
          <w14:textFill>
            <w14:solidFill>
              <w14:schemeClr w14:val="tx1"/>
            </w14:solidFill>
          </w14:textFill>
        </w:rPr>
        <w:t>85</w:t>
      </w:r>
      <w:r>
        <w:rPr>
          <w:rFonts w:hint="eastAsia" w:ascii="仿宋_GB2312" w:hAnsi="仿宋_GB2312" w:eastAsia="仿宋_GB2312" w:cs="仿宋_GB2312"/>
          <w:b w:val="0"/>
          <w:bCs w:val="0"/>
          <w:color w:val="000000" w:themeColor="text1"/>
          <w:highlight w:val="none"/>
          <w14:textFill>
            <w14:solidFill>
              <w14:schemeClr w14:val="tx1"/>
            </w14:solidFill>
          </w14:textFill>
        </w:rPr>
        <w:t>dB、夜间小于或等于</w:t>
      </w:r>
      <w:r>
        <w:rPr>
          <w:rFonts w:hint="eastAsia" w:ascii="仿宋_GB2312" w:hAnsi="仿宋_GB2312" w:eastAsia="仿宋_GB2312" w:cs="仿宋_GB2312"/>
          <w:color w:val="000000" w:themeColor="text1"/>
          <w:kern w:val="0"/>
          <w:sz w:val="24"/>
          <w:szCs w:val="24"/>
          <w:highlight w:val="none"/>
          <w:u w:val="none"/>
          <w:lang w:val="en-US" w:eastAsia="zh-CN"/>
          <w14:textFill>
            <w14:solidFill>
              <w14:schemeClr w14:val="tx1"/>
            </w14:solidFill>
          </w14:textFill>
        </w:rPr>
        <w:t>55</w:t>
      </w:r>
      <w:r>
        <w:rPr>
          <w:rFonts w:hint="eastAsia" w:ascii="仿宋_GB2312" w:hAnsi="仿宋_GB2312" w:eastAsia="仿宋_GB2312" w:cs="仿宋_GB2312"/>
          <w:b w:val="0"/>
          <w:bCs w:val="0"/>
          <w:color w:val="000000" w:themeColor="text1"/>
          <w:highlight w:val="none"/>
          <w14:textFill>
            <w14:solidFill>
              <w14:schemeClr w14:val="tx1"/>
            </w14:solidFill>
          </w14:textFill>
        </w:rPr>
        <w:t>dB。乙方保证乙方人员以及车辆进入本工地现场，应遵守现场的一切卫生环保、文明施工的规定，因违反环保要求所造成的一切罚款由乙方承担。</w:t>
      </w:r>
    </w:p>
    <w:p w14:paraId="70A80171">
      <w:pPr>
        <w:pStyle w:val="12"/>
        <w:spacing w:line="400" w:lineRule="atLeas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7、货物包装：</w:t>
      </w:r>
    </w:p>
    <w:p w14:paraId="518D1973">
      <w:pPr>
        <w:spacing w:line="400" w:lineRule="atLeast"/>
        <w:ind w:firstLine="482"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7.1包装标准：</w:t>
      </w:r>
      <w:r>
        <w:rPr>
          <w:rFonts w:hint="eastAsia" w:ascii="仿宋_GB2312" w:hAnsi="仿宋_GB2312" w:eastAsia="仿宋_GB2312" w:cs="仿宋_GB2312"/>
          <w:color w:val="auto"/>
          <w:sz w:val="24"/>
          <w:szCs w:val="24"/>
          <w:highlight w:val="none"/>
        </w:rPr>
        <w:t>乙方按照国家或业务主管部门的技术规定执行（标准代号、标准编号及标准名称为</w:t>
      </w:r>
      <w:permStart w:id="25" w:edGrp="everyone"/>
      <w:r>
        <w:rPr>
          <w:rFonts w:hint="eastAsia" w:ascii="仿宋_GB2312" w:hAnsi="仿宋_GB2312" w:eastAsia="仿宋_GB2312" w:cs="仿宋_GB2312"/>
          <w:color w:val="auto"/>
          <w:sz w:val="24"/>
          <w:szCs w:val="24"/>
          <w:highlight w:val="none"/>
          <w:u w:val="single"/>
        </w:rPr>
        <w:t xml:space="preserve">    /  </w:t>
      </w:r>
      <w:permEnd w:id="25"/>
      <w:r>
        <w:rPr>
          <w:rFonts w:hint="eastAsia" w:ascii="仿宋_GB2312" w:hAnsi="仿宋_GB2312" w:eastAsia="仿宋_GB2312" w:cs="仿宋_GB2312"/>
          <w:color w:val="auto"/>
          <w:sz w:val="24"/>
          <w:szCs w:val="24"/>
          <w:highlight w:val="none"/>
        </w:rPr>
        <w:t>）；没有上述标准的，或虽有上述标准，但甲方对包装有特殊要求，按如下约定执行：</w:t>
      </w:r>
      <w:permStart w:id="26" w:edGrp="everyone"/>
      <w:r>
        <w:rPr>
          <w:rFonts w:hint="eastAsia" w:ascii="仿宋_GB2312" w:hAnsi="仿宋_GB2312" w:eastAsia="仿宋_GB2312" w:cs="仿宋_GB2312"/>
          <w:color w:val="auto"/>
          <w:sz w:val="24"/>
          <w:szCs w:val="24"/>
          <w:highlight w:val="none"/>
          <w:u w:val="single"/>
        </w:rPr>
        <w:t xml:space="preserve">   / </w:t>
      </w:r>
      <w:permEnd w:id="26"/>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21370332">
      <w:pPr>
        <w:pStyle w:val="12"/>
        <w:spacing w:line="400" w:lineRule="atLeast"/>
        <w:ind w:firstLine="48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7.2包装回收：</w:t>
      </w:r>
      <w:r>
        <w:rPr>
          <w:rFonts w:hint="eastAsia" w:ascii="仿宋_GB2312" w:hAnsi="仿宋_GB2312" w:eastAsia="仿宋_GB2312" w:cs="仿宋_GB2312"/>
          <w:color w:val="auto"/>
          <w:highlight w:val="none"/>
          <w:u w:val="single"/>
        </w:rPr>
        <w:t>乙方无特别注明视为无包装物回收，有包装物回收时乙方应在收到甲方通知7天内完成包装回收。</w:t>
      </w:r>
    </w:p>
    <w:p w14:paraId="534D54E4">
      <w:pPr>
        <w:pStyle w:val="12"/>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8、安装要求：</w:t>
      </w:r>
      <w:r>
        <w:rPr>
          <w:rFonts w:hint="eastAsia" w:ascii="仿宋_GB2312" w:hAnsi="仿宋_GB2312" w:eastAsia="仿宋_GB2312" w:cs="仿宋_GB2312"/>
          <w:color w:val="auto"/>
          <w:highlight w:val="none"/>
        </w:rPr>
        <w:t>若货物附带安装工作内容，单价已综合考虑不另计价，具体安装内容及要求如下：</w:t>
      </w:r>
      <w:permStart w:id="27" w:edGrp="everyone"/>
      <w:r>
        <w:rPr>
          <w:rFonts w:hint="eastAsia" w:ascii="仿宋_GB2312" w:hAnsi="仿宋_GB2312" w:eastAsia="仿宋_GB2312" w:cs="仿宋_GB2312"/>
          <w:color w:val="auto"/>
          <w:highlight w:val="none"/>
          <w:u w:val="single"/>
        </w:rPr>
        <w:t xml:space="preserve">   /  </w:t>
      </w:r>
      <w:permEnd w:id="27"/>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w:t>
      </w:r>
    </w:p>
    <w:p w14:paraId="64ACC81B">
      <w:pPr>
        <w:pStyle w:val="12"/>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9、货物意外灭失风险：</w:t>
      </w:r>
      <w:r>
        <w:rPr>
          <w:rFonts w:hint="eastAsia" w:ascii="仿宋_GB2312" w:hAnsi="仿宋_GB2312" w:eastAsia="仿宋_GB2312" w:cs="仿宋_GB2312"/>
          <w:color w:val="auto"/>
          <w:highlight w:val="none"/>
        </w:rPr>
        <w:t>乙方须负责货物正式交货前的安全、保卫、防火、防盗工作，包括运输途中、装货中的人身和货物的安全，在正式交货前，包括运输途中、装货中如有人身伤害或货物受损失均由乙方负责。货物直至乙方送交甲方指定的交货地点，完成上述条款事项，经甲方验收合格入库，并办理验收手续后，该货物的毁损、灭失的风险方由乙方转移至甲方。</w:t>
      </w:r>
    </w:p>
    <w:p w14:paraId="2B453DA7">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auto"/>
          <w:highlight w:val="none"/>
        </w:rPr>
      </w:pPr>
      <w:bookmarkStart w:id="16" w:name="_Toc12447"/>
      <w:bookmarkStart w:id="17" w:name="_Toc15437"/>
      <w:bookmarkStart w:id="18" w:name="_Toc29361"/>
      <w:r>
        <w:rPr>
          <w:rFonts w:hint="eastAsia" w:ascii="仿宋_GB2312" w:hAnsi="仿宋_GB2312" w:eastAsia="仿宋_GB2312" w:cs="仿宋_GB2312"/>
          <w:b/>
          <w:bCs/>
          <w:color w:val="auto"/>
          <w:highlight w:val="none"/>
        </w:rPr>
        <w:t>货物质量</w:t>
      </w:r>
      <w:bookmarkEnd w:id="16"/>
      <w:bookmarkEnd w:id="17"/>
      <w:bookmarkEnd w:id="18"/>
    </w:p>
    <w:p w14:paraId="15B7A066">
      <w:pPr>
        <w:pStyle w:val="12"/>
        <w:spacing w:line="400" w:lineRule="atLeas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1、质量要求及技术标准：</w:t>
      </w:r>
    </w:p>
    <w:p w14:paraId="45650ED3">
      <w:pPr>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1.1按照国家标准执行（标准代号、标准编号及标准名称为</w:t>
      </w:r>
      <w:permStart w:id="28" w:edGrp="everyone"/>
    </w:p>
    <w:p w14:paraId="7233310A">
      <w:pPr>
        <w:ind w:firstLine="720" w:firstLineChars="300"/>
        <w:rPr>
          <w:rFonts w:hint="eastAsia" w:ascii="仿宋_GB2312" w:hAnsi="仿宋_GB2312" w:eastAsia="仿宋_GB2312" w:cs="仿宋_GB2312"/>
          <w:color w:val="auto"/>
          <w:kern w:val="0"/>
          <w:sz w:val="24"/>
          <w:szCs w:val="24"/>
          <w:highlight w:val="none"/>
          <w:u w:val="single"/>
          <w:lang w:val="en-US" w:eastAsia="zh-CN" w:bidi="ar-SA"/>
        </w:rPr>
      </w:pPr>
      <w:r>
        <w:rPr>
          <w:rFonts w:hint="eastAsia" w:ascii="仿宋_GB2312" w:hAnsi="仿宋_GB2312" w:eastAsia="仿宋_GB2312" w:cs="仿宋_GB2312"/>
          <w:color w:val="auto"/>
          <w:kern w:val="0"/>
          <w:sz w:val="24"/>
          <w:szCs w:val="24"/>
          <w:highlight w:val="none"/>
          <w:u w:val="single"/>
          <w:lang w:val="en-US" w:eastAsia="zh-CN" w:bidi="ar-SA"/>
        </w:rPr>
        <w:t>《公路工程技术标准》（JTG B01-2014）；</w:t>
      </w:r>
    </w:p>
    <w:p w14:paraId="64C1469F">
      <w:pPr>
        <w:ind w:firstLine="720" w:firstLineChars="300"/>
        <w:rPr>
          <w:rFonts w:hint="eastAsia" w:ascii="仿宋_GB2312" w:hAnsi="仿宋_GB2312" w:eastAsia="仿宋_GB2312" w:cs="仿宋_GB2312"/>
          <w:color w:val="auto"/>
          <w:kern w:val="0"/>
          <w:sz w:val="24"/>
          <w:szCs w:val="24"/>
          <w:highlight w:val="none"/>
          <w:u w:val="single"/>
          <w:lang w:val="en-US" w:eastAsia="zh-CN" w:bidi="ar-SA"/>
        </w:rPr>
      </w:pPr>
      <w:r>
        <w:rPr>
          <w:rFonts w:hint="eastAsia" w:ascii="仿宋_GB2312" w:hAnsi="仿宋_GB2312" w:eastAsia="仿宋_GB2312" w:cs="仿宋_GB2312"/>
          <w:color w:val="auto"/>
          <w:kern w:val="0"/>
          <w:sz w:val="24"/>
          <w:szCs w:val="24"/>
          <w:highlight w:val="none"/>
          <w:u w:val="single"/>
          <w:lang w:val="en-US" w:eastAsia="zh-CN" w:bidi="ar-SA"/>
        </w:rPr>
        <w:t>《混凝土结构设计标准》（GB 50010-2010）</w:t>
      </w:r>
    </w:p>
    <w:p w14:paraId="518608B9">
      <w:pPr>
        <w:ind w:firstLine="720" w:firstLineChars="300"/>
        <w:rPr>
          <w:rFonts w:hint="eastAsia" w:ascii="仿宋_GB2312" w:hAnsi="仿宋_GB2312" w:eastAsia="仿宋_GB2312" w:cs="仿宋_GB2312"/>
          <w:color w:val="auto"/>
          <w:kern w:val="0"/>
          <w:sz w:val="24"/>
          <w:szCs w:val="24"/>
          <w:highlight w:val="none"/>
          <w:u w:val="single"/>
          <w:lang w:val="en-US" w:eastAsia="zh-CN" w:bidi="ar-SA"/>
        </w:rPr>
      </w:pPr>
      <w:r>
        <w:rPr>
          <w:rFonts w:hint="eastAsia" w:ascii="仿宋_GB2312" w:hAnsi="仿宋_GB2312" w:eastAsia="仿宋_GB2312" w:cs="仿宋_GB2312"/>
          <w:color w:val="auto"/>
          <w:kern w:val="0"/>
          <w:sz w:val="24"/>
          <w:szCs w:val="24"/>
          <w:highlight w:val="none"/>
          <w:u w:val="single"/>
          <w:lang w:val="en-US" w:eastAsia="zh-CN" w:bidi="ar-SA"/>
        </w:rPr>
        <w:t>《混凝土结构工程施工质量验收规范》(GB 50204-2015)</w:t>
      </w:r>
    </w:p>
    <w:p w14:paraId="66F4A530">
      <w:pPr>
        <w:ind w:firstLine="720" w:firstLineChars="300"/>
        <w:rPr>
          <w:rFonts w:hint="eastAsia" w:ascii="仿宋_GB2312" w:hAnsi="仿宋_GB2312" w:eastAsia="仿宋_GB2312" w:cs="仿宋_GB2312"/>
          <w:color w:val="auto"/>
          <w:kern w:val="0"/>
          <w:sz w:val="24"/>
          <w:szCs w:val="24"/>
          <w:highlight w:val="none"/>
          <w:u w:val="single"/>
          <w:lang w:val="en-US" w:eastAsia="zh-CN" w:bidi="ar-SA"/>
        </w:rPr>
      </w:pPr>
      <w:r>
        <w:rPr>
          <w:rFonts w:hint="eastAsia" w:ascii="仿宋_GB2312" w:hAnsi="仿宋_GB2312" w:eastAsia="仿宋_GB2312" w:cs="仿宋_GB2312"/>
          <w:color w:val="auto"/>
          <w:kern w:val="0"/>
          <w:sz w:val="24"/>
          <w:szCs w:val="24"/>
          <w:highlight w:val="none"/>
          <w:u w:val="single"/>
          <w:lang w:val="en-US" w:eastAsia="zh-CN" w:bidi="ar-SA"/>
        </w:rPr>
        <w:t>《通用硅酸盐水泥》GB175-2023）</w:t>
      </w:r>
    </w:p>
    <w:p w14:paraId="64544008">
      <w:pPr>
        <w:ind w:firstLine="720" w:firstLineChars="300"/>
        <w:rPr>
          <w:rFonts w:hint="eastAsia" w:ascii="仿宋_GB2312" w:hAnsi="仿宋_GB2312" w:eastAsia="仿宋_GB2312" w:cs="仿宋_GB2312"/>
          <w:color w:val="auto"/>
          <w:kern w:val="0"/>
          <w:sz w:val="24"/>
          <w:szCs w:val="24"/>
          <w:highlight w:val="none"/>
          <w:u w:val="single"/>
          <w:lang w:val="en-US" w:eastAsia="zh-CN" w:bidi="ar-SA"/>
        </w:rPr>
      </w:pPr>
      <w:r>
        <w:rPr>
          <w:rFonts w:hint="eastAsia" w:ascii="仿宋_GB2312" w:hAnsi="仿宋_GB2312" w:eastAsia="仿宋_GB2312" w:cs="仿宋_GB2312"/>
          <w:color w:val="auto"/>
          <w:kern w:val="0"/>
          <w:sz w:val="24"/>
          <w:szCs w:val="24"/>
          <w:highlight w:val="none"/>
          <w:u w:val="single"/>
          <w:lang w:val="en-US" w:eastAsia="zh-CN" w:bidi="ar-SA"/>
        </w:rPr>
        <w:t>《公路沥青路面设计规范》（JTG D50-2017）</w:t>
      </w:r>
    </w:p>
    <w:p w14:paraId="0367B9E1">
      <w:pPr>
        <w:ind w:firstLine="720" w:firstLineChars="300"/>
        <w:rPr>
          <w:rFonts w:hint="eastAsia" w:ascii="仿宋_GB2312" w:hAnsi="仿宋_GB2312" w:eastAsia="仿宋_GB2312" w:cs="仿宋_GB2312"/>
          <w:color w:val="auto"/>
          <w:kern w:val="0"/>
          <w:sz w:val="24"/>
          <w:szCs w:val="24"/>
          <w:highlight w:val="none"/>
          <w:u w:val="single"/>
          <w:lang w:val="en-US" w:eastAsia="zh-CN" w:bidi="ar-SA"/>
        </w:rPr>
      </w:pPr>
      <w:r>
        <w:rPr>
          <w:rFonts w:hint="eastAsia" w:ascii="仿宋_GB2312" w:hAnsi="仿宋_GB2312" w:eastAsia="仿宋_GB2312" w:cs="仿宋_GB2312"/>
          <w:color w:val="auto"/>
          <w:kern w:val="0"/>
          <w:sz w:val="24"/>
          <w:szCs w:val="24"/>
          <w:highlight w:val="none"/>
          <w:u w:val="single"/>
          <w:lang w:val="en-US" w:eastAsia="zh-CN" w:bidi="ar-SA"/>
        </w:rPr>
        <w:t>《公路沥青路面施工技术规范》（JTG -F40-2004）</w:t>
      </w:r>
    </w:p>
    <w:p w14:paraId="4BB38C5F">
      <w:pPr>
        <w:ind w:firstLine="720" w:firstLineChars="300"/>
        <w:rPr>
          <w:rFonts w:hint="eastAsia" w:ascii="仿宋_GB2312" w:hAnsi="仿宋_GB2312" w:eastAsia="仿宋_GB2312" w:cs="仿宋_GB2312"/>
          <w:color w:val="auto"/>
          <w:kern w:val="0"/>
          <w:sz w:val="24"/>
          <w:szCs w:val="24"/>
          <w:highlight w:val="none"/>
          <w:u w:val="single"/>
          <w:lang w:val="en-US" w:eastAsia="zh-CN" w:bidi="ar-SA"/>
        </w:rPr>
      </w:pPr>
      <w:r>
        <w:rPr>
          <w:rFonts w:hint="eastAsia" w:ascii="仿宋_GB2312" w:hAnsi="仿宋_GB2312" w:eastAsia="仿宋_GB2312" w:cs="仿宋_GB2312"/>
          <w:color w:val="auto"/>
          <w:kern w:val="0"/>
          <w:sz w:val="24"/>
          <w:szCs w:val="24"/>
          <w:highlight w:val="none"/>
          <w:u w:val="single"/>
          <w:lang w:val="en-US" w:eastAsia="zh-CN" w:bidi="ar-SA"/>
        </w:rPr>
        <w:t>《公路技术状况评定标准》（JTG 5210-2018）</w:t>
      </w:r>
    </w:p>
    <w:p w14:paraId="67180BC6">
      <w:pPr>
        <w:ind w:firstLine="720" w:firstLineChars="300"/>
        <w:rPr>
          <w:rFonts w:hint="eastAsia" w:ascii="仿宋_GB2312" w:hAnsi="仿宋_GB2312" w:eastAsia="仿宋_GB2312" w:cs="仿宋_GB2312"/>
          <w:color w:val="auto"/>
          <w:kern w:val="0"/>
          <w:sz w:val="24"/>
          <w:szCs w:val="24"/>
          <w:highlight w:val="none"/>
          <w:u w:val="single"/>
          <w:lang w:val="en-US" w:eastAsia="zh-CN" w:bidi="ar-SA"/>
        </w:rPr>
      </w:pPr>
      <w:r>
        <w:rPr>
          <w:rFonts w:hint="eastAsia" w:ascii="仿宋_GB2312" w:hAnsi="仿宋_GB2312" w:eastAsia="仿宋_GB2312" w:cs="仿宋_GB2312"/>
          <w:color w:val="auto"/>
          <w:kern w:val="0"/>
          <w:sz w:val="24"/>
          <w:szCs w:val="24"/>
          <w:highlight w:val="none"/>
          <w:u w:val="single"/>
          <w:lang w:val="en-US" w:eastAsia="zh-CN" w:bidi="ar-SA"/>
        </w:rPr>
        <w:t>《公路工程水泥及水泥混凝土试验规程》（JTG 3420-2020）</w:t>
      </w:r>
    </w:p>
    <w:p w14:paraId="1343E559">
      <w:pPr>
        <w:ind w:firstLine="720" w:firstLineChars="300"/>
        <w:rPr>
          <w:rFonts w:hint="eastAsia" w:ascii="仿宋_GB2312" w:hAnsi="仿宋_GB2312" w:eastAsia="仿宋_GB2312" w:cs="仿宋_GB2312"/>
          <w:color w:val="auto"/>
          <w:kern w:val="0"/>
          <w:sz w:val="24"/>
          <w:szCs w:val="24"/>
          <w:highlight w:val="none"/>
          <w:u w:val="single"/>
          <w:lang w:val="en-US" w:eastAsia="zh-CN" w:bidi="ar-SA"/>
        </w:rPr>
      </w:pPr>
      <w:r>
        <w:rPr>
          <w:rFonts w:hint="eastAsia" w:ascii="仿宋_GB2312" w:hAnsi="仿宋_GB2312" w:eastAsia="仿宋_GB2312" w:cs="仿宋_GB2312"/>
          <w:color w:val="auto"/>
          <w:kern w:val="0"/>
          <w:sz w:val="24"/>
          <w:szCs w:val="24"/>
          <w:highlight w:val="none"/>
          <w:u w:val="single"/>
          <w:lang w:val="en-US" w:eastAsia="zh-CN" w:bidi="ar-SA"/>
        </w:rPr>
        <w:t>《公路水泥混凝土路面设计规范》（JTG D40-2011）</w:t>
      </w:r>
    </w:p>
    <w:p w14:paraId="1ACEFF3E">
      <w:pPr>
        <w:ind w:firstLine="720" w:firstLineChars="300"/>
        <w:rPr>
          <w:rFonts w:hint="eastAsia" w:ascii="仿宋_GB2312" w:hAnsi="仿宋_GB2312" w:eastAsia="仿宋_GB2312" w:cs="仿宋_GB2312"/>
          <w:color w:val="auto"/>
          <w:kern w:val="0"/>
          <w:sz w:val="24"/>
          <w:szCs w:val="24"/>
          <w:highlight w:val="none"/>
          <w:u w:val="single"/>
          <w:lang w:val="en-US" w:eastAsia="zh-CN" w:bidi="ar-SA"/>
        </w:rPr>
      </w:pPr>
      <w:r>
        <w:rPr>
          <w:rFonts w:hint="eastAsia" w:ascii="仿宋_GB2312" w:hAnsi="仿宋_GB2312" w:eastAsia="仿宋_GB2312" w:cs="仿宋_GB2312"/>
          <w:color w:val="auto"/>
          <w:kern w:val="0"/>
          <w:sz w:val="24"/>
          <w:szCs w:val="24"/>
          <w:highlight w:val="none"/>
          <w:u w:val="single"/>
          <w:lang w:val="en-US" w:eastAsia="zh-CN" w:bidi="ar-SA"/>
        </w:rPr>
        <w:t>《公路水泥混凝土路面养护技术规范》（JTJ 073.0-2001））</w:t>
      </w:r>
    </w:p>
    <w:p w14:paraId="3F5C0DEC">
      <w:pPr>
        <w:ind w:firstLine="720" w:firstLineChars="300"/>
        <w:rPr>
          <w:rFonts w:hint="eastAsia" w:ascii="仿宋_GB2312" w:hAnsi="仿宋_GB2312" w:eastAsia="仿宋_GB2312" w:cs="仿宋_GB2312"/>
          <w:color w:val="auto"/>
          <w:kern w:val="0"/>
          <w:sz w:val="24"/>
          <w:szCs w:val="24"/>
          <w:highlight w:val="none"/>
          <w:u w:val="single"/>
          <w:lang w:val="en-US" w:eastAsia="zh-CN" w:bidi="ar-SA"/>
        </w:rPr>
      </w:pPr>
      <w:r>
        <w:rPr>
          <w:rFonts w:hint="eastAsia" w:ascii="仿宋_GB2312" w:hAnsi="仿宋_GB2312" w:eastAsia="仿宋_GB2312" w:cs="仿宋_GB2312"/>
          <w:color w:val="auto"/>
          <w:kern w:val="0"/>
          <w:sz w:val="24"/>
          <w:szCs w:val="24"/>
          <w:highlight w:val="none"/>
          <w:u w:val="single"/>
          <w:lang w:val="en-US" w:eastAsia="zh-CN" w:bidi="ar-SA"/>
        </w:rPr>
        <w:t>预制混凝土构件质量检验标准（DB11/T968-2021）</w:t>
      </w:r>
    </w:p>
    <w:p w14:paraId="39815B5B">
      <w:pPr>
        <w:ind w:firstLine="720" w:firstLineChars="300"/>
        <w:rPr>
          <w:rFonts w:hint="eastAsia" w:ascii="仿宋_GB2312" w:hAnsi="仿宋_GB2312" w:eastAsia="仿宋_GB2312" w:cs="仿宋_GB2312"/>
          <w:color w:val="auto"/>
          <w:kern w:val="0"/>
          <w:sz w:val="24"/>
          <w:szCs w:val="24"/>
          <w:highlight w:val="none"/>
          <w:u w:val="single"/>
          <w:lang w:val="en-US" w:eastAsia="zh-CN" w:bidi="ar-SA"/>
        </w:rPr>
      </w:pPr>
      <w:r>
        <w:rPr>
          <w:rFonts w:hint="eastAsia" w:ascii="仿宋_GB2312" w:hAnsi="仿宋_GB2312" w:eastAsia="仿宋_GB2312" w:cs="仿宋_GB2312"/>
          <w:color w:val="auto"/>
          <w:kern w:val="0"/>
          <w:sz w:val="24"/>
          <w:szCs w:val="24"/>
          <w:highlight w:val="none"/>
          <w:u w:val="single"/>
          <w:lang w:val="en-US" w:eastAsia="zh-CN" w:bidi="ar-SA"/>
        </w:rPr>
        <w:t>GB/T1499.1-2017《钢筋混凝土用热轧光圆钢筋》标准</w:t>
      </w:r>
    </w:p>
    <w:p w14:paraId="588D9A8B">
      <w:pPr>
        <w:ind w:firstLine="720" w:firstLineChars="300"/>
        <w:rPr>
          <w:rFonts w:hint="eastAsia" w:ascii="仿宋_GB2312" w:hAnsi="仿宋_GB2312" w:eastAsia="仿宋_GB2312" w:cs="仿宋_GB2312"/>
          <w:color w:val="auto"/>
          <w:kern w:val="0"/>
          <w:sz w:val="24"/>
          <w:szCs w:val="24"/>
          <w:highlight w:val="none"/>
          <w:u w:val="single"/>
          <w:lang w:val="en-US" w:eastAsia="zh-CN" w:bidi="ar-SA"/>
        </w:rPr>
      </w:pPr>
      <w:r>
        <w:rPr>
          <w:rFonts w:hint="eastAsia" w:ascii="仿宋_GB2312" w:hAnsi="仿宋_GB2312" w:eastAsia="仿宋_GB2312" w:cs="仿宋_GB2312"/>
          <w:color w:val="auto"/>
          <w:kern w:val="0"/>
          <w:sz w:val="24"/>
          <w:szCs w:val="24"/>
          <w:highlight w:val="none"/>
          <w:u w:val="single"/>
          <w:lang w:val="en-US" w:eastAsia="zh-CN" w:bidi="ar-SA"/>
        </w:rPr>
        <w:t>GB1499.2-2018《钢筋混凝土结构用热轧带肋钢筋》标准</w:t>
      </w:r>
    </w:p>
    <w:p w14:paraId="2071CEC7">
      <w:pPr>
        <w:ind w:firstLine="720" w:firstLineChars="300"/>
        <w:rPr>
          <w:rFonts w:hint="eastAsia" w:ascii="仿宋_GB2312" w:hAnsi="仿宋_GB2312" w:eastAsia="仿宋_GB2312" w:cs="仿宋_GB2312"/>
          <w:color w:val="auto"/>
          <w:kern w:val="0"/>
          <w:sz w:val="24"/>
          <w:szCs w:val="24"/>
          <w:highlight w:val="none"/>
          <w:u w:val="single"/>
          <w:lang w:val="en-US" w:eastAsia="zh-CN" w:bidi="ar-SA"/>
        </w:rPr>
      </w:pPr>
      <w:r>
        <w:rPr>
          <w:rFonts w:hint="eastAsia" w:ascii="仿宋_GB2312" w:hAnsi="仿宋_GB2312" w:eastAsia="仿宋_GB2312" w:cs="仿宋_GB2312"/>
          <w:color w:val="auto"/>
          <w:kern w:val="0"/>
          <w:sz w:val="24"/>
          <w:szCs w:val="24"/>
          <w:highlight w:val="none"/>
          <w:u w:val="single"/>
          <w:lang w:val="en-US" w:eastAsia="zh-CN" w:bidi="ar-SA"/>
        </w:rPr>
        <w:t>《预应力混凝土用钢绞线》GB/T5224-2014）</w:t>
      </w:r>
    </w:p>
    <w:p w14:paraId="662E700E">
      <w:pPr>
        <w:ind w:firstLine="720" w:firstLineChars="300"/>
        <w:rPr>
          <w:rFonts w:hint="eastAsia" w:ascii="仿宋_GB2312" w:hAnsi="仿宋_GB2312" w:eastAsia="仿宋_GB2312" w:cs="仿宋_GB2312"/>
          <w:color w:val="auto"/>
          <w:kern w:val="0"/>
          <w:sz w:val="24"/>
          <w:szCs w:val="24"/>
          <w:highlight w:val="none"/>
          <w:u w:val="single"/>
          <w:lang w:val="en-US" w:eastAsia="zh-CN" w:bidi="ar-SA"/>
        </w:rPr>
      </w:pPr>
      <w:r>
        <w:rPr>
          <w:rFonts w:hint="eastAsia" w:ascii="仿宋_GB2312" w:hAnsi="仿宋_GB2312" w:eastAsia="仿宋_GB2312" w:cs="仿宋_GB2312"/>
          <w:color w:val="auto"/>
          <w:kern w:val="0"/>
          <w:sz w:val="24"/>
          <w:szCs w:val="24"/>
          <w:highlight w:val="none"/>
          <w:u w:val="single"/>
          <w:lang w:val="en-US" w:eastAsia="zh-CN" w:bidi="ar-SA"/>
        </w:rPr>
        <w:t>《预应力混凝土桥梁用塑料波纹管》JT/T529-2016</w:t>
      </w:r>
    </w:p>
    <w:p w14:paraId="4A62E473">
      <w:pPr>
        <w:ind w:firstLine="720" w:firstLineChars="300"/>
        <w:rPr>
          <w:rFonts w:hint="eastAsia" w:ascii="仿宋_GB2312" w:hAnsi="仿宋_GB2312" w:eastAsia="仿宋_GB2312" w:cs="仿宋_GB2312"/>
          <w:color w:val="auto"/>
          <w:kern w:val="0"/>
          <w:sz w:val="24"/>
          <w:szCs w:val="24"/>
          <w:highlight w:val="none"/>
          <w:u w:val="single"/>
          <w:lang w:val="en-US" w:eastAsia="zh-CN" w:bidi="ar-SA"/>
        </w:rPr>
      </w:pPr>
      <w:r>
        <w:rPr>
          <w:rFonts w:hint="eastAsia" w:ascii="仿宋_GB2312" w:hAnsi="仿宋_GB2312" w:eastAsia="仿宋_GB2312" w:cs="仿宋_GB2312"/>
          <w:color w:val="auto"/>
          <w:kern w:val="0"/>
          <w:sz w:val="24"/>
          <w:szCs w:val="24"/>
          <w:highlight w:val="none"/>
          <w:u w:val="single"/>
          <w:lang w:val="en-US" w:eastAsia="zh-CN" w:bidi="ar-SA"/>
        </w:rPr>
        <w:t>《预应力筋用锚具、夹具和连接器应用技术规程》JGJ 85-2010、）</w:t>
      </w:r>
    </w:p>
    <w:p w14:paraId="69749D82">
      <w:pPr>
        <w:ind w:firstLine="720" w:firstLineChars="300"/>
        <w:rPr>
          <w:rFonts w:hint="eastAsia" w:ascii="仿宋_GB2312" w:hAnsi="仿宋_GB2312" w:eastAsia="仿宋_GB2312" w:cs="仿宋_GB2312"/>
          <w:color w:val="auto"/>
          <w:highlight w:val="none"/>
          <w:u w:val="single"/>
          <w:lang w:val="en-US" w:eastAsia="zh-CN"/>
        </w:rPr>
      </w:pPr>
      <w:r>
        <w:rPr>
          <w:rFonts w:hint="eastAsia" w:ascii="仿宋_GB2312" w:hAnsi="仿宋_GB2312" w:eastAsia="仿宋_GB2312" w:cs="仿宋_GB2312"/>
          <w:color w:val="auto"/>
          <w:kern w:val="0"/>
          <w:sz w:val="24"/>
          <w:szCs w:val="24"/>
          <w:highlight w:val="none"/>
          <w:u w:val="single"/>
          <w:lang w:val="en-US" w:eastAsia="zh-CN" w:bidi="ar-SA"/>
        </w:rPr>
        <w:t>《安全网》GB5725－2009）</w:t>
      </w:r>
    </w:p>
    <w:permEnd w:id="28"/>
    <w:p w14:paraId="406E5DEB">
      <w:pPr>
        <w:pStyle w:val="12"/>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p>
    <w:p w14:paraId="0AAD8622">
      <w:pPr>
        <w:pStyle w:val="12"/>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1.2无国家标准而有部颁标准的，按部颁标准执行。</w:t>
      </w:r>
    </w:p>
    <w:p w14:paraId="440C241D">
      <w:pPr>
        <w:pStyle w:val="12"/>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1.3无国家和部颁标准的，按企业标准执行。</w:t>
      </w:r>
    </w:p>
    <w:p w14:paraId="194071B3">
      <w:pPr>
        <w:pStyle w:val="12"/>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1.4没有上述标准的，或虽有上述标准，但甲方有特殊要求的，按甲乙双方在合同中商定的技术条件、样品或补充的技术要求执行（具体要求</w:t>
      </w:r>
      <w:permStart w:id="29" w:edGrp="everyone"/>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 xml:space="preserve"> </w:t>
      </w:r>
      <w:permEnd w:id="29"/>
      <w:r>
        <w:rPr>
          <w:rFonts w:hint="eastAsia" w:ascii="仿宋_GB2312" w:hAnsi="仿宋_GB2312" w:eastAsia="仿宋_GB2312" w:cs="仿宋_GB2312"/>
          <w:color w:val="auto"/>
          <w:highlight w:val="none"/>
        </w:rPr>
        <w:t>）。</w:t>
      </w:r>
    </w:p>
    <w:p w14:paraId="3D9F0FF1">
      <w:pPr>
        <w:pStyle w:val="12"/>
        <w:spacing w:line="400" w:lineRule="atLeast"/>
        <w:ind w:firstLine="480" w:firstLineChars="200"/>
        <w:outlineLvl w:val="1"/>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1.5如乙方有通过国家相关质量体系认证的企业标准，且其标准高于上述标准的，按乙方企业标准执行。产品必须满足中华人民共和国国家、地方及行业最新颁布的相关标准及技术规范，如果规范、标准、要求适用于同一种情况，则以标准高者为准</w:t>
      </w:r>
      <w:r>
        <w:rPr>
          <w:rFonts w:hint="eastAsia" w:ascii="仿宋_GB2312" w:hAnsi="仿宋_GB2312" w:eastAsia="仿宋_GB2312" w:cs="仿宋_GB2312"/>
          <w:color w:val="auto"/>
          <w:highlight w:val="none"/>
          <w:lang w:eastAsia="zh-CN"/>
        </w:rPr>
        <w:t>。</w:t>
      </w:r>
    </w:p>
    <w:p w14:paraId="78CEA718">
      <w:pPr>
        <w:pStyle w:val="12"/>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1.6其他：</w:t>
      </w:r>
      <w:permStart w:id="30" w:edGrp="everyone"/>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u w:val="single"/>
        </w:rPr>
        <w:t xml:space="preserve">/    </w:t>
      </w:r>
      <w:permEnd w:id="30"/>
      <w:r>
        <w:rPr>
          <w:rFonts w:hint="eastAsia" w:ascii="仿宋_GB2312" w:hAnsi="仿宋_GB2312" w:eastAsia="仿宋_GB2312" w:cs="仿宋_GB2312"/>
          <w:color w:val="auto"/>
          <w:highlight w:val="none"/>
        </w:rPr>
        <w:t>。</w:t>
      </w:r>
    </w:p>
    <w:p w14:paraId="0D5661AB">
      <w:pPr>
        <w:pStyle w:val="12"/>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2、货物附件清单：</w:t>
      </w:r>
      <w:r>
        <w:rPr>
          <w:rFonts w:hint="eastAsia" w:ascii="仿宋_GB2312" w:hAnsi="仿宋_GB2312" w:eastAsia="仿宋_GB2312" w:cs="仿宋_GB2312"/>
          <w:color w:val="auto"/>
          <w:highlight w:val="none"/>
        </w:rPr>
        <w:t>乙方应按甲方要求在交货时提供货物附件清单：</w:t>
      </w:r>
      <w:permStart w:id="31" w:edGrp="everyone"/>
      <w:r>
        <w:rPr>
          <w:rFonts w:hint="eastAsia" w:ascii="仿宋_GB2312" w:hAnsi="仿宋_GB2312" w:eastAsia="仿宋_GB2312" w:cs="仿宋_GB2312"/>
          <w:color w:val="auto"/>
          <w:highlight w:val="none"/>
          <w:u w:val="single"/>
        </w:rPr>
        <w:t>产品质量证明书、出厂合格证、产品检验报告、国家强制性产品认证书、产品质量免检证书、产品生产许可证、管理体系认证证书、装箱单、发货单等</w:t>
      </w:r>
      <w:r>
        <w:rPr>
          <w:rFonts w:hint="eastAsia" w:ascii="仿宋_GB2312" w:hAnsi="仿宋_GB2312" w:eastAsia="仿宋_GB2312" w:cs="仿宋_GB2312"/>
          <w:color w:val="auto"/>
          <w:highlight w:val="none"/>
          <w:u w:val="single"/>
          <w:lang w:val="en-US" w:eastAsia="zh-CN"/>
        </w:rPr>
        <w:t>以及</w:t>
      </w:r>
      <w:r>
        <w:rPr>
          <w:rFonts w:hint="eastAsia" w:ascii="仿宋_GB2312" w:hAnsi="仿宋_GB2312" w:eastAsia="仿宋_GB2312" w:cs="仿宋_GB2312"/>
          <w:color w:val="auto"/>
          <w:highlight w:val="none"/>
          <w:u w:val="single"/>
        </w:rPr>
        <w:t>甲方为完成计量、竣工资料等所需要的所有资料，并及时交送到甲方指定负责人处，乙方提供资料均需在有效期内</w:t>
      </w:r>
      <w:permEnd w:id="31"/>
      <w:r>
        <w:rPr>
          <w:rFonts w:hint="eastAsia" w:ascii="仿宋_GB2312" w:hAnsi="仿宋_GB2312" w:eastAsia="仿宋_GB2312" w:cs="仿宋_GB2312"/>
          <w:color w:val="auto"/>
          <w:highlight w:val="none"/>
          <w:u w:val="single"/>
        </w:rPr>
        <w:t>。</w:t>
      </w:r>
      <w:r>
        <w:rPr>
          <w:rFonts w:hint="eastAsia" w:ascii="仿宋_GB2312" w:hAnsi="仿宋_GB2312" w:eastAsia="仿宋_GB2312" w:cs="仿宋_GB2312"/>
          <w:color w:val="auto"/>
          <w:highlight w:val="none"/>
        </w:rPr>
        <w:t>附件清单明确附件内容及份数同时加印乙方签章于收货时一并交由甲方核验，否则甲方不予办理收料手续。</w:t>
      </w:r>
    </w:p>
    <w:p w14:paraId="4833F580">
      <w:pPr>
        <w:pStyle w:val="12"/>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3、货物质量保修期：</w:t>
      </w:r>
      <w:r>
        <w:rPr>
          <w:rFonts w:hint="eastAsia" w:ascii="仿宋_GB2312" w:hAnsi="仿宋_GB2312" w:eastAsia="仿宋_GB2312" w:cs="仿宋_GB2312"/>
          <w:color w:val="auto"/>
          <w:highlight w:val="none"/>
        </w:rPr>
        <w:t>按下列第</w:t>
      </w:r>
      <w:r>
        <w:rPr>
          <w:rFonts w:hint="eastAsia" w:ascii="仿宋_GB2312" w:hAnsi="仿宋_GB2312" w:eastAsia="仿宋_GB2312" w:cs="仿宋_GB2312"/>
          <w:color w:val="auto"/>
          <w:highlight w:val="none"/>
          <w:u w:val="single"/>
        </w:rPr>
        <w:t xml:space="preserve"> </w:t>
      </w:r>
      <w:permStart w:id="32" w:edGrp="everyone"/>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3.3</w:t>
      </w:r>
      <w:r>
        <w:rPr>
          <w:rFonts w:hint="eastAsia" w:ascii="仿宋_GB2312" w:hAnsi="仿宋_GB2312" w:eastAsia="仿宋_GB2312" w:cs="仿宋_GB2312"/>
          <w:color w:val="auto"/>
          <w:highlight w:val="none"/>
          <w:u w:val="single"/>
        </w:rPr>
        <w:t xml:space="preserve"> </w:t>
      </w:r>
      <w:permEnd w:id="32"/>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项执行（如货物明示或设计的质量保修期/缺陷责任期较长的，以较长者为准）：</w:t>
      </w:r>
    </w:p>
    <w:p w14:paraId="722EC853">
      <w:pPr>
        <w:pStyle w:val="12"/>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3.1质量保修期无</w:t>
      </w:r>
    </w:p>
    <w:p w14:paraId="6D5A36AF">
      <w:pPr>
        <w:pStyle w:val="12"/>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3.2质量保修期为</w:t>
      </w:r>
      <w:permStart w:id="33" w:edGrp="everyone"/>
      <w:r>
        <w:rPr>
          <w:rFonts w:hint="eastAsia" w:ascii="仿宋_GB2312" w:hAnsi="仿宋_GB2312" w:eastAsia="仿宋_GB2312" w:cs="仿宋_GB2312"/>
          <w:color w:val="auto"/>
          <w:highlight w:val="none"/>
          <w:u w:val="single"/>
        </w:rPr>
        <w:t xml:space="preserve">  /   </w:t>
      </w:r>
      <w:permEnd w:id="33"/>
      <w:r>
        <w:rPr>
          <w:rFonts w:hint="eastAsia" w:ascii="仿宋_GB2312" w:hAnsi="仿宋_GB2312" w:eastAsia="仿宋_GB2312" w:cs="仿宋_GB2312"/>
          <w:color w:val="auto"/>
          <w:highlight w:val="none"/>
        </w:rPr>
        <w:t>个月，自货物进场验收合格之日起算；</w:t>
      </w:r>
    </w:p>
    <w:p w14:paraId="25ACB3C3">
      <w:pPr>
        <w:pStyle w:val="12"/>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3.3质量保修期为</w:t>
      </w:r>
      <w:permStart w:id="34" w:edGrp="everyone"/>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12</w:t>
      </w:r>
      <w:r>
        <w:rPr>
          <w:rFonts w:hint="eastAsia" w:ascii="仿宋_GB2312" w:hAnsi="仿宋_GB2312" w:eastAsia="仿宋_GB2312" w:cs="仿宋_GB2312"/>
          <w:color w:val="auto"/>
          <w:highlight w:val="none"/>
          <w:u w:val="single"/>
        </w:rPr>
        <w:t xml:space="preserve"> </w:t>
      </w:r>
      <w:permEnd w:id="34"/>
      <w:r>
        <w:rPr>
          <w:rFonts w:hint="eastAsia" w:ascii="仿宋_GB2312" w:hAnsi="仿宋_GB2312" w:eastAsia="仿宋_GB2312" w:cs="仿宋_GB2312"/>
          <w:color w:val="auto"/>
          <w:highlight w:val="none"/>
        </w:rPr>
        <w:t>个月，从工程（送货地工程）竣工验收合格之日（以业主颁发竣工证书所载日期为准）起计算；</w:t>
      </w:r>
    </w:p>
    <w:p w14:paraId="4AFA9E3B">
      <w:pPr>
        <w:pStyle w:val="12"/>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所有货物须保证满足现场使用要求，如货物在质量保修期内出现质量瑕疵或者缺陷的，由乙方按照甲方的时间要求免费维修或者更换，经甲方要求整改一次仍无法达到合同要求时，甲方可自行或委托第三方代为履行，并以实际发生费用从乙方的应付款中扣除。</w:t>
      </w:r>
    </w:p>
    <w:p w14:paraId="52CA03F6">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9" w:name="_Toc3621"/>
      <w:bookmarkStart w:id="20" w:name="_Toc12481"/>
      <w:bookmarkStart w:id="21" w:name="_Toc22036"/>
      <w:r>
        <w:rPr>
          <w:rFonts w:hint="eastAsia" w:ascii="仿宋_GB2312" w:hAnsi="仿宋_GB2312" w:eastAsia="仿宋_GB2312" w:cs="仿宋_GB2312"/>
          <w:b/>
          <w:bCs/>
          <w:color w:val="000000" w:themeColor="text1"/>
          <w:highlight w:val="none"/>
          <w14:textFill>
            <w14:solidFill>
              <w14:schemeClr w14:val="tx1"/>
            </w14:solidFill>
          </w14:textFill>
        </w:rPr>
        <w:t>货物验收</w:t>
      </w:r>
      <w:bookmarkEnd w:id="19"/>
      <w:bookmarkEnd w:id="20"/>
      <w:bookmarkEnd w:id="21"/>
    </w:p>
    <w:p w14:paraId="47107D5D">
      <w:pPr>
        <w:pStyle w:val="12"/>
        <w:numPr>
          <w:ilvl w:val="0"/>
          <w:numId w:val="3"/>
        </w:numPr>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验收人员：</w:t>
      </w:r>
      <w:r>
        <w:rPr>
          <w:rFonts w:hint="eastAsia" w:ascii="仿宋_GB2312" w:hAnsi="仿宋_GB2312" w:eastAsia="仿宋_GB2312" w:cs="仿宋_GB2312"/>
          <w:color w:val="auto"/>
          <w:highlight w:val="none"/>
        </w:rPr>
        <w:t>货物进场需由甲方物资管理人员</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不少于2人</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w:t>
      </w:r>
      <w:bookmarkStart w:id="22" w:name="_Hlk127189311"/>
      <w:r>
        <w:rPr>
          <w:rFonts w:hint="eastAsia" w:ascii="仿宋_GB2312" w:hAnsi="仿宋_GB2312" w:eastAsia="仿宋_GB2312" w:cs="仿宋_GB2312"/>
          <w:color w:val="auto"/>
          <w:highlight w:val="none"/>
        </w:rPr>
        <w:t>现场责任</w:t>
      </w:r>
      <w:bookmarkEnd w:id="22"/>
      <w:r>
        <w:rPr>
          <w:rFonts w:hint="eastAsia" w:ascii="仿宋_GB2312" w:hAnsi="仿宋_GB2312" w:eastAsia="仿宋_GB2312" w:cs="仿宋_GB2312"/>
          <w:color w:val="auto"/>
          <w:highlight w:val="none"/>
        </w:rPr>
        <w:t>工程师、分包单位和乙方发货联系人共同完成现场验收，现场验收不代表货物质量合格，质量是否合格需要进一步复核确定。</w:t>
      </w:r>
    </w:p>
    <w:p w14:paraId="6D07D633">
      <w:pPr>
        <w:pStyle w:val="12"/>
        <w:numPr>
          <w:ilvl w:val="0"/>
          <w:numId w:val="3"/>
        </w:numPr>
        <w:spacing w:line="400" w:lineRule="atLeast"/>
        <w:ind w:firstLine="482" w:firstLineChars="200"/>
        <w:jc w:val="both"/>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验收方式：</w:t>
      </w:r>
      <w:r>
        <w:rPr>
          <w:rFonts w:hint="eastAsia" w:ascii="仿宋_GB2312" w:hAnsi="仿宋_GB2312" w:eastAsia="仿宋_GB2312" w:cs="仿宋_GB2312"/>
          <w:color w:val="000000" w:themeColor="text1"/>
          <w:highlight w:val="none"/>
          <w:u w:val="single"/>
          <w14:textFill>
            <w14:solidFill>
              <w14:schemeClr w14:val="tx1"/>
            </w14:solidFill>
          </w14:textFill>
        </w:rPr>
        <w:t>以智能地磅、云筑收验货系统为主要载体，结合视频监控系统，完成核对凭证、外观质量验收、数量验收和检测报告四步验收，甲方收货联系人出具</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过磅单、</w:t>
      </w:r>
      <w:r>
        <w:rPr>
          <w:rFonts w:hint="eastAsia" w:ascii="仿宋_GB2312" w:hAnsi="仿宋_GB2312" w:eastAsia="仿宋_GB2312" w:cs="仿宋_GB2312"/>
          <w:color w:val="000000" w:themeColor="text1"/>
          <w:highlight w:val="none"/>
          <w:u w:val="single"/>
          <w14:textFill>
            <w14:solidFill>
              <w14:schemeClr w14:val="tx1"/>
            </w14:solidFill>
          </w14:textFill>
        </w:rPr>
        <w:t>收料单，甲方收货联系人及乙方发货联系人双方签字后视为验收完成。</w:t>
      </w:r>
    </w:p>
    <w:p w14:paraId="43FFA877">
      <w:pPr>
        <w:pStyle w:val="12"/>
        <w:numPr>
          <w:ilvl w:val="0"/>
          <w:numId w:val="3"/>
        </w:numPr>
        <w:spacing w:line="400" w:lineRule="atLeast"/>
        <w:ind w:firstLine="482" w:firstLineChars="200"/>
        <w:outlineLvl w:val="1"/>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数量验收：</w:t>
      </w:r>
    </w:p>
    <w:p w14:paraId="35D57DD7">
      <w:pPr>
        <w:pStyle w:val="12"/>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3.1数量验收方式：</w:t>
      </w:r>
      <w:r>
        <w:rPr>
          <w:rFonts w:hint="eastAsia" w:ascii="仿宋_GB2312" w:hAnsi="仿宋_GB2312" w:eastAsia="仿宋_GB2312" w:cs="仿宋_GB2312"/>
          <w:highlight w:val="none"/>
        </w:rPr>
        <w:t>甲乙双方在交货现场以</w:t>
      </w:r>
      <w:permStart w:id="35" w:edGrp="everyone"/>
      <w:r>
        <w:rPr>
          <w:rFonts w:hint="eastAsia" w:ascii="仿宋_GB2312" w:hAnsi="仿宋_GB2312" w:eastAsia="仿宋_GB2312" w:cs="仿宋_GB2312"/>
          <w:highlight w:val="none"/>
          <w:lang w:eastAsia="zh-CN"/>
        </w:rPr>
        <w:t>☑</w:t>
      </w:r>
      <w:permEnd w:id="35"/>
      <w:r>
        <w:rPr>
          <w:rFonts w:hint="eastAsia" w:ascii="仿宋_GB2312" w:hAnsi="仿宋_GB2312" w:eastAsia="仿宋_GB2312" w:cs="仿宋_GB2312"/>
          <w:highlight w:val="none"/>
        </w:rPr>
        <w:t>过磅</w:t>
      </w:r>
      <w:r>
        <w:rPr>
          <w:rFonts w:hint="eastAsia" w:ascii="仿宋_GB2312" w:hAnsi="仿宋_GB2312" w:eastAsia="仿宋_GB2312" w:cs="仿宋_GB2312"/>
          <w:highlight w:val="none"/>
          <w:lang w:val="en-US" w:eastAsia="zh-CN"/>
        </w:rPr>
        <w:t>/</w:t>
      </w:r>
      <w:permStart w:id="36" w:edGrp="everyone"/>
      <w:r>
        <w:rPr>
          <w:rFonts w:hint="eastAsia" w:ascii="仿宋_GB2312" w:hAnsi="仿宋_GB2312" w:eastAsia="仿宋_GB2312" w:cs="仿宋_GB2312"/>
          <w:highlight w:val="none"/>
          <w:lang w:eastAsia="zh-CN"/>
        </w:rPr>
        <w:t>☑</w:t>
      </w:r>
      <w:permEnd w:id="36"/>
      <w:r>
        <w:rPr>
          <w:rFonts w:hint="eastAsia" w:ascii="仿宋_GB2312" w:hAnsi="仿宋_GB2312" w:eastAsia="仿宋_GB2312" w:cs="仿宋_GB2312"/>
          <w:highlight w:val="none"/>
        </w:rPr>
        <w:t xml:space="preserve"> 计件</w:t>
      </w:r>
      <w:r>
        <w:rPr>
          <w:rFonts w:hint="eastAsia" w:ascii="仿宋_GB2312" w:hAnsi="仿宋_GB2312" w:eastAsia="仿宋_GB2312" w:cs="仿宋_GB2312"/>
          <w:highlight w:val="none"/>
          <w:lang w:val="en-US" w:eastAsia="zh-CN"/>
        </w:rPr>
        <w:t>/</w:t>
      </w:r>
      <w:permStart w:id="37" w:edGrp="everyone"/>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 xml:space="preserve"> </w:t>
      </w:r>
      <w:permEnd w:id="37"/>
      <w:r>
        <w:rPr>
          <w:rFonts w:hint="eastAsia" w:ascii="仿宋_GB2312" w:hAnsi="仿宋_GB2312" w:eastAsia="仿宋_GB2312" w:cs="仿宋_GB2312"/>
          <w:highlight w:val="none"/>
        </w:rPr>
        <w:t>检尺</w:t>
      </w:r>
      <w:r>
        <w:rPr>
          <w:rFonts w:hint="eastAsia" w:ascii="仿宋_GB2312" w:hAnsi="仿宋_GB2312" w:eastAsia="仿宋_GB2312" w:cs="仿宋_GB2312"/>
          <w:highlight w:val="none"/>
          <w:lang w:val="en-US" w:eastAsia="zh-CN"/>
        </w:rPr>
        <w:t>/</w:t>
      </w:r>
      <w:permStart w:id="38" w:edGrp="everyone"/>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 xml:space="preserve"> </w:t>
      </w:r>
      <w:permEnd w:id="38"/>
      <w:r>
        <w:rPr>
          <w:rFonts w:hint="eastAsia" w:ascii="仿宋_GB2312" w:hAnsi="仿宋_GB2312" w:eastAsia="仿宋_GB2312" w:cs="仿宋_GB2312"/>
          <w:highlight w:val="none"/>
        </w:rPr>
        <w:t>其他计量方式</w:t>
      </w:r>
      <w:permStart w:id="39"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水泥、水泥稳定碎石、沥青混凝土、钢绞线过磅计量，水泥混凝土按方计量过磅复核，波形梁护栏、PVC管按米计量，钢筋按理论计重过磅复核，主动防护网检尺计量</w:t>
      </w:r>
      <w:r>
        <w:rPr>
          <w:rFonts w:hint="eastAsia" w:ascii="仿宋_GB2312" w:hAnsi="仿宋_GB2312" w:eastAsia="仿宋_GB2312" w:cs="仿宋_GB2312"/>
          <w:highlight w:val="none"/>
          <w:u w:val="single"/>
        </w:rPr>
        <w:t xml:space="preserve"> </w:t>
      </w:r>
      <w:permEnd w:id="39"/>
      <w:r>
        <w:rPr>
          <w:rFonts w:hint="eastAsia" w:ascii="仿宋_GB2312" w:hAnsi="仿宋_GB2312" w:eastAsia="仿宋_GB2312" w:cs="仿宋_GB2312"/>
          <w:highlight w:val="none"/>
        </w:rPr>
        <w:t>进行数量验收，乙方应对在甲方工地现场的数量验收数据进行确认。</w:t>
      </w:r>
    </w:p>
    <w:p w14:paraId="27997F8B">
      <w:pPr>
        <w:pStyle w:val="12"/>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3.2数量验收凭据：</w:t>
      </w:r>
      <w:r>
        <w:rPr>
          <w:rFonts w:hint="eastAsia" w:ascii="仿宋_GB2312" w:hAnsi="仿宋_GB2312" w:eastAsia="仿宋_GB2312" w:cs="仿宋_GB2312"/>
          <w:highlight w:val="none"/>
          <w:u w:val="none"/>
        </w:rPr>
        <w:t>由甲</w:t>
      </w:r>
      <w:bookmarkStart w:id="128" w:name="_GoBack"/>
      <w:bookmarkEnd w:id="128"/>
      <w:r>
        <w:rPr>
          <w:rFonts w:hint="eastAsia" w:ascii="仿宋_GB2312" w:hAnsi="仿宋_GB2312" w:eastAsia="仿宋_GB2312" w:cs="仿宋_GB2312"/>
          <w:highlight w:val="none"/>
          <w:u w:val="none"/>
        </w:rPr>
        <w:t>方物资负责人及相应验收收料人员共同签署的收货凭据（包括但不限于过磅单据、收料单、供货小票、月度统计单或其他数量统计文件等）仅作为甲方收到乙方所供应物资的数量、型号、规格、到场时间等的证明，而不作为甲方付款及结算的唯一凭证，无论该收货凭据上是否载有单价、合价或合计等涉及价款的内容，且乙方不得以此要求甲方支付任何款项或承担任何责任。甲方项目经理部除物资负责人外的其他任何人员签署的任何形式的收货凭据不作为标的物进场的依据，乙方对甲方签字人员权限负有审查义务</w:t>
      </w:r>
      <w:r>
        <w:rPr>
          <w:rFonts w:hint="eastAsia" w:ascii="仿宋_GB2312" w:hAnsi="仿宋_GB2312" w:eastAsia="仿宋_GB2312" w:cs="仿宋_GB2312"/>
          <w:highlight w:val="none"/>
          <w:u w:val="none"/>
          <w:lang w:val="en-US" w:eastAsia="zh-CN"/>
        </w:rPr>
        <w:t>。</w:t>
      </w:r>
    </w:p>
    <w:p w14:paraId="42AEEA02">
      <w:pPr>
        <w:pStyle w:val="12"/>
        <w:spacing w:line="400" w:lineRule="atLeast"/>
        <w:ind w:firstLine="482" w:firstLineChars="200"/>
        <w:rPr>
          <w:rFonts w:ascii="仿宋_GB2312" w:hAnsi="仿宋_GB2312" w:eastAsia="仿宋_GB2312" w:cs="仿宋_GB2312"/>
          <w:color w:val="000000" w:themeColor="text1"/>
          <w:highlight w:val="none"/>
          <w:u w:val="single"/>
          <w14:textFill>
            <w14:solidFill>
              <w14:schemeClr w14:val="tx1"/>
            </w14:solidFill>
          </w14:textFill>
        </w:rPr>
      </w:pPr>
      <w:r>
        <w:rPr>
          <w:rFonts w:hint="eastAsia" w:ascii="仿宋_GB2312" w:hAnsi="仿宋_GB2312" w:eastAsia="仿宋_GB2312" w:cs="仿宋_GB2312"/>
          <w:b/>
          <w:bCs/>
          <w:highlight w:val="none"/>
        </w:rPr>
        <w:t>3.3数量争议：</w:t>
      </w:r>
      <w:r>
        <w:rPr>
          <w:rFonts w:hint="eastAsia" w:ascii="仿宋_GB2312" w:hAnsi="仿宋_GB2312" w:eastAsia="仿宋_GB2312" w:cs="仿宋_GB2312"/>
          <w:color w:val="000000" w:themeColor="text1"/>
          <w:highlight w:val="none"/>
          <w14:textFill>
            <w14:solidFill>
              <w14:schemeClr w14:val="tx1"/>
            </w14:solidFill>
          </w14:textFill>
        </w:rPr>
        <w:t>甲方如有数量异议，应在收货后7天内提出，</w:t>
      </w:r>
      <w:r>
        <w:rPr>
          <w:rFonts w:hint="eastAsia" w:ascii="仿宋_GB2312" w:hAnsi="仿宋_GB2312" w:eastAsia="仿宋_GB2312" w:cs="仿宋_GB2312"/>
          <w:b/>
          <w:bCs/>
          <w:color w:val="000000" w:themeColor="text1"/>
          <w:highlight w:val="none"/>
          <w14:textFill>
            <w14:solidFill>
              <w14:schemeClr w14:val="tx1"/>
            </w14:solidFill>
          </w14:textFill>
        </w:rPr>
        <w:t>乙方应在3天内作出答复，未回复视为认可甲方验收数量</w:t>
      </w:r>
      <w:r>
        <w:rPr>
          <w:rFonts w:hint="eastAsia" w:ascii="仿宋_GB2312" w:hAnsi="仿宋_GB2312" w:eastAsia="仿宋_GB2312" w:cs="仿宋_GB2312"/>
          <w:color w:val="000000" w:themeColor="text1"/>
          <w:highlight w:val="none"/>
          <w14:textFill>
            <w14:solidFill>
              <w14:schemeClr w14:val="tx1"/>
            </w14:solidFill>
          </w14:textFill>
        </w:rPr>
        <w:t>。</w:t>
      </w:r>
    </w:p>
    <w:p w14:paraId="07ECBFC3">
      <w:pPr>
        <w:pStyle w:val="12"/>
        <w:numPr>
          <w:ilvl w:val="0"/>
          <w:numId w:val="3"/>
        </w:numPr>
        <w:spacing w:line="400" w:lineRule="atLeast"/>
        <w:ind w:firstLine="482" w:firstLineChars="200"/>
        <w:outlineLvl w:val="1"/>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质量验收：</w:t>
      </w:r>
    </w:p>
    <w:p w14:paraId="14A6286B">
      <w:pPr>
        <w:pStyle w:val="12"/>
        <w:spacing w:line="400" w:lineRule="atLeast"/>
        <w:ind w:firstLine="482" w:firstLineChars="200"/>
        <w:rPr>
          <w:rFonts w:ascii="仿宋_GB2312" w:hAnsi="仿宋_GB2312" w:eastAsia="仿宋_GB2312" w:cs="仿宋_GB2312"/>
          <w:color w:val="FF0000"/>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4.1外观验收：</w:t>
      </w:r>
      <w:r>
        <w:rPr>
          <w:rFonts w:hint="eastAsia" w:ascii="仿宋_GB2312" w:hAnsi="仿宋_GB2312" w:eastAsia="仿宋_GB2312" w:cs="仿宋_GB2312"/>
          <w:color w:val="000000" w:themeColor="text1"/>
          <w:highlight w:val="none"/>
          <w14:textFill>
            <w14:solidFill>
              <w14:schemeClr w14:val="tx1"/>
            </w14:solidFill>
          </w14:textFill>
        </w:rPr>
        <w:t>甲方按照本合同约定的标准及乙方提交的货物附件清单中产品质量证明书等资料作为外观验收标准,外观质量符合合同要求方可卸车,否则不得卸车。</w:t>
      </w:r>
    </w:p>
    <w:p w14:paraId="197DAE15">
      <w:pPr>
        <w:spacing w:line="400" w:lineRule="exact"/>
        <w:ind w:firstLine="482" w:firstLineChars="200"/>
        <w:rPr>
          <w:rFonts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rPr>
        <w:t>4.2送样要求：</w:t>
      </w:r>
      <w:r>
        <w:rPr>
          <w:rFonts w:hint="eastAsia" w:ascii="仿宋_GB2312" w:hAnsi="仿宋_GB2312" w:eastAsia="仿宋_GB2312" w:cs="仿宋_GB2312"/>
          <w:sz w:val="24"/>
          <w:szCs w:val="24"/>
          <w:highlight w:val="none"/>
        </w:rPr>
        <w:t>对于甲方要求提前送样的货物,乙方应按照甲方要求送审材料样品，样品送审内容包括但不限于材料样品本身，还包括提供样品材料的</w:t>
      </w:r>
      <w:permStart w:id="40" w:edGrp="everyone"/>
      <w:r>
        <w:rPr>
          <w:rFonts w:hint="eastAsia" w:ascii="仿宋_GB2312" w:hAnsi="仿宋_GB2312" w:eastAsia="仿宋_GB2312" w:cs="仿宋_GB2312"/>
          <w:sz w:val="24"/>
          <w:szCs w:val="24"/>
          <w:highlight w:val="none"/>
          <w:u w:val="single"/>
        </w:rPr>
        <w:t>质量、外观、品牌、商标、规格、型号、花色、标识、生产厂家、产品生产许可证、产品质量证明书、出厂合格证、产品检验报告</w:t>
      </w:r>
      <w:permEnd w:id="40"/>
      <w:r>
        <w:rPr>
          <w:rFonts w:hint="eastAsia" w:ascii="仿宋_GB2312" w:hAnsi="仿宋_GB2312" w:eastAsia="仿宋_GB2312" w:cs="仿宋_GB2312"/>
          <w:sz w:val="24"/>
          <w:szCs w:val="24"/>
          <w:highlight w:val="none"/>
        </w:rPr>
        <w:t>等相关的技术质量资料。一旦甲、乙双方签约后且材料的样品得到甲方、业主及监理认可并且封存样品后，未经甲方、业主及监理同意，乙方不得作任何变更。</w:t>
      </w:r>
    </w:p>
    <w:p w14:paraId="2C84D289">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highlight w:val="none"/>
        </w:rPr>
        <w:t>正式交货时材料的相关技术质量资料应保持和样品一致，如所进材料和样品不一致，属乙方违约，</w:t>
      </w:r>
      <w:bookmarkStart w:id="23" w:name="_Hlk126833969"/>
      <w:r>
        <w:rPr>
          <w:rFonts w:hint="eastAsia" w:ascii="仿宋_GB2312" w:hAnsi="仿宋_GB2312" w:eastAsia="仿宋_GB2312" w:cs="仿宋_GB2312"/>
          <w:b/>
          <w:bCs/>
          <w:highlight w:val="none"/>
        </w:rPr>
        <w:t>乙方</w:t>
      </w:r>
      <w:r>
        <w:rPr>
          <w:rFonts w:hint="eastAsia" w:ascii="仿宋_GB2312" w:hAnsi="仿宋_GB2312" w:eastAsia="仿宋_GB2312" w:cs="仿宋_GB2312"/>
          <w:b/>
          <w:bCs/>
          <w:color w:val="auto"/>
          <w:highlight w:val="none"/>
        </w:rPr>
        <w:t>按合同第二部分第二条违约条款</w:t>
      </w:r>
      <w:r>
        <w:rPr>
          <w:rFonts w:hint="eastAsia" w:ascii="仿宋_GB2312" w:hAnsi="仿宋_GB2312" w:eastAsia="仿宋_GB2312" w:cs="仿宋_GB2312"/>
          <w:b/>
          <w:bCs/>
          <w:highlight w:val="none"/>
        </w:rPr>
        <w:t>承担违约责任，并赔偿由此给甲方带来的全部经济损失</w:t>
      </w:r>
      <w:bookmarkEnd w:id="23"/>
      <w:r>
        <w:rPr>
          <w:rFonts w:hint="eastAsia" w:ascii="仿宋_GB2312" w:hAnsi="仿宋_GB2312" w:eastAsia="仿宋_GB2312" w:cs="仿宋_GB2312"/>
          <w:color w:val="000000" w:themeColor="text1"/>
          <w:highlight w:val="none"/>
          <w14:textFill>
            <w14:solidFill>
              <w14:schemeClr w14:val="tx1"/>
            </w14:solidFill>
          </w14:textFill>
        </w:rPr>
        <w:t>。</w:t>
      </w:r>
    </w:p>
    <w:p w14:paraId="0B026F63">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4.3质量检测：</w:t>
      </w:r>
      <w:r>
        <w:rPr>
          <w:rFonts w:hint="eastAsia" w:ascii="仿宋_GB2312" w:hAnsi="仿宋_GB2312" w:eastAsia="仿宋_GB2312" w:cs="仿宋_GB2312"/>
          <w:color w:val="000000" w:themeColor="text1"/>
          <w:highlight w:val="none"/>
          <w14:textFill>
            <w14:solidFill>
              <w14:schemeClr w14:val="tx1"/>
            </w14:solidFill>
          </w14:textFill>
        </w:rPr>
        <w:t>货物应在产品使用前进行检测，待检测合格后方可使用；如检测不合格，由乙方负责在48小时内包退包换，并承担往来运输费、上下车的力资费及相应工期损失、经济损失。</w:t>
      </w:r>
    </w:p>
    <w:p w14:paraId="53F9604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业主、监理、设计单位及甲方均有权随机抽样对货物进行第三方检测或测试，乙方有责任协助甲方完成相关测试工作，若供货材料抽样检测不合格，乙方应承担相应费用和损失。</w:t>
      </w:r>
    </w:p>
    <w:p w14:paraId="4C5F670D">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4.4质量争议：</w:t>
      </w:r>
      <w:r>
        <w:rPr>
          <w:rFonts w:hint="eastAsia" w:ascii="仿宋_GB2312" w:hAnsi="仿宋_GB2312" w:eastAsia="仿宋_GB2312" w:cs="仿宋_GB2312"/>
          <w:color w:val="000000" w:themeColor="text1"/>
          <w:highlight w:val="none"/>
          <w14:textFill>
            <w14:solidFill>
              <w14:schemeClr w14:val="tx1"/>
            </w14:solidFill>
          </w14:textFill>
        </w:rPr>
        <w:t>货物如有质量异议，应在收货后7天向对方提出，乙方应在3天内作出答复，未回复视为认可货物质量瑕疵或缺陷。因质量发生争议，双方同意共同取样并送交</w:t>
      </w:r>
      <w:permStart w:id="41"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邢台宏信工程检测有限公司</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41"/>
      <w:r>
        <w:rPr>
          <w:rFonts w:hint="eastAsia" w:ascii="仿宋_GB2312" w:hAnsi="仿宋_GB2312" w:eastAsia="仿宋_GB2312" w:cs="仿宋_GB2312"/>
          <w:color w:val="000000" w:themeColor="text1"/>
          <w:highlight w:val="none"/>
          <w14:textFill>
            <w14:solidFill>
              <w14:schemeClr w14:val="tx1"/>
            </w14:solidFill>
          </w14:textFill>
        </w:rPr>
        <w:t>检测站进行检验，并以该机构的检验结果为准，因此而发生的费用由责任方承担。如出现不合格品，乙方应在甲方规定时间内包退包换，所发生的费用由乙方承担。</w:t>
      </w:r>
    </w:p>
    <w:p w14:paraId="49289FF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对不符合本合同约定要求的货物甲方有权拒绝签收，乙方应立即将该货物全部运离现场并承担相应费用，同时在供货期限内重新更换符合约定的货物。如不能及时运离并在供货期限内重新更换符合约定的货物送达交货地点，甲方有权单方面解除合同，并要求乙方承担甲方相应损失。</w:t>
      </w:r>
    </w:p>
    <w:p w14:paraId="5F89A94D">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4.5更换原则：</w:t>
      </w:r>
      <w:r>
        <w:rPr>
          <w:rFonts w:hint="eastAsia" w:ascii="仿宋_GB2312" w:hAnsi="仿宋_GB2312" w:eastAsia="仿宋_GB2312" w:cs="仿宋_GB2312"/>
          <w:color w:val="000000" w:themeColor="text1"/>
          <w:highlight w:val="none"/>
          <w14:textFill>
            <w14:solidFill>
              <w14:schemeClr w14:val="tx1"/>
            </w14:solidFill>
          </w14:textFill>
        </w:rPr>
        <w:t>由于任何一方原因引起产品更换或补发的时间延长,均以不影响工程进度为原则，如造成影响，则由责任方承担由此导致的后果。</w:t>
      </w:r>
    </w:p>
    <w:p w14:paraId="12674762">
      <w:pPr>
        <w:pStyle w:val="12"/>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4.6验收责任：</w:t>
      </w:r>
      <w:r>
        <w:rPr>
          <w:rFonts w:hint="eastAsia" w:ascii="仿宋_GB2312" w:hAnsi="仿宋_GB2312" w:eastAsia="仿宋_GB2312" w:cs="仿宋_GB2312"/>
          <w:color w:val="000000" w:themeColor="text1"/>
          <w:highlight w:val="none"/>
          <w14:textFill>
            <w14:solidFill>
              <w14:schemeClr w14:val="tx1"/>
            </w14:solidFill>
          </w14:textFill>
        </w:rPr>
        <w:t>甲方参与对乙方材料的验收并不能免除乙方应承担的责任，如在材料到场验收时未发现质量问题，但在使用时或使用后发现确实因该批材料质量未达到规定要求而造成相应损失，如返工、工期延长等经济和工期损失由乙方承担。</w:t>
      </w:r>
      <w:r>
        <w:rPr>
          <w:rFonts w:hint="eastAsia" w:ascii="仿宋_GB2312" w:hAnsi="仿宋_GB2312" w:eastAsia="仿宋_GB2312" w:cs="仿宋_GB2312"/>
          <w:b/>
          <w:bCs/>
          <w:color w:val="000000" w:themeColor="text1"/>
          <w:highlight w:val="none"/>
          <w14:textFill>
            <w14:solidFill>
              <w14:schemeClr w14:val="tx1"/>
            </w14:solidFill>
          </w14:textFill>
        </w:rPr>
        <w:t>所造成的经济损失，甲方可直接从应付款中扣除，乙方对此不持异议。</w:t>
      </w:r>
      <w:r>
        <w:rPr>
          <w:rFonts w:hint="eastAsia" w:ascii="仿宋_GB2312" w:hAnsi="仿宋_GB2312" w:eastAsia="仿宋_GB2312" w:cs="仿宋_GB2312"/>
          <w:color w:val="000000" w:themeColor="text1"/>
          <w:highlight w:val="none"/>
          <w14:textFill>
            <w14:solidFill>
              <w14:schemeClr w14:val="tx1"/>
            </w14:solidFill>
          </w14:textFill>
        </w:rPr>
        <w:t>对于由该质量问题引起的工程坍塌、人员伤亡等重大事故，乙方应承担直接经济和法律责任。</w:t>
      </w:r>
      <w:r>
        <w:rPr>
          <w:rFonts w:hint="eastAsia" w:ascii="仿宋_GB2312" w:hAnsi="仿宋_GB2312" w:eastAsia="仿宋_GB2312" w:cs="仿宋_GB2312"/>
          <w:b/>
          <w:bCs/>
          <w:color w:val="000000" w:themeColor="text1"/>
          <w:highlight w:val="none"/>
          <w14:textFill>
            <w14:solidFill>
              <w14:schemeClr w14:val="tx1"/>
            </w14:solidFill>
          </w14:textFill>
        </w:rPr>
        <w:t>若由甲方先行承担的，甲方可在任何一笔</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货款</w:t>
      </w:r>
      <w:r>
        <w:rPr>
          <w:rFonts w:hint="eastAsia" w:ascii="仿宋_GB2312" w:hAnsi="仿宋_GB2312" w:eastAsia="仿宋_GB2312" w:cs="仿宋_GB2312"/>
          <w:b/>
          <w:bCs/>
          <w:color w:val="000000" w:themeColor="text1"/>
          <w:highlight w:val="none"/>
          <w14:textFill>
            <w14:solidFill>
              <w14:schemeClr w14:val="tx1"/>
            </w14:solidFill>
          </w14:textFill>
        </w:rPr>
        <w:t>支付中予以扣除，乙方对此不持</w:t>
      </w:r>
      <w:r>
        <w:rPr>
          <w:rFonts w:hint="eastAsia" w:ascii="仿宋_GB2312" w:hAnsi="仿宋_GB2312" w:eastAsia="仿宋_GB2312" w:cs="仿宋_GB2312"/>
          <w:b/>
          <w:bCs/>
          <w:highlight w:val="none"/>
        </w:rPr>
        <w:t>异议。</w:t>
      </w:r>
    </w:p>
    <w:p w14:paraId="4798FBDA">
      <w:pPr>
        <w:pStyle w:val="12"/>
        <w:spacing w:line="400" w:lineRule="atLeast"/>
        <w:ind w:firstLine="480" w:firstLineChars="200"/>
        <w:rPr>
          <w:rFonts w:hint="eastAsia" w:ascii="仿宋_GB2312" w:hAnsi="仿宋_GB2312" w:eastAsia="仿宋_GB2312" w:cs="仿宋_GB2312"/>
          <w:b w:val="0"/>
          <w:bCs w:val="0"/>
          <w:color w:val="000000" w:themeColor="text1"/>
          <w:highlight w:val="none"/>
          <w14:textFill>
            <w14:solidFill>
              <w14:schemeClr w14:val="tx1"/>
            </w14:solidFill>
          </w14:textFill>
        </w:rPr>
      </w:pPr>
      <w:bookmarkStart w:id="24" w:name="_Toc22166"/>
      <w:bookmarkStart w:id="25" w:name="_Toc23953"/>
      <w:bookmarkStart w:id="26" w:name="_Toc24231"/>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4.7</w:t>
      </w:r>
      <w:r>
        <w:rPr>
          <w:rFonts w:hint="eastAsia" w:ascii="仿宋_GB2312" w:hAnsi="仿宋_GB2312" w:eastAsia="仿宋_GB2312" w:cs="仿宋_GB2312"/>
          <w:b w:val="0"/>
          <w:bCs w:val="0"/>
          <w:color w:val="000000" w:themeColor="text1"/>
          <w:highlight w:val="none"/>
          <w14:textFill>
            <w14:solidFill>
              <w14:schemeClr w14:val="tx1"/>
            </w14:solidFill>
          </w14:textFill>
        </w:rPr>
        <w:t>对于工程中的剩余或未使用到的货物在不严重影响外观、质量和功能的情况下甲方有权退货，退货原则上以合同约定的含税单价为准，确因商品特殊的（比如定制等），价格双方协商，协商不一致的，按照</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合同含税单价的</w:t>
      </w:r>
      <w:permStart w:id="42" w:edGrp="everyone"/>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50</w:t>
      </w:r>
      <w:permEnd w:id="42"/>
      <w:r>
        <w:rPr>
          <w:rFonts w:hint="eastAsia" w:ascii="仿宋_GB2312" w:hAnsi="仿宋_GB2312" w:eastAsia="仿宋_GB2312" w:cs="仿宋_GB2312"/>
          <w:b w:val="0"/>
          <w:bCs w:val="0"/>
          <w:color w:val="000000" w:themeColor="text1"/>
          <w:highlight w:val="none"/>
          <w14:textFill>
            <w14:solidFill>
              <w14:schemeClr w14:val="tx1"/>
            </w14:solidFill>
          </w14:textFill>
        </w:rPr>
        <w:t>%退货，退货数量以实际数量为准。</w:t>
      </w:r>
    </w:p>
    <w:p w14:paraId="2AB0BA59">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highlight w:val="none"/>
          <w14:textFill>
            <w14:solidFill>
              <w14:schemeClr w14:val="tx1"/>
            </w14:solidFill>
          </w14:textFill>
        </w:rPr>
        <w:t>其他：</w:t>
      </w:r>
      <w:permStart w:id="43"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w:t>
      </w:r>
      <w:r>
        <w:rPr>
          <w:rFonts w:ascii="仿宋_GB2312" w:hAnsi="仿宋_GB2312" w:eastAsia="仿宋_GB2312" w:cs="仿宋_GB2312"/>
          <w:color w:val="000000" w:themeColor="text1"/>
          <w:highlight w:val="none"/>
          <w:u w:val="single"/>
          <w14:textFill>
            <w14:solidFill>
              <w14:schemeClr w14:val="tx1"/>
            </w14:solidFill>
          </w14:textFill>
        </w:rPr>
        <w:t xml:space="preserve">   </w:t>
      </w:r>
      <w:permEnd w:id="43"/>
      <w:r>
        <w:rPr>
          <w:rFonts w:hint="eastAsia" w:ascii="仿宋_GB2312" w:hAnsi="仿宋_GB2312" w:eastAsia="仿宋_GB2312" w:cs="仿宋_GB2312"/>
          <w:color w:val="000000" w:themeColor="text1"/>
          <w:highlight w:val="none"/>
          <w14:textFill>
            <w14:solidFill>
              <w14:schemeClr w14:val="tx1"/>
            </w14:solidFill>
          </w14:textFill>
        </w:rPr>
        <w:t>。</w:t>
      </w:r>
    </w:p>
    <w:p w14:paraId="216EA48E">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货物结算</w:t>
      </w:r>
      <w:bookmarkEnd w:id="24"/>
      <w:bookmarkEnd w:id="25"/>
      <w:bookmarkEnd w:id="26"/>
    </w:p>
    <w:p w14:paraId="259F3E1D">
      <w:pPr>
        <w:pStyle w:val="12"/>
        <w:numPr>
          <w:ilvl w:val="0"/>
          <w:numId w:val="4"/>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结算周期：</w:t>
      </w:r>
    </w:p>
    <w:p w14:paraId="08645ACA">
      <w:pPr>
        <w:pStyle w:val="12"/>
        <w:spacing w:line="400" w:lineRule="atLeast"/>
        <w:ind w:firstLine="480"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乙方每月</w:t>
      </w:r>
      <w:r>
        <w:rPr>
          <w:rFonts w:hint="eastAsia" w:ascii="仿宋_GB2312" w:hAnsi="仿宋_GB2312" w:eastAsia="仿宋_GB2312" w:cs="仿宋_GB2312"/>
          <w:color w:val="000000" w:themeColor="text1"/>
          <w:highlight w:val="none"/>
          <w:u w:val="single"/>
          <w14:textFill>
            <w14:solidFill>
              <w14:schemeClr w14:val="tx1"/>
            </w14:solidFill>
          </w14:textFill>
        </w:rPr>
        <w:t>16日</w:t>
      </w:r>
      <w:r>
        <w:rPr>
          <w:rFonts w:hint="eastAsia" w:ascii="仿宋_GB2312" w:hAnsi="仿宋_GB2312" w:eastAsia="仿宋_GB2312" w:cs="仿宋_GB2312"/>
          <w:color w:val="000000" w:themeColor="text1"/>
          <w:highlight w:val="none"/>
          <w14:textFill>
            <w14:solidFill>
              <w14:schemeClr w14:val="tx1"/>
            </w14:solidFill>
          </w14:textFill>
        </w:rPr>
        <w:t>与甲方核对上月</w:t>
      </w:r>
      <w:r>
        <w:rPr>
          <w:rFonts w:hint="eastAsia" w:ascii="仿宋_GB2312" w:hAnsi="仿宋_GB2312" w:eastAsia="仿宋_GB2312" w:cs="仿宋_GB2312"/>
          <w:color w:val="000000" w:themeColor="text1"/>
          <w:highlight w:val="none"/>
          <w:u w:val="single"/>
          <w14:textFill>
            <w14:solidFill>
              <w14:schemeClr w14:val="tx1"/>
            </w14:solidFill>
          </w14:textFill>
        </w:rPr>
        <w:t>16日</w:t>
      </w:r>
      <w:r>
        <w:rPr>
          <w:rFonts w:hint="eastAsia" w:ascii="仿宋_GB2312" w:hAnsi="仿宋_GB2312" w:eastAsia="仿宋_GB2312" w:cs="仿宋_GB2312"/>
          <w:color w:val="000000" w:themeColor="text1"/>
          <w:highlight w:val="none"/>
          <w14:textFill>
            <w14:solidFill>
              <w14:schemeClr w14:val="tx1"/>
            </w14:solidFill>
          </w14:textFill>
        </w:rPr>
        <w:t>至本月</w:t>
      </w:r>
      <w:r>
        <w:rPr>
          <w:rFonts w:hint="eastAsia" w:ascii="仿宋_GB2312" w:hAnsi="仿宋_GB2312" w:eastAsia="仿宋_GB2312" w:cs="仿宋_GB2312"/>
          <w:color w:val="000000" w:themeColor="text1"/>
          <w:highlight w:val="none"/>
          <w:u w:val="single"/>
          <w14:textFill>
            <w14:solidFill>
              <w14:schemeClr w14:val="tx1"/>
            </w14:solidFill>
          </w14:textFill>
        </w:rPr>
        <w:t>15日</w:t>
      </w:r>
      <w:r>
        <w:rPr>
          <w:rFonts w:hint="eastAsia" w:ascii="仿宋_GB2312" w:hAnsi="仿宋_GB2312" w:eastAsia="仿宋_GB2312" w:cs="仿宋_GB2312"/>
          <w:color w:val="000000" w:themeColor="text1"/>
          <w:highlight w:val="none"/>
          <w14:textFill>
            <w14:solidFill>
              <w14:schemeClr w14:val="tx1"/>
            </w14:solidFill>
          </w14:textFill>
        </w:rPr>
        <w:t>所供材料数量，并办理完结算手续。</w:t>
      </w:r>
      <w:r>
        <w:rPr>
          <w:rFonts w:hint="eastAsia" w:ascii="仿宋_GB2312" w:hAnsi="仿宋_GB2312" w:eastAsia="仿宋_GB2312" w:cs="仿宋_GB2312"/>
          <w:b/>
          <w:bCs/>
          <w:color w:val="000000" w:themeColor="text1"/>
          <w:highlight w:val="none"/>
          <w14:textFill>
            <w14:solidFill>
              <w14:schemeClr w14:val="tx1"/>
            </w14:solidFill>
          </w14:textFill>
        </w:rPr>
        <w:t>因乙方不配合签认结算单等原因超出本合同规定时间未办理完结算手续，乙方在此期间无权要求甲方付款及追究甲方任何违约责任或要求赔偿资金占用费等损失，同时甲方保留单方办理结算的权利且视为乙方认可甲方审定的结算金额。</w:t>
      </w:r>
    </w:p>
    <w:p w14:paraId="7C90100D">
      <w:pPr>
        <w:pStyle w:val="12"/>
        <w:numPr>
          <w:ilvl w:val="0"/>
          <w:numId w:val="4"/>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结算流程：</w:t>
      </w:r>
    </w:p>
    <w:p w14:paraId="029C33F1">
      <w:pPr>
        <w:pStyle w:val="12"/>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双方结算分为过程结算及最终结算。过程结算按下表流程进行。最终结算于供货完成、验收合格且未出现任何质量问题后一个月内办理，最终结算需附物资买卖合同结算协议书。</w:t>
      </w:r>
    </w:p>
    <w:p w14:paraId="596FF6BC">
      <w:pPr>
        <w:pStyle w:val="12"/>
        <w:numPr>
          <w:ilvl w:val="0"/>
          <w:numId w:val="4"/>
        </w:numPr>
        <w:spacing w:line="400" w:lineRule="atLeast"/>
        <w:ind w:firstLine="482"/>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-12065</wp:posOffset>
                </wp:positionH>
                <wp:positionV relativeFrom="paragraph">
                  <wp:posOffset>101600</wp:posOffset>
                </wp:positionV>
                <wp:extent cx="5080000" cy="1210310"/>
                <wp:effectExtent l="4445" t="5080" r="249555" b="22860"/>
                <wp:wrapTopAndBottom/>
                <wp:docPr id="10" name="组合 10"/>
                <wp:cNvGraphicFramePr/>
                <a:graphic xmlns:a="http://schemas.openxmlformats.org/drawingml/2006/main">
                  <a:graphicData uri="http://schemas.microsoft.com/office/word/2010/wordprocessingGroup">
                    <wpg:wgp>
                      <wpg:cNvGrpSpPr/>
                      <wpg:grpSpPr>
                        <a:xfrm>
                          <a:off x="0" y="0"/>
                          <a:ext cx="5080000" cy="1210310"/>
                          <a:chOff x="2064" y="142451"/>
                          <a:chExt cx="8000" cy="1906"/>
                        </a:xfrm>
                      </wpg:grpSpPr>
                      <wpg:grpSp>
                        <wpg:cNvPr id="2" name="组合 5"/>
                        <wpg:cNvGrpSpPr/>
                        <wpg:grpSpPr>
                          <a:xfrm>
                            <a:off x="2064" y="142451"/>
                            <a:ext cx="8000" cy="1907"/>
                            <a:chOff x="4638" y="144974"/>
                            <a:chExt cx="8000" cy="2118"/>
                          </a:xfrm>
                        </wpg:grpSpPr>
                        <wps:wsp>
                          <wps:cNvPr id="4" name="文本框 3"/>
                          <wps:cNvSpPr txBox="1"/>
                          <wps:spPr>
                            <a:xfrm>
                              <a:off x="4655" y="144974"/>
                              <a:ext cx="3492" cy="8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52864A6">
                                <w:pPr>
                                  <w:pStyle w:val="12"/>
                                  <w:jc w:val="center"/>
                                  <w:outlineLvl w:val="0"/>
                                  <w:rPr>
                                    <w:rFonts w:ascii="仿宋_GB2312" w:hAnsi="仿宋_GB2312" w:eastAsia="仿宋_GB2312" w:cs="仿宋_GB2312"/>
                                  </w:rPr>
                                </w:pPr>
                                <w:r>
                                  <w:rPr>
                                    <w:rFonts w:hint="eastAsia" w:ascii="仿宋_GB2312" w:hAnsi="仿宋_GB2312" w:eastAsia="仿宋_GB2312" w:cs="仿宋_GB2312"/>
                                  </w:rPr>
                                  <w:t>1.甲乙双方核对收料单</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 name="文本框 6"/>
                          <wps:cNvSpPr txBox="1"/>
                          <wps:spPr>
                            <a:xfrm>
                              <a:off x="8740" y="144974"/>
                              <a:ext cx="3898" cy="8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34C6CFC">
                                <w:pPr>
                                  <w:pStyle w:val="12"/>
                                  <w:outlineLvl w:val="0"/>
                                  <w:rPr>
                                    <w:rFonts w:ascii="仿宋_GB2312" w:hAnsi="仿宋_GB2312" w:eastAsia="仿宋_GB2312" w:cs="仿宋_GB2312"/>
                                  </w:rPr>
                                </w:pPr>
                                <w:r>
                                  <w:rPr>
                                    <w:rFonts w:hint="eastAsia" w:ascii="仿宋_GB2312" w:hAnsi="仿宋_GB2312" w:eastAsia="仿宋_GB2312" w:cs="仿宋_GB2312"/>
                                  </w:rPr>
                                  <w:t>2.甲方结算人员生成过程结算</w:t>
                                </w:r>
                                <w:r>
                                  <w:rPr>
                                    <w:rFonts w:hint="eastAsia" w:ascii="仿宋_GB2312" w:hAnsi="仿宋_GB2312" w:eastAsia="仿宋_GB2312" w:cs="仿宋_GB2312"/>
                                    <w:lang w:val="en-US" w:eastAsia="zh-CN"/>
                                  </w:rPr>
                                  <w:t>资料</w:t>
                                </w:r>
                                <w:r>
                                  <w:rPr>
                                    <w:rFonts w:hint="eastAsia" w:ascii="仿宋_GB2312" w:hAnsi="仿宋_GB2312" w:eastAsia="仿宋_GB2312" w:cs="仿宋_GB2312"/>
                                  </w:rPr>
                                  <w:t>，乙方签字盖章确认</w:t>
                                </w:r>
                              </w:p>
                              <w:p w14:paraId="5DE7932B">
                                <w:pPr>
                                  <w:pStyle w:val="12"/>
                                  <w:outlineLvl w:val="0"/>
                                  <w:rPr>
                                    <w:rFonts w:ascii="仿宋_GB2312" w:hAnsi="仿宋_GB2312" w:eastAsia="仿宋_GB2312" w:cs="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文本框 8"/>
                          <wps:cNvSpPr txBox="1"/>
                          <wps:spPr>
                            <a:xfrm>
                              <a:off x="4638" y="145859"/>
                              <a:ext cx="3507" cy="123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D1B69BD">
                                <w:pPr>
                                  <w:pStyle w:val="12"/>
                                  <w:outlineLvl w:val="0"/>
                                  <w:rPr>
                                    <w:rFonts w:ascii="仿宋_GB2312" w:hAnsi="仿宋_GB2312" w:eastAsia="仿宋_GB2312" w:cs="仿宋_GB2312"/>
                                    <w:highlight w:val="none"/>
                                  </w:rPr>
                                </w:pPr>
                                <w:r>
                                  <w:rPr>
                                    <w:rFonts w:hint="eastAsia" w:ascii="仿宋_GB2312" w:hAnsi="仿宋_GB2312" w:eastAsia="仿宋_GB2312" w:cs="仿宋_GB2312"/>
                                    <w:highlight w:val="none"/>
                                  </w:rPr>
                                  <w:t>4.甲方公司复核结算，复核完成后按比例支付结算款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文本框 11"/>
                          <wps:cNvSpPr txBox="1"/>
                          <wps:spPr>
                            <a:xfrm>
                              <a:off x="8706" y="145858"/>
                              <a:ext cx="3927" cy="121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15458AA">
                                <w:pPr>
                                  <w:pStyle w:val="12"/>
                                  <w:outlineLvl w:val="0"/>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highlight w:val="none"/>
                                  </w:rPr>
                                  <w:t>甲方项目部初步审核过程结算，乙方依据金额开具等额发票。</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0" name="肘形连接符 2"/>
                        <wps:cNvCnPr/>
                        <wps:spPr>
                          <a:xfrm flipH="1">
                            <a:off x="10059" y="142690"/>
                            <a:ext cx="5" cy="973"/>
                          </a:xfrm>
                          <a:prstGeom prst="bentConnector3">
                            <a:avLst>
                              <a:gd name="adj1" fmla="val -7500000"/>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wps:wsp>
                        <wps:cNvPr id="21" name="直接箭头连接符 4"/>
                        <wps:cNvCnPr/>
                        <wps:spPr>
                          <a:xfrm>
                            <a:off x="5573" y="142689"/>
                            <a:ext cx="593" cy="1"/>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2" name="直接箭头连接符 7"/>
                        <wps:cNvCnPr/>
                        <wps:spPr>
                          <a:xfrm flipH="1">
                            <a:off x="5571" y="143663"/>
                            <a:ext cx="561" cy="7"/>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0.95pt;margin-top:8pt;height:95.3pt;width:400pt;mso-wrap-distance-bottom:0pt;mso-wrap-distance-top:0pt;z-index:251659264;mso-width-relative:page;mso-height-relative:page;" coordorigin="2064,142451" coordsize="8000,1906" o:gfxdata="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CyhJiY2QAAAAkBAAAPAAAAAAAAAAEAIAAAACIAAABk&#10;cnMvZG93bnJldi54bWxQSwECFAAUAAAACACHTuJAh3SoIuoEAABqFgAADgAAAAAAAAABACAAAAAo&#10;AQAAZHJzL2Uyb0RvYy54bWxQSwUGAAAAAAYABgBZAQAAhAgAAAAA&#10;">
                <o:lock v:ext="edit" aspectratio="f"/>
                <v:group id="组合 5" o:spid="_x0000_s1026" o:spt="203" style="position:absolute;left:2064;top:142451;height:1907;width:8000;" coordorigin="4638,144974" coordsize="8000,2118"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文本框 3" o:spid="_x0000_s1026" o:spt="202" type="#_x0000_t202" style="position:absolute;left:4655;top:144974;height:865;width:3492;" fillcolor="#FFFFFF [3201]" filled="t" stroked="t" coordsize="21600,21600" o:gfxdata="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ZVC/C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052864A6">
                          <w:pPr>
                            <w:pStyle w:val="12"/>
                            <w:jc w:val="center"/>
                            <w:outlineLvl w:val="0"/>
                            <w:rPr>
                              <w:rFonts w:ascii="仿宋_GB2312" w:hAnsi="仿宋_GB2312" w:eastAsia="仿宋_GB2312" w:cs="仿宋_GB2312"/>
                            </w:rPr>
                          </w:pPr>
                          <w:r>
                            <w:rPr>
                              <w:rFonts w:hint="eastAsia" w:ascii="仿宋_GB2312" w:hAnsi="仿宋_GB2312" w:eastAsia="仿宋_GB2312" w:cs="仿宋_GB2312"/>
                            </w:rPr>
                            <w:t>1.甲乙双方核对收料单</w:t>
                          </w:r>
                        </w:p>
                      </w:txbxContent>
                    </v:textbox>
                  </v:shape>
                  <v:shape id="文本框 6" o:spid="_x0000_s1026" o:spt="202" type="#_x0000_t202" style="position:absolute;left:8740;top:144974;height:825;width:3898;" fillcolor="#FFFFFF [3201]" filled="t" stroked="t" coordsize="21600,21600" o:gfxdata="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hUpG6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234C6CFC">
                          <w:pPr>
                            <w:pStyle w:val="12"/>
                            <w:outlineLvl w:val="0"/>
                            <w:rPr>
                              <w:rFonts w:ascii="仿宋_GB2312" w:hAnsi="仿宋_GB2312" w:eastAsia="仿宋_GB2312" w:cs="仿宋_GB2312"/>
                            </w:rPr>
                          </w:pPr>
                          <w:r>
                            <w:rPr>
                              <w:rFonts w:hint="eastAsia" w:ascii="仿宋_GB2312" w:hAnsi="仿宋_GB2312" w:eastAsia="仿宋_GB2312" w:cs="仿宋_GB2312"/>
                            </w:rPr>
                            <w:t>2.甲方结算人员生成过程结算</w:t>
                          </w:r>
                          <w:r>
                            <w:rPr>
                              <w:rFonts w:hint="eastAsia" w:ascii="仿宋_GB2312" w:hAnsi="仿宋_GB2312" w:eastAsia="仿宋_GB2312" w:cs="仿宋_GB2312"/>
                              <w:lang w:val="en-US" w:eastAsia="zh-CN"/>
                            </w:rPr>
                            <w:t>资料</w:t>
                          </w:r>
                          <w:r>
                            <w:rPr>
                              <w:rFonts w:hint="eastAsia" w:ascii="仿宋_GB2312" w:hAnsi="仿宋_GB2312" w:eastAsia="仿宋_GB2312" w:cs="仿宋_GB2312"/>
                            </w:rPr>
                            <w:t>，乙方签字盖章确认</w:t>
                          </w:r>
                        </w:p>
                        <w:p w14:paraId="5DE7932B">
                          <w:pPr>
                            <w:pStyle w:val="12"/>
                            <w:outlineLvl w:val="0"/>
                            <w:rPr>
                              <w:rFonts w:ascii="仿宋_GB2312" w:hAnsi="仿宋_GB2312" w:eastAsia="仿宋_GB2312" w:cs="仿宋_GB2312"/>
                            </w:rPr>
                          </w:pPr>
                        </w:p>
                      </w:txbxContent>
                    </v:textbox>
                  </v:shape>
                  <v:shape id="文本框 8" o:spid="_x0000_s1026" o:spt="202" type="#_x0000_t202" style="position:absolute;left:4638;top:145859;height:1233;width:3507;" fillcolor="#FFFFFF [3201]" filled="t" stroked="t" coordsize="21600,21600"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1D1B69BD">
                          <w:pPr>
                            <w:pStyle w:val="12"/>
                            <w:outlineLvl w:val="0"/>
                            <w:rPr>
                              <w:rFonts w:ascii="仿宋_GB2312" w:hAnsi="仿宋_GB2312" w:eastAsia="仿宋_GB2312" w:cs="仿宋_GB2312"/>
                              <w:highlight w:val="none"/>
                            </w:rPr>
                          </w:pPr>
                          <w:r>
                            <w:rPr>
                              <w:rFonts w:hint="eastAsia" w:ascii="仿宋_GB2312" w:hAnsi="仿宋_GB2312" w:eastAsia="仿宋_GB2312" w:cs="仿宋_GB2312"/>
                              <w:highlight w:val="none"/>
                            </w:rPr>
                            <w:t>4.甲方公司复核结算，复核完成后按比例支付结算款</w:t>
                          </w:r>
                        </w:p>
                      </w:txbxContent>
                    </v:textbox>
                  </v:shape>
                  <v:shape id="文本框 11" o:spid="_x0000_s1026" o:spt="202" type="#_x0000_t202" style="position:absolute;left:8706;top:145858;height:1218;width:3927;" fillcolor="#FFFFFF [3201]" filled="t" stroked="t" coordsize="21600,21600"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115458AA">
                          <w:pPr>
                            <w:pStyle w:val="12"/>
                            <w:outlineLvl w:val="0"/>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highlight w:val="none"/>
                            </w:rPr>
                            <w:t>甲方项目部初步审核过程结算，乙方依据金额开具等额发票。</w:t>
                          </w:r>
                        </w:p>
                      </w:txbxContent>
                    </v:textbox>
                  </v:shape>
                </v:group>
                <v:shape id="肘形连接符 2" o:spid="_x0000_s1026" o:spt="34" type="#_x0000_t34" style="position:absolute;left:10059;top:142690;flip:x;height:973;width:5;" filled="f" stroked="t" coordsize="21600,21600" o:gfxdata="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ngGcrgAAADbAAAA&#10;DwAAAAAAAAABACAAAAAiAAAAZHJzL2Rvd25yZXYueG1sUEsBAhQAFAAAAAgAh07iQDMvBZ47AAAA&#10;OQAAABAAAAAAAAAAAQAgAAAABwEAAGRycy9zaGFwZXhtbC54bWxQSwUGAAAAAAYABgBbAQAAsQMA&#10;AAAA&#10;" adj="-1620000">
                  <v:fill on="f" focussize="0,0"/>
                  <v:stroke weight="1pt" color="#000000 [3200]" miterlimit="8" joinstyle="miter" endarrow="open"/>
                  <v:imagedata o:title=""/>
                  <o:lock v:ext="edit" aspectratio="f"/>
                </v:shape>
                <v:shape id="直接箭头连接符 4" o:spid="_x0000_s1026" o:spt="32" type="#_x0000_t32" style="position:absolute;left:5573;top:142689;height:1;width:593;" filled="f" stroked="t" coordsize="21600,21600" o:gfxdata="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c8zfrsAAADb&#10;AAAADwAAAAAAAAABACAAAAAiAAAAZHJzL2Rvd25yZXYueG1sUEsBAhQAFAAAAAgAh07iQDMvBZ47&#10;AAAAOQAAABAAAAAAAAAAAQAgAAAACgEAAGRycy9zaGFwZXhtbC54bWxQSwUGAAAAAAYABgBbAQAA&#10;tAMAAAAA&#10;">
                  <v:fill on="f" focussize="0,0"/>
                  <v:stroke weight="1pt" color="#000000 [3200]" miterlimit="8" joinstyle="miter" endarrow="open"/>
                  <v:imagedata o:title=""/>
                  <o:lock v:ext="edit" aspectratio="f"/>
                </v:shape>
                <v:shape id="直接箭头连接符 7" o:spid="_x0000_s1026" o:spt="32" type="#_x0000_t32" style="position:absolute;left:5571;top:143663;flip:x;height:7;width:561;" filled="f" stroked="t" coordsize="21600,21600" o:gfxdata="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R+uua/&#10;AAAA2wAAAA8AAAAAAAAAAQAgAAAAIgAAAGRycy9kb3ducmV2LnhtbFBLAQIUABQAAAAIAIdO4kAz&#10;LwWeOwAAADkAAAAQAAAAAAAAAAEAIAAAAA4BAABkcnMvc2hhcGV4bWwueG1sUEsFBgAAAAAGAAYA&#10;WwEAALgDAAAAAA==&#10;">
                  <v:fill on="f" focussize="0,0"/>
                  <v:stroke weight="1pt" color="#000000 [3200]" miterlimit="8" joinstyle="miter" endarrow="open"/>
                  <v:imagedata o:title=""/>
                  <o:lock v:ext="edit" aspectratio="f"/>
                </v:shape>
                <w10:wrap type="topAndBottom"/>
              </v:group>
            </w:pict>
          </mc:Fallback>
        </mc:AlternateContent>
      </w:r>
      <w:r>
        <w:rPr>
          <w:rFonts w:hint="eastAsia" w:ascii="仿宋_GB2312" w:hAnsi="仿宋_GB2312" w:eastAsia="仿宋_GB2312" w:cs="仿宋_GB2312"/>
          <w:b/>
          <w:bCs/>
          <w:color w:val="000000" w:themeColor="text1"/>
          <w:highlight w:val="none"/>
          <w14:textFill>
            <w14:solidFill>
              <w14:schemeClr w14:val="tx1"/>
            </w14:solidFill>
          </w14:textFill>
        </w:rPr>
        <w:t>增值税专用发票：</w:t>
      </w:r>
    </w:p>
    <w:p w14:paraId="187B5A46">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3.1增值税票要求：</w:t>
      </w:r>
    </w:p>
    <w:p w14:paraId="0598ED16">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3.1.1税票信息：</w:t>
      </w:r>
      <w:r>
        <w:rPr>
          <w:rFonts w:hint="eastAsia" w:ascii="仿宋_GB2312" w:hAnsi="仿宋_GB2312" w:eastAsia="仿宋_GB2312" w:cs="仿宋_GB2312"/>
          <w:color w:val="000000" w:themeColor="text1"/>
          <w:highlight w:val="none"/>
          <w14:textFill>
            <w14:solidFill>
              <w14:schemeClr w14:val="tx1"/>
            </w14:solidFill>
          </w14:textFill>
        </w:rPr>
        <w:t>乙方应按甲方要求提供以其本单位名义开具，适用</w:t>
      </w:r>
      <w:permStart w:id="44" w:edGrp="everyone"/>
      <w:r>
        <w:rPr>
          <w:rFonts w:hint="eastAsia" w:ascii="仿宋_GB2312" w:hAnsi="仿宋_GB2312" w:eastAsia="仿宋_GB2312" w:cs="仿宋_GB2312"/>
          <w:color w:val="000000" w:themeColor="text1"/>
          <w:highlight w:val="none"/>
          <w:u w:val="single"/>
          <w14:textFill>
            <w14:solidFill>
              <w14:schemeClr w14:val="tx1"/>
            </w14:solidFill>
          </w14:textFill>
        </w:rPr>
        <w:t>13％</w:t>
      </w:r>
      <w:permEnd w:id="44"/>
      <w:r>
        <w:rPr>
          <w:rFonts w:hint="eastAsia" w:ascii="仿宋_GB2312" w:hAnsi="仿宋_GB2312" w:eastAsia="仿宋_GB2312" w:cs="仿宋_GB2312"/>
          <w:color w:val="000000" w:themeColor="text1"/>
          <w:highlight w:val="none"/>
          <w14:textFill>
            <w14:solidFill>
              <w14:schemeClr w14:val="tx1"/>
            </w14:solidFill>
          </w14:textFill>
        </w:rPr>
        <w:t>税率的增值税专用发票，开具金额需与结算金额一致，并加盖与本合同中乙方名称一致的发票专用章（如税务部门要求合同、发票等备案登记的，乙方承担相关费用并办理相关手续）。</w:t>
      </w:r>
    </w:p>
    <w:p w14:paraId="16BD8404">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3.1.2计税方式：</w:t>
      </w:r>
      <w:r>
        <w:rPr>
          <w:rFonts w:hint="eastAsia" w:ascii="仿宋_GB2312" w:hAnsi="仿宋_GB2312" w:eastAsia="仿宋_GB2312" w:cs="仿宋_GB2312"/>
          <w:color w:val="000000" w:themeColor="text1"/>
          <w:highlight w:val="none"/>
          <w14:textFill>
            <w14:solidFill>
              <w14:schemeClr w14:val="tx1"/>
            </w14:solidFill>
          </w14:textFill>
        </w:rPr>
        <w:t>本合同所涉应税行为计税方法为</w:t>
      </w:r>
      <w:permStart w:id="4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一般计税方法 </w:t>
      </w:r>
      <w:permEnd w:id="45"/>
      <w:r>
        <w:rPr>
          <w:rFonts w:hint="eastAsia" w:ascii="仿宋_GB2312" w:hAnsi="仿宋_GB2312" w:eastAsia="仿宋_GB2312" w:cs="仿宋_GB2312"/>
          <w:color w:val="000000" w:themeColor="text1"/>
          <w:highlight w:val="none"/>
          <w14:textFill>
            <w14:solidFill>
              <w14:schemeClr w14:val="tx1"/>
            </w14:solidFill>
          </w14:textFill>
        </w:rPr>
        <w:t>。</w:t>
      </w:r>
    </w:p>
    <w:p w14:paraId="2C77A87B">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3.1.3税票金额：</w:t>
      </w:r>
      <w:r>
        <w:rPr>
          <w:rFonts w:hint="eastAsia" w:ascii="仿宋_GB2312" w:hAnsi="仿宋_GB2312" w:eastAsia="仿宋_GB2312" w:cs="仿宋_GB2312"/>
          <w:color w:val="000000" w:themeColor="text1"/>
          <w:highlight w:val="none"/>
          <w14:textFill>
            <w14:solidFill>
              <w14:schemeClr w14:val="tx1"/>
            </w14:solidFill>
          </w14:textFill>
        </w:rPr>
        <w:t>乙方应按每期结算金额开具当期增值税专用发票，并于发票开具之日起7天内提供给甲方指定签收人员。乙方应开具合法、有效、准确的增值税专用发票，若汇总开具增值税专用发票的，则乙方需同时提供防伪税控系统开具的《销售货物或者提供应税劳务清单》，清单内容需与实际供货内容、结算内容相一致，并加盖发票专用章。</w:t>
      </w:r>
      <w:bookmarkStart w:id="27" w:name="_Hlk126834051"/>
      <w:r>
        <w:rPr>
          <w:rFonts w:hint="eastAsia" w:ascii="仿宋_GB2312" w:hAnsi="仿宋_GB2312" w:eastAsia="仿宋_GB2312" w:cs="仿宋_GB2312"/>
          <w:b/>
          <w:bCs/>
          <w:color w:val="000000" w:themeColor="text1"/>
          <w:highlight w:val="none"/>
          <w14:textFill>
            <w14:solidFill>
              <w14:schemeClr w14:val="tx1"/>
            </w14:solidFill>
          </w14:textFill>
        </w:rPr>
        <w:t>如乙方未提供发票或提供发票不合规、不及时、无法认证，甲方有权拒绝付款，且不视为甲方付款逾期，乙方无权要求甲方支付利息、违约金或赔偿损失。</w:t>
      </w:r>
    </w:p>
    <w:bookmarkEnd w:id="27"/>
    <w:p w14:paraId="54ED20E0">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3.1.4税率变化：</w:t>
      </w:r>
      <w:r>
        <w:rPr>
          <w:rFonts w:hint="eastAsia" w:ascii="仿宋_GB2312" w:hAnsi="仿宋_GB2312" w:eastAsia="仿宋_GB2312" w:cs="仿宋_GB2312"/>
          <w:color w:val="000000" w:themeColor="text1"/>
          <w:highlight w:val="none"/>
          <w14:textFill>
            <w14:solidFill>
              <w14:schemeClr w14:val="tx1"/>
            </w14:solidFill>
          </w14:textFill>
        </w:rPr>
        <w:t>合同执行过程中如遇国家税务政策调整导致适用税率发生变化，以货物进场验收时间点依据适用政策调整，执行按照新的税率，合同含税价格依据新的税率相应调整，乙方承担相应的纳税义务提供新税率的增值税专用发票。</w:t>
      </w:r>
    </w:p>
    <w:p w14:paraId="4C4409E9">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3.2 税票丢失：</w:t>
      </w:r>
      <w:r>
        <w:rPr>
          <w:rFonts w:hint="eastAsia" w:ascii="仿宋_GB2312" w:hAnsi="仿宋_GB2312" w:eastAsia="仿宋_GB2312" w:cs="仿宋_GB2312"/>
          <w:color w:val="000000" w:themeColor="text1"/>
          <w:highlight w:val="none"/>
          <w14:textFill>
            <w14:solidFill>
              <w14:schemeClr w14:val="tx1"/>
            </w14:solidFill>
          </w14:textFill>
        </w:rPr>
        <w:t>若甲方丢失增值税专用发票联和抵扣联,乙方在接到甲方书面通知3个工作日内必须向甲方提供专用发票记账联复印件及其主管税务机关出具的《丢失增值税专用发票已报税证明单》，以作为甲方增值税进项税额的抵扣凭证。</w:t>
      </w:r>
    </w:p>
    <w:p w14:paraId="79C79ED2">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3.3税务信息：</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845"/>
        <w:gridCol w:w="6143"/>
      </w:tblGrid>
      <w:tr w14:paraId="0980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34" w:type="dxa"/>
            <w:vMerge w:val="restart"/>
            <w:tcBorders>
              <w:top w:val="single" w:color="auto" w:sz="12" w:space="0"/>
              <w:left w:val="single" w:color="auto" w:sz="12" w:space="0"/>
            </w:tcBorders>
            <w:vAlign w:val="center"/>
          </w:tcPr>
          <w:p w14:paraId="71086F35">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ermStart w:id="46" w:edGrp="everyone"/>
            <w:r>
              <w:rPr>
                <w:rFonts w:hint="eastAsia" w:ascii="仿宋_GB2312" w:hAnsi="仿宋_GB2312" w:eastAsia="仿宋_GB2312" w:cs="仿宋_GB2312"/>
                <w:b/>
                <w:color w:val="000000" w:themeColor="text1"/>
                <w:sz w:val="24"/>
                <w:szCs w:val="24"/>
                <w:highlight w:val="none"/>
                <w14:textFill>
                  <w14:solidFill>
                    <w14:schemeClr w14:val="tx1"/>
                  </w14:solidFill>
                </w14:textFill>
              </w:rPr>
              <w:t>甲方</w:t>
            </w:r>
          </w:p>
        </w:tc>
        <w:tc>
          <w:tcPr>
            <w:tcW w:w="1845" w:type="dxa"/>
            <w:tcBorders>
              <w:top w:val="single" w:color="auto" w:sz="12" w:space="0"/>
            </w:tcBorders>
            <w:vAlign w:val="bottom"/>
          </w:tcPr>
          <w:p w14:paraId="3FF5E2FE">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名      称</w:t>
            </w:r>
          </w:p>
        </w:tc>
        <w:tc>
          <w:tcPr>
            <w:tcW w:w="6143" w:type="dxa"/>
            <w:tcBorders>
              <w:top w:val="single" w:color="auto" w:sz="12" w:space="0"/>
              <w:right w:val="single" w:color="auto" w:sz="12" w:space="0"/>
            </w:tcBorders>
          </w:tcPr>
          <w:p w14:paraId="2A00FE24">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中建路桥集团有限公司</w:t>
            </w:r>
          </w:p>
        </w:tc>
      </w:tr>
      <w:tr w14:paraId="2A95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3F6F0D2E">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000A12D0">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纳税人身份</w:t>
            </w:r>
          </w:p>
        </w:tc>
        <w:tc>
          <w:tcPr>
            <w:tcW w:w="6143" w:type="dxa"/>
            <w:tcBorders>
              <w:right w:val="single" w:color="auto" w:sz="12" w:space="0"/>
            </w:tcBorders>
          </w:tcPr>
          <w:p w14:paraId="38F98A7A">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一般纳税人</w:t>
            </w:r>
          </w:p>
        </w:tc>
      </w:tr>
      <w:tr w14:paraId="6709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4D73A623">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6E259BAA">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纳税人识别号</w:t>
            </w:r>
          </w:p>
        </w:tc>
        <w:tc>
          <w:tcPr>
            <w:tcW w:w="6143" w:type="dxa"/>
            <w:tcBorders>
              <w:right w:val="single" w:color="auto" w:sz="12" w:space="0"/>
            </w:tcBorders>
          </w:tcPr>
          <w:p w14:paraId="006E988D">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91130000401700454L</w:t>
            </w:r>
          </w:p>
        </w:tc>
      </w:tr>
      <w:tr w14:paraId="334F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070711D1">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21400DFA">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 址、电 话</w:t>
            </w:r>
          </w:p>
        </w:tc>
        <w:tc>
          <w:tcPr>
            <w:tcW w:w="6143" w:type="dxa"/>
            <w:tcBorders>
              <w:right w:val="single" w:color="auto" w:sz="12" w:space="0"/>
            </w:tcBorders>
          </w:tcPr>
          <w:p w14:paraId="31985EB4">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河北省</w:t>
            </w:r>
            <w:r>
              <w:rPr>
                <w:rFonts w:hint="eastAsia" w:ascii="仿宋_GB2312" w:hAnsi="仿宋_GB2312" w:eastAsia="仿宋_GB2312" w:cs="仿宋_GB2312"/>
                <w:color w:val="000000" w:themeColor="text1"/>
                <w:sz w:val="24"/>
                <w:szCs w:val="24"/>
                <w:highlight w:val="none"/>
                <w14:textFill>
                  <w14:solidFill>
                    <w14:schemeClr w14:val="tx1"/>
                  </w14:solidFill>
                </w14:textFill>
              </w:rPr>
              <w:t>石家庄市</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桥西区</w:t>
            </w:r>
            <w:r>
              <w:rPr>
                <w:rFonts w:hint="eastAsia" w:ascii="仿宋_GB2312" w:hAnsi="仿宋_GB2312" w:eastAsia="仿宋_GB2312" w:cs="仿宋_GB2312"/>
                <w:color w:val="000000" w:themeColor="text1"/>
                <w:sz w:val="24"/>
                <w:szCs w:val="24"/>
                <w:highlight w:val="none"/>
                <w14:textFill>
                  <w14:solidFill>
                    <w14:schemeClr w14:val="tx1"/>
                  </w14:solidFill>
                </w14:textFill>
              </w:rPr>
              <w:t>建设南大街70号、0311-86028814</w:t>
            </w:r>
          </w:p>
        </w:tc>
      </w:tr>
      <w:tr w14:paraId="3BA5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3CB2F5AE">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1BE0DF1D">
            <w:pPr>
              <w:snapToGrid w:val="0"/>
              <w:spacing w:line="400" w:lineRule="atLeas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开户行及账号</w:t>
            </w:r>
          </w:p>
        </w:tc>
        <w:tc>
          <w:tcPr>
            <w:tcW w:w="6143" w:type="dxa"/>
            <w:tcBorders>
              <w:right w:val="single" w:color="auto" w:sz="12" w:space="0"/>
            </w:tcBorders>
            <w:vAlign w:val="top"/>
          </w:tcPr>
          <w:p w14:paraId="77C01D58">
            <w:pPr>
              <w:snapToGrid w:val="0"/>
              <w:spacing w:line="400" w:lineRule="atLeas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建行</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石家庄</w:t>
            </w:r>
            <w:r>
              <w:rPr>
                <w:rFonts w:hint="eastAsia" w:ascii="仿宋_GB2312" w:hAnsi="仿宋_GB2312" w:eastAsia="仿宋_GB2312" w:cs="仿宋_GB2312"/>
                <w:color w:val="000000" w:themeColor="text1"/>
                <w:sz w:val="24"/>
                <w:szCs w:val="24"/>
                <w:highlight w:val="none"/>
                <w14:textFill>
                  <w14:solidFill>
                    <w14:schemeClr w14:val="tx1"/>
                  </w14:solidFill>
                </w14:textFill>
              </w:rPr>
              <w:t>平安大街支行13001618601050504927</w:t>
            </w:r>
          </w:p>
        </w:tc>
      </w:tr>
      <w:tr w14:paraId="131B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34" w:type="dxa"/>
            <w:vMerge w:val="continue"/>
            <w:tcBorders>
              <w:left w:val="single" w:color="auto" w:sz="12" w:space="0"/>
              <w:bottom w:val="double" w:color="auto" w:sz="4" w:space="0"/>
            </w:tcBorders>
            <w:vAlign w:val="center"/>
          </w:tcPr>
          <w:p w14:paraId="73764FE5">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tcBorders>
              <w:bottom w:val="double" w:color="auto" w:sz="4" w:space="0"/>
            </w:tcBorders>
            <w:vAlign w:val="bottom"/>
          </w:tcPr>
          <w:p w14:paraId="29CE57BE">
            <w:pPr>
              <w:snapToGrid w:val="0"/>
              <w:spacing w:line="400" w:lineRule="atLeast"/>
              <w:contextualSpacing/>
              <w:rPr>
                <w:highlight w:val="none"/>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备      注</w:t>
            </w:r>
          </w:p>
        </w:tc>
        <w:tc>
          <w:tcPr>
            <w:tcW w:w="6143" w:type="dxa"/>
            <w:tcBorders>
              <w:bottom w:val="double" w:color="auto" w:sz="4" w:space="0"/>
              <w:right w:val="single" w:color="auto" w:sz="12" w:space="0"/>
            </w:tcBorders>
          </w:tcPr>
          <w:p w14:paraId="2F011191">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r>
      <w:tr w14:paraId="1E39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restart"/>
            <w:tcBorders>
              <w:top w:val="double" w:color="auto" w:sz="4" w:space="0"/>
              <w:left w:val="single" w:color="auto" w:sz="12" w:space="0"/>
            </w:tcBorders>
            <w:vAlign w:val="center"/>
          </w:tcPr>
          <w:p w14:paraId="7E2F39CE">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乙方</w:t>
            </w:r>
          </w:p>
        </w:tc>
        <w:tc>
          <w:tcPr>
            <w:tcW w:w="1845" w:type="dxa"/>
            <w:tcBorders>
              <w:top w:val="double" w:color="auto" w:sz="4" w:space="0"/>
            </w:tcBorders>
            <w:vAlign w:val="bottom"/>
          </w:tcPr>
          <w:p w14:paraId="644A34E2">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名      称</w:t>
            </w:r>
          </w:p>
        </w:tc>
        <w:tc>
          <w:tcPr>
            <w:tcW w:w="6143" w:type="dxa"/>
            <w:tcBorders>
              <w:top w:val="double" w:color="auto" w:sz="4" w:space="0"/>
              <w:right w:val="single" w:color="auto" w:sz="12" w:space="0"/>
            </w:tcBorders>
          </w:tcPr>
          <w:p w14:paraId="187B41F8">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1B81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1B1B57E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23147720">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纳税人身份</w:t>
            </w:r>
          </w:p>
        </w:tc>
        <w:tc>
          <w:tcPr>
            <w:tcW w:w="6143" w:type="dxa"/>
            <w:tcBorders>
              <w:right w:val="single" w:color="auto" w:sz="12" w:space="0"/>
            </w:tcBorders>
          </w:tcPr>
          <w:p w14:paraId="21EFC6B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15D5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112B3762">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2198F38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纳税人识别号</w:t>
            </w:r>
          </w:p>
        </w:tc>
        <w:tc>
          <w:tcPr>
            <w:tcW w:w="6143" w:type="dxa"/>
            <w:tcBorders>
              <w:right w:val="single" w:color="auto" w:sz="12" w:space="0"/>
            </w:tcBorders>
          </w:tcPr>
          <w:p w14:paraId="480AD485">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0EC5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5088B253">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713EF1C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 址、电 话</w:t>
            </w:r>
          </w:p>
        </w:tc>
        <w:tc>
          <w:tcPr>
            <w:tcW w:w="6143" w:type="dxa"/>
            <w:tcBorders>
              <w:right w:val="single" w:color="auto" w:sz="12" w:space="0"/>
            </w:tcBorders>
            <w:vAlign w:val="bottom"/>
          </w:tcPr>
          <w:p w14:paraId="490AF41A">
            <w:pPr>
              <w:pStyle w:val="12"/>
              <w:jc w:val="both"/>
              <w:rPr>
                <w:rFonts w:ascii="仿宋_GB2312" w:hAnsi="仿宋_GB2312" w:eastAsia="仿宋_GB2312" w:cs="仿宋_GB2312"/>
                <w:bCs/>
                <w:color w:val="000000" w:themeColor="text1"/>
                <w:kern w:val="2"/>
                <w:highlight w:val="none"/>
                <w:u w:val="single"/>
                <w14:textFill>
                  <w14:solidFill>
                    <w14:schemeClr w14:val="tx1"/>
                  </w14:solidFill>
                </w14:textFill>
              </w:rPr>
            </w:pP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
        </w:tc>
      </w:tr>
      <w:tr w14:paraId="1AC6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bottom w:val="single" w:color="auto" w:sz="12" w:space="0"/>
            </w:tcBorders>
          </w:tcPr>
          <w:p w14:paraId="1F4030F1">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tcBorders>
              <w:bottom w:val="single" w:color="auto" w:sz="12" w:space="0"/>
            </w:tcBorders>
            <w:vAlign w:val="bottom"/>
          </w:tcPr>
          <w:p w14:paraId="1DD13636">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开户行及账号</w:t>
            </w:r>
          </w:p>
        </w:tc>
        <w:tc>
          <w:tcPr>
            <w:tcW w:w="6143" w:type="dxa"/>
            <w:tcBorders>
              <w:bottom w:val="single" w:color="auto" w:sz="12" w:space="0"/>
              <w:right w:val="single" w:color="auto" w:sz="12" w:space="0"/>
            </w:tcBorders>
          </w:tcPr>
          <w:p w14:paraId="4D4D6B2D">
            <w:pPr>
              <w:snapToGrid w:val="0"/>
              <w:spacing w:line="400" w:lineRule="atLeast"/>
              <w:contextualSpacing/>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permEnd w:id="46"/>
    </w:tbl>
    <w:p w14:paraId="32EA42D1">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任何一方如上述信息发生变更，应提前10日以书面方式通知另一方。如一方未按本合同规定通知而使另一方遭受损失的，应予以赔偿。</w:t>
      </w:r>
    </w:p>
    <w:p w14:paraId="4EED526E">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28" w:name="_Toc21859"/>
      <w:bookmarkStart w:id="29" w:name="_Toc27325"/>
      <w:bookmarkStart w:id="30" w:name="_Toc32138"/>
      <w:r>
        <w:rPr>
          <w:rFonts w:hint="eastAsia" w:ascii="仿宋_GB2312" w:hAnsi="仿宋_GB2312" w:eastAsia="仿宋_GB2312" w:cs="仿宋_GB2312"/>
          <w:b/>
          <w:bCs/>
          <w:color w:val="000000" w:themeColor="text1"/>
          <w:highlight w:val="none"/>
          <w14:textFill>
            <w14:solidFill>
              <w14:schemeClr w14:val="tx1"/>
            </w14:solidFill>
          </w14:textFill>
        </w:rPr>
        <w:t>货物付款</w:t>
      </w:r>
      <w:bookmarkEnd w:id="28"/>
      <w:bookmarkEnd w:id="29"/>
      <w:bookmarkEnd w:id="30"/>
    </w:p>
    <w:p w14:paraId="1A1E0861">
      <w:pPr>
        <w:pStyle w:val="12"/>
        <w:spacing w:line="400" w:lineRule="atLeast"/>
        <w:ind w:firstLine="482" w:firstLineChars="200"/>
        <w:jc w:val="both"/>
        <w:outlineLvl w:val="1"/>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1、支付周期及支付比例：</w:t>
      </w:r>
      <w:r>
        <w:rPr>
          <w:rFonts w:hint="eastAsia" w:ascii="仿宋_GB2312" w:hAnsi="仿宋_GB2312" w:eastAsia="仿宋_GB2312" w:cs="仿宋_GB2312"/>
          <w:color w:val="000000" w:themeColor="text1"/>
          <w:highlight w:val="none"/>
          <w14:textFill>
            <w14:solidFill>
              <w14:schemeClr w14:val="tx1"/>
            </w14:solidFill>
          </w14:textFill>
        </w:rPr>
        <w:t>双方办理完结算后，适用第</w:t>
      </w:r>
      <w:permStart w:id="4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1.1</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47"/>
      <w:r>
        <w:rPr>
          <w:rFonts w:hint="eastAsia" w:ascii="仿宋_GB2312" w:hAnsi="仿宋_GB2312" w:eastAsia="仿宋_GB2312" w:cs="仿宋_GB2312"/>
          <w:color w:val="000000" w:themeColor="text1"/>
          <w:highlight w:val="none"/>
          <w14:textFill>
            <w14:solidFill>
              <w14:schemeClr w14:val="tx1"/>
            </w14:solidFill>
          </w14:textFill>
        </w:rPr>
        <w:t>条付款条件：</w:t>
      </w:r>
    </w:p>
    <w:p w14:paraId="5C01F295">
      <w:pPr>
        <w:pStyle w:val="12"/>
        <w:spacing w:line="400" w:lineRule="atLeast"/>
        <w:ind w:firstLine="480" w:firstLineChars="200"/>
        <w:jc w:val="both"/>
        <w:rPr>
          <w:rFonts w:ascii="仿宋_GB2312" w:hAnsi="仿宋_GB2312" w:eastAsia="仿宋_GB2312" w:cs="仿宋_GB2312"/>
          <w:color w:val="000000" w:themeColor="text1"/>
          <w:highlight w:val="none"/>
          <w:u w:val="singl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本合同无预付款，货款来源于项目工程结算款。</w:t>
      </w:r>
      <w:r>
        <w:rPr>
          <w:rFonts w:hint="eastAsia" w:ascii="仿宋_GB2312" w:hAnsi="仿宋_GB2312" w:eastAsia="仿宋_GB2312" w:cs="仿宋_GB2312"/>
          <w:b/>
          <w:bCs/>
          <w:color w:val="000000" w:themeColor="text1"/>
          <w:highlight w:val="none"/>
          <w14:textFill>
            <w14:solidFill>
              <w14:schemeClr w14:val="tx1"/>
            </w14:solidFill>
          </w14:textFill>
        </w:rPr>
        <w:t>甲方按资金审批计划对货款进行支付。</w:t>
      </w:r>
      <w:r>
        <w:rPr>
          <w:rFonts w:hint="eastAsia" w:ascii="仿宋_GB2312" w:hAnsi="仿宋_GB2312" w:eastAsia="仿宋_GB2312" w:cs="仿宋_GB2312"/>
          <w:color w:val="000000" w:themeColor="text1"/>
          <w:highlight w:val="none"/>
          <w14:textFill>
            <w14:solidFill>
              <w14:schemeClr w14:val="tx1"/>
            </w14:solidFill>
          </w14:textFill>
        </w:rPr>
        <w:t>付款期限自双方确认结算金额之日起计算，暂定为在甲乙双方完成月度物资结算手续且甲方收到乙方相应全额发票后，</w:t>
      </w:r>
      <w:permStart w:id="4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48"/>
      <w:r>
        <w:rPr>
          <w:rFonts w:hint="eastAsia" w:ascii="仿宋_GB2312" w:hAnsi="仿宋_GB2312" w:eastAsia="仿宋_GB2312" w:cs="仿宋_GB2312"/>
          <w:color w:val="000000" w:themeColor="text1"/>
          <w:highlight w:val="none"/>
          <w14:textFill>
            <w14:solidFill>
              <w14:schemeClr w14:val="tx1"/>
            </w14:solidFill>
          </w14:textFill>
        </w:rPr>
        <w:t>个月内支付当期</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货款的</w:t>
      </w:r>
      <w:permStart w:id="49"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70</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49"/>
      <w:r>
        <w:rPr>
          <w:rFonts w:hint="eastAsia" w:ascii="仿宋_GB2312" w:hAnsi="仿宋_GB2312" w:eastAsia="仿宋_GB2312" w:cs="仿宋_GB2312"/>
          <w:color w:val="000000" w:themeColor="text1"/>
          <w:highlight w:val="none"/>
          <w14:textFill>
            <w14:solidFill>
              <w14:schemeClr w14:val="tx1"/>
            </w14:solidFill>
          </w14:textFill>
        </w:rPr>
        <w:t>%，</w:t>
      </w:r>
      <w:permStart w:id="50"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permEnd w:id="50"/>
      <w:r>
        <w:rPr>
          <w:rFonts w:hint="eastAsia" w:ascii="仿宋_GB2312" w:hAnsi="仿宋_GB2312" w:eastAsia="仿宋_GB2312" w:cs="仿宋_GB2312"/>
          <w:color w:val="000000" w:themeColor="text1"/>
          <w:highlight w:val="none"/>
          <w14:textFill>
            <w14:solidFill>
              <w14:schemeClr w14:val="tx1"/>
            </w14:solidFill>
          </w14:textFill>
        </w:rPr>
        <w:t>个月内支付至当期</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货款的</w:t>
      </w:r>
      <w:permStart w:id="51"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1"/>
      <w:r>
        <w:rPr>
          <w:rFonts w:hint="eastAsia" w:ascii="仿宋_GB2312" w:hAnsi="仿宋_GB2312" w:eastAsia="仿宋_GB2312" w:cs="仿宋_GB2312"/>
          <w:color w:val="000000" w:themeColor="text1"/>
          <w:highlight w:val="none"/>
          <w14:textFill>
            <w14:solidFill>
              <w14:schemeClr w14:val="tx1"/>
            </w14:solidFill>
          </w14:textFill>
        </w:rPr>
        <w:t>%，余下</w:t>
      </w:r>
      <w:permStart w:id="52"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30</w:t>
      </w:r>
      <w:permEnd w:id="52"/>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货款在乙方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供货完毕、办理完最终结算后</w:t>
      </w:r>
      <w:permStart w:id="53"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90</w:t>
      </w:r>
      <w:permEnd w:id="53"/>
      <w:r>
        <w:rPr>
          <w:rFonts w:hint="eastAsia" w:ascii="仿宋_GB2312" w:hAnsi="仿宋_GB2312" w:eastAsia="仿宋_GB2312" w:cs="仿宋_GB2312"/>
          <w:color w:val="000000" w:themeColor="text1"/>
          <w:highlight w:val="none"/>
          <w:lang w:val="en-US" w:eastAsia="zh-CN"/>
          <w14:textFill>
            <w14:solidFill>
              <w14:schemeClr w14:val="tx1"/>
            </w14:solidFill>
          </w14:textFill>
        </w:rPr>
        <w:t>日内</w:t>
      </w:r>
      <w:r>
        <w:rPr>
          <w:rFonts w:hint="eastAsia" w:ascii="仿宋_GB2312" w:hAnsi="仿宋_GB2312" w:eastAsia="仿宋_GB2312" w:cs="仿宋_GB2312"/>
          <w:color w:val="000000" w:themeColor="text1"/>
          <w:highlight w:val="none"/>
          <w14:textFill>
            <w14:solidFill>
              <w14:schemeClr w14:val="tx1"/>
            </w14:solidFill>
          </w14:textFill>
        </w:rPr>
        <w:t>付清。以此类推。</w:t>
      </w:r>
    </w:p>
    <w:p w14:paraId="10C99033">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其他：</w:t>
      </w:r>
      <w:permStart w:id="5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4"/>
    </w:p>
    <w:p w14:paraId="5C948782">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2、支付形式：</w:t>
      </w:r>
      <w:r>
        <w:rPr>
          <w:rFonts w:hint="eastAsia" w:ascii="仿宋_GB2312" w:hAnsi="仿宋_GB2312" w:eastAsia="仿宋_GB2312" w:cs="仿宋_GB2312"/>
          <w:color w:val="000000" w:themeColor="text1"/>
          <w:highlight w:val="none"/>
          <w14:textFill>
            <w14:solidFill>
              <w14:schemeClr w14:val="tx1"/>
            </w14:solidFill>
          </w14:textFill>
        </w:rPr>
        <w:t>本合同付款形式适用第</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2.2  </w:t>
      </w:r>
      <w:r>
        <w:rPr>
          <w:rFonts w:hint="eastAsia" w:ascii="仿宋_GB2312" w:hAnsi="仿宋_GB2312" w:eastAsia="仿宋_GB2312" w:cs="仿宋_GB2312"/>
          <w:color w:val="000000" w:themeColor="text1"/>
          <w:highlight w:val="none"/>
          <w14:textFill>
            <w14:solidFill>
              <w14:schemeClr w14:val="tx1"/>
            </w14:solidFill>
          </w14:textFill>
        </w:rPr>
        <w:t>条；</w:t>
      </w:r>
    </w:p>
    <w:p w14:paraId="61146FC2">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2.1货币付款。</w:t>
      </w:r>
    </w:p>
    <w:p w14:paraId="7A57583E">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2.2货币及其他的形式（包括且不限于支票、电汇、银行承兑汇票、商业承兑汇票、保理、信用证、供应链融资等）向乙方付款。（其中非现金付款方式不低于合同总价的</w:t>
      </w:r>
      <w:permStart w:id="55"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30</w:t>
      </w:r>
      <w:permEnd w:id="55"/>
      <w:r>
        <w:rPr>
          <w:rFonts w:hint="eastAsia" w:ascii="仿宋_GB2312" w:hAnsi="仿宋_GB2312" w:eastAsia="仿宋_GB2312" w:cs="仿宋_GB2312"/>
          <w:color w:val="000000" w:themeColor="text1"/>
          <w:highlight w:val="none"/>
          <w14:textFill>
            <w14:solidFill>
              <w14:schemeClr w14:val="tx1"/>
            </w14:solidFill>
          </w14:textFill>
        </w:rPr>
        <w:t>%，期限为六个月，因此产生的相关贴现成本由乙方承担。乙方须保证资金往来账户与本合同所约定账户一致，开票单位名称与合同约定名称一致。）</w:t>
      </w:r>
    </w:p>
    <w:p w14:paraId="5BA91023">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3、付款条件：乙方向甲方申请付款时，应先行满足以下条件：</w:t>
      </w:r>
    </w:p>
    <w:p w14:paraId="67B7C19D">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3.1所供产品无质量缺陷，乙方无违约记录，产品出厂合格证明以及检测报告完整无误。</w:t>
      </w:r>
    </w:p>
    <w:p w14:paraId="3CDBC06C">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3.2乙方申请付款依据的结算单已由甲方最终有效确认，付款期限已经届满。</w:t>
      </w:r>
    </w:p>
    <w:p w14:paraId="3AB09F6C">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3.3乙方已向甲方提供与结算等额增值税专用发票，且甲方已完成发票认证。</w:t>
      </w:r>
    </w:p>
    <w:p w14:paraId="28A83A7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在支付条件达成的基础上，甲方按以上方式向乙方付款，预付款不适用上述条件。</w:t>
      </w:r>
    </w:p>
    <w:p w14:paraId="4FB83803">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4、乙方收款账户：</w:t>
      </w:r>
      <w:permStart w:id="5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6"/>
    </w:p>
    <w:p w14:paraId="0DE78CBB">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开户银行：</w:t>
      </w:r>
      <w:permStart w:id="5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7"/>
    </w:p>
    <w:p w14:paraId="00BE2190">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银行帐号：</w:t>
      </w:r>
      <w:permStart w:id="5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8"/>
    </w:p>
    <w:p w14:paraId="077A673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乙方指定</w:t>
      </w:r>
      <w:permStart w:id="5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9"/>
      <w:r>
        <w:rPr>
          <w:rFonts w:hint="eastAsia" w:ascii="仿宋_GB2312" w:hAnsi="仿宋_GB2312" w:eastAsia="仿宋_GB2312" w:cs="仿宋_GB2312"/>
          <w:color w:val="000000" w:themeColor="text1"/>
          <w:highlight w:val="none"/>
          <w14:textFill>
            <w14:solidFill>
              <w14:schemeClr w14:val="tx1"/>
            </w14:solidFill>
          </w14:textFill>
        </w:rPr>
        <w:t>（身份证号：</w:t>
      </w:r>
      <w:permStart w:id="6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0"/>
      <w:r>
        <w:rPr>
          <w:rFonts w:hint="eastAsia" w:ascii="仿宋_GB2312" w:hAnsi="仿宋_GB2312" w:eastAsia="仿宋_GB2312" w:cs="仿宋_GB2312"/>
          <w:color w:val="000000" w:themeColor="text1"/>
          <w:highlight w:val="none"/>
          <w14:textFill>
            <w14:solidFill>
              <w14:schemeClr w14:val="tx1"/>
            </w14:solidFill>
          </w14:textFill>
        </w:rPr>
        <w:t>）作为收款经办人，同甲方相关人员沟通洽商付款具体事宜。</w:t>
      </w:r>
    </w:p>
    <w:p w14:paraId="582D9433">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甲方仅向乙方本单位名下银行账户支付价款，未经甲方同意，乙方不得委托任何第三方代为收款，否则甲方有权拒绝付款。</w:t>
      </w:r>
    </w:p>
    <w:p w14:paraId="589A300C">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5、账户变动：</w:t>
      </w:r>
      <w:r>
        <w:rPr>
          <w:rFonts w:hint="eastAsia" w:ascii="仿宋_GB2312" w:hAnsi="仿宋_GB2312" w:eastAsia="仿宋_GB2312" w:cs="仿宋_GB2312"/>
          <w:color w:val="000000" w:themeColor="text1"/>
          <w:highlight w:val="none"/>
          <w14:textFill>
            <w14:solidFill>
              <w14:schemeClr w14:val="tx1"/>
            </w14:solidFill>
          </w14:textFill>
        </w:rPr>
        <w:t>当乙方收款银行账号发生变动时，应以函件的形式书面通知甲方，否则甲方有权拒绝付款。若甲方在收到乙方的书面通知之前已按原账号付款，则甲方不再另行支付，由此造成的一切损失均由乙方自行承担。</w:t>
      </w:r>
    </w:p>
    <w:p w14:paraId="14BBAEA7">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6、履约保证金缴纳及退还：</w:t>
      </w:r>
    </w:p>
    <w:p w14:paraId="06031B20">
      <w:pPr>
        <w:spacing w:line="400" w:lineRule="atLeast"/>
        <w:ind w:firstLine="482" w:firstLineChars="200"/>
        <w:rPr>
          <w:rFonts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6.1履约保证金缴纳形式：</w:t>
      </w:r>
      <w:r>
        <w:rPr>
          <w:rFonts w:hint="eastAsia" w:ascii="仿宋_GB2312" w:hAnsi="仿宋_GB2312" w:eastAsia="仿宋_GB2312" w:cs="仿宋_GB2312"/>
          <w:color w:val="000000" w:themeColor="text1"/>
          <w:sz w:val="24"/>
          <w:szCs w:val="24"/>
          <w:highlight w:val="none"/>
          <w14:textFill>
            <w14:solidFill>
              <w14:schemeClr w14:val="tx1"/>
            </w14:solidFill>
          </w14:textFill>
        </w:rPr>
        <w:t>乙方在签订合同前应向甲方缴纳合同额的</w:t>
      </w:r>
      <w:permStart w:id="61"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p w14:paraId="225555E6">
      <w:pPr>
        <w:spacing w:line="400" w:lineRule="atLeas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 </w:t>
      </w:r>
      <w:permEnd w:id="61"/>
      <w:r>
        <w:rPr>
          <w:rFonts w:hint="eastAsia" w:ascii="仿宋_GB2312" w:hAnsi="仿宋_GB2312" w:eastAsia="仿宋_GB2312" w:cs="仿宋_GB2312"/>
          <w:color w:val="000000" w:themeColor="text1"/>
          <w:sz w:val="24"/>
          <w:szCs w:val="24"/>
          <w:highlight w:val="none"/>
          <w14:textFill>
            <w14:solidFill>
              <w14:schemeClr w14:val="tx1"/>
            </w14:solidFill>
          </w14:textFill>
        </w:rPr>
        <w:t>％或</w:t>
      </w:r>
      <w:permStart w:id="62"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50000</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62"/>
      <w:r>
        <w:rPr>
          <w:rFonts w:hint="eastAsia" w:ascii="仿宋_GB2312" w:hAnsi="仿宋_GB2312" w:eastAsia="仿宋_GB2312" w:cs="仿宋_GB2312"/>
          <w:color w:val="000000" w:themeColor="text1"/>
          <w:sz w:val="24"/>
          <w:szCs w:val="24"/>
          <w:highlight w:val="none"/>
          <w14:textFill>
            <w14:solidFill>
              <w14:schemeClr w14:val="tx1"/>
            </w14:solidFill>
          </w14:textFill>
        </w:rPr>
        <w:t>元的履约保证金，具体缴纳形式采用第</w:t>
      </w:r>
      <w:permStart w:id="63"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6.1.</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63"/>
      <w:r>
        <w:rPr>
          <w:rFonts w:hint="eastAsia" w:ascii="仿宋_GB2312" w:hAnsi="仿宋_GB2312" w:eastAsia="仿宋_GB2312" w:cs="仿宋_GB2312"/>
          <w:color w:val="000000" w:themeColor="text1"/>
          <w:sz w:val="24"/>
          <w:szCs w:val="24"/>
          <w:highlight w:val="none"/>
          <w14:textFill>
            <w14:solidFill>
              <w14:schemeClr w14:val="tx1"/>
            </w14:solidFill>
          </w14:textFill>
        </w:rPr>
        <w:t>种：</w:t>
      </w:r>
    </w:p>
    <w:p w14:paraId="5470C74E">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6.1.1无需缴纳履约保证金。</w:t>
      </w:r>
    </w:p>
    <w:p w14:paraId="4115C8E9">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6.1.2银行转账：乙方未参与甲方其他在建项目，采用银行转账方式缴纳履约保证金，并由项目相应会计根据财务部规定办理相应流程，开具证明件。</w:t>
      </w:r>
    </w:p>
    <w:p w14:paraId="34371AFD">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6.1.3应付款抵扣：乙方参与甲方其他在建项目，履约保证金从其他项目应付款中抵扣，并由项目相应会计根据财务部规定办理相应流程，开具证明件。</w:t>
      </w:r>
    </w:p>
    <w:p w14:paraId="74802C19">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6.1.4履约保函（只接受银行保函，不接受商业保函）。</w:t>
      </w:r>
    </w:p>
    <w:p w14:paraId="26031602">
      <w:pPr>
        <w:spacing w:line="400" w:lineRule="atLeast"/>
        <w:ind w:firstLine="480" w:firstLineChars="200"/>
        <w:rPr>
          <w:rFonts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6.1.5其他</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 xml:space="preserve"> </w:t>
      </w:r>
      <w:permStart w:id="64" w:edGrp="everyone"/>
      <w:r>
        <w:rPr>
          <w:rFonts w:hint="eastAsia" w:ascii="仿宋_GB2312" w:hAnsi="仿宋_GB2312" w:eastAsia="仿宋_GB2312" w:cs="仿宋_GB2312"/>
          <w:b w:val="0"/>
          <w:bCs w:val="0"/>
          <w:color w:val="000000" w:themeColor="text1"/>
          <w:sz w:val="24"/>
          <w:szCs w:val="24"/>
          <w:highlight w:val="none"/>
          <w:u w:val="single"/>
          <w:lang w:val="en-US" w:eastAsia="zh-CN"/>
          <w14:textFill>
            <w14:solidFill>
              <w14:schemeClr w14:val="tx1"/>
            </w14:solidFill>
          </w14:textFill>
        </w:rPr>
        <w:t>在第一期计量款中扣除</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64"/>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3F7FA654">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6.1.6履约保证金缴纳账户：</w:t>
      </w:r>
    </w:p>
    <w:p w14:paraId="268492D6">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户名：</w:t>
      </w:r>
      <w:permStart w:id="65"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中建路桥集团第六工程有限公司</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65"/>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05DE2BB6">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帐号：</w:t>
      </w:r>
      <w:permStart w:id="66"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0406002809300111808</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66"/>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5F6729B4">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w:t>
      </w:r>
      <w:permStart w:id="67"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中国工商银行邢台太行支行</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67"/>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4EB286FE">
      <w:pPr>
        <w:pStyle w:val="12"/>
        <w:spacing w:line="400" w:lineRule="atLeast"/>
        <w:ind w:firstLine="482" w:firstLineChars="200"/>
        <w:rPr>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6.2.履约保证金退还：</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在合同完成后</w:t>
      </w:r>
      <w:permStart w:id="68" w:edGrp="everyone"/>
      <w:r>
        <w:rPr>
          <w:rFonts w:hint="eastAsia" w:ascii="仿宋_GB2312" w:hAnsi="仿宋_GB2312" w:eastAsia="仿宋_GB2312" w:cs="仿宋_GB2312"/>
          <w:color w:val="000000" w:themeColor="text1"/>
          <w:kern w:val="2"/>
          <w:sz w:val="24"/>
          <w:szCs w:val="24"/>
          <w:highlight w:val="none"/>
          <w:u w:val="single"/>
          <w:lang w:val="en-US" w:eastAsia="zh-CN" w:bidi="ar-SA"/>
          <w14:textFill>
            <w14:solidFill>
              <w14:schemeClr w14:val="tx1"/>
            </w14:solidFill>
          </w14:textFill>
        </w:rPr>
        <w:t xml:space="preserve">90 </w:t>
      </w:r>
      <w:permEnd w:id="68"/>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工作日内甲方无息退还乙方履约保证金（扣除违约金及应扣除款项）</w:t>
      </w:r>
      <w:r>
        <w:rPr>
          <w:rFonts w:hint="eastAsia" w:ascii="仿宋_GB2312" w:hAnsi="仿宋_GB2312" w:eastAsia="仿宋_GB2312" w:cs="仿宋_GB2312"/>
          <w:color w:val="000000" w:themeColor="text1"/>
          <w:highlight w:val="none"/>
          <w14:textFill>
            <w14:solidFill>
              <w14:schemeClr w14:val="tx1"/>
            </w14:solidFill>
          </w14:textFill>
        </w:rPr>
        <w:t>。</w:t>
      </w:r>
    </w:p>
    <w:p w14:paraId="319692C4">
      <w:pPr>
        <w:spacing w:line="400" w:lineRule="atLeast"/>
        <w:ind w:firstLine="482" w:firstLineChars="200"/>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已缴纳履约保证金的，如发生以下任何一种情况履约保证金不予退还：</w:t>
      </w:r>
    </w:p>
    <w:p w14:paraId="5BF83DFF">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.1无法正常供货的情况，包括任何原因的不供货或连续5日历天未能按甲方要求的数量供货。</w:t>
      </w:r>
    </w:p>
    <w:p w14:paraId="7E53E143">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.2供应的物资不符合国家、甲方、业主和监理相关标准和要求，且在规定时间内不予调换、处理的情况。</w:t>
      </w:r>
    </w:p>
    <w:p w14:paraId="694F78F7">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.3不服从甲方管理的。</w:t>
      </w:r>
    </w:p>
    <w:p w14:paraId="6D886EC1">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.4因乙方原因给甲方造成损失的。</w:t>
      </w:r>
    </w:p>
    <w:p w14:paraId="1169D14E">
      <w:pPr>
        <w:spacing w:line="400" w:lineRule="atLeast"/>
        <w:ind w:firstLine="480" w:firstLineChars="200"/>
        <w:rPr>
          <w:rFonts w:hint="default"/>
          <w:highlight w:val="none"/>
          <w:lang w:val="en-US" w:eastAsia="zh-CN"/>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14:textFill>
            <w14:solidFill>
              <w14:schemeClr w14:val="tx1"/>
            </w14:solidFill>
          </w14:textFill>
        </w:rPr>
        <w:t>如履约保证金不足以弥补甲方损失，甲方有权要求相应补偿。</w:t>
      </w:r>
    </w:p>
    <w:p w14:paraId="3C0A2894">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bookmarkStart w:id="31" w:name="_Toc10245"/>
      <w:r>
        <w:rPr>
          <w:rFonts w:hint="eastAsia" w:ascii="仿宋_GB2312" w:hAnsi="仿宋_GB2312" w:eastAsia="仿宋_GB2312" w:cs="仿宋_GB2312"/>
          <w:b/>
          <w:bCs/>
          <w:color w:val="000000" w:themeColor="text1"/>
          <w:highlight w:val="none"/>
          <w14:textFill>
            <w14:solidFill>
              <w14:schemeClr w14:val="tx1"/>
            </w14:solidFill>
          </w14:textFill>
        </w:rPr>
        <w:t>7、甲方禁止项目部及任何人员以甲方、甲方子企业或甲方项目部名义对外借款或者支取任何款项，如乙方或乙方有关人员以任何形式将款项出借或支付或返还给甲方项目部及任何人员，则不论该等款项是否实际用于甲方工程，均与甲方无关，该行为均属于乙方与相关人员个人之间的经济关系，乙方无权向甲方主张任何权利，亦不得要求甲方以货款抵偿。</w:t>
      </w:r>
    </w:p>
    <w:p w14:paraId="5A90A0F0">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bookmarkStart w:id="32" w:name="_Toc12208"/>
      <w:bookmarkStart w:id="33" w:name="_Toc24664"/>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8、如双方因货款支付发生争议，对于争议解决前甲方存在迟付情形的已付款项，乙方放弃索要逾期利息、违约金或资金占用费的权利。非甲方原因延迟支付结算款的，甲方不承担逾期利息，如因其他原因需甲方承担逾期利息时，约定利率为不超过合同订立时1年期贷款市场报价利率。</w:t>
      </w:r>
    </w:p>
    <w:p w14:paraId="3A6D3229">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9、甲方拖欠线索受理联系人：</w:t>
      </w:r>
    </w:p>
    <w:p w14:paraId="73EDCB42">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项目部联系人：</w:t>
      </w:r>
      <w:permStart w:id="69"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邢丞  </w:t>
      </w:r>
      <w:permEnd w:id="69"/>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，联系电话：</w:t>
      </w:r>
      <w:permStart w:id="70"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15226751218  </w:t>
      </w:r>
      <w:permEnd w:id="70"/>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 xml:space="preserve">； </w:t>
      </w:r>
    </w:p>
    <w:p w14:paraId="01D343B1">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公司联系人：</w:t>
      </w:r>
      <w:permStart w:id="71"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张海萍   </w:t>
      </w:r>
      <w:permEnd w:id="71"/>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，联系电话：</w:t>
      </w:r>
      <w:permStart w:id="72"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0319-2620099</w:t>
      </w:r>
      <w:permEnd w:id="72"/>
    </w:p>
    <w:p w14:paraId="54335B34">
      <w:pPr>
        <w:spacing w:line="480" w:lineRule="exact"/>
        <w:ind w:firstLine="482" w:firstLineChars="200"/>
        <w:rPr>
          <w:rFonts w:hint="default"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公司信访投诉电话：</w:t>
      </w:r>
      <w:permStart w:id="73"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0319-2620099</w:t>
      </w:r>
      <w:permEnd w:id="73"/>
    </w:p>
    <w:p w14:paraId="0467C2FB">
      <w:pPr>
        <w:spacing w:line="480" w:lineRule="exact"/>
        <w:ind w:firstLine="482" w:firstLineChars="200"/>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信访投诉邮箱：</w:t>
      </w:r>
      <w:permStart w:id="74"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zjlq6bgsh@163.com</w:t>
      </w:r>
      <w:permEnd w:id="74"/>
    </w:p>
    <w:p w14:paraId="325C55DC">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云筑网中建系统账款投诉平台：https://ts.yzw.cn</w:t>
      </w:r>
    </w:p>
    <w:p w14:paraId="200A400A">
      <w:pPr>
        <w:pStyle w:val="12"/>
        <w:spacing w:line="400" w:lineRule="atLeast"/>
        <w:ind w:firstLine="482" w:firstLineChars="200"/>
        <w:rPr>
          <w:rFonts w:ascii="仿宋_GB2312" w:hAnsi="仿宋_GB2312" w:eastAsia="仿宋_GB2312" w:cs="仿宋_GB2312"/>
          <w:b/>
          <w:bCs/>
          <w:color w:val="000000" w:themeColor="text1"/>
          <w:highlight w:val="none"/>
          <w:u w:val="singl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10</w:t>
      </w:r>
      <w:r>
        <w:rPr>
          <w:rFonts w:hint="eastAsia" w:ascii="仿宋_GB2312" w:hAnsi="仿宋_GB2312" w:eastAsia="仿宋_GB2312" w:cs="仿宋_GB2312"/>
          <w:b/>
          <w:bCs/>
          <w:color w:val="000000" w:themeColor="text1"/>
          <w:highlight w:val="none"/>
          <w14:textFill>
            <w14:solidFill>
              <w14:schemeClr w14:val="tx1"/>
            </w14:solidFill>
          </w14:textFill>
        </w:rPr>
        <w:t>、其他：</w:t>
      </w:r>
      <w:permStart w:id="75"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5"/>
      <w:r>
        <w:rPr>
          <w:rFonts w:hint="eastAsia" w:ascii="仿宋_GB2312" w:hAnsi="仿宋_GB2312" w:eastAsia="仿宋_GB2312" w:cs="仿宋_GB2312"/>
          <w:color w:val="000000" w:themeColor="text1"/>
          <w:highlight w:val="none"/>
          <w14:textFill>
            <w14:solidFill>
              <w14:schemeClr w14:val="tx1"/>
            </w14:solidFill>
          </w14:textFill>
        </w:rPr>
        <w:t>。</w:t>
      </w:r>
    </w:p>
    <w:p w14:paraId="4AC043B0">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通知与送达</w:t>
      </w:r>
      <w:bookmarkEnd w:id="31"/>
      <w:bookmarkEnd w:id="32"/>
      <w:bookmarkEnd w:id="33"/>
    </w:p>
    <w:p w14:paraId="4B8451AC">
      <w:pPr>
        <w:pStyle w:val="12"/>
        <w:numPr>
          <w:ilvl w:val="0"/>
          <w:numId w:val="5"/>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本合同中涉及合同、文件、律师函、诉讼文书的送达地址或邮箱及法律后果作如下约定：</w:t>
      </w:r>
    </w:p>
    <w:p w14:paraId="75BE6E7A">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1.1甲方确认其有效的送达地址为：</w:t>
      </w:r>
      <w:permStart w:id="7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FF"/>
          <w:highlight w:val="none"/>
          <w:u w:val="single"/>
        </w:rPr>
        <w:t>河北省邢台市信都区、沙河渡口村、邯郸市武安市顿井村</w:t>
      </w:r>
      <w:permEnd w:id="76"/>
      <w:r>
        <w:rPr>
          <w:rFonts w:hint="eastAsia" w:ascii="仿宋_GB2312" w:hAnsi="仿宋_GB2312" w:eastAsia="仿宋_GB2312" w:cs="仿宋_GB2312"/>
          <w:color w:val="000000" w:themeColor="text1"/>
          <w:highlight w:val="none"/>
          <w14:textFill>
            <w14:solidFill>
              <w14:schemeClr w14:val="tx1"/>
            </w14:solidFill>
          </w14:textFill>
        </w:rPr>
        <w:t>；</w:t>
      </w:r>
    </w:p>
    <w:p w14:paraId="6104C108">
      <w:pPr>
        <w:pStyle w:val="12"/>
        <w:spacing w:line="400" w:lineRule="atLeast"/>
        <w:ind w:firstLine="720" w:firstLineChars="3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联系人及电话：</w:t>
      </w:r>
      <w:permStart w:id="7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邢丞、15226751218</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7"/>
      <w:r>
        <w:rPr>
          <w:rFonts w:hint="eastAsia" w:ascii="仿宋_GB2312" w:hAnsi="仿宋_GB2312" w:eastAsia="仿宋_GB2312" w:cs="仿宋_GB2312"/>
          <w:color w:val="000000" w:themeColor="text1"/>
          <w:highlight w:val="none"/>
          <w14:textFill>
            <w14:solidFill>
              <w14:schemeClr w14:val="tx1"/>
            </w14:solidFill>
          </w14:textFill>
        </w:rPr>
        <w:t>；邮箱：</w:t>
      </w:r>
      <w:permStart w:id="7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2805383993@qq.com</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8"/>
      <w:r>
        <w:rPr>
          <w:rFonts w:hint="eastAsia" w:ascii="仿宋_GB2312" w:hAnsi="仿宋_GB2312" w:eastAsia="仿宋_GB2312" w:cs="仿宋_GB2312"/>
          <w:color w:val="000000" w:themeColor="text1"/>
          <w:highlight w:val="none"/>
          <w14:textFill>
            <w14:solidFill>
              <w14:schemeClr w14:val="tx1"/>
            </w14:solidFill>
          </w14:textFill>
        </w:rPr>
        <w:t>；</w:t>
      </w:r>
    </w:p>
    <w:p w14:paraId="0738D054">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1.2乙方确认其有效的送达地址为：</w:t>
      </w:r>
      <w:permStart w:id="7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9"/>
      <w:r>
        <w:rPr>
          <w:rFonts w:hint="eastAsia" w:ascii="仿宋_GB2312" w:hAnsi="仿宋_GB2312" w:eastAsia="仿宋_GB2312" w:cs="仿宋_GB2312"/>
          <w:color w:val="000000" w:themeColor="text1"/>
          <w:highlight w:val="none"/>
          <w14:textFill>
            <w14:solidFill>
              <w14:schemeClr w14:val="tx1"/>
            </w14:solidFill>
          </w14:textFill>
        </w:rPr>
        <w:t>；</w:t>
      </w:r>
    </w:p>
    <w:p w14:paraId="0D0B70A8">
      <w:pPr>
        <w:pStyle w:val="12"/>
        <w:spacing w:line="400" w:lineRule="atLeast"/>
        <w:ind w:firstLine="720" w:firstLineChars="3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联系人及电话：</w:t>
      </w:r>
      <w:permStart w:id="8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80"/>
      <w:r>
        <w:rPr>
          <w:rFonts w:hint="eastAsia" w:ascii="仿宋_GB2312" w:hAnsi="仿宋_GB2312" w:eastAsia="仿宋_GB2312" w:cs="仿宋_GB2312"/>
          <w:color w:val="000000" w:themeColor="text1"/>
          <w:highlight w:val="none"/>
          <w14:textFill>
            <w14:solidFill>
              <w14:schemeClr w14:val="tx1"/>
            </w14:solidFill>
          </w14:textFill>
        </w:rPr>
        <w:t>；邮箱：</w:t>
      </w:r>
      <w:permStart w:id="8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81"/>
      <w:r>
        <w:rPr>
          <w:rFonts w:hint="eastAsia" w:ascii="仿宋_GB2312" w:hAnsi="仿宋_GB2312" w:eastAsia="仿宋_GB2312" w:cs="仿宋_GB2312"/>
          <w:color w:val="000000" w:themeColor="text1"/>
          <w:highlight w:val="none"/>
          <w14:textFill>
            <w14:solidFill>
              <w14:schemeClr w14:val="tx1"/>
            </w14:solidFill>
          </w14:textFill>
        </w:rPr>
        <w:t>；</w:t>
      </w:r>
    </w:p>
    <w:p w14:paraId="462D0592">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2、双方该送达地址或邮箱适用范围包括双方就合同发生纠纷时的律师函和法律文书的送达，同时包括在争议进入民事诉讼程序（如有）后的一审、二审、再审和执行程序。</w:t>
      </w:r>
    </w:p>
    <w:p w14:paraId="5FC7124D">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乙方因提供的送达地址或邮箱不准确、变更后未及时书面告知甲方、其指定的接收人拒绝签收等原因，导致法律文书未能被其实际接收的，视为对乙方送达成功：邮寄送达的，以文件退回之日视为送达之日；直接送达的，送达人当场在送达回证上记明情况之日视为送达之日。</w:t>
      </w:r>
    </w:p>
    <w:p w14:paraId="0FBA1299">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34" w:name="_Toc4701"/>
      <w:bookmarkStart w:id="35" w:name="_Toc21843"/>
      <w:bookmarkStart w:id="36" w:name="_Toc26478"/>
      <w:r>
        <w:rPr>
          <w:rFonts w:hint="eastAsia" w:ascii="仿宋_GB2312" w:hAnsi="仿宋_GB2312" w:eastAsia="仿宋_GB2312" w:cs="仿宋_GB2312"/>
          <w:b/>
          <w:bCs/>
          <w:color w:val="000000" w:themeColor="text1"/>
          <w:highlight w:val="none"/>
          <w14:textFill>
            <w14:solidFill>
              <w14:schemeClr w14:val="tx1"/>
            </w14:solidFill>
          </w14:textFill>
        </w:rPr>
        <w:t>合同生效</w:t>
      </w:r>
      <w:bookmarkEnd w:id="34"/>
      <w:bookmarkEnd w:id="35"/>
      <w:bookmarkEnd w:id="36"/>
    </w:p>
    <w:p w14:paraId="09D5058E">
      <w:pPr>
        <w:pStyle w:val="12"/>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1、本合同签约形式适用第</w:t>
      </w:r>
      <w:permStart w:id="82"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1.1</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82"/>
      <w:r>
        <w:rPr>
          <w:rFonts w:hint="eastAsia" w:ascii="仿宋_GB2312" w:hAnsi="仿宋_GB2312" w:eastAsia="仿宋_GB2312" w:cs="仿宋_GB2312"/>
          <w:color w:val="000000" w:themeColor="text1"/>
          <w:highlight w:val="none"/>
          <w14:textFill>
            <w14:solidFill>
              <w14:schemeClr w14:val="tx1"/>
            </w14:solidFill>
          </w14:textFill>
        </w:rPr>
        <w:t>条；</w:t>
      </w:r>
    </w:p>
    <w:p w14:paraId="494C227F">
      <w:pPr>
        <w:pStyle w:val="12"/>
        <w:numPr>
          <w:ilvl w:val="255"/>
          <w:numId w:val="0"/>
        </w:numPr>
        <w:spacing w:line="400" w:lineRule="atLeast"/>
        <w:ind w:firstLine="480" w:firstLineChars="200"/>
        <w:jc w:val="left"/>
        <w:rPr>
          <w:rFonts w:ascii="仿宋_GB2312" w:hAnsi="仿宋_GB2312" w:eastAsia="仿宋_GB2312" w:cs="仿宋_GB2312"/>
          <w:color w:val="000000" w:themeColor="text1"/>
          <w:highlight w:val="none"/>
          <w14:textFill>
            <w14:solidFill>
              <w14:schemeClr w14:val="tx1"/>
            </w14:solidFill>
          </w14:textFill>
        </w:rPr>
      </w:pPr>
      <w:bookmarkStart w:id="37" w:name="_Toc21939"/>
      <w:bookmarkStart w:id="38" w:name="_Toc31827_WPSOffice_Level1"/>
      <w:bookmarkStart w:id="39" w:name="_Toc15785_WPSOffice_Level1"/>
      <w:bookmarkStart w:id="40" w:name="_Toc7989"/>
      <w:bookmarkStart w:id="41" w:name="_Toc6851_WPSOffice_Level1"/>
      <w:r>
        <w:rPr>
          <w:rFonts w:hint="eastAsia" w:ascii="仿宋_GB2312" w:hAnsi="仿宋_GB2312" w:eastAsia="仿宋_GB2312" w:cs="仿宋_GB2312"/>
          <w:color w:val="000000" w:themeColor="text1"/>
          <w:highlight w:val="none"/>
          <w14:textFill>
            <w14:solidFill>
              <w14:schemeClr w14:val="tx1"/>
            </w14:solidFill>
          </w14:textFill>
        </w:rPr>
        <w:t>1.1双方同意通过“E签宝”(网址：https://121.28.96.6:8813/main-index-web)以电子签章的方式签署本合同，本合同自双方加盖电子签章之日起生效。合同生效后，双方均可对本合同进行查阅、下载、打印。下载、打印后的合同可以与“E签宝</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中的电子合同进行比对，如有不同，以“E签宝”中的电子合同为准。甲乙双方使用电子签章方式签署的合同，只有通过验证生效的电子原件具有法律效力，未经电子印章服务平台公司提供书面证明材料的电子合同打印版不能作为法律依据。如因乙方使用不当给甲方造成损失，乙方愿自行承担由此造成的全部经济损失和法律责任。</w:t>
      </w:r>
    </w:p>
    <w:p w14:paraId="4E1F31F4">
      <w:pPr>
        <w:pStyle w:val="12"/>
        <w:numPr>
          <w:ilvl w:val="0"/>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1.2双方同意通过加盖物理印章的方式签署本合同，合同自双方盖章后生效，完成合同约定的全部内容且保修期满后即告终止。合同壹式</w:t>
      </w:r>
      <w:permStart w:id="83"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w:t>
      </w:r>
      <w:permEnd w:id="83"/>
      <w:r>
        <w:rPr>
          <w:rFonts w:hint="eastAsia" w:ascii="仿宋_GB2312" w:hAnsi="仿宋_GB2312" w:eastAsia="仿宋_GB2312" w:cs="仿宋_GB2312"/>
          <w:color w:val="000000" w:themeColor="text1"/>
          <w:highlight w:val="none"/>
          <w14:textFill>
            <w14:solidFill>
              <w14:schemeClr w14:val="tx1"/>
            </w14:solidFill>
          </w14:textFill>
        </w:rPr>
        <w:t>份，甲方执</w:t>
      </w:r>
      <w:permStart w:id="84"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w:t>
      </w:r>
      <w:permEnd w:id="84"/>
      <w:r>
        <w:rPr>
          <w:rFonts w:hint="eastAsia" w:ascii="仿宋_GB2312" w:hAnsi="仿宋_GB2312" w:eastAsia="仿宋_GB2312" w:cs="仿宋_GB2312"/>
          <w:color w:val="000000" w:themeColor="text1"/>
          <w:highlight w:val="none"/>
          <w14:textFill>
            <w14:solidFill>
              <w14:schemeClr w14:val="tx1"/>
            </w14:solidFill>
          </w14:textFill>
        </w:rPr>
        <w:t>份，乙方执</w:t>
      </w:r>
      <w:permStart w:id="85"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w:t>
      </w:r>
      <w:permEnd w:id="85"/>
      <w:r>
        <w:rPr>
          <w:rFonts w:hint="eastAsia" w:ascii="仿宋_GB2312" w:hAnsi="仿宋_GB2312" w:eastAsia="仿宋_GB2312" w:cs="仿宋_GB2312"/>
          <w:color w:val="000000" w:themeColor="text1"/>
          <w:highlight w:val="none"/>
          <w14:textFill>
            <w14:solidFill>
              <w14:schemeClr w14:val="tx1"/>
            </w14:solidFill>
          </w14:textFill>
        </w:rPr>
        <w:t>份。</w:t>
      </w:r>
    </w:p>
    <w:p w14:paraId="30468C57">
      <w:pPr>
        <w:spacing w:line="400" w:lineRule="atLeast"/>
        <w:ind w:firstLine="504" w:firstLineChars="200"/>
        <w:jc w:val="left"/>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pacing w:val="6"/>
          <w:sz w:val="24"/>
          <w:szCs w:val="24"/>
          <w:highlight w:val="none"/>
          <w14:textFill>
            <w14:solidFill>
              <w14:schemeClr w14:val="tx1"/>
            </w14:solidFill>
          </w14:textFill>
        </w:rPr>
        <w:t>以下无正文</w:t>
      </w:r>
      <w:bookmarkEnd w:id="37"/>
      <w:bookmarkEnd w:id="38"/>
      <w:bookmarkEnd w:id="39"/>
      <w:bookmarkEnd w:id="40"/>
      <w:bookmarkEnd w:id="41"/>
      <w:bookmarkStart w:id="42" w:name="_Toc6163_WPSOffice_Level1"/>
      <w:bookmarkStart w:id="43" w:name="_Toc19595_WPSOffice_Level1"/>
      <w:bookmarkStart w:id="44" w:name="_Toc8898_WPSOffice_Level1"/>
    </w:p>
    <w:p w14:paraId="51E53A87">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45" w:name="_Toc23374"/>
      <w:bookmarkStart w:id="46" w:name="_Toc23779"/>
      <w:bookmarkStart w:id="47" w:name="_Toc31108"/>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附件一 授权委托书</w:t>
      </w:r>
      <w:bookmarkEnd w:id="42"/>
      <w:bookmarkEnd w:id="43"/>
      <w:bookmarkEnd w:id="44"/>
      <w:bookmarkEnd w:id="45"/>
      <w:bookmarkEnd w:id="46"/>
      <w:bookmarkEnd w:id="47"/>
    </w:p>
    <w:p w14:paraId="5C3D72FB">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48" w:name="_Toc5250_WPSOffice_Level1"/>
      <w:bookmarkStart w:id="49" w:name="_Toc27542"/>
      <w:bookmarkStart w:id="50" w:name="_Toc3383_WPSOffice_Level1"/>
      <w:bookmarkStart w:id="51" w:name="_Toc14040"/>
      <w:bookmarkStart w:id="52" w:name="_Toc16133_WPSOffice_Level1"/>
      <w:bookmarkStart w:id="53" w:name="_Toc6903"/>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附件二 </w:t>
      </w:r>
      <w:bookmarkEnd w:id="48"/>
      <w:bookmarkEnd w:id="49"/>
      <w:bookmarkEnd w:id="50"/>
      <w:bookmarkEnd w:id="51"/>
      <w:bookmarkEnd w:id="52"/>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项目部合规权限告知书</w:t>
      </w:r>
      <w:bookmarkEnd w:id="53"/>
    </w:p>
    <w:p w14:paraId="610E4D93">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54" w:name="_Toc641_WPSOffice_Level1"/>
      <w:bookmarkStart w:id="55" w:name="_Toc19768_WPSOffice_Level1"/>
      <w:bookmarkStart w:id="56" w:name="_Toc22730_WPSOffice_Level1"/>
      <w:bookmarkStart w:id="57" w:name="_Toc660"/>
      <w:bookmarkStart w:id="58" w:name="_Toc3486"/>
      <w:bookmarkStart w:id="59" w:name="_Toc26596"/>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附件三 </w:t>
      </w:r>
      <w:bookmarkEnd w:id="54"/>
      <w:bookmarkEnd w:id="55"/>
      <w:bookmarkEnd w:id="56"/>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安全管理协议书</w:t>
      </w:r>
      <w:bookmarkEnd w:id="57"/>
      <w:bookmarkEnd w:id="58"/>
      <w:bookmarkEnd w:id="59"/>
    </w:p>
    <w:p w14:paraId="0732E351">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60" w:name="_Toc8260_WPSOffice_Level1"/>
      <w:bookmarkStart w:id="61" w:name="_Toc19161_WPSOffice_Level1"/>
      <w:bookmarkStart w:id="62" w:name="_Toc24584_WPSOffice_Level1"/>
      <w:bookmarkStart w:id="63" w:name="_Toc25961"/>
      <w:bookmarkStart w:id="64" w:name="_Toc459"/>
      <w:bookmarkStart w:id="65" w:name="_Toc6994"/>
      <w:r>
        <w:rPr>
          <w:rFonts w:hint="eastAsia" w:ascii="仿宋_GB2312" w:hAnsi="仿宋_GB2312" w:eastAsia="仿宋_GB2312" w:cs="仿宋_GB2312"/>
          <w:color w:val="000000" w:themeColor="text1"/>
          <w:highlight w:val="none"/>
          <w14:textFill>
            <w14:solidFill>
              <w14:schemeClr w14:val="tx1"/>
            </w14:solidFill>
          </w14:textFill>
        </w:rPr>
        <w:t xml:space="preserve">附件四 </w:t>
      </w:r>
      <w:bookmarkEnd w:id="60"/>
      <w:bookmarkEnd w:id="61"/>
      <w:bookmarkEnd w:id="62"/>
      <w:r>
        <w:rPr>
          <w:rFonts w:hint="eastAsia" w:ascii="仿宋_GB2312" w:hAnsi="仿宋_GB2312" w:eastAsia="仿宋_GB2312" w:cs="仿宋_GB2312"/>
          <w:color w:val="000000" w:themeColor="text1"/>
          <w:highlight w:val="none"/>
          <w14:textFill>
            <w14:solidFill>
              <w14:schemeClr w14:val="tx1"/>
            </w14:solidFill>
          </w14:textFill>
        </w:rPr>
        <w:t>廉洁从业共建协议</w:t>
      </w:r>
      <w:bookmarkEnd w:id="63"/>
      <w:bookmarkEnd w:id="64"/>
      <w:bookmarkEnd w:id="65"/>
    </w:p>
    <w:p w14:paraId="0D4F77DC">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p>
    <w:p w14:paraId="1BC49BB8">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p>
    <w:p w14:paraId="711F15D0">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甲方（盖章）：                        乙方（公章）：             </w:t>
      </w:r>
    </w:p>
    <w:p w14:paraId="53159D93">
      <w:pPr>
        <w:autoSpaceDE w:val="0"/>
        <w:autoSpaceDN w:val="0"/>
        <w:adjustRightInd w:val="0"/>
        <w:spacing w:line="400" w:lineRule="atLeast"/>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p>
    <w:p w14:paraId="63F3CB92">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2F501C3F">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01238BA8">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人：</w:t>
      </w:r>
    </w:p>
    <w:p w14:paraId="6C3D7439">
      <w:pPr>
        <w:pStyle w:val="12"/>
        <w:spacing w:line="400" w:lineRule="atLeast"/>
        <w:rPr>
          <w:rFonts w:ascii="仿宋_GB2312" w:hAnsi="仿宋_GB2312" w:eastAsia="仿宋_GB2312" w:cs="仿宋_GB2312"/>
          <w:color w:val="000000" w:themeColor="text1"/>
          <w:highlight w:val="none"/>
          <w14:textFill>
            <w14:solidFill>
              <w14:schemeClr w14:val="tx1"/>
            </w14:solidFill>
          </w14:textFill>
        </w:rPr>
      </w:pPr>
    </w:p>
    <w:p w14:paraId="6FDACB7A">
      <w:pPr>
        <w:pStyle w:val="12"/>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p>
    <w:p w14:paraId="594E8F4F">
      <w:pPr>
        <w:pStyle w:val="12"/>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sectPr>
          <w:headerReference r:id="rId10" w:type="default"/>
          <w:footerReference r:id="rId11" w:type="default"/>
          <w:pgSz w:w="11906" w:h="16838"/>
          <w:pgMar w:top="1440" w:right="1800" w:bottom="1440" w:left="1800" w:header="850" w:footer="975" w:gutter="0"/>
          <w:pgNumType w:start="1"/>
          <w:cols w:space="0" w:num="1"/>
          <w:docGrid w:linePitch="312" w:charSpace="0"/>
        </w:sectPr>
      </w:pPr>
    </w:p>
    <w:p w14:paraId="2C1BEA80">
      <w:pPr>
        <w:autoSpaceDE w:val="0"/>
        <w:autoSpaceDN w:val="0"/>
        <w:adjustRightInd w:val="0"/>
        <w:spacing w:line="400" w:lineRule="exact"/>
        <w:outlineLvl w:val="0"/>
        <w:rPr>
          <w:rFonts w:ascii="仿宋_GB2312" w:hAnsi="仿宋_GB2312" w:eastAsia="仿宋_GB2312" w:cs="仿宋_GB2312"/>
          <w:color w:val="000000" w:themeColor="text1"/>
          <w:kern w:val="0"/>
          <w:sz w:val="30"/>
          <w:szCs w:val="30"/>
          <w:highlight w:val="none"/>
          <w14:textFill>
            <w14:solidFill>
              <w14:schemeClr w14:val="tx1"/>
            </w14:solidFill>
          </w14:textFill>
        </w:rPr>
      </w:pPr>
      <w:bookmarkStart w:id="66" w:name="_Toc25426"/>
      <w:bookmarkStart w:id="67" w:name="_Toc7321"/>
      <w:bookmarkStart w:id="68" w:name="_Toc31445"/>
      <w:r>
        <w:rPr>
          <w:rFonts w:hint="eastAsia" w:ascii="仿宋_GB2312" w:hAnsi="仿宋_GB2312" w:eastAsia="仿宋_GB2312" w:cs="仿宋_GB2312"/>
          <w:color w:val="000000" w:themeColor="text1"/>
          <w:kern w:val="0"/>
          <w:sz w:val="30"/>
          <w:szCs w:val="30"/>
          <w:highlight w:val="none"/>
          <w14:textFill>
            <w14:solidFill>
              <w14:schemeClr w14:val="tx1"/>
            </w14:solidFill>
          </w14:textFill>
        </w:rPr>
        <w:t>附件一：</w:t>
      </w:r>
      <w:bookmarkEnd w:id="66"/>
      <w:bookmarkEnd w:id="67"/>
      <w:bookmarkEnd w:id="68"/>
    </w:p>
    <w:p w14:paraId="22A8DD24">
      <w:pPr>
        <w:autoSpaceDE w:val="0"/>
        <w:autoSpaceDN w:val="0"/>
        <w:adjustRightInd w:val="0"/>
        <w:spacing w:line="400" w:lineRule="exact"/>
        <w:jc w:val="center"/>
        <w:rPr>
          <w:rFonts w:ascii="仿宋_GB2312" w:hAnsi="仿宋_GB2312" w:eastAsia="仿宋_GB2312" w:cs="仿宋_GB2312"/>
          <w:b/>
          <w:color w:val="000000" w:themeColor="text1"/>
          <w:sz w:val="30"/>
          <w:szCs w:val="30"/>
          <w:highlight w:val="none"/>
          <w14:textFill>
            <w14:solidFill>
              <w14:schemeClr w14:val="tx1"/>
            </w14:solidFill>
          </w14:textFill>
        </w:rPr>
      </w:pPr>
      <w:permStart w:id="86" w:edGrp="everyone"/>
      <w:r>
        <w:rPr>
          <w:rFonts w:hint="eastAsia" w:ascii="仿宋_GB2312" w:hAnsi="仿宋_GB2312" w:eastAsia="仿宋_GB2312" w:cs="仿宋_GB2312"/>
          <w:b/>
          <w:color w:val="000000" w:themeColor="text1"/>
          <w:sz w:val="30"/>
          <w:szCs w:val="30"/>
          <w:highlight w:val="none"/>
          <w14:textFill>
            <w14:solidFill>
              <w14:schemeClr w14:val="tx1"/>
            </w14:solidFill>
          </w14:textFill>
        </w:rPr>
        <w:t>授权委托书</w:t>
      </w:r>
    </w:p>
    <w:p w14:paraId="7EF0B586">
      <w:pPr>
        <w:autoSpaceDE w:val="0"/>
        <w:autoSpaceDN w:val="0"/>
        <w:adjustRightInd w:val="0"/>
        <w:spacing w:line="400" w:lineRule="exact"/>
        <w:rPr>
          <w:rFonts w:ascii="仿宋_GB2312" w:hAnsi="仿宋_GB2312" w:eastAsia="仿宋_GB2312" w:cs="仿宋_GB2312"/>
          <w:b/>
          <w:color w:val="000000" w:themeColor="text1"/>
          <w:sz w:val="24"/>
          <w:szCs w:val="24"/>
          <w:highlight w:val="none"/>
          <w14:textFill>
            <w14:solidFill>
              <w14:schemeClr w14:val="tx1"/>
            </w14:solidFill>
          </w14:textFill>
        </w:rPr>
      </w:pPr>
    </w:p>
    <w:p w14:paraId="4D5633C0">
      <w:pPr>
        <w:autoSpaceDE w:val="0"/>
        <w:autoSpaceDN w:val="0"/>
        <w:adjustRightInd w:val="0"/>
        <w:spacing w:line="400" w:lineRule="exact"/>
        <w:ind w:firstLine="482"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本授权委托书声明：</w:t>
      </w:r>
      <w:r>
        <w:rPr>
          <w:rFonts w:hint="eastAsia" w:ascii="仿宋_GB2312" w:hAnsi="仿宋_GB2312" w:eastAsia="仿宋_GB2312" w:cs="仿宋_GB2312"/>
          <w:color w:val="000000" w:themeColor="text1"/>
          <w:sz w:val="24"/>
          <w:szCs w:val="24"/>
          <w:highlight w:val="none"/>
          <w14:textFill>
            <w14:solidFill>
              <w14:schemeClr w14:val="tx1"/>
            </w14:solidFill>
          </w14:textFill>
        </w:rPr>
        <w:t>我</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）系</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公司（乙方）的法定代表人，现授权委托</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）为我公司合法的代理人。以本公司的名义负责</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项目招投标、合同签署及合同履行等事宜。</w:t>
      </w:r>
    </w:p>
    <w:p w14:paraId="199108A4">
      <w:pPr>
        <w:autoSpaceDE w:val="0"/>
        <w:autoSpaceDN w:val="0"/>
        <w:adjustRightInd w:val="0"/>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代理人在合同履行过程中所签署的一切文件和处理与之有关的一切事务，包括但不限于签署往来函件、签署会议纪要、货物供应、结算办理、</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货</w:t>
      </w:r>
      <w:r>
        <w:rPr>
          <w:rFonts w:hint="eastAsia" w:ascii="仿宋_GB2312" w:hAnsi="仿宋_GB2312" w:eastAsia="仿宋_GB2312" w:cs="仿宋_GB2312"/>
          <w:color w:val="000000" w:themeColor="text1"/>
          <w:sz w:val="24"/>
          <w:szCs w:val="24"/>
          <w:highlight w:val="none"/>
          <w14:textFill>
            <w14:solidFill>
              <w14:schemeClr w14:val="tx1"/>
            </w14:solidFill>
          </w14:textFill>
        </w:rPr>
        <w:t>款的收取、发票开具等均具有法律效力，授权人均予以认可。</w:t>
      </w:r>
    </w:p>
    <w:p w14:paraId="4CB806F8">
      <w:pPr>
        <w:keepNext/>
        <w:keepLines/>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本授权委托的期限为自</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日至</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w:t>
      </w:r>
    </w:p>
    <w:p w14:paraId="70268024">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代理人无转委托权。</w:t>
      </w:r>
    </w:p>
    <w:p w14:paraId="37CE0930">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特此授权。</w:t>
      </w:r>
    </w:p>
    <w:p w14:paraId="63EB6D37">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委托单位全称（公章）：          </w:t>
      </w:r>
    </w:p>
    <w:p w14:paraId="28996E1C">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法定代表人：</w:t>
      </w:r>
    </w:p>
    <w:p w14:paraId="651633DD">
      <w:pPr>
        <w:spacing w:line="400" w:lineRule="exact"/>
        <w:ind w:firstLine="480" w:firstLineChars="200"/>
        <w:jc w:val="right"/>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日     </w:t>
      </w:r>
      <w:r>
        <w:rPr>
          <w:rFonts w:hint="eastAsia" w:ascii="仿宋_GB2312" w:hAnsi="仿宋_GB2312" w:eastAsia="仿宋_GB2312" w:cs="仿宋_GB2312"/>
          <w:b/>
          <w:color w:val="000000" w:themeColor="text1"/>
          <w:sz w:val="24"/>
          <w:szCs w:val="24"/>
          <w:highlight w:val="none"/>
          <w14:textFill>
            <w14:solidFill>
              <w14:schemeClr w14:val="tx1"/>
            </w14:solidFill>
          </w14:textFill>
        </w:rPr>
        <w:t xml:space="preserve"> </w:t>
      </w:r>
    </w:p>
    <w:p w14:paraId="36D111C6">
      <w:pPr>
        <w:spacing w:before="120" w:beforeLines="50" w:after="120" w:afterLines="50" w:line="400" w:lineRule="exact"/>
        <w:ind w:firstLine="482"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代理人声明</w:t>
      </w:r>
      <w:r>
        <w:rPr>
          <w:rFonts w:hint="eastAsia" w:ascii="仿宋_GB2312" w:hAnsi="仿宋_GB2312" w:eastAsia="仿宋_GB2312" w:cs="仿宋_GB2312"/>
          <w:color w:val="000000" w:themeColor="text1"/>
          <w:sz w:val="24"/>
          <w:szCs w:val="24"/>
          <w:highlight w:val="none"/>
          <w14:textFill>
            <w14:solidFill>
              <w14:schemeClr w14:val="tx1"/>
            </w14:solidFill>
          </w14:textFill>
        </w:rPr>
        <w:t>：我对以上授权委托事项完全接受，自愿履行。</w:t>
      </w:r>
    </w:p>
    <w:p w14:paraId="0D03E0F3">
      <w:pPr>
        <w:spacing w:line="400" w:lineRule="exact"/>
        <w:ind w:firstLine="480" w:firstLineChars="20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代理人（本人签字）：</w:t>
      </w:r>
    </w:p>
    <w:p w14:paraId="0DA4503C">
      <w:pPr>
        <w:spacing w:line="400" w:lineRule="exact"/>
        <w:ind w:firstLine="480" w:firstLineChars="200"/>
        <w:jc w:val="righ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w:t>
      </w:r>
    </w:p>
    <w:tbl>
      <w:tblPr>
        <w:tblStyle w:val="10"/>
        <w:tblpPr w:leftFromText="180" w:rightFromText="180" w:vertAnchor="text" w:horzAnchor="page" w:tblpX="1551" w:tblpY="508"/>
        <w:tblOverlap w:val="never"/>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560"/>
      </w:tblGrid>
      <w:tr w14:paraId="615A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trPr>
        <w:tc>
          <w:tcPr>
            <w:tcW w:w="4470" w:type="dxa"/>
            <w:tcBorders>
              <w:right w:val="single" w:color="000000" w:sz="4" w:space="0"/>
            </w:tcBorders>
            <w:vAlign w:val="center"/>
          </w:tcPr>
          <w:p w14:paraId="30641724">
            <w:pPr>
              <w:autoSpaceDE w:val="0"/>
              <w:autoSpaceDN w:val="0"/>
              <w:adjustRightInd w:val="0"/>
              <w:spacing w:line="4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4560" w:type="dxa"/>
            <w:tcBorders>
              <w:left w:val="single" w:color="000000" w:sz="4" w:space="0"/>
            </w:tcBorders>
            <w:vAlign w:val="center"/>
          </w:tcPr>
          <w:p w14:paraId="2A64513D">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tc>
      </w:tr>
    </w:tbl>
    <w:p w14:paraId="3A3D4E58">
      <w:pPr>
        <w:spacing w:line="400" w:lineRule="exact"/>
        <w:ind w:firstLine="482" w:firstLineChars="200"/>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u w:val="dash"/>
          <w14:textFill>
            <w14:solidFill>
              <w14:schemeClr w14:val="tx1"/>
            </w14:solidFill>
          </w14:textFill>
        </w:rPr>
        <w:t>代理人身份证复印件粘贴处</w:t>
      </w:r>
      <w:r>
        <w:rPr>
          <w:rFonts w:hint="eastAsia" w:ascii="仿宋_GB2312" w:hAnsi="仿宋_GB2312" w:eastAsia="仿宋_GB2312" w:cs="仿宋_GB2312"/>
          <w:b/>
          <w:color w:val="000000" w:themeColor="text1"/>
          <w:sz w:val="24"/>
          <w:szCs w:val="24"/>
          <w:highlight w:val="none"/>
          <w14:textFill>
            <w14:solidFill>
              <w14:schemeClr w14:val="tx1"/>
            </w14:solidFill>
          </w14:textFill>
        </w:rPr>
        <w:t>：</w:t>
      </w:r>
    </w:p>
    <w:tbl>
      <w:tblPr>
        <w:tblStyle w:val="10"/>
        <w:tblpPr w:leftFromText="180" w:rightFromText="180" w:vertAnchor="text" w:horzAnchor="page" w:tblpX="1551" w:tblpY="3249"/>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4530"/>
      </w:tblGrid>
      <w:tr w14:paraId="492F0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4485" w:type="dxa"/>
            <w:tcBorders>
              <w:right w:val="single" w:color="000000" w:sz="4" w:space="0"/>
            </w:tcBorders>
            <w:vAlign w:val="center"/>
          </w:tcPr>
          <w:p w14:paraId="4ABFA87A">
            <w:pPr>
              <w:autoSpaceDE w:val="0"/>
              <w:autoSpaceDN w:val="0"/>
              <w:adjustRightInd w:val="0"/>
              <w:spacing w:line="4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4530" w:type="dxa"/>
            <w:tcBorders>
              <w:left w:val="single" w:color="000000" w:sz="4" w:space="0"/>
            </w:tcBorders>
            <w:vAlign w:val="center"/>
          </w:tcPr>
          <w:p w14:paraId="6619FC2E">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tc>
      </w:tr>
    </w:tbl>
    <w:p w14:paraId="0325FF7E">
      <w:pPr>
        <w:spacing w:line="400" w:lineRule="exact"/>
        <w:ind w:firstLine="482" w:firstLineChars="200"/>
        <w:rPr>
          <w:rFonts w:ascii="仿宋_GB2312" w:hAnsi="仿宋_GB2312" w:eastAsia="仿宋_GB2312" w:cs="仿宋_GB2312"/>
          <w:b/>
          <w:color w:val="000000" w:themeColor="text1"/>
          <w:sz w:val="24"/>
          <w:szCs w:val="24"/>
          <w:highlight w:val="none"/>
          <w:u w:val="dash"/>
          <w14:textFill>
            <w14:solidFill>
              <w14:schemeClr w14:val="tx1"/>
            </w14:solidFill>
          </w14:textFill>
        </w:rPr>
      </w:pPr>
      <w:r>
        <w:rPr>
          <w:rFonts w:hint="eastAsia" w:ascii="仿宋_GB2312" w:hAnsi="仿宋_GB2312" w:eastAsia="仿宋_GB2312" w:cs="仿宋_GB2312"/>
          <w:b/>
          <w:color w:val="000000" w:themeColor="text1"/>
          <w:sz w:val="24"/>
          <w:szCs w:val="24"/>
          <w:highlight w:val="none"/>
          <w:u w:val="dash"/>
          <w14:textFill>
            <w14:solidFill>
              <w14:schemeClr w14:val="tx1"/>
            </w14:solidFill>
          </w14:textFill>
        </w:rPr>
        <w:t>法定代表人身份证复印件粘贴处：</w:t>
      </w:r>
    </w:p>
    <w:p w14:paraId="5D409106">
      <w:pPr>
        <w:pStyle w:val="12"/>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sectPr>
          <w:pgSz w:w="11906" w:h="16838"/>
          <w:pgMar w:top="1440" w:right="1800" w:bottom="1440" w:left="1800" w:header="850" w:footer="975" w:gutter="0"/>
          <w:cols w:space="0" w:num="1"/>
          <w:docGrid w:linePitch="312" w:charSpace="0"/>
        </w:sectPr>
      </w:pPr>
    </w:p>
    <w:permEnd w:id="86"/>
    <w:p w14:paraId="5AF9C604">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bookmarkStart w:id="69" w:name="_Toc21254"/>
      <w:bookmarkStart w:id="70" w:name="_Toc16973"/>
      <w:bookmarkStart w:id="71" w:name="_Toc4519"/>
      <w:r>
        <w:rPr>
          <w:rFonts w:hint="eastAsia" w:ascii="仿宋_GB2312" w:hAnsi="仿宋_GB2312" w:eastAsia="仿宋_GB2312" w:cs="仿宋_GB2312"/>
          <w:color w:val="000000" w:themeColor="text1"/>
          <w:sz w:val="30"/>
          <w:szCs w:val="30"/>
          <w:highlight w:val="none"/>
          <w14:textFill>
            <w14:solidFill>
              <w14:schemeClr w14:val="tx1"/>
            </w14:solidFill>
          </w14:textFill>
        </w:rPr>
        <w:t>附件二：</w:t>
      </w:r>
      <w:bookmarkEnd w:id="69"/>
      <w:bookmarkEnd w:id="70"/>
      <w:bookmarkEnd w:id="71"/>
    </w:p>
    <w:p w14:paraId="60A16B4E">
      <w:pPr>
        <w:spacing w:line="400" w:lineRule="exact"/>
        <w:jc w:val="center"/>
        <w:rPr>
          <w:rFonts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项目部合规权限告知书</w:t>
      </w:r>
    </w:p>
    <w:p w14:paraId="649FAF19">
      <w:pPr>
        <w:autoSpaceDE w:val="0"/>
        <w:autoSpaceDN w:val="0"/>
        <w:adjustRightInd w:val="0"/>
        <w:spacing w:before="240" w:beforeLines="100"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致：</w:t>
      </w:r>
      <w:permStart w:id="87" w:edGrp="everyone"/>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permEnd w:id="87"/>
      <w:r>
        <w:rPr>
          <w:rFonts w:hint="eastAsia" w:ascii="仿宋_GB2312" w:hAnsi="仿宋_GB2312" w:eastAsia="仿宋_GB2312" w:cs="仿宋_GB2312"/>
          <w:color w:val="000000" w:themeColor="text1"/>
          <w:sz w:val="24"/>
          <w:szCs w:val="24"/>
          <w14:textFill>
            <w14:solidFill>
              <w14:schemeClr w14:val="tx1"/>
            </w14:solidFill>
          </w14:textFill>
        </w:rPr>
        <w:t>（乙方全称）</w:t>
      </w:r>
    </w:p>
    <w:p w14:paraId="5D0D3F7A">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permStart w:id="88" w:edGrp="everyone"/>
      <w:r>
        <w:rPr>
          <w:rFonts w:hint="eastAsia" w:ascii="仿宋_GB2312" w:hAnsi="仿宋_GB2312" w:eastAsia="仿宋_GB2312" w:cs="仿宋_GB2312"/>
          <w:color w:val="000000" w:themeColor="text1"/>
          <w:sz w:val="24"/>
          <w:szCs w:val="24"/>
          <w14:textFill>
            <w14:solidFill>
              <w14:schemeClr w14:val="tx1"/>
            </w14:solidFill>
          </w14:textFill>
        </w:rPr>
        <w:t xml:space="preserve"> </w:t>
      </w:r>
      <w:bookmarkStart w:id="72" w:name="_Hlk126830603"/>
      <w:r>
        <w:rPr>
          <w:rFonts w:hint="eastAsia" w:ascii="仿宋_GB2312" w:hAnsi="仿宋_GB2312" w:eastAsia="仿宋_GB2312" w:cs="仿宋_GB2312"/>
          <w:color w:val="000000" w:themeColor="text1"/>
          <w:sz w:val="24"/>
          <w:szCs w:val="24"/>
          <w:u w:val="single"/>
          <w14:textFill>
            <w14:solidFill>
              <w14:schemeClr w14:val="tx1"/>
            </w14:solidFill>
          </w14:textFill>
        </w:rPr>
        <w:t>中建路桥集团有限公司</w:t>
      </w:r>
      <w:permEnd w:id="88"/>
      <w:bookmarkEnd w:id="72"/>
      <w:r>
        <w:rPr>
          <w:rFonts w:hint="eastAsia" w:ascii="仿宋_GB2312" w:hAnsi="仿宋_GB2312" w:eastAsia="仿宋_GB2312" w:cs="仿宋_GB2312"/>
          <w:color w:val="000000" w:themeColor="text1"/>
          <w:sz w:val="24"/>
          <w:szCs w:val="24"/>
          <w:lang w:val="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采购方</w:t>
      </w:r>
      <w:r>
        <w:rPr>
          <w:rFonts w:hint="eastAsia" w:ascii="仿宋_GB2312" w:hAnsi="仿宋_GB2312" w:eastAsia="仿宋_GB2312" w:cs="仿宋_GB2312"/>
          <w:color w:val="000000" w:themeColor="text1"/>
          <w:sz w:val="24"/>
          <w:szCs w:val="24"/>
          <w:lang w:val="zh-CN"/>
          <w14:textFill>
            <w14:solidFill>
              <w14:schemeClr w14:val="tx1"/>
            </w14:solidFill>
          </w14:textFill>
        </w:rPr>
        <w:t>全称，以下简称本公司），系依法成立并有效存续的公司。现向本公司</w:t>
      </w:r>
      <w:permStart w:id="89" w:edGrp="everyone"/>
      <w:r>
        <w:rPr>
          <w:rFonts w:hint="eastAsia" w:ascii="仿宋_GB2312" w:hAnsi="仿宋" w:eastAsia="仿宋_GB2312"/>
          <w:b w:val="0"/>
          <w:bCs/>
          <w:color w:val="000000" w:themeColor="text1"/>
          <w:sz w:val="22"/>
          <w:szCs w:val="22"/>
          <w:highlight w:val="none"/>
          <w:u w:val="single"/>
          <w14:textFill>
            <w14:solidFill>
              <w14:schemeClr w14:val="tx1"/>
            </w14:solidFill>
          </w14:textFill>
        </w:rPr>
        <w:t>太行山高速</w:t>
      </w:r>
      <w:r>
        <w:rPr>
          <w:rFonts w:hint="eastAsia" w:ascii="仿宋_GB2312" w:hAnsi="仿宋" w:eastAsia="仿宋_GB2312"/>
          <w:b w:val="0"/>
          <w:bCs/>
          <w:color w:val="000000" w:themeColor="text1"/>
          <w:sz w:val="22"/>
          <w:szCs w:val="22"/>
          <w:highlight w:val="none"/>
          <w:u w:val="single"/>
          <w:lang w:val="en-US" w:eastAsia="zh-CN"/>
          <w14:textFill>
            <w14:solidFill>
              <w14:schemeClr w14:val="tx1"/>
            </w14:solidFill>
          </w14:textFill>
        </w:rPr>
        <w:t>养护</w:t>
      </w:r>
      <w:r>
        <w:rPr>
          <w:rFonts w:hint="eastAsia" w:ascii="仿宋_GB2312" w:hAnsi="仿宋" w:eastAsia="仿宋_GB2312"/>
          <w:b w:val="0"/>
          <w:bCs/>
          <w:color w:val="000000" w:themeColor="text1"/>
          <w:sz w:val="22"/>
          <w:szCs w:val="22"/>
          <w:highlight w:val="none"/>
          <w:u w:val="single"/>
          <w14:textFill>
            <w14:solidFill>
              <w14:schemeClr w14:val="tx1"/>
            </w14:solidFill>
          </w14:textFill>
        </w:rPr>
        <w:t>工程</w:t>
      </w:r>
      <w:permEnd w:id="89"/>
      <w:r>
        <w:rPr>
          <w:rFonts w:hint="eastAsia" w:ascii="仿宋_GB2312" w:hAnsi="仿宋_GB2312" w:eastAsia="仿宋_GB2312" w:cs="仿宋_GB2312"/>
          <w:color w:val="000000" w:themeColor="text1"/>
          <w:sz w:val="24"/>
          <w:szCs w:val="24"/>
          <w:lang w:val="zh-CN"/>
          <w14:textFill>
            <w14:solidFill>
              <w14:schemeClr w14:val="tx1"/>
            </w14:solidFill>
          </w14:textFill>
        </w:rPr>
        <w:t>项目部(以下简称项目部)签发项目部合规权限告知书（以下简称本</w:t>
      </w:r>
      <w:r>
        <w:rPr>
          <w:rFonts w:hint="eastAsia" w:ascii="仿宋_GB2312" w:hAnsi="仿宋_GB2312" w:eastAsia="仿宋_GB2312" w:cs="仿宋_GB2312"/>
          <w:color w:val="000000" w:themeColor="text1"/>
          <w:sz w:val="24"/>
          <w:szCs w:val="24"/>
          <w14:textFill>
            <w14:solidFill>
              <w14:schemeClr w14:val="tx1"/>
            </w14:solidFill>
          </w14:textFill>
        </w:rPr>
        <w:t>告知</w:t>
      </w:r>
      <w:r>
        <w:rPr>
          <w:rFonts w:hint="eastAsia" w:ascii="仿宋_GB2312" w:hAnsi="仿宋_GB2312" w:eastAsia="仿宋_GB2312" w:cs="仿宋_GB2312"/>
          <w:color w:val="000000" w:themeColor="text1"/>
          <w:sz w:val="24"/>
          <w:szCs w:val="24"/>
          <w:lang w:val="zh-CN"/>
          <w14:textFill>
            <w14:solidFill>
              <w14:schemeClr w14:val="tx1"/>
            </w14:solidFill>
          </w14:textFill>
        </w:rPr>
        <w:t>书），项目经理</w:t>
      </w:r>
      <w:permStart w:id="90"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邢丞</w:t>
      </w:r>
      <w:permEnd w:id="90"/>
      <w:r>
        <w:rPr>
          <w:rFonts w:hint="eastAsia" w:ascii="仿宋_GB2312" w:hAnsi="仿宋_GB2312" w:eastAsia="仿宋_GB2312" w:cs="仿宋_GB2312"/>
          <w:color w:val="000000" w:themeColor="text1"/>
          <w:sz w:val="24"/>
          <w:szCs w:val="24"/>
          <w14:textFill>
            <w14:solidFill>
              <w14:schemeClr w14:val="tx1"/>
            </w14:solidFill>
          </w14:textFill>
        </w:rPr>
        <w:t>（身份证号：</w:t>
      </w:r>
      <w:permStart w:id="91"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132930198212082816</w:t>
      </w:r>
      <w:permEnd w:id="91"/>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zh-CN"/>
          <w14:textFill>
            <w14:solidFill>
              <w14:schemeClr w14:val="tx1"/>
            </w14:solidFill>
          </w14:textFill>
        </w:rPr>
        <w:t xml:space="preserve">代表本公司行使权限。 </w:t>
      </w:r>
    </w:p>
    <w:p w14:paraId="60490CA7">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一、</w:t>
      </w:r>
      <w:r>
        <w:rPr>
          <w:rFonts w:hint="eastAsia" w:ascii="仿宋_GB2312" w:hAnsi="仿宋_GB2312" w:eastAsia="仿宋_GB2312" w:cs="仿宋_GB2312"/>
          <w:color w:val="000000" w:themeColor="text1"/>
          <w:sz w:val="24"/>
          <w:szCs w:val="24"/>
          <w:lang w:val="zh-CN"/>
          <w14:textFill>
            <w14:solidFill>
              <w14:schemeClr w14:val="tx1"/>
            </w14:solidFill>
          </w14:textFill>
        </w:rPr>
        <w:t>项目部须严格按合同约定行使权利，履行义务。本授权书规定与合同约定相冲突的，以合同约定为准。</w:t>
      </w:r>
    </w:p>
    <w:p w14:paraId="6D773AA2">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二、项目部行使权限，须由项目经理签字并加盖项目部公章，否则本公司不予认可，亦不承担任何责任。</w:t>
      </w:r>
    </w:p>
    <w:p w14:paraId="12113C22">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三、项目经理</w:t>
      </w:r>
      <w:r>
        <w:rPr>
          <w:rFonts w:hint="eastAsia" w:ascii="仿宋_GB2312" w:hAnsi="仿宋_GB2312" w:eastAsia="仿宋_GB2312" w:cs="仿宋_GB2312"/>
          <w:color w:val="000000" w:themeColor="text1"/>
          <w:sz w:val="24"/>
          <w:szCs w:val="24"/>
          <w14:textFill>
            <w14:solidFill>
              <w14:schemeClr w14:val="tx1"/>
            </w14:solidFill>
          </w14:textFill>
        </w:rPr>
        <w:t>不</w:t>
      </w:r>
      <w:r>
        <w:rPr>
          <w:rFonts w:hint="eastAsia" w:ascii="仿宋_GB2312" w:hAnsi="仿宋_GB2312" w:eastAsia="仿宋_GB2312" w:cs="仿宋_GB2312"/>
          <w:color w:val="000000" w:themeColor="text1"/>
          <w:sz w:val="24"/>
          <w:szCs w:val="24"/>
          <w:lang w:val="zh-CN"/>
          <w14:textFill>
            <w14:solidFill>
              <w14:schemeClr w14:val="tx1"/>
            </w14:solidFill>
          </w14:textFill>
        </w:rPr>
        <w:t>可将其部分权限以书面形式转授权项目部其他人员，项目部任何内设机构及项目经理</w:t>
      </w:r>
      <w:r>
        <w:rPr>
          <w:rFonts w:hint="eastAsia" w:ascii="仿宋_GB2312" w:hAnsi="仿宋_GB2312" w:eastAsia="仿宋_GB2312" w:cs="仿宋_GB2312"/>
          <w:color w:val="000000" w:themeColor="text1"/>
          <w:sz w:val="24"/>
          <w:szCs w:val="24"/>
          <w14:textFill>
            <w14:solidFill>
              <w14:schemeClr w14:val="tx1"/>
            </w14:solidFill>
          </w14:textFill>
        </w:rPr>
        <w:t>擅自</w:t>
      </w:r>
      <w:r>
        <w:rPr>
          <w:rFonts w:hint="eastAsia" w:ascii="仿宋_GB2312" w:hAnsi="仿宋_GB2312" w:eastAsia="仿宋_GB2312" w:cs="仿宋_GB2312"/>
          <w:color w:val="000000" w:themeColor="text1"/>
          <w:sz w:val="24"/>
          <w:szCs w:val="24"/>
          <w:lang w:val="zh-CN"/>
          <w14:textFill>
            <w14:solidFill>
              <w14:schemeClr w14:val="tx1"/>
            </w14:solidFill>
          </w14:textFill>
        </w:rPr>
        <w:t>转授权人员以任何形式签字、盖章本公司均不予认可，亦不承担任何责任。</w:t>
      </w:r>
    </w:p>
    <w:p w14:paraId="3A3CB1C1">
      <w:pPr>
        <w:autoSpaceDE w:val="0"/>
        <w:autoSpaceDN w:val="0"/>
        <w:adjustRightInd w:val="0"/>
        <w:spacing w:line="400" w:lineRule="exact"/>
        <w:ind w:firstLine="480" w:firstLineChars="200"/>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四、项目所有合同、协议等具有权利义务性质的文件均需加盖合同专用章，否则本公司不予认可，亦不承担任何责任。</w:t>
      </w:r>
    </w:p>
    <w:p w14:paraId="457C04F1">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五、凡涉及项目经济性事项，项目部须严格在本授权书规定的权限范围内行使，否则，即使经项目部加盖公章、项目经理签字，本公司亦不予认可，不承担任何责任。</w:t>
      </w:r>
    </w:p>
    <w:p w14:paraId="41D6647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1.项目部有权审批如下事项：</w:t>
      </w:r>
    </w:p>
    <w:tbl>
      <w:tblPr>
        <w:tblStyle w:val="10"/>
        <w:tblpPr w:leftFromText="180" w:rightFromText="180" w:vertAnchor="text" w:horzAnchor="margin" w:tblpXSpec="center" w:tblpY="87"/>
        <w:tblOverlap w:val="never"/>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209"/>
        <w:gridCol w:w="1974"/>
        <w:gridCol w:w="5117"/>
      </w:tblGrid>
      <w:tr w14:paraId="24F2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vAlign w:val="center"/>
          </w:tcPr>
          <w:p w14:paraId="58DA38E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序号</w:t>
            </w:r>
          </w:p>
        </w:tc>
        <w:tc>
          <w:tcPr>
            <w:tcW w:w="1209" w:type="dxa"/>
            <w:vAlign w:val="center"/>
          </w:tcPr>
          <w:p w14:paraId="46C5A47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板块</w:t>
            </w:r>
          </w:p>
        </w:tc>
        <w:tc>
          <w:tcPr>
            <w:tcW w:w="1974" w:type="dxa"/>
            <w:vAlign w:val="center"/>
          </w:tcPr>
          <w:p w14:paraId="2742A1E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授权事项</w:t>
            </w:r>
          </w:p>
        </w:tc>
        <w:tc>
          <w:tcPr>
            <w:tcW w:w="5117" w:type="dxa"/>
            <w:vAlign w:val="center"/>
          </w:tcPr>
          <w:p w14:paraId="4249D16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授权权限</w:t>
            </w:r>
          </w:p>
        </w:tc>
      </w:tr>
      <w:tr w14:paraId="0E714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1083B6C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w:t>
            </w:r>
          </w:p>
        </w:tc>
        <w:tc>
          <w:tcPr>
            <w:tcW w:w="1209" w:type="dxa"/>
            <w:vMerge w:val="restart"/>
            <w:vAlign w:val="center"/>
          </w:tcPr>
          <w:p w14:paraId="2808B3A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总包管理</w:t>
            </w:r>
          </w:p>
        </w:tc>
        <w:tc>
          <w:tcPr>
            <w:tcW w:w="1974" w:type="dxa"/>
            <w:vAlign w:val="center"/>
          </w:tcPr>
          <w:p w14:paraId="70E218E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申请开工</w:t>
            </w:r>
          </w:p>
        </w:tc>
        <w:tc>
          <w:tcPr>
            <w:tcW w:w="5117" w:type="dxa"/>
            <w:vAlign w:val="center"/>
          </w:tcPr>
          <w:p w14:paraId="2CE2A8C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有权向建设单位申请开工。</w:t>
            </w:r>
          </w:p>
        </w:tc>
      </w:tr>
      <w:tr w14:paraId="4536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2AA80B5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p>
        </w:tc>
        <w:tc>
          <w:tcPr>
            <w:tcW w:w="1209" w:type="dxa"/>
            <w:vMerge w:val="continue"/>
            <w:vAlign w:val="center"/>
          </w:tcPr>
          <w:p w14:paraId="0BC885A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6BBA76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施工方案、施工组织设计</w:t>
            </w:r>
          </w:p>
        </w:tc>
        <w:tc>
          <w:tcPr>
            <w:tcW w:w="5117" w:type="dxa"/>
            <w:vAlign w:val="center"/>
          </w:tcPr>
          <w:p w14:paraId="0812684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施工方案、施工组织设计、技术措施的编制、交底、实施和落实。</w:t>
            </w:r>
          </w:p>
        </w:tc>
      </w:tr>
      <w:tr w14:paraId="4BCD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46485D7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p>
        </w:tc>
        <w:tc>
          <w:tcPr>
            <w:tcW w:w="1209" w:type="dxa"/>
            <w:vMerge w:val="continue"/>
            <w:vAlign w:val="center"/>
          </w:tcPr>
          <w:p w14:paraId="61358AC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5E1995C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报送工程进度</w:t>
            </w:r>
          </w:p>
        </w:tc>
        <w:tc>
          <w:tcPr>
            <w:tcW w:w="5117" w:type="dxa"/>
            <w:vAlign w:val="center"/>
          </w:tcPr>
          <w:p w14:paraId="1694214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对外报送工程进度计划及调整。</w:t>
            </w:r>
          </w:p>
        </w:tc>
      </w:tr>
      <w:tr w14:paraId="0D9E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239339C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4</w:t>
            </w:r>
          </w:p>
        </w:tc>
        <w:tc>
          <w:tcPr>
            <w:tcW w:w="1209" w:type="dxa"/>
            <w:vMerge w:val="continue"/>
            <w:vAlign w:val="center"/>
          </w:tcPr>
          <w:p w14:paraId="621CA0F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F5838D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物资需用计划</w:t>
            </w:r>
          </w:p>
        </w:tc>
        <w:tc>
          <w:tcPr>
            <w:tcW w:w="5117" w:type="dxa"/>
            <w:vAlign w:val="center"/>
          </w:tcPr>
          <w:p w14:paraId="7689556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有权向建设单位报送物资需用计划（适用于工程所需材料由建设单位提供）。</w:t>
            </w:r>
          </w:p>
        </w:tc>
      </w:tr>
      <w:tr w14:paraId="5ADE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1923EFC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5</w:t>
            </w:r>
          </w:p>
        </w:tc>
        <w:tc>
          <w:tcPr>
            <w:tcW w:w="1209" w:type="dxa"/>
            <w:vMerge w:val="continue"/>
            <w:vAlign w:val="center"/>
          </w:tcPr>
          <w:p w14:paraId="12B2CF8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0D0624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甲供材过程及质量问题反馈</w:t>
            </w:r>
          </w:p>
        </w:tc>
        <w:tc>
          <w:tcPr>
            <w:tcW w:w="5117" w:type="dxa"/>
            <w:vAlign w:val="center"/>
          </w:tcPr>
          <w:p w14:paraId="05564D4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有权就建设单位方供应（控制）的物质，供货过程及质量问题，向建设单位发联系函。</w:t>
            </w:r>
          </w:p>
        </w:tc>
      </w:tr>
      <w:tr w14:paraId="4A8F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22A13A2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6</w:t>
            </w:r>
          </w:p>
        </w:tc>
        <w:tc>
          <w:tcPr>
            <w:tcW w:w="1209" w:type="dxa"/>
            <w:vMerge w:val="continue"/>
            <w:vAlign w:val="center"/>
          </w:tcPr>
          <w:p w14:paraId="1E3FE1E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3C918B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废旧物资处理</w:t>
            </w:r>
          </w:p>
        </w:tc>
        <w:tc>
          <w:tcPr>
            <w:tcW w:w="5117" w:type="dxa"/>
            <w:vAlign w:val="center"/>
          </w:tcPr>
          <w:p w14:paraId="24C5926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有权按</w:t>
            </w:r>
            <w:r>
              <w:rPr>
                <w:rFonts w:hint="eastAsia" w:ascii="仿宋_GB2312" w:hAnsi="仿宋_GB2312" w:eastAsia="仿宋_GB2312" w:cs="仿宋_GB2312"/>
                <w:b/>
                <w:bCs/>
                <w:color w:val="000000" w:themeColor="text1"/>
                <w:sz w:val="24"/>
                <w:szCs w:val="24"/>
                <w14:textFill>
                  <w14:solidFill>
                    <w14:schemeClr w14:val="tx1"/>
                  </w14:solidFill>
                </w14:textFill>
              </w:rPr>
              <w:t>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确定的方案实施处理废旧物资。</w:t>
            </w:r>
          </w:p>
        </w:tc>
      </w:tr>
      <w:tr w14:paraId="45AC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6F2622B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7</w:t>
            </w:r>
          </w:p>
        </w:tc>
        <w:tc>
          <w:tcPr>
            <w:tcW w:w="1209" w:type="dxa"/>
            <w:vMerge w:val="continue"/>
            <w:vAlign w:val="center"/>
          </w:tcPr>
          <w:p w14:paraId="250E1F3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9D07A4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设计变更、签证、索赔</w:t>
            </w:r>
          </w:p>
        </w:tc>
        <w:tc>
          <w:tcPr>
            <w:tcW w:w="5117" w:type="dxa"/>
            <w:vAlign w:val="center"/>
          </w:tcPr>
          <w:p w14:paraId="3DF045A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有权向建设单位报送设计变更、签证、索赔报价单</w:t>
            </w:r>
          </w:p>
        </w:tc>
      </w:tr>
      <w:tr w14:paraId="44CB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A7CA6D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8</w:t>
            </w:r>
          </w:p>
        </w:tc>
        <w:tc>
          <w:tcPr>
            <w:tcW w:w="1209" w:type="dxa"/>
            <w:vMerge w:val="continue"/>
            <w:vAlign w:val="center"/>
          </w:tcPr>
          <w:p w14:paraId="6B1A491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A74061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对外报量书</w:t>
            </w:r>
          </w:p>
        </w:tc>
        <w:tc>
          <w:tcPr>
            <w:tcW w:w="5117" w:type="dxa"/>
            <w:vAlign w:val="center"/>
          </w:tcPr>
          <w:p w14:paraId="001BC7C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有权编制对外报量书并报送甲方审核。</w:t>
            </w:r>
          </w:p>
        </w:tc>
      </w:tr>
      <w:tr w14:paraId="73C84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CACE95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9</w:t>
            </w:r>
          </w:p>
        </w:tc>
        <w:tc>
          <w:tcPr>
            <w:tcW w:w="1209" w:type="dxa"/>
            <w:vMerge w:val="continue"/>
            <w:vAlign w:val="center"/>
          </w:tcPr>
          <w:p w14:paraId="708183A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33A57D7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付款申请</w:t>
            </w:r>
          </w:p>
        </w:tc>
        <w:tc>
          <w:tcPr>
            <w:tcW w:w="5117" w:type="dxa"/>
            <w:vAlign w:val="center"/>
          </w:tcPr>
          <w:p w14:paraId="6ECAC3D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有权向建设单位提出付款申请。</w:t>
            </w:r>
          </w:p>
        </w:tc>
      </w:tr>
      <w:tr w14:paraId="0403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654D00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10</w:t>
            </w:r>
          </w:p>
        </w:tc>
        <w:tc>
          <w:tcPr>
            <w:tcW w:w="1209" w:type="dxa"/>
            <w:vMerge w:val="continue"/>
            <w:vAlign w:val="center"/>
          </w:tcPr>
          <w:p w14:paraId="5EBE5FD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8704C4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申请工程竣工验收</w:t>
            </w:r>
          </w:p>
        </w:tc>
        <w:tc>
          <w:tcPr>
            <w:tcW w:w="5117" w:type="dxa"/>
            <w:vAlign w:val="center"/>
          </w:tcPr>
          <w:p w14:paraId="172BBD2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有权报监理单位、建设单位组织验收。验收合格的，有权向建设单位提出竣工验收申请。</w:t>
            </w:r>
          </w:p>
        </w:tc>
      </w:tr>
      <w:tr w14:paraId="6FE3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EA0D48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11</w:t>
            </w:r>
          </w:p>
        </w:tc>
        <w:tc>
          <w:tcPr>
            <w:tcW w:w="1209" w:type="dxa"/>
            <w:vMerge w:val="continue"/>
            <w:vAlign w:val="center"/>
          </w:tcPr>
          <w:p w14:paraId="4B04E63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600191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工程交付</w:t>
            </w:r>
          </w:p>
        </w:tc>
        <w:tc>
          <w:tcPr>
            <w:tcW w:w="5117" w:type="dxa"/>
            <w:vAlign w:val="center"/>
          </w:tcPr>
          <w:p w14:paraId="1CCFEDD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有权组织向建设单位进行交付，办理工程移交单。</w:t>
            </w:r>
          </w:p>
        </w:tc>
      </w:tr>
      <w:tr w14:paraId="47C3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7FE2BE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12</w:t>
            </w:r>
          </w:p>
        </w:tc>
        <w:tc>
          <w:tcPr>
            <w:tcW w:w="1209" w:type="dxa"/>
            <w:vMerge w:val="continue"/>
            <w:vAlign w:val="center"/>
          </w:tcPr>
          <w:p w14:paraId="0CE73E5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E4E9DD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撤销保函</w:t>
            </w:r>
          </w:p>
        </w:tc>
        <w:tc>
          <w:tcPr>
            <w:tcW w:w="5117" w:type="dxa"/>
            <w:vAlign w:val="center"/>
          </w:tcPr>
          <w:p w14:paraId="490B0B7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有权办理我公司对外开立的保函撤销相关工作。</w:t>
            </w:r>
          </w:p>
        </w:tc>
      </w:tr>
      <w:tr w14:paraId="2D9F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82223E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13</w:t>
            </w:r>
          </w:p>
        </w:tc>
        <w:tc>
          <w:tcPr>
            <w:tcW w:w="1209" w:type="dxa"/>
            <w:vMerge w:val="continue"/>
            <w:vAlign w:val="center"/>
          </w:tcPr>
          <w:p w14:paraId="10C87D3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67832B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递交结算资料</w:t>
            </w:r>
          </w:p>
        </w:tc>
        <w:tc>
          <w:tcPr>
            <w:tcW w:w="5117" w:type="dxa"/>
            <w:vAlign w:val="center"/>
          </w:tcPr>
          <w:p w14:paraId="7C3F90B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有权向建设单位递交工程结算书及结算资料。</w:t>
            </w:r>
          </w:p>
        </w:tc>
      </w:tr>
      <w:tr w14:paraId="4D66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3A35C7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14</w:t>
            </w:r>
          </w:p>
        </w:tc>
        <w:tc>
          <w:tcPr>
            <w:tcW w:w="1209" w:type="dxa"/>
            <w:vMerge w:val="continue"/>
            <w:vAlign w:val="center"/>
          </w:tcPr>
          <w:p w14:paraId="0D20398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84B84C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应收账款对账</w:t>
            </w:r>
          </w:p>
        </w:tc>
        <w:tc>
          <w:tcPr>
            <w:tcW w:w="5117" w:type="dxa"/>
            <w:vAlign w:val="center"/>
          </w:tcPr>
          <w:p w14:paraId="74326C0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有权与建设单位进行对账，将双方应收（付）账款金额核对一致。</w:t>
            </w:r>
          </w:p>
        </w:tc>
      </w:tr>
      <w:tr w14:paraId="3B2D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1CDE22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15</w:t>
            </w:r>
          </w:p>
        </w:tc>
        <w:tc>
          <w:tcPr>
            <w:tcW w:w="1209" w:type="dxa"/>
            <w:vMerge w:val="continue"/>
            <w:vAlign w:val="center"/>
          </w:tcPr>
          <w:p w14:paraId="026943D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B5D458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催款单</w:t>
            </w:r>
          </w:p>
        </w:tc>
        <w:tc>
          <w:tcPr>
            <w:tcW w:w="5117" w:type="dxa"/>
            <w:vAlign w:val="center"/>
          </w:tcPr>
          <w:p w14:paraId="644160D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根据《工程施工合同》有关条款，在存在拖欠工程款时，有权向建设单位发函催收。</w:t>
            </w:r>
          </w:p>
        </w:tc>
      </w:tr>
      <w:tr w14:paraId="5ECE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97B259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16</w:t>
            </w:r>
          </w:p>
        </w:tc>
        <w:tc>
          <w:tcPr>
            <w:tcW w:w="1209" w:type="dxa"/>
            <w:vMerge w:val="restart"/>
            <w:vAlign w:val="center"/>
          </w:tcPr>
          <w:p w14:paraId="645D150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分包(供)管理</w:t>
            </w:r>
          </w:p>
        </w:tc>
        <w:tc>
          <w:tcPr>
            <w:tcW w:w="1974" w:type="dxa"/>
            <w:vAlign w:val="center"/>
          </w:tcPr>
          <w:p w14:paraId="61FC6FD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分包（供）合同管理</w:t>
            </w:r>
          </w:p>
        </w:tc>
        <w:tc>
          <w:tcPr>
            <w:tcW w:w="5117" w:type="dxa"/>
            <w:vAlign w:val="center"/>
          </w:tcPr>
          <w:p w14:paraId="2C5BF4E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有权根据</w:t>
            </w:r>
            <w:r>
              <w:rPr>
                <w:rFonts w:hint="eastAsia" w:ascii="仿宋_GB2312" w:hAnsi="仿宋_GB2312" w:eastAsia="仿宋_GB2312" w:cs="仿宋_GB2312"/>
                <w:b/>
                <w:bCs/>
                <w:color w:val="000000" w:themeColor="text1"/>
                <w:sz w:val="24"/>
                <w:szCs w:val="24"/>
                <w14:textFill>
                  <w14:solidFill>
                    <w14:schemeClr w14:val="tx1"/>
                  </w14:solidFill>
                </w14:textFill>
              </w:rPr>
              <w:t>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授权范围进行谈判，均需报</w:t>
            </w:r>
            <w:r>
              <w:rPr>
                <w:rFonts w:hint="eastAsia" w:ascii="仿宋_GB2312" w:hAnsi="仿宋_GB2312" w:eastAsia="仿宋_GB2312" w:cs="仿宋_GB2312"/>
                <w:b/>
                <w:bCs/>
                <w:color w:val="000000" w:themeColor="text1"/>
                <w:sz w:val="24"/>
                <w:szCs w:val="24"/>
                <w14:textFill>
                  <w14:solidFill>
                    <w14:schemeClr w14:val="tx1"/>
                  </w14:solidFill>
                </w14:textFill>
              </w:rPr>
              <w:t>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/公司审批签约。</w:t>
            </w:r>
          </w:p>
        </w:tc>
      </w:tr>
      <w:tr w14:paraId="2334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C0C10D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17</w:t>
            </w:r>
          </w:p>
        </w:tc>
        <w:tc>
          <w:tcPr>
            <w:tcW w:w="1209" w:type="dxa"/>
            <w:vMerge w:val="continue"/>
            <w:vAlign w:val="center"/>
          </w:tcPr>
          <w:p w14:paraId="65EF19D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0BF321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合同交底管理</w:t>
            </w:r>
          </w:p>
        </w:tc>
        <w:tc>
          <w:tcPr>
            <w:tcW w:w="5117" w:type="dxa"/>
            <w:vAlign w:val="center"/>
          </w:tcPr>
          <w:p w14:paraId="61F2305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将相关工程洽商记录、施工图纸及会审记录、设计变更通知书或设计变更图发至乙方，并做书面交底。</w:t>
            </w:r>
          </w:p>
        </w:tc>
      </w:tr>
      <w:tr w14:paraId="71C2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D36BC8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w:t>
            </w:r>
            <w:r>
              <w:rPr>
                <w:rFonts w:hint="eastAsia" w:ascii="仿宋_GB2312" w:hAnsi="仿宋_GB2312" w:eastAsia="仿宋_GB2312" w:cs="仿宋_GB2312"/>
                <w:b/>
                <w:bCs/>
                <w:color w:val="000000" w:themeColor="text1"/>
                <w:sz w:val="24"/>
                <w:szCs w:val="24"/>
                <w14:textFill>
                  <w14:solidFill>
                    <w14:schemeClr w14:val="tx1"/>
                  </w14:solidFill>
                </w14:textFill>
              </w:rPr>
              <w:t>8</w:t>
            </w:r>
          </w:p>
        </w:tc>
        <w:tc>
          <w:tcPr>
            <w:tcW w:w="1209" w:type="dxa"/>
            <w:vMerge w:val="continue"/>
            <w:vAlign w:val="center"/>
          </w:tcPr>
          <w:p w14:paraId="27EBD24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CEDAC1B">
            <w:pPr>
              <w:autoSpaceDE w:val="0"/>
              <w:autoSpaceDN w:val="0"/>
              <w:adjustRightInd w:val="0"/>
              <w:spacing w:line="400" w:lineRule="exact"/>
              <w:jc w:val="left"/>
              <w:rPr>
                <w:rFonts w:hint="eastAsia" w:ascii="仿宋_GB2312" w:hAnsi="仿宋_GB2312" w:eastAsia="仿宋_GB2312" w:cs="仿宋_GB2312"/>
                <w:b/>
                <w:bCs/>
                <w:color w:val="FF0000"/>
                <w:sz w:val="24"/>
                <w:szCs w:val="24"/>
                <w:lang w:val="zh-CN"/>
              </w:rPr>
            </w:pPr>
            <w:r>
              <w:rPr>
                <w:rFonts w:hint="eastAsia" w:ascii="仿宋_GB2312" w:hAnsi="仿宋_GB2312" w:eastAsia="仿宋_GB2312" w:cs="仿宋_GB2312"/>
                <w:b/>
                <w:bCs/>
                <w:sz w:val="24"/>
                <w:szCs w:val="24"/>
                <w:lang w:val="zh-CN"/>
              </w:rPr>
              <w:t>分包合同签证管理</w:t>
            </w:r>
          </w:p>
        </w:tc>
        <w:tc>
          <w:tcPr>
            <w:tcW w:w="5117" w:type="dxa"/>
            <w:vAlign w:val="center"/>
          </w:tcPr>
          <w:p w14:paraId="64F04CE4">
            <w:pPr>
              <w:autoSpaceDE w:val="0"/>
              <w:autoSpaceDN w:val="0"/>
              <w:adjustRightInd w:val="0"/>
              <w:spacing w:line="400" w:lineRule="exact"/>
              <w:jc w:val="left"/>
              <w:rPr>
                <w:rFonts w:hint="eastAsia" w:ascii="仿宋_GB2312" w:hAnsi="仿宋_GB2312" w:eastAsia="仿宋_GB2312" w:cs="仿宋_GB2312"/>
                <w:b/>
                <w:bCs/>
                <w:color w:val="FF0000"/>
                <w:sz w:val="24"/>
                <w:szCs w:val="24"/>
                <w:lang w:val="zh-CN"/>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合同签证接收与初审(单份单项额度2万元以下的经济签证签署至项目经理，单份单项额度2万元以上的经济签证应签署至子企业总经济师。对同一个分包商累计现场签证不得超过10万元，且不得超过分包合同额的5%；结果需报公司/分公司审核，审核后方可作为结算依据）</w:t>
            </w:r>
          </w:p>
        </w:tc>
      </w:tr>
      <w:tr w14:paraId="2C6D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552327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w:t>
            </w:r>
            <w:r>
              <w:rPr>
                <w:rFonts w:hint="eastAsia" w:ascii="仿宋_GB2312" w:hAnsi="仿宋_GB2312" w:eastAsia="仿宋_GB2312" w:cs="仿宋_GB2312"/>
                <w:b/>
                <w:bCs/>
                <w:color w:val="000000" w:themeColor="text1"/>
                <w:sz w:val="24"/>
                <w:szCs w:val="24"/>
                <w14:textFill>
                  <w14:solidFill>
                    <w14:schemeClr w14:val="tx1"/>
                  </w14:solidFill>
                </w14:textFill>
              </w:rPr>
              <w:t>9</w:t>
            </w:r>
          </w:p>
        </w:tc>
        <w:tc>
          <w:tcPr>
            <w:tcW w:w="1209" w:type="dxa"/>
            <w:vMerge w:val="continue"/>
            <w:vAlign w:val="center"/>
          </w:tcPr>
          <w:p w14:paraId="4D680BA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shd w:val="clear" w:color="auto" w:fill="auto"/>
            <w:vAlign w:val="center"/>
          </w:tcPr>
          <w:p w14:paraId="2B94C803">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分包单位进退场</w:t>
            </w:r>
          </w:p>
        </w:tc>
        <w:tc>
          <w:tcPr>
            <w:tcW w:w="5117" w:type="dxa"/>
            <w:shd w:val="clear" w:color="auto" w:fill="auto"/>
            <w:vAlign w:val="center"/>
          </w:tcPr>
          <w:p w14:paraId="05C9DE9B">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有权确认分包人员、机械、材料等施工资源进退场。</w:t>
            </w:r>
          </w:p>
        </w:tc>
      </w:tr>
      <w:tr w14:paraId="76C9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0D44E5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20</w:t>
            </w:r>
          </w:p>
        </w:tc>
        <w:tc>
          <w:tcPr>
            <w:tcW w:w="1209" w:type="dxa"/>
            <w:vMerge w:val="continue"/>
            <w:vAlign w:val="center"/>
          </w:tcPr>
          <w:p w14:paraId="6BCD97D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946530B">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劳动力分配计划</w:t>
            </w:r>
          </w:p>
        </w:tc>
        <w:tc>
          <w:tcPr>
            <w:tcW w:w="5117" w:type="dxa"/>
            <w:vAlign w:val="center"/>
          </w:tcPr>
          <w:p w14:paraId="29ECA6D6">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有权要求分包方按要求配置劳动力。</w:t>
            </w:r>
          </w:p>
        </w:tc>
      </w:tr>
      <w:tr w14:paraId="43F7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F7988E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1</w:t>
            </w:r>
          </w:p>
        </w:tc>
        <w:tc>
          <w:tcPr>
            <w:tcW w:w="1209" w:type="dxa"/>
            <w:vMerge w:val="continue"/>
            <w:vAlign w:val="center"/>
          </w:tcPr>
          <w:p w14:paraId="1485ADD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76B7D47">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现场零星工程指令</w:t>
            </w:r>
          </w:p>
        </w:tc>
        <w:tc>
          <w:tcPr>
            <w:tcW w:w="5117" w:type="dxa"/>
            <w:vAlign w:val="center"/>
          </w:tcPr>
          <w:p w14:paraId="21B1FB04">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有权根据需要向分</w:t>
            </w:r>
            <w:r>
              <w:rPr>
                <w:rFonts w:hint="eastAsia" w:ascii="仿宋_GB2312" w:hAnsi="仿宋_GB2312" w:eastAsia="仿宋_GB2312" w:cs="仿宋_GB2312"/>
                <w:b/>
                <w:bCs/>
                <w:sz w:val="24"/>
                <w:szCs w:val="24"/>
              </w:rPr>
              <w:t>包</w:t>
            </w:r>
            <w:r>
              <w:rPr>
                <w:rFonts w:hint="eastAsia" w:ascii="仿宋_GB2312" w:hAnsi="仿宋_GB2312" w:eastAsia="仿宋_GB2312" w:cs="仿宋_GB2312"/>
                <w:b/>
                <w:bCs/>
                <w:sz w:val="24"/>
                <w:szCs w:val="24"/>
                <w:lang w:val="zh-CN"/>
              </w:rPr>
              <w:t>方签发现场零星工程指令（金额在2万元以内）。</w:t>
            </w:r>
          </w:p>
        </w:tc>
      </w:tr>
      <w:tr w14:paraId="31CC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Merge w:val="restart"/>
            <w:vAlign w:val="center"/>
          </w:tcPr>
          <w:p w14:paraId="0976BE5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2</w:t>
            </w:r>
          </w:p>
        </w:tc>
        <w:tc>
          <w:tcPr>
            <w:tcW w:w="1209" w:type="dxa"/>
            <w:vMerge w:val="continue"/>
            <w:vAlign w:val="center"/>
          </w:tcPr>
          <w:p w14:paraId="2B7083E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Merge w:val="restart"/>
            <w:vAlign w:val="center"/>
          </w:tcPr>
          <w:p w14:paraId="16819B5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紧急采购、零星物资采购</w:t>
            </w:r>
          </w:p>
        </w:tc>
        <w:tc>
          <w:tcPr>
            <w:tcW w:w="5117" w:type="dxa"/>
            <w:vAlign w:val="center"/>
          </w:tcPr>
          <w:p w14:paraId="0530878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零星采购：</w:t>
            </w:r>
            <w:r>
              <w:rPr>
                <w:rFonts w:hint="eastAsia" w:ascii="仿宋_GB2312" w:hAnsi="仿宋_GB2312" w:eastAsia="仿宋_GB2312" w:cs="仿宋_GB2312"/>
                <w:b/>
                <w:bCs/>
                <w:sz w:val="24"/>
                <w:szCs w:val="24"/>
              </w:rPr>
              <w:t>按制度权限、额度审批后采购。</w:t>
            </w:r>
          </w:p>
        </w:tc>
      </w:tr>
      <w:tr w14:paraId="07F3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Merge w:val="continue"/>
            <w:vAlign w:val="center"/>
          </w:tcPr>
          <w:p w14:paraId="075BD1C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209" w:type="dxa"/>
            <w:vMerge w:val="continue"/>
            <w:vAlign w:val="center"/>
          </w:tcPr>
          <w:p w14:paraId="688BA95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Merge w:val="continue"/>
            <w:vAlign w:val="center"/>
          </w:tcPr>
          <w:p w14:paraId="50EB631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5117" w:type="dxa"/>
            <w:vAlign w:val="center"/>
          </w:tcPr>
          <w:p w14:paraId="71453AF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紧急采购：报公司审核后，项目实施采购。</w:t>
            </w:r>
          </w:p>
        </w:tc>
      </w:tr>
      <w:tr w14:paraId="60418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1DEB92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3</w:t>
            </w:r>
          </w:p>
        </w:tc>
        <w:tc>
          <w:tcPr>
            <w:tcW w:w="1209" w:type="dxa"/>
            <w:vMerge w:val="continue"/>
            <w:vAlign w:val="center"/>
          </w:tcPr>
          <w:p w14:paraId="7872254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E0CBDE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材料、料具、设备进退场</w:t>
            </w:r>
          </w:p>
        </w:tc>
        <w:tc>
          <w:tcPr>
            <w:tcW w:w="5117" w:type="dxa"/>
            <w:vAlign w:val="center"/>
          </w:tcPr>
          <w:p w14:paraId="59DF22A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w:t>
            </w:r>
            <w:r>
              <w:rPr>
                <w:rFonts w:hint="eastAsia" w:ascii="仿宋_GB2312" w:hAnsi="仿宋_GB2312" w:eastAsia="仿宋_GB2312" w:cs="仿宋_GB2312"/>
                <w:b/>
                <w:bCs/>
                <w:color w:val="000000" w:themeColor="text1"/>
                <w:sz w:val="24"/>
                <w:szCs w:val="24"/>
                <w14:textFill>
                  <w14:solidFill>
                    <w14:schemeClr w14:val="tx1"/>
                  </w14:solidFill>
                </w14:textFill>
              </w:rPr>
              <w:t>分供方</w:t>
            </w:r>
            <w:r>
              <w:rPr>
                <w:rFonts w:hint="eastAsia" w:ascii="仿宋_GB2312" w:hAnsi="仿宋_GB2312" w:eastAsia="仿宋_GB2312" w:cs="仿宋_GB2312"/>
                <w:b/>
                <w:bCs/>
                <w:color w:val="000000" w:themeColor="text1"/>
                <w:sz w:val="24"/>
                <w:szCs w:val="24"/>
                <w:lang w:val="zh-CN"/>
                <w14:textFill>
                  <w14:solidFill>
                    <w14:schemeClr w14:val="tx1"/>
                  </w14:solidFill>
                </w14:textFill>
              </w:rPr>
              <w:t>发送物资进退场通知单；有权确认材料、料具、设备及退货材料的进退场单据。</w:t>
            </w:r>
          </w:p>
        </w:tc>
      </w:tr>
      <w:tr w14:paraId="66EB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CE53AD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24</w:t>
            </w:r>
          </w:p>
        </w:tc>
        <w:tc>
          <w:tcPr>
            <w:tcW w:w="1209" w:type="dxa"/>
            <w:vMerge w:val="continue"/>
            <w:vAlign w:val="center"/>
          </w:tcPr>
          <w:p w14:paraId="110FC95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5AACF2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材料、料具、设备</w:t>
            </w:r>
            <w:r>
              <w:rPr>
                <w:rFonts w:hint="eastAsia" w:ascii="仿宋_GB2312" w:hAnsi="仿宋_GB2312" w:eastAsia="仿宋_GB2312" w:cs="仿宋_GB2312"/>
                <w:b/>
                <w:bCs/>
                <w:color w:val="000000" w:themeColor="text1"/>
                <w:sz w:val="24"/>
                <w:szCs w:val="24"/>
                <w14:textFill>
                  <w14:solidFill>
                    <w14:schemeClr w14:val="tx1"/>
                  </w14:solidFill>
                </w14:textFill>
              </w:rPr>
              <w:t>检验</w:t>
            </w:r>
          </w:p>
        </w:tc>
        <w:tc>
          <w:tcPr>
            <w:tcW w:w="5117" w:type="dxa"/>
            <w:vAlign w:val="center"/>
          </w:tcPr>
          <w:p w14:paraId="24DA549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对乙方</w:t>
            </w:r>
            <w:r>
              <w:rPr>
                <w:rFonts w:hint="eastAsia" w:ascii="仿宋_GB2312" w:hAnsi="仿宋_GB2312" w:eastAsia="仿宋_GB2312" w:cs="仿宋_GB2312"/>
                <w:b/>
                <w:bCs/>
                <w:color w:val="000000" w:themeColor="text1"/>
                <w:sz w:val="24"/>
                <w:szCs w:val="24"/>
                <w14:textFill>
                  <w14:solidFill>
                    <w14:schemeClr w14:val="tx1"/>
                  </w14:solidFill>
                </w14:textFill>
              </w:rPr>
              <w:t>物资</w:t>
            </w:r>
            <w:r>
              <w:rPr>
                <w:rFonts w:hint="eastAsia" w:ascii="仿宋_GB2312" w:hAnsi="仿宋_GB2312" w:eastAsia="仿宋_GB2312" w:cs="仿宋_GB2312"/>
                <w:b/>
                <w:bCs/>
                <w:color w:val="000000" w:themeColor="text1"/>
                <w:sz w:val="24"/>
                <w:szCs w:val="24"/>
                <w:lang w:val="zh-CN"/>
                <w14:textFill>
                  <w14:solidFill>
                    <w14:schemeClr w14:val="tx1"/>
                  </w14:solidFill>
                </w14:textFill>
              </w:rPr>
              <w:t>设备进行检验、试验、检测与计量，联系乙方退货或更换，出具进场设备不合格记录。</w:t>
            </w:r>
          </w:p>
        </w:tc>
      </w:tr>
      <w:tr w14:paraId="332E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107BCA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5</w:t>
            </w:r>
          </w:p>
        </w:tc>
        <w:tc>
          <w:tcPr>
            <w:tcW w:w="1209" w:type="dxa"/>
            <w:vMerge w:val="continue"/>
            <w:vAlign w:val="center"/>
          </w:tcPr>
          <w:p w14:paraId="50DCC28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020BFD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物资发放</w:t>
            </w:r>
          </w:p>
        </w:tc>
        <w:tc>
          <w:tcPr>
            <w:tcW w:w="5117" w:type="dxa"/>
            <w:vAlign w:val="center"/>
          </w:tcPr>
          <w:p w14:paraId="436C776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有权确认有关物资发放的领料单、退货单、混凝土浇灌申请表（不含调拨单）。</w:t>
            </w:r>
          </w:p>
        </w:tc>
      </w:tr>
      <w:tr w14:paraId="57D5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9F4AF4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6</w:t>
            </w:r>
          </w:p>
        </w:tc>
        <w:tc>
          <w:tcPr>
            <w:tcW w:w="1209" w:type="dxa"/>
            <w:vMerge w:val="continue"/>
            <w:vAlign w:val="center"/>
          </w:tcPr>
          <w:p w14:paraId="0AF4EB0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0E8E97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履约整改通知</w:t>
            </w:r>
          </w:p>
        </w:tc>
        <w:tc>
          <w:tcPr>
            <w:tcW w:w="5117" w:type="dxa"/>
            <w:vAlign w:val="center"/>
          </w:tcPr>
          <w:p w14:paraId="325090F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对分包分供方工程项目的履约情况进行监控和核查，发现问题后，有权通知要求分包分供方进行整改。</w:t>
            </w:r>
          </w:p>
        </w:tc>
      </w:tr>
      <w:tr w14:paraId="00C0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1F49D9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7</w:t>
            </w:r>
          </w:p>
        </w:tc>
        <w:tc>
          <w:tcPr>
            <w:tcW w:w="1209" w:type="dxa"/>
            <w:vMerge w:val="continue"/>
            <w:vAlign w:val="center"/>
          </w:tcPr>
          <w:p w14:paraId="604E89D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00ACAB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分包分供方处罚</w:t>
            </w:r>
          </w:p>
        </w:tc>
        <w:tc>
          <w:tcPr>
            <w:tcW w:w="5117" w:type="dxa"/>
            <w:vAlign w:val="center"/>
          </w:tcPr>
          <w:p w14:paraId="791048A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有权根据合同约定对不服从管理或违约的分包分供方作出处罚的决定。</w:t>
            </w:r>
          </w:p>
        </w:tc>
      </w:tr>
      <w:tr w14:paraId="46CA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62F6D6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28</w:t>
            </w:r>
          </w:p>
        </w:tc>
        <w:tc>
          <w:tcPr>
            <w:tcW w:w="1209" w:type="dxa"/>
            <w:vMerge w:val="continue"/>
            <w:vAlign w:val="center"/>
          </w:tcPr>
          <w:p w14:paraId="1485C6D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B2AF09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结算初步办理</w:t>
            </w:r>
          </w:p>
        </w:tc>
        <w:tc>
          <w:tcPr>
            <w:tcW w:w="5117" w:type="dxa"/>
            <w:vAlign w:val="center"/>
          </w:tcPr>
          <w:p w14:paraId="695D993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初步编制</w:t>
            </w:r>
            <w:r>
              <w:rPr>
                <w:rFonts w:hint="eastAsia" w:ascii="仿宋_GB2312" w:hAnsi="仿宋_GB2312" w:eastAsia="仿宋_GB2312" w:cs="仿宋_GB2312"/>
                <w:b/>
                <w:bCs/>
                <w:color w:val="000000" w:themeColor="text1"/>
                <w:sz w:val="24"/>
                <w:szCs w:val="24"/>
                <w14:textFill>
                  <w14:solidFill>
                    <w14:schemeClr w14:val="tx1"/>
                  </w14:solidFill>
                </w14:textFill>
              </w:rPr>
              <w:t>分包分供</w:t>
            </w:r>
            <w:r>
              <w:rPr>
                <w:rFonts w:hint="eastAsia" w:ascii="仿宋_GB2312" w:hAnsi="仿宋_GB2312" w:eastAsia="仿宋_GB2312" w:cs="仿宋_GB2312"/>
                <w:b/>
                <w:bCs/>
                <w:color w:val="000000" w:themeColor="text1"/>
                <w:sz w:val="24"/>
                <w:szCs w:val="24"/>
                <w:lang w:val="zh-CN"/>
                <w14:textFill>
                  <w14:solidFill>
                    <w14:schemeClr w14:val="tx1"/>
                  </w14:solidFill>
                </w14:textFill>
              </w:rPr>
              <w:t>结算单提交甲方</w:t>
            </w:r>
            <w:r>
              <w:rPr>
                <w:rFonts w:hint="eastAsia" w:ascii="仿宋_GB2312" w:hAnsi="仿宋_GB2312" w:eastAsia="仿宋_GB2312" w:cs="仿宋_GB2312"/>
                <w:b/>
                <w:bCs/>
                <w:color w:val="000000" w:themeColor="text1"/>
                <w:sz w:val="24"/>
                <w:szCs w:val="24"/>
                <w14:textFill>
                  <w14:solidFill>
                    <w14:schemeClr w14:val="tx1"/>
                  </w14:solidFill>
                </w14:textFill>
              </w:rPr>
              <w:t>分子公司/集团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确认。</w:t>
            </w:r>
          </w:p>
        </w:tc>
      </w:tr>
      <w:tr w14:paraId="1D1E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BEE565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9</w:t>
            </w:r>
          </w:p>
        </w:tc>
        <w:tc>
          <w:tcPr>
            <w:tcW w:w="1209" w:type="dxa"/>
            <w:vMerge w:val="continue"/>
            <w:vAlign w:val="center"/>
          </w:tcPr>
          <w:p w14:paraId="3173AA4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3D57B80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分包分供方结算扣款</w:t>
            </w:r>
          </w:p>
        </w:tc>
        <w:tc>
          <w:tcPr>
            <w:tcW w:w="5117" w:type="dxa"/>
            <w:vAlign w:val="center"/>
          </w:tcPr>
          <w:p w14:paraId="693B259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有权在中间结算和最终结算时扣除分包分供方应扣款项（包括但不限于</w:t>
            </w:r>
            <w:r>
              <w:rPr>
                <w:rFonts w:hint="eastAsia" w:ascii="仿宋_GB2312" w:hAnsi="仿宋_GB2312" w:eastAsia="仿宋_GB2312" w:cs="仿宋_GB2312"/>
                <w:b/>
                <w:bCs/>
                <w:color w:val="000000" w:themeColor="text1"/>
                <w:sz w:val="24"/>
                <w:szCs w:val="24"/>
                <w14:textFill>
                  <w14:solidFill>
                    <w14:schemeClr w14:val="tx1"/>
                  </w14:solidFill>
                </w14:textFill>
              </w:rPr>
              <w:t>质保金、</w:t>
            </w:r>
            <w:r>
              <w:rPr>
                <w:rFonts w:hint="eastAsia" w:ascii="仿宋_GB2312" w:hAnsi="仿宋_GB2312" w:eastAsia="仿宋_GB2312" w:cs="仿宋_GB2312"/>
                <w:b/>
                <w:bCs/>
                <w:color w:val="000000" w:themeColor="text1"/>
                <w:sz w:val="24"/>
                <w:szCs w:val="24"/>
                <w:lang w:val="zh-CN"/>
                <w14:textFill>
                  <w14:solidFill>
                    <w14:schemeClr w14:val="tx1"/>
                  </w14:solidFill>
                </w14:textFill>
              </w:rPr>
              <w:t>委托采购材料扣款、料具、机械租赁费扣款、项目现场管理费用扣款、临建费、维修费扣款、规费分摊扣款、水电费、罚款及税金扣款等）。</w:t>
            </w:r>
          </w:p>
        </w:tc>
      </w:tr>
      <w:tr w14:paraId="2BFB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393FAC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30</w:t>
            </w:r>
          </w:p>
        </w:tc>
        <w:tc>
          <w:tcPr>
            <w:tcW w:w="1209" w:type="dxa"/>
            <w:vMerge w:val="restart"/>
            <w:vAlign w:val="center"/>
          </w:tcPr>
          <w:p w14:paraId="4F07B61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安全管理</w:t>
            </w:r>
          </w:p>
        </w:tc>
        <w:tc>
          <w:tcPr>
            <w:tcW w:w="1974" w:type="dxa"/>
            <w:vAlign w:val="center"/>
          </w:tcPr>
          <w:p w14:paraId="75E0C95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事故现场秩序维护</w:t>
            </w:r>
          </w:p>
        </w:tc>
        <w:tc>
          <w:tcPr>
            <w:tcW w:w="5117" w:type="dxa"/>
            <w:vAlign w:val="center"/>
          </w:tcPr>
          <w:p w14:paraId="4B98478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有权维护安全事故现场秩序。涉及赔偿的，赔偿数额确定需经</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审批（不含安全事故责任认定及赔偿）。</w:t>
            </w:r>
          </w:p>
        </w:tc>
      </w:tr>
      <w:tr w14:paraId="626B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4BF9B1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31</w:t>
            </w:r>
          </w:p>
        </w:tc>
        <w:tc>
          <w:tcPr>
            <w:tcW w:w="1209" w:type="dxa"/>
            <w:vMerge w:val="continue"/>
            <w:vAlign w:val="center"/>
          </w:tcPr>
          <w:p w14:paraId="75AE4C2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3AAD2D7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安全事故处理方案</w:t>
            </w:r>
          </w:p>
        </w:tc>
        <w:tc>
          <w:tcPr>
            <w:tcW w:w="5117" w:type="dxa"/>
            <w:vAlign w:val="center"/>
          </w:tcPr>
          <w:p w14:paraId="20B532D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发生安全事故后，有权启动应急预案。</w:t>
            </w:r>
          </w:p>
        </w:tc>
      </w:tr>
      <w:tr w14:paraId="2817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556F82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32</w:t>
            </w:r>
          </w:p>
        </w:tc>
        <w:tc>
          <w:tcPr>
            <w:tcW w:w="1209" w:type="dxa"/>
            <w:vMerge w:val="continue"/>
            <w:vAlign w:val="center"/>
          </w:tcPr>
          <w:p w14:paraId="047BD2E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D55D73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安全</w:t>
            </w:r>
            <w:r>
              <w:rPr>
                <w:rFonts w:hint="eastAsia" w:ascii="仿宋_GB2312" w:hAnsi="仿宋_GB2312" w:eastAsia="仿宋_GB2312" w:cs="仿宋_GB2312"/>
                <w:b/>
                <w:bCs/>
                <w:color w:val="000000" w:themeColor="text1"/>
                <w:sz w:val="24"/>
                <w:szCs w:val="24"/>
                <w14:textFill>
                  <w14:solidFill>
                    <w14:schemeClr w14:val="tx1"/>
                  </w14:solidFill>
                </w14:textFill>
              </w:rPr>
              <w:t>整改</w:t>
            </w:r>
          </w:p>
        </w:tc>
        <w:tc>
          <w:tcPr>
            <w:tcW w:w="5117" w:type="dxa"/>
            <w:vAlign w:val="center"/>
          </w:tcPr>
          <w:p w14:paraId="012ED5F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对存在的安全生产隐患，下达《安全隐患整改通知书》</w:t>
            </w:r>
          </w:p>
          <w:p w14:paraId="7CD23A6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对存在重大安全生产隐患，下达《安全隐患局部停工整改令》</w:t>
            </w:r>
          </w:p>
        </w:tc>
      </w:tr>
      <w:tr w14:paraId="0C78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AD45EA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33</w:t>
            </w:r>
          </w:p>
        </w:tc>
        <w:tc>
          <w:tcPr>
            <w:tcW w:w="1209" w:type="dxa"/>
            <w:vMerge w:val="restart"/>
            <w:vAlign w:val="center"/>
          </w:tcPr>
          <w:p w14:paraId="0040708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质量管理</w:t>
            </w:r>
          </w:p>
        </w:tc>
        <w:tc>
          <w:tcPr>
            <w:tcW w:w="1974" w:type="dxa"/>
            <w:vAlign w:val="center"/>
          </w:tcPr>
          <w:p w14:paraId="4329E3E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质量验收</w:t>
            </w:r>
          </w:p>
        </w:tc>
        <w:tc>
          <w:tcPr>
            <w:tcW w:w="5117" w:type="dxa"/>
            <w:vAlign w:val="center"/>
          </w:tcPr>
          <w:p w14:paraId="3918EE3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有权组织实施质量验收工作。</w:t>
            </w:r>
          </w:p>
        </w:tc>
      </w:tr>
      <w:tr w14:paraId="0174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DA63F2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4</w:t>
            </w:r>
          </w:p>
        </w:tc>
        <w:tc>
          <w:tcPr>
            <w:tcW w:w="1209" w:type="dxa"/>
            <w:vMerge w:val="continue"/>
            <w:vAlign w:val="center"/>
          </w:tcPr>
          <w:p w14:paraId="6DD0AEF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9D58C8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质量事故应急措施</w:t>
            </w:r>
          </w:p>
        </w:tc>
        <w:tc>
          <w:tcPr>
            <w:tcW w:w="5117" w:type="dxa"/>
            <w:vAlign w:val="center"/>
          </w:tcPr>
          <w:p w14:paraId="107C090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质量事故发生后，有权立即采取措施防止事故扩大（1小时内上报</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w:t>
            </w:r>
          </w:p>
        </w:tc>
      </w:tr>
      <w:tr w14:paraId="2CDC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1619E7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5</w:t>
            </w:r>
          </w:p>
        </w:tc>
        <w:tc>
          <w:tcPr>
            <w:tcW w:w="1209" w:type="dxa"/>
            <w:vMerge w:val="continue"/>
            <w:vAlign w:val="center"/>
          </w:tcPr>
          <w:p w14:paraId="7909968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FE1513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质量事故处理方案</w:t>
            </w:r>
          </w:p>
        </w:tc>
        <w:tc>
          <w:tcPr>
            <w:tcW w:w="5117" w:type="dxa"/>
            <w:vAlign w:val="center"/>
          </w:tcPr>
          <w:p w14:paraId="01F4F15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有权按照</w:t>
            </w:r>
            <w:r>
              <w:rPr>
                <w:rFonts w:hint="eastAsia" w:ascii="仿宋_GB2312" w:hAnsi="仿宋_GB2312" w:eastAsia="仿宋_GB2312" w:cs="仿宋_GB2312"/>
                <w:b/>
                <w:bCs/>
                <w:color w:val="000000" w:themeColor="text1"/>
                <w:sz w:val="24"/>
                <w:szCs w:val="24"/>
                <w14:textFill>
                  <w14:solidFill>
                    <w14:schemeClr w14:val="tx1"/>
                  </w14:solidFill>
                </w14:textFill>
              </w:rPr>
              <w:t>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制定质量事故处理方案处理事故相关事宜。</w:t>
            </w:r>
          </w:p>
        </w:tc>
      </w:tr>
      <w:tr w14:paraId="3F36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80BB6C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6</w:t>
            </w:r>
          </w:p>
        </w:tc>
        <w:tc>
          <w:tcPr>
            <w:tcW w:w="1209" w:type="dxa"/>
            <w:vAlign w:val="center"/>
          </w:tcPr>
          <w:p w14:paraId="1470D58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环境管理</w:t>
            </w:r>
          </w:p>
        </w:tc>
        <w:tc>
          <w:tcPr>
            <w:tcW w:w="1974" w:type="dxa"/>
            <w:vAlign w:val="center"/>
          </w:tcPr>
          <w:p w14:paraId="47BD5E7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环境污染事故应急措施</w:t>
            </w:r>
          </w:p>
        </w:tc>
        <w:tc>
          <w:tcPr>
            <w:tcW w:w="5117" w:type="dxa"/>
            <w:vAlign w:val="center"/>
          </w:tcPr>
          <w:p w14:paraId="46DD9F5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环境污染事故发生后，有权立即采取措施防止事故扩大（1小时内上报分</w:t>
            </w:r>
            <w:r>
              <w:rPr>
                <w:rFonts w:hint="eastAsia" w:ascii="仿宋_GB2312" w:hAnsi="仿宋_GB2312" w:eastAsia="仿宋_GB2312" w:cs="仿宋_GB2312"/>
                <w:b/>
                <w:bCs/>
                <w:color w:val="000000" w:themeColor="text1"/>
                <w:sz w:val="24"/>
                <w:szCs w:val="24"/>
                <w14:textFill>
                  <w14:solidFill>
                    <w14:schemeClr w14:val="tx1"/>
                  </w14:solidFill>
                </w14:textFill>
              </w:rPr>
              <w:t>子</w:t>
            </w:r>
            <w:r>
              <w:rPr>
                <w:rFonts w:hint="eastAsia" w:ascii="仿宋_GB2312" w:hAnsi="仿宋_GB2312" w:eastAsia="仿宋_GB2312" w:cs="仿宋_GB2312"/>
                <w:b/>
                <w:bCs/>
                <w:color w:val="000000" w:themeColor="text1"/>
                <w:sz w:val="24"/>
                <w:szCs w:val="24"/>
                <w:lang w:val="zh-CN"/>
                <w14:textFill>
                  <w14:solidFill>
                    <w14:schemeClr w14:val="tx1"/>
                  </w14:solidFill>
                </w14:textFill>
              </w:rPr>
              <w:t>公司）。</w:t>
            </w:r>
          </w:p>
        </w:tc>
      </w:tr>
      <w:tr w14:paraId="25D7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7868E6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7</w:t>
            </w:r>
          </w:p>
        </w:tc>
        <w:tc>
          <w:tcPr>
            <w:tcW w:w="1209" w:type="dxa"/>
            <w:vMerge w:val="restart"/>
            <w:vAlign w:val="center"/>
          </w:tcPr>
          <w:p w14:paraId="4011D39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维保管理</w:t>
            </w:r>
          </w:p>
        </w:tc>
        <w:tc>
          <w:tcPr>
            <w:tcW w:w="1974" w:type="dxa"/>
            <w:vAlign w:val="center"/>
          </w:tcPr>
          <w:p w14:paraId="06EE4CD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维修整改通知</w:t>
            </w:r>
          </w:p>
        </w:tc>
        <w:tc>
          <w:tcPr>
            <w:tcW w:w="5117" w:type="dxa"/>
            <w:vAlign w:val="center"/>
          </w:tcPr>
          <w:p w14:paraId="7F060AB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有权向分包分供方发送维修整改通知。</w:t>
            </w:r>
          </w:p>
        </w:tc>
      </w:tr>
      <w:tr w14:paraId="10FD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EFBE40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8</w:t>
            </w:r>
          </w:p>
        </w:tc>
        <w:tc>
          <w:tcPr>
            <w:tcW w:w="1209" w:type="dxa"/>
            <w:vMerge w:val="continue"/>
            <w:vAlign w:val="center"/>
          </w:tcPr>
          <w:p w14:paraId="306757B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079C5D9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协商维修方案</w:t>
            </w:r>
          </w:p>
        </w:tc>
        <w:tc>
          <w:tcPr>
            <w:tcW w:w="5117" w:type="dxa"/>
            <w:vAlign w:val="center"/>
          </w:tcPr>
          <w:p w14:paraId="14BF7BD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对存在的质量问题有权与建设单位协商维修方案。</w:t>
            </w:r>
          </w:p>
        </w:tc>
      </w:tr>
      <w:tr w14:paraId="26FA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4CCEDB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9</w:t>
            </w:r>
          </w:p>
        </w:tc>
        <w:tc>
          <w:tcPr>
            <w:tcW w:w="1209" w:type="dxa"/>
            <w:vMerge w:val="continue"/>
            <w:vAlign w:val="center"/>
          </w:tcPr>
          <w:p w14:paraId="74C945F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88D507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组织维修</w:t>
            </w:r>
          </w:p>
        </w:tc>
        <w:tc>
          <w:tcPr>
            <w:tcW w:w="5117" w:type="dxa"/>
            <w:vAlign w:val="center"/>
          </w:tcPr>
          <w:p w14:paraId="1054F9A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有权向建设单位报送维修登记单、维修任务书。</w:t>
            </w:r>
          </w:p>
        </w:tc>
      </w:tr>
      <w:tr w14:paraId="11A2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CF4528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40</w:t>
            </w:r>
          </w:p>
        </w:tc>
        <w:tc>
          <w:tcPr>
            <w:tcW w:w="1209" w:type="dxa"/>
            <w:vMerge w:val="continue"/>
            <w:vAlign w:val="center"/>
          </w:tcPr>
          <w:p w14:paraId="440E058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8F66D1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维修验收</w:t>
            </w:r>
          </w:p>
        </w:tc>
        <w:tc>
          <w:tcPr>
            <w:tcW w:w="5117" w:type="dxa"/>
            <w:vAlign w:val="center"/>
          </w:tcPr>
          <w:p w14:paraId="50C4313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有权组织建设单位对保修工作进行验收、有权组织对分包分供的维修验收。</w:t>
            </w:r>
          </w:p>
        </w:tc>
      </w:tr>
      <w:tr w14:paraId="236C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355422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41</w:t>
            </w:r>
          </w:p>
        </w:tc>
        <w:tc>
          <w:tcPr>
            <w:tcW w:w="1209" w:type="dxa"/>
            <w:vMerge w:val="restart"/>
            <w:vAlign w:val="center"/>
          </w:tcPr>
          <w:p w14:paraId="48D7C36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催收清欠</w:t>
            </w:r>
          </w:p>
        </w:tc>
        <w:tc>
          <w:tcPr>
            <w:tcW w:w="1974" w:type="dxa"/>
            <w:vAlign w:val="center"/>
          </w:tcPr>
          <w:p w14:paraId="186F720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质保金到期催付</w:t>
            </w:r>
          </w:p>
        </w:tc>
        <w:tc>
          <w:tcPr>
            <w:tcW w:w="5117" w:type="dxa"/>
            <w:vAlign w:val="center"/>
          </w:tcPr>
          <w:p w14:paraId="0677225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有权向建设单位发《保修期满通知书》。</w:t>
            </w:r>
          </w:p>
        </w:tc>
      </w:tr>
      <w:tr w14:paraId="72B9B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3E3057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42</w:t>
            </w:r>
          </w:p>
        </w:tc>
        <w:tc>
          <w:tcPr>
            <w:tcW w:w="1209" w:type="dxa"/>
            <w:vMerge w:val="continue"/>
            <w:vAlign w:val="center"/>
          </w:tcPr>
          <w:p w14:paraId="575535A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AF8A4A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其他到期应付款催付</w:t>
            </w:r>
          </w:p>
        </w:tc>
        <w:tc>
          <w:tcPr>
            <w:tcW w:w="5117" w:type="dxa"/>
            <w:vAlign w:val="center"/>
          </w:tcPr>
          <w:p w14:paraId="2FD0A79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有权向建设单位发催款函。</w:t>
            </w:r>
          </w:p>
        </w:tc>
      </w:tr>
      <w:tr w14:paraId="3962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905B5F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43</w:t>
            </w:r>
          </w:p>
        </w:tc>
        <w:tc>
          <w:tcPr>
            <w:tcW w:w="1209" w:type="dxa"/>
            <w:vAlign w:val="center"/>
          </w:tcPr>
          <w:p w14:paraId="4B2337B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往来函件</w:t>
            </w:r>
          </w:p>
        </w:tc>
        <w:tc>
          <w:tcPr>
            <w:tcW w:w="1974" w:type="dxa"/>
            <w:vAlign w:val="center"/>
          </w:tcPr>
          <w:p w14:paraId="211D905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工程往来函件</w:t>
            </w:r>
          </w:p>
        </w:tc>
        <w:tc>
          <w:tcPr>
            <w:tcW w:w="5117" w:type="dxa"/>
            <w:vAlign w:val="center"/>
          </w:tcPr>
          <w:p w14:paraId="0638500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有权报送或接收项目工程联系函（如图纸会审、技术核定、设计变更通知等）。</w:t>
            </w:r>
          </w:p>
        </w:tc>
      </w:tr>
    </w:tbl>
    <w:p w14:paraId="1CDC181F">
      <w:pPr>
        <w:numPr>
          <w:ilvl w:val="0"/>
          <w:numId w:val="6"/>
        </w:numPr>
        <w:autoSpaceDE w:val="0"/>
        <w:autoSpaceDN w:val="0"/>
        <w:adjustRightInd w:val="0"/>
        <w:spacing w:line="400" w:lineRule="exact"/>
        <w:rPr>
          <w:rFonts w:hint="eastAsia" w:ascii="仿宋_GB2312" w:hAnsi="仿宋_GB2312" w:eastAsia="仿宋_GB2312" w:cs="仿宋_GB2312"/>
          <w:b/>
          <w:bCs/>
          <w:color w:val="000000" w:themeColor="text1"/>
          <w:sz w:val="24"/>
          <w:szCs w:val="24"/>
          <w14:textFill>
            <w14:solidFill>
              <w14:schemeClr w14:val="tx1"/>
            </w14:solidFill>
          </w14:textFill>
        </w:rPr>
      </w:pPr>
      <w:bookmarkStart w:id="73" w:name="_Hlk126826460"/>
      <w:r>
        <w:rPr>
          <w:rFonts w:hint="eastAsia" w:ascii="仿宋_GB2312" w:hAnsi="仿宋_GB2312" w:eastAsia="仿宋_GB2312" w:cs="仿宋_GB2312"/>
          <w:b/>
          <w:bCs/>
          <w:color w:val="000000" w:themeColor="text1"/>
          <w:sz w:val="24"/>
          <w:szCs w:val="24"/>
          <w14:textFill>
            <w14:solidFill>
              <w14:schemeClr w14:val="tx1"/>
            </w14:solidFill>
          </w14:textFill>
        </w:rPr>
        <w:t>项目部无权审批以下事项：</w:t>
      </w:r>
    </w:p>
    <w:bookmarkEnd w:id="73"/>
    <w:tbl>
      <w:tblPr>
        <w:tblStyle w:val="10"/>
        <w:tblW w:w="9037" w:type="dxa"/>
        <w:jc w:val="center"/>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33"/>
        <w:gridCol w:w="8304"/>
      </w:tblGrid>
      <w:tr w14:paraId="2EDEEC35">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510" w:hRule="exact"/>
          <w:jc w:val="center"/>
        </w:trPr>
        <w:tc>
          <w:tcPr>
            <w:tcW w:w="733" w:type="dxa"/>
            <w:tcBorders>
              <w:top w:val="single" w:color="auto" w:sz="4" w:space="0"/>
              <w:left w:val="single" w:color="auto" w:sz="4" w:space="0"/>
              <w:bottom w:val="single" w:color="auto" w:sz="4" w:space="0"/>
              <w:right w:val="single" w:color="auto" w:sz="4" w:space="0"/>
            </w:tcBorders>
            <w:vAlign w:val="center"/>
          </w:tcPr>
          <w:p w14:paraId="42962EE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bookmarkStart w:id="74" w:name="_Hlk127195047"/>
            <w:r>
              <w:rPr>
                <w:rFonts w:hint="eastAsia" w:ascii="仿宋_GB2312" w:hAnsi="仿宋_GB2312" w:eastAsia="仿宋_GB2312" w:cs="仿宋_GB2312"/>
                <w:b/>
                <w:bCs/>
                <w:color w:val="000000" w:themeColor="text1"/>
                <w:sz w:val="24"/>
                <w:szCs w:val="24"/>
                <w:lang w:val="zh-CN"/>
                <w14:textFill>
                  <w14:solidFill>
                    <w14:schemeClr w14:val="tx1"/>
                  </w14:solidFill>
                </w14:textFill>
              </w:rPr>
              <w:t>序号</w:t>
            </w:r>
          </w:p>
        </w:tc>
        <w:tc>
          <w:tcPr>
            <w:tcW w:w="8304" w:type="dxa"/>
            <w:tcBorders>
              <w:top w:val="single" w:color="auto" w:sz="4" w:space="0"/>
              <w:left w:val="single" w:color="auto" w:sz="4" w:space="0"/>
              <w:bottom w:val="single" w:color="auto" w:sz="4" w:space="0"/>
              <w:right w:val="single" w:color="auto" w:sz="4" w:space="0"/>
            </w:tcBorders>
            <w:vAlign w:val="center"/>
          </w:tcPr>
          <w:p w14:paraId="1693603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禁止性事项</w:t>
            </w:r>
          </w:p>
        </w:tc>
      </w:tr>
      <w:tr w14:paraId="0D059347">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918790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w:t>
            </w:r>
          </w:p>
        </w:tc>
        <w:tc>
          <w:tcPr>
            <w:tcW w:w="8304" w:type="dxa"/>
            <w:tcBorders>
              <w:top w:val="single" w:color="auto" w:sz="4" w:space="0"/>
              <w:left w:val="single" w:color="auto" w:sz="4" w:space="0"/>
              <w:bottom w:val="single" w:color="auto" w:sz="4" w:space="0"/>
              <w:right w:val="single" w:color="auto" w:sz="4" w:space="0"/>
            </w:tcBorders>
            <w:vAlign w:val="center"/>
          </w:tcPr>
          <w:p w14:paraId="7AE70DB3">
            <w:pPr>
              <w:widowControl/>
              <w:jc w:val="left"/>
              <w:rPr>
                <w:rFonts w:hint="eastAsia" w:ascii="仿宋_GB2312" w:hAnsi="仿宋_GB2312" w:eastAsia="仿宋_GB2312" w:cs="仿宋_GB2312"/>
                <w:b/>
                <w:bCs/>
                <w:color w:val="000000" w:themeColor="text1"/>
                <w:kern w:val="0"/>
                <w:sz w:val="24"/>
                <w:szCs w:val="24"/>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签署（或变更）各类经济类合同（包含但不限于总承包合同及其补充协议、专业分包合同、劳务分包合同、物资设备料具采购、租赁合同、设备安装拆除合同、技术咨询合同等各类合同）。</w:t>
            </w:r>
          </w:p>
        </w:tc>
      </w:tr>
      <w:tr w14:paraId="69C3EDB3">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9EFB90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2</w:t>
            </w:r>
          </w:p>
        </w:tc>
        <w:tc>
          <w:tcPr>
            <w:tcW w:w="8304" w:type="dxa"/>
            <w:tcBorders>
              <w:top w:val="single" w:color="auto" w:sz="4" w:space="0"/>
              <w:left w:val="single" w:color="auto" w:sz="4" w:space="0"/>
              <w:bottom w:val="single" w:color="auto" w:sz="4" w:space="0"/>
              <w:right w:val="single" w:color="auto" w:sz="4" w:space="0"/>
            </w:tcBorders>
            <w:vAlign w:val="center"/>
          </w:tcPr>
          <w:p w14:paraId="6C99F7CA">
            <w:pPr>
              <w:widowControl/>
              <w:jc w:val="left"/>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未经分子公司/集团书面批准擅自购买材料、设备。</w:t>
            </w:r>
          </w:p>
        </w:tc>
      </w:tr>
      <w:tr w14:paraId="3A3FE553">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C82ECD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w:t>
            </w:r>
          </w:p>
        </w:tc>
        <w:tc>
          <w:tcPr>
            <w:tcW w:w="8304" w:type="dxa"/>
            <w:tcBorders>
              <w:top w:val="single" w:color="auto" w:sz="4" w:space="0"/>
              <w:left w:val="single" w:color="auto" w:sz="4" w:space="0"/>
              <w:bottom w:val="single" w:color="auto" w:sz="4" w:space="0"/>
              <w:right w:val="single" w:color="auto" w:sz="4" w:space="0"/>
            </w:tcBorders>
            <w:vAlign w:val="center"/>
          </w:tcPr>
          <w:p w14:paraId="65C46412">
            <w:pPr>
              <w:widowControl/>
              <w:jc w:val="left"/>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放弃或限制行使工程项目优先受偿权、签署</w:t>
            </w:r>
            <w:r>
              <w:rPr>
                <w:rFonts w:hint="eastAsia" w:ascii="仿宋_GB2312" w:hAnsi="仿宋_GB2312" w:eastAsia="仿宋_GB2312" w:cs="仿宋_GB2312"/>
                <w:b/>
                <w:bCs/>
                <w:color w:val="000000" w:themeColor="text1"/>
                <w:kern w:val="0"/>
                <w:sz w:val="24"/>
                <w:szCs w:val="24"/>
                <w:lang w:val="zh-CN"/>
                <w14:textFill>
                  <w14:solidFill>
                    <w14:schemeClr w14:val="tx1"/>
                  </w14:solidFill>
                </w14:textFill>
              </w:rPr>
              <w:t>代他人清偿债务的文件，签署任何放弃债权的文件</w:t>
            </w:r>
            <w:r>
              <w:rPr>
                <w:rFonts w:hint="eastAsia" w:ascii="仿宋_GB2312" w:hAnsi="仿宋_GB2312" w:eastAsia="仿宋_GB2312" w:cs="仿宋_GB2312"/>
                <w:b/>
                <w:bCs/>
                <w:color w:val="000000" w:themeColor="text1"/>
                <w:kern w:val="0"/>
                <w:sz w:val="24"/>
                <w:szCs w:val="24"/>
                <w14:textFill>
                  <w14:solidFill>
                    <w14:schemeClr w14:val="tx1"/>
                  </w14:solidFill>
                </w14:textFill>
              </w:rPr>
              <w:t>。</w:t>
            </w:r>
          </w:p>
        </w:tc>
      </w:tr>
      <w:tr w14:paraId="365812E1">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404D726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w:t>
            </w:r>
          </w:p>
        </w:tc>
        <w:tc>
          <w:tcPr>
            <w:tcW w:w="8304" w:type="dxa"/>
            <w:tcBorders>
              <w:top w:val="single" w:color="auto" w:sz="4" w:space="0"/>
              <w:left w:val="single" w:color="auto" w:sz="4" w:space="0"/>
              <w:bottom w:val="single" w:color="auto" w:sz="4" w:space="0"/>
              <w:right w:val="single" w:color="auto" w:sz="4" w:space="0"/>
            </w:tcBorders>
            <w:vAlign w:val="center"/>
          </w:tcPr>
          <w:p w14:paraId="7629A2D1">
            <w:pPr>
              <w:widowControl/>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进行银行贷款等融资活动</w:t>
            </w:r>
          </w:p>
        </w:tc>
      </w:tr>
      <w:tr w14:paraId="38AA1FD8">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6BD90B6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5</w:t>
            </w:r>
          </w:p>
        </w:tc>
        <w:tc>
          <w:tcPr>
            <w:tcW w:w="8304" w:type="dxa"/>
            <w:tcBorders>
              <w:top w:val="single" w:color="auto" w:sz="4" w:space="0"/>
              <w:left w:val="single" w:color="auto" w:sz="4" w:space="0"/>
              <w:bottom w:val="single" w:color="auto" w:sz="4" w:space="0"/>
              <w:right w:val="single" w:color="auto" w:sz="4" w:space="0"/>
            </w:tcBorders>
            <w:vAlign w:val="center"/>
          </w:tcPr>
          <w:p w14:paraId="0096EA6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对外提供担保、出具欠条、签订还款协议、签订调价协议、各类保证书、承诺书。</w:t>
            </w:r>
          </w:p>
        </w:tc>
      </w:tr>
      <w:tr w14:paraId="6A3B25F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194796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6</w:t>
            </w:r>
          </w:p>
        </w:tc>
        <w:tc>
          <w:tcPr>
            <w:tcW w:w="8304" w:type="dxa"/>
            <w:tcBorders>
              <w:top w:val="single" w:color="auto" w:sz="4" w:space="0"/>
              <w:left w:val="single" w:color="auto" w:sz="4" w:space="0"/>
              <w:bottom w:val="single" w:color="auto" w:sz="4" w:space="0"/>
              <w:right w:val="single" w:color="auto" w:sz="4" w:space="0"/>
            </w:tcBorders>
            <w:vAlign w:val="center"/>
          </w:tcPr>
          <w:p w14:paraId="68038611">
            <w:pPr>
              <w:widowControl/>
              <w:jc w:val="left"/>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对外开立各类保函</w:t>
            </w:r>
          </w:p>
        </w:tc>
      </w:tr>
      <w:tr w14:paraId="57CEF06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A2D901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7</w:t>
            </w:r>
          </w:p>
        </w:tc>
        <w:tc>
          <w:tcPr>
            <w:tcW w:w="8304" w:type="dxa"/>
            <w:tcBorders>
              <w:top w:val="single" w:color="auto" w:sz="4" w:space="0"/>
              <w:left w:val="single" w:color="auto" w:sz="4" w:space="0"/>
              <w:bottom w:val="single" w:color="auto" w:sz="4" w:space="0"/>
              <w:right w:val="single" w:color="auto" w:sz="4" w:space="0"/>
            </w:tcBorders>
            <w:vAlign w:val="center"/>
          </w:tcPr>
          <w:p w14:paraId="40FD7DC6">
            <w:pPr>
              <w:widowControl/>
              <w:jc w:val="left"/>
              <w:rPr>
                <w:rFonts w:hint="eastAsia" w:ascii="仿宋_GB2312" w:hAnsi="仿宋_GB2312" w:eastAsia="仿宋_GB2312" w:cs="仿宋_GB2312"/>
                <w:b/>
                <w:bCs/>
                <w:color w:val="000000" w:themeColor="text1"/>
                <w:kern w:val="0"/>
                <w:sz w:val="24"/>
                <w:szCs w:val="24"/>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对外拆借资金，以甲方、甲方子企业或甲方项目部名义对外借款。</w:t>
            </w:r>
          </w:p>
        </w:tc>
      </w:tr>
      <w:tr w14:paraId="08AFB1E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8EA0A6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8</w:t>
            </w:r>
          </w:p>
        </w:tc>
        <w:tc>
          <w:tcPr>
            <w:tcW w:w="8304" w:type="dxa"/>
            <w:tcBorders>
              <w:top w:val="single" w:color="auto" w:sz="4" w:space="0"/>
              <w:left w:val="single" w:color="auto" w:sz="4" w:space="0"/>
              <w:bottom w:val="single" w:color="auto" w:sz="4" w:space="0"/>
              <w:right w:val="single" w:color="auto" w:sz="4" w:space="0"/>
            </w:tcBorders>
            <w:vAlign w:val="center"/>
          </w:tcPr>
          <w:p w14:paraId="059D902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私设小金库，坐支现金。</w:t>
            </w:r>
          </w:p>
        </w:tc>
      </w:tr>
      <w:tr w14:paraId="7D29ECE1">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74902A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9</w:t>
            </w:r>
          </w:p>
        </w:tc>
        <w:tc>
          <w:tcPr>
            <w:tcW w:w="8304" w:type="dxa"/>
            <w:tcBorders>
              <w:top w:val="single" w:color="auto" w:sz="4" w:space="0"/>
              <w:left w:val="single" w:color="auto" w:sz="4" w:space="0"/>
              <w:bottom w:val="single" w:color="auto" w:sz="4" w:space="0"/>
              <w:right w:val="single" w:color="auto" w:sz="4" w:space="0"/>
            </w:tcBorders>
            <w:vAlign w:val="center"/>
          </w:tcPr>
          <w:p w14:paraId="26F76D5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超出本综合授权书权限的分包（供）合同签证办理。</w:t>
            </w:r>
          </w:p>
        </w:tc>
      </w:tr>
      <w:tr w14:paraId="340E3512">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4C716AE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10</w:t>
            </w:r>
          </w:p>
        </w:tc>
        <w:tc>
          <w:tcPr>
            <w:tcW w:w="8304" w:type="dxa"/>
            <w:tcBorders>
              <w:top w:val="single" w:color="auto" w:sz="4" w:space="0"/>
              <w:left w:val="single" w:color="auto" w:sz="4" w:space="0"/>
              <w:bottom w:val="single" w:color="auto" w:sz="4" w:space="0"/>
              <w:right w:val="single" w:color="auto" w:sz="4" w:space="0"/>
            </w:tcBorders>
            <w:vAlign w:val="center"/>
          </w:tcPr>
          <w:p w14:paraId="361DE60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确认总包结算、确认分包合同结算（含甲指分包）。</w:t>
            </w:r>
          </w:p>
        </w:tc>
      </w:tr>
      <w:tr w14:paraId="4743562D">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016B28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11</w:t>
            </w:r>
          </w:p>
        </w:tc>
        <w:tc>
          <w:tcPr>
            <w:tcW w:w="8304" w:type="dxa"/>
            <w:tcBorders>
              <w:top w:val="single" w:color="auto" w:sz="4" w:space="0"/>
              <w:left w:val="single" w:color="auto" w:sz="4" w:space="0"/>
              <w:bottom w:val="single" w:color="auto" w:sz="4" w:space="0"/>
              <w:right w:val="single" w:color="auto" w:sz="4" w:space="0"/>
            </w:tcBorders>
            <w:vAlign w:val="center"/>
          </w:tcPr>
          <w:p w14:paraId="21CCC23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确认材料、设备、料具结算及赔偿（含零星材料、甲供材）。</w:t>
            </w:r>
          </w:p>
        </w:tc>
      </w:tr>
      <w:tr w14:paraId="4B37C360">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D4DDDE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12</w:t>
            </w:r>
          </w:p>
        </w:tc>
        <w:tc>
          <w:tcPr>
            <w:tcW w:w="8304" w:type="dxa"/>
            <w:tcBorders>
              <w:top w:val="single" w:color="auto" w:sz="4" w:space="0"/>
              <w:left w:val="single" w:color="auto" w:sz="4" w:space="0"/>
              <w:bottom w:val="single" w:color="auto" w:sz="4" w:space="0"/>
              <w:right w:val="single" w:color="auto" w:sz="4" w:space="0"/>
            </w:tcBorders>
            <w:vAlign w:val="center"/>
          </w:tcPr>
          <w:p w14:paraId="2F46D3CA">
            <w:pPr>
              <w:widowControl/>
              <w:jc w:val="left"/>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设立或变更劳动关系（包括签订劳动合同、确认劳动关系等）</w:t>
            </w:r>
          </w:p>
        </w:tc>
      </w:tr>
      <w:tr w14:paraId="70C7BB01">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54F0F4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13</w:t>
            </w:r>
          </w:p>
        </w:tc>
        <w:tc>
          <w:tcPr>
            <w:tcW w:w="8304" w:type="dxa"/>
            <w:tcBorders>
              <w:top w:val="single" w:color="auto" w:sz="4" w:space="0"/>
              <w:left w:val="single" w:color="auto" w:sz="4" w:space="0"/>
              <w:bottom w:val="single" w:color="auto" w:sz="4" w:space="0"/>
              <w:right w:val="single" w:color="auto" w:sz="4" w:space="0"/>
            </w:tcBorders>
            <w:vAlign w:val="center"/>
          </w:tcPr>
          <w:p w14:paraId="350A8CC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向工伤认定机构提交工伤认定申请或确认工伤事故。</w:t>
            </w:r>
          </w:p>
        </w:tc>
      </w:tr>
      <w:tr w14:paraId="77DF0DC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95E1A3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14</w:t>
            </w:r>
          </w:p>
        </w:tc>
        <w:tc>
          <w:tcPr>
            <w:tcW w:w="8304" w:type="dxa"/>
            <w:tcBorders>
              <w:top w:val="single" w:color="auto" w:sz="4" w:space="0"/>
              <w:left w:val="single" w:color="auto" w:sz="4" w:space="0"/>
              <w:bottom w:val="single" w:color="auto" w:sz="4" w:space="0"/>
              <w:right w:val="single" w:color="auto" w:sz="4" w:space="0"/>
            </w:tcBorders>
            <w:vAlign w:val="center"/>
          </w:tcPr>
          <w:p w14:paraId="6A20656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确认第三方维修费用。</w:t>
            </w:r>
          </w:p>
        </w:tc>
      </w:tr>
      <w:tr w14:paraId="1A4253A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4321C5E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15</w:t>
            </w:r>
          </w:p>
        </w:tc>
        <w:tc>
          <w:tcPr>
            <w:tcW w:w="8304" w:type="dxa"/>
            <w:tcBorders>
              <w:top w:val="single" w:color="auto" w:sz="4" w:space="0"/>
              <w:left w:val="single" w:color="auto" w:sz="4" w:space="0"/>
              <w:bottom w:val="single" w:color="auto" w:sz="4" w:space="0"/>
              <w:right w:val="single" w:color="auto" w:sz="4" w:space="0"/>
            </w:tcBorders>
            <w:vAlign w:val="center"/>
          </w:tcPr>
          <w:p w14:paraId="01B1BA3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决定废旧物资处理方案。</w:t>
            </w:r>
          </w:p>
        </w:tc>
      </w:tr>
      <w:tr w14:paraId="2E7450B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D9129C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16</w:t>
            </w:r>
          </w:p>
        </w:tc>
        <w:tc>
          <w:tcPr>
            <w:tcW w:w="8304" w:type="dxa"/>
            <w:tcBorders>
              <w:top w:val="single" w:color="auto" w:sz="4" w:space="0"/>
              <w:left w:val="single" w:color="auto" w:sz="4" w:space="0"/>
              <w:bottom w:val="single" w:color="auto" w:sz="4" w:space="0"/>
              <w:right w:val="single" w:color="auto" w:sz="4" w:space="0"/>
            </w:tcBorders>
            <w:vAlign w:val="center"/>
          </w:tcPr>
          <w:p w14:paraId="44FCB9E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分包分供合同涨价、奖励、补偿、增加合同外的工作范围、变更分包分供合同模式。</w:t>
            </w:r>
          </w:p>
        </w:tc>
      </w:tr>
      <w:tr w14:paraId="0F417265">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F4A7EF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17</w:t>
            </w:r>
          </w:p>
        </w:tc>
        <w:tc>
          <w:tcPr>
            <w:tcW w:w="8304" w:type="dxa"/>
            <w:tcBorders>
              <w:top w:val="single" w:color="auto" w:sz="4" w:space="0"/>
              <w:left w:val="single" w:color="auto" w:sz="4" w:space="0"/>
              <w:bottom w:val="single" w:color="auto" w:sz="4" w:space="0"/>
              <w:right w:val="single" w:color="auto" w:sz="4" w:space="0"/>
            </w:tcBorders>
            <w:vAlign w:val="center"/>
          </w:tcPr>
          <w:p w14:paraId="27F5797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危险性较大的分部分项工程安全施工方案。</w:t>
            </w:r>
          </w:p>
        </w:tc>
      </w:tr>
      <w:tr w14:paraId="72D5C984">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CCE4DF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18</w:t>
            </w:r>
          </w:p>
        </w:tc>
        <w:tc>
          <w:tcPr>
            <w:tcW w:w="8304" w:type="dxa"/>
            <w:tcBorders>
              <w:top w:val="single" w:color="auto" w:sz="4" w:space="0"/>
              <w:left w:val="single" w:color="auto" w:sz="4" w:space="0"/>
              <w:bottom w:val="single" w:color="auto" w:sz="4" w:space="0"/>
              <w:right w:val="single" w:color="auto" w:sz="4" w:space="0"/>
            </w:tcBorders>
            <w:vAlign w:val="center"/>
          </w:tcPr>
          <w:p w14:paraId="71916B7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接收诉讼法律文书、处理人民法院协助执行通知或参加仲裁、诉讼。</w:t>
            </w:r>
          </w:p>
        </w:tc>
      </w:tr>
      <w:bookmarkEnd w:id="74"/>
    </w:tbl>
    <w:p w14:paraId="0EA0B9D4">
      <w:pPr>
        <w:numPr>
          <w:ilvl w:val="0"/>
          <w:numId w:val="7"/>
        </w:numPr>
        <w:autoSpaceDE w:val="0"/>
        <w:autoSpaceDN w:val="0"/>
        <w:adjustRightInd w:val="0"/>
        <w:spacing w:line="400" w:lineRule="exact"/>
        <w:rPr>
          <w:rFonts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若项目经理发生变更，则由新委任的项目经理承继。</w:t>
      </w:r>
    </w:p>
    <w:p w14:paraId="0B317154">
      <w:pPr>
        <w:numPr>
          <w:ilvl w:val="0"/>
          <w:numId w:val="7"/>
        </w:num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本授权书未明确的事项执行本公司有关规章制度。</w:t>
      </w:r>
    </w:p>
    <w:p w14:paraId="758FC656">
      <w:pPr>
        <w:numPr>
          <w:ilvl w:val="0"/>
          <w:numId w:val="7"/>
        </w:num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本授权书经本公司加盖合同专用章后生效。本公司有权随时变更或撤销本授权书，并书面告知贵司。</w:t>
      </w:r>
    </w:p>
    <w:p w14:paraId="4705AAA5">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p>
    <w:p w14:paraId="3F70515C">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p>
    <w:p w14:paraId="52EE12F5">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p>
    <w:p w14:paraId="125A275C">
      <w:pPr>
        <w:autoSpaceDE w:val="0"/>
        <w:autoSpaceDN w:val="0"/>
        <w:adjustRightInd w:val="0"/>
        <w:spacing w:line="400" w:lineRule="exact"/>
        <w:ind w:firstLine="5040" w:firstLineChars="21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授权单位（盖章）：</w:t>
      </w:r>
    </w:p>
    <w:p w14:paraId="27A4AC8C">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法定代表人：</w:t>
      </w:r>
    </w:p>
    <w:p w14:paraId="737C2C35">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或</w:t>
      </w:r>
    </w:p>
    <w:p w14:paraId="7DB8D3AD">
      <w:pPr>
        <w:autoSpaceDE w:val="0"/>
        <w:autoSpaceDN w:val="0"/>
        <w:adjustRightInd w:val="0"/>
        <w:spacing w:line="400" w:lineRule="atLeast"/>
        <w:ind w:firstLine="6000" w:firstLineChars="2500"/>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被委托人：</w:t>
      </w:r>
      <w:r>
        <w:rPr>
          <w:rFonts w:hint="eastAsia" w:ascii="仿宋_GB2312" w:hAnsi="仿宋_GB2312" w:eastAsia="仿宋_GB2312" w:cs="仿宋_GB2312"/>
          <w:bCs/>
          <w:color w:val="000000" w:themeColor="text1"/>
          <w:sz w:val="24"/>
          <w:szCs w:val="24"/>
          <w14:textFill>
            <w14:solidFill>
              <w14:schemeClr w14:val="tx1"/>
            </w14:solidFill>
          </w14:textFill>
        </w:rPr>
        <w:t xml:space="preserve">           </w:t>
      </w:r>
    </w:p>
    <w:p w14:paraId="369D9FBD">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签署日期：</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年</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月</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日</w:t>
      </w:r>
    </w:p>
    <w:p w14:paraId="5805F44B">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乙方</w:t>
      </w:r>
      <w:r>
        <w:rPr>
          <w:rFonts w:hint="eastAsia" w:ascii="仿宋_GB2312" w:hAnsi="仿宋_GB2312" w:eastAsia="仿宋_GB2312" w:cs="仿宋_GB2312"/>
          <w:color w:val="000000" w:themeColor="text1"/>
          <w:sz w:val="24"/>
          <w:szCs w:val="24"/>
          <w:lang w:val="zh-CN"/>
          <w14:textFill>
            <w14:solidFill>
              <w14:schemeClr w14:val="tx1"/>
            </w14:solidFill>
          </w14:textFill>
        </w:rPr>
        <w:t>确认：我司已完全理解并清楚贵司对</w:t>
      </w:r>
      <w:r>
        <w:rPr>
          <w:rFonts w:hint="eastAsia" w:ascii="仿宋_GB2312" w:hAnsi="仿宋_GB2312" w:eastAsia="仿宋_GB2312" w:cs="仿宋_GB2312"/>
          <w:color w:val="000000" w:themeColor="text1"/>
          <w:sz w:val="24"/>
          <w:szCs w:val="24"/>
          <w14:textFill>
            <w14:solidFill>
              <w14:schemeClr w14:val="tx1"/>
            </w14:solidFill>
          </w14:textFill>
        </w:rPr>
        <w:t xml:space="preserve">项目部及项目经理的授权范围，并严格遵照执行。超出贵司授权范围的行为属于无权代理行为，对贵司无效，贵司不承担任何法律责任。我司将谨慎审查相关文件的签署主体资格和权限，对于无权代理人签署的相关文件，应及时与贵司核实。      </w:t>
      </w:r>
    </w:p>
    <w:p w14:paraId="7779CAE4">
      <w:pPr>
        <w:spacing w:line="400" w:lineRule="exact"/>
        <w:ind w:right="210" w:rightChars="1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乙方（公章）：           </w:t>
      </w:r>
    </w:p>
    <w:p w14:paraId="16699161">
      <w:pPr>
        <w:autoSpaceDE w:val="0"/>
        <w:autoSpaceDN w:val="0"/>
        <w:adjustRightInd w:val="0"/>
        <w:spacing w:line="400" w:lineRule="atLeast"/>
        <w:ind w:firstLine="1680" w:firstLineChars="7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法定代表人：</w:t>
      </w:r>
    </w:p>
    <w:p w14:paraId="6AFAF626">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或</w:t>
      </w:r>
    </w:p>
    <w:p w14:paraId="38C20DAF">
      <w:pPr>
        <w:autoSpaceDE w:val="0"/>
        <w:autoSpaceDN w:val="0"/>
        <w:adjustRightInd w:val="0"/>
        <w:spacing w:line="400" w:lineRule="atLeast"/>
        <w:ind w:firstLine="1920" w:firstLineChars="8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被委托人：</w:t>
      </w:r>
    </w:p>
    <w:p w14:paraId="0793D269">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签署日期：</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年</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月</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日</w:t>
      </w:r>
    </w:p>
    <w:p w14:paraId="3453E8BB">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p w14:paraId="32F14ADD">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p w14:paraId="2A464CAF">
      <w:pPr>
        <w:spacing w:line="400" w:lineRule="exact"/>
        <w:ind w:right="210" w:rightChars="100"/>
        <w:outlineLvl w:val="0"/>
        <w:rPr>
          <w:rFonts w:hint="eastAsia" w:ascii="仿宋_GB2312" w:hAnsi="仿宋_GB2312" w:eastAsia="仿宋_GB2312" w:cs="仿宋_GB2312"/>
          <w:color w:val="000000" w:themeColor="text1"/>
          <w:sz w:val="30"/>
          <w:szCs w:val="30"/>
          <w:highlight w:val="none"/>
          <w14:textFill>
            <w14:solidFill>
              <w14:schemeClr w14:val="tx1"/>
            </w14:solidFill>
          </w14:textFill>
        </w:rPr>
        <w:sectPr>
          <w:footerReference r:id="rId12" w:type="default"/>
          <w:pgSz w:w="11906" w:h="16838"/>
          <w:pgMar w:top="1440" w:right="1800" w:bottom="1440" w:left="1800" w:header="850" w:footer="975" w:gutter="0"/>
          <w:cols w:space="0" w:num="1"/>
          <w:docGrid w:linePitch="312" w:charSpace="0"/>
        </w:sectPr>
      </w:pPr>
      <w:bookmarkStart w:id="75" w:name="_Toc15118"/>
      <w:bookmarkStart w:id="76" w:name="_Toc11293"/>
      <w:bookmarkStart w:id="77" w:name="_Toc20069"/>
    </w:p>
    <w:p w14:paraId="0FD1CB49">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附件三：</w:t>
      </w:r>
      <w:bookmarkEnd w:id="75"/>
      <w:bookmarkEnd w:id="76"/>
      <w:bookmarkEnd w:id="77"/>
    </w:p>
    <w:p w14:paraId="1C0C1D2C">
      <w:pPr>
        <w:spacing w:line="400" w:lineRule="exact"/>
        <w:jc w:val="center"/>
        <w:rPr>
          <w:rFonts w:ascii="仿宋_GB2312" w:hAnsi="仿宋_GB2312" w:eastAsia="仿宋_GB2312"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b/>
          <w:color w:val="000000" w:themeColor="text1"/>
          <w:sz w:val="30"/>
          <w:szCs w:val="30"/>
          <w:highlight w:val="none"/>
          <w14:textFill>
            <w14:solidFill>
              <w14:schemeClr w14:val="tx1"/>
            </w14:solidFill>
          </w14:textFill>
        </w:rPr>
        <w:t>安全管理协议书</w:t>
      </w:r>
    </w:p>
    <w:p w14:paraId="342A1882">
      <w:pPr>
        <w:wordWrap w:val="0"/>
        <w:spacing w:line="400" w:lineRule="exact"/>
        <w:jc w:val="righ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24C16FFB">
      <w:pPr>
        <w:spacing w:line="400" w:lineRule="exact"/>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甲方：</w:t>
      </w:r>
      <w:permStart w:id="92" w:edGrp="everyone"/>
      <w:bookmarkStart w:id="78" w:name="_Hlk126826529"/>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中建</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路桥</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集团有限公司</w:t>
      </w:r>
      <w:bookmarkEnd w:id="78"/>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permEnd w:id="92"/>
      <w:r>
        <w:rPr>
          <w:rFonts w:hint="eastAsia" w:ascii="仿宋_GB2312" w:hAnsi="仿宋_GB2312" w:eastAsia="仿宋_GB2312" w:cs="仿宋_GB2312"/>
          <w:b/>
          <w:color w:val="000000" w:themeColor="text1"/>
          <w:sz w:val="24"/>
          <w:szCs w:val="24"/>
          <w:highlight w:val="none"/>
          <w14:textFill>
            <w14:solidFill>
              <w14:schemeClr w14:val="tx1"/>
            </w14:solidFill>
          </w14:textFill>
        </w:rPr>
        <w:t xml:space="preserve"> </w:t>
      </w:r>
    </w:p>
    <w:p w14:paraId="1401B419">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乙方：</w:t>
      </w:r>
      <w:permStart w:id="93" w:edGrp="everyone"/>
      <w:r>
        <w:rPr>
          <w:rFonts w:hint="eastAsia" w:ascii="仿宋_GB2312" w:hAnsi="仿宋_GB2312" w:eastAsia="仿宋_GB2312" w:cs="仿宋_GB2312"/>
          <w:b/>
          <w:color w:val="000000" w:themeColor="text1"/>
          <w:sz w:val="24"/>
          <w:szCs w:val="24"/>
          <w:highlight w:val="none"/>
          <w:u w:val="single"/>
          <w14:textFill>
            <w14:solidFill>
              <w14:schemeClr w14:val="tx1"/>
            </w14:solidFill>
          </w14:textFill>
        </w:rPr>
        <w:t xml:space="preserve">                        </w:t>
      </w:r>
      <w:permEnd w:id="93"/>
    </w:p>
    <w:p w14:paraId="30E75F9D">
      <w:pPr>
        <w:pStyle w:val="5"/>
        <w:tabs>
          <w:tab w:val="left" w:pos="2100"/>
        </w:tabs>
        <w:spacing w:line="400" w:lineRule="exact"/>
        <w:ind w:right="210" w:rightChars="100" w:firstLine="432"/>
        <w:rPr>
          <w:rFonts w:hAnsi="仿宋_GB2312" w:cs="仿宋_GB2312"/>
          <w:color w:val="000000" w:themeColor="text1"/>
          <w:sz w:val="24"/>
          <w:highlight w:val="none"/>
          <w14:textFill>
            <w14:solidFill>
              <w14:schemeClr w14:val="tx1"/>
            </w14:solidFill>
          </w14:textFill>
        </w:rPr>
      </w:pPr>
      <w:r>
        <w:rPr>
          <w:rFonts w:hint="eastAsia" w:hAnsi="仿宋_GB2312" w:cs="仿宋_GB2312"/>
          <w:color w:val="000000" w:themeColor="text1"/>
          <w:sz w:val="24"/>
          <w:highlight w:val="none"/>
          <w14:textFill>
            <w14:solidFill>
              <w14:schemeClr w14:val="tx1"/>
            </w14:solidFill>
          </w14:textFill>
        </w:rPr>
        <w:t xml:space="preserve">根据《中华人民共和国民法典》、《安全生产法》及有关法律规定，遵循平等、自愿、公平和诚实信用的原则，双方就合同范围内且在项目部施工现场范围内安全事项协商一致，订立本合同并共同遵守。 </w:t>
      </w:r>
    </w:p>
    <w:p w14:paraId="16E69F79">
      <w:pPr>
        <w:snapToGrid w:val="0"/>
        <w:spacing w:line="400" w:lineRule="exact"/>
        <w:ind w:firstLine="555"/>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第一条 共同约定  </w:t>
      </w:r>
    </w:p>
    <w:p w14:paraId="1650C0E5">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双方应共同遵守《安全生产法》、《中华人民共和国建筑法》、《建设工程安全生产管理条例》、《房屋建筑和市政基础设施工程分包管理办法》《安全生产许可证条例》等一系列有关安全生产的法律法规，严格执行建设部标准</w:t>
      </w:r>
      <w:permStart w:id="94"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JGJ59—2011《建筑安全施工检查标准》</w:t>
      </w:r>
      <w:permEnd w:id="94"/>
      <w:r>
        <w:rPr>
          <w:rFonts w:hint="eastAsia" w:ascii="仿宋_GB2312" w:hAnsi="仿宋_GB2312" w:eastAsia="仿宋_GB2312" w:cs="仿宋_GB2312"/>
          <w:color w:val="000000" w:themeColor="text1"/>
          <w:sz w:val="24"/>
          <w:szCs w:val="24"/>
          <w:highlight w:val="none"/>
          <w14:textFill>
            <w14:solidFill>
              <w14:schemeClr w14:val="tx1"/>
            </w14:solidFill>
          </w14:textFill>
        </w:rPr>
        <w:t>等一系列标准规程及</w:t>
      </w:r>
      <w:permStart w:id="95"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邢台</w:t>
      </w:r>
      <w:permEnd w:id="95"/>
      <w:r>
        <w:rPr>
          <w:rFonts w:hint="eastAsia" w:ascii="仿宋_GB2312" w:hAnsi="仿宋_GB2312" w:eastAsia="仿宋_GB2312" w:cs="仿宋_GB2312"/>
          <w:color w:val="000000" w:themeColor="text1"/>
          <w:sz w:val="24"/>
          <w:szCs w:val="24"/>
          <w:highlight w:val="none"/>
          <w14:textFill>
            <w14:solidFill>
              <w14:schemeClr w14:val="tx1"/>
            </w14:solidFill>
          </w14:textFill>
        </w:rPr>
        <w:t>市有关安全生产的规章制度。</w:t>
      </w:r>
    </w:p>
    <w:p w14:paraId="2C0778B6">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2、双方应共同遵守</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中建集团</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、中建交通</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中建路桥</w:t>
      </w:r>
      <w:r>
        <w:rPr>
          <w:rFonts w:hint="eastAsia" w:ascii="仿宋_GB2312" w:hAnsi="仿宋_GB2312" w:eastAsia="仿宋_GB2312" w:cs="仿宋_GB2312"/>
          <w:color w:val="000000" w:themeColor="text1"/>
          <w:sz w:val="24"/>
          <w:szCs w:val="24"/>
          <w:highlight w:val="none"/>
          <w14:textFill>
            <w14:solidFill>
              <w14:schemeClr w14:val="tx1"/>
            </w14:solidFill>
          </w14:textFill>
        </w:rPr>
        <w:t>等系列安全生产规章制度。贯彻执行项目职业健康安全和环境管理体系的各项要求。</w:t>
      </w:r>
    </w:p>
    <w:p w14:paraId="74B8FAC9">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3、安全文明施工管理目标、指标：以项目部总包单位制定的为准。</w:t>
      </w:r>
    </w:p>
    <w:p w14:paraId="72B3478A">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4、在甲方施工区域以外场所安全工作及发生的不良后果由乙方自行承担。</w:t>
      </w:r>
    </w:p>
    <w:p w14:paraId="547D1BAC">
      <w:pPr>
        <w:pStyle w:val="12"/>
        <w:spacing w:line="400" w:lineRule="exact"/>
        <w:ind w:firstLine="482" w:firstLineChars="200"/>
        <w:rPr>
          <w:rFonts w:ascii="仿宋_GB2312" w:hAnsi="仿宋_GB2312" w:eastAsia="仿宋_GB2312" w:cs="仿宋_GB2312"/>
          <w:b/>
          <w:bCs/>
          <w:color w:val="000000" w:themeColor="text1"/>
          <w:kern w:val="2"/>
          <w:highlight w:val="none"/>
          <w14:textFill>
            <w14:solidFill>
              <w14:schemeClr w14:val="tx1"/>
            </w14:solidFill>
          </w14:textFill>
        </w:rPr>
      </w:pPr>
      <w:r>
        <w:rPr>
          <w:rFonts w:hint="eastAsia" w:ascii="仿宋_GB2312" w:hAnsi="仿宋_GB2312" w:eastAsia="仿宋_GB2312" w:cs="仿宋_GB2312"/>
          <w:b/>
          <w:bCs/>
          <w:color w:val="000000" w:themeColor="text1"/>
          <w:kern w:val="2"/>
          <w:highlight w:val="none"/>
          <w14:textFill>
            <w14:solidFill>
              <w14:schemeClr w14:val="tx1"/>
            </w14:solidFill>
          </w14:textFill>
        </w:rPr>
        <w:t>第二条 环境与职业健康安全</w:t>
      </w:r>
    </w:p>
    <w:p w14:paraId="40A5BFF2">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1、乙方车辆及材料在运输途中及到达甲方现场后应遵守国家和地方现行的有关环境保护、职业健康安全的法律、法规和其他要求。</w:t>
      </w:r>
    </w:p>
    <w:p w14:paraId="7BA53031">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2、乙方需遵守《道路交通安全法》，应当给负责运送货物的车辆办理交强险及商业保险，否则发生的人员伤亡事故或货物毁损由责任方承担，与甲方无关。</w:t>
      </w:r>
    </w:p>
    <w:p w14:paraId="40C91CC9">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乙方货物到达指定堆场或仓库等甲方指定地点，装卸、运输过程中的人员、机械、车辆安全，应按国家及地方规定办理相关手续。如因运载车辆事故、卸货等原因导致的乙方及任何第三方的人身伤害及经济损失均由乙方负责，并补偿甲方及其他方因此造成的损失。</w:t>
      </w:r>
    </w:p>
    <w:p w14:paraId="14217AD8">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4、乙方到施工现场的人员必须佩戴安全帽，穿戴整洁，严禁吸烟和大声喧哗，遵守需方项目的规章制度，否则将按需方有关制度处罚。</w:t>
      </w:r>
    </w:p>
    <w:p w14:paraId="1BBBFEEB">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5、由于非甲方的任何第三方原因导致乙方人员伤亡及财产损害均由乙方承担相应损失。</w:t>
      </w:r>
    </w:p>
    <w:p w14:paraId="6E0B0FEA">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第三条 甲方的安全责任、权利和义务  </w:t>
      </w:r>
    </w:p>
    <w:p w14:paraId="226141D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1、甲方在现场履行管理、监督职责，认真履行第一条共同约定的内容，对乙方在进入总包施工现场的施工安全进行监督、指导、检查。 </w:t>
      </w:r>
    </w:p>
    <w:p w14:paraId="7FECDCF9">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2、对乙方安排生产、运输任务的同时，对按照规定程序审批的施工组织设计进行书面安全技术交底，并办理交底双方签字手续（如有）。 </w:t>
      </w:r>
    </w:p>
    <w:p w14:paraId="28045711">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3、在合同中约定由甲方向使用单位提供的安全防护设施，应完整齐全，并且符合安全要求，并整改乙方提出的不安全问题。</w:t>
      </w:r>
    </w:p>
    <w:p w14:paraId="09DCC275">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4、有权制止乙方的违章作业，对重大违章行为有权责令其停工整顿；对于乙方的违章行为，甲方有进行安全违约处罚的权利；因乙方责任造成防护设施、防护用品等损坏、改变或遗失，或者环境破坏，可要求乙方赔偿或恢复。 </w:t>
      </w:r>
    </w:p>
    <w:p w14:paraId="58AC6198">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5、对安全素质差、不服从安全生产管理的人员责令其限期退场，造成的工期损失、经济损失由乙方承担。对不执行规章制度的人员，可视情节轻重，按照项目奖罚制度进行安全违约处罚。</w:t>
      </w:r>
    </w:p>
    <w:p w14:paraId="2AFB16EE">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6、对达不到规定的安全生产条件、存在重大安全隐患或发生安全事故，可要求乙方限期退场，或者中止合同，造成项目工期损失、经济损失由乙方承担。</w:t>
      </w:r>
    </w:p>
    <w:p w14:paraId="2A50B8C0">
      <w:pPr>
        <w:snapToGrid w:val="0"/>
        <w:spacing w:line="400" w:lineRule="exact"/>
        <w:ind w:firstLine="555"/>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7、按照规定要求对乙方自有的材料和自带（含租赁）施工机具、起重 吊装设备、运输车辆等进行安全生产监督检查，有权拒绝乙方不合格产品进场（已进场的限期退场）。</w:t>
      </w:r>
    </w:p>
    <w:p w14:paraId="62E8096E">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与安全生产关系直接的大型设备、特种设备、安全设施设备、防护用品进场时，项目安全生产监督管理部门应参与验收，验收合格签字后方可进场。</w:t>
      </w:r>
    </w:p>
    <w:p w14:paraId="68F64B2F">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第四条 乙方的安全责任、权利和义务  </w:t>
      </w:r>
    </w:p>
    <w:p w14:paraId="1228DAF3">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1、乙方应认真履行第一条共同约定的内容，接受甲方的监督、检查工作。</w:t>
      </w:r>
    </w:p>
    <w:p w14:paraId="0A8F26E1">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2、乙方应具备所供货物的运输资质或证照，不得跨资质承运相应货物。若乙方委托第三方单位承运相应货物，不解除乙方应承担本合同项下的义务和责任。</w:t>
      </w:r>
    </w:p>
    <w:p w14:paraId="189D0483">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乙方运输前对货物性质、形状充分认识并制定相应运输措施，必要情况下准备运输防护用品及货物运输应急用品。如有特定需求运输超大、超重、异形等道路通行规定以外的货物，应按照设计文件提示等采用特定的运输方式并制定安全防范措施。</w:t>
      </w:r>
    </w:p>
    <w:p w14:paraId="7296DCDA">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负责本单位特种作业人员、运输车辆司机、起重吊装作业司机指挥等人的培训、考核和取证，必须做到进入施工现场的人员持证上岗。进入施工现场作业要有专人在现场履行管理职责，并对未认真履行职责的后果负责。</w:t>
      </w:r>
    </w:p>
    <w:p w14:paraId="3484F4D6">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5、对本单位员工进行安全三级教育，进行安全技术交底，交底报甲方备案。保证进场人员符合相关要求，身体情况能适应本行业工作，熟悉现场一般安全规定及本工种安全操作规程，并进行进场岗前教育，未经过培训教育的工人不得安排进行现场工作；</w:t>
      </w:r>
    </w:p>
    <w:p w14:paraId="31B38162">
      <w:pPr>
        <w:snapToGrid w:val="0"/>
        <w:spacing w:line="400" w:lineRule="exact"/>
        <w:ind w:firstLine="453"/>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6、不得违章指挥，或强令工人冒险作业，也不能强迫工人连续长时间作业，更不能进入指定禁区及非本工作作业区域。不得私自翻越防护，攀爬架体、私自接电等违章作业行为，不得在高处危险作业和各种提升机械的垂直下方穿行或停留（如：吊篮、电梯笼）。 </w:t>
      </w:r>
    </w:p>
    <w:p w14:paraId="76338E74">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7、对甲方所提供的安全设施不能保证安全施工时，应及时提出，也可拒绝施工；在施工中不得未经甲方现场负责人同意私自拆除安全防护设施。 </w:t>
      </w:r>
    </w:p>
    <w:p w14:paraId="5FD733E0">
      <w:pPr>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8、乙方自备的设备及工具必须保证环保、性能良好、各安全装置齐全灵敏有效。进工地前必须报项目监督试机，验收并填写验收表，达不到环保和</w:t>
      </w:r>
      <w:permStart w:id="96"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《JGJ59—2011》标准</w:t>
      </w:r>
      <w:permEnd w:id="96"/>
      <w:r>
        <w:rPr>
          <w:rFonts w:hint="eastAsia" w:ascii="仿宋_GB2312" w:hAnsi="仿宋_GB2312" w:eastAsia="仿宋_GB2312" w:cs="仿宋_GB2312"/>
          <w:color w:val="000000" w:themeColor="text1"/>
          <w:sz w:val="24"/>
          <w:szCs w:val="24"/>
          <w:highlight w:val="none"/>
          <w14:textFill>
            <w14:solidFill>
              <w14:schemeClr w14:val="tx1"/>
            </w14:solidFill>
          </w14:textFill>
        </w:rPr>
        <w:t>的设备及工具严禁在工地使用。</w:t>
      </w:r>
    </w:p>
    <w:p w14:paraId="71E79B3A">
      <w:pPr>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9、乙方自带设备或工具必须相匹配的质量合格的电缆线，并自备符合当地主管部门要求的末级标准配电箱。</w:t>
      </w:r>
    </w:p>
    <w:p w14:paraId="44822394">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10、必须按规定提取和使用安全技术措施经费，为作业人员提供符合国家标准或行业标准的劳动防护用品，并督促、教育作业人员按照使用规则佩戴、使用。 </w:t>
      </w:r>
    </w:p>
    <w:p w14:paraId="16A1245F">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11、对甲方人员违章指挥或者可能危及人身安全、财产损失的指挥，乙方有权拒绝。 </w:t>
      </w:r>
    </w:p>
    <w:p w14:paraId="30EBCDBF">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12、不得进行违反安全法律和其他、安全生产规章制度的行为。</w:t>
      </w:r>
    </w:p>
    <w:p w14:paraId="5D7557E0">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13、乙方对供应的材料在甲方施工场地外运输过程发生的安全事故承担全部责任，不得向甲方提出索赔要求。</w:t>
      </w:r>
    </w:p>
    <w:p w14:paraId="2C206D47">
      <w:pPr>
        <w:spacing w:line="400" w:lineRule="exact"/>
        <w:jc w:val="left"/>
        <w:rPr>
          <w:rFonts w:ascii="仿宋_GB2312" w:hAnsi="仿宋_GB2312" w:eastAsia="仿宋_GB2312" w:cs="仿宋_GB2312"/>
          <w:color w:val="000000" w:themeColor="text1"/>
          <w:sz w:val="24"/>
          <w:szCs w:val="24"/>
          <w:highlight w:val="none"/>
          <w:shd w:val="clear" w:color="auto" w:fill="FF0000"/>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14、乙方对因自身原因发生的安全事故承担全部责任。由于乙方原因而引发的被当地有关部门处罚的各类事件，乙方承担相应罚款、工期损失及经济损失；</w:t>
      </w:r>
    </w:p>
    <w:p w14:paraId="2D849072">
      <w:pPr>
        <w:spacing w:line="400" w:lineRule="exact"/>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15、在施工现场发生事故时，应积极抢救伤员，保护事故现场，防止事故扩大，按甲方要求提供事故有关资料，并配合调查。</w:t>
      </w:r>
    </w:p>
    <w:p w14:paraId="6B90B02B">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第五条 事故处理 </w:t>
      </w:r>
    </w:p>
    <w:p w14:paraId="38B4BECE">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1、若发生事故应立即启动事故应急预案，采取有效措施组织抢救，防止事故扩大，减少人员伤亡和财产损失，同时应按</w:t>
      </w:r>
      <w:permStart w:id="97"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《生产安全事故报告和调查处理条例》(493号令)</w:t>
      </w:r>
      <w:permEnd w:id="97"/>
      <w:r>
        <w:rPr>
          <w:rFonts w:hint="eastAsia" w:ascii="仿宋_GB2312" w:hAnsi="仿宋_GB2312" w:eastAsia="仿宋_GB2312" w:cs="仿宋_GB2312"/>
          <w:color w:val="000000" w:themeColor="text1"/>
          <w:sz w:val="24"/>
          <w:szCs w:val="24"/>
          <w:highlight w:val="none"/>
          <w14:textFill>
            <w14:solidFill>
              <w14:schemeClr w14:val="tx1"/>
            </w14:solidFill>
          </w14:textFill>
        </w:rPr>
        <w:t>的规定进行事故处理及上报。乙方应及时将事故情况向甲方上报，不得迟报、漏报、谎报或瞒报。</w:t>
      </w:r>
    </w:p>
    <w:p w14:paraId="02740776">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2、在施工现场内发生重伤或死亡事故，由甲方主管部门牵头，乙方为主，甲乙双方共同参加，按照规定报告有关部门进行调查，查清事故原因，分清事故责任，提出对事故责任者的处理意见。 </w:t>
      </w:r>
    </w:p>
    <w:p w14:paraId="74652E02">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3、由于没有认真履行安全责任，造成重大伤亡事故，情节严重的主要直接责任者，已触及国家刑律，应提请有关部门进行调查处理。 </w:t>
      </w:r>
    </w:p>
    <w:p w14:paraId="0055BEE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4、对不认真履行本合同，违章指挥、违章作业、冒险进入施工禁区及损坏安全防护设施、不按规定进行安全技术交底及组织施工，造成伤亡事故的，应由事故责任方承担罚款及一切经济损失和责任。 </w:t>
      </w:r>
    </w:p>
    <w:p w14:paraId="175069CD">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5、由于甲方主要责任造成的伤亡事故，乙方有权要求甲方进行经济赔偿。由于乙方主要责任造成的伤亡事故，甲方有权要求乙方承担违约责任。</w:t>
      </w:r>
    </w:p>
    <w:p w14:paraId="6B6972C8">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6、由于第三方责任导致乙方人员伤亡，及由于乙方责任导致第三方人员伤亡，由乙方负责并处理。</w:t>
      </w:r>
    </w:p>
    <w:p w14:paraId="35D2DE9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对乙方因自身原因发生的安全事故，如因工人自身误操作、违章作业、冒险进入施工禁区、损坏安全设施、乙方不按规定对工人进行安全交底、班前活动等等，所造成的或主要责任在乙方的伤害事故，所发生的一切责任及费用由乙方承担。</w:t>
      </w:r>
    </w:p>
    <w:p w14:paraId="0C923EF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乙方积极配合甲方做好事故的善后处理工作，若伤亡人员为乙方雇佣、招录人员，乙方应及时负责伤亡人员及家属的接待善后工作，因此发生的医疗费、护理费、赔偿费等费用由乙方先垫付，最后由事故责任方一次性承担，因未积极配合甲方对事故进行善后处理而产生的一切法律责任及经济处罚由乙方自负。</w:t>
      </w:r>
    </w:p>
    <w:p w14:paraId="4B1A286C">
      <w:pPr>
        <w:spacing w:line="400" w:lineRule="exact"/>
        <w:ind w:firstLine="516" w:firstLineChars="214"/>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第六条</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本合同生效条件与主合同相同。</w:t>
      </w:r>
    </w:p>
    <w:p w14:paraId="1E0C37E8">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p>
    <w:p w14:paraId="18DCAF51">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79" w:name="_Hlk127203185"/>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甲方（盖章）：                        乙方（公章）：             </w:t>
      </w:r>
    </w:p>
    <w:p w14:paraId="028659DF">
      <w:pPr>
        <w:autoSpaceDE w:val="0"/>
        <w:autoSpaceDN w:val="0"/>
        <w:adjustRightInd w:val="0"/>
        <w:spacing w:line="400" w:lineRule="atLeast"/>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p>
    <w:p w14:paraId="2FF1507B">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015837B5">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5C835E27">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人：</w:t>
      </w:r>
    </w:p>
    <w:p w14:paraId="47D1ADEA">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08659568">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bookmarkEnd w:id="79"/>
    </w:p>
    <w:p w14:paraId="207D32A9">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br w:type="page"/>
      </w:r>
    </w:p>
    <w:p w14:paraId="2E40EAA0">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bookmarkStart w:id="80" w:name="_Toc24322"/>
      <w:bookmarkStart w:id="81" w:name="_Toc9726"/>
      <w:bookmarkStart w:id="82" w:name="_Toc776"/>
      <w:r>
        <w:rPr>
          <w:rFonts w:hint="eastAsia" w:ascii="仿宋_GB2312" w:hAnsi="仿宋_GB2312" w:eastAsia="仿宋_GB2312" w:cs="仿宋_GB2312"/>
          <w:color w:val="000000" w:themeColor="text1"/>
          <w:sz w:val="30"/>
          <w:szCs w:val="30"/>
          <w:highlight w:val="none"/>
          <w14:textFill>
            <w14:solidFill>
              <w14:schemeClr w14:val="tx1"/>
            </w14:solidFill>
          </w14:textFill>
        </w:rPr>
        <w:t>附件四：</w:t>
      </w:r>
      <w:bookmarkEnd w:id="80"/>
      <w:bookmarkEnd w:id="81"/>
      <w:bookmarkEnd w:id="82"/>
    </w:p>
    <w:p w14:paraId="79298B74">
      <w:pPr>
        <w:spacing w:line="400" w:lineRule="exact"/>
        <w:jc w:val="center"/>
        <w:rPr>
          <w:rFonts w:ascii="仿宋_GB2312" w:hAnsi="仿宋_GB2312" w:eastAsia="仿宋_GB2312" w:cs="仿宋_GB2312"/>
          <w:color w:val="000000" w:themeColor="text1"/>
          <w:sz w:val="30"/>
          <w:szCs w:val="30"/>
          <w:highlight w:val="none"/>
          <w14:textFill>
            <w14:solidFill>
              <w14:schemeClr w14:val="tx1"/>
            </w14:solidFill>
          </w14:textFill>
        </w:rPr>
      </w:pPr>
      <w:bookmarkStart w:id="83" w:name="_Toc16461"/>
      <w:r>
        <w:rPr>
          <w:rFonts w:hint="eastAsia" w:ascii="仿宋_GB2312" w:hAnsi="仿宋_GB2312" w:eastAsia="仿宋_GB2312" w:cs="仿宋_GB2312"/>
          <w:b/>
          <w:color w:val="000000" w:themeColor="text1"/>
          <w:sz w:val="30"/>
          <w:szCs w:val="30"/>
          <w:highlight w:val="none"/>
          <w14:textFill>
            <w14:solidFill>
              <w14:schemeClr w14:val="tx1"/>
            </w14:solidFill>
          </w14:textFill>
        </w:rPr>
        <w:t>廉洁从业共建协议</w:t>
      </w:r>
      <w:bookmarkEnd w:id="83"/>
    </w:p>
    <w:p w14:paraId="32566F91">
      <w:pPr>
        <w:spacing w:line="46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甲方：</w:t>
      </w:r>
      <w:bookmarkStart w:id="84" w:name="_Hlk127190139"/>
      <w:permStart w:id="98" w:edGrp="everyone"/>
      <w:r>
        <w:rPr>
          <w:rFonts w:hint="eastAsia" w:ascii="仿宋_GB2312" w:hAnsi="宋体" w:eastAsia="仿宋_GB2312"/>
          <w:color w:val="000000" w:themeColor="text1"/>
          <w:sz w:val="24"/>
          <w:szCs w:val="24"/>
          <w:highlight w:val="none"/>
          <w:u w:val="single"/>
          <w14:textFill>
            <w14:solidFill>
              <w14:schemeClr w14:val="tx1"/>
            </w14:solidFill>
          </w14:textFill>
        </w:rPr>
        <w:t>中建</w:t>
      </w:r>
      <w:r>
        <w:rPr>
          <w:rFonts w:hint="eastAsia" w:ascii="仿宋_GB2312" w:hAnsi="宋体" w:eastAsia="仿宋_GB2312"/>
          <w:color w:val="000000" w:themeColor="text1"/>
          <w:sz w:val="24"/>
          <w:szCs w:val="24"/>
          <w:highlight w:val="none"/>
          <w:u w:val="single"/>
          <w:lang w:val="en-US" w:eastAsia="zh-CN"/>
          <w14:textFill>
            <w14:solidFill>
              <w14:schemeClr w14:val="tx1"/>
            </w14:solidFill>
          </w14:textFill>
        </w:rPr>
        <w:t>路桥</w:t>
      </w:r>
      <w:r>
        <w:rPr>
          <w:rFonts w:hint="eastAsia" w:ascii="仿宋_GB2312" w:hAnsi="宋体" w:eastAsia="仿宋_GB2312"/>
          <w:color w:val="000000" w:themeColor="text1"/>
          <w:sz w:val="24"/>
          <w:szCs w:val="24"/>
          <w:highlight w:val="none"/>
          <w:u w:val="single"/>
          <w14:textFill>
            <w14:solidFill>
              <w14:schemeClr w14:val="tx1"/>
            </w14:solidFill>
          </w14:textFill>
        </w:rPr>
        <w:t>集团有限公司</w:t>
      </w:r>
      <w:bookmarkEnd w:id="84"/>
      <w:r>
        <w:rPr>
          <w:rFonts w:hint="eastAsia" w:ascii="仿宋_GB2312" w:hAnsi="宋体" w:eastAsia="仿宋_GB2312"/>
          <w:color w:val="000000" w:themeColor="text1"/>
          <w:sz w:val="24"/>
          <w:szCs w:val="24"/>
          <w:highlight w:val="none"/>
          <w:u w:val="single"/>
          <w:lang w:val="en-US" w:eastAsia="zh-CN"/>
          <w14:textFill>
            <w14:solidFill>
              <w14:schemeClr w14:val="tx1"/>
            </w14:solidFill>
          </w14:textFill>
        </w:rPr>
        <w:t xml:space="preserve">    </w:t>
      </w:r>
      <w:permEnd w:id="98"/>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
    <w:p w14:paraId="46693D82">
      <w:pPr>
        <w:spacing w:line="46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乙方：</w:t>
      </w:r>
      <w:permStart w:id="99" w:edGrp="everyone"/>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r>
        <w:rPr>
          <w:rFonts w:ascii="仿宋_GB2312" w:hAnsi="宋体" w:eastAsia="仿宋_GB2312"/>
          <w:color w:val="000000" w:themeColor="text1"/>
          <w:sz w:val="24"/>
          <w:szCs w:val="24"/>
          <w:highlight w:val="none"/>
          <w:u w:val="single"/>
          <w14:textFill>
            <w14:solidFill>
              <w14:schemeClr w14:val="tx1"/>
            </w14:solidFill>
          </w14:textFill>
        </w:rPr>
        <w:t xml:space="preserve">   </w:t>
      </w:r>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ermEnd w:id="99"/>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
    <w:p w14:paraId="0C05924F">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为加强建设工程廉政建设，规范建设工程各项活动中甲方、乙方双方的行为，防止谋取不正当利益的违法违纪现象的发生，保护国家、集体和当事人的合法权益，根据国家有关工程建设的法律法规和廉政建设的有关规定，订立本廉政责任书。</w:t>
      </w:r>
    </w:p>
    <w:p w14:paraId="7DF99753">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5" w:name="_Toc300671949"/>
      <w:r>
        <w:rPr>
          <w:rFonts w:hint="eastAsia" w:ascii="仿宋_GB2312" w:hAnsi="宋体" w:eastAsia="仿宋_GB2312" w:cs="宋体"/>
          <w:color w:val="000000" w:themeColor="text1"/>
          <w:kern w:val="0"/>
          <w:sz w:val="24"/>
          <w:szCs w:val="24"/>
          <w:highlight w:val="none"/>
          <w14:textFill>
            <w14:solidFill>
              <w14:schemeClr w14:val="tx1"/>
            </w14:solidFill>
          </w14:textFill>
        </w:rPr>
        <w:t>一、双方的责任</w:t>
      </w:r>
      <w:bookmarkEnd w:id="85"/>
    </w:p>
    <w:p w14:paraId="55CBB7DD">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1.1应严格遵守国家关于建设工程的有关法律、法规，相关政策，以及廉政建设的各项规定。</w:t>
      </w:r>
    </w:p>
    <w:p w14:paraId="66F9F1C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1.2严格执行建设工程合同文件，自觉按合同办事。</w:t>
      </w:r>
    </w:p>
    <w:p w14:paraId="31F59E70">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1.3各项活动必须坚持公开、公平、公正、诚信、透明的原则(除法律法规另有规定者外)，不得为获取不正当的利益，损害国家、集体和对方利益，不得违反建设工程管理的规章制度。</w:t>
      </w:r>
    </w:p>
    <w:p w14:paraId="1155A178">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6" w:name="_Hlk127535665"/>
      <w:r>
        <w:rPr>
          <w:rFonts w:hint="eastAsia" w:ascii="仿宋_GB2312" w:hAnsi="宋体" w:eastAsia="仿宋_GB2312" w:cs="宋体"/>
          <w:color w:val="000000" w:themeColor="text1"/>
          <w:kern w:val="0"/>
          <w:sz w:val="24"/>
          <w:szCs w:val="24"/>
          <w:highlight w:val="none"/>
          <w14:textFill>
            <w14:solidFill>
              <w14:schemeClr w14:val="tx1"/>
            </w14:solidFill>
          </w14:textFill>
        </w:rPr>
        <w:t>1.4发现双方在业务活动中有违规、违纪、违法行为的，应及时提醒对方，情节严重的，如实进行举报，一经查实，严肃处理。</w:t>
      </w:r>
    </w:p>
    <w:bookmarkEnd w:id="86"/>
    <w:p w14:paraId="0A1BD26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7" w:name="_Toc300671950"/>
      <w:r>
        <w:rPr>
          <w:rFonts w:hint="eastAsia" w:ascii="仿宋_GB2312" w:hAnsi="宋体" w:eastAsia="仿宋_GB2312" w:cs="宋体"/>
          <w:color w:val="000000" w:themeColor="text1"/>
          <w:kern w:val="0"/>
          <w:sz w:val="24"/>
          <w:szCs w:val="24"/>
          <w:highlight w:val="none"/>
          <w14:textFill>
            <w14:solidFill>
              <w14:schemeClr w14:val="tx1"/>
            </w14:solidFill>
          </w14:textFill>
        </w:rPr>
        <w:t>二、甲方责任</w:t>
      </w:r>
      <w:bookmarkEnd w:id="87"/>
    </w:p>
    <w:p w14:paraId="319CB69B">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甲方相关人员和从事该建设工程项目的工作人员，在工程建设的事前、事中、事后应遵守以下规定：</w:t>
      </w:r>
    </w:p>
    <w:p w14:paraId="3964D916">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2.1按照甲方的招（议）标程序确定供应商，确保公正、公平对待所有合作方；不得在招标文件中有针对性地故意设定条件，以不公正的方法确定供应商；</w:t>
      </w:r>
    </w:p>
    <w:p w14:paraId="7479B45D">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2.2</w:t>
      </w:r>
      <w:r>
        <w:rPr>
          <w:rFonts w:hint="eastAsia" w:ascii="仿宋_GB2312" w:hAnsi="宋体" w:eastAsia="仿宋_GB2312"/>
          <w:color w:val="000000" w:themeColor="text1"/>
          <w:sz w:val="24"/>
          <w:szCs w:val="24"/>
          <w:highlight w:val="none"/>
          <w14:textFill>
            <w14:solidFill>
              <w14:schemeClr w14:val="tx1"/>
            </w14:solidFill>
          </w14:textFill>
        </w:rPr>
        <w:t>按照甲方的项目管理流程办理乙方的各项业务（现场签证、验收、结算、付款等），对乙方员工的吃拿卡要行为坚决制止，如甲方员工出现上述情况以索贿论；</w:t>
      </w:r>
    </w:p>
    <w:p w14:paraId="755D0238">
      <w:pPr>
        <w:widowControl/>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2.3</w:t>
      </w:r>
      <w:r>
        <w:rPr>
          <w:rFonts w:hint="eastAsia" w:ascii="仿宋_GB2312" w:hAnsi="宋体" w:eastAsia="仿宋_GB2312"/>
          <w:color w:val="000000" w:themeColor="text1"/>
          <w:sz w:val="24"/>
          <w:szCs w:val="24"/>
          <w:highlight w:val="none"/>
          <w14:textFill>
            <w14:solidFill>
              <w14:schemeClr w14:val="tx1"/>
            </w14:solidFill>
          </w14:textFill>
        </w:rPr>
        <w:t>不安排己方员工的亲友在乙方工作；</w:t>
      </w:r>
    </w:p>
    <w:p w14:paraId="1E9E53B4">
      <w:pPr>
        <w:widowControl/>
        <w:spacing w:line="400" w:lineRule="exact"/>
        <w:ind w:firstLine="480" w:firstLineChars="200"/>
        <w:rPr>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2.4</w:t>
      </w:r>
      <w:r>
        <w:rPr>
          <w:rFonts w:hint="eastAsia" w:ascii="仿宋_GB2312" w:hAnsi="宋体" w:eastAsia="仿宋_GB2312"/>
          <w:color w:val="000000" w:themeColor="text1"/>
          <w:sz w:val="24"/>
          <w:szCs w:val="24"/>
          <w:highlight w:val="none"/>
          <w14:textFill>
            <w14:solidFill>
              <w14:schemeClr w14:val="tx1"/>
            </w14:solidFill>
          </w14:textFill>
        </w:rPr>
        <w:t>不得以任何理由向乙方推荐分包单位，不得要求乙方购买合同规定外的材料和设备；</w:t>
      </w:r>
    </w:p>
    <w:p w14:paraId="11333E31">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2.5不得向乙方和相关单位索要或接受回扣、礼金、有价证券、贵重物品和好处费、感谢费等。</w:t>
      </w:r>
    </w:p>
    <w:p w14:paraId="3E76F09A">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2.6不得在乙方和相关单位报销任何应由业主方或个人支付的费用。</w:t>
      </w:r>
    </w:p>
    <w:p w14:paraId="53763CF3">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2.7不得要求、暗示或接受乙方和相关单位为个人装修住房、婚丧嫁娶、配偶子女的工作安排以及出国(境)、旅游等提供方便。</w:t>
      </w:r>
    </w:p>
    <w:p w14:paraId="76905EB7">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2.8不得参加有可能影响公正执行公务的乙方和相关单位的宴请、健身、娱乐等活动。</w:t>
      </w:r>
    </w:p>
    <w:p w14:paraId="3B5990F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8" w:name="_Toc300671951"/>
      <w:r>
        <w:rPr>
          <w:rFonts w:hint="eastAsia" w:ascii="仿宋_GB2312" w:hAnsi="宋体" w:eastAsia="仿宋_GB2312" w:cs="宋体"/>
          <w:color w:val="000000" w:themeColor="text1"/>
          <w:kern w:val="0"/>
          <w:sz w:val="24"/>
          <w:szCs w:val="24"/>
          <w:highlight w:val="none"/>
          <w14:textFill>
            <w14:solidFill>
              <w14:schemeClr w14:val="tx1"/>
            </w14:solidFill>
          </w14:textFill>
        </w:rPr>
        <w:t>三、乙方责任</w:t>
      </w:r>
      <w:bookmarkEnd w:id="88"/>
    </w:p>
    <w:p w14:paraId="39AB8F2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应与甲方保持正常的业务交往，按照有关法律法规和程序开展业务工作，严格执行工程建设的有关方针、政策，执行工程建设强制性标准，并遵守以下规定：</w:t>
      </w:r>
    </w:p>
    <w:p w14:paraId="41417CE8">
      <w:pPr>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3.1</w:t>
      </w:r>
      <w:r>
        <w:rPr>
          <w:rFonts w:hint="eastAsia" w:ascii="仿宋_GB2312" w:hAnsi="宋体" w:eastAsia="仿宋_GB2312"/>
          <w:color w:val="000000" w:themeColor="text1"/>
          <w:sz w:val="24"/>
          <w:szCs w:val="24"/>
          <w:highlight w:val="none"/>
          <w14:textFill>
            <w14:solidFill>
              <w14:schemeClr w14:val="tx1"/>
            </w14:solidFill>
          </w14:textFill>
        </w:rPr>
        <w:t>根据自己的实力参与甲方的招（议）标，遵守甲方的管理制度；不得在招标之前或过程中，以不正当手段谋求中标。</w:t>
      </w:r>
    </w:p>
    <w:p w14:paraId="3CD71C55">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3.2不得向甲方员工及其亲属输送任何个人利益以寻求合作机会，不得为甲方人员配偶、子女及特定关系人安排工作、谋取不正当利益或提供各类方便。</w:t>
      </w:r>
    </w:p>
    <w:p w14:paraId="3518DAE3">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3.3不得以任何理由为甲方和相关单位报销应由对方或个人支付的费用，包括出差期间的交通费和住宿费等。</w:t>
      </w:r>
    </w:p>
    <w:p w14:paraId="7DADFAEC">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3.4不得以甲方员工及其亲属的家庭装修、婚丧嫁娶、出国留学等事宜为由进行提供资金及物资资助等行贿行为。</w:t>
      </w:r>
    </w:p>
    <w:p w14:paraId="3684617C">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3.5</w:t>
      </w:r>
      <w:r>
        <w:rPr>
          <w:rFonts w:hint="eastAsia" w:ascii="仿宋_GB2312" w:eastAsia="仿宋_GB2312" w:cs="宋体"/>
          <w:color w:val="000000" w:themeColor="text1"/>
          <w:kern w:val="0"/>
          <w:sz w:val="24"/>
          <w:szCs w:val="24"/>
          <w:highlight w:val="none"/>
          <w14:textFill>
            <w14:solidFill>
              <w14:schemeClr w14:val="tx1"/>
            </w14:solidFill>
          </w14:textFill>
        </w:rPr>
        <w:t>不得向甲方员工提供礼品、礼金、贵重物品或消费卡、会员卡、礼品券等虚拟电子礼品，严禁快递送礼。</w:t>
      </w:r>
    </w:p>
    <w:p w14:paraId="1997802C">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w:t>
      </w:r>
      <w:r>
        <w:rPr>
          <w:rFonts w:ascii="仿宋_GB2312" w:eastAsia="仿宋_GB2312" w:cs="宋体"/>
          <w:color w:val="000000" w:themeColor="text1"/>
          <w:kern w:val="0"/>
          <w:sz w:val="24"/>
          <w:szCs w:val="24"/>
          <w:highlight w:val="none"/>
          <w14:textFill>
            <w14:solidFill>
              <w14:schemeClr w14:val="tx1"/>
            </w14:solidFill>
          </w14:textFill>
        </w:rPr>
        <w:t>6</w:t>
      </w:r>
      <w:r>
        <w:rPr>
          <w:rFonts w:hint="eastAsia" w:ascii="仿宋_GB2312" w:eastAsia="仿宋_GB2312" w:cs="宋体"/>
          <w:color w:val="000000" w:themeColor="text1"/>
          <w:kern w:val="0"/>
          <w:sz w:val="24"/>
          <w:szCs w:val="24"/>
          <w:highlight w:val="none"/>
          <w14:textFill>
            <w14:solidFill>
              <w14:schemeClr w14:val="tx1"/>
            </w14:solidFill>
          </w14:textFill>
        </w:rPr>
        <w:t>不得以任何理由为甲方、相关单位或个人组织有可能影响公正执行公务的宴请、健身、娱乐等活动。</w:t>
      </w:r>
    </w:p>
    <w:p w14:paraId="7FEBD967">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3.7</w:t>
      </w:r>
      <w:r>
        <w:rPr>
          <w:rFonts w:hint="eastAsia" w:ascii="仿宋_GB2312" w:eastAsia="仿宋_GB2312" w:cs="宋体"/>
          <w:color w:val="000000" w:themeColor="text1"/>
          <w:kern w:val="0"/>
          <w:sz w:val="24"/>
          <w:szCs w:val="24"/>
          <w:highlight w:val="none"/>
          <w14:textFill>
            <w14:solidFill>
              <w14:schemeClr w14:val="tx1"/>
            </w14:solidFill>
          </w14:textFill>
        </w:rPr>
        <w:t>不得与甲方员工就标书合同条款中的利益条款进行私下协商或达成默契。</w:t>
      </w:r>
    </w:p>
    <w:p w14:paraId="0BD66E1F">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w:t>
      </w:r>
      <w:r>
        <w:rPr>
          <w:rFonts w:ascii="仿宋_GB2312" w:eastAsia="仿宋_GB2312" w:cs="宋体"/>
          <w:color w:val="000000" w:themeColor="text1"/>
          <w:kern w:val="0"/>
          <w:sz w:val="24"/>
          <w:szCs w:val="24"/>
          <w:highlight w:val="none"/>
          <w14:textFill>
            <w14:solidFill>
              <w14:schemeClr w14:val="tx1"/>
            </w14:solidFill>
          </w14:textFill>
        </w:rPr>
        <w:t>.8</w:t>
      </w:r>
      <w:r>
        <w:rPr>
          <w:rFonts w:hint="eastAsia" w:ascii="仿宋_GB2312" w:eastAsia="仿宋_GB2312" w:cs="宋体"/>
          <w:color w:val="000000" w:themeColor="text1"/>
          <w:kern w:val="0"/>
          <w:sz w:val="24"/>
          <w:szCs w:val="24"/>
          <w:highlight w:val="none"/>
          <w14:textFill>
            <w14:solidFill>
              <w14:schemeClr w14:val="tx1"/>
            </w14:solidFill>
          </w14:textFill>
        </w:rPr>
        <w:t>不得安排甲方员工及其亲属从事合资或合股经营行为，不向甲方打探商业秘密或提供兼职报酬。</w:t>
      </w:r>
    </w:p>
    <w:p w14:paraId="63E6838E">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3.9</w:t>
      </w:r>
      <w:r>
        <w:rPr>
          <w:rFonts w:hint="eastAsia" w:ascii="仿宋_GB2312" w:eastAsia="仿宋_GB2312" w:cs="宋体"/>
          <w:color w:val="000000" w:themeColor="text1"/>
          <w:kern w:val="0"/>
          <w:sz w:val="24"/>
          <w:szCs w:val="24"/>
          <w:highlight w:val="none"/>
          <w14:textFill>
            <w14:solidFill>
              <w14:schemeClr w14:val="tx1"/>
            </w14:solidFill>
          </w14:textFill>
        </w:rPr>
        <w:t>不在甲方人员进行市场调研、商务洽谈等期间违规提供公务接待。</w:t>
      </w:r>
    </w:p>
    <w:p w14:paraId="467ED2D6">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3.10</w:t>
      </w:r>
      <w:r>
        <w:rPr>
          <w:rFonts w:hint="eastAsia" w:ascii="仿宋_GB2312" w:eastAsia="仿宋_GB2312" w:cs="宋体"/>
          <w:color w:val="000000" w:themeColor="text1"/>
          <w:kern w:val="0"/>
          <w:sz w:val="24"/>
          <w:szCs w:val="24"/>
          <w:highlight w:val="none"/>
          <w14:textFill>
            <w14:solidFill>
              <w14:schemeClr w14:val="tx1"/>
            </w14:solidFill>
          </w14:textFill>
        </w:rPr>
        <w:t>对甲方员工违反本协议的行为及时向甲方的上级监督部门报告。</w:t>
      </w:r>
    </w:p>
    <w:p w14:paraId="0E7ECAE4">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9" w:name="_Toc300671952"/>
      <w:r>
        <w:rPr>
          <w:rFonts w:hint="eastAsia" w:ascii="仿宋_GB2312" w:hAnsi="宋体" w:eastAsia="仿宋_GB2312" w:cs="宋体"/>
          <w:color w:val="000000" w:themeColor="text1"/>
          <w:kern w:val="0"/>
          <w:sz w:val="24"/>
          <w:szCs w:val="24"/>
          <w:highlight w:val="none"/>
          <w14:textFill>
            <w14:solidFill>
              <w14:schemeClr w14:val="tx1"/>
            </w14:solidFill>
          </w14:textFill>
        </w:rPr>
        <w:t>四、违约责任</w:t>
      </w:r>
      <w:bookmarkEnd w:id="89"/>
    </w:p>
    <w:p w14:paraId="55FFC9B1">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4.1甲方工作人员有违反本责任书第一、二条责任行为的，依据有关法律及甲方《员工守则》，提交甲方纪检部门进行处理。</w:t>
      </w:r>
    </w:p>
    <w:p w14:paraId="302DAB8E">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4.2乙方工作人员有违反本责任书第一、三条责任行为的，依据有关法律法规处理；向甲方行贿或给甲方单位造成经济损失的，按照受贿金额或损失金额的5-10倍进行处罚</w:t>
      </w:r>
      <w:r>
        <w:rPr>
          <w:rFonts w:hint="eastAsia" w:ascii="仿宋_GB2312" w:hAnsi="宋体" w:eastAsia="仿宋_GB2312"/>
          <w:color w:val="000000" w:themeColor="text1"/>
          <w:sz w:val="24"/>
          <w:szCs w:val="24"/>
          <w:highlight w:val="none"/>
          <w14:textFill>
            <w14:solidFill>
              <w14:schemeClr w14:val="tx1"/>
            </w14:solidFill>
          </w14:textFill>
        </w:rPr>
        <w:t>，立即清除出场，终止合同执行，给甲方造成经济损失的应予以赔偿，同时纳入供应商黑名单；如乙方和甲方的员工勾结虚增结算款，则按照虚增款项的5倍扣减乙方应结算的款项；如发现乙方接受甲方人员要求安排甲方人员亲友在乙方工作，违者除令被安插人员在两天内退出外，并对责任人按每人每次1000元给予</w:t>
      </w:r>
      <w:r>
        <w:rPr>
          <w:rFonts w:hint="eastAsia" w:ascii="仿宋_GB2312" w:hAnsi="宋体" w:eastAsia="仿宋_GB2312" w:cs="Times New Roman"/>
          <w:color w:val="000000" w:themeColor="text1"/>
          <w:sz w:val="24"/>
          <w:szCs w:val="24"/>
          <w:highlight w:val="none"/>
          <w14:textFill>
            <w14:solidFill>
              <w14:schemeClr w14:val="tx1"/>
            </w14:solidFill>
          </w14:textFill>
        </w:rPr>
        <w:t>罚款。</w:t>
      </w:r>
    </w:p>
    <w:p w14:paraId="2D9EBB7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4.3甲方工作人员不得接受可能影响公正执行公务的礼金（包括各种有价证券）、礼品馈赠。因各种原因未能拒收的，一律上交所属部门并登记。</w:t>
      </w:r>
    </w:p>
    <w:p w14:paraId="501773FD">
      <w:pPr>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4.4</w:t>
      </w:r>
      <w:r>
        <w:rPr>
          <w:rFonts w:hint="eastAsia" w:ascii="仿宋_GB2312" w:hAnsi="宋体" w:eastAsia="仿宋_GB2312" w:cs="宋体"/>
          <w:color w:val="000000" w:themeColor="text1"/>
          <w:kern w:val="0"/>
          <w:sz w:val="24"/>
          <w:szCs w:val="24"/>
          <w:highlight w:val="none"/>
          <w14:textFill>
            <w14:solidFill>
              <w14:schemeClr w14:val="tx1"/>
            </w14:solidFill>
          </w14:textFill>
        </w:rPr>
        <w:t>甲乙双方必须认真履行本协议，遵纪守法，相互监督，密切配合，共同搞好廉政建设。双方</w:t>
      </w:r>
      <w:r>
        <w:rPr>
          <w:rFonts w:hint="eastAsia" w:ascii="仿宋_GB2312" w:hAnsi="宋体" w:eastAsia="仿宋_GB2312"/>
          <w:color w:val="000000" w:themeColor="text1"/>
          <w:sz w:val="24"/>
          <w:szCs w:val="24"/>
          <w:highlight w:val="none"/>
          <w14:textFill>
            <w14:solidFill>
              <w14:schemeClr w14:val="tx1"/>
            </w14:solidFill>
          </w14:textFill>
        </w:rPr>
        <w:t>认可甲方建立不诚信合作方黑名单制度，如乙方发生向甲方员工的行贿行为、乙方和甲方的员工勾结虚增结算款项的行为，则该乙方进入甲方不诚信合作方黑名单，</w:t>
      </w:r>
      <w:r>
        <w:rPr>
          <w:rFonts w:hint="eastAsia" w:ascii="仿宋_GB2312" w:hAnsi="宋体" w:eastAsia="仿宋_GB2312" w:cs="宋体"/>
          <w:color w:val="000000" w:themeColor="text1"/>
          <w:kern w:val="0"/>
          <w:sz w:val="24"/>
          <w:szCs w:val="24"/>
          <w:highlight w:val="none"/>
          <w14:textFill>
            <w14:solidFill>
              <w14:schemeClr w14:val="tx1"/>
            </w14:solidFill>
          </w14:textFill>
        </w:rPr>
        <w:t>触犯刑律的，移交司法机关处理。</w:t>
      </w:r>
    </w:p>
    <w:p w14:paraId="367916A4">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4.5本责任书作为主合同的组成部分，与本合同具有同等法律效力。生效条件与主合同相同。</w:t>
      </w:r>
    </w:p>
    <w:p w14:paraId="7DB55BF6">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五、监督举报渠道</w:t>
      </w:r>
    </w:p>
    <w:p w14:paraId="68229878">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5.1信访办公室</w:t>
      </w:r>
    </w:p>
    <w:p w14:paraId="6DEB5C96">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来信地址：石家庄市建设南大街38号中建路桥集团有限公司信访办公室（收）</w:t>
      </w:r>
    </w:p>
    <w:p w14:paraId="651C8BAE">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邮编：050011</w:t>
      </w:r>
    </w:p>
    <w:p w14:paraId="156F4C67">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电话：0311-66538159</w:t>
      </w:r>
    </w:p>
    <w:p w14:paraId="79F90D21">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电子邮箱：sinorbbg@cscec.com</w:t>
      </w:r>
    </w:p>
    <w:p w14:paraId="3372FB7D">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5.2纪检监督工作部</w:t>
      </w:r>
    </w:p>
    <w:p w14:paraId="48712F79">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来信地址：石家庄市建设南大街38号中建路桥集团有限公司纪检监督工作部（收）</w:t>
      </w:r>
    </w:p>
    <w:p w14:paraId="21774485">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邮编：050011</w:t>
      </w:r>
    </w:p>
    <w:p w14:paraId="006CAAF7">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电话：0311-66538173</w:t>
      </w:r>
    </w:p>
    <w:p w14:paraId="417A90BF">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电子邮箱：sinorbjc@cscec.com</w:t>
      </w:r>
    </w:p>
    <w:p w14:paraId="7072F1C9">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lang w:val="en-US" w:eastAsia="zh-CN"/>
          <w14:textFill>
            <w14:solidFill>
              <w14:schemeClr w14:val="tx1"/>
            </w14:solidFill>
          </w14:textFill>
        </w:rPr>
        <w:t>六</w:t>
      </w:r>
      <w:r>
        <w:rPr>
          <w:rFonts w:hint="eastAsia" w:ascii="仿宋_GB2312" w:hAnsi="宋体" w:eastAsia="仿宋_GB2312" w:cs="宋体"/>
          <w:color w:val="000000" w:themeColor="text1"/>
          <w:kern w:val="0"/>
          <w:sz w:val="24"/>
          <w:szCs w:val="24"/>
          <w:highlight w:val="none"/>
          <w14:textFill>
            <w14:solidFill>
              <w14:schemeClr w14:val="tx1"/>
            </w14:solidFill>
          </w14:textFill>
        </w:rPr>
        <w:t>、责任书有效期</w:t>
      </w:r>
    </w:p>
    <w:p w14:paraId="79CD07B7">
      <w:pPr>
        <w:widowControl/>
        <w:spacing w:line="400" w:lineRule="exact"/>
        <w:ind w:firstLine="480" w:firstLineChars="200"/>
        <w:rPr>
          <w:rFonts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本责任书的有效期为双方签署之日起至该工程项目竣工验收合格时止。</w:t>
      </w:r>
    </w:p>
    <w:p w14:paraId="02E12388">
      <w:pPr>
        <w:pStyle w:val="12"/>
        <w:spacing w:line="40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238D7658">
      <w:pPr>
        <w:pStyle w:val="12"/>
        <w:spacing w:line="40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5BB5FA55">
      <w:pPr>
        <w:pStyle w:val="12"/>
        <w:spacing w:line="400" w:lineRule="exact"/>
        <w:ind w:firstLine="480" w:firstLineChars="200"/>
        <w:rPr>
          <w:rFonts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甲方（盖章）：                        乙方（公章）：</w:t>
      </w:r>
    </w:p>
    <w:p w14:paraId="52D60A99">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29F6BED7">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60CC9CAA">
      <w:pPr>
        <w:autoSpaceDE w:val="0"/>
        <w:autoSpaceDN w:val="0"/>
        <w:adjustRightInd w:val="0"/>
        <w:spacing w:line="400" w:lineRule="atLeast"/>
        <w:ind w:firstLine="960" w:firstLineChars="4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p>
    <w:p w14:paraId="4A35B870">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1EABFBF1">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56DB7284">
      <w:pPr>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br w:type="page"/>
      </w:r>
    </w:p>
    <w:p w14:paraId="6725C40D">
      <w:pPr>
        <w:pStyle w:val="12"/>
        <w:jc w:val="center"/>
        <w:outlineLvl w:val="0"/>
        <w:rPr>
          <w:rFonts w:ascii="仿宋" w:hAnsi="仿宋" w:eastAsia="仿宋" w:cs="仿宋"/>
          <w:b/>
          <w:bCs/>
          <w:color w:val="000000" w:themeColor="text1"/>
          <w:sz w:val="32"/>
          <w:szCs w:val="32"/>
          <w:highlight w:val="none"/>
          <w14:textFill>
            <w14:solidFill>
              <w14:schemeClr w14:val="tx1"/>
            </w14:solidFill>
          </w14:textFill>
        </w:rPr>
      </w:pPr>
      <w:bookmarkStart w:id="90" w:name="_Toc1869"/>
      <w:bookmarkStart w:id="91" w:name="_Hlk127794870"/>
      <w:bookmarkStart w:id="92" w:name="_Toc18674"/>
      <w:bookmarkStart w:id="93" w:name="_Toc1495"/>
      <w:r>
        <w:rPr>
          <w:rFonts w:hint="eastAsia" w:ascii="黑体" w:hAnsi="黑体" w:eastAsia="黑体" w:cs="黑体"/>
          <w:b/>
          <w:bCs/>
          <w:color w:val="000000" w:themeColor="text1"/>
          <w:sz w:val="32"/>
          <w:szCs w:val="32"/>
          <w:highlight w:val="none"/>
          <w14:textFill>
            <w14:solidFill>
              <w14:schemeClr w14:val="tx1"/>
            </w14:solidFill>
          </w14:textFill>
        </w:rPr>
        <w:t>第二部分 通用条款</w:t>
      </w:r>
      <w:bookmarkEnd w:id="90"/>
      <w:bookmarkEnd w:id="91"/>
      <w:bookmarkEnd w:id="92"/>
    </w:p>
    <w:p w14:paraId="7919CF64">
      <w:pPr>
        <w:pStyle w:val="12"/>
        <w:numPr>
          <w:ilvl w:val="0"/>
          <w:numId w:val="8"/>
        </w:numPr>
        <w:spacing w:before="120" w:beforeLines="50" w:after="120" w:afterLines="50" w:line="400" w:lineRule="atLeast"/>
        <w:ind w:firstLine="482"/>
        <w:outlineLvl w:val="0"/>
        <w:rPr>
          <w:rFonts w:ascii="仿宋_GB2312" w:hAnsi="仿宋_GB2312" w:eastAsia="仿宋_GB2312" w:cs="仿宋_GB2312"/>
          <w:b/>
          <w:bCs/>
          <w:color w:val="000000" w:themeColor="text1"/>
          <w:highlight w:val="none"/>
          <w14:textFill>
            <w14:solidFill>
              <w14:schemeClr w14:val="tx1"/>
            </w14:solidFill>
          </w14:textFill>
        </w:rPr>
      </w:pPr>
      <w:bookmarkStart w:id="94" w:name="_Toc11168"/>
      <w:bookmarkStart w:id="95" w:name="_Toc3066"/>
      <w:r>
        <w:rPr>
          <w:rFonts w:hint="eastAsia" w:ascii="仿宋_GB2312" w:hAnsi="仿宋_GB2312" w:eastAsia="仿宋_GB2312" w:cs="仿宋_GB2312"/>
          <w:b/>
          <w:bCs/>
          <w:color w:val="000000" w:themeColor="text1"/>
          <w:highlight w:val="none"/>
          <w14:textFill>
            <w14:solidFill>
              <w14:schemeClr w14:val="tx1"/>
            </w14:solidFill>
          </w14:textFill>
        </w:rPr>
        <w:t>货物合同附随义务</w:t>
      </w:r>
      <w:bookmarkEnd w:id="93"/>
      <w:bookmarkEnd w:id="94"/>
      <w:bookmarkEnd w:id="95"/>
    </w:p>
    <w:p w14:paraId="22BE5DF0">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1.乙方义务</w:t>
      </w:r>
    </w:p>
    <w:p w14:paraId="2DC07B3B">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1.1乙方合规义务</w:t>
      </w:r>
    </w:p>
    <w:p w14:paraId="76EDB5C5">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1.1.1合规开展行业竞争：</w:t>
      </w:r>
      <w:r>
        <w:rPr>
          <w:rFonts w:hint="eastAsia" w:ascii="仿宋_GB2312" w:hAnsi="仿宋_GB2312" w:eastAsia="仿宋_GB2312" w:cs="仿宋_GB2312"/>
          <w:color w:val="000000" w:themeColor="text1"/>
          <w:highlight w:val="none"/>
          <w14:textFill>
            <w14:solidFill>
              <w14:schemeClr w14:val="tx1"/>
            </w14:solidFill>
          </w14:textFill>
        </w:rPr>
        <w:t>积极防范和制止垄断行为，不实施任何市场排除、限制竞争行为；不组织经营者集中等违法垄断行为，不实施不正当竞争行为和不正当价格行为，不从事商誉诋毁等违法违规竞争行为。</w:t>
      </w:r>
    </w:p>
    <w:p w14:paraId="615E8F33">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1.1.2合规保障服务生产：</w:t>
      </w:r>
      <w:r>
        <w:rPr>
          <w:rFonts w:hint="eastAsia" w:ascii="仿宋_GB2312" w:hAnsi="仿宋_GB2312" w:eastAsia="仿宋_GB2312" w:cs="仿宋_GB2312"/>
          <w:color w:val="000000" w:themeColor="text1"/>
          <w:highlight w:val="none"/>
          <w14:textFill>
            <w14:solidFill>
              <w14:schemeClr w14:val="tx1"/>
            </w14:solidFill>
          </w14:textFill>
        </w:rPr>
        <w:t>恪守契约精神，严格按照合同约定时间和地点完成货物交付，全力保障项目物资设备供应需求。</w:t>
      </w:r>
    </w:p>
    <w:p w14:paraId="6656A45C">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1.1.3合规履行安全管控职责：</w:t>
      </w:r>
      <w:r>
        <w:rPr>
          <w:rFonts w:hint="eastAsia" w:ascii="仿宋_GB2312" w:hAnsi="仿宋_GB2312" w:eastAsia="仿宋_GB2312" w:cs="仿宋_GB2312"/>
          <w:color w:val="000000" w:themeColor="text1"/>
          <w:highlight w:val="none"/>
          <w14:textFill>
            <w14:solidFill>
              <w14:schemeClr w14:val="tx1"/>
            </w14:solidFill>
          </w14:textFill>
        </w:rPr>
        <w:t>自觉遵守甲方施工现场有关安全文明施工、环境和职业健康安全方面的要求，绝不出现违反安全法律和其他安全生产规章制度的行为，具体要求详见合同附件三。</w:t>
      </w:r>
    </w:p>
    <w:p w14:paraId="1107FDC5">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1.1.4合规履行质量管控职责：</w:t>
      </w:r>
      <w:r>
        <w:rPr>
          <w:rFonts w:hint="eastAsia" w:ascii="仿宋_GB2312" w:hAnsi="仿宋_GB2312" w:eastAsia="仿宋_GB2312" w:cs="仿宋_GB2312"/>
          <w:color w:val="000000" w:themeColor="text1"/>
          <w:highlight w:val="none"/>
          <w14:textFill>
            <w14:solidFill>
              <w14:schemeClr w14:val="tx1"/>
            </w14:solidFill>
          </w14:textFill>
        </w:rPr>
        <w:t>绝不供应质量不合格货物，加强自身各环节质量管理，绝不出现任何质量或数量瑕疵，严控假冒伪劣货物流通，严格按本合同约定质量标准和数量要求履约生产。</w:t>
      </w:r>
    </w:p>
    <w:p w14:paraId="09CB2BEE">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1.1.5合规依法纳税职责：</w:t>
      </w:r>
      <w:r>
        <w:rPr>
          <w:rFonts w:hint="eastAsia" w:ascii="仿宋_GB2312" w:hAnsi="仿宋_GB2312" w:eastAsia="仿宋_GB2312" w:cs="仿宋_GB2312"/>
          <w:color w:val="000000" w:themeColor="text1"/>
          <w:highlight w:val="none"/>
          <w14:textFill>
            <w14:solidFill>
              <w14:schemeClr w14:val="tx1"/>
            </w14:solidFill>
          </w14:textFill>
        </w:rPr>
        <w:t>严格按照国家税法规定，履行合法合规纳税义务，绝不虚开或伪造增值税专用发票。</w:t>
      </w:r>
    </w:p>
    <w:p w14:paraId="3A33BFCD">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1.1.6合规拥有货物所有权：</w:t>
      </w:r>
      <w:r>
        <w:rPr>
          <w:rFonts w:hint="eastAsia" w:ascii="仿宋_GB2312" w:hAnsi="仿宋_GB2312" w:eastAsia="仿宋_GB2312" w:cs="仿宋_GB2312"/>
          <w:color w:val="000000" w:themeColor="text1"/>
          <w:highlight w:val="none"/>
          <w14:textFill>
            <w14:solidFill>
              <w14:schemeClr w14:val="tx1"/>
            </w14:solidFill>
          </w14:textFill>
        </w:rPr>
        <w:t>保证对货物具有所有权或受委托代理销售权，并向甲方出具相关凭证。保证交付的货物不附有任何担保权、留置权或设定其他权利负担。</w:t>
      </w:r>
    </w:p>
    <w:p w14:paraId="0015A497">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1.1.7合规拥有</w:t>
      </w:r>
      <w:r>
        <w:rPr>
          <w:rFonts w:ascii="仿宋_GB2312" w:hAnsi="仿宋_GB2312" w:eastAsia="仿宋_GB2312" w:cs="仿宋_GB2312"/>
          <w:b/>
          <w:bCs/>
          <w:color w:val="000000" w:themeColor="text1"/>
          <w:highlight w:val="none"/>
          <w14:textFill>
            <w14:solidFill>
              <w14:schemeClr w14:val="tx1"/>
            </w14:solidFill>
          </w14:textFill>
        </w:rPr>
        <w:t>货物知识产权：</w:t>
      </w:r>
      <w:r>
        <w:rPr>
          <w:rFonts w:ascii="仿宋_GB2312" w:hAnsi="仿宋_GB2312" w:eastAsia="仿宋_GB2312" w:cs="仿宋_GB2312"/>
          <w:color w:val="000000" w:themeColor="text1"/>
          <w:highlight w:val="none"/>
          <w14:textFill>
            <w14:solidFill>
              <w14:schemeClr w14:val="tx1"/>
            </w14:solidFill>
          </w14:textFill>
        </w:rPr>
        <w:t>保障甲方在工程所在地使用其货物、服务及其任何部分不受到第三方关于侵犯专利权、商标权、工业设计权或其他知识产权的指控。任何第三方如果提起侵权诉讼，乙方负责与第三方交涉并承担由此而引起的一切法律责任和费用及赔偿甲方的一切损失。</w:t>
      </w:r>
    </w:p>
    <w:p w14:paraId="3CEDFEE9">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1.1.8合规开展廉洁共建职责：</w:t>
      </w:r>
      <w:r>
        <w:rPr>
          <w:rFonts w:hint="eastAsia" w:ascii="仿宋_GB2312" w:hAnsi="仿宋_GB2312" w:eastAsia="仿宋_GB2312" w:cs="仿宋_GB2312"/>
          <w:color w:val="000000" w:themeColor="text1"/>
          <w:highlight w:val="none"/>
          <w14:textFill>
            <w14:solidFill>
              <w14:schemeClr w14:val="tx1"/>
            </w14:solidFill>
          </w14:textFill>
        </w:rPr>
        <w:t xml:space="preserve">绝不从事任何形式的商业贿赂、利益输送及其他不正当交易；绝不以任何理由为甲方、相关单位或个人组织有可能影响公正执行公务的宴请、娱乐等活动，具体要求详见合同附件四。 </w:t>
      </w:r>
    </w:p>
    <w:p w14:paraId="1DDD6368">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1.2乙方其他义务</w:t>
      </w:r>
    </w:p>
    <w:p w14:paraId="3DBAC1D8">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1.2.1增值服务：</w:t>
      </w:r>
      <w:r>
        <w:rPr>
          <w:rFonts w:hint="eastAsia" w:ascii="仿宋_GB2312" w:hAnsi="仿宋_GB2312" w:eastAsia="仿宋_GB2312" w:cs="仿宋_GB2312"/>
          <w:color w:val="000000" w:themeColor="text1"/>
          <w:highlight w:val="none"/>
          <w14:textFill>
            <w14:solidFill>
              <w14:schemeClr w14:val="tx1"/>
            </w14:solidFill>
          </w14:textFill>
        </w:rPr>
        <w:t>乙方应提供与货物配套的增值服务；包括但不限于技术支持、深化设计、现场培训及货物安装指导等工作，相应费用已在综合单价考虑。</w:t>
      </w:r>
    </w:p>
    <w:p w14:paraId="34AC8898">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1.2.2货物退货与置换：</w:t>
      </w:r>
      <w:r>
        <w:rPr>
          <w:rFonts w:hint="eastAsia" w:ascii="仿宋_GB2312" w:hAnsi="仿宋_GB2312" w:eastAsia="仿宋_GB2312" w:cs="仿宋_GB2312"/>
          <w:color w:val="000000" w:themeColor="text1"/>
          <w:highlight w:val="none"/>
          <w14:textFill>
            <w14:solidFill>
              <w14:schemeClr w14:val="tx1"/>
            </w14:solidFill>
          </w14:textFill>
        </w:rPr>
        <w:t>乙方供应的货物，根据不同情况甲方可选择直接向乙方退货或向乙方置换，乙方同意按甲方选择的方式办理：</w:t>
      </w:r>
    </w:p>
    <w:p w14:paraId="53E5DD8C">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（1）对于未使用且不影响二次销售的材料，若甲方选择退货，则双方按甲方退货后实际收到合格货物数量办理结算。</w:t>
      </w:r>
    </w:p>
    <w:p w14:paraId="01C65612">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（2）对于已使用的材料，若甲方选择置换，则双方协商估算原材料残值并置换等价值新材料。</w:t>
      </w:r>
    </w:p>
    <w:p w14:paraId="1A4BA0A4">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（3）甲方原因产生的退货或者置换产生的运输费用由</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甲方 </w:t>
      </w:r>
      <w:r>
        <w:rPr>
          <w:rFonts w:hint="eastAsia" w:ascii="仿宋_GB2312" w:hAnsi="仿宋_GB2312" w:eastAsia="仿宋_GB2312" w:cs="仿宋_GB2312"/>
          <w:color w:val="000000" w:themeColor="text1"/>
          <w:highlight w:val="none"/>
          <w14:textFill>
            <w14:solidFill>
              <w14:schemeClr w14:val="tx1"/>
            </w14:solidFill>
          </w14:textFill>
        </w:rPr>
        <w:t>承担，装卸费用由</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甲方 </w:t>
      </w:r>
      <w:r>
        <w:rPr>
          <w:rFonts w:hint="eastAsia" w:ascii="仿宋_GB2312" w:hAnsi="仿宋_GB2312" w:eastAsia="仿宋_GB2312" w:cs="仿宋_GB2312"/>
          <w:color w:val="000000" w:themeColor="text1"/>
          <w:highlight w:val="none"/>
          <w14:textFill>
            <w14:solidFill>
              <w14:schemeClr w14:val="tx1"/>
            </w14:solidFill>
          </w14:textFill>
        </w:rPr>
        <w:t>承担。</w:t>
      </w:r>
    </w:p>
    <w:p w14:paraId="0EEB862C">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2.甲方义务</w:t>
      </w:r>
    </w:p>
    <w:p w14:paraId="085EEE3F">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2.1材料需用计划：</w:t>
      </w:r>
      <w:r>
        <w:rPr>
          <w:rFonts w:hint="eastAsia" w:ascii="仿宋_GB2312" w:hAnsi="仿宋_GB2312" w:eastAsia="仿宋_GB2312" w:cs="仿宋_GB2312"/>
          <w:color w:val="000000" w:themeColor="text1"/>
          <w:highlight w:val="none"/>
          <w14:textFill>
            <w14:solidFill>
              <w14:schemeClr w14:val="tx1"/>
            </w14:solidFill>
          </w14:textFill>
        </w:rPr>
        <w:t>甲方合理制定材料总需用计划及日常需用计划，并按照合同约定提前通知乙方，给予乙方充足备货期。</w:t>
      </w:r>
    </w:p>
    <w:p w14:paraId="4645F5C0">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2.2配合材料卸货：</w:t>
      </w:r>
      <w:r>
        <w:rPr>
          <w:rFonts w:hint="eastAsia" w:ascii="仿宋_GB2312" w:hAnsi="仿宋_GB2312" w:eastAsia="仿宋_GB2312" w:cs="仿宋_GB2312"/>
          <w:color w:val="000000" w:themeColor="text1"/>
          <w:highlight w:val="none"/>
          <w14:textFill>
            <w14:solidFill>
              <w14:schemeClr w14:val="tx1"/>
            </w14:solidFill>
          </w14:textFill>
        </w:rPr>
        <w:t>乙方在材料运抵交货前2天通知甲方，甲方应在验收合格后，提供堆放场地或堆放仓库，</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配合乙方材料卸货</w:t>
      </w:r>
      <w:r>
        <w:rPr>
          <w:rFonts w:hint="eastAsia" w:ascii="仿宋_GB2312" w:hAnsi="仿宋_GB2312" w:eastAsia="仿宋_GB2312" w:cs="仿宋_GB2312"/>
          <w:color w:val="000000" w:themeColor="text1"/>
          <w:highlight w:val="none"/>
          <w14:textFill>
            <w14:solidFill>
              <w14:schemeClr w14:val="tx1"/>
            </w14:solidFill>
          </w14:textFill>
        </w:rPr>
        <w:t>。</w:t>
      </w:r>
    </w:p>
    <w:p w14:paraId="1AD9E98C">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96" w:name="_Toc13486"/>
      <w:bookmarkStart w:id="97" w:name="_Toc1717"/>
      <w:bookmarkStart w:id="98" w:name="_Toc965"/>
      <w:r>
        <w:rPr>
          <w:rFonts w:hint="eastAsia" w:ascii="仿宋_GB2312" w:hAnsi="仿宋_GB2312" w:eastAsia="仿宋_GB2312" w:cs="仿宋_GB2312"/>
          <w:b/>
          <w:bCs/>
          <w:color w:val="000000" w:themeColor="text1"/>
          <w:highlight w:val="none"/>
          <w14:textFill>
            <w14:solidFill>
              <w14:schemeClr w14:val="tx1"/>
            </w14:solidFill>
          </w14:textFill>
        </w:rPr>
        <w:t>货物违约责任</w:t>
      </w:r>
      <w:bookmarkEnd w:id="96"/>
      <w:bookmarkEnd w:id="97"/>
      <w:bookmarkEnd w:id="98"/>
    </w:p>
    <w:p w14:paraId="2DB8285B">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未按计划时间供应：</w:t>
      </w:r>
    </w:p>
    <w:p w14:paraId="5D58E301">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乙方未能按本合同第三条款中书面计划的要求供应材料，若因非甲方原因致使延期供货的次数超过</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2 次</w:t>
      </w:r>
      <w:r>
        <w:rPr>
          <w:rFonts w:hint="eastAsia" w:ascii="仿宋_GB2312" w:hAnsi="仿宋_GB2312" w:eastAsia="仿宋_GB2312" w:cs="仿宋_GB2312"/>
          <w:color w:val="000000" w:themeColor="text1"/>
          <w:highlight w:val="none"/>
          <w14:textFill>
            <w14:solidFill>
              <w14:schemeClr w14:val="tx1"/>
            </w14:solidFill>
          </w14:textFill>
        </w:rPr>
        <w:t>，乙方须向甲方支付违约金，</w:t>
      </w:r>
      <w:r>
        <w:rPr>
          <w:rFonts w:hint="eastAsia" w:ascii="仿宋_GB2312" w:hAnsi="仿宋_GB2312" w:eastAsia="仿宋_GB2312" w:cs="仿宋_GB2312"/>
          <w:b/>
          <w:bCs/>
          <w:color w:val="000000" w:themeColor="text1"/>
          <w:highlight w:val="none"/>
          <w14:textFill>
            <w14:solidFill>
              <w14:schemeClr w14:val="tx1"/>
            </w14:solidFill>
          </w14:textFill>
        </w:rPr>
        <w:t>违约金按照5000元每次计，且除违约金外乙方必须承担甲方项目实际工期损失及经济损失。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乙方延迟交付超</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7 </w:t>
      </w:r>
      <w:r>
        <w:rPr>
          <w:rFonts w:hint="eastAsia" w:ascii="仿宋_GB2312" w:hAnsi="仿宋_GB2312" w:eastAsia="仿宋_GB2312" w:cs="仿宋_GB2312"/>
          <w:color w:val="000000" w:themeColor="text1"/>
          <w:highlight w:val="none"/>
          <w14:textFill>
            <w14:solidFill>
              <w14:schemeClr w14:val="tx1"/>
            </w14:solidFill>
          </w14:textFill>
        </w:rPr>
        <w:t>日的，甲方有权单方解除本合同。</w:t>
      </w:r>
    </w:p>
    <w:p w14:paraId="00DB2726">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乙方应全力保障项目的供应，因乙方资源组织问题引起的供应困难，乙方不能或不愿解决的，甲方可寻找其他供应单位代为解决，因此引起的甲方成本增加等相关费用在结算中扣除。</w:t>
      </w:r>
    </w:p>
    <w:p w14:paraId="4B46DFD0">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未按指定地点或方式供应：</w:t>
      </w:r>
    </w:p>
    <w:p w14:paraId="01D1DF02">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乙方不能按本合同约定地点、方式供货的，甲方有权要求乙方按照合同履行，乙方应按甲方要求立即组织更换或完善不符合的条件及要求，</w:t>
      </w:r>
      <w:r>
        <w:rPr>
          <w:rFonts w:hint="eastAsia" w:ascii="仿宋_GB2312" w:hAnsi="仿宋_GB2312" w:eastAsia="仿宋_GB2312" w:cs="仿宋_GB2312"/>
          <w:b/>
          <w:bCs/>
          <w:color w:val="000000" w:themeColor="text1"/>
          <w:highlight w:val="none"/>
          <w14:textFill>
            <w14:solidFill>
              <w14:schemeClr w14:val="tx1"/>
            </w14:solidFill>
          </w14:textFill>
        </w:rPr>
        <w:t>否则按照5000元每次承担违约金，且除违约金外乙方必须承担甲方项目实际工期损失及经济损失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；经甲方书面要求整改一次仍无法达到合同要求时，甲方有权单方解除合同。</w:t>
      </w:r>
    </w:p>
    <w:p w14:paraId="38A3D360">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不符合约定货物质量标准：</w:t>
      </w:r>
    </w:p>
    <w:p w14:paraId="718ACBA8">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3.1乙方货物不符合本合同约定的质量标准的，甲方有权要求乙方继续履行合同，乙方应按甲方要求立即组织更换或完善不符合的条件及要求，</w:t>
      </w:r>
      <w:r>
        <w:rPr>
          <w:rFonts w:hint="eastAsia" w:ascii="仿宋_GB2312" w:hAnsi="仿宋_GB2312" w:eastAsia="仿宋_GB2312" w:cs="仿宋_GB2312"/>
          <w:b/>
          <w:bCs/>
          <w:color w:val="000000" w:themeColor="text1"/>
          <w:highlight w:val="none"/>
          <w14:textFill>
            <w14:solidFill>
              <w14:schemeClr w14:val="tx1"/>
            </w14:solidFill>
          </w14:textFill>
        </w:rPr>
        <w:t>并按照5000元每次承担违约金，且除违约金外乙方必须承担甲方项目实际工期损失及经济损失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；经甲方书面要求整改一次仍无法达到合同要求时，甲方有权单方解除合同。</w:t>
      </w:r>
    </w:p>
    <w:p w14:paraId="5A41672A">
      <w:pPr>
        <w:pStyle w:val="12"/>
        <w:spacing w:line="400" w:lineRule="atLeas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3.2乙方以任何欺骗、舞弊、盗窃等手段致使交付的货物存在质量或数量瑕疵的，除赔偿甲方对应货物的货款外，</w:t>
      </w:r>
      <w:r>
        <w:rPr>
          <w:rFonts w:hint="eastAsia" w:ascii="仿宋_GB2312" w:hAnsi="仿宋_GB2312" w:eastAsia="仿宋_GB2312" w:cs="仿宋_GB2312"/>
          <w:b/>
          <w:bCs/>
          <w:color w:val="000000" w:themeColor="text1"/>
          <w:highlight w:val="none"/>
          <w14:textFill>
            <w14:solidFill>
              <w14:schemeClr w14:val="tx1"/>
            </w14:solidFill>
          </w14:textFill>
        </w:rPr>
        <w:t>并按照5000元每次承担违约金，且除违约金外乙方必须承担甲方项目实际工期损失及经济损失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w:t>
      </w:r>
    </w:p>
    <w:p w14:paraId="2798DACE">
      <w:pPr>
        <w:spacing w:line="400" w:lineRule="exac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3.3如果由于物资质量问题，引起工程事故，导致甲方人员或财产损失的，乙方应承担相应的法律责任和经济责任，因此所导致的一切损失由乙方承担，该责任不因合同的终止而减小或解除。</w:t>
      </w:r>
    </w:p>
    <w:p w14:paraId="55385297">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未履行开具增值税发票义务：</w:t>
      </w:r>
    </w:p>
    <w:p w14:paraId="10BF4E9B">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乙方存在下列情形之一的，甲方有权单方解除合同，并有权直接从乙方应付款项中双倍扣除甲方未能抵扣的税金（扣除金额=不含税结算金额×</w:t>
      </w:r>
      <w:permStart w:id="10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13 </w:t>
      </w:r>
      <w:permEnd w:id="100"/>
      <w:r>
        <w:rPr>
          <w:rFonts w:hint="eastAsia" w:ascii="仿宋_GB2312" w:hAnsi="仿宋_GB2312" w:eastAsia="仿宋_GB2312" w:cs="仿宋_GB2312"/>
          <w:color w:val="000000" w:themeColor="text1"/>
          <w:highlight w:val="none"/>
          <w14:textFill>
            <w14:solidFill>
              <w14:schemeClr w14:val="tx1"/>
            </w14:solidFill>
          </w14:textFill>
        </w:rPr>
        <w:t>％增值税税率×2）作为违约金：</w:t>
      </w:r>
    </w:p>
    <w:p w14:paraId="3ABE4967">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4.1不具有开具增值税专用发票的纳税人资格。</w:t>
      </w:r>
    </w:p>
    <w:p w14:paraId="005E5C1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4.2未能按本合同约定的税率开具增值税专用发票。</w:t>
      </w:r>
    </w:p>
    <w:p w14:paraId="01A7CFC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4.3提供的增值税专用发票是乙方以外的主体开具。</w:t>
      </w:r>
    </w:p>
    <w:p w14:paraId="1D39F114">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4.4拖欠增值税专用发票金额累计达100万元以上。</w:t>
      </w:r>
    </w:p>
    <w:p w14:paraId="55E819E7">
      <w:pPr>
        <w:pStyle w:val="12"/>
        <w:spacing w:line="400" w:lineRule="atLeast"/>
        <w:ind w:firstLine="480" w:firstLineChars="200"/>
        <w:rPr>
          <w:rFonts w:ascii="仿宋_GB2312" w:hAnsi="仿宋_GB2312" w:eastAsia="仿宋_GB2312" w:cs="仿宋_GB2312"/>
          <w:strike w:val="0"/>
          <w:dstrike w:val="0"/>
          <w:color w:val="000000" w:themeColor="text1"/>
          <w:highlight w:val="none"/>
          <w14:textFill>
            <w14:solidFill>
              <w14:schemeClr w14:val="tx1"/>
            </w14:solidFill>
          </w14:textFill>
        </w:rPr>
      </w:pPr>
      <w:r>
        <w:rPr>
          <w:rFonts w:hint="eastAsia" w:ascii="仿宋_GB2312" w:hAnsi="仿宋_GB2312" w:eastAsia="仿宋_GB2312" w:cs="仿宋_GB2312"/>
          <w:strike w:val="0"/>
          <w:dstrike w:val="0"/>
          <w:color w:val="000000" w:themeColor="text1"/>
          <w:highlight w:val="none"/>
          <w14:textFill>
            <w14:solidFill>
              <w14:schemeClr w14:val="tx1"/>
            </w14:solidFill>
          </w14:textFill>
        </w:rPr>
        <w:t xml:space="preserve">4.5如乙方未在税务机关要求的期限内缴纳税款，导致甲方无法抵扣进项税的，甲方有权拒绝付款，如已经支付的，甲方有权追回已支付的款项，并要求乙方支付违约金或赔偿损失。 </w:t>
      </w:r>
    </w:p>
    <w:p w14:paraId="3A899642">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4.6提供伪造的增值税专用发票。</w:t>
      </w:r>
    </w:p>
    <w:p w14:paraId="3CC9C686">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4.7虚开增值税专用发票。</w:t>
      </w:r>
    </w:p>
    <w:p w14:paraId="2FF4623F">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4.8其它导致甲方无法进行增值税抵扣的情形。</w:t>
      </w:r>
    </w:p>
    <w:p w14:paraId="3A038434">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乙方存在以上情形的，除承担相应违约责任外，还应赔偿甲方因此所受损失，同时不免除乙方开具合法合规增值税专用发票的义务。</w:t>
      </w:r>
    </w:p>
    <w:p w14:paraId="124BB440">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若乙方开具或提供的增值税专用发票发生本条第4款情形超过3次的或给甲方造成重大损失的，则乙方除按本款前述约定承担责任外，甲方有权单方解除本合同。</w:t>
      </w:r>
    </w:p>
    <w:p w14:paraId="14EBCC7E">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未履行安全责任及义务：</w:t>
      </w:r>
    </w:p>
    <w:p w14:paraId="2B0BBFAC">
      <w:pPr>
        <w:pStyle w:val="12"/>
        <w:spacing w:line="400" w:lineRule="atLeas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5.1</w:t>
      </w:r>
      <w:r>
        <w:rPr>
          <w:rFonts w:hint="eastAsia" w:ascii="仿宋_GB2312" w:hAnsi="仿宋_GB2312" w:eastAsia="仿宋_GB2312" w:cs="仿宋_GB2312"/>
          <w:color w:val="000000" w:themeColor="text1"/>
          <w:highlight w:val="none"/>
          <w14:textFill>
            <w14:solidFill>
              <w14:schemeClr w14:val="tx1"/>
            </w14:solidFill>
          </w14:textFill>
        </w:rPr>
        <w:t>乙方不能满足甲方有关安全文明施工措施、环境和职业健康安全方面的要求时，乙方按照项目实际工期损失、经济损失承担违约金。</w:t>
      </w:r>
    </w:p>
    <w:p w14:paraId="351BFE4E">
      <w:pPr>
        <w:spacing w:line="400" w:lineRule="exac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5.2由于乙方原因造成甲方人员人身伤害，乙方应立即采取补救措施，并全额赔偿甲方相关人员损失。</w:t>
      </w:r>
    </w:p>
    <w:p w14:paraId="26F9D6DF">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未经同意转让权利及义务：</w:t>
      </w:r>
    </w:p>
    <w:p w14:paraId="79906B32">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未经甲方书面同意，乙方不得以对甲方享有之任何债权向其他第三方进行转让或提供任何形式之担保或保证等。经甲方同意转让合同权利，不解除乙方应承担本合同项下的义务和责任。</w:t>
      </w:r>
    </w:p>
    <w:p w14:paraId="3E599476">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bookmarkStart w:id="99" w:name="_Hlk126834115"/>
      <w:bookmarkStart w:id="100" w:name="_Hlk127191104"/>
      <w:r>
        <w:rPr>
          <w:rFonts w:hint="eastAsia" w:ascii="仿宋_GB2312" w:hAnsi="仿宋_GB2312" w:eastAsia="仿宋_GB2312" w:cs="仿宋_GB2312"/>
          <w:b/>
          <w:bCs/>
          <w:color w:val="000000" w:themeColor="text1"/>
          <w:highlight w:val="none"/>
          <w14:textFill>
            <w14:solidFill>
              <w14:schemeClr w14:val="tx1"/>
            </w14:solidFill>
          </w14:textFill>
        </w:rPr>
        <w:t>7、</w:t>
      </w:r>
      <w:bookmarkStart w:id="101" w:name="_Hlk126829881"/>
      <w:r>
        <w:rPr>
          <w:rFonts w:hint="eastAsia" w:ascii="仿宋_GB2312" w:hAnsi="仿宋_GB2312" w:eastAsia="仿宋_GB2312" w:cs="仿宋_GB2312"/>
          <w:b/>
          <w:bCs/>
          <w:color w:val="000000" w:themeColor="text1"/>
          <w:highlight w:val="none"/>
          <w14:textFill>
            <w14:solidFill>
              <w14:schemeClr w14:val="tx1"/>
            </w14:solidFill>
          </w14:textFill>
        </w:rPr>
        <w:t>未履行结算义务：</w:t>
      </w:r>
    </w:p>
    <w:p w14:paraId="760F2D46">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若发现乙方存在以下行为，视为违约并处以相应的罚款，在当期结算款中扣除（当期结算款额度不够的在下期结算款中扣除），并保留追究相应责任的权利。</w:t>
      </w:r>
    </w:p>
    <w:p w14:paraId="4D98E07E">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（1）伪造或虚开</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货款</w:t>
      </w:r>
      <w:r>
        <w:rPr>
          <w:rFonts w:hint="eastAsia" w:ascii="仿宋_GB2312" w:hAnsi="仿宋_GB2312" w:eastAsia="仿宋_GB2312" w:cs="仿宋_GB2312"/>
          <w:color w:val="000000" w:themeColor="text1"/>
          <w:highlight w:val="none"/>
          <w14:textFill>
            <w14:solidFill>
              <w14:schemeClr w14:val="tx1"/>
            </w14:solidFill>
          </w14:textFill>
        </w:rPr>
        <w:t>数据，一经发现处以罚款2万元/次。</w:t>
      </w:r>
    </w:p>
    <w:p w14:paraId="72ABF8A2">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（2）伪造甲方管理人员签字盖章，一经发现处以罚款5万元/次。</w:t>
      </w:r>
    </w:p>
    <w:p w14:paraId="0D119DCC">
      <w:pPr>
        <w:pStyle w:val="12"/>
        <w:spacing w:line="400" w:lineRule="atLeast"/>
        <w:ind w:firstLine="480"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（3）伪造结算书或其他结算相关材料，一经发现处以罚款10万元/次</w:t>
      </w:r>
      <w:bookmarkEnd w:id="99"/>
      <w:r>
        <w:rPr>
          <w:rFonts w:hint="eastAsia" w:ascii="仿宋_GB2312" w:hAnsi="仿宋_GB2312" w:eastAsia="仿宋_GB2312" w:cs="仿宋_GB2312"/>
          <w:color w:val="000000" w:themeColor="text1"/>
          <w:highlight w:val="none"/>
          <w14:textFill>
            <w14:solidFill>
              <w14:schemeClr w14:val="tx1"/>
            </w14:solidFill>
          </w14:textFill>
        </w:rPr>
        <w:t>。</w:t>
      </w:r>
      <w:bookmarkEnd w:id="100"/>
      <w:bookmarkEnd w:id="101"/>
    </w:p>
    <w:p w14:paraId="3C815497">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bookmarkStart w:id="102" w:name="_Toc20335"/>
      <w:bookmarkStart w:id="103" w:name="_Toc11521"/>
      <w:bookmarkStart w:id="104" w:name="_Toc19191"/>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供货知识产权存在瑕疵</w:t>
      </w:r>
      <w:r>
        <w:rPr>
          <w:rFonts w:hint="eastAsia" w:ascii="仿宋_GB2312" w:hAnsi="仿宋_GB2312" w:eastAsia="仿宋_GB2312" w:cs="仿宋_GB2312"/>
          <w:b/>
          <w:bCs/>
          <w:color w:val="000000" w:themeColor="text1"/>
          <w:highlight w:val="none"/>
          <w14:textFill>
            <w14:solidFill>
              <w14:schemeClr w14:val="tx1"/>
            </w14:solidFill>
          </w14:textFill>
        </w:rPr>
        <w:t>：</w:t>
      </w:r>
    </w:p>
    <w:p w14:paraId="62A560EC">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乙方提供物资侵犯他人知识产权（或专利权）导致他人向甲方索赔的，乙方承担由此给甲方造成的一切损失，包括但不限于甲方处理此纠纷发生的律师费、诉讼费、差旅费等一切损失。此外，乙方应向甲方支付合同价款</w:t>
      </w:r>
      <w:r>
        <w:rPr>
          <w:rFonts w:hint="eastAsia" w:ascii="仿宋_GB2312" w:hAnsi="仿宋_GB2312" w:eastAsia="仿宋_GB2312" w:cs="仿宋_GB2312"/>
          <w:color w:val="000000" w:themeColor="text1"/>
          <w:highlight w:val="none"/>
          <w:u w:val="none"/>
          <w:lang w:val="en-US" w:eastAsia="zh-CN"/>
          <w14:textFill>
            <w14:solidFill>
              <w14:schemeClr w14:val="tx1"/>
            </w14:solidFill>
          </w14:textFill>
        </w:rPr>
        <w:t>20</w:t>
      </w:r>
      <w:r>
        <w:rPr>
          <w:rFonts w:hint="eastAsia" w:ascii="仿宋_GB2312" w:hAnsi="仿宋_GB2312" w:eastAsia="仿宋_GB2312" w:cs="仿宋_GB2312"/>
          <w:color w:val="000000" w:themeColor="text1"/>
          <w:highlight w:val="none"/>
          <w14:textFill>
            <w14:solidFill>
              <w14:schemeClr w14:val="tx1"/>
            </w14:solidFill>
          </w14:textFill>
        </w:rPr>
        <w:t>％的违约金。甲方针对上述一切损失有权从乙方结算货款中扣除或依法追索。</w:t>
      </w:r>
    </w:p>
    <w:p w14:paraId="10540F9F">
      <w:pPr>
        <w:pStyle w:val="12"/>
        <w:spacing w:line="400" w:lineRule="atLeast"/>
        <w:ind w:firstLine="482" w:firstLineChars="200"/>
        <w:jc w:val="both"/>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9、私运项目物资</w:t>
      </w:r>
    </w:p>
    <w:p w14:paraId="75D918CC">
      <w:pPr>
        <w:pStyle w:val="12"/>
        <w:spacing w:line="400" w:lineRule="atLeast"/>
        <w:ind w:firstLine="480" w:firstLineChars="200"/>
        <w:jc w:val="both"/>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若乙方私自运送甲方现场物资出场，乙方需向甲方支付所涉及物资原值【2】倍的违约金，情节严重的交由司法机关处理。</w:t>
      </w:r>
    </w:p>
    <w:p w14:paraId="532B1437">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10</w:t>
      </w:r>
      <w:r>
        <w:rPr>
          <w:rFonts w:hint="eastAsia" w:ascii="仿宋_GB2312" w:hAnsi="仿宋_GB2312" w:eastAsia="仿宋_GB2312" w:cs="仿宋_GB2312"/>
          <w:b/>
          <w:bCs/>
          <w:color w:val="000000" w:themeColor="text1"/>
          <w:highlight w:val="none"/>
          <w14:textFill>
            <w14:solidFill>
              <w14:schemeClr w14:val="tx1"/>
            </w14:solidFill>
          </w14:textFill>
        </w:rPr>
        <w:t>、未履行本协议约定义务：</w:t>
      </w:r>
    </w:p>
    <w:p w14:paraId="168BA802">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乙方不履行本协议约定义务或中途终止履行合同（符合本合同约定的调价和合同解除条件除外）的，乙方按照项目实际工期损失、经济损失承担违约金。</w:t>
      </w:r>
    </w:p>
    <w:p w14:paraId="534E8C1F">
      <w:pPr>
        <w:pStyle w:val="12"/>
        <w:spacing w:line="400" w:lineRule="atLeast"/>
        <w:ind w:firstLine="482" w:firstLineChars="200"/>
        <w:jc w:val="both"/>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11</w:t>
      </w:r>
      <w:r>
        <w:rPr>
          <w:rFonts w:hint="eastAsia" w:ascii="仿宋_GB2312" w:hAnsi="仿宋_GB2312" w:eastAsia="仿宋_GB2312" w:cs="仿宋_GB2312"/>
          <w:b/>
          <w:bCs/>
          <w:color w:val="000000" w:themeColor="text1"/>
          <w:highlight w:val="none"/>
          <w14:textFill>
            <w14:solidFill>
              <w14:schemeClr w14:val="tx1"/>
            </w14:solidFill>
          </w14:textFill>
        </w:rPr>
        <w:t>、违约后的处置方式：</w:t>
      </w:r>
    </w:p>
    <w:p w14:paraId="63A31437">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乙方违约后，甲方有权直接从乙方结算款或应付款中扣除违约金；甲方决定合同继续履行的，乙方除承担上述违约责任，仍应继续履行合同。</w:t>
      </w:r>
    </w:p>
    <w:p w14:paraId="03450768">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货物缺陷索赔</w:t>
      </w:r>
      <w:bookmarkEnd w:id="102"/>
      <w:bookmarkEnd w:id="103"/>
      <w:bookmarkEnd w:id="104"/>
    </w:p>
    <w:p w14:paraId="1274F4EF">
      <w:pPr>
        <w:pStyle w:val="13"/>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1、质量缺陷索赔：</w:t>
      </w:r>
      <w:r>
        <w:rPr>
          <w:rFonts w:hint="eastAsia" w:ascii="仿宋_GB2312" w:hAnsi="仿宋_GB2312" w:eastAsia="仿宋_GB2312" w:cs="仿宋_GB2312"/>
          <w:color w:val="000000" w:themeColor="text1"/>
          <w:sz w:val="24"/>
          <w:highlight w:val="none"/>
          <w14:textFill>
            <w14:solidFill>
              <w14:schemeClr w14:val="tx1"/>
            </w14:solidFill>
          </w14:textFill>
        </w:rPr>
        <w:t>如甲方在各阶段的检验过程中发现货物不合格现象，可选择更换货物或提出索赔。若选择索赔，甲方有权邀请当地有关质量监督管理部门或其他鉴定机构进行检验，并出具检验证书，可以据此向乙方提出索赔。</w:t>
      </w:r>
    </w:p>
    <w:p w14:paraId="2E0AA980">
      <w:pPr>
        <w:pStyle w:val="13"/>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2、缺陷索赔解决方式：</w:t>
      </w:r>
      <w:r>
        <w:rPr>
          <w:rFonts w:hint="eastAsia" w:ascii="仿宋_GB2312" w:hAnsi="仿宋_GB2312" w:eastAsia="仿宋_GB2312" w:cs="仿宋_GB2312"/>
          <w:color w:val="000000" w:themeColor="text1"/>
          <w:sz w:val="24"/>
          <w:highlight w:val="none"/>
          <w14:textFill>
            <w14:solidFill>
              <w14:schemeClr w14:val="tx1"/>
            </w14:solidFill>
          </w14:textFill>
        </w:rPr>
        <w:t>对甲方在规定的检验、安装、调试和验收测试期限内和质量保修期内发现缺陷提出的索赔，乙方应按甲方同意的下述一种或多种方法解决索赔事宜：</w:t>
      </w:r>
    </w:p>
    <w:p w14:paraId="30D5E5C0">
      <w:pPr>
        <w:pStyle w:val="13"/>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2.1乙方同意甲方部分或全部退货并把退货部分金额以合同规定的同类货币退还给甲方。乙方负担退货过程中发生的一切损失和费用，包括利息、银行费用、运输和保险费、检验费、仓储和装卸费以及为保管和保护退还货物所发生的其它必要费用，包括但不限于工期延误损失导致业主向甲方的索赔等。</w:t>
      </w:r>
    </w:p>
    <w:p w14:paraId="37415E89">
      <w:pPr>
        <w:pStyle w:val="13"/>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2.2根据货物的质量缺陷和受损程度以及甲方遭受损失的程度，经双方协商同意降低货物价格。</w:t>
      </w:r>
    </w:p>
    <w:p w14:paraId="559276BD">
      <w:pPr>
        <w:pStyle w:val="13"/>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2.3更换有缺陷的部分货物、零件、部件和设备，或修理缺陷部分，以达到合同规定的规格、质量和性能，乙方承担一切费用和风险，并负担甲方遭受的损失。</w:t>
      </w:r>
    </w:p>
    <w:p w14:paraId="09BF745C">
      <w:pPr>
        <w:pStyle w:val="13"/>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3、缺陷索赔程序：如果甲方提出索赔通知后7日内乙方未予以答复，该索赔应视为已被乙方接受。</w:t>
      </w:r>
      <w:r>
        <w:rPr>
          <w:rFonts w:hint="eastAsia" w:ascii="仿宋_GB2312" w:hAnsi="仿宋_GB2312" w:eastAsia="仿宋_GB2312" w:cs="仿宋_GB2312"/>
          <w:color w:val="000000" w:themeColor="text1"/>
          <w:sz w:val="24"/>
          <w:highlight w:val="none"/>
          <w14:textFill>
            <w14:solidFill>
              <w14:schemeClr w14:val="tx1"/>
            </w14:solidFill>
          </w14:textFill>
        </w:rPr>
        <w:t>若乙方未能在甲方提出索赔通知的合理时限（7日内）或甲方同意的延长期限内，按甲方同意的上述任何一种方式处理索赔事宜</w:t>
      </w:r>
      <w:r>
        <w:rPr>
          <w:rFonts w:hint="eastAsia" w:ascii="仿宋_GB2312" w:hAnsi="仿宋_GB2312" w:eastAsia="仿宋_GB2312" w:cs="仿宋_GB2312"/>
          <w:b/>
          <w:bCs/>
          <w:color w:val="000000" w:themeColor="text1"/>
          <w:sz w:val="24"/>
          <w:highlight w:val="none"/>
          <w14:textFill>
            <w14:solidFill>
              <w14:schemeClr w14:val="tx1"/>
            </w14:solidFill>
          </w14:textFill>
        </w:rPr>
        <w:t>，甲方有权从乙方货款中扣除索赔金额，不足部分，甲方有权向乙方追偿。</w:t>
      </w:r>
    </w:p>
    <w:p w14:paraId="16DC955B">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4、其他缺陷索赔：</w:t>
      </w:r>
      <w:r>
        <w:rPr>
          <w:rFonts w:hint="eastAsia" w:ascii="仿宋_GB2312" w:hAnsi="仿宋_GB2312" w:eastAsia="仿宋_GB2312" w:cs="仿宋_GB2312"/>
          <w:color w:val="000000" w:themeColor="text1"/>
          <w:highlight w:val="none"/>
          <w14:textFill>
            <w14:solidFill>
              <w14:schemeClr w14:val="tx1"/>
            </w14:solidFill>
          </w14:textFill>
        </w:rPr>
        <w:t>对于甲方提出的非质量缺陷的其他索赔通知，参照适用缺陷索赔规则。</w:t>
      </w:r>
    </w:p>
    <w:p w14:paraId="7A62D39F">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05" w:name="_Toc13562"/>
      <w:bookmarkStart w:id="106" w:name="_Toc12864"/>
      <w:bookmarkStart w:id="107" w:name="_Toc13471"/>
      <w:r>
        <w:rPr>
          <w:rFonts w:hint="eastAsia" w:ascii="仿宋_GB2312" w:hAnsi="仿宋_GB2312" w:eastAsia="仿宋_GB2312" w:cs="仿宋_GB2312"/>
          <w:b/>
          <w:bCs/>
          <w:color w:val="000000" w:themeColor="text1"/>
          <w:highlight w:val="none"/>
          <w14:textFill>
            <w14:solidFill>
              <w14:schemeClr w14:val="tx1"/>
            </w14:solidFill>
          </w14:textFill>
        </w:rPr>
        <w:t>合同变更</w:t>
      </w:r>
      <w:bookmarkEnd w:id="105"/>
      <w:bookmarkEnd w:id="106"/>
      <w:bookmarkEnd w:id="107"/>
    </w:p>
    <w:p w14:paraId="48F24F33">
      <w:pPr>
        <w:pStyle w:val="12"/>
        <w:numPr>
          <w:ilvl w:val="0"/>
          <w:numId w:val="10"/>
        </w:numPr>
        <w:spacing w:line="400" w:lineRule="atLeast"/>
        <w:ind w:firstLine="480" w:firstLineChars="200"/>
        <w:jc w:val="both"/>
        <w:rPr>
          <w:rFonts w:hint="eastAsia" w:ascii="宋体" w:hAnsi="宋体"/>
          <w:szCs w:val="21"/>
          <w:highlight w:val="none"/>
        </w:rPr>
      </w:pPr>
      <w:r>
        <w:rPr>
          <w:rFonts w:hint="eastAsia" w:ascii="仿宋_GB2312" w:hAnsi="仿宋_GB2312" w:eastAsia="仿宋_GB2312" w:cs="仿宋_GB2312"/>
          <w:color w:val="000000" w:themeColor="text1"/>
          <w:highlight w:val="none"/>
          <w14:textFill>
            <w14:solidFill>
              <w14:schemeClr w14:val="tx1"/>
            </w14:solidFill>
          </w14:textFill>
        </w:rPr>
        <w:t>经双方协商一致可以对本合同条款进行修改、变更或增减，并成为本合同的补充文件</w:t>
      </w:r>
      <w:r>
        <w:rPr>
          <w:rFonts w:hint="eastAsia" w:ascii="仿宋_GB2312" w:hAnsi="仿宋_GB2312" w:eastAsia="仿宋_GB2312" w:cs="仿宋_GB2312"/>
          <w:b/>
          <w:bCs/>
          <w:color w:val="000000" w:themeColor="text1"/>
          <w:highlight w:val="none"/>
          <w14:textFill>
            <w14:solidFill>
              <w14:schemeClr w14:val="tx1"/>
            </w14:solidFill>
          </w14:textFill>
        </w:rPr>
        <w:t>，此类补充文件需按本合同约定的生效条件加盖与本合同相同的印章才可视为成立并生效，具有同等法律效力。</w:t>
      </w:r>
    </w:p>
    <w:p w14:paraId="4F37E915">
      <w:pPr>
        <w:pStyle w:val="12"/>
        <w:numPr>
          <w:ilvl w:val="0"/>
          <w:numId w:val="10"/>
        </w:numPr>
        <w:spacing w:line="400" w:lineRule="atLeast"/>
        <w:ind w:firstLine="480" w:firstLineChars="200"/>
        <w:jc w:val="both"/>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bookmarkStart w:id="108" w:name="_Toc29083"/>
      <w:bookmarkStart w:id="109" w:name="_Toc23441"/>
      <w:bookmarkStart w:id="110" w:name="_Toc28560"/>
      <w:r>
        <w:rPr>
          <w:rFonts w:hint="eastAsia" w:ascii="仿宋_GB2312" w:hAnsi="仿宋_GB2312" w:eastAsia="仿宋_GB2312" w:cs="仿宋_GB2312"/>
          <w:color w:val="000000" w:themeColor="text1"/>
          <w:highlight w:val="none"/>
          <w:lang w:val="en-US" w:eastAsia="zh-CN"/>
          <w14:textFill>
            <w14:solidFill>
              <w14:schemeClr w14:val="tx1"/>
            </w14:solidFill>
          </w14:textFill>
        </w:rPr>
        <w:t>当乙方所供物资超出分供合同标的物的金额不超过原合同金额的10%（含），正常办理结算；分供合同标的物的金额超过原合同金额的10%但不超过30%（含），甲乙双方签订补充协议；分供合同标的物的金额超过原合同金额的30%，则对原合同外的物资重新组织招标。</w:t>
      </w:r>
    </w:p>
    <w:p w14:paraId="670CDD6E">
      <w:pPr>
        <w:pStyle w:val="12"/>
        <w:numPr>
          <w:ilvl w:val="0"/>
          <w:numId w:val="10"/>
        </w:numPr>
        <w:spacing w:line="400" w:lineRule="atLeast"/>
        <w:ind w:firstLine="480" w:firstLineChars="200"/>
        <w:jc w:val="both"/>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工程建设单位、监理单位及相关部门出台的相关规定文件、市场准入制度造成合同不能执行，甲方不承担任何责任。</w:t>
      </w:r>
    </w:p>
    <w:p w14:paraId="5369AECF">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合同解除</w:t>
      </w:r>
      <w:bookmarkEnd w:id="108"/>
      <w:bookmarkEnd w:id="109"/>
      <w:bookmarkEnd w:id="110"/>
    </w:p>
    <w:p w14:paraId="7B54A7FD">
      <w:pPr>
        <w:pStyle w:val="12"/>
        <w:numPr>
          <w:ilvl w:val="0"/>
          <w:numId w:val="11"/>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bookmarkStart w:id="111" w:name="_Hlk126831282"/>
      <w:r>
        <w:rPr>
          <w:rFonts w:hint="eastAsia" w:ascii="仿宋_GB2312" w:hAnsi="仿宋_GB2312" w:eastAsia="仿宋_GB2312" w:cs="仿宋_GB2312"/>
          <w:color w:val="000000" w:themeColor="text1"/>
          <w:highlight w:val="none"/>
          <w14:textFill>
            <w14:solidFill>
              <w14:schemeClr w14:val="tx1"/>
            </w14:solidFill>
          </w14:textFill>
        </w:rPr>
        <w:t>因不可抗力致使不能实现合同目的等原因，经甲、乙双方协商一致同意可解除合同。</w:t>
      </w:r>
    </w:p>
    <w:p w14:paraId="24B5CD61">
      <w:pPr>
        <w:pStyle w:val="12"/>
        <w:numPr>
          <w:ilvl w:val="0"/>
          <w:numId w:val="11"/>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如甲方与业主签订的总承包合同解除或终止，或因业主变更导致甲方无需采购约定材料，则甲方以书面形式通知乙方终止本合同。</w:t>
      </w:r>
    </w:p>
    <w:p w14:paraId="77A604AB">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3、乙方具有下列事由之一的，甲方可以单方全部解除合同或部分解除合同或终止合同，乙方已收款项全部无条件返还：</w:t>
      </w:r>
    </w:p>
    <w:p w14:paraId="06E212FC">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3.1乙方所提供的产品无法通过相关部门（如质监、监理、设计方、甲方及当地相关政府部门等）验收合格；</w:t>
      </w:r>
    </w:p>
    <w:p w14:paraId="074BCC5E">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3.2在产品使用后发生因产品质量问题造成人员、财产受到损害的；</w:t>
      </w:r>
    </w:p>
    <w:p w14:paraId="7C7009D8">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3.3乙方将本合同项下权利义务全部或部分转让的；</w:t>
      </w:r>
    </w:p>
    <w:p w14:paraId="3FBAC3CA">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3.4未按本合同约定时间交货累计延误达10日历天；</w:t>
      </w:r>
    </w:p>
    <w:p w14:paraId="5F07BBAD">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3.5因产品质量未达到本合同专用条款第四条技术标准及质量要求和国家、地方政府相关部门的相关规范和要求，在甲方要求时间内无法更换或补充至甲方要求；</w:t>
      </w:r>
    </w:p>
    <w:p w14:paraId="0AA848DC">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3.6甲方发现产品不能满足本合同约定的质量标准时，或在本合同履行过程中，乙方未按甲方的要求及时进行整改的；</w:t>
      </w:r>
    </w:p>
    <w:p w14:paraId="12B19807">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3.7在本合同履行过程中乙方漠视甲方、设计方指令的或未按甲方、设计方指令执行的；</w:t>
      </w:r>
    </w:p>
    <w:p w14:paraId="39ACA74B">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3.9其他法律规定可解除合同的事由。</w:t>
      </w:r>
    </w:p>
    <w:p w14:paraId="2032456B">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如发生上述事项，甲方将解除或终止合同的意思表示（书面或传真）通知乙方后合同解除或终止。合同解除后乙方仍应承担上述因乙方原因而产生的违约金和因此给甲方造成的全部直接和间接经济损失。乙方在收到解除或终止合同的通知后应无条件配合甲方处理善后事宜。</w:t>
      </w:r>
    </w:p>
    <w:p w14:paraId="23CF8C8E">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4、合同解除或终止后，乙方应当积极配合甲方及时办理合同结算及支付手续，否则甲方有权单方办理结算，视为乙方认可甲方审定的结算额</w:t>
      </w:r>
      <w:bookmarkEnd w:id="111"/>
      <w:r>
        <w:rPr>
          <w:rFonts w:hint="eastAsia" w:ascii="仿宋_GB2312" w:hAnsi="仿宋_GB2312" w:eastAsia="仿宋_GB2312" w:cs="仿宋_GB2312"/>
          <w:b/>
          <w:bCs/>
          <w:color w:val="000000" w:themeColor="text1"/>
          <w:highlight w:val="none"/>
          <w14:textFill>
            <w14:solidFill>
              <w14:schemeClr w14:val="tx1"/>
            </w14:solidFill>
          </w14:textFill>
        </w:rPr>
        <w:t>。</w:t>
      </w:r>
    </w:p>
    <w:p w14:paraId="22DBC04B">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12" w:name="_Toc16580"/>
      <w:bookmarkStart w:id="113" w:name="_Toc17777"/>
      <w:bookmarkStart w:id="114" w:name="_Toc24603"/>
      <w:r>
        <w:rPr>
          <w:rFonts w:hint="eastAsia" w:ascii="仿宋_GB2312" w:hAnsi="仿宋_GB2312" w:eastAsia="仿宋_GB2312" w:cs="仿宋_GB2312"/>
          <w:b/>
          <w:bCs/>
          <w:color w:val="000000" w:themeColor="text1"/>
          <w:highlight w:val="none"/>
          <w14:textFill>
            <w14:solidFill>
              <w14:schemeClr w14:val="tx1"/>
            </w14:solidFill>
          </w14:textFill>
        </w:rPr>
        <w:t>不可抗力</w:t>
      </w:r>
      <w:bookmarkEnd w:id="112"/>
      <w:bookmarkEnd w:id="113"/>
      <w:bookmarkEnd w:id="114"/>
    </w:p>
    <w:p w14:paraId="3B25D2A9">
      <w:pPr>
        <w:pStyle w:val="12"/>
        <w:numPr>
          <w:ilvl w:val="0"/>
          <w:numId w:val="12"/>
        </w:numPr>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不可抗力的确认和通知</w:t>
      </w:r>
    </w:p>
    <w:p w14:paraId="0F8C3D7E">
      <w:pPr>
        <w:pStyle w:val="12"/>
        <w:numPr>
          <w:ilvl w:val="255"/>
          <w:numId w:val="0"/>
        </w:numPr>
        <w:spacing w:line="400" w:lineRule="atLeas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eastAsia="zh-Hans"/>
          <w14:textFill>
            <w14:solidFill>
              <w14:schemeClr w14:val="tx1"/>
            </w14:solidFill>
          </w14:textFill>
        </w:rPr>
        <w:t xml:space="preserve">    </w:t>
      </w:r>
      <w:r>
        <w:rPr>
          <w:rFonts w:hint="eastAsia" w:ascii="仿宋_GB2312" w:hAnsi="仿宋_GB2312" w:eastAsia="仿宋_GB2312" w:cs="仿宋_GB2312"/>
          <w:color w:val="000000" w:themeColor="text1"/>
          <w:highlight w:val="none"/>
          <w14:textFill>
            <w14:solidFill>
              <w14:schemeClr w14:val="tx1"/>
            </w14:solidFill>
          </w14:textFill>
        </w:rPr>
        <w:t>不可抗力是指合同当事人在签订合同时不可预见，在合同履行过程中不可避免且不能克服的自然灾害和社会性突发事件，如地震、海啸、火灾、特大风雪、连续暴雨、特大降水、洪水等自然灾害，瘟疫、骚乱、戒严、暴动、战争、爆发性传染疾病、雾霾停工及其它通知的政府行为。合同一方当事人遇到不可抗力事件，使其履行合同义务受到阻碍时，应立即通知合同另一方当事人，书面说明不可抗力和受阻碍的详细情况，并提供必要的证明。</w:t>
      </w:r>
    </w:p>
    <w:p w14:paraId="5D74ACE7">
      <w:pPr>
        <w:pStyle w:val="12"/>
        <w:numPr>
          <w:ilvl w:val="0"/>
          <w:numId w:val="12"/>
        </w:numPr>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不可抗力的通知</w:t>
      </w:r>
    </w:p>
    <w:p w14:paraId="46AD6D07">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2.1 不可抗力事件发生后，</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应立即通知</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，并在力所能及的条件下迅速采取措施，尽力减少损失，</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应协助</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采取措施。若因</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未能尽力挽救，导致损失扩大的，由</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承担全部责任。</w:t>
      </w:r>
    </w:p>
    <w:p w14:paraId="50ECE559">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2.2 不可抗力事件结束后14天内，</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应向</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提交清理和修复费用的正式报告及有关资料。</w:t>
      </w:r>
    </w:p>
    <w:p w14:paraId="67CD9729">
      <w:pPr>
        <w:pStyle w:val="12"/>
        <w:numPr>
          <w:ilvl w:val="0"/>
          <w:numId w:val="1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不可抗力风险的承担</w:t>
      </w:r>
    </w:p>
    <w:p w14:paraId="742F1815">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 不可抗力导致的人员伤亡、财产损失、费用增加和（或）作业期限延误等后果，由合同当事人按以下原则承担：</w:t>
      </w:r>
    </w:p>
    <w:p w14:paraId="7B09741C">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施工设备的损坏由</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6868AC1A">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和</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承担各自人员伤亡和财产的损失；</w:t>
      </w:r>
    </w:p>
    <w:p w14:paraId="4DBC6AC5">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（3）因不可抗力影响</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履行合同约定的义务，已经引起或将引起工期延误的，应当顺延工期，由此导致</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停工的费用损失由</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306E1EEB">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（4）因不可抗力引起或将引起工期延误，</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要求赶工的，由此增加的赶工费用由</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09D09F34">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（5）</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在停工期间按照</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要求照管和清理</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工程的费用由</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6B595DA7">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不可抗力发生后，合同当事人均应采取措施尽量避免和减少损失的扩大，任何一方当事人没有采取有效措施导致损失扩大的，应对扩大的损失承担责任。</w:t>
      </w:r>
    </w:p>
    <w:p w14:paraId="7355F74C">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 因合同一方迟延履行合同义务，在迟延履行期间遭遇不可抗力的，不免除其违约责任。</w:t>
      </w:r>
    </w:p>
    <w:p w14:paraId="140200E8">
      <w:pPr>
        <w:pStyle w:val="12"/>
        <w:numPr>
          <w:ilvl w:val="0"/>
          <w:numId w:val="1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因不可抗力解除合同</w:t>
      </w:r>
    </w:p>
    <w:p w14:paraId="65C380D5">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因不可抗力导致本合同无法履行连续超过84天或累计超过140天的，甲方和乙方均有权解除本合同。本合同解除后，甲方有权暂停对乙方的付款，直到双方就退场达成一致。</w:t>
      </w:r>
    </w:p>
    <w:p w14:paraId="67B052E0">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15" w:name="_Toc9310"/>
      <w:bookmarkStart w:id="116" w:name="_Toc10852"/>
      <w:bookmarkStart w:id="117" w:name="_Toc18501"/>
      <w:r>
        <w:rPr>
          <w:rFonts w:hint="eastAsia" w:ascii="仿宋_GB2312" w:hAnsi="仿宋_GB2312" w:eastAsia="仿宋_GB2312" w:cs="仿宋_GB2312"/>
          <w:b/>
          <w:bCs/>
          <w:color w:val="000000" w:themeColor="text1"/>
          <w:highlight w:val="none"/>
          <w14:textFill>
            <w14:solidFill>
              <w14:schemeClr w14:val="tx1"/>
            </w14:solidFill>
          </w14:textFill>
        </w:rPr>
        <w:t>争议解决</w:t>
      </w:r>
      <w:bookmarkEnd w:id="115"/>
      <w:bookmarkEnd w:id="116"/>
      <w:bookmarkEnd w:id="117"/>
    </w:p>
    <w:p w14:paraId="5E4690C1">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1、争议和解：</w:t>
      </w:r>
      <w:r>
        <w:rPr>
          <w:rFonts w:hint="eastAsia" w:ascii="仿宋_GB2312" w:hAnsi="仿宋_GB2312" w:eastAsia="仿宋_GB2312" w:cs="仿宋_GB2312"/>
          <w:color w:val="000000" w:themeColor="text1"/>
          <w:highlight w:val="none"/>
          <w14:textFill>
            <w14:solidFill>
              <w14:schemeClr w14:val="tx1"/>
            </w14:solidFill>
          </w14:textFill>
        </w:rPr>
        <w:t>对因本合同引起或与之相关的任何争议、纠纷或权利主张，任何一方如欲通过本条第2款约定的方式解决，须在提起第2款约定的争议解决方式前，向对方发出书面和解申请书，并告知对方争议、纠纷或权利主张之事实及依据。</w:t>
      </w:r>
    </w:p>
    <w:p w14:paraId="1A0C7F5B">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在对方收到上述通知之日起</w:t>
      </w:r>
      <w:r>
        <w:rPr>
          <w:rFonts w:hint="eastAsia" w:ascii="仿宋_GB2312" w:hAnsi="仿宋_GB2312" w:eastAsia="仿宋_GB2312" w:cs="仿宋_GB2312"/>
          <w:color w:val="000000" w:themeColor="text1"/>
          <w:highlight w:val="none"/>
          <w:u w:val="single"/>
          <w14:textFill>
            <w14:solidFill>
              <w14:schemeClr w14:val="tx1"/>
            </w14:solidFill>
          </w14:textFill>
        </w:rPr>
        <w:t>3个月</w:t>
      </w:r>
      <w:r>
        <w:rPr>
          <w:rFonts w:hint="eastAsia" w:ascii="仿宋_GB2312" w:hAnsi="仿宋_GB2312" w:eastAsia="仿宋_GB2312" w:cs="仿宋_GB2312"/>
          <w:color w:val="000000" w:themeColor="text1"/>
          <w:highlight w:val="none"/>
          <w14:textFill>
            <w14:solidFill>
              <w14:schemeClr w14:val="tx1"/>
            </w14:solidFill>
          </w14:textFill>
        </w:rPr>
        <w:t>为双方和解期限。在和解期限内，若双方达成和解协议的，双方的权利义务按照和解协议履行；若未达成和解协议的，任何一方可采取本条第2款约定的争议解决方式。</w:t>
      </w:r>
    </w:p>
    <w:p w14:paraId="36F5936A">
      <w:pPr>
        <w:pStyle w:val="12"/>
        <w:spacing w:line="400" w:lineRule="atLeast"/>
        <w:ind w:firstLine="482" w:firstLineChars="200"/>
        <w:rPr>
          <w:rFonts w:hint="eastAsia" w:ascii="仿宋_GB2312" w:hAnsi="仿宋_GB2312" w:eastAsia="仿宋_GB2312" w:cs="仿宋_GB2312"/>
          <w:color w:val="000000" w:themeColor="text1"/>
          <w:highlight w:val="none"/>
          <w:lang w:val="en-US" w:eastAsia="zh-CN"/>
          <w14:textFill>
            <w14:solidFill>
              <w14:schemeClr w14:val="tx1"/>
            </w14:solidFill>
          </w14:textFill>
        </w:rPr>
      </w:pPr>
      <w:bookmarkStart w:id="118" w:name="_Hlk126830485"/>
      <w:bookmarkStart w:id="119" w:name="_Hlk126770481"/>
      <w:bookmarkStart w:id="120" w:name="_Toc18393"/>
      <w:bookmarkStart w:id="121" w:name="_Toc11207"/>
      <w:bookmarkStart w:id="122" w:name="_Toc31739"/>
      <w:r>
        <w:rPr>
          <w:rFonts w:hint="eastAsia" w:ascii="仿宋_GB2312" w:hAnsi="仿宋_GB2312" w:eastAsia="仿宋_GB2312" w:cs="仿宋_GB2312"/>
          <w:b/>
          <w:bCs/>
          <w:color w:val="000000" w:themeColor="text1"/>
          <w:highlight w:val="none"/>
          <w14:textFill>
            <w14:solidFill>
              <w14:schemeClr w14:val="tx1"/>
            </w14:solidFill>
          </w14:textFill>
        </w:rPr>
        <w:t>2、</w:t>
      </w:r>
      <w:bookmarkEnd w:id="118"/>
      <w:bookmarkEnd w:id="119"/>
      <w:bookmarkStart w:id="123" w:name="_Hlk127194929"/>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争议仲裁：</w:t>
      </w: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因本合同引起或与之相关任何争议、纠纷或权利主张，和解不成且已超过和解期的,双方同意提交石家庄仲裁委员会裁决。</w:t>
      </w:r>
    </w:p>
    <w:p w14:paraId="229698EE">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highlight w:val="none"/>
          <w14:textFill>
            <w14:solidFill>
              <w14:schemeClr w14:val="tx1"/>
            </w14:solidFill>
          </w14:textFill>
        </w:rPr>
        <w:t>本合同中关于管辖权的约定是唯一的，任何一方不得通过债权转让或其它方式对涉及本合同约定事项或与之相关的事项的争议解决方式进行另行约定或对本合同关于管辖权的约定进行变更，如发生类似情形，该等约定亦属无效</w:t>
      </w:r>
      <w:bookmarkEnd w:id="123"/>
      <w:r>
        <w:rPr>
          <w:rFonts w:hint="eastAsia" w:ascii="仿宋_GB2312" w:hAnsi="仿宋_GB2312" w:eastAsia="仿宋_GB2312" w:cs="仿宋_GB2312"/>
          <w:b/>
          <w:bCs/>
          <w:color w:val="000000" w:themeColor="text1"/>
          <w:highlight w:val="none"/>
          <w14:textFill>
            <w14:solidFill>
              <w14:schemeClr w14:val="tx1"/>
            </w14:solidFill>
          </w14:textFill>
        </w:rPr>
        <w:t>。</w:t>
      </w:r>
    </w:p>
    <w:p w14:paraId="60A9FF2C">
      <w:pPr>
        <w:pStyle w:val="12"/>
        <w:spacing w:line="400" w:lineRule="atLeast"/>
        <w:ind w:firstLine="482" w:firstLineChars="200"/>
        <w:jc w:val="both"/>
        <w:rPr>
          <w:rFonts w:ascii="仿宋_GB2312" w:hAnsi="仿宋_GB2312" w:eastAsia="仿宋_GB2312" w:cs="仿宋_GB2312"/>
          <w:b/>
          <w:bCs/>
          <w:color w:val="000000" w:themeColor="text1"/>
          <w:highlight w:val="yellow"/>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highlight w:val="none"/>
          <w14:textFill>
            <w14:solidFill>
              <w14:schemeClr w14:val="tx1"/>
            </w14:solidFill>
          </w14:textFill>
        </w:rPr>
        <w:t>因仲裁产生的各项</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合理</w:t>
      </w:r>
      <w:r>
        <w:rPr>
          <w:rFonts w:hint="eastAsia" w:ascii="仿宋_GB2312" w:hAnsi="仿宋_GB2312" w:eastAsia="仿宋_GB2312" w:cs="仿宋_GB2312"/>
          <w:b/>
          <w:bCs/>
          <w:color w:val="000000" w:themeColor="text1"/>
          <w:highlight w:val="none"/>
          <w14:textFill>
            <w14:solidFill>
              <w14:schemeClr w14:val="tx1"/>
            </w14:solidFill>
          </w14:textFill>
        </w:rPr>
        <w:t>费用由双方自行承担，包括但不限于</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案件受理费、</w:t>
      </w:r>
      <w:r>
        <w:rPr>
          <w:rFonts w:hint="eastAsia" w:ascii="仿宋_GB2312" w:hAnsi="仿宋_GB2312" w:eastAsia="仿宋_GB2312" w:cs="仿宋_GB2312"/>
          <w:b/>
          <w:bCs/>
          <w:color w:val="000000" w:themeColor="text1"/>
          <w:highlight w:val="none"/>
          <w14:textFill>
            <w14:solidFill>
              <w14:schemeClr w14:val="tx1"/>
            </w14:solidFill>
          </w14:textFill>
        </w:rPr>
        <w:t>律师费、仲裁费、保全费、保全保险费、差旅费、公证费及鉴定费等因仲裁引发的费用。</w:t>
      </w:r>
    </w:p>
    <w:p w14:paraId="06CD15DC">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保密义务</w:t>
      </w:r>
      <w:bookmarkEnd w:id="120"/>
      <w:bookmarkEnd w:id="121"/>
      <w:bookmarkEnd w:id="122"/>
    </w:p>
    <w:p w14:paraId="068C82C2">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24" w:name="_Toc12970"/>
      <w:r>
        <w:rPr>
          <w:rFonts w:hint="eastAsia" w:ascii="仿宋_GB2312" w:hAnsi="仿宋_GB2312" w:eastAsia="仿宋_GB2312" w:cs="仿宋_GB2312"/>
          <w:color w:val="000000" w:themeColor="text1"/>
          <w:highlight w:val="none"/>
          <w14:textFill>
            <w14:solidFill>
              <w14:schemeClr w14:val="tx1"/>
            </w14:solidFill>
          </w14:textFill>
        </w:rPr>
        <w:t>1、除乙方为执行合同所雇人员外，在未经甲方书面许可的情况下，乙方不得将合同中的规定、有关规格、计划、图纸、式样、样本或甲方为上述内容向乙方提供的资料向本协议以外的任何第三方披露。乙方须在对外保密的前提下，对其雇用人员提供相关资料仅限于执行合同必须提供的范围之内。</w:t>
      </w:r>
    </w:p>
    <w:p w14:paraId="323EF5DE">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2、除合同另有约定以外，本合同列明的所有资料始终为甲方财产，若甲方要求，乙方应于其合同义务履行完毕以后退还甲方相应资料（包括所有副本）。</w:t>
      </w:r>
    </w:p>
    <w:p w14:paraId="71633CCD">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25" w:name="_Toc14038"/>
      <w:bookmarkStart w:id="126" w:name="_Toc3848"/>
      <w:r>
        <w:rPr>
          <w:rFonts w:hint="eastAsia" w:ascii="仿宋_GB2312" w:hAnsi="仿宋_GB2312" w:eastAsia="仿宋_GB2312" w:cs="仿宋_GB2312"/>
          <w:b/>
          <w:bCs/>
          <w:color w:val="000000" w:themeColor="text1"/>
          <w:highlight w:val="none"/>
          <w14:textFill>
            <w14:solidFill>
              <w14:schemeClr w14:val="tx1"/>
            </w14:solidFill>
          </w14:textFill>
        </w:rPr>
        <w:t>其他条款</w:t>
      </w:r>
      <w:bookmarkEnd w:id="124"/>
      <w:bookmarkEnd w:id="125"/>
      <w:bookmarkEnd w:id="126"/>
    </w:p>
    <w:p w14:paraId="7381ED03">
      <w:pPr>
        <w:pStyle w:val="12"/>
        <w:numPr>
          <w:ilvl w:val="0"/>
          <w:numId w:val="13"/>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本合同与甲方招标文件、乙方投标文件有相抵触之处，均以本合同条款为准。</w:t>
      </w:r>
    </w:p>
    <w:p w14:paraId="0D394E66">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2、本合同附件是本合同有效组成部分，与本合同具有同等效力。</w:t>
      </w:r>
    </w:p>
    <w:p w14:paraId="41512C47">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3、本合同未尽事宜，按《中华人民共和国民法典》有关规定执行。</w:t>
      </w:r>
    </w:p>
    <w:p w14:paraId="5E32DC3A">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4、其他约定</w:t>
      </w:r>
      <w:permStart w:id="10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  </w:t>
      </w:r>
      <w:permEnd w:id="101"/>
      <w:r>
        <w:rPr>
          <w:rFonts w:hint="eastAsia" w:ascii="仿宋_GB2312" w:hAnsi="仿宋_GB2312" w:eastAsia="仿宋_GB2312" w:cs="仿宋_GB2312"/>
          <w:color w:val="000000" w:themeColor="text1"/>
          <w:highlight w:val="none"/>
          <w14:textFill>
            <w14:solidFill>
              <w14:schemeClr w14:val="tx1"/>
            </w14:solidFill>
          </w14:textFill>
        </w:rPr>
        <w:t>。</w:t>
      </w:r>
    </w:p>
    <w:p w14:paraId="02CC4D01">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bookmarkStart w:id="127" w:name="_Toc20230"/>
      <w:r>
        <w:rPr>
          <w:rFonts w:hint="eastAsia" w:ascii="仿宋_GB2312" w:hAnsi="仿宋_GB2312" w:eastAsia="仿宋_GB2312" w:cs="仿宋_GB2312"/>
          <w:color w:val="000000" w:themeColor="text1"/>
          <w:highlight w:val="none"/>
          <w14:textFill>
            <w14:solidFill>
              <w14:schemeClr w14:val="tx1"/>
            </w14:solidFill>
          </w14:textFill>
        </w:rPr>
        <w:t>以下无正文</w:t>
      </w:r>
      <w:bookmarkEnd w:id="127"/>
    </w:p>
    <w:p w14:paraId="3622F8E4">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p>
    <w:p w14:paraId="47AE43FE">
      <w:pPr>
        <w:pStyle w:val="12"/>
        <w:spacing w:line="400" w:lineRule="atLeast"/>
        <w:ind w:firstLine="480" w:firstLineChars="200"/>
        <w:jc w:val="both"/>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 xml:space="preserve">    甲  方：                               乙  方：</w:t>
      </w:r>
    </w:p>
    <w:p w14:paraId="404CBB75">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42666428">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02C6BDEA">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p>
    <w:p w14:paraId="49F594FF">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4A2C63CD">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03073886">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p>
    <w:p w14:paraId="010F0C5C">
      <w:pPr>
        <w:rPr>
          <w:rFonts w:ascii="仿宋_GB2312" w:hAnsi="仿宋_GB2312" w:eastAsia="仿宋_GB2312" w:cs="仿宋_GB2312"/>
          <w:color w:val="000000" w:themeColor="text1"/>
          <w:sz w:val="24"/>
          <w:highlight w:val="none"/>
          <w14:textFill>
            <w14:solidFill>
              <w14:schemeClr w14:val="tx1"/>
            </w14:solidFill>
          </w14:textFill>
        </w:rPr>
      </w:pPr>
    </w:p>
    <w:p w14:paraId="6B769C1F">
      <w:pPr>
        <w:rPr>
          <w:highlight w:val="none"/>
        </w:rPr>
      </w:pPr>
    </w:p>
    <w:sectPr>
      <w:pgSz w:w="11906" w:h="16838"/>
      <w:pgMar w:top="1440" w:right="1800" w:bottom="1440" w:left="1800" w:header="850" w:footer="975"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EB115">
    <w:pPr>
      <w:pStyle w:val="6"/>
      <w:jc w:val="center"/>
      <w:rPr>
        <w:rFonts w:ascii="仿宋" w:hAnsi="仿宋" w:eastAsia="仿宋" w:cs="仿宋"/>
        <w:sz w:val="24"/>
        <w:szCs w:val="36"/>
      </w:rPr>
    </w:pPr>
    <w:r>
      <w:rPr>
        <w:rFonts w:hint="eastAsia" w:ascii="仿宋" w:hAnsi="仿宋" w:eastAsia="仿宋" w:cs="仿宋"/>
        <w:sz w:val="24"/>
        <w:szCs w:val="36"/>
      </w:rPr>
      <w:t>中建三局第*建设工程有限责任公司</w:t>
    </w:r>
  </w:p>
  <w:p w14:paraId="7C5172FE">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BFFDE">
    <w:pPr>
      <w:pStyle w:val="6"/>
      <w:jc w:val="center"/>
      <w:rPr>
        <w:rFonts w:ascii="仿宋" w:hAnsi="仿宋" w:eastAsia="仿宋" w:cs="仿宋"/>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71094">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982EB">
    <w:pPr>
      <w:pStyle w:val="6"/>
      <w:jc w:val="center"/>
      <w:rPr>
        <w:rFonts w:ascii="仿宋" w:hAnsi="仿宋" w:eastAsia="仿宋" w:cs="仿宋"/>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DD177">
    <w:pPr>
      <w:pStyle w:val="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90382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F90382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C080C">
    <w:pPr>
      <w:pStyle w:val="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7FDCF">
                          <w:pPr>
                            <w:pStyle w:val="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1C7FDCF">
                    <w:pPr>
                      <w:pStyle w:val="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549B8">
    <w:pPr>
      <w:pStyle w:val="7"/>
    </w:pPr>
  </w:p>
  <w:p w14:paraId="545303D8">
    <w:pPr>
      <w:pStyle w:val="7"/>
    </w:pPr>
  </w:p>
  <w:p w14:paraId="7AE5AE10">
    <w:pPr>
      <w:pStyle w:val="7"/>
    </w:pPr>
  </w:p>
  <w:p w14:paraId="0A2D9CC1">
    <w:pPr>
      <w:pStyle w:val="7"/>
    </w:pPr>
  </w:p>
  <w:p w14:paraId="1DCB81E7">
    <w:pPr>
      <w:pStyle w:val="7"/>
      <w:jc w:val="left"/>
      <w:rPr>
        <w:b/>
        <w:bCs/>
      </w:rPr>
    </w:pPr>
    <w:r>
      <w:rPr>
        <w:b/>
        <w:bCs/>
      </w:rPr>
      <w:t>CSCEC</w:t>
    </w:r>
    <w:r>
      <w:t xml:space="preserve">  </w:t>
    </w:r>
    <w:r>
      <w:rPr>
        <w:rFonts w:hint="eastAsia"/>
        <w:b/>
        <w:bCs/>
      </w:rPr>
      <w:t xml:space="preserve">                                                                                 中建</w:t>
    </w:r>
  </w:p>
  <w:p w14:paraId="3479C5C7">
    <w:pPr>
      <w:pStyle w:val="7"/>
    </w:pPr>
  </w:p>
  <w:p w14:paraId="2CB33D2A">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CFB31">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4384"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7" name="图片 7"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0E39938B">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ACC21">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5408"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7F7CA813">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908B4">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6432"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8" name="图片 8"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2E51BD73">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25A6D"/>
    <w:multiLevelType w:val="singleLevel"/>
    <w:tmpl w:val="9C525A6D"/>
    <w:lvl w:ilvl="0" w:tentative="0">
      <w:start w:val="1"/>
      <w:numFmt w:val="decimal"/>
      <w:suff w:val="nothing"/>
      <w:lvlText w:val="%1、"/>
      <w:lvlJc w:val="left"/>
    </w:lvl>
  </w:abstractNum>
  <w:abstractNum w:abstractNumId="1">
    <w:nsid w:val="CDF988A0"/>
    <w:multiLevelType w:val="singleLevel"/>
    <w:tmpl w:val="CDF988A0"/>
    <w:lvl w:ilvl="0" w:tentative="0">
      <w:start w:val="1"/>
      <w:numFmt w:val="decimal"/>
      <w:suff w:val="nothing"/>
      <w:lvlText w:val="%1、"/>
      <w:lvlJc w:val="left"/>
    </w:lvl>
  </w:abstractNum>
  <w:abstractNum w:abstractNumId="2">
    <w:nsid w:val="D6CC21DA"/>
    <w:multiLevelType w:val="singleLevel"/>
    <w:tmpl w:val="D6CC21DA"/>
    <w:lvl w:ilvl="0" w:tentative="0">
      <w:start w:val="1"/>
      <w:numFmt w:val="decimal"/>
      <w:suff w:val="nothing"/>
      <w:lvlText w:val="%1、"/>
      <w:lvlJc w:val="left"/>
    </w:lvl>
  </w:abstractNum>
  <w:abstractNum w:abstractNumId="3">
    <w:nsid w:val="DA2CD928"/>
    <w:multiLevelType w:val="singleLevel"/>
    <w:tmpl w:val="DA2CD928"/>
    <w:lvl w:ilvl="0" w:tentative="0">
      <w:start w:val="1"/>
      <w:numFmt w:val="decimal"/>
      <w:suff w:val="nothing"/>
      <w:lvlText w:val="%1、"/>
      <w:lvlJc w:val="left"/>
    </w:lvl>
  </w:abstractNum>
  <w:abstractNum w:abstractNumId="4">
    <w:nsid w:val="E0133784"/>
    <w:multiLevelType w:val="singleLevel"/>
    <w:tmpl w:val="E0133784"/>
    <w:lvl w:ilvl="0" w:tentative="0">
      <w:start w:val="1"/>
      <w:numFmt w:val="decimal"/>
      <w:suff w:val="nothing"/>
      <w:lvlText w:val="%1、"/>
      <w:lvlJc w:val="left"/>
    </w:lvl>
  </w:abstractNum>
  <w:abstractNum w:abstractNumId="5">
    <w:nsid w:val="EEFD7662"/>
    <w:multiLevelType w:val="singleLevel"/>
    <w:tmpl w:val="EEFD7662"/>
    <w:lvl w:ilvl="0" w:tentative="0">
      <w:start w:val="1"/>
      <w:numFmt w:val="decimal"/>
      <w:suff w:val="nothing"/>
      <w:lvlText w:val="%1、"/>
      <w:lvlJc w:val="left"/>
    </w:lvl>
  </w:abstractNum>
  <w:abstractNum w:abstractNumId="6">
    <w:nsid w:val="EFACCE70"/>
    <w:multiLevelType w:val="singleLevel"/>
    <w:tmpl w:val="EFACCE70"/>
    <w:lvl w:ilvl="0" w:tentative="0">
      <w:start w:val="1"/>
      <w:numFmt w:val="chineseCounting"/>
      <w:suff w:val="nothing"/>
      <w:lvlText w:val="%1、"/>
      <w:lvlJc w:val="left"/>
      <w:rPr>
        <w:rFonts w:hint="eastAsia"/>
      </w:rPr>
    </w:lvl>
  </w:abstractNum>
  <w:abstractNum w:abstractNumId="7">
    <w:nsid w:val="F4B4D53B"/>
    <w:multiLevelType w:val="singleLevel"/>
    <w:tmpl w:val="F4B4D53B"/>
    <w:lvl w:ilvl="0" w:tentative="0">
      <w:start w:val="1"/>
      <w:numFmt w:val="decimal"/>
      <w:suff w:val="nothing"/>
      <w:lvlText w:val="%1、"/>
      <w:lvlJc w:val="left"/>
    </w:lvl>
  </w:abstractNum>
  <w:abstractNum w:abstractNumId="8">
    <w:nsid w:val="17E12B1E"/>
    <w:multiLevelType w:val="singleLevel"/>
    <w:tmpl w:val="17E12B1E"/>
    <w:lvl w:ilvl="0" w:tentative="0">
      <w:start w:val="6"/>
      <w:numFmt w:val="chineseCounting"/>
      <w:suff w:val="nothing"/>
      <w:lvlText w:val="%1、"/>
      <w:lvlJc w:val="left"/>
      <w:pPr>
        <w:ind w:left="480" w:firstLine="0"/>
      </w:pPr>
      <w:rPr>
        <w:rFonts w:hint="eastAsia"/>
      </w:rPr>
    </w:lvl>
  </w:abstractNum>
  <w:abstractNum w:abstractNumId="9">
    <w:nsid w:val="1C870535"/>
    <w:multiLevelType w:val="singleLevel"/>
    <w:tmpl w:val="1C870535"/>
    <w:lvl w:ilvl="0" w:tentative="0">
      <w:start w:val="1"/>
      <w:numFmt w:val="decimal"/>
      <w:suff w:val="nothing"/>
      <w:lvlText w:val="%1、"/>
      <w:lvlJc w:val="left"/>
      <w:rPr>
        <w:rFonts w:hint="default"/>
        <w:b/>
        <w:bCs/>
      </w:rPr>
    </w:lvl>
  </w:abstractNum>
  <w:abstractNum w:abstractNumId="10">
    <w:nsid w:val="1D9874AA"/>
    <w:multiLevelType w:val="singleLevel"/>
    <w:tmpl w:val="1D9874AA"/>
    <w:lvl w:ilvl="0" w:tentative="0">
      <w:start w:val="1"/>
      <w:numFmt w:val="chineseCounting"/>
      <w:suff w:val="nothing"/>
      <w:lvlText w:val="%1、"/>
      <w:lvlJc w:val="left"/>
      <w:rPr>
        <w:rFonts w:hint="eastAsia"/>
      </w:rPr>
    </w:lvl>
  </w:abstractNum>
  <w:abstractNum w:abstractNumId="11">
    <w:nsid w:val="567023B9"/>
    <w:multiLevelType w:val="singleLevel"/>
    <w:tmpl w:val="567023B9"/>
    <w:lvl w:ilvl="0" w:tentative="0">
      <w:start w:val="1"/>
      <w:numFmt w:val="decimal"/>
      <w:suff w:val="nothing"/>
      <w:lvlText w:val="%1、"/>
      <w:lvlJc w:val="left"/>
    </w:lvl>
  </w:abstractNum>
  <w:abstractNum w:abstractNumId="12">
    <w:nsid w:val="5A99D076"/>
    <w:multiLevelType w:val="singleLevel"/>
    <w:tmpl w:val="5A99D076"/>
    <w:lvl w:ilvl="0" w:tentative="0">
      <w:start w:val="2"/>
      <w:numFmt w:val="decimal"/>
      <w:lvlText w:val="%1."/>
      <w:lvlJc w:val="left"/>
      <w:pPr>
        <w:tabs>
          <w:tab w:val="left" w:pos="312"/>
        </w:tabs>
        <w:ind w:left="480" w:firstLine="0"/>
      </w:pPr>
    </w:lvl>
  </w:abstractNum>
  <w:num w:numId="1">
    <w:abstractNumId w:val="6"/>
  </w:num>
  <w:num w:numId="2">
    <w:abstractNumId w:val="3"/>
  </w:num>
  <w:num w:numId="3">
    <w:abstractNumId w:val="9"/>
  </w:num>
  <w:num w:numId="4">
    <w:abstractNumId w:val="5"/>
  </w:num>
  <w:num w:numId="5">
    <w:abstractNumId w:val="7"/>
  </w:num>
  <w:num w:numId="6">
    <w:abstractNumId w:val="12"/>
  </w:num>
  <w:num w:numId="7">
    <w:abstractNumId w:val="8"/>
  </w:num>
  <w:num w:numId="8">
    <w:abstractNumId w:val="10"/>
  </w:num>
  <w:num w:numId="9">
    <w:abstractNumId w:val="11"/>
  </w:num>
  <w:num w:numId="10">
    <w:abstractNumId w:val="2"/>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dit="readOnly" w:enforcement="1" w:cryptProviderType="rsaFull" w:cryptAlgorithmClass="hash" w:cryptAlgorithmType="typeAny" w:cryptAlgorithmSid="4" w:cryptSpinCount="0" w:hash="fs2XKhSG+hit/UjY9t+WTymg7K4=" w:salt="co6NzLCP9wIvGGxm6CXX9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jM5MWI5OTJlOWQxZDdiYTBmZGI3NTczYTVlNTUifQ=="/>
  </w:docVars>
  <w:rsids>
    <w:rsidRoot w:val="00000000"/>
    <w:rsid w:val="01523564"/>
    <w:rsid w:val="01C725F7"/>
    <w:rsid w:val="02005B8D"/>
    <w:rsid w:val="0261025C"/>
    <w:rsid w:val="0560216C"/>
    <w:rsid w:val="05A87647"/>
    <w:rsid w:val="07677F35"/>
    <w:rsid w:val="07E22A1E"/>
    <w:rsid w:val="087D170E"/>
    <w:rsid w:val="0C2C12C5"/>
    <w:rsid w:val="0CDB347F"/>
    <w:rsid w:val="0DB8731C"/>
    <w:rsid w:val="0F5D461F"/>
    <w:rsid w:val="10122848"/>
    <w:rsid w:val="108C51BC"/>
    <w:rsid w:val="11A93B4C"/>
    <w:rsid w:val="124B47A4"/>
    <w:rsid w:val="14926CC5"/>
    <w:rsid w:val="15064E11"/>
    <w:rsid w:val="15F405EB"/>
    <w:rsid w:val="161401DB"/>
    <w:rsid w:val="169601D3"/>
    <w:rsid w:val="17C70888"/>
    <w:rsid w:val="194A79C2"/>
    <w:rsid w:val="199F06C1"/>
    <w:rsid w:val="1B5170AA"/>
    <w:rsid w:val="1BA76425"/>
    <w:rsid w:val="1CCD2EB3"/>
    <w:rsid w:val="1DAE1A6F"/>
    <w:rsid w:val="1DCE5781"/>
    <w:rsid w:val="1E8C6B08"/>
    <w:rsid w:val="1E9811D0"/>
    <w:rsid w:val="203B2E1A"/>
    <w:rsid w:val="20677AD3"/>
    <w:rsid w:val="20D34741"/>
    <w:rsid w:val="23A70E7B"/>
    <w:rsid w:val="24E6773E"/>
    <w:rsid w:val="25AB6412"/>
    <w:rsid w:val="27001DCB"/>
    <w:rsid w:val="27044385"/>
    <w:rsid w:val="2809000E"/>
    <w:rsid w:val="281C1F8A"/>
    <w:rsid w:val="282D2989"/>
    <w:rsid w:val="29143B49"/>
    <w:rsid w:val="2B6B0C1C"/>
    <w:rsid w:val="2C9E611B"/>
    <w:rsid w:val="2CF52523"/>
    <w:rsid w:val="2CFF55C1"/>
    <w:rsid w:val="2F363C4A"/>
    <w:rsid w:val="2F642E8E"/>
    <w:rsid w:val="2FD92135"/>
    <w:rsid w:val="2FF75092"/>
    <w:rsid w:val="329F4483"/>
    <w:rsid w:val="33134E71"/>
    <w:rsid w:val="35966615"/>
    <w:rsid w:val="37A442EA"/>
    <w:rsid w:val="38313987"/>
    <w:rsid w:val="38C55C94"/>
    <w:rsid w:val="3A58061F"/>
    <w:rsid w:val="3A9C74FA"/>
    <w:rsid w:val="3AE55345"/>
    <w:rsid w:val="3DDE2C63"/>
    <w:rsid w:val="3EA80078"/>
    <w:rsid w:val="3EF518D7"/>
    <w:rsid w:val="3F19736B"/>
    <w:rsid w:val="4493311A"/>
    <w:rsid w:val="45007F5B"/>
    <w:rsid w:val="47857C94"/>
    <w:rsid w:val="4B7613B8"/>
    <w:rsid w:val="4C03387D"/>
    <w:rsid w:val="4C3752C7"/>
    <w:rsid w:val="4D7E765F"/>
    <w:rsid w:val="4DAC7892"/>
    <w:rsid w:val="4F461FE7"/>
    <w:rsid w:val="4F8151E4"/>
    <w:rsid w:val="510A2FB8"/>
    <w:rsid w:val="55C3101A"/>
    <w:rsid w:val="56CB6315"/>
    <w:rsid w:val="57206CE0"/>
    <w:rsid w:val="57415D69"/>
    <w:rsid w:val="577657E8"/>
    <w:rsid w:val="58C44394"/>
    <w:rsid w:val="5A7F0572"/>
    <w:rsid w:val="5C4E644E"/>
    <w:rsid w:val="5CAC7095"/>
    <w:rsid w:val="5D403159"/>
    <w:rsid w:val="5D5B4F37"/>
    <w:rsid w:val="5E361890"/>
    <w:rsid w:val="5E4E17D8"/>
    <w:rsid w:val="5EE82A63"/>
    <w:rsid w:val="637A221F"/>
    <w:rsid w:val="66576686"/>
    <w:rsid w:val="66F260F2"/>
    <w:rsid w:val="6854765E"/>
    <w:rsid w:val="697275C4"/>
    <w:rsid w:val="69F85DC8"/>
    <w:rsid w:val="6ADE3093"/>
    <w:rsid w:val="6BFE7C2B"/>
    <w:rsid w:val="6C537AB1"/>
    <w:rsid w:val="6D441D97"/>
    <w:rsid w:val="6D8F2D6B"/>
    <w:rsid w:val="6E3470A8"/>
    <w:rsid w:val="6EEF5F38"/>
    <w:rsid w:val="6FA504B7"/>
    <w:rsid w:val="721414BF"/>
    <w:rsid w:val="733C129F"/>
    <w:rsid w:val="7474679E"/>
    <w:rsid w:val="74B25521"/>
    <w:rsid w:val="75723680"/>
    <w:rsid w:val="75F93477"/>
    <w:rsid w:val="784A2271"/>
    <w:rsid w:val="79937EE1"/>
    <w:rsid w:val="7AC37431"/>
    <w:rsid w:val="7C8A307B"/>
    <w:rsid w:val="7CF20C20"/>
    <w:rsid w:val="7D4E22FA"/>
    <w:rsid w:val="7E55487E"/>
    <w:rsid w:val="7E631DD5"/>
    <w:rsid w:val="7F4C316E"/>
    <w:rsid w:val="7F4C7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szCs w:val="28"/>
    </w:rPr>
  </w:style>
  <w:style w:type="paragraph" w:styleId="3">
    <w:name w:val="annotation text"/>
    <w:basedOn w:val="1"/>
    <w:autoRedefine/>
    <w:qFormat/>
    <w:uiPriority w:val="0"/>
    <w:pPr>
      <w:jc w:val="left"/>
    </w:pPr>
  </w:style>
  <w:style w:type="paragraph" w:styleId="4">
    <w:name w:val="Plain Text"/>
    <w:basedOn w:val="1"/>
    <w:autoRedefine/>
    <w:qFormat/>
    <w:uiPriority w:val="0"/>
    <w:rPr>
      <w:rFonts w:ascii="黑体" w:hAnsi="Courier New" w:eastAsia="黑体" w:cs="Times New Roman"/>
      <w:szCs w:val="20"/>
    </w:rPr>
  </w:style>
  <w:style w:type="paragraph" w:styleId="5">
    <w:name w:val="Body Text Indent 2"/>
    <w:basedOn w:val="1"/>
    <w:autoRedefine/>
    <w:qFormat/>
    <w:uiPriority w:val="0"/>
    <w:pPr>
      <w:ind w:firstLine="540" w:firstLineChars="180"/>
    </w:pPr>
    <w:rPr>
      <w:rFonts w:ascii="仿宋_GB2312" w:hAnsi="Calibri" w:eastAsia="仿宋_GB2312" w:cs="Times New Roman"/>
      <w:sz w:val="30"/>
      <w:szCs w:val="24"/>
    </w:rPr>
  </w:style>
  <w:style w:type="paragraph" w:styleId="6">
    <w:name w:val="footer"/>
    <w:basedOn w:val="1"/>
    <w:autoRedefine/>
    <w:qFormat/>
    <w:uiPriority w:val="99"/>
    <w:pPr>
      <w:tabs>
        <w:tab w:val="center" w:pos="4153"/>
        <w:tab w:val="right" w:pos="8306"/>
      </w:tabs>
      <w:snapToGrid w:val="0"/>
      <w:jc w:val="left"/>
    </w:pPr>
    <w:rPr>
      <w:rFonts w:ascii="Calibri" w:hAnsi="Calibri" w:eastAsia="宋体" w:cs="Times New Roman"/>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rPr>
  </w:style>
  <w:style w:type="paragraph" w:styleId="8">
    <w:name w:val="toc 1"/>
    <w:basedOn w:val="1"/>
    <w:next w:val="1"/>
    <w:autoRedefine/>
    <w:qFormat/>
    <w:uiPriority w:val="0"/>
    <w:rPr>
      <w:rFonts w:ascii="Calibri" w:hAnsi="Calibri" w:eastAsia="宋体" w:cs="Times New Roman"/>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3">
    <w:name w:val="。"/>
    <w:basedOn w:val="1"/>
    <w:autoRedefine/>
    <w:qFormat/>
    <w:uiPriority w:val="0"/>
    <w:pPr>
      <w:adjustRightInd w:val="0"/>
      <w:spacing w:line="312" w:lineRule="atLeast"/>
      <w:ind w:right="679"/>
      <w:textAlignment w:val="baseline"/>
    </w:pPr>
    <w:rPr>
      <w:rFonts w:ascii="宋体" w:hAnsi="Calibri" w:eastAsia="宋体" w:cs="Times New Roman"/>
      <w:kern w:val="0"/>
      <w:sz w:val="2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23883</Words>
  <Characters>25095</Characters>
  <Lines>0</Lines>
  <Paragraphs>0</Paragraphs>
  <TotalTime>2</TotalTime>
  <ScaleCrop>false</ScaleCrop>
  <LinksUpToDate>false</LinksUpToDate>
  <CharactersWithSpaces>27240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2023-11-09T02:14:00Z</dcterms:created>
  <dc:creator>周轶群</dc:creator>
  <cp:lastModifiedBy>YL虎</cp:lastModifiedBy>
  <dcterms:modified xsi:type="dcterms:W3CDTF">2026-02-09T06:30:20Z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B2953C1BD53A473DA27FFA7A74730164_13</vt:lpwstr>
  </property>
  <property fmtid="{D5CDD505-2E9C-101B-9397-08002B2CF9AE}" pid="4" name="KSOTemplateDocerSaveRecord">
    <vt:lpwstr>eyJoZGlkIjoiOWMyMWM0NzM3Y2NmNTgyNmJkOGYwYTdjMzg3YjdhODgiLCJ1c2VySWQiOiI3NDgzNzg5NjUifQ==</vt:lpwstr>
  </property>
</Properties>
</file>