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E2D9C">
      <w:pPr>
        <w:kinsoku w:val="0"/>
        <w:spacing w:line="360" w:lineRule="auto"/>
        <w:ind w:left="4290" w:leftChars="1950"/>
        <w:rPr>
          <w:rFonts w:eastAsia="仿宋_GB2312"/>
          <w:bCs/>
          <w:sz w:val="28"/>
          <w:szCs w:val="28"/>
          <w:u w:val="single"/>
          <w:lang w:eastAsia="zh-CN"/>
        </w:rPr>
      </w:pPr>
      <w:bookmarkStart w:id="0" w:name="_Hlk126831517"/>
      <w:r>
        <w:rPr>
          <w:rFonts w:hint="eastAsia" w:eastAsia="仿宋_GB2312"/>
          <w:bCs/>
          <w:sz w:val="28"/>
          <w:szCs w:val="28"/>
          <w:lang w:eastAsia="zh-CN"/>
        </w:rPr>
        <w:t>合同编号：</w:t>
      </w:r>
      <w:permStart w:id="0" w:edGrp="everyone"/>
      <w:r>
        <w:rPr>
          <w:rFonts w:eastAsia="仿宋_GB2312"/>
          <w:bCs/>
          <w:color w:val="FFC000" w:themeColor="accent4"/>
          <w:sz w:val="28"/>
          <w:szCs w:val="28"/>
          <w:u w:val="single"/>
          <w:lang w:eastAsia="zh-CN"/>
          <w14:textFill>
            <w14:solidFill>
              <w14:schemeClr w14:val="accent4"/>
            </w14:solidFill>
          </w14:textFill>
        </w:rPr>
        <w:t xml:space="preserve"> </w:t>
      </w:r>
      <w:r>
        <w:rPr>
          <w:rFonts w:hint="eastAsia" w:eastAsia="仿宋_GB2312"/>
          <w:bCs/>
          <w:color w:val="FFC000" w:themeColor="accent4"/>
          <w:sz w:val="28"/>
          <w:szCs w:val="28"/>
          <w:u w:val="single"/>
          <w:lang w:eastAsia="zh-CN"/>
          <w14:textFill>
            <w14:solidFill>
              <w14:schemeClr w14:val="accent4"/>
            </w14:solidFill>
          </w14:textFill>
        </w:rPr>
        <w:t>ZJLQ-FB-项目简称-00×/B0×</w:t>
      </w:r>
      <w:r>
        <w:rPr>
          <w:rFonts w:eastAsia="仿宋_GB2312"/>
          <w:bCs/>
          <w:color w:val="FFC000" w:themeColor="accent4"/>
          <w:sz w:val="28"/>
          <w:szCs w:val="28"/>
          <w:u w:val="single"/>
          <w:lang w:eastAsia="zh-CN"/>
          <w14:textFill>
            <w14:solidFill>
              <w14:schemeClr w14:val="accent4"/>
            </w14:solidFill>
          </w14:textFill>
        </w:rPr>
        <w:t xml:space="preserve"> </w:t>
      </w:r>
      <w:permEnd w:id="0"/>
    </w:p>
    <w:p w14:paraId="3D6E2D9D">
      <w:pPr>
        <w:kinsoku w:val="0"/>
        <w:spacing w:line="360" w:lineRule="auto"/>
        <w:rPr>
          <w:lang w:eastAsia="zh-CN"/>
        </w:rPr>
      </w:pPr>
      <w: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574133021"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00pt;margin-top:100pt;height:100pt;width:200pt;z-index:251662336;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BqL6yANAgAAJgQAAA4AAAAAAAAAAQAg&#10;AAAAJAEAAGRycy9lMm9Eb2MueG1sUEsFBgAAAAAGAAYAWQEAAKMFAAAAAA==&#10;" adj="10800">
                <v:fill on="f" focussize="0,0"/>
                <v:stroke on="f"/>
                <v:imagedata o:title=""/>
                <o:lock v:ext="edit" text="t" aspectratio="f"/>
                <v:textbox style="mso-fit-shape-to-text:t;"/>
              </v:shape>
            </w:pict>
          </mc:Fallback>
        </mc:AlternateContent>
      </w:r>
    </w:p>
    <w:p w14:paraId="3D6E2D9E">
      <w:pPr>
        <w:pStyle w:val="2"/>
        <w:kinsoku w:val="0"/>
      </w:pPr>
    </w:p>
    <w:p w14:paraId="3D6E2D9F">
      <w:pPr>
        <w:kinsoku w:val="0"/>
        <w:spacing w:line="360" w:lineRule="auto"/>
        <w:jc w:val="center"/>
        <w:rPr>
          <w:rFonts w:eastAsia="华文中宋"/>
          <w:b/>
          <w:sz w:val="56"/>
          <w:szCs w:val="48"/>
          <w:lang w:eastAsia="zh-CN"/>
        </w:rPr>
      </w:pPr>
      <w:r>
        <w:rPr>
          <w:rFonts w:hint="eastAsia" w:eastAsia="华文中宋"/>
          <w:b/>
          <w:sz w:val="56"/>
          <w:szCs w:val="48"/>
          <w:lang w:eastAsia="zh-CN"/>
        </w:rPr>
        <w:t>建设工程施工专业分包合同</w:t>
      </w:r>
    </w:p>
    <w:p w14:paraId="3D6E2DA0">
      <w:pPr>
        <w:kinsoku w:val="0"/>
        <w:spacing w:line="360" w:lineRule="auto"/>
        <w:jc w:val="center"/>
        <w:rPr>
          <w:rFonts w:eastAsia="华文中宋"/>
          <w:b/>
          <w:sz w:val="56"/>
          <w:szCs w:val="48"/>
          <w:lang w:eastAsia="zh-CN"/>
        </w:rPr>
      </w:pPr>
      <w:permStart w:id="1" w:edGrp="everyone"/>
      <w:r>
        <w:rPr>
          <w:rFonts w:hint="eastAsia" w:eastAsia="华文中宋"/>
          <w:b/>
          <w:sz w:val="56"/>
          <w:szCs w:val="48"/>
          <w:lang w:eastAsia="zh-CN"/>
        </w:rPr>
        <w:t>（绿化工程）</w:t>
      </w:r>
    </w:p>
    <w:permEnd w:id="1"/>
    <w:p w14:paraId="3D6E2DA1">
      <w:pPr>
        <w:kinsoku w:val="0"/>
        <w:spacing w:line="360" w:lineRule="auto"/>
        <w:jc w:val="center"/>
        <w:rPr>
          <w:rFonts w:hint="eastAsia" w:ascii="宋体" w:hAnsi="宋体" w:cs="宋体"/>
          <w:b/>
          <w:sz w:val="28"/>
          <w:szCs w:val="28"/>
          <w:lang w:eastAsia="zh-CN"/>
        </w:rPr>
      </w:pPr>
      <w:r>
        <w:drawing>
          <wp:anchor distT="0" distB="0" distL="114300" distR="114300" simplePos="0" relativeHeight="251660288" behindDoc="1" locked="0" layoutInCell="1" allowOverlap="1">
            <wp:simplePos x="0" y="0"/>
            <wp:positionH relativeFrom="column">
              <wp:posOffset>2232025</wp:posOffset>
            </wp:positionH>
            <wp:positionV relativeFrom="paragraph">
              <wp:posOffset>329565</wp:posOffset>
            </wp:positionV>
            <wp:extent cx="1685925" cy="2352675"/>
            <wp:effectExtent l="0" t="0" r="9525" b="952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noChangeArrowheads="1"/>
                    </pic:cNvPicPr>
                  </pic:nvPicPr>
                  <pic:blipFill>
                    <a:blip r:embed="rId10">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a:xfrm>
                      <a:off x="0" y="0"/>
                      <a:ext cx="1685925" cy="2352675"/>
                    </a:xfrm>
                    <a:prstGeom prst="rect">
                      <a:avLst/>
                    </a:prstGeom>
                    <a:noFill/>
                  </pic:spPr>
                </pic:pic>
              </a:graphicData>
            </a:graphic>
          </wp:anchor>
        </w:drawing>
      </w:r>
    </w:p>
    <w:p w14:paraId="3D6E2DA2">
      <w:pPr>
        <w:kinsoku w:val="0"/>
        <w:spacing w:line="360" w:lineRule="auto"/>
        <w:jc w:val="center"/>
        <w:rPr>
          <w:rFonts w:hint="eastAsia" w:ascii="宋体" w:hAnsi="宋体" w:cs="宋体"/>
          <w:b/>
          <w:sz w:val="28"/>
          <w:szCs w:val="28"/>
          <w:lang w:eastAsia="zh-CN"/>
        </w:rPr>
      </w:pPr>
    </w:p>
    <w:p w14:paraId="3D6E2DA3">
      <w:pPr>
        <w:kinsoku w:val="0"/>
        <w:spacing w:line="360" w:lineRule="auto"/>
        <w:jc w:val="center"/>
        <w:rPr>
          <w:rFonts w:hint="eastAsia" w:ascii="宋体" w:hAnsi="宋体" w:cs="宋体"/>
          <w:b/>
          <w:sz w:val="28"/>
          <w:szCs w:val="28"/>
          <w:lang w:eastAsia="zh-CN"/>
        </w:rPr>
      </w:pPr>
    </w:p>
    <w:p w14:paraId="3D6E2DA4">
      <w:pPr>
        <w:kinsoku w:val="0"/>
        <w:spacing w:line="360" w:lineRule="auto"/>
        <w:jc w:val="center"/>
        <w:rPr>
          <w:rFonts w:hint="eastAsia" w:ascii="宋体" w:hAnsi="宋体" w:cs="宋体"/>
          <w:b/>
          <w:sz w:val="28"/>
          <w:szCs w:val="28"/>
          <w:lang w:eastAsia="zh-CN"/>
        </w:rPr>
      </w:pPr>
    </w:p>
    <w:bookmarkEnd w:id="0"/>
    <w:p w14:paraId="3D6E2DA5">
      <w:pPr>
        <w:pStyle w:val="2"/>
        <w:kinsoku w:val="0"/>
      </w:pPr>
    </w:p>
    <w:p w14:paraId="3D6E2DA6">
      <w:pPr>
        <w:kinsoku w:val="0"/>
        <w:rPr>
          <w:lang w:eastAsia="zh-CN"/>
        </w:rPr>
      </w:pPr>
    </w:p>
    <w:p w14:paraId="3D6E2DA7">
      <w:pPr>
        <w:kinsoku w:val="0"/>
        <w:spacing w:line="360" w:lineRule="auto"/>
        <w:ind w:firstLine="562" w:firstLineChars="200"/>
        <w:rPr>
          <w:rFonts w:hint="eastAsia" w:ascii="仿宋_GB2312" w:hAnsi="仿宋_GB2312" w:eastAsia="仿宋_GB2312" w:cs="仿宋_GB2312"/>
          <w:b/>
          <w:bCs/>
          <w:sz w:val="28"/>
          <w:szCs w:val="28"/>
          <w:lang w:eastAsia="zh-CN"/>
        </w:rPr>
      </w:pPr>
    </w:p>
    <w:p w14:paraId="3D6E2DA8">
      <w:pPr>
        <w:kinsoku w:val="0"/>
        <w:spacing w:line="360" w:lineRule="auto"/>
        <w:ind w:firstLine="562" w:firstLineChars="200"/>
        <w:jc w:val="center"/>
        <w:rPr>
          <w:rFonts w:hint="eastAsia" w:ascii="仿宋_GB2312" w:hAnsi="仿宋_GB2312" w:eastAsia="仿宋_GB2312" w:cs="仿宋_GB2312"/>
          <w:b/>
          <w:bCs/>
          <w:sz w:val="28"/>
          <w:szCs w:val="28"/>
          <w:lang w:eastAsia="zh-CN"/>
        </w:rPr>
      </w:pPr>
      <w:permStart w:id="2" w:edGrp="everyone"/>
      <w:r>
        <w:rPr>
          <w:rFonts w:hint="eastAsia" w:ascii="仿宋_GB2312" w:hAnsi="仿宋_GB2312" w:eastAsia="仿宋_GB2312" w:cs="仿宋_GB2312"/>
          <w:b/>
          <w:bCs/>
          <w:sz w:val="28"/>
          <w:szCs w:val="28"/>
          <w:lang w:eastAsia="zh-CN"/>
        </w:rPr>
        <w:t xml:space="preserve">工程名称：【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lang w:val="en-US" w:eastAsia="zh-CN"/>
        </w:rPr>
        <w:t>绿化专业分包</w:t>
      </w:r>
      <w:r>
        <w:rPr>
          <w:rFonts w:hint="eastAsia" w:ascii="仿宋_GB2312" w:hAnsi="仿宋_GB2312" w:eastAsia="仿宋_GB2312" w:cs="仿宋_GB2312"/>
          <w:b/>
          <w:bCs/>
          <w:sz w:val="28"/>
          <w:szCs w:val="28"/>
          <w:lang w:eastAsia="zh-CN"/>
        </w:rPr>
        <w:t xml:space="preserve">工程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p>
    <w:p w14:paraId="3D6E2DA9">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 xml:space="preserve">甲    方：【      </w:t>
      </w:r>
      <w:r>
        <w:rPr>
          <w:rFonts w:hint="eastAsia" w:ascii="仿宋_GB2312" w:hAnsi="仿宋_GB2312" w:eastAsia="仿宋_GB2312" w:cs="仿宋_GB2312"/>
          <w:b/>
          <w:bCs/>
          <w:sz w:val="28"/>
          <w:szCs w:val="28"/>
          <w:lang w:val="en-US" w:eastAsia="zh-CN"/>
        </w:rPr>
        <w:t>中建路桥集团有限公司</w:t>
      </w:r>
      <w:r>
        <w:rPr>
          <w:rFonts w:hint="eastAsia" w:ascii="仿宋_GB2312" w:hAnsi="仿宋_GB2312" w:eastAsia="仿宋_GB2312" w:cs="仿宋_GB2312"/>
          <w:b/>
          <w:bCs/>
          <w:sz w:val="28"/>
          <w:szCs w:val="28"/>
          <w:lang w:eastAsia="zh-CN"/>
        </w:rPr>
        <w:t xml:space="preserve">        】</w:t>
      </w:r>
    </w:p>
    <w:p w14:paraId="3D6E2DAA">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乙    方：【                                  】</w:t>
      </w:r>
    </w:p>
    <w:p w14:paraId="3D6E2DAB">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签订时间：【                                  】</w:t>
      </w:r>
    </w:p>
    <w:p w14:paraId="3D6E2DAC">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签订地点：【                                  】</w:t>
      </w:r>
    </w:p>
    <w:permEnd w:id="2"/>
    <w:p w14:paraId="3D6E2DAD">
      <w:pPr>
        <w:kinsoku w:val="0"/>
        <w:spacing w:after="156" w:afterLines="50" w:line="360" w:lineRule="auto"/>
        <w:ind w:firstLine="562" w:firstLineChars="200"/>
        <w:jc w:val="center"/>
        <w:rPr>
          <w:rFonts w:hint="eastAsia" w:ascii="宋体" w:hAnsi="宋体" w:cs="宋体"/>
          <w:b/>
          <w:color w:val="FFC000" w:themeColor="accent4"/>
          <w:sz w:val="28"/>
          <w:szCs w:val="28"/>
          <w:lang w:eastAsia="zh-CN"/>
          <w14:textFill>
            <w14:solidFill>
              <w14:schemeClr w14:val="accent4"/>
            </w14:solidFill>
          </w14:textFill>
        </w:rPr>
      </w:pPr>
    </w:p>
    <w:p w14:paraId="3D6E2DAE">
      <w:pPr>
        <w:kinsoku w:val="0"/>
        <w:spacing w:after="0" w:line="360" w:lineRule="auto"/>
        <w:rPr>
          <w:rFonts w:hint="eastAsia" w:ascii="宋体" w:hAnsi="宋体"/>
          <w:b/>
          <w:sz w:val="24"/>
          <w:lang w:eastAsia="zh-CN"/>
        </w:rPr>
        <w:sectPr>
          <w:headerReference r:id="rId5" w:type="default"/>
          <w:pgSz w:w="11906" w:h="16838"/>
          <w:pgMar w:top="1134" w:right="1134" w:bottom="1134" w:left="1134" w:header="851" w:footer="851" w:gutter="0"/>
          <w:pgNumType w:start="1"/>
          <w:cols w:space="425" w:num="1"/>
          <w:docGrid w:type="lines" w:linePitch="312" w:charSpace="0"/>
        </w:sectPr>
      </w:pPr>
    </w:p>
    <w:sdt>
      <w:sdtPr>
        <w:rPr>
          <w:rFonts w:ascii="宋体" w:hAnsi="宋体"/>
          <w:sz w:val="21"/>
        </w:rPr>
        <w:id w:val="147454984"/>
        <w:docPartObj>
          <w:docPartGallery w:val="Table of Contents"/>
          <w:docPartUnique/>
        </w:docPartObj>
      </w:sdtPr>
      <w:sdtEndPr>
        <w:rPr>
          <w:rFonts w:ascii="宋体" w:hAnsi="宋体"/>
          <w:sz w:val="21"/>
          <w:szCs w:val="21"/>
        </w:rPr>
      </w:sdtEndPr>
      <w:sdtContent>
        <w:p w14:paraId="3D6E2DAF">
          <w:pPr>
            <w:kinsoku w:val="0"/>
            <w:spacing w:after="0" w:line="240" w:lineRule="auto"/>
            <w:jc w:val="center"/>
            <w:rPr>
              <w:b/>
              <w:bCs/>
              <w:sz w:val="28"/>
              <w:szCs w:val="28"/>
            </w:rPr>
          </w:pPr>
          <w:permStart w:id="3" w:edGrp="everyone"/>
          <w:bookmarkStart w:id="1" w:name="_Toc101366172"/>
          <w:bookmarkEnd w:id="1"/>
          <w:bookmarkStart w:id="2" w:name="_Toc101366113"/>
          <w:bookmarkEnd w:id="2"/>
          <w:bookmarkStart w:id="3" w:name="_Toc101366173"/>
          <w:bookmarkEnd w:id="3"/>
          <w:bookmarkStart w:id="4" w:name="_Toc101366174"/>
          <w:bookmarkEnd w:id="4"/>
          <w:bookmarkStart w:id="5" w:name="_Toc101366175"/>
          <w:bookmarkEnd w:id="5"/>
          <w:bookmarkStart w:id="6" w:name="_Toc12082"/>
          <w:bookmarkStart w:id="7" w:name="_Toc14093"/>
          <w:bookmarkStart w:id="8" w:name="_Toc18667"/>
          <w:bookmarkStart w:id="9" w:name="_Toc7729"/>
          <w:bookmarkStart w:id="10" w:name="_Toc18608"/>
          <w:bookmarkStart w:id="11" w:name="_Toc5634"/>
          <w:bookmarkStart w:id="12" w:name="_Toc3002"/>
          <w:bookmarkStart w:id="13" w:name="_Toc12456"/>
          <w:bookmarkStart w:id="14" w:name="_Toc101963469"/>
          <w:bookmarkStart w:id="15" w:name="_Toc11545"/>
          <w:bookmarkStart w:id="16" w:name="_Toc26360"/>
          <w:bookmarkStart w:id="17" w:name="_Toc101357393"/>
          <w:bookmarkStart w:id="18" w:name="_Toc4732"/>
          <w:bookmarkStart w:id="19" w:name="_Toc31674"/>
          <w:bookmarkStart w:id="20" w:name="_Toc24018"/>
          <w:bookmarkStart w:id="21" w:name="_Toc9357"/>
          <w:r>
            <w:rPr>
              <w:rFonts w:hint="eastAsia" w:ascii="宋体" w:hAnsi="宋体"/>
              <w:b/>
              <w:bCs/>
              <w:sz w:val="28"/>
              <w:szCs w:val="28"/>
            </w:rPr>
            <w:t>目录</w:t>
          </w:r>
        </w:p>
        <w:p w14:paraId="2640B2A2">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rPr>
              <w:rFonts w:ascii="宋体" w:hAnsi="宋体"/>
              <w:sz w:val="21"/>
              <w:szCs w:val="21"/>
            </w:rPr>
            <w:fldChar w:fldCharType="begin"/>
          </w:r>
          <w:r>
            <w:rPr>
              <w:rFonts w:hint="eastAsia" w:ascii="宋体" w:hAnsi="宋体" w:cstheme="minorEastAsia"/>
              <w:sz w:val="21"/>
              <w:szCs w:val="21"/>
            </w:rPr>
            <w:instrText xml:space="preserve">TOC \o "1-2" \h \u </w:instrText>
          </w:r>
          <w:r>
            <w:rPr>
              <w:rFonts w:ascii="宋体" w:hAnsi="宋体"/>
              <w:sz w:val="21"/>
              <w:szCs w:val="21"/>
            </w:rPr>
            <w:fldChar w:fldCharType="separate"/>
          </w:r>
          <w:r>
            <w:fldChar w:fldCharType="begin"/>
          </w:r>
          <w:r>
            <w:instrText xml:space="preserve"> HYPERLINK \l "_Toc175772211" </w:instrText>
          </w:r>
          <w:r>
            <w:fldChar w:fldCharType="separate"/>
          </w:r>
          <w:r>
            <w:rPr>
              <w:rStyle w:val="18"/>
              <w:rFonts w:hint="eastAsia" w:ascii="宋体" w:hAnsi="宋体"/>
              <w:sz w:val="21"/>
              <w:szCs w:val="21"/>
              <w:lang w:eastAsia="zh-CN"/>
            </w:rPr>
            <w:t>第一部分 合同协议书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_Toc175772211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1</w:t>
          </w:r>
          <w:r>
            <w:rPr>
              <w:rFonts w:hint="eastAsia" w:ascii="宋体" w:hAnsi="宋体"/>
              <w:sz w:val="21"/>
              <w:szCs w:val="21"/>
            </w:rPr>
            <w:fldChar w:fldCharType="end"/>
          </w:r>
          <w:r>
            <w:rPr>
              <w:rFonts w:hint="eastAsia" w:ascii="宋体" w:hAnsi="宋体"/>
              <w:sz w:val="21"/>
              <w:szCs w:val="21"/>
            </w:rPr>
            <w:fldChar w:fldCharType="end"/>
          </w:r>
        </w:p>
        <w:p w14:paraId="1B11C1B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"_Toc175772212"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分包</w:t>
          </w:r>
          <w:r>
            <w:rPr>
              <w:rStyle w:val="18"/>
              <w:rFonts w:hint="eastAsia" w:cstheme="minorEastAsia"/>
              <w:sz w:val="21"/>
              <w:szCs w:val="21"/>
            </w:rPr>
            <w:t>工程概况</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_Toc175772212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1340C97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"_Toc175772213"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合同工期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_Toc175772213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377EBBF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"_Toc175772214"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质量标准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_Toc175772214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13FDE0B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"_Toc175772215" </w:instrText>
          </w:r>
          <w:r>
            <w:fldChar w:fldCharType="separate"/>
          </w:r>
          <w:r>
            <w:rPr>
              <w:rStyle w:val="18"/>
              <w:rFonts w:hint="eastAsia" w:cstheme="minorEastAsia"/>
              <w:sz w:val="21"/>
              <w:szCs w:val="21"/>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安全文明创优标准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_Toc175772215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0DA30BE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"_Toc175772216"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签约合同价与合同价格形式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_Toc175772216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430D3A1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"_Toc175772217" </w:instrText>
          </w:r>
          <w:r>
            <w:fldChar w:fldCharType="separate"/>
          </w:r>
          <w:r>
            <w:rPr>
              <w:rStyle w:val="18"/>
              <w:rFonts w:hint="eastAsia" w:cstheme="minorEastAsia"/>
              <w:sz w:val="21"/>
              <w:szCs w:val="21"/>
              <w:lang w:eastAsia="zh-CN"/>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乙方纳税资格和资质</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_Toc175772217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6D7A90F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"_Toc175772218"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项目经理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_Toc175772218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12195E2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"_Toc175772219"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签订时间及地点</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_Toc175772219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723DDE0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"_Toc175772220" </w:instrText>
          </w:r>
          <w:r>
            <w:fldChar w:fldCharType="separate"/>
          </w:r>
          <w:r>
            <w:rPr>
              <w:rStyle w:val="18"/>
              <w:rFonts w:hint="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补充协议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_Toc175772220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4A7A8C0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"_Toc175772221"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合同签约形式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_Toc175772221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5A5BB7D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"_Toc175772222" </w:instrText>
          </w:r>
          <w:r>
            <w:fldChar w:fldCharType="separate"/>
          </w:r>
          <w:r>
            <w:rPr>
              <w:rStyle w:val="18"/>
              <w:rFonts w:hint="eastAsia" w:ascii="宋体" w:hAnsi="宋体"/>
              <w:sz w:val="21"/>
              <w:szCs w:val="21"/>
              <w:lang w:eastAsia="zh-CN"/>
            </w:rPr>
            <w:t>第二部分 通用合同条款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_Toc175772222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w:t>
          </w:r>
          <w:r>
            <w:rPr>
              <w:rFonts w:hint="eastAsia" w:ascii="宋体" w:hAnsi="宋体"/>
              <w:sz w:val="21"/>
              <w:szCs w:val="21"/>
            </w:rPr>
            <w:fldChar w:fldCharType="end"/>
          </w:r>
          <w:r>
            <w:rPr>
              <w:rFonts w:hint="eastAsia" w:ascii="宋体" w:hAnsi="宋体"/>
              <w:sz w:val="21"/>
              <w:szCs w:val="21"/>
            </w:rPr>
            <w:fldChar w:fldCharType="end"/>
          </w:r>
        </w:p>
        <w:p w14:paraId="0BA8D39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"_Toc175772223"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_Toc175772223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66CA97A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"_Toc175772224"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_Toc175772224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0527EFC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"_Toc175772225"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_Toc175772225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68267B8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"_Toc175772226"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_Toc175772226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275E133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"_Toc175772227" </w:instrText>
          </w:r>
          <w:r>
            <w:fldChar w:fldCharType="separate"/>
          </w:r>
          <w:r>
            <w:rPr>
              <w:rStyle w:val="18"/>
              <w:rFonts w:hint="eastAsia" w:cstheme="minorEastAsia"/>
              <w:sz w:val="21"/>
              <w:szCs w:val="21"/>
            </w:rPr>
            <w:t>5</w:t>
          </w:r>
          <w:r>
            <w:rPr>
              <w:rFonts w:hint="eastAsia" w:cstheme="minorBidi"/>
              <w:kern w:val="2"/>
              <w:sz w:val="21"/>
              <w:szCs w:val="21"/>
              <w:lang w:eastAsia="zh-CN" w:bidi="ar-SA"/>
              <w14:ligatures w14:val="standardContextual"/>
            </w:rPr>
            <w:tab/>
          </w:r>
          <w:r>
            <w:rPr>
              <w:rStyle w:val="18"/>
              <w:rFonts w:hint="eastAsia" w:cstheme="minorEastAsia"/>
              <w:sz w:val="21"/>
              <w:szCs w:val="21"/>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_Toc175772227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5F149DD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"_Toc175772228"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_Toc175772228 \h</w:instrText>
          </w:r>
          <w:r>
            <w:rPr>
              <w:rFonts w:hint="eastAsia"/>
              <w:sz w:val="21"/>
              <w:szCs w:val="21"/>
            </w:rPr>
            <w:instrText xml:space="preserve"> </w:instrText>
          </w:r>
          <w:r>
            <w:rPr>
              <w:rFonts w:hint="eastAsia"/>
              <w:sz w:val="21"/>
              <w:szCs w:val="21"/>
            </w:rPr>
            <w:fldChar w:fldCharType="separate"/>
          </w:r>
          <w:r>
            <w:rPr>
              <w:rFonts w:hint="eastAsia"/>
              <w:sz w:val="21"/>
              <w:szCs w:val="21"/>
            </w:rPr>
            <w:t>8</w:t>
          </w:r>
          <w:r>
            <w:rPr>
              <w:rFonts w:hint="eastAsia"/>
              <w:sz w:val="21"/>
              <w:szCs w:val="21"/>
            </w:rPr>
            <w:fldChar w:fldCharType="end"/>
          </w:r>
          <w:r>
            <w:rPr>
              <w:rFonts w:hint="eastAsia"/>
              <w:sz w:val="21"/>
              <w:szCs w:val="21"/>
            </w:rPr>
            <w:fldChar w:fldCharType="end"/>
          </w:r>
        </w:p>
        <w:p w14:paraId="34F73D8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"_Toc175772229"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_Toc175772229 \h</w:instrText>
          </w:r>
          <w:r>
            <w:rPr>
              <w:rFonts w:hint="eastAsia"/>
              <w:sz w:val="21"/>
              <w:szCs w:val="21"/>
            </w:rPr>
            <w:instrText xml:space="preserve"> </w:instrText>
          </w:r>
          <w:r>
            <w:rPr>
              <w:rFonts w:hint="eastAsia"/>
              <w:sz w:val="21"/>
              <w:szCs w:val="21"/>
            </w:rPr>
            <w:fldChar w:fldCharType="separate"/>
          </w:r>
          <w:r>
            <w:rPr>
              <w:rFonts w:hint="eastAsia"/>
              <w:sz w:val="21"/>
              <w:szCs w:val="21"/>
            </w:rPr>
            <w:t>14</w:t>
          </w:r>
          <w:r>
            <w:rPr>
              <w:rFonts w:hint="eastAsia"/>
              <w:sz w:val="21"/>
              <w:szCs w:val="21"/>
            </w:rPr>
            <w:fldChar w:fldCharType="end"/>
          </w:r>
          <w:r>
            <w:rPr>
              <w:rFonts w:hint="eastAsia"/>
              <w:sz w:val="21"/>
              <w:szCs w:val="21"/>
            </w:rPr>
            <w:fldChar w:fldCharType="end"/>
          </w:r>
        </w:p>
        <w:p w14:paraId="0C0065B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"_Toc175772230"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_Toc175772230 \h</w:instrText>
          </w:r>
          <w:r>
            <w:rPr>
              <w:rFonts w:hint="eastAsia"/>
              <w:sz w:val="21"/>
              <w:szCs w:val="21"/>
            </w:rPr>
            <w:instrText xml:space="preserve"> </w:instrText>
          </w:r>
          <w:r>
            <w:rPr>
              <w:rFonts w:hint="eastAsia"/>
              <w:sz w:val="21"/>
              <w:szCs w:val="21"/>
            </w:rPr>
            <w:fldChar w:fldCharType="separate"/>
          </w:r>
          <w:r>
            <w:rPr>
              <w:rFonts w:hint="eastAsia"/>
              <w:sz w:val="21"/>
              <w:szCs w:val="21"/>
            </w:rPr>
            <w:t>15</w:t>
          </w:r>
          <w:r>
            <w:rPr>
              <w:rFonts w:hint="eastAsia"/>
              <w:sz w:val="21"/>
              <w:szCs w:val="21"/>
            </w:rPr>
            <w:fldChar w:fldCharType="end"/>
          </w:r>
          <w:r>
            <w:rPr>
              <w:rFonts w:hint="eastAsia"/>
              <w:sz w:val="21"/>
              <w:szCs w:val="21"/>
            </w:rPr>
            <w:fldChar w:fldCharType="end"/>
          </w:r>
        </w:p>
        <w:p w14:paraId="064C13F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"_Toc175772231" </w:instrText>
          </w:r>
          <w:r>
            <w:fldChar w:fldCharType="separate"/>
          </w:r>
          <w:r>
            <w:rPr>
              <w:rStyle w:val="18"/>
              <w:rFonts w:hint="eastAsia" w:cstheme="minor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w:t>
          </w:r>
          <w:r>
            <w:rPr>
              <w:rStyle w:val="18"/>
              <w:rFonts w:hint="eastAsia" w:cstheme="minorEastAsia"/>
              <w:sz w:val="21"/>
              <w:szCs w:val="21"/>
            </w:rPr>
            <w:t>全</w:t>
          </w:r>
          <w:r>
            <w:rPr>
              <w:rStyle w:val="18"/>
              <w:rFonts w:hint="eastAsia" w:cstheme="minorEastAsia"/>
              <w:sz w:val="21"/>
              <w:szCs w:val="21"/>
              <w:lang w:eastAsia="zh-CN"/>
            </w:rPr>
            <w:t>文明施工</w:t>
          </w:r>
          <w:r>
            <w:rPr>
              <w:rStyle w:val="18"/>
              <w:rFonts w:hint="eastAsia" w:cstheme="minorEastAsia"/>
              <w:sz w:val="21"/>
              <w:szCs w:val="21"/>
            </w:rPr>
            <w:t>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_Toc175772231 \h</w:instrText>
          </w:r>
          <w:r>
            <w:rPr>
              <w:rFonts w:hint="eastAsia"/>
              <w:sz w:val="21"/>
              <w:szCs w:val="21"/>
            </w:rPr>
            <w:instrText xml:space="preserve"> </w:instrText>
          </w:r>
          <w:r>
            <w:rPr>
              <w:rFonts w:hint="eastAsia"/>
              <w:sz w:val="21"/>
              <w:szCs w:val="21"/>
            </w:rPr>
            <w:fldChar w:fldCharType="separate"/>
          </w:r>
          <w:r>
            <w:rPr>
              <w:rFonts w:hint="eastAsia"/>
              <w:sz w:val="21"/>
              <w:szCs w:val="21"/>
            </w:rPr>
            <w:t>18</w:t>
          </w:r>
          <w:r>
            <w:rPr>
              <w:rFonts w:hint="eastAsia"/>
              <w:sz w:val="21"/>
              <w:szCs w:val="21"/>
            </w:rPr>
            <w:fldChar w:fldCharType="end"/>
          </w:r>
          <w:r>
            <w:rPr>
              <w:rFonts w:hint="eastAsia"/>
              <w:sz w:val="21"/>
              <w:szCs w:val="21"/>
            </w:rPr>
            <w:fldChar w:fldCharType="end"/>
          </w:r>
        </w:p>
        <w:p w14:paraId="2FA70B2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"_Toc175772232"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_Toc175772232 \h</w:instrText>
          </w:r>
          <w:r>
            <w:rPr>
              <w:rFonts w:hint="eastAsia"/>
              <w:sz w:val="21"/>
              <w:szCs w:val="21"/>
            </w:rPr>
            <w:instrText xml:space="preserve"> </w:instrText>
          </w:r>
          <w:r>
            <w:rPr>
              <w:rFonts w:hint="eastAsia"/>
              <w:sz w:val="21"/>
              <w:szCs w:val="21"/>
            </w:rPr>
            <w:fldChar w:fldCharType="separate"/>
          </w:r>
          <w:r>
            <w:rPr>
              <w:rFonts w:hint="eastAsia"/>
              <w:sz w:val="21"/>
              <w:szCs w:val="21"/>
            </w:rPr>
            <w:t>19</w:t>
          </w:r>
          <w:r>
            <w:rPr>
              <w:rFonts w:hint="eastAsia"/>
              <w:sz w:val="21"/>
              <w:szCs w:val="21"/>
            </w:rPr>
            <w:fldChar w:fldCharType="end"/>
          </w:r>
          <w:r>
            <w:rPr>
              <w:rFonts w:hint="eastAsia"/>
              <w:sz w:val="21"/>
              <w:szCs w:val="21"/>
            </w:rPr>
            <w:fldChar w:fldCharType="end"/>
          </w:r>
        </w:p>
        <w:p w14:paraId="3663ACE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"_Toc175772233" </w:instrText>
          </w:r>
          <w:r>
            <w:fldChar w:fldCharType="separate"/>
          </w:r>
          <w:r>
            <w:rPr>
              <w:rStyle w:val="18"/>
              <w:rFonts w:hint="eastAsia" w:cstheme="minorEastAsia"/>
              <w:sz w:val="21"/>
              <w:szCs w:val="21"/>
            </w:rPr>
            <w:t>11</w:t>
          </w:r>
          <w:r>
            <w:rPr>
              <w:rFonts w:hint="eastAsia" w:cstheme="minorBidi"/>
              <w:kern w:val="2"/>
              <w:sz w:val="21"/>
              <w:szCs w:val="21"/>
              <w:lang w:eastAsia="zh-CN" w:bidi="ar-SA"/>
              <w14:ligatures w14:val="standardContextual"/>
            </w:rPr>
            <w:tab/>
          </w:r>
          <w:r>
            <w:rPr>
              <w:rStyle w:val="18"/>
              <w:rFonts w:hint="eastAsia" w:cstheme="minorEastAsia"/>
              <w:sz w:val="21"/>
              <w:szCs w:val="21"/>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_Toc175772233 \h</w:instrText>
          </w:r>
          <w:r>
            <w:rPr>
              <w:rFonts w:hint="eastAsia"/>
              <w:sz w:val="21"/>
              <w:szCs w:val="21"/>
            </w:rPr>
            <w:instrText xml:space="preserve"> </w:instrText>
          </w:r>
          <w:r>
            <w:rPr>
              <w:rFonts w:hint="eastAsia"/>
              <w:sz w:val="21"/>
              <w:szCs w:val="21"/>
            </w:rPr>
            <w:fldChar w:fldCharType="separate"/>
          </w:r>
          <w:r>
            <w:rPr>
              <w:rFonts w:hint="eastAsia"/>
              <w:sz w:val="21"/>
              <w:szCs w:val="21"/>
            </w:rPr>
            <w:t>21</w:t>
          </w:r>
          <w:r>
            <w:rPr>
              <w:rFonts w:hint="eastAsia"/>
              <w:sz w:val="21"/>
              <w:szCs w:val="21"/>
            </w:rPr>
            <w:fldChar w:fldCharType="end"/>
          </w:r>
          <w:r>
            <w:rPr>
              <w:rFonts w:hint="eastAsia"/>
              <w:sz w:val="21"/>
              <w:szCs w:val="21"/>
            </w:rPr>
            <w:fldChar w:fldCharType="end"/>
          </w:r>
        </w:p>
        <w:p w14:paraId="28EC528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"_Toc175772234"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_Toc175772234 \h</w:instrText>
          </w:r>
          <w:r>
            <w:rPr>
              <w:rFonts w:hint="eastAsia"/>
              <w:sz w:val="21"/>
              <w:szCs w:val="21"/>
            </w:rPr>
            <w:instrText xml:space="preserve"> </w:instrText>
          </w:r>
          <w:r>
            <w:rPr>
              <w:rFonts w:hint="eastAsia"/>
              <w:sz w:val="21"/>
              <w:szCs w:val="21"/>
            </w:rPr>
            <w:fldChar w:fldCharType="separate"/>
          </w:r>
          <w:r>
            <w:rPr>
              <w:rFonts w:hint="eastAsia"/>
              <w:sz w:val="21"/>
              <w:szCs w:val="21"/>
            </w:rPr>
            <w:t>22</w:t>
          </w:r>
          <w:r>
            <w:rPr>
              <w:rFonts w:hint="eastAsia"/>
              <w:sz w:val="21"/>
              <w:szCs w:val="21"/>
            </w:rPr>
            <w:fldChar w:fldCharType="end"/>
          </w:r>
          <w:r>
            <w:rPr>
              <w:rFonts w:hint="eastAsia"/>
              <w:sz w:val="21"/>
              <w:szCs w:val="21"/>
            </w:rPr>
            <w:fldChar w:fldCharType="end"/>
          </w:r>
        </w:p>
        <w:p w14:paraId="0D26417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"_Toc175772235"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_Toc175772235 \h</w:instrText>
          </w:r>
          <w:r>
            <w:rPr>
              <w:rFonts w:hint="eastAsia"/>
              <w:sz w:val="21"/>
              <w:szCs w:val="21"/>
            </w:rPr>
            <w:instrText xml:space="preserve"> </w:instrText>
          </w:r>
          <w:r>
            <w:rPr>
              <w:rFonts w:hint="eastAsia"/>
              <w:sz w:val="21"/>
              <w:szCs w:val="21"/>
            </w:rPr>
            <w:fldChar w:fldCharType="separate"/>
          </w:r>
          <w:r>
            <w:rPr>
              <w:rFonts w:hint="eastAsia"/>
              <w:sz w:val="21"/>
              <w:szCs w:val="21"/>
            </w:rPr>
            <w:t>22</w:t>
          </w:r>
          <w:r>
            <w:rPr>
              <w:rFonts w:hint="eastAsia"/>
              <w:sz w:val="21"/>
              <w:szCs w:val="21"/>
            </w:rPr>
            <w:fldChar w:fldCharType="end"/>
          </w:r>
          <w:r>
            <w:rPr>
              <w:rFonts w:hint="eastAsia"/>
              <w:sz w:val="21"/>
              <w:szCs w:val="21"/>
            </w:rPr>
            <w:fldChar w:fldCharType="end"/>
          </w:r>
        </w:p>
        <w:p w14:paraId="0FAA057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"_Toc175772236"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_Toc175772236 \h</w:instrText>
          </w:r>
          <w:r>
            <w:rPr>
              <w:rFonts w:hint="eastAsia"/>
              <w:sz w:val="21"/>
              <w:szCs w:val="21"/>
            </w:rPr>
            <w:instrText xml:space="preserve"> </w:instrText>
          </w:r>
          <w:r>
            <w:rPr>
              <w:rFonts w:hint="eastAsia"/>
              <w:sz w:val="21"/>
              <w:szCs w:val="21"/>
            </w:rPr>
            <w:fldChar w:fldCharType="separate"/>
          </w:r>
          <w:r>
            <w:rPr>
              <w:rFonts w:hint="eastAsia"/>
              <w:sz w:val="21"/>
              <w:szCs w:val="21"/>
            </w:rPr>
            <w:t>26</w:t>
          </w:r>
          <w:r>
            <w:rPr>
              <w:rFonts w:hint="eastAsia"/>
              <w:sz w:val="21"/>
              <w:szCs w:val="21"/>
            </w:rPr>
            <w:fldChar w:fldCharType="end"/>
          </w:r>
          <w:r>
            <w:rPr>
              <w:rFonts w:hint="eastAsia"/>
              <w:sz w:val="21"/>
              <w:szCs w:val="21"/>
            </w:rPr>
            <w:fldChar w:fldCharType="end"/>
          </w:r>
        </w:p>
        <w:p w14:paraId="08A15A0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"_Toc175772237"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_Toc175772237 \h</w:instrText>
          </w:r>
          <w:r>
            <w:rPr>
              <w:rFonts w:hint="eastAsia"/>
              <w:sz w:val="21"/>
              <w:szCs w:val="21"/>
            </w:rPr>
            <w:instrText xml:space="preserve"> </w:instrText>
          </w:r>
          <w:r>
            <w:rPr>
              <w:rFonts w:hint="eastAsia"/>
              <w:sz w:val="21"/>
              <w:szCs w:val="21"/>
            </w:rPr>
            <w:fldChar w:fldCharType="separate"/>
          </w:r>
          <w:r>
            <w:rPr>
              <w:rFonts w:hint="eastAsia"/>
              <w:sz w:val="21"/>
              <w:szCs w:val="21"/>
            </w:rPr>
            <w:t>27</w:t>
          </w:r>
          <w:r>
            <w:rPr>
              <w:rFonts w:hint="eastAsia"/>
              <w:sz w:val="21"/>
              <w:szCs w:val="21"/>
            </w:rPr>
            <w:fldChar w:fldCharType="end"/>
          </w:r>
          <w:r>
            <w:rPr>
              <w:rFonts w:hint="eastAsia"/>
              <w:sz w:val="21"/>
              <w:szCs w:val="21"/>
            </w:rPr>
            <w:fldChar w:fldCharType="end"/>
          </w:r>
        </w:p>
        <w:p w14:paraId="3107EC0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"_Toc175772238"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_Toc175772238 \h</w:instrText>
          </w:r>
          <w:r>
            <w:rPr>
              <w:rFonts w:hint="eastAsia"/>
              <w:sz w:val="21"/>
              <w:szCs w:val="21"/>
            </w:rPr>
            <w:instrText xml:space="preserve"> </w:instrText>
          </w:r>
          <w:r>
            <w:rPr>
              <w:rFonts w:hint="eastAsia"/>
              <w:sz w:val="21"/>
              <w:szCs w:val="21"/>
            </w:rPr>
            <w:fldChar w:fldCharType="separate"/>
          </w:r>
          <w:r>
            <w:rPr>
              <w:rFonts w:hint="eastAsia"/>
              <w:sz w:val="21"/>
              <w:szCs w:val="21"/>
            </w:rPr>
            <w:t>29</w:t>
          </w:r>
          <w:r>
            <w:rPr>
              <w:rFonts w:hint="eastAsia"/>
              <w:sz w:val="21"/>
              <w:szCs w:val="21"/>
            </w:rPr>
            <w:fldChar w:fldCharType="end"/>
          </w:r>
          <w:r>
            <w:rPr>
              <w:rFonts w:hint="eastAsia"/>
              <w:sz w:val="21"/>
              <w:szCs w:val="21"/>
            </w:rPr>
            <w:fldChar w:fldCharType="end"/>
          </w:r>
        </w:p>
        <w:p w14:paraId="17F5A8F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"_Toc175772239"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_Toc175772239 \h</w:instrText>
          </w:r>
          <w:r>
            <w:rPr>
              <w:rFonts w:hint="eastAsia"/>
              <w:sz w:val="21"/>
              <w:szCs w:val="21"/>
            </w:rPr>
            <w:instrText xml:space="preserve"> </w:instrText>
          </w:r>
          <w:r>
            <w:rPr>
              <w:rFonts w:hint="eastAsia"/>
              <w:sz w:val="21"/>
              <w:szCs w:val="21"/>
            </w:rPr>
            <w:fldChar w:fldCharType="separate"/>
          </w:r>
          <w:r>
            <w:rPr>
              <w:rFonts w:hint="eastAsia"/>
              <w:sz w:val="21"/>
              <w:szCs w:val="21"/>
            </w:rPr>
            <w:t>29</w:t>
          </w:r>
          <w:r>
            <w:rPr>
              <w:rFonts w:hint="eastAsia"/>
              <w:sz w:val="21"/>
              <w:szCs w:val="21"/>
            </w:rPr>
            <w:fldChar w:fldCharType="end"/>
          </w:r>
          <w:r>
            <w:rPr>
              <w:rFonts w:hint="eastAsia"/>
              <w:sz w:val="21"/>
              <w:szCs w:val="21"/>
            </w:rPr>
            <w:fldChar w:fldCharType="end"/>
          </w:r>
        </w:p>
        <w:p w14:paraId="465F29C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"_Toc175772240"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_Toc175772240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4BD367C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"_Toc175772241"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w:t>
          </w:r>
          <w:r>
            <w:rPr>
              <w:rStyle w:val="18"/>
              <w:rFonts w:hint="eastAsia" w:cstheme="minorEastAsia"/>
              <w:sz w:val="21"/>
              <w:szCs w:val="21"/>
              <w:lang w:eastAsia="zh-CN"/>
            </w:rPr>
            <w:t>保证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_Toc175772241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0842048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"_Toc175772242" </w:instrText>
          </w:r>
          <w:r>
            <w:fldChar w:fldCharType="separate"/>
          </w:r>
          <w:r>
            <w:rPr>
              <w:rStyle w:val="18"/>
              <w:rFonts w:hint="eastAsia" w:cstheme="minorEastAsia"/>
              <w:kern w:val="10"/>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_Toc175772242 \h</w:instrText>
          </w:r>
          <w:r>
            <w:rPr>
              <w:rFonts w:hint="eastAsia"/>
              <w:sz w:val="21"/>
              <w:szCs w:val="21"/>
            </w:rPr>
            <w:instrText xml:space="preserve"> </w:instrText>
          </w:r>
          <w:r>
            <w:rPr>
              <w:rFonts w:hint="eastAsia"/>
              <w:sz w:val="21"/>
              <w:szCs w:val="21"/>
            </w:rPr>
            <w:fldChar w:fldCharType="separate"/>
          </w:r>
          <w:r>
            <w:rPr>
              <w:rFonts w:hint="eastAsia"/>
              <w:sz w:val="21"/>
              <w:szCs w:val="21"/>
            </w:rPr>
            <w:t>31</w:t>
          </w:r>
          <w:r>
            <w:rPr>
              <w:rFonts w:hint="eastAsia"/>
              <w:sz w:val="21"/>
              <w:szCs w:val="21"/>
            </w:rPr>
            <w:fldChar w:fldCharType="end"/>
          </w:r>
          <w:r>
            <w:rPr>
              <w:rFonts w:hint="eastAsia"/>
              <w:sz w:val="21"/>
              <w:szCs w:val="21"/>
            </w:rPr>
            <w:fldChar w:fldCharType="end"/>
          </w:r>
        </w:p>
        <w:p w14:paraId="67B3AB5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"_Toc175772243" </w:instrText>
          </w:r>
          <w:r>
            <w:fldChar w:fldCharType="separate"/>
          </w:r>
          <w:r>
            <w:rPr>
              <w:rStyle w:val="18"/>
              <w:rFonts w:hint="eastAsia" w:cstheme="minorEastAsia"/>
              <w:kern w:val="10"/>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_Toc175772243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72C0363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"_Toc175772244"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_Toc175772244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52EBC1A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"_Toc175772245"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_Toc175772245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3970106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"_Toc175772246"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_Toc175772246 \h</w:instrText>
          </w:r>
          <w:r>
            <w:rPr>
              <w:rFonts w:hint="eastAsia"/>
              <w:sz w:val="21"/>
              <w:szCs w:val="21"/>
            </w:rPr>
            <w:instrText xml:space="preserve"> </w:instrText>
          </w:r>
          <w:r>
            <w:rPr>
              <w:rFonts w:hint="eastAsia"/>
              <w:sz w:val="21"/>
              <w:szCs w:val="21"/>
            </w:rPr>
            <w:fldChar w:fldCharType="separate"/>
          </w:r>
          <w:r>
            <w:rPr>
              <w:rFonts w:hint="eastAsia"/>
              <w:sz w:val="21"/>
              <w:szCs w:val="21"/>
            </w:rPr>
            <w:t>34</w:t>
          </w:r>
          <w:r>
            <w:rPr>
              <w:rFonts w:hint="eastAsia"/>
              <w:sz w:val="21"/>
              <w:szCs w:val="21"/>
            </w:rPr>
            <w:fldChar w:fldCharType="end"/>
          </w:r>
          <w:r>
            <w:rPr>
              <w:rFonts w:hint="eastAsia"/>
              <w:sz w:val="21"/>
              <w:szCs w:val="21"/>
            </w:rPr>
            <w:fldChar w:fldCharType="end"/>
          </w:r>
        </w:p>
        <w:p w14:paraId="1B334F1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"_Toc175772247"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_Toc175772247 \h</w:instrText>
          </w:r>
          <w:r>
            <w:rPr>
              <w:rFonts w:hint="eastAsia"/>
              <w:sz w:val="21"/>
              <w:szCs w:val="21"/>
            </w:rPr>
            <w:instrText xml:space="preserve"> </w:instrText>
          </w:r>
          <w:r>
            <w:rPr>
              <w:rFonts w:hint="eastAsia"/>
              <w:sz w:val="21"/>
              <w:szCs w:val="21"/>
            </w:rPr>
            <w:fldChar w:fldCharType="separate"/>
          </w:r>
          <w:r>
            <w:rPr>
              <w:rFonts w:hint="eastAsia"/>
              <w:sz w:val="21"/>
              <w:szCs w:val="21"/>
            </w:rPr>
            <w:t>34</w:t>
          </w:r>
          <w:r>
            <w:rPr>
              <w:rFonts w:hint="eastAsia"/>
              <w:sz w:val="21"/>
              <w:szCs w:val="21"/>
            </w:rPr>
            <w:fldChar w:fldCharType="end"/>
          </w:r>
          <w:r>
            <w:rPr>
              <w:rFonts w:hint="eastAsia"/>
              <w:sz w:val="21"/>
              <w:szCs w:val="21"/>
            </w:rPr>
            <w:fldChar w:fldCharType="end"/>
          </w:r>
        </w:p>
        <w:p w14:paraId="1A6DD3E3">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"_Toc175772248" </w:instrText>
          </w:r>
          <w:r>
            <w:fldChar w:fldCharType="separate"/>
          </w:r>
          <w:r>
            <w:rPr>
              <w:rStyle w:val="18"/>
              <w:rFonts w:hint="eastAsia" w:ascii="宋体" w:hAnsi="宋体"/>
              <w:sz w:val="21"/>
              <w:szCs w:val="21"/>
              <w:lang w:eastAsia="zh-CN"/>
            </w:rPr>
            <w:t>第三部分 专用合同条款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_Toc175772248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36</w:t>
          </w:r>
          <w:r>
            <w:rPr>
              <w:rFonts w:hint="eastAsia" w:ascii="宋体" w:hAnsi="宋体"/>
              <w:sz w:val="21"/>
              <w:szCs w:val="21"/>
            </w:rPr>
            <w:fldChar w:fldCharType="end"/>
          </w:r>
          <w:r>
            <w:rPr>
              <w:rFonts w:hint="eastAsia" w:ascii="宋体" w:hAnsi="宋体"/>
              <w:sz w:val="21"/>
              <w:szCs w:val="21"/>
            </w:rPr>
            <w:fldChar w:fldCharType="end"/>
          </w:r>
        </w:p>
        <w:p w14:paraId="02667D9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"_Toc175772249" </w:instrText>
          </w:r>
          <w:r>
            <w:fldChar w:fldCharType="separate"/>
          </w:r>
          <w:r>
            <w:rPr>
              <w:rStyle w:val="18"/>
              <w:rFonts w:hint="eastAsia" w:cstheme="minorEastAsia"/>
              <w:sz w:val="21"/>
              <w:szCs w:val="21"/>
              <w:lang w:eastAsia="zh-CN"/>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_Toc175772249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30ECC05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"_Toc175772250" </w:instrText>
          </w:r>
          <w:r>
            <w:fldChar w:fldCharType="separate"/>
          </w:r>
          <w:r>
            <w:rPr>
              <w:rStyle w:val="18"/>
              <w:rFonts w:hint="eastAsia" w:cstheme="minorEastAsia"/>
              <w:sz w:val="21"/>
              <w:szCs w:val="21"/>
              <w:lang w:eastAsia="zh-CN"/>
            </w:rPr>
            <w:t>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_Toc175772250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059B326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"_Toc175772251" </w:instrText>
          </w:r>
          <w:r>
            <w:fldChar w:fldCharType="separate"/>
          </w:r>
          <w:r>
            <w:rPr>
              <w:rStyle w:val="18"/>
              <w:rFonts w:hint="eastAsia" w:cstheme="minorEastAsia"/>
              <w:sz w:val="21"/>
              <w:szCs w:val="21"/>
              <w:lang w:eastAsia="zh-CN"/>
            </w:rPr>
            <w:t>3</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_Toc175772251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2DE8983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"_Toc175772252"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_Toc175772252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4F2556A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"_Toc175772253"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_Toc175772253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667AB74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"_Toc175772254"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_Toc175772254 \h</w:instrText>
          </w:r>
          <w:r>
            <w:rPr>
              <w:rFonts w:hint="eastAsia"/>
              <w:sz w:val="21"/>
              <w:szCs w:val="21"/>
            </w:rPr>
            <w:instrText xml:space="preserve"> </w:instrText>
          </w:r>
          <w:r>
            <w:rPr>
              <w:rFonts w:hint="eastAsia"/>
              <w:sz w:val="21"/>
              <w:szCs w:val="21"/>
            </w:rPr>
            <w:fldChar w:fldCharType="separate"/>
          </w:r>
          <w:r>
            <w:rPr>
              <w:rFonts w:hint="eastAsia"/>
              <w:sz w:val="21"/>
              <w:szCs w:val="21"/>
            </w:rPr>
            <w:t>36</w:t>
          </w:r>
          <w:r>
            <w:rPr>
              <w:rFonts w:hint="eastAsia"/>
              <w:sz w:val="21"/>
              <w:szCs w:val="21"/>
            </w:rPr>
            <w:fldChar w:fldCharType="end"/>
          </w:r>
          <w:r>
            <w:rPr>
              <w:rFonts w:hint="eastAsia"/>
              <w:sz w:val="21"/>
              <w:szCs w:val="21"/>
            </w:rPr>
            <w:fldChar w:fldCharType="end"/>
          </w:r>
        </w:p>
        <w:p w14:paraId="0CD64B3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"_Toc175772255"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_Toc175772255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140FE20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"_Toc175772256" </w:instrText>
          </w:r>
          <w:r>
            <w:fldChar w:fldCharType="separate"/>
          </w:r>
          <w:r>
            <w:rPr>
              <w:rStyle w:val="18"/>
              <w:rFonts w:hint="eastAsia" w:cstheme="minorEastAsia"/>
              <w:sz w:val="21"/>
              <w:szCs w:val="21"/>
              <w:lang w:eastAsia="zh-CN"/>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_Toc175772256 \h</w:instrText>
          </w:r>
          <w:r>
            <w:rPr>
              <w:rFonts w:hint="eastAsia"/>
              <w:sz w:val="21"/>
              <w:szCs w:val="21"/>
            </w:rPr>
            <w:instrText xml:space="preserve"> </w:instrText>
          </w:r>
          <w:r>
            <w:rPr>
              <w:rFonts w:hint="eastAsia"/>
              <w:sz w:val="21"/>
              <w:szCs w:val="21"/>
            </w:rPr>
            <w:fldChar w:fldCharType="separate"/>
          </w:r>
          <w:r>
            <w:rPr>
              <w:rFonts w:hint="eastAsia"/>
              <w:sz w:val="21"/>
              <w:szCs w:val="21"/>
            </w:rPr>
            <w:t>40</w:t>
          </w:r>
          <w:r>
            <w:rPr>
              <w:rFonts w:hint="eastAsia"/>
              <w:sz w:val="21"/>
              <w:szCs w:val="21"/>
            </w:rPr>
            <w:fldChar w:fldCharType="end"/>
          </w:r>
          <w:r>
            <w:rPr>
              <w:rFonts w:hint="eastAsia"/>
              <w:sz w:val="21"/>
              <w:szCs w:val="21"/>
            </w:rPr>
            <w:fldChar w:fldCharType="end"/>
          </w:r>
        </w:p>
        <w:p w14:paraId="405E319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"_Toc175772257" </w:instrText>
          </w:r>
          <w:r>
            <w:fldChar w:fldCharType="separate"/>
          </w:r>
          <w:r>
            <w:rPr>
              <w:rStyle w:val="18"/>
              <w:rFonts w:hint="eastAsia" w:cstheme="minorEastAsia"/>
              <w:sz w:val="21"/>
              <w:szCs w:val="21"/>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安全文明施工管理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_Toc175772257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78A0E63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"_Toc175772258"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_Toc175772258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4FAC919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"_Toc175772259" </w:instrText>
          </w:r>
          <w:r>
            <w:fldChar w:fldCharType="separate"/>
          </w:r>
          <w:r>
            <w:rPr>
              <w:rStyle w:val="18"/>
              <w:rFonts w:hint="eastAsia" w:cstheme="minorEastAsia"/>
              <w:sz w:val="21"/>
              <w:szCs w:val="21"/>
              <w:lang w:eastAsia="zh-CN"/>
            </w:rPr>
            <w:t>11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_Toc175772259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2A5A1DF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"_Toc175772260"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_Toc175772260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5E3BFA2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"_Toc175772261"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_Toc175772261 \h</w:instrText>
          </w:r>
          <w:r>
            <w:rPr>
              <w:rFonts w:hint="eastAsia"/>
              <w:sz w:val="21"/>
              <w:szCs w:val="21"/>
            </w:rPr>
            <w:instrText xml:space="preserve"> </w:instrText>
          </w:r>
          <w:r>
            <w:rPr>
              <w:rFonts w:hint="eastAsia"/>
              <w:sz w:val="21"/>
              <w:szCs w:val="21"/>
            </w:rPr>
            <w:fldChar w:fldCharType="separate"/>
          </w:r>
          <w:r>
            <w:rPr>
              <w:rFonts w:hint="eastAsia"/>
              <w:sz w:val="21"/>
              <w:szCs w:val="21"/>
            </w:rPr>
            <w:t>41</w:t>
          </w:r>
          <w:r>
            <w:rPr>
              <w:rFonts w:hint="eastAsia"/>
              <w:sz w:val="21"/>
              <w:szCs w:val="21"/>
            </w:rPr>
            <w:fldChar w:fldCharType="end"/>
          </w:r>
          <w:r>
            <w:rPr>
              <w:rFonts w:hint="eastAsia"/>
              <w:sz w:val="21"/>
              <w:szCs w:val="21"/>
            </w:rPr>
            <w:fldChar w:fldCharType="end"/>
          </w:r>
        </w:p>
        <w:p w14:paraId="3DF85BD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"_Toc175772262"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_Toc175772262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7BE857B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"_Toc175772263"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_Toc175772263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1B79F70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"_Toc175772264"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_Toc175772264 \h</w:instrText>
          </w:r>
          <w:r>
            <w:rPr>
              <w:rFonts w:hint="eastAsia"/>
              <w:sz w:val="21"/>
              <w:szCs w:val="21"/>
            </w:rPr>
            <w:instrText xml:space="preserve"> </w:instrText>
          </w:r>
          <w:r>
            <w:rPr>
              <w:rFonts w:hint="eastAsia"/>
              <w:sz w:val="21"/>
              <w:szCs w:val="21"/>
            </w:rPr>
            <w:fldChar w:fldCharType="separate"/>
          </w:r>
          <w:r>
            <w:rPr>
              <w:rFonts w:hint="eastAsia"/>
              <w:sz w:val="21"/>
              <w:szCs w:val="21"/>
            </w:rPr>
            <w:t>47</w:t>
          </w:r>
          <w:r>
            <w:rPr>
              <w:rFonts w:hint="eastAsia"/>
              <w:sz w:val="21"/>
              <w:szCs w:val="21"/>
            </w:rPr>
            <w:fldChar w:fldCharType="end"/>
          </w:r>
          <w:r>
            <w:rPr>
              <w:rFonts w:hint="eastAsia"/>
              <w:sz w:val="21"/>
              <w:szCs w:val="21"/>
            </w:rPr>
            <w:fldChar w:fldCharType="end"/>
          </w:r>
        </w:p>
        <w:p w14:paraId="3107730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"_Toc175772265"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_Toc175772265 \h</w:instrText>
          </w:r>
          <w:r>
            <w:rPr>
              <w:rFonts w:hint="eastAsia"/>
              <w:sz w:val="21"/>
              <w:szCs w:val="21"/>
            </w:rPr>
            <w:instrText xml:space="preserve"> </w:instrText>
          </w:r>
          <w:r>
            <w:rPr>
              <w:rFonts w:hint="eastAsia"/>
              <w:sz w:val="21"/>
              <w:szCs w:val="21"/>
            </w:rPr>
            <w:fldChar w:fldCharType="separate"/>
          </w:r>
          <w:r>
            <w:rPr>
              <w:rFonts w:hint="eastAsia"/>
              <w:sz w:val="21"/>
              <w:szCs w:val="21"/>
            </w:rPr>
            <w:t>48</w:t>
          </w:r>
          <w:r>
            <w:rPr>
              <w:rFonts w:hint="eastAsia"/>
              <w:sz w:val="21"/>
              <w:szCs w:val="21"/>
            </w:rPr>
            <w:fldChar w:fldCharType="end"/>
          </w:r>
          <w:r>
            <w:rPr>
              <w:rFonts w:hint="eastAsia"/>
              <w:sz w:val="21"/>
              <w:szCs w:val="21"/>
            </w:rPr>
            <w:fldChar w:fldCharType="end"/>
          </w:r>
        </w:p>
        <w:p w14:paraId="05D4D46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"_Toc175772266"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_Toc175772266 \h</w:instrText>
          </w:r>
          <w:r>
            <w:rPr>
              <w:rFonts w:hint="eastAsia"/>
              <w:sz w:val="21"/>
              <w:szCs w:val="21"/>
            </w:rPr>
            <w:instrText xml:space="preserve"> </w:instrText>
          </w:r>
          <w:r>
            <w:rPr>
              <w:rFonts w:hint="eastAsia"/>
              <w:sz w:val="21"/>
              <w:szCs w:val="21"/>
            </w:rPr>
            <w:fldChar w:fldCharType="separate"/>
          </w:r>
          <w:r>
            <w:rPr>
              <w:rFonts w:hint="eastAsia"/>
              <w:sz w:val="21"/>
              <w:szCs w:val="21"/>
            </w:rPr>
            <w:t>49</w:t>
          </w:r>
          <w:r>
            <w:rPr>
              <w:rFonts w:hint="eastAsia"/>
              <w:sz w:val="21"/>
              <w:szCs w:val="21"/>
            </w:rPr>
            <w:fldChar w:fldCharType="end"/>
          </w:r>
          <w:r>
            <w:rPr>
              <w:rFonts w:hint="eastAsia"/>
              <w:sz w:val="21"/>
              <w:szCs w:val="21"/>
            </w:rPr>
            <w:fldChar w:fldCharType="end"/>
          </w:r>
        </w:p>
        <w:p w14:paraId="50E5F6E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"_Toc175772267"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履约保</w:t>
          </w:r>
          <w:r>
            <w:rPr>
              <w:rStyle w:val="18"/>
              <w:rFonts w:hint="eastAsia" w:cstheme="minorEastAsia"/>
              <w:sz w:val="21"/>
              <w:szCs w:val="21"/>
              <w:lang w:eastAsia="zh-CN"/>
            </w:rPr>
            <w:t>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_Toc175772267 \h</w:instrText>
          </w:r>
          <w:r>
            <w:rPr>
              <w:rFonts w:hint="eastAsia"/>
              <w:sz w:val="21"/>
              <w:szCs w:val="21"/>
            </w:rPr>
            <w:instrText xml:space="preserve"> </w:instrText>
          </w:r>
          <w:r>
            <w:rPr>
              <w:rFonts w:hint="eastAsia"/>
              <w:sz w:val="21"/>
              <w:szCs w:val="21"/>
            </w:rPr>
            <w:fldChar w:fldCharType="separate"/>
          </w:r>
          <w:r>
            <w:rPr>
              <w:rFonts w:hint="eastAsia"/>
              <w:sz w:val="21"/>
              <w:szCs w:val="21"/>
            </w:rPr>
            <w:t>49</w:t>
          </w:r>
          <w:r>
            <w:rPr>
              <w:rFonts w:hint="eastAsia"/>
              <w:sz w:val="21"/>
              <w:szCs w:val="21"/>
            </w:rPr>
            <w:fldChar w:fldCharType="end"/>
          </w:r>
          <w:r>
            <w:rPr>
              <w:rFonts w:hint="eastAsia"/>
              <w:sz w:val="21"/>
              <w:szCs w:val="21"/>
            </w:rPr>
            <w:fldChar w:fldCharType="end"/>
          </w:r>
        </w:p>
        <w:p w14:paraId="213D89D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"_Toc175772268" </w:instrText>
          </w:r>
          <w:r>
            <w:fldChar w:fldCharType="separate"/>
          </w:r>
          <w:r>
            <w:rPr>
              <w:rStyle w:val="18"/>
              <w:rFonts w:hint="eastAsia" w:cstheme="minorEastAsia"/>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_Toc175772268 \h</w:instrText>
          </w:r>
          <w:r>
            <w:rPr>
              <w:rFonts w:hint="eastAsia"/>
              <w:sz w:val="21"/>
              <w:szCs w:val="21"/>
            </w:rPr>
            <w:instrText xml:space="preserve"> </w:instrText>
          </w:r>
          <w:r>
            <w:rPr>
              <w:rFonts w:hint="eastAsia"/>
              <w:sz w:val="21"/>
              <w:szCs w:val="21"/>
            </w:rPr>
            <w:fldChar w:fldCharType="separate"/>
          </w:r>
          <w:r>
            <w:rPr>
              <w:rFonts w:hint="eastAsia"/>
              <w:sz w:val="21"/>
              <w:szCs w:val="21"/>
            </w:rPr>
            <w:t>49</w:t>
          </w:r>
          <w:r>
            <w:rPr>
              <w:rFonts w:hint="eastAsia"/>
              <w:sz w:val="21"/>
              <w:szCs w:val="21"/>
            </w:rPr>
            <w:fldChar w:fldCharType="end"/>
          </w:r>
          <w:r>
            <w:rPr>
              <w:rFonts w:hint="eastAsia"/>
              <w:sz w:val="21"/>
              <w:szCs w:val="21"/>
            </w:rPr>
            <w:fldChar w:fldCharType="end"/>
          </w:r>
        </w:p>
        <w:p w14:paraId="50DE682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"_Toc175772269" </w:instrText>
          </w:r>
          <w:r>
            <w:fldChar w:fldCharType="separate"/>
          </w:r>
          <w:r>
            <w:rPr>
              <w:rStyle w:val="18"/>
              <w:rFonts w:hint="eastAsia" w:cstheme="minorEastAsia"/>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_Toc175772269 \h</w:instrText>
          </w:r>
          <w:r>
            <w:rPr>
              <w:rFonts w:hint="eastAsia"/>
              <w:sz w:val="21"/>
              <w:szCs w:val="21"/>
            </w:rPr>
            <w:instrText xml:space="preserve"> </w:instrText>
          </w:r>
          <w:r>
            <w:rPr>
              <w:rFonts w:hint="eastAsia"/>
              <w:sz w:val="21"/>
              <w:szCs w:val="21"/>
            </w:rPr>
            <w:fldChar w:fldCharType="separate"/>
          </w:r>
          <w:r>
            <w:rPr>
              <w:rFonts w:hint="eastAsia"/>
              <w:sz w:val="21"/>
              <w:szCs w:val="21"/>
            </w:rPr>
            <w:t>49</w:t>
          </w:r>
          <w:r>
            <w:rPr>
              <w:rFonts w:hint="eastAsia"/>
              <w:sz w:val="21"/>
              <w:szCs w:val="21"/>
            </w:rPr>
            <w:fldChar w:fldCharType="end"/>
          </w:r>
          <w:r>
            <w:rPr>
              <w:rFonts w:hint="eastAsia"/>
              <w:sz w:val="21"/>
              <w:szCs w:val="21"/>
            </w:rPr>
            <w:fldChar w:fldCharType="end"/>
          </w:r>
        </w:p>
        <w:p w14:paraId="7F4E98F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"_Toc175772270"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_Toc175772270 \h</w:instrText>
          </w:r>
          <w:r>
            <w:rPr>
              <w:rFonts w:hint="eastAsia"/>
              <w:sz w:val="21"/>
              <w:szCs w:val="21"/>
            </w:rPr>
            <w:instrText xml:space="preserve"> </w:instrText>
          </w:r>
          <w:r>
            <w:rPr>
              <w:rFonts w:hint="eastAsia"/>
              <w:sz w:val="21"/>
              <w:szCs w:val="21"/>
            </w:rPr>
            <w:fldChar w:fldCharType="separate"/>
          </w:r>
          <w:r>
            <w:rPr>
              <w:rFonts w:hint="eastAsia"/>
              <w:sz w:val="21"/>
              <w:szCs w:val="21"/>
            </w:rPr>
            <w:t>49</w:t>
          </w:r>
          <w:r>
            <w:rPr>
              <w:rFonts w:hint="eastAsia"/>
              <w:sz w:val="21"/>
              <w:szCs w:val="21"/>
            </w:rPr>
            <w:fldChar w:fldCharType="end"/>
          </w:r>
          <w:r>
            <w:rPr>
              <w:rFonts w:hint="eastAsia"/>
              <w:sz w:val="21"/>
              <w:szCs w:val="21"/>
            </w:rPr>
            <w:fldChar w:fldCharType="end"/>
          </w:r>
        </w:p>
        <w:p w14:paraId="054E9AF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"_Toc175772271"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_Toc175772271 \h</w:instrText>
          </w:r>
          <w:r>
            <w:rPr>
              <w:rFonts w:hint="eastAsia"/>
              <w:sz w:val="21"/>
              <w:szCs w:val="21"/>
            </w:rPr>
            <w:instrText xml:space="preserve"> </w:instrText>
          </w:r>
          <w:r>
            <w:rPr>
              <w:rFonts w:hint="eastAsia"/>
              <w:sz w:val="21"/>
              <w:szCs w:val="21"/>
            </w:rPr>
            <w:fldChar w:fldCharType="separate"/>
          </w:r>
          <w:r>
            <w:rPr>
              <w:rFonts w:hint="eastAsia"/>
              <w:sz w:val="21"/>
              <w:szCs w:val="21"/>
            </w:rPr>
            <w:t>49</w:t>
          </w:r>
          <w:r>
            <w:rPr>
              <w:rFonts w:hint="eastAsia"/>
              <w:sz w:val="21"/>
              <w:szCs w:val="21"/>
            </w:rPr>
            <w:fldChar w:fldCharType="end"/>
          </w:r>
          <w:r>
            <w:rPr>
              <w:rFonts w:hint="eastAsia"/>
              <w:sz w:val="21"/>
              <w:szCs w:val="21"/>
            </w:rPr>
            <w:fldChar w:fldCharType="end"/>
          </w:r>
        </w:p>
        <w:p w14:paraId="339CA75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"_Toc175772272"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_Toc175772272 \h</w:instrText>
          </w:r>
          <w:r>
            <w:rPr>
              <w:rFonts w:hint="eastAsia"/>
              <w:sz w:val="21"/>
              <w:szCs w:val="21"/>
            </w:rPr>
            <w:instrText xml:space="preserve"> </w:instrText>
          </w:r>
          <w:r>
            <w:rPr>
              <w:rFonts w:hint="eastAsia"/>
              <w:sz w:val="21"/>
              <w:szCs w:val="21"/>
            </w:rPr>
            <w:fldChar w:fldCharType="separate"/>
          </w:r>
          <w:r>
            <w:rPr>
              <w:rFonts w:hint="eastAsia"/>
              <w:sz w:val="21"/>
              <w:szCs w:val="21"/>
            </w:rPr>
            <w:t>54</w:t>
          </w:r>
          <w:r>
            <w:rPr>
              <w:rFonts w:hint="eastAsia"/>
              <w:sz w:val="21"/>
              <w:szCs w:val="21"/>
            </w:rPr>
            <w:fldChar w:fldCharType="end"/>
          </w:r>
          <w:r>
            <w:rPr>
              <w:rFonts w:hint="eastAsia"/>
              <w:sz w:val="21"/>
              <w:szCs w:val="21"/>
            </w:rPr>
            <w:fldChar w:fldCharType="end"/>
          </w:r>
        </w:p>
        <w:p w14:paraId="1BCD714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"_Toc175772273"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_Toc175772273 \h</w:instrText>
          </w:r>
          <w:r>
            <w:rPr>
              <w:rFonts w:hint="eastAsia"/>
              <w:sz w:val="21"/>
              <w:szCs w:val="21"/>
            </w:rPr>
            <w:instrText xml:space="preserve"> </w:instrText>
          </w:r>
          <w:r>
            <w:rPr>
              <w:rFonts w:hint="eastAsia"/>
              <w:sz w:val="21"/>
              <w:szCs w:val="21"/>
            </w:rPr>
            <w:fldChar w:fldCharType="separate"/>
          </w:r>
          <w:r>
            <w:rPr>
              <w:rFonts w:hint="eastAsia"/>
              <w:sz w:val="21"/>
              <w:szCs w:val="21"/>
            </w:rPr>
            <w:t>54</w:t>
          </w:r>
          <w:r>
            <w:rPr>
              <w:rFonts w:hint="eastAsia"/>
              <w:sz w:val="21"/>
              <w:szCs w:val="21"/>
            </w:rPr>
            <w:fldChar w:fldCharType="end"/>
          </w:r>
          <w:r>
            <w:rPr>
              <w:rFonts w:hint="eastAsia"/>
              <w:sz w:val="21"/>
              <w:szCs w:val="21"/>
            </w:rPr>
            <w:fldChar w:fldCharType="end"/>
          </w:r>
        </w:p>
        <w:p w14:paraId="337E959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"_Toc175772274" </w:instrText>
          </w:r>
          <w:r>
            <w:fldChar w:fldCharType="separate"/>
          </w:r>
          <w:r>
            <w:rPr>
              <w:rStyle w:val="18"/>
              <w:rFonts w:hint="eastAsia" w:cstheme="minorEastAsia"/>
              <w:sz w:val="21"/>
              <w:szCs w:val="21"/>
            </w:rPr>
            <w:t>26</w:t>
          </w:r>
          <w:r>
            <w:rPr>
              <w:rFonts w:hint="eastAsia" w:cstheme="minorBidi"/>
              <w:kern w:val="2"/>
              <w:sz w:val="21"/>
              <w:szCs w:val="21"/>
              <w:lang w:eastAsia="zh-CN" w:bidi="ar-SA"/>
              <w14:ligatures w14:val="standardContextual"/>
            </w:rPr>
            <w:tab/>
          </w:r>
          <w:r>
            <w:rPr>
              <w:rStyle w:val="18"/>
              <w:rFonts w:hint="eastAsia" w:cstheme="minorEastAsia"/>
              <w:sz w:val="21"/>
              <w:szCs w:val="21"/>
            </w:rPr>
            <w:t>合同附件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_Toc175772274 \h</w:instrText>
          </w:r>
          <w:r>
            <w:rPr>
              <w:rFonts w:hint="eastAsia"/>
              <w:sz w:val="21"/>
              <w:szCs w:val="21"/>
            </w:rPr>
            <w:instrText xml:space="preserve"> </w:instrText>
          </w:r>
          <w:r>
            <w:rPr>
              <w:rFonts w:hint="eastAsia"/>
              <w:sz w:val="21"/>
              <w:szCs w:val="21"/>
            </w:rPr>
            <w:fldChar w:fldCharType="separate"/>
          </w:r>
          <w:r>
            <w:rPr>
              <w:rFonts w:hint="eastAsia"/>
              <w:sz w:val="21"/>
              <w:szCs w:val="21"/>
            </w:rPr>
            <w:t>55</w:t>
          </w:r>
          <w:r>
            <w:rPr>
              <w:rFonts w:hint="eastAsia"/>
              <w:sz w:val="21"/>
              <w:szCs w:val="21"/>
            </w:rPr>
            <w:fldChar w:fldCharType="end"/>
          </w:r>
          <w:r>
            <w:rPr>
              <w:rFonts w:hint="eastAsia"/>
              <w:sz w:val="21"/>
              <w:szCs w:val="21"/>
            </w:rPr>
            <w:fldChar w:fldCharType="end"/>
          </w:r>
        </w:p>
        <w:p w14:paraId="1A3EA16C">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"_Toc175772275" </w:instrText>
          </w:r>
          <w:r>
            <w:fldChar w:fldCharType="separate"/>
          </w:r>
          <w:r>
            <w:rPr>
              <w:rStyle w:val="18"/>
              <w:rFonts w:hint="eastAsia" w:ascii="宋体" w:hAnsi="宋体" w:cstheme="minorEastAsia"/>
              <w:sz w:val="21"/>
              <w:szCs w:val="21"/>
              <w:lang w:eastAsia="zh-CN"/>
            </w:rPr>
            <w:t>附件1.工程量清单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6FC369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"_Toc175772276" </w:instrText>
          </w:r>
          <w:r>
            <w:fldChar w:fldCharType="separate"/>
          </w:r>
          <w:r>
            <w:rPr>
              <w:rStyle w:val="18"/>
              <w:rFonts w:hint="eastAsia" w:ascii="宋体" w:hAnsi="宋体" w:cstheme="minorEastAsia"/>
              <w:sz w:val="21"/>
              <w:szCs w:val="21"/>
              <w:lang w:eastAsia="zh-CN"/>
            </w:rPr>
            <w:t>附件2.甲供材料、机械设备明细表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36B709B8">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"_Toc175772277" </w:instrText>
          </w:r>
          <w:r>
            <w:fldChar w:fldCharType="separate"/>
          </w:r>
          <w:r>
            <w:rPr>
              <w:rStyle w:val="18"/>
              <w:rFonts w:hint="eastAsia" w:ascii="宋体" w:hAnsi="宋体" w:cstheme="minorEastAsia"/>
              <w:sz w:val="21"/>
              <w:szCs w:val="21"/>
              <w:lang w:eastAsia="zh-CN"/>
            </w:rPr>
            <w:t>附件3.拟投入本合同工程主要人员汇总表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26FCAA7E">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"_Toc175772278" </w:instrText>
          </w:r>
          <w:r>
            <w:fldChar w:fldCharType="separate"/>
          </w:r>
          <w:r>
            <w:rPr>
              <w:rStyle w:val="18"/>
              <w:rFonts w:hint="eastAsia" w:ascii="宋体" w:hAnsi="宋体" w:cstheme="minorEastAsia"/>
              <w:sz w:val="21"/>
              <w:szCs w:val="21"/>
              <w:lang w:eastAsia="zh-CN"/>
            </w:rPr>
            <w:t>附件4.拟进场机械设备一览表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462564A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"_Toc175772279" </w:instrText>
          </w:r>
          <w:r>
            <w:fldChar w:fldCharType="separate"/>
          </w:r>
          <w:r>
            <w:rPr>
              <w:rStyle w:val="18"/>
              <w:rFonts w:hint="eastAsia" w:ascii="宋体" w:hAnsi="宋体" w:cstheme="minorEastAsia"/>
              <w:sz w:val="21"/>
              <w:szCs w:val="21"/>
              <w:lang w:eastAsia="zh-CN"/>
            </w:rPr>
            <w:t>附件5.安全管理协议书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_Toc175772279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23938CC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"_Toc175772280" </w:instrText>
          </w:r>
          <w:r>
            <w:fldChar w:fldCharType="separate"/>
          </w:r>
          <w:r>
            <w:rPr>
              <w:rStyle w:val="18"/>
              <w:rFonts w:hint="eastAsia" w:ascii="宋体" w:hAnsi="宋体" w:cstheme="minorEastAsia"/>
              <w:sz w:val="21"/>
              <w:szCs w:val="21"/>
              <w:lang w:eastAsia="zh-CN"/>
            </w:rPr>
            <w:t>附件6.廉政合同</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_Toc175772280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6E8C588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"_Toc175772281" </w:instrText>
          </w:r>
          <w:r>
            <w:fldChar w:fldCharType="separate"/>
          </w:r>
          <w:r>
            <w:rPr>
              <w:rStyle w:val="18"/>
              <w:rFonts w:hint="eastAsia" w:ascii="宋体" w:hAnsi="宋体" w:cstheme="minorEastAsia"/>
              <w:sz w:val="21"/>
              <w:szCs w:val="21"/>
              <w:lang w:eastAsia="zh-CN"/>
            </w:rPr>
            <w:t>附件7.履约授权管理协议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192E042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"_Toc175772282" </w:instrText>
          </w:r>
          <w:r>
            <w:fldChar w:fldCharType="separate"/>
          </w:r>
          <w:r>
            <w:rPr>
              <w:rStyle w:val="18"/>
              <w:rFonts w:hint="eastAsia" w:ascii="宋体" w:hAnsi="宋体" w:cstheme="minorEastAsia"/>
              <w:sz w:val="21"/>
              <w:szCs w:val="21"/>
              <w:lang w:eastAsia="zh-CN"/>
            </w:rPr>
            <w:t>附件8.工程项目施工质量管理协议书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1561E113">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"_Toc175772283" </w:instrText>
          </w:r>
          <w:r>
            <w:fldChar w:fldCharType="separate"/>
          </w:r>
          <w:r>
            <w:rPr>
              <w:rStyle w:val="18"/>
              <w:rFonts w:hint="eastAsia" w:ascii="宋体" w:hAnsi="宋体" w:cstheme="minorEastAsia"/>
              <w:sz w:val="21"/>
              <w:szCs w:val="21"/>
              <w:lang w:eastAsia="zh-CN"/>
            </w:rPr>
            <w:t>附件9.质量保修书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67046360">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"_Toc175772284" </w:instrText>
          </w:r>
          <w:r>
            <w:fldChar w:fldCharType="separate"/>
          </w:r>
          <w:r>
            <w:rPr>
              <w:rStyle w:val="18"/>
              <w:rFonts w:hint="eastAsia" w:ascii="宋体" w:hAnsi="宋体" w:cstheme="minorEastAsia"/>
              <w:sz w:val="21"/>
              <w:szCs w:val="21"/>
              <w:lang w:eastAsia="zh-CN"/>
            </w:rPr>
            <w:t>附件10.农民工工资管理协议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2E65530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"_Toc175772285" </w:instrText>
          </w:r>
          <w:r>
            <w:fldChar w:fldCharType="separate"/>
          </w:r>
          <w:r>
            <w:rPr>
              <w:rStyle w:val="18"/>
              <w:rFonts w:hint="eastAsia" w:ascii="宋体" w:hAnsi="宋体" w:cstheme="minorEastAsia"/>
              <w:sz w:val="21"/>
              <w:szCs w:val="21"/>
              <w:lang w:eastAsia="zh-CN"/>
            </w:rPr>
            <w:t>附件11.项目部合规权限告知书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002F4F1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"_Toc175772286" </w:instrText>
          </w:r>
          <w:r>
            <w:fldChar w:fldCharType="separate"/>
          </w:r>
          <w:r>
            <w:rPr>
              <w:rStyle w:val="18"/>
              <w:rFonts w:hint="eastAsia" w:ascii="宋体" w:hAnsi="宋体" w:cstheme="minorEastAsia"/>
              <w:sz w:val="21"/>
              <w:szCs w:val="21"/>
              <w:lang w:eastAsia="zh-CN"/>
            </w:rPr>
            <w:t>附件12.授权委托书（分包方）</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31FA28D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"_Toc175772287" </w:instrText>
          </w:r>
          <w:r>
            <w:fldChar w:fldCharType="separate"/>
          </w:r>
          <w:r>
            <w:rPr>
              <w:rStyle w:val="18"/>
              <w:rFonts w:hint="eastAsia" w:ascii="宋体" w:hAnsi="宋体" w:cstheme="minorEastAsia"/>
              <w:sz w:val="21"/>
              <w:szCs w:val="21"/>
              <w:lang w:eastAsia="zh-CN"/>
            </w:rPr>
            <w:t>附件13.农民工工资代发授权委托书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64FE2AEE">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"_Toc175772288" </w:instrText>
          </w:r>
          <w:r>
            <w:fldChar w:fldCharType="separate"/>
          </w:r>
          <w:r>
            <w:rPr>
              <w:rStyle w:val="18"/>
              <w:rFonts w:hint="eastAsia" w:ascii="宋体" w:hAnsi="宋体" w:cstheme="minorEastAsia"/>
              <w:sz w:val="21"/>
              <w:szCs w:val="21"/>
              <w:lang w:eastAsia="zh-CN"/>
            </w:rPr>
            <w:t>附件14.农民工当期工资支付完毕声明书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05C1DEB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"_Toc175772289" </w:instrText>
          </w:r>
          <w:r>
            <w:fldChar w:fldCharType="separate"/>
          </w:r>
          <w:r>
            <w:rPr>
              <w:rStyle w:val="18"/>
              <w:rFonts w:hint="eastAsia" w:ascii="宋体" w:hAnsi="宋体" w:cstheme="minorEastAsia"/>
              <w:sz w:val="21"/>
              <w:szCs w:val="21"/>
              <w:lang w:eastAsia="zh-CN"/>
            </w:rPr>
            <w:t>附件15.违约金扣款通知单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_Toc175772289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798A5F7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"_Toc175772290" </w:instrText>
          </w:r>
          <w:r>
            <w:fldChar w:fldCharType="separate"/>
          </w:r>
          <w:r>
            <w:rPr>
              <w:rStyle w:val="18"/>
              <w:rFonts w:hint="eastAsia" w:ascii="宋体" w:hAnsi="宋体" w:cstheme="minorEastAsia"/>
              <w:sz w:val="21"/>
              <w:szCs w:val="21"/>
              <w:lang w:eastAsia="zh-CN"/>
            </w:rPr>
            <w:t>附件16.签证工作内容记录单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_Toc175772290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55</w:t>
          </w:r>
          <w:r>
            <w:rPr>
              <w:rFonts w:hint="eastAsia" w:ascii="宋体" w:hAnsi="宋体"/>
              <w:sz w:val="21"/>
              <w:szCs w:val="21"/>
            </w:rPr>
            <w:fldChar w:fldCharType="end"/>
          </w:r>
          <w:r>
            <w:rPr>
              <w:rFonts w:hint="eastAsia" w:ascii="宋体" w:hAnsi="宋体"/>
              <w:sz w:val="21"/>
              <w:szCs w:val="21"/>
            </w:rPr>
            <w:fldChar w:fldCharType="end"/>
          </w:r>
        </w:p>
        <w:p w14:paraId="3D6E2DFF">
          <w:pPr>
            <w:pStyle w:val="10"/>
            <w:tabs>
              <w:tab w:val="right" w:leader="dot" w:pos="9628"/>
            </w:tabs>
            <w:spacing w:after="0" w:line="240" w:lineRule="auto"/>
            <w:jc w:val="both"/>
            <w:rPr>
              <w:rFonts w:hint="eastAsia" w:ascii="宋体" w:hAnsi="宋体"/>
              <w:sz w:val="21"/>
              <w:szCs w:val="21"/>
            </w:rPr>
          </w:pPr>
          <w:r>
            <w:rPr>
              <w:rFonts w:ascii="宋体" w:hAnsi="宋体"/>
              <w:sz w:val="21"/>
              <w:szCs w:val="21"/>
            </w:rPr>
            <w:fldChar w:fldCharType="end"/>
          </w:r>
        </w:p>
      </w:sdtContent>
    </w:sdt>
    <w:permEnd w:id="3"/>
    <w:p w14:paraId="3D6E2E00">
      <w:pPr>
        <w:kinsoku w:val="0"/>
        <w:spacing w:beforeAutospacing="1" w:after="0" w:afterAutospacing="1" w:line="360" w:lineRule="auto"/>
        <w:rPr>
          <w:rFonts w:hint="eastAsia" w:ascii="宋体" w:hAnsi="宋体"/>
          <w:b/>
          <w:sz w:val="30"/>
          <w:szCs w:val="30"/>
          <w:lang w:eastAsia="zh-CN"/>
        </w:rPr>
        <w:sectPr>
          <w:headerReference r:id="rId6" w:type="default"/>
          <w:footerReference r:id="rId7" w:type="default"/>
          <w:pgSz w:w="11906" w:h="16838"/>
          <w:pgMar w:top="1134" w:right="1134" w:bottom="1134" w:left="1134" w:header="851" w:footer="850" w:gutter="0"/>
          <w:pgNumType w:start="1"/>
          <w:cols w:space="720" w:num="1"/>
          <w:docGrid w:type="lines" w:linePitch="312" w:charSpace="0"/>
        </w:sectPr>
      </w:pPr>
    </w:p>
    <w:p w14:paraId="3D6E2E01">
      <w:pPr>
        <w:numPr>
          <w:ilvl w:val="0"/>
          <w:numId w:val="1"/>
        </w:numPr>
        <w:kinsoku w:val="0"/>
        <w:spacing w:line="360" w:lineRule="auto"/>
        <w:ind w:left="165" w:leftChars="75"/>
        <w:jc w:val="center"/>
        <w:outlineLvl w:val="0"/>
        <w:rPr>
          <w:rFonts w:hint="eastAsia" w:ascii="宋体" w:hAnsi="宋体"/>
          <w:b/>
          <w:sz w:val="32"/>
          <w:szCs w:val="32"/>
          <w:lang w:eastAsia="zh-CN"/>
        </w:rPr>
      </w:pPr>
      <w:bookmarkStart w:id="22" w:name="_Toc175772211"/>
      <w:r>
        <w:rPr>
          <w:rFonts w:hint="eastAsia" w:ascii="宋体" w:hAnsi="宋体"/>
          <w:b/>
          <w:sz w:val="32"/>
          <w:szCs w:val="32"/>
          <w:lang w:eastAsia="zh-CN"/>
        </w:rPr>
        <w:t>合同协议书</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D6E2E02">
      <w:pPr>
        <w:kinsoku w:val="0"/>
        <w:spacing w:after="0" w:line="360" w:lineRule="auto"/>
        <w:ind w:left="165" w:leftChars="75"/>
        <w:rPr>
          <w:rFonts w:hint="eastAsia" w:asciiTheme="minorEastAsia" w:hAnsiTheme="minorEastAsia" w:eastAsiaTheme="minorEastAsia" w:cstheme="minorEastAsia"/>
          <w:b/>
          <w:sz w:val="21"/>
          <w:szCs w:val="21"/>
          <w:lang w:eastAsia="zh-CN"/>
        </w:rPr>
      </w:pPr>
      <w:permStart w:id="4" w:edGrp="everyone"/>
      <w:r>
        <w:rPr>
          <w:rFonts w:hint="eastAsia" w:asciiTheme="minorEastAsia" w:hAnsiTheme="minorEastAsia" w:eastAsiaTheme="minorEastAsia" w:cstheme="minorEastAsia"/>
          <w:b/>
          <w:sz w:val="21"/>
          <w:szCs w:val="21"/>
          <w:lang w:eastAsia="zh-CN"/>
        </w:rPr>
        <w:t>甲方（全称）：中建路桥集团有限公司</w:t>
      </w:r>
    </w:p>
    <w:p w14:paraId="3D6E2E03">
      <w:pPr>
        <w:kinsoku w:val="0"/>
        <w:spacing w:after="0" w:line="360" w:lineRule="auto"/>
        <w:ind w:left="165" w:leftChars="7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乙方（全称）：</w:t>
      </w:r>
      <w:r>
        <w:rPr>
          <w:rFonts w:hint="eastAsia" w:asciiTheme="minorEastAsia" w:hAnsiTheme="minorEastAsia" w:eastAsiaTheme="minorEastAsia" w:cstheme="minorEastAsia"/>
          <w:b/>
          <w:sz w:val="21"/>
          <w:szCs w:val="21"/>
          <w:u w:val="single"/>
          <w:lang w:eastAsia="zh-CN"/>
        </w:rPr>
        <w:t xml:space="preserve">       </w:t>
      </w:r>
      <w:r>
        <w:rPr>
          <w:rFonts w:hint="eastAsia" w:asciiTheme="minorEastAsia" w:hAnsiTheme="minorEastAsia" w:eastAsiaTheme="minorEastAsia" w:cstheme="minorEastAsia"/>
          <w:b/>
          <w:sz w:val="21"/>
          <w:szCs w:val="21"/>
          <w:u w:val="single"/>
          <w:lang w:val="en-US" w:eastAsia="zh-CN"/>
        </w:rPr>
        <w:t xml:space="preserve">     </w:t>
      </w:r>
      <w:r>
        <w:rPr>
          <w:rFonts w:hint="eastAsia" w:asciiTheme="minorEastAsia" w:hAnsiTheme="minorEastAsia" w:eastAsiaTheme="minorEastAsia" w:cstheme="minorEastAsia"/>
          <w:b/>
          <w:sz w:val="21"/>
          <w:szCs w:val="21"/>
          <w:u w:val="single"/>
          <w:lang w:eastAsia="zh-CN"/>
        </w:rPr>
        <w:t xml:space="preserve">               </w:t>
      </w:r>
    </w:p>
    <w:p w14:paraId="3D6E2E04">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u w:val="single"/>
          <w:lang w:eastAsia="zh-CN"/>
        </w:rPr>
      </w:pPr>
      <w:bookmarkStart w:id="23" w:name="A1"/>
      <w:bookmarkEnd w:id="23"/>
      <w:r>
        <w:rPr>
          <w:rFonts w:hint="eastAsia" w:asciiTheme="minorEastAsia" w:hAnsiTheme="minorEastAsia" w:eastAsiaTheme="minorEastAsia" w:cstheme="minorEastAsia"/>
          <w:sz w:val="21"/>
          <w:szCs w:val="21"/>
          <w:lang w:eastAsia="zh-CN"/>
        </w:rPr>
        <w:t>根据《中华人民共和国民法典》、《中华人民共和国建筑法》、《中华人民共和国招标投标法》及有关法律规定，遵循平等、自愿、公平、诚信、互利的原则，经过友好协商就</w:t>
      </w:r>
      <w:r>
        <w:rPr>
          <w:rFonts w:hint="eastAsia" w:ascii="宋体" w:hAnsi="宋体"/>
          <w:sz w:val="21"/>
          <w:szCs w:val="21"/>
          <w:u w:val="single"/>
          <w:lang w:eastAsia="zh-CN"/>
        </w:rPr>
        <w:t>省道</w:t>
      </w:r>
      <w:r>
        <w:rPr>
          <w:rFonts w:hint="eastAsia" w:ascii="宋体" w:hAnsi="宋体"/>
          <w:sz w:val="21"/>
          <w:szCs w:val="21"/>
          <w:u w:val="single"/>
          <w:lang w:val="en-US" w:eastAsia="zh-CN"/>
        </w:rPr>
        <w:t>S</w:t>
      </w:r>
      <w:r>
        <w:rPr>
          <w:rFonts w:hint="eastAsia" w:ascii="宋体" w:hAnsi="宋体"/>
          <w:sz w:val="21"/>
          <w:szCs w:val="21"/>
          <w:u w:val="single"/>
          <w:lang w:eastAsia="zh-CN"/>
        </w:rPr>
        <w:t>341德州至昔阳公路獐獏乡至岗底段改建工程</w:t>
      </w:r>
      <w:r>
        <w:rPr>
          <w:rFonts w:hint="eastAsia" w:ascii="宋体" w:hAnsi="宋体"/>
          <w:sz w:val="21"/>
          <w:szCs w:val="21"/>
          <w:u w:val="single"/>
          <w:lang w:val="en-US" w:eastAsia="zh-CN"/>
        </w:rPr>
        <w:t>一标段</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z w:val="21"/>
          <w:szCs w:val="21"/>
          <w:u w:val="single"/>
          <w:lang w:val="en-US" w:eastAsia="zh-CN"/>
        </w:rPr>
        <w:t>绿化</w:t>
      </w:r>
      <w:r>
        <w:rPr>
          <w:rFonts w:hint="eastAsia" w:asciiTheme="minorEastAsia" w:hAnsiTheme="minorEastAsia" w:eastAsiaTheme="minorEastAsia" w:cstheme="minorEastAsia"/>
          <w:sz w:val="21"/>
          <w:szCs w:val="21"/>
          <w:u w:val="single"/>
          <w:lang w:eastAsia="zh-CN"/>
        </w:rPr>
        <w:t>专业分包</w:t>
      </w:r>
      <w:r>
        <w:rPr>
          <w:rFonts w:hint="eastAsia" w:asciiTheme="minorEastAsia" w:hAnsiTheme="minorEastAsia" w:eastAsiaTheme="minorEastAsia" w:cstheme="minorEastAsia"/>
          <w:sz w:val="21"/>
          <w:szCs w:val="21"/>
          <w:lang w:eastAsia="zh-CN"/>
        </w:rPr>
        <w:t>施工及有关事项协商一致，双方达成如下协议：</w:t>
      </w:r>
    </w:p>
    <w:p w14:paraId="3D6E2E05">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24" w:name="_Toc351203481"/>
      <w:bookmarkStart w:id="25" w:name="_Toc23003"/>
      <w:bookmarkStart w:id="26" w:name="_Toc101357394"/>
      <w:bookmarkStart w:id="27" w:name="_Toc13150"/>
      <w:bookmarkStart w:id="28" w:name="_Toc30819"/>
      <w:bookmarkStart w:id="29" w:name="_Toc2199"/>
      <w:bookmarkStart w:id="30" w:name="_Toc32083"/>
      <w:bookmarkStart w:id="31" w:name="_Toc101963470"/>
      <w:bookmarkStart w:id="32" w:name="_Toc21610"/>
      <w:bookmarkStart w:id="33" w:name="_Toc22494"/>
      <w:bookmarkStart w:id="34" w:name="_Toc4246"/>
      <w:bookmarkStart w:id="35" w:name="_Toc17748"/>
      <w:bookmarkStart w:id="36" w:name="_Toc2334"/>
      <w:bookmarkStart w:id="37" w:name="_Toc175772212"/>
      <w:bookmarkStart w:id="38" w:name="_Toc21439"/>
      <w:bookmarkStart w:id="39" w:name="_Toc8611"/>
      <w:bookmarkStart w:id="40" w:name="_Toc3651"/>
      <w:bookmarkStart w:id="41" w:name="_Toc1550"/>
      <w:bookmarkStart w:id="42" w:name="_Toc32504"/>
      <w:bookmarkStart w:id="43" w:name="_Toc28202"/>
      <w:bookmarkStart w:id="44" w:name="_Toc483"/>
      <w:bookmarkStart w:id="45" w:name="_Toc8865"/>
      <w:r>
        <w:rPr>
          <w:rFonts w:hint="eastAsia" w:asciiTheme="minorEastAsia" w:hAnsiTheme="minorEastAsia" w:eastAsiaTheme="minorEastAsia" w:cstheme="minorEastAsia"/>
          <w:b/>
          <w:sz w:val="21"/>
          <w:szCs w:val="21"/>
          <w:lang w:eastAsia="zh-CN"/>
        </w:rPr>
        <w:t>分包</w:t>
      </w:r>
      <w:r>
        <w:rPr>
          <w:rFonts w:hint="eastAsia" w:asciiTheme="minorEastAsia" w:hAnsiTheme="minorEastAsia" w:eastAsiaTheme="minorEastAsia" w:cstheme="minorEastAsia"/>
          <w:b/>
          <w:sz w:val="21"/>
          <w:szCs w:val="21"/>
        </w:rPr>
        <w:t>工程概况</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D6E2E06">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6" w:name="_Toc101357395"/>
      <w:r>
        <w:rPr>
          <w:rFonts w:hint="eastAsia" w:asciiTheme="minorEastAsia" w:hAnsiTheme="minorEastAsia" w:eastAsiaTheme="minorEastAsia" w:cstheme="minorEastAsia"/>
          <w:sz w:val="21"/>
          <w:szCs w:val="21"/>
          <w:lang w:eastAsia="zh-CN"/>
        </w:rPr>
        <w:t>工程名称：</w:t>
      </w:r>
      <w:bookmarkEnd w:id="46"/>
      <w:r>
        <w:rPr>
          <w:rFonts w:hint="eastAsia" w:asciiTheme="minorEastAsia" w:hAnsiTheme="minorEastAsia" w:eastAsiaTheme="minorEastAsia" w:cstheme="minorEastAsia"/>
          <w:sz w:val="21"/>
          <w:szCs w:val="21"/>
          <w:u w:val="single"/>
          <w:lang w:val="en-US" w:eastAsia="zh-CN"/>
        </w:rPr>
        <w:t>省道S341改建工程一标段绿化专业分包工程</w:t>
      </w:r>
    </w:p>
    <w:p w14:paraId="3D6E2E07">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7" w:name="_Toc101357396"/>
      <w:r>
        <w:rPr>
          <w:rFonts w:hint="eastAsia" w:asciiTheme="minorEastAsia" w:hAnsiTheme="minorEastAsia" w:eastAsiaTheme="minorEastAsia" w:cstheme="minorEastAsia"/>
          <w:sz w:val="21"/>
          <w:szCs w:val="21"/>
          <w:lang w:eastAsia="zh-CN"/>
        </w:rPr>
        <w:t>工程地点：</w:t>
      </w:r>
      <w:bookmarkEnd w:id="47"/>
      <w:r>
        <w:rPr>
          <w:rFonts w:hint="eastAsia" w:asciiTheme="minorEastAsia" w:hAnsiTheme="minorEastAsia" w:eastAsiaTheme="minorEastAsia" w:cstheme="minorEastAsia"/>
          <w:sz w:val="21"/>
          <w:szCs w:val="21"/>
          <w:u w:val="single"/>
          <w:lang w:eastAsia="zh-CN"/>
        </w:rPr>
        <w:t xml:space="preserve">  </w:t>
      </w:r>
      <w:r>
        <w:rPr>
          <w:rFonts w:hint="eastAsia" w:ascii="宋体" w:hAnsi="宋体"/>
          <w:sz w:val="21"/>
          <w:szCs w:val="21"/>
          <w:u w:val="single"/>
          <w:lang w:val="en-US" w:eastAsia="zh-CN"/>
        </w:rPr>
        <w:t>河北省邢台市北小庄乡赵沟村</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3D6E2E08">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8" w:name="_Toc101357397"/>
      <w:r>
        <w:rPr>
          <w:rFonts w:hint="eastAsia" w:asciiTheme="minorEastAsia" w:hAnsiTheme="minorEastAsia" w:eastAsiaTheme="minorEastAsia" w:cstheme="minorEastAsia"/>
          <w:sz w:val="21"/>
          <w:szCs w:val="21"/>
          <w:lang w:eastAsia="zh-CN"/>
        </w:rPr>
        <w:t>工程承包范围：</w:t>
      </w:r>
      <w:bookmarkEnd w:id="48"/>
      <w:r>
        <w:rPr>
          <w:rFonts w:hint="eastAsia" w:asciiTheme="minorEastAsia" w:hAnsiTheme="minorEastAsia" w:eastAsiaTheme="minorEastAsia" w:cstheme="minorEastAsia"/>
          <w:sz w:val="21"/>
          <w:szCs w:val="21"/>
          <w:u w:val="single"/>
          <w:lang w:val="en-US" w:eastAsia="zh-CN"/>
        </w:rPr>
        <w:t>项目全线绿化施工专业分包</w:t>
      </w:r>
    </w:p>
    <w:p w14:paraId="3D6E2E09">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w:t>
      </w:r>
      <w:r>
        <w:rPr>
          <w:rFonts w:hint="eastAsia" w:asciiTheme="minorEastAsia" w:hAnsiTheme="minorEastAsia" w:eastAsiaTheme="minorEastAsia" w:cstheme="minorEastAsia"/>
          <w:sz w:val="21"/>
          <w:szCs w:val="21"/>
          <w:lang w:eastAsia="zh-CN"/>
        </w:rPr>
        <w:t>建设单位或甲方要求新增或减少的工作内容。</w:t>
      </w:r>
    </w:p>
    <w:p w14:paraId="3D6E2E0A">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w:t>
      </w:r>
      <w:r>
        <w:rPr>
          <w:rFonts w:hint="eastAsia" w:asciiTheme="minorEastAsia" w:hAnsiTheme="minorEastAsia" w:eastAsiaTheme="minorEastAsia" w:cstheme="minorEastAsia"/>
          <w:sz w:val="21"/>
          <w:szCs w:val="21"/>
          <w:lang w:eastAsia="zh-CN"/>
        </w:rPr>
        <w:t>根据施工图、施工相关规范及施工技术方案所列的、隐含的、可以合理推断出的或按照惯例应由乙方完成的工作内容。</w:t>
      </w:r>
    </w:p>
    <w:p w14:paraId="3D6E2E0B">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w:t>
      </w:r>
      <w:r>
        <w:rPr>
          <w:rFonts w:hint="eastAsia" w:asciiTheme="minorEastAsia" w:hAnsiTheme="minorEastAsia" w:eastAsiaTheme="minorEastAsia" w:cstheme="minorEastAsia"/>
          <w:sz w:val="21"/>
          <w:szCs w:val="21"/>
          <w:lang w:eastAsia="zh-CN"/>
        </w:rPr>
        <w:t>建设单位或甲方指定的其它需乙方单位配合的工作内容。</w:t>
      </w:r>
    </w:p>
    <w:p w14:paraId="3D6E2E0C">
      <w:pPr>
        <w:numPr>
          <w:ilvl w:val="1"/>
          <w:numId w:val="2"/>
        </w:numPr>
        <w:kinsoku w:val="0"/>
        <w:spacing w:after="0" w:line="360" w:lineRule="auto"/>
        <w:ind w:left="330" w:leftChars="150"/>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bookmarkStart w:id="49" w:name="_Toc101357398"/>
      <w:r>
        <w:rPr>
          <w:rFonts w:hint="eastAsia" w:asciiTheme="minorEastAsia" w:hAnsiTheme="minorEastAsia" w:eastAsiaTheme="minorEastAsia" w:cstheme="minorEastAsia"/>
          <w:sz w:val="21"/>
          <w:szCs w:val="21"/>
          <w:lang w:eastAsia="zh-CN"/>
        </w:rPr>
        <w:t>工作界面划分：</w:t>
      </w:r>
      <w:bookmarkEnd w:id="49"/>
    </w:p>
    <w:p w14:paraId="24676964">
      <w:pPr>
        <w:numPr>
          <w:ilvl w:val="2"/>
          <w:numId w:val="2"/>
        </w:numPr>
        <w:spacing w:after="0" w:line="360" w:lineRule="auto"/>
        <w:ind w:left="330" w:leftChars="150"/>
        <w:jc w:val="both"/>
        <w:rPr>
          <w:rFonts w:hint="eastAsia" w:asciiTheme="minorEastAsia" w:hAnsiTheme="minorEastAsia" w:eastAsiaTheme="minorEastAsia" w:cstheme="minorEastAsia"/>
          <w:color w:val="FF0000"/>
          <w:sz w:val="21"/>
          <w:szCs w:val="21"/>
          <w:u w:val="single"/>
          <w:lang w:eastAsia="zh-CN"/>
        </w:rPr>
      </w:pPr>
      <w:r>
        <w:rPr>
          <w:rFonts w:hint="eastAsia" w:asciiTheme="minorEastAsia" w:hAnsiTheme="minorEastAsia" w:eastAsiaTheme="minorEastAsia" w:cstheme="minorEastAsia"/>
          <w:color w:val="FF0000"/>
          <w:sz w:val="21"/>
          <w:szCs w:val="21"/>
          <w:u w:val="single"/>
          <w:lang w:eastAsia="zh-CN"/>
        </w:rPr>
        <w:t>包括但不限于供货、运输、装卸车、施工，施工围挡的拆改；</w:t>
      </w:r>
    </w:p>
    <w:p w14:paraId="2E42F22E">
      <w:pPr>
        <w:numPr>
          <w:ilvl w:val="2"/>
          <w:numId w:val="2"/>
        </w:numPr>
        <w:spacing w:after="0" w:line="360" w:lineRule="auto"/>
        <w:ind w:left="330" w:leftChars="150"/>
        <w:jc w:val="both"/>
        <w:rPr>
          <w:rFonts w:hint="eastAsia" w:asciiTheme="minorEastAsia" w:hAnsiTheme="minorEastAsia" w:eastAsiaTheme="minorEastAsia" w:cstheme="minorEastAsia"/>
          <w:color w:val="FF0000"/>
          <w:sz w:val="21"/>
          <w:szCs w:val="21"/>
          <w:u w:val="single"/>
          <w:lang w:eastAsia="zh-CN"/>
        </w:rPr>
      </w:pPr>
      <w:r>
        <w:rPr>
          <w:rFonts w:hint="eastAsia" w:asciiTheme="minorEastAsia" w:hAnsiTheme="minorEastAsia" w:eastAsiaTheme="minorEastAsia" w:cstheme="minorEastAsia"/>
          <w:color w:val="FF0000"/>
          <w:sz w:val="21"/>
          <w:szCs w:val="21"/>
          <w:u w:val="single"/>
          <w:lang w:eastAsia="zh-CN"/>
        </w:rPr>
        <w:t>本工程缺陷责任期内的维护和养护工作，如出现苗木死亡需及时进行更换和补种，确保现场成品效果；</w:t>
      </w:r>
    </w:p>
    <w:p w14:paraId="59518D50">
      <w:pPr>
        <w:numPr>
          <w:ilvl w:val="2"/>
          <w:numId w:val="2"/>
        </w:numPr>
        <w:spacing w:after="0" w:line="360" w:lineRule="auto"/>
        <w:ind w:left="330" w:leftChars="150"/>
        <w:jc w:val="both"/>
        <w:rPr>
          <w:rFonts w:hint="eastAsia" w:asciiTheme="minorEastAsia" w:hAnsiTheme="minorEastAsia" w:eastAsiaTheme="minorEastAsia" w:cstheme="minorEastAsia"/>
          <w:color w:val="FF0000"/>
          <w:sz w:val="21"/>
          <w:szCs w:val="21"/>
          <w:u w:val="single"/>
          <w:lang w:eastAsia="zh-CN"/>
        </w:rPr>
      </w:pPr>
      <w:r>
        <w:rPr>
          <w:rFonts w:hint="eastAsia" w:asciiTheme="minorEastAsia" w:hAnsiTheme="minorEastAsia" w:eastAsiaTheme="minorEastAsia" w:cstheme="minorEastAsia"/>
          <w:color w:val="FF0000"/>
          <w:sz w:val="21"/>
          <w:szCs w:val="21"/>
          <w:u w:val="single"/>
          <w:lang w:eastAsia="zh-CN"/>
        </w:rPr>
        <w:t>本工程产生垃圾外运；</w:t>
      </w:r>
    </w:p>
    <w:p w14:paraId="7586D88D">
      <w:pPr>
        <w:numPr>
          <w:ilvl w:val="2"/>
          <w:numId w:val="2"/>
        </w:numPr>
        <w:spacing w:after="0" w:line="360" w:lineRule="auto"/>
        <w:ind w:left="330" w:leftChars="150"/>
        <w:jc w:val="both"/>
        <w:rPr>
          <w:rFonts w:hint="eastAsia" w:asciiTheme="minorEastAsia" w:hAnsiTheme="minorEastAsia" w:eastAsiaTheme="minorEastAsia" w:cstheme="minorEastAsia"/>
          <w:color w:val="FF0000"/>
          <w:sz w:val="21"/>
          <w:szCs w:val="21"/>
          <w:u w:val="single"/>
          <w:lang w:eastAsia="zh-CN"/>
        </w:rPr>
      </w:pPr>
      <w:r>
        <w:rPr>
          <w:rFonts w:hint="eastAsia" w:asciiTheme="minorEastAsia" w:hAnsiTheme="minorEastAsia" w:eastAsiaTheme="minorEastAsia" w:cstheme="minorEastAsia"/>
          <w:color w:val="FF0000"/>
          <w:sz w:val="21"/>
          <w:szCs w:val="21"/>
          <w:u w:val="single"/>
          <w:lang w:eastAsia="zh-CN"/>
        </w:rPr>
        <w:t>根据甲方的施工安排，须由乙方负责的其他事项。</w:t>
      </w:r>
    </w:p>
    <w:p w14:paraId="3D6E2E0D">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bookmarkStart w:id="50" w:name="_Toc101357399"/>
      <w:r>
        <w:rPr>
          <w:rFonts w:hint="eastAsia" w:asciiTheme="minorEastAsia" w:hAnsiTheme="minorEastAsia" w:eastAsiaTheme="minorEastAsia" w:cstheme="minorEastAsia"/>
          <w:sz w:val="21"/>
          <w:szCs w:val="21"/>
          <w:lang w:eastAsia="zh-CN"/>
        </w:rPr>
        <w:t>工程承包方式：</w:t>
      </w:r>
      <w:r>
        <w:rPr>
          <w:rFonts w:hint="eastAsia" w:asciiTheme="minorEastAsia" w:hAnsiTheme="minorEastAsia" w:eastAsiaTheme="minorEastAsia" w:cstheme="minorEastAsia"/>
          <w:b/>
          <w:bCs/>
          <w:sz w:val="21"/>
          <w:szCs w:val="21"/>
          <w:u w:val="single"/>
          <w:lang w:eastAsia="zh-CN"/>
        </w:rPr>
        <w:t>包工、包料（除甲供材料以外，甲供材料详见《甲供材明细表》）、包机械、包工期、包质量、包安全、包生态环保、包绿色文明施工。</w:t>
      </w:r>
      <w:bookmarkEnd w:id="50"/>
    </w:p>
    <w:p w14:paraId="3D6E2E0E">
      <w:p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1.6如乙方在工期、质量、安全生产、文明施工、环境保护、项目管理等任何一方面不能满足建设单位或甲方要求的，</w:t>
      </w:r>
      <w:r>
        <w:rPr>
          <w:rFonts w:hint="eastAsia" w:asciiTheme="minorEastAsia" w:hAnsiTheme="minorEastAsia" w:eastAsiaTheme="minorEastAsia" w:cstheme="minorEastAsia"/>
          <w:b/>
          <w:bCs/>
          <w:sz w:val="21"/>
          <w:szCs w:val="21"/>
          <w:lang w:eastAsia="zh-CN"/>
        </w:rPr>
        <w:t>甲方均可调整乙方承包范围直至终止合同，乙方不得提出任何异议和赔偿要求。</w:t>
      </w:r>
    </w:p>
    <w:p w14:paraId="3D6E2E0F">
      <w:p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1.7施工范围及数量为暂定，实际施工过程中甲方可以根据实际施工情况增加或减少乙方的施工内容，乙方必须按照甲方的指令进行施工，确保现场施工进度。</w:t>
      </w:r>
    </w:p>
    <w:p w14:paraId="3D6E2E10">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51" w:name="_Toc9023"/>
      <w:bookmarkStart w:id="52" w:name="_Toc2814"/>
      <w:bookmarkStart w:id="53" w:name="_Toc6989"/>
      <w:bookmarkStart w:id="54" w:name="_Toc17751"/>
      <w:bookmarkStart w:id="55" w:name="_Toc30497"/>
      <w:bookmarkStart w:id="56" w:name="_Toc22403"/>
      <w:bookmarkStart w:id="57" w:name="_Toc32244"/>
      <w:bookmarkStart w:id="58" w:name="_Toc101357400"/>
      <w:bookmarkStart w:id="59" w:name="_Toc101963471"/>
      <w:bookmarkStart w:id="60" w:name="_Toc23847"/>
      <w:bookmarkStart w:id="61" w:name="_Toc15812"/>
      <w:bookmarkStart w:id="62" w:name="_Toc12274"/>
      <w:bookmarkStart w:id="63" w:name="_Toc28749"/>
      <w:bookmarkStart w:id="64" w:name="_Toc16056"/>
      <w:bookmarkStart w:id="65" w:name="_Toc175772213"/>
      <w:bookmarkStart w:id="66" w:name="_Toc7679"/>
      <w:bookmarkStart w:id="67" w:name="_Toc30729"/>
      <w:bookmarkStart w:id="68" w:name="_Toc15598"/>
      <w:bookmarkStart w:id="69" w:name="_Toc4429"/>
      <w:bookmarkStart w:id="70" w:name="_Toc19204"/>
      <w:bookmarkStart w:id="71" w:name="_Toc21139"/>
      <w:bookmarkStart w:id="72" w:name="_Toc351203482"/>
      <w:r>
        <w:rPr>
          <w:rFonts w:hint="eastAsia" w:asciiTheme="minorEastAsia" w:hAnsiTheme="minorEastAsia" w:eastAsiaTheme="minorEastAsia" w:cstheme="minorEastAsia"/>
          <w:b/>
          <w:sz w:val="21"/>
          <w:szCs w:val="21"/>
        </w:rPr>
        <w:t>合同工期</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D6E2E11">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计划开工日期：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7</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31</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日，计划竣工日期：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9</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29</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日，工期总日历天数：</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60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天，工期总日历天数与根据前述计划日期计算的工期天数不一致的，以工期总日历天数为准。</w:t>
      </w:r>
    </w:p>
    <w:p w14:paraId="3D6E2E12">
      <w:pPr>
        <w:numPr>
          <w:ilvl w:val="1"/>
          <w:numId w:val="2"/>
        </w:num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具体开工日期以甲方通知为准，除合同另有约定外，工期总日历天数不变，乙方必须根据现场实际情况及工作量做好施工组织安排。</w:t>
      </w:r>
    </w:p>
    <w:p w14:paraId="3D6E2E13">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 w:name="_Toc30195"/>
      <w:bookmarkStart w:id="74" w:name="_Toc25527"/>
      <w:bookmarkStart w:id="75" w:name="_Toc6170"/>
      <w:bookmarkStart w:id="76" w:name="_Toc101357401"/>
      <w:bookmarkStart w:id="77" w:name="_Toc30379"/>
      <w:bookmarkStart w:id="78" w:name="_Toc23602"/>
      <w:bookmarkStart w:id="79" w:name="_Toc29395"/>
      <w:bookmarkStart w:id="80" w:name="_Toc27860"/>
      <w:bookmarkStart w:id="81" w:name="_Toc21496"/>
      <w:bookmarkStart w:id="82" w:name="_Toc29682"/>
      <w:bookmarkStart w:id="83" w:name="_Toc2743"/>
      <w:bookmarkStart w:id="84" w:name="_Toc32101"/>
      <w:bookmarkStart w:id="85" w:name="_Toc6608"/>
      <w:bookmarkStart w:id="86" w:name="_Toc25651"/>
      <w:bookmarkStart w:id="87" w:name="_Toc597"/>
      <w:bookmarkStart w:id="88" w:name="_Toc175772214"/>
      <w:bookmarkStart w:id="89" w:name="_Toc28108"/>
      <w:bookmarkStart w:id="90" w:name="_Toc351203483"/>
      <w:bookmarkStart w:id="91" w:name="_Toc26290"/>
      <w:bookmarkStart w:id="92" w:name="_Toc101963472"/>
      <w:bookmarkStart w:id="93" w:name="_Toc19634"/>
      <w:bookmarkStart w:id="94" w:name="_Toc21182"/>
      <w:r>
        <w:rPr>
          <w:rFonts w:hint="eastAsia" w:asciiTheme="minorEastAsia" w:hAnsiTheme="minorEastAsia" w:eastAsiaTheme="minorEastAsia" w:cstheme="minorEastAsia"/>
          <w:b/>
          <w:sz w:val="21"/>
          <w:szCs w:val="21"/>
        </w:rPr>
        <w:t>质量标准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F74521E">
      <w:pPr>
        <w:kinsoku w:val="0"/>
        <w:spacing w:after="0" w:line="360" w:lineRule="auto"/>
        <w:ind w:left="110" w:leftChars="50" w:firstLine="210" w:firstLineChars="10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分包工程质量标准：</w:t>
      </w:r>
      <w:r>
        <w:rPr>
          <w:rFonts w:hint="eastAsia" w:asciiTheme="minorEastAsia" w:hAnsiTheme="minorEastAsia" w:eastAsiaTheme="minorEastAsia" w:cstheme="minorEastAsia"/>
          <w:sz w:val="21"/>
          <w:szCs w:val="21"/>
          <w:u w:val="single"/>
          <w:lang w:eastAsia="zh-CN"/>
        </w:rPr>
        <w:t xml:space="preserve">  合格</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w:t>
      </w:r>
    </w:p>
    <w:p w14:paraId="0F74521F">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无</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20">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5" w:name="_Toc101963473"/>
      <w:bookmarkStart w:id="96" w:name="_Toc175764411"/>
      <w:r>
        <w:rPr>
          <w:rFonts w:hint="eastAsia" w:asciiTheme="minorEastAsia" w:hAnsiTheme="minorEastAsia" w:eastAsiaTheme="minorEastAsia" w:cstheme="minorEastAsia"/>
          <w:b/>
          <w:sz w:val="21"/>
          <w:szCs w:val="21"/>
          <w:lang w:eastAsia="zh-CN"/>
        </w:rPr>
        <w:t>安全文明创优标准</w:t>
      </w:r>
      <w:bookmarkEnd w:id="95"/>
      <w:bookmarkEnd w:id="96"/>
    </w:p>
    <w:p w14:paraId="3D6E2E17">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本分包工程安全文明创优标准：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w:t>
      </w:r>
    </w:p>
    <w:p w14:paraId="3D6E2E18">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97" w:name="_Toc27322"/>
      <w:bookmarkStart w:id="98" w:name="_Toc101963474"/>
      <w:bookmarkStart w:id="99" w:name="_Toc16273"/>
      <w:bookmarkStart w:id="100" w:name="_Toc9320"/>
      <w:bookmarkStart w:id="101" w:name="_Toc18203"/>
      <w:bookmarkStart w:id="102" w:name="_Toc28621"/>
      <w:bookmarkStart w:id="103" w:name="_Toc175772216"/>
      <w:bookmarkStart w:id="104" w:name="_Toc3"/>
      <w:bookmarkStart w:id="105" w:name="_Toc26069"/>
      <w:bookmarkStart w:id="106" w:name="_Toc16953"/>
      <w:bookmarkStart w:id="107" w:name="_Toc17121"/>
      <w:bookmarkStart w:id="108" w:name="_Toc10293"/>
      <w:bookmarkStart w:id="109" w:name="_Toc28916"/>
      <w:bookmarkStart w:id="110" w:name="_Toc101357402"/>
      <w:bookmarkStart w:id="111" w:name="_Toc31427"/>
      <w:bookmarkStart w:id="112" w:name="_Toc26631"/>
      <w:bookmarkStart w:id="113" w:name="_Toc351203484"/>
      <w:bookmarkStart w:id="114" w:name="_Toc20783"/>
      <w:bookmarkStart w:id="115" w:name="_Toc13344"/>
      <w:bookmarkStart w:id="116" w:name="_Toc27005"/>
      <w:bookmarkStart w:id="117" w:name="_Toc11484"/>
      <w:bookmarkStart w:id="118" w:name="_Toc30832"/>
      <w:r>
        <w:rPr>
          <w:rFonts w:hint="eastAsia" w:asciiTheme="minorEastAsia" w:hAnsiTheme="minorEastAsia" w:eastAsiaTheme="minorEastAsia" w:cstheme="minorEastAsia"/>
          <w:b/>
          <w:sz w:val="21"/>
          <w:szCs w:val="21"/>
          <w:lang w:eastAsia="zh-CN"/>
        </w:rPr>
        <w:t>签约合同价与合同价格形式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Theme="minorEastAsia" w:hAnsiTheme="minorEastAsia" w:eastAsiaTheme="minorEastAsia" w:cstheme="minorEastAsia"/>
          <w:b/>
          <w:sz w:val="21"/>
          <w:szCs w:val="21"/>
          <w:lang w:eastAsia="zh-CN"/>
        </w:rPr>
        <w:tab/>
      </w:r>
    </w:p>
    <w:p w14:paraId="3D6E2E19">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19" w:name="_Toc101357404"/>
      <w:r>
        <w:rPr>
          <w:rFonts w:hint="eastAsia" w:asciiTheme="minorEastAsia" w:hAnsiTheme="minorEastAsia" w:eastAsiaTheme="minorEastAsia" w:cstheme="minorEastAsia"/>
          <w:sz w:val="21"/>
          <w:szCs w:val="21"/>
          <w:lang w:eastAsia="zh-CN"/>
        </w:rPr>
        <w:t>签约合同价暂定为：</w:t>
      </w:r>
      <w:bookmarkEnd w:id="119"/>
    </w:p>
    <w:p w14:paraId="3D6E2E1A">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不含增值税造价：¥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B">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增值税：¥ </w:t>
      </w:r>
      <w:r>
        <w:rPr>
          <w:rFonts w:hint="eastAsia" w:asciiTheme="minorEastAsia" w:hAnsiTheme="minorEastAsia" w:eastAsiaTheme="minorEastAsia" w:cstheme="minorEastAsia"/>
          <w:sz w:val="21"/>
          <w:szCs w:val="21"/>
          <w:u w:val="single"/>
          <w:lang w:eastAsia="zh-CN"/>
        </w:rPr>
        <w:t xml:space="preserve">  **</w:t>
      </w:r>
      <w:bookmarkStart w:id="1225" w:name="_GoBack"/>
      <w:bookmarkEnd w:id="1225"/>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C">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含增值税合同暂定总价：¥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D">
      <w:pPr>
        <w:tabs>
          <w:tab w:val="left" w:pos="6544"/>
        </w:tabs>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其中：</w:t>
      </w:r>
    </w:p>
    <w:p w14:paraId="3D6E2E1E">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（1）人工费（不含增值税）：¥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1F">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（2）暂估价：¥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元）。（如有）</w:t>
      </w:r>
    </w:p>
    <w:p w14:paraId="3D6E2E20">
      <w:pPr>
        <w:kinsoku w:val="0"/>
        <w:spacing w:after="0" w:line="360" w:lineRule="auto"/>
        <w:ind w:left="330" w:leftChars="150" w:firstLine="630" w:firstLineChars="300"/>
        <w:jc w:val="both"/>
        <w:rPr>
          <w:rFonts w:hint="eastAsia" w:asciiTheme="minorEastAsia" w:hAnsiTheme="minorEastAsia" w:eastAsiaTheme="minorEastAsia" w:cstheme="minorEastAsia"/>
          <w:b/>
          <w:bCs/>
          <w:kern w:val="10"/>
          <w:sz w:val="21"/>
          <w:szCs w:val="21"/>
          <w:u w:val="single"/>
          <w:lang w:eastAsia="zh-CN"/>
        </w:rPr>
      </w:pPr>
      <w:r>
        <w:rPr>
          <w:rFonts w:hint="eastAsia" w:asciiTheme="minorEastAsia" w:hAnsiTheme="minorEastAsia" w:eastAsiaTheme="minorEastAsia" w:cstheme="minorEastAsia"/>
          <w:sz w:val="21"/>
          <w:szCs w:val="21"/>
          <w:lang w:eastAsia="zh-CN"/>
        </w:rPr>
        <w:t xml:space="preserve">（3）安全生产费用金额（不含增值税）：¥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2E21">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20" w:name="_Toc101357403"/>
      <w:bookmarkStart w:id="121" w:name="_Toc101357405"/>
      <w:r>
        <w:rPr>
          <w:rFonts w:hint="eastAsia" w:asciiTheme="minorEastAsia" w:hAnsiTheme="minorEastAsia" w:eastAsiaTheme="minorEastAsia" w:cstheme="minorEastAsia"/>
          <w:sz w:val="21"/>
          <w:szCs w:val="21"/>
          <w:lang w:eastAsia="zh-CN"/>
        </w:rPr>
        <w:t xml:space="preserve">合同价格形式：本合同采用 </w:t>
      </w:r>
      <w:r>
        <w:rPr>
          <w:rFonts w:asciiTheme="minorEastAsia" w:hAnsiTheme="minorEastAsia" w:eastAsiaTheme="minorEastAsia" w:cstheme="minorEastAsia"/>
          <w:sz w:val="21"/>
          <w:szCs w:val="21"/>
          <w:lang w:eastAsia="zh-CN"/>
        </w:rPr>
        <w:sym w:font="Wingdings 2" w:char="F052"/>
      </w:r>
      <w:r>
        <w:rPr>
          <w:rFonts w:hint="eastAsia" w:asciiTheme="minorEastAsia" w:hAnsiTheme="minorEastAsia" w:eastAsiaTheme="minorEastAsia" w:cstheme="minorEastAsia"/>
          <w:sz w:val="21"/>
          <w:szCs w:val="21"/>
          <w:lang w:eastAsia="zh-CN"/>
        </w:rPr>
        <w:t xml:space="preserve"> 固定单价合同 /</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固定总价合同/</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 xml:space="preserve">其他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bookmarkEnd w:id="120"/>
    <w:p w14:paraId="3D6E2E22">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合同价格明细：具体内容详见附件1：《工程量清单计价表》。</w:t>
      </w:r>
      <w:bookmarkEnd w:id="121"/>
    </w:p>
    <w:p w14:paraId="3D6E2E23">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22" w:name="_Toc3612"/>
      <w:bookmarkStart w:id="123" w:name="_Toc101963475"/>
      <w:bookmarkStart w:id="124" w:name="_Toc20921"/>
      <w:bookmarkStart w:id="125" w:name="_Toc25495"/>
      <w:bookmarkStart w:id="126" w:name="_Toc28291"/>
      <w:bookmarkStart w:id="127" w:name="_Toc15277"/>
      <w:bookmarkStart w:id="128" w:name="_Toc14778"/>
      <w:bookmarkStart w:id="129" w:name="_Toc2970"/>
      <w:bookmarkStart w:id="130" w:name="_Toc9869"/>
      <w:bookmarkStart w:id="131" w:name="_Toc101357408"/>
      <w:bookmarkStart w:id="132" w:name="_Toc175772217"/>
      <w:bookmarkStart w:id="133" w:name="_Toc23654"/>
      <w:bookmarkStart w:id="134" w:name="_Toc17689"/>
      <w:bookmarkStart w:id="135" w:name="_Toc19489"/>
      <w:bookmarkStart w:id="136" w:name="_Toc22266"/>
      <w:bookmarkStart w:id="137" w:name="_Toc6380"/>
      <w:bookmarkStart w:id="138" w:name="_Toc22154"/>
      <w:bookmarkStart w:id="139" w:name="_Toc29755"/>
      <w:bookmarkStart w:id="140" w:name="_Toc5608"/>
      <w:bookmarkStart w:id="141" w:name="_Toc14963"/>
      <w:bookmarkStart w:id="142" w:name="_Toc30646"/>
      <w:r>
        <w:rPr>
          <w:rFonts w:hint="eastAsia" w:asciiTheme="minorEastAsia" w:hAnsiTheme="minorEastAsia" w:eastAsiaTheme="minorEastAsia" w:cstheme="minorEastAsia"/>
          <w:b/>
          <w:sz w:val="21"/>
          <w:szCs w:val="21"/>
          <w:lang w:eastAsia="zh-CN"/>
        </w:rPr>
        <w:t>乙方纳税资格和资质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D6E2E24">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乙方纳税义务人的纳税资格：</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一般纳税人/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小规模纳税人/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其他。</w:t>
      </w:r>
    </w:p>
    <w:p w14:paraId="3D6E2E25">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乙方提供的票据是：</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增值税专用发票，</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增值税普通发票。</w:t>
      </w:r>
    </w:p>
    <w:p w14:paraId="3D6E2E26">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增值税率是：</w:t>
      </w:r>
      <w:r>
        <w:rPr>
          <w:rFonts w:hint="eastAsia" w:asciiTheme="minorEastAsia" w:hAnsiTheme="minorEastAsia" w:eastAsiaTheme="minorEastAsia" w:cstheme="minorEastAsia"/>
          <w:sz w:val="21"/>
          <w:szCs w:val="21"/>
          <w:u w:val="single"/>
          <w:lang w:eastAsia="zh-CN"/>
        </w:rPr>
        <w:t xml:space="preserve"> 9 </w:t>
      </w:r>
      <w:r>
        <w:rPr>
          <w:rFonts w:hint="eastAsia" w:asciiTheme="minorEastAsia" w:hAnsiTheme="minorEastAsia" w:eastAsiaTheme="minorEastAsia" w:cstheme="minorEastAsia"/>
          <w:sz w:val="21"/>
          <w:szCs w:val="21"/>
          <w:lang w:eastAsia="zh-CN"/>
        </w:rPr>
        <w:t>%，</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能抵扣，</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不能抵扣。</w:t>
      </w:r>
    </w:p>
    <w:p w14:paraId="3D6E2E27">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营业执照，统一社会信用代码：</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8">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营业期限：</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9">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安全生产许可证，证书编号：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A">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3D6E2E2B">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专业分包资质证书，证书编号：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C">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3D6E2E2D">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资质类别及等级：</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2E2E">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43" w:name="_Toc3435"/>
      <w:bookmarkStart w:id="144" w:name="_Toc28027"/>
      <w:bookmarkStart w:id="145" w:name="_Toc9261"/>
      <w:bookmarkStart w:id="146" w:name="_Toc7942"/>
      <w:bookmarkStart w:id="147" w:name="_Toc101357409"/>
      <w:bookmarkStart w:id="148" w:name="_Toc23875"/>
      <w:bookmarkStart w:id="149" w:name="_Toc29628"/>
      <w:bookmarkStart w:id="150" w:name="_Toc22777"/>
      <w:bookmarkStart w:id="151" w:name="_Toc22660"/>
      <w:bookmarkStart w:id="152" w:name="_Toc25496"/>
      <w:bookmarkStart w:id="153" w:name="_Toc28072"/>
      <w:bookmarkStart w:id="154" w:name="_Toc18826"/>
      <w:bookmarkStart w:id="155" w:name="_Toc19050"/>
      <w:bookmarkStart w:id="156" w:name="_Toc28845"/>
      <w:bookmarkStart w:id="157" w:name="_Toc21117"/>
      <w:bookmarkStart w:id="158" w:name="_Toc101963476"/>
      <w:bookmarkStart w:id="159" w:name="_Toc12262"/>
      <w:bookmarkStart w:id="160" w:name="_Toc16785"/>
      <w:bookmarkStart w:id="161" w:name="_Toc27449"/>
      <w:bookmarkStart w:id="162" w:name="_Toc15232"/>
      <w:bookmarkStart w:id="163" w:name="_Toc175772218"/>
      <w:r>
        <w:rPr>
          <w:rFonts w:hint="eastAsia" w:asciiTheme="minorEastAsia" w:hAnsiTheme="minorEastAsia" w:eastAsiaTheme="minorEastAsia" w:cstheme="minorEastAsia"/>
          <w:b/>
          <w:sz w:val="21"/>
          <w:szCs w:val="21"/>
        </w:rPr>
        <w:t>项目经理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D6E2E2F">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甲方项目经理代表甲方负责现场管理，但无权单独处理合同调价、付款、结算、借款、担保、融投资及除本合同外经济合同的签订事项，也无权变更或解除分包合同。甲方项目部及项目经理权限具体详见《项目部合规权限告知书》。</w:t>
      </w:r>
    </w:p>
    <w:p w14:paraId="3D6E2E30">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。乙方项目经理应是乙方正式聘用的员工，必须持有授权委托书，代表乙方履行合同，负责施工管理、签署任何文件、处理与工程有关的所有事务等，乙方承担乙方项目经理行为的全部法律后果。</w:t>
      </w:r>
    </w:p>
    <w:p w14:paraId="3D6E2E31">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64" w:name="_Toc175772219"/>
      <w:bookmarkStart w:id="165" w:name="_Toc101963477"/>
      <w:r>
        <w:rPr>
          <w:rFonts w:hint="eastAsia" w:asciiTheme="minorEastAsia" w:hAnsiTheme="minorEastAsia" w:eastAsiaTheme="minorEastAsia" w:cstheme="minorEastAsia"/>
          <w:b/>
          <w:sz w:val="21"/>
          <w:szCs w:val="21"/>
          <w:lang w:eastAsia="zh-CN"/>
        </w:rPr>
        <w:t>签订时间及地点</w:t>
      </w:r>
      <w:bookmarkEnd w:id="164"/>
      <w:bookmarkEnd w:id="165"/>
    </w:p>
    <w:p w14:paraId="3D6E2E32">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本合同于</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日签订。</w:t>
      </w:r>
    </w:p>
    <w:p w14:paraId="3D6E2E33">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合同订立地点：</w:t>
      </w:r>
      <w:r>
        <w:rPr>
          <w:rFonts w:hint="eastAsia" w:asciiTheme="minorEastAsia" w:hAnsiTheme="minorEastAsia" w:eastAsiaTheme="minorEastAsia" w:cstheme="minorEastAsia"/>
          <w:sz w:val="21"/>
          <w:szCs w:val="21"/>
          <w:u w:val="single"/>
          <w:lang w:eastAsia="zh-CN"/>
        </w:rPr>
        <w:t xml:space="preserve"> 河北省石家庄市桥西区建设南大街70号 </w:t>
      </w:r>
      <w:r>
        <w:rPr>
          <w:rFonts w:hint="eastAsia" w:asciiTheme="minorEastAsia" w:hAnsiTheme="minorEastAsia" w:eastAsiaTheme="minorEastAsia" w:cstheme="minorEastAsia"/>
          <w:sz w:val="21"/>
          <w:szCs w:val="21"/>
          <w:lang w:eastAsia="zh-CN"/>
        </w:rPr>
        <w:t>。</w:t>
      </w:r>
    </w:p>
    <w:p w14:paraId="3D6E2E34">
      <w:pPr>
        <w:widowControl w:val="0"/>
        <w:numPr>
          <w:ilvl w:val="0"/>
          <w:numId w:val="2"/>
        </w:numPr>
        <w:tabs>
          <w:tab w:val="left" w:pos="900"/>
        </w:tabs>
        <w:kinsoku w:val="0"/>
        <w:spacing w:after="0" w:line="360" w:lineRule="auto"/>
        <w:ind w:left="165" w:leftChars="75"/>
        <w:jc w:val="both"/>
        <w:outlineLvl w:val="1"/>
        <w:rPr>
          <w:lang w:eastAsia="zh-CN"/>
        </w:rPr>
      </w:pPr>
      <w:bookmarkStart w:id="166" w:name="_Toc175772220"/>
      <w:r>
        <w:rPr>
          <w:rFonts w:hint="eastAsia" w:asciiTheme="minorEastAsia" w:hAnsiTheme="minorEastAsia" w:eastAsiaTheme="minorEastAsia" w:cstheme="minorEastAsia"/>
          <w:b/>
          <w:sz w:val="21"/>
          <w:szCs w:val="21"/>
          <w:lang w:eastAsia="zh-CN"/>
        </w:rPr>
        <w:t>补充协议</w:t>
      </w:r>
      <w:bookmarkEnd w:id="166"/>
    </w:p>
    <w:p w14:paraId="3D6E2E35">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1.无论分包过程结算是否超过合同额，当合同清单外新增工作内容超出原合同价款的5%时，双方须及时签订补充协议，否则新增工作内容暂不予计量，直至完成补充协议的签订。</w:t>
      </w:r>
    </w:p>
    <w:p w14:paraId="3D6E2E36">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2.合同未尽事宜，合同双方另行签订补充协议，补充协议是合同的组成部分。</w:t>
      </w:r>
    </w:p>
    <w:p w14:paraId="3D6E2E37">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67" w:name="_Toc175772221"/>
      <w:r>
        <w:rPr>
          <w:rFonts w:hint="eastAsia" w:asciiTheme="minorEastAsia" w:hAnsiTheme="minorEastAsia" w:eastAsiaTheme="minorEastAsia" w:cstheme="minorEastAsia"/>
          <w:b/>
          <w:sz w:val="21"/>
          <w:szCs w:val="21"/>
          <w:lang w:eastAsia="zh-CN"/>
        </w:rPr>
        <w:t>合同签约形式</w:t>
      </w:r>
      <w:bookmarkEnd w:id="167"/>
    </w:p>
    <w:p w14:paraId="7E5481DF">
      <w:pPr>
        <w:kinsoku w:val="0"/>
        <w:spacing w:after="0" w:line="360" w:lineRule="auto"/>
        <w:ind w:left="440"/>
        <w:jc w:val="both"/>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本合同签约形式适用第</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u w:val="single"/>
          <w:lang w:val="en-US" w:eastAsia="zh-CN"/>
        </w:rPr>
        <w:t>1</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lang w:eastAsia="zh-CN"/>
        </w:rPr>
        <w:t>条。</w:t>
      </w:r>
    </w:p>
    <w:p w14:paraId="0B0750FC">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双方同意以电子签章的方式签署本合同。乙方确保在电子签章平台注册时，使用的企业信息和个人相关信息真实有效，并且自觉遵守国家法律法规和甲方在该平台的合同签约流程。本合同自双方加盖电子签章之日起生效。合同生效后，双方均可对本合同进行查阅、下载、打印。下载、打印后的合同可以与平台中的电子合同进行比对，如有不同，以平台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3D6E2E38">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2.双方同意通过加盖物理印章的方式签署本合同，合同自双方盖章后生效，完成合同约定的全部内容，经验收合格且保修期满后即告终止。合同壹式</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份，甲方执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份，乙方执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w:t>
      </w:r>
    </w:p>
    <w:tbl>
      <w:tblPr>
        <w:tblStyle w:val="13"/>
        <w:tblW w:w="0" w:type="auto"/>
        <w:tblInd w:w="0" w:type="dxa"/>
        <w:tblLayout w:type="autofit"/>
        <w:tblCellMar>
          <w:top w:w="0" w:type="dxa"/>
          <w:left w:w="108" w:type="dxa"/>
          <w:bottom w:w="0" w:type="dxa"/>
          <w:right w:w="108" w:type="dxa"/>
        </w:tblCellMar>
      </w:tblPr>
      <w:tblGrid>
        <w:gridCol w:w="4844"/>
        <w:gridCol w:w="4794"/>
      </w:tblGrid>
      <w:tr w14:paraId="3D6E2E3D">
        <w:tblPrEx>
          <w:tblCellMar>
            <w:top w:w="0" w:type="dxa"/>
            <w:left w:w="108" w:type="dxa"/>
            <w:bottom w:w="0" w:type="dxa"/>
            <w:right w:w="108" w:type="dxa"/>
          </w:tblCellMar>
        </w:tblPrEx>
        <w:trPr>
          <w:trHeight w:val="1417" w:hRule="atLeast"/>
        </w:trPr>
        <w:tc>
          <w:tcPr>
            <w:tcW w:w="4844" w:type="dxa"/>
            <w:vAlign w:val="center"/>
          </w:tcPr>
          <w:p w14:paraId="3D6E2E39">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甲方：中建路桥集团有限公司</w:t>
            </w:r>
          </w:p>
          <w:p w14:paraId="3D6E2E3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w:t>
            </w:r>
          </w:p>
        </w:tc>
        <w:tc>
          <w:tcPr>
            <w:tcW w:w="4794" w:type="dxa"/>
            <w:vAlign w:val="center"/>
          </w:tcPr>
          <w:p w14:paraId="3D6E2E3B">
            <w:pPr>
              <w:kinsoku w:val="0"/>
              <w:spacing w:after="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 xml:space="preserve">乙方：                               </w:t>
            </w:r>
          </w:p>
          <w:p w14:paraId="3D6E2E3C">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（合同专用章或公章）</w:t>
            </w:r>
          </w:p>
        </w:tc>
      </w:tr>
      <w:tr w14:paraId="3D6E2E40">
        <w:tblPrEx>
          <w:tblCellMar>
            <w:top w:w="0" w:type="dxa"/>
            <w:left w:w="108" w:type="dxa"/>
            <w:bottom w:w="0" w:type="dxa"/>
            <w:right w:w="108" w:type="dxa"/>
          </w:tblCellMar>
        </w:tblPrEx>
        <w:trPr>
          <w:trHeight w:val="567" w:hRule="exact"/>
        </w:trPr>
        <w:tc>
          <w:tcPr>
            <w:tcW w:w="4844" w:type="dxa"/>
            <w:vAlign w:val="center"/>
          </w:tcPr>
          <w:p w14:paraId="3D6E2E3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c>
          <w:tcPr>
            <w:tcW w:w="4794" w:type="dxa"/>
            <w:vAlign w:val="center"/>
          </w:tcPr>
          <w:p w14:paraId="3D6E2E3F">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r>
      <w:tr w14:paraId="3D6E2E43">
        <w:tblPrEx>
          <w:tblCellMar>
            <w:top w:w="0" w:type="dxa"/>
            <w:left w:w="108" w:type="dxa"/>
            <w:bottom w:w="0" w:type="dxa"/>
            <w:right w:w="108" w:type="dxa"/>
          </w:tblCellMar>
        </w:tblPrEx>
        <w:trPr>
          <w:trHeight w:val="567" w:hRule="exact"/>
        </w:trPr>
        <w:tc>
          <w:tcPr>
            <w:tcW w:w="4844" w:type="dxa"/>
            <w:vAlign w:val="center"/>
          </w:tcPr>
          <w:p w14:paraId="3D6E2E4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c>
          <w:tcPr>
            <w:tcW w:w="4794" w:type="dxa"/>
            <w:vAlign w:val="center"/>
          </w:tcPr>
          <w:p w14:paraId="3D6E2E42">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r>
      <w:tr w14:paraId="3D6E2E46">
        <w:tblPrEx>
          <w:tblCellMar>
            <w:top w:w="0" w:type="dxa"/>
            <w:left w:w="108" w:type="dxa"/>
            <w:bottom w:w="0" w:type="dxa"/>
            <w:right w:w="108" w:type="dxa"/>
          </w:tblCellMar>
        </w:tblPrEx>
        <w:trPr>
          <w:trHeight w:val="567" w:hRule="exact"/>
        </w:trPr>
        <w:tc>
          <w:tcPr>
            <w:tcW w:w="4844" w:type="dxa"/>
            <w:vAlign w:val="center"/>
          </w:tcPr>
          <w:p w14:paraId="3D6E2E4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c>
          <w:tcPr>
            <w:tcW w:w="4794" w:type="dxa"/>
            <w:vAlign w:val="center"/>
          </w:tcPr>
          <w:p w14:paraId="3D6E2E45">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r>
      <w:tr w14:paraId="3D6E2E49">
        <w:tblPrEx>
          <w:tblCellMar>
            <w:top w:w="0" w:type="dxa"/>
            <w:left w:w="108" w:type="dxa"/>
            <w:bottom w:w="0" w:type="dxa"/>
            <w:right w:w="108" w:type="dxa"/>
          </w:tblCellMar>
        </w:tblPrEx>
        <w:trPr>
          <w:trHeight w:val="567" w:hRule="exact"/>
        </w:trPr>
        <w:tc>
          <w:tcPr>
            <w:tcW w:w="4844" w:type="dxa"/>
            <w:vAlign w:val="center"/>
          </w:tcPr>
          <w:p w14:paraId="3D6E2E4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asciiTheme="minorEastAsia" w:hAnsiTheme="minorEastAsia" w:eastAsiaTheme="minorEastAsia" w:cstheme="minorEastAsia"/>
                <w:sz w:val="21"/>
                <w:szCs w:val="21"/>
                <w:lang w:eastAsia="zh-CN"/>
              </w:rPr>
              <w:t>91130000401700454L</w:t>
            </w:r>
          </w:p>
        </w:tc>
        <w:tc>
          <w:tcPr>
            <w:tcW w:w="4794" w:type="dxa"/>
            <w:vAlign w:val="center"/>
          </w:tcPr>
          <w:p w14:paraId="3D6E2E4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w:t>
            </w:r>
          </w:p>
        </w:tc>
      </w:tr>
      <w:tr w14:paraId="3D6E2E4C">
        <w:tblPrEx>
          <w:tblCellMar>
            <w:top w:w="0" w:type="dxa"/>
            <w:left w:w="108" w:type="dxa"/>
            <w:bottom w:w="0" w:type="dxa"/>
            <w:right w:w="108" w:type="dxa"/>
          </w:tblCellMar>
        </w:tblPrEx>
        <w:trPr>
          <w:trHeight w:val="567" w:hRule="exact"/>
        </w:trPr>
        <w:tc>
          <w:tcPr>
            <w:tcW w:w="4844" w:type="dxa"/>
            <w:vAlign w:val="center"/>
          </w:tcPr>
          <w:p w14:paraId="3D6E2E4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地址：河北省石家庄市桥西区建设南大街70号</w:t>
            </w:r>
          </w:p>
        </w:tc>
        <w:tc>
          <w:tcPr>
            <w:tcW w:w="4794" w:type="dxa"/>
            <w:vAlign w:val="center"/>
          </w:tcPr>
          <w:p w14:paraId="3D6E2E4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w:t>
            </w:r>
            <w:r>
              <w:rPr>
                <w:rFonts w:hint="eastAsia" w:asciiTheme="minorEastAsia" w:hAnsiTheme="minorEastAsia" w:eastAsiaTheme="minorEastAsia" w:cstheme="minorEastAsia"/>
                <w:sz w:val="21"/>
                <w:szCs w:val="21"/>
                <w:u w:val="single"/>
                <w:lang w:eastAsia="zh-CN"/>
              </w:rPr>
              <w:t xml:space="preserve">    *****             </w:t>
            </w:r>
          </w:p>
        </w:tc>
      </w:tr>
      <w:tr w14:paraId="3D6E2E4F">
        <w:tblPrEx>
          <w:tblCellMar>
            <w:top w:w="0" w:type="dxa"/>
            <w:left w:w="108" w:type="dxa"/>
            <w:bottom w:w="0" w:type="dxa"/>
            <w:right w:w="108" w:type="dxa"/>
          </w:tblCellMar>
        </w:tblPrEx>
        <w:trPr>
          <w:trHeight w:val="567" w:hRule="exact"/>
        </w:trPr>
        <w:tc>
          <w:tcPr>
            <w:tcW w:w="4844" w:type="dxa"/>
            <w:vAlign w:val="center"/>
          </w:tcPr>
          <w:p w14:paraId="3D6E2E4D">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asciiTheme="minorEastAsia" w:hAnsiTheme="minorEastAsia" w:eastAsiaTheme="minorEastAsia" w:cstheme="minorEastAsia"/>
                <w:sz w:val="21"/>
                <w:szCs w:val="21"/>
                <w:lang w:eastAsia="zh-CN"/>
              </w:rPr>
              <w:t>0311-86028814</w:t>
            </w:r>
          </w:p>
        </w:tc>
        <w:tc>
          <w:tcPr>
            <w:tcW w:w="4794" w:type="dxa"/>
            <w:vAlign w:val="center"/>
          </w:tcPr>
          <w:p w14:paraId="3D6E2E4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u w:val="single"/>
                <w:lang w:eastAsia="zh-CN"/>
              </w:rPr>
              <w:t xml:space="preserve">    *****             </w:t>
            </w:r>
          </w:p>
        </w:tc>
      </w:tr>
      <w:tr w14:paraId="3D6E2E52">
        <w:tblPrEx>
          <w:tblCellMar>
            <w:top w:w="0" w:type="dxa"/>
            <w:left w:w="108" w:type="dxa"/>
            <w:bottom w:w="0" w:type="dxa"/>
            <w:right w:w="108" w:type="dxa"/>
          </w:tblCellMar>
        </w:tblPrEx>
        <w:trPr>
          <w:trHeight w:val="567" w:hRule="exact"/>
        </w:trPr>
        <w:tc>
          <w:tcPr>
            <w:tcW w:w="4844" w:type="dxa"/>
            <w:vAlign w:val="center"/>
          </w:tcPr>
          <w:p w14:paraId="3D6E2E50">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开户银行：建行石家庄平安大街支行</w:t>
            </w:r>
          </w:p>
        </w:tc>
        <w:tc>
          <w:tcPr>
            <w:tcW w:w="4794" w:type="dxa"/>
            <w:vAlign w:val="center"/>
          </w:tcPr>
          <w:p w14:paraId="3D6E2E5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w:t>
            </w:r>
            <w:r>
              <w:rPr>
                <w:rFonts w:hint="eastAsia" w:asciiTheme="minorEastAsia" w:hAnsiTheme="minorEastAsia" w:eastAsiaTheme="minorEastAsia" w:cstheme="minorEastAsia"/>
                <w:sz w:val="21"/>
                <w:szCs w:val="21"/>
                <w:u w:val="single"/>
                <w:lang w:eastAsia="zh-CN"/>
              </w:rPr>
              <w:t xml:space="preserve">    *****             </w:t>
            </w:r>
          </w:p>
        </w:tc>
      </w:tr>
      <w:tr w14:paraId="3D6E2E55">
        <w:tblPrEx>
          <w:tblCellMar>
            <w:top w:w="0" w:type="dxa"/>
            <w:left w:w="108" w:type="dxa"/>
            <w:bottom w:w="0" w:type="dxa"/>
            <w:right w:w="108" w:type="dxa"/>
          </w:tblCellMar>
        </w:tblPrEx>
        <w:trPr>
          <w:trHeight w:val="567" w:hRule="exact"/>
        </w:trPr>
        <w:tc>
          <w:tcPr>
            <w:tcW w:w="4844" w:type="dxa"/>
            <w:vAlign w:val="center"/>
          </w:tcPr>
          <w:p w14:paraId="3D6E2E5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asciiTheme="minorEastAsia" w:hAnsiTheme="minorEastAsia" w:eastAsiaTheme="minorEastAsia" w:cstheme="minorEastAsia"/>
                <w:sz w:val="21"/>
                <w:szCs w:val="21"/>
                <w:lang w:eastAsia="zh-CN"/>
              </w:rPr>
              <w:t>13001618601050504927</w:t>
            </w:r>
          </w:p>
        </w:tc>
        <w:tc>
          <w:tcPr>
            <w:tcW w:w="4794" w:type="dxa"/>
            <w:vAlign w:val="center"/>
          </w:tcPr>
          <w:p w14:paraId="3D6E2E5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hint="eastAsia" w:asciiTheme="minorEastAsia" w:hAnsiTheme="minorEastAsia" w:eastAsiaTheme="minorEastAsia" w:cstheme="minorEastAsia"/>
                <w:sz w:val="21"/>
                <w:szCs w:val="21"/>
                <w:u w:val="single"/>
                <w:lang w:eastAsia="zh-CN"/>
              </w:rPr>
              <w:t xml:space="preserve">    *****             </w:t>
            </w:r>
          </w:p>
        </w:tc>
      </w:tr>
      <w:tr w14:paraId="3D6E2E58">
        <w:tblPrEx>
          <w:tblCellMar>
            <w:top w:w="0" w:type="dxa"/>
            <w:left w:w="108" w:type="dxa"/>
            <w:bottom w:w="0" w:type="dxa"/>
            <w:right w:w="108" w:type="dxa"/>
          </w:tblCellMar>
        </w:tblPrEx>
        <w:trPr>
          <w:trHeight w:val="567" w:hRule="exact"/>
        </w:trPr>
        <w:tc>
          <w:tcPr>
            <w:tcW w:w="4844" w:type="dxa"/>
            <w:vAlign w:val="center"/>
          </w:tcPr>
          <w:p w14:paraId="3D6E2E56">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             </w:t>
            </w:r>
          </w:p>
        </w:tc>
        <w:tc>
          <w:tcPr>
            <w:tcW w:w="4794" w:type="dxa"/>
            <w:vAlign w:val="center"/>
          </w:tcPr>
          <w:p w14:paraId="3D6E2E5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开户银行行号：</w:t>
            </w:r>
            <w:r>
              <w:rPr>
                <w:rFonts w:hint="eastAsia" w:asciiTheme="minorEastAsia" w:hAnsiTheme="minorEastAsia" w:eastAsiaTheme="minorEastAsia" w:cstheme="minorEastAsia"/>
                <w:sz w:val="21"/>
                <w:szCs w:val="21"/>
                <w:u w:val="single"/>
                <w:lang w:eastAsia="zh-CN"/>
              </w:rPr>
              <w:t xml:space="preserve">    *****             </w:t>
            </w:r>
          </w:p>
        </w:tc>
      </w:tr>
      <w:tr w14:paraId="3D6E2E5B">
        <w:tblPrEx>
          <w:tblCellMar>
            <w:top w:w="0" w:type="dxa"/>
            <w:left w:w="108" w:type="dxa"/>
            <w:bottom w:w="0" w:type="dxa"/>
            <w:right w:w="108" w:type="dxa"/>
          </w:tblCellMar>
        </w:tblPrEx>
        <w:trPr>
          <w:trHeight w:val="567" w:hRule="exact"/>
        </w:trPr>
        <w:tc>
          <w:tcPr>
            <w:tcW w:w="4844" w:type="dxa"/>
            <w:vAlign w:val="center"/>
          </w:tcPr>
          <w:p w14:paraId="3D6E2E59">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p>
        </w:tc>
        <w:tc>
          <w:tcPr>
            <w:tcW w:w="4794" w:type="dxa"/>
            <w:vAlign w:val="center"/>
          </w:tcPr>
          <w:p w14:paraId="3D6E2E5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             </w:t>
            </w:r>
          </w:p>
        </w:tc>
      </w:tr>
      <w:tr w14:paraId="3D6E2E5E">
        <w:tblPrEx>
          <w:tblCellMar>
            <w:top w:w="0" w:type="dxa"/>
            <w:left w:w="108" w:type="dxa"/>
            <w:bottom w:w="0" w:type="dxa"/>
            <w:right w:w="108" w:type="dxa"/>
          </w:tblCellMar>
        </w:tblPrEx>
        <w:trPr>
          <w:trHeight w:val="567" w:hRule="exact"/>
        </w:trPr>
        <w:tc>
          <w:tcPr>
            <w:tcW w:w="4844" w:type="dxa"/>
            <w:vAlign w:val="center"/>
          </w:tcPr>
          <w:p w14:paraId="3D6E2E5C">
            <w:pPr>
              <w:kinsoku w:val="0"/>
              <w:spacing w:after="0"/>
              <w:rPr>
                <w:rFonts w:hint="eastAsia" w:asciiTheme="minorEastAsia" w:hAnsiTheme="minorEastAsia" w:eastAsiaTheme="minorEastAsia" w:cstheme="minorEastAsia"/>
                <w:sz w:val="21"/>
                <w:szCs w:val="21"/>
                <w:lang w:eastAsia="zh-CN"/>
              </w:rPr>
            </w:pPr>
          </w:p>
        </w:tc>
        <w:tc>
          <w:tcPr>
            <w:tcW w:w="4794" w:type="dxa"/>
            <w:vAlign w:val="center"/>
          </w:tcPr>
          <w:p w14:paraId="3D6E2E5D">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p>
        </w:tc>
      </w:tr>
      <w:permEnd w:id="4"/>
    </w:tbl>
    <w:p w14:paraId="3D6E2E5F">
      <w:pPr>
        <w:kinsoku w:val="0"/>
        <w:spacing w:line="240" w:lineRule="auto"/>
        <w:ind w:left="165" w:leftChars="75"/>
        <w:rPr>
          <w:lang w:eastAsia="zh-CN"/>
        </w:rPr>
      </w:pPr>
      <w:bookmarkStart w:id="168" w:name="_Toc101963481"/>
      <w:bookmarkStart w:id="169" w:name="_Toc29921"/>
      <w:bookmarkStart w:id="170" w:name="_Toc30455"/>
      <w:bookmarkStart w:id="171" w:name="_Toc10193"/>
      <w:bookmarkStart w:id="172" w:name="_Toc101357414"/>
      <w:bookmarkStart w:id="173" w:name="_Toc6860"/>
      <w:bookmarkStart w:id="174" w:name="_Toc14254"/>
      <w:bookmarkStart w:id="175" w:name="_Toc6057"/>
      <w:bookmarkStart w:id="176" w:name="_Toc9997"/>
      <w:bookmarkStart w:id="177" w:name="_Toc47"/>
      <w:bookmarkStart w:id="178" w:name="_Toc20750"/>
      <w:bookmarkStart w:id="179" w:name="_Toc20736"/>
      <w:bookmarkStart w:id="180" w:name="_Toc29121"/>
      <w:bookmarkStart w:id="181" w:name="_Toc22648"/>
      <w:bookmarkStart w:id="182" w:name="_Toc7477"/>
      <w:bookmarkStart w:id="183" w:name="_Toc30871"/>
      <w:bookmarkStart w:id="184" w:name="_Toc18153"/>
      <w:bookmarkStart w:id="185" w:name="_Toc5545"/>
      <w:bookmarkStart w:id="186" w:name="_Toc21478"/>
      <w:bookmarkStart w:id="187" w:name="_Toc25679"/>
    </w:p>
    <w:p w14:paraId="3D6E2E60">
      <w:pPr>
        <w:kinsoku w:val="0"/>
        <w:spacing w:after="0" w:line="240" w:lineRule="auto"/>
        <w:rPr>
          <w:lang w:eastAsia="zh-CN"/>
        </w:rPr>
        <w:sectPr>
          <w:footerReference r:id="rId8" w:type="default"/>
          <w:pgSz w:w="11906" w:h="16838"/>
          <w:pgMar w:top="1134" w:right="1134" w:bottom="1134" w:left="1134" w:header="851" w:footer="850" w:gutter="0"/>
          <w:pgNumType w:start="1"/>
          <w:cols w:space="720" w:num="1"/>
          <w:docGrid w:type="lines" w:linePitch="312" w:charSpace="0"/>
        </w:sectPr>
      </w:pPr>
    </w:p>
    <w:p w14:paraId="3D6E2E61">
      <w:pPr>
        <w:kinsoku w:val="0"/>
        <w:ind w:left="165" w:leftChars="75"/>
        <w:jc w:val="center"/>
        <w:outlineLvl w:val="0"/>
        <w:rPr>
          <w:rFonts w:hint="eastAsia" w:ascii="宋体" w:hAnsi="宋体"/>
          <w:b/>
          <w:sz w:val="32"/>
          <w:szCs w:val="32"/>
          <w:lang w:eastAsia="zh-CN"/>
        </w:rPr>
      </w:pPr>
      <w:bookmarkStart w:id="188" w:name="_Toc175772222"/>
      <w:r>
        <w:rPr>
          <w:rFonts w:hint="eastAsia" w:ascii="宋体" w:hAnsi="宋体"/>
          <w:b/>
          <w:sz w:val="32"/>
          <w:szCs w:val="32"/>
          <w:lang w:eastAsia="zh-CN"/>
        </w:rPr>
        <w:t>第二部分 通用合同条款</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D6E2E62">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189" w:name="_Toc303538974"/>
      <w:bookmarkEnd w:id="189"/>
      <w:bookmarkStart w:id="190" w:name="_Toc303538975"/>
      <w:bookmarkEnd w:id="190"/>
      <w:bookmarkStart w:id="191" w:name="_Toc303538973"/>
      <w:bookmarkEnd w:id="191"/>
      <w:bookmarkStart w:id="192" w:name="_Toc303538976"/>
      <w:bookmarkEnd w:id="192"/>
      <w:bookmarkStart w:id="193" w:name="_Toc303538972"/>
      <w:bookmarkEnd w:id="193"/>
      <w:bookmarkStart w:id="194" w:name="_Toc7886"/>
      <w:bookmarkStart w:id="195" w:name="_Toc32658"/>
      <w:bookmarkStart w:id="196" w:name="_Toc17620"/>
      <w:bookmarkStart w:id="197" w:name="_Toc101963482"/>
      <w:bookmarkStart w:id="198" w:name="_Toc15310"/>
      <w:bookmarkStart w:id="199" w:name="_Toc3750"/>
      <w:bookmarkStart w:id="200" w:name="_Toc13130"/>
      <w:bookmarkStart w:id="201" w:name="_Toc23392"/>
      <w:bookmarkStart w:id="202" w:name="_Toc10833"/>
      <w:bookmarkStart w:id="203" w:name="_Toc11140"/>
      <w:bookmarkStart w:id="204" w:name="_Toc29619"/>
      <w:bookmarkStart w:id="205" w:name="_Toc17580"/>
      <w:bookmarkStart w:id="206" w:name="_Toc2869"/>
      <w:bookmarkStart w:id="207" w:name="_Toc101357415"/>
      <w:bookmarkStart w:id="208" w:name="_Toc175772223"/>
      <w:bookmarkStart w:id="209" w:name="_Toc26284"/>
      <w:bookmarkStart w:id="210" w:name="_Toc14272"/>
      <w:r>
        <w:rPr>
          <w:rFonts w:hint="eastAsia" w:asciiTheme="minorEastAsia" w:hAnsiTheme="minorEastAsia" w:eastAsiaTheme="minorEastAsia" w:cstheme="minorEastAsia"/>
          <w:b/>
          <w:sz w:val="21"/>
          <w:szCs w:val="21"/>
          <w:lang w:eastAsia="zh-CN"/>
        </w:rPr>
        <w:t>词语解释</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D6E2E63">
      <w:pPr>
        <w:kinsoku w:val="0"/>
        <w:spacing w:after="0" w:line="360" w:lineRule="auto"/>
        <w:ind w:left="165" w:leftChars="75"/>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合同协议书、通用合同条款、专用合同条款中的下列词语应具有本款所赋予的含义：</w:t>
      </w:r>
    </w:p>
    <w:p w14:paraId="3D6E2E6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总承包合同：指建设单位和甲方双方共同签署的施工总承包合同。</w:t>
      </w:r>
    </w:p>
    <w:p w14:paraId="3D6E2E6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本分包合同：指甲方和乙方双方共同签署本分包工程的施工合同。</w:t>
      </w:r>
    </w:p>
    <w:p w14:paraId="3D6E2E6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建设单位：是指在总承包合同中与甲方订立合同协议书的当事人及取得该当事人资格的合法继受人。</w:t>
      </w:r>
    </w:p>
    <w:p w14:paraId="3D6E2E6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甲方：是指在总承包合同中与建设单位订立合同协议书的当事人及取得该当事人资格的合法继受人。</w:t>
      </w:r>
    </w:p>
    <w:p w14:paraId="3D6E2E6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乙方：是指在本分包合同中与甲方订立合同协议书的当事人及取得该当事人资格的合法继受人。</w:t>
      </w:r>
    </w:p>
    <w:p w14:paraId="3D6E2E6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监理单位：指建设单位聘请的整体工程的监理单位。</w:t>
      </w:r>
    </w:p>
    <w:p w14:paraId="3D6E2E6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甲方项目经理：指甲方在本分包合同中指定的负责施工管理、履行总承包合同及本分包合同的代表。</w:t>
      </w:r>
    </w:p>
    <w:p w14:paraId="3D6E2E6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乙方项目经理：指由乙方在本分包合同中指定的负责施工管理和履行合同的代表。</w:t>
      </w:r>
    </w:p>
    <w:p w14:paraId="3D6E2E6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整体工程：指甲方与建设单位签订的总承包合同中约定由甲方负责实施、竣工和修补质量缺陷的有关工程。</w:t>
      </w:r>
    </w:p>
    <w:p w14:paraId="3D6E2E6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本分包工程：指乙方按本分包合同约定负责实施、完工和修补质量缺陷的整体工程内的有关工程。</w:t>
      </w:r>
    </w:p>
    <w:p w14:paraId="3D6E2E6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图纸：指包含在本分包合同中的工程图纸，以及由甲方按本分包合同约定提供的任何补充和修改的图纸，包括配套的说明。</w:t>
      </w:r>
    </w:p>
    <w:p w14:paraId="3D6E2E6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日、天：除特别指明外，指日历天。合同中按天计算时间的，开始当天不计入，从次日开始计算。期限最后一天的截止时间为当天24:00。</w:t>
      </w:r>
    </w:p>
    <w:p w14:paraId="3D6E2E7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缺陷责任期：是指甲方预留工程质量保证金以保证乙方履行第20.1条约定的缺陷责任的期限。</w:t>
      </w:r>
    </w:p>
    <w:p w14:paraId="3D6E2E7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质量保修期：是指乙方按照合同第20.2条约定和法律规定对工程质量承担保修责任的期限。</w:t>
      </w:r>
    </w:p>
    <w:p w14:paraId="3D6E2E72">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11" w:name="_Toc175772224"/>
      <w:bookmarkStart w:id="212" w:name="_Toc13230"/>
      <w:bookmarkStart w:id="213" w:name="_Toc14170"/>
      <w:bookmarkStart w:id="214" w:name="_Toc9151"/>
      <w:bookmarkStart w:id="215" w:name="_Toc2269"/>
      <w:bookmarkStart w:id="216" w:name="_Toc4355"/>
      <w:bookmarkStart w:id="217" w:name="_Toc31420"/>
      <w:bookmarkStart w:id="218" w:name="_Toc25557"/>
      <w:bookmarkStart w:id="219" w:name="_Toc101963483"/>
      <w:bookmarkStart w:id="220" w:name="_Toc29050"/>
      <w:bookmarkStart w:id="221" w:name="_Toc1668"/>
      <w:bookmarkStart w:id="222" w:name="_Toc101357416"/>
      <w:bookmarkStart w:id="223" w:name="_Toc25260"/>
      <w:bookmarkStart w:id="224" w:name="_Toc23135"/>
      <w:bookmarkStart w:id="225" w:name="_Toc15530"/>
      <w:bookmarkStart w:id="226" w:name="_Toc11909"/>
      <w:bookmarkStart w:id="227" w:name="_Toc27924"/>
      <w:r>
        <w:rPr>
          <w:rFonts w:hint="eastAsia" w:asciiTheme="minorEastAsia" w:hAnsiTheme="minorEastAsia" w:eastAsiaTheme="minorEastAsia" w:cstheme="minorEastAsia"/>
          <w:b/>
          <w:sz w:val="21"/>
          <w:szCs w:val="21"/>
        </w:rPr>
        <w:t>适用法律法规</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D6E2E7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228" w:name="A2"/>
      <w:bookmarkEnd w:id="228"/>
      <w:r>
        <w:rPr>
          <w:rFonts w:hint="eastAsia" w:asciiTheme="minorEastAsia" w:hAnsiTheme="minorEastAsia" w:eastAsiaTheme="minorEastAsia" w:cstheme="minorEastAsia"/>
          <w:sz w:val="21"/>
          <w:szCs w:val="21"/>
          <w:lang w:eastAsia="zh-CN"/>
        </w:rPr>
        <w:t>适用于合同的法律包括中华人民共和国正式颁布实施的法律、行政法规、部门规章，以及工程所在地的地方法规、自治条例、单行条例和地方政府规章。</w:t>
      </w:r>
    </w:p>
    <w:p w14:paraId="3D6E2E7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如在合同有效期内，颁布新的法律法规或修订了原有法律法规，则此后继的法律法规将自动适用于本合同。</w:t>
      </w:r>
    </w:p>
    <w:p w14:paraId="3D6E2E75">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29" w:name="_Toc175772225"/>
      <w:bookmarkStart w:id="230" w:name="_Toc101963484"/>
      <w:bookmarkStart w:id="231" w:name="_Toc101357417"/>
      <w:bookmarkStart w:id="232" w:name="_Toc19987"/>
      <w:bookmarkStart w:id="233" w:name="_Toc9548"/>
      <w:bookmarkStart w:id="234" w:name="_Toc15005"/>
      <w:bookmarkStart w:id="235" w:name="_Toc9473"/>
      <w:bookmarkStart w:id="236" w:name="_Toc13199"/>
      <w:bookmarkStart w:id="237" w:name="_Toc31847"/>
      <w:bookmarkStart w:id="238" w:name="_Toc26613"/>
      <w:bookmarkStart w:id="239" w:name="_Toc24914"/>
      <w:bookmarkStart w:id="240" w:name="_Toc7548"/>
      <w:bookmarkStart w:id="241" w:name="_Toc22228"/>
      <w:bookmarkStart w:id="242" w:name="_Toc8612"/>
      <w:bookmarkStart w:id="243" w:name="_Toc18612"/>
      <w:bookmarkStart w:id="244" w:name="_Toc1257"/>
      <w:bookmarkStart w:id="245" w:name="_Toc6632"/>
      <w:r>
        <w:rPr>
          <w:rFonts w:hint="eastAsia" w:asciiTheme="minorEastAsia" w:hAnsiTheme="minorEastAsia" w:eastAsiaTheme="minorEastAsia" w:cstheme="minorEastAsia"/>
          <w:b/>
          <w:sz w:val="21"/>
          <w:szCs w:val="21"/>
        </w:rPr>
        <w:t>标准和规范</w:t>
      </w:r>
      <w:bookmarkEnd w:id="229"/>
      <w:bookmarkEnd w:id="230"/>
      <w:bookmarkEnd w:id="231"/>
    </w:p>
    <w:p w14:paraId="3D6E2E7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适用现行国家、行业和工程所在地市规范、标准和规程。所采用的标准与规范应满足施工图纸、设计单位的要求；满足国家、地方、行业颁布以及后续颁布的规范、标准、规程；满足国家、地方颁布实施的有关法律、法规、文件等。上述图纸、标准、规范、规程若有不一致或矛盾之处，按较为严格标准执行。</w:t>
      </w:r>
    </w:p>
    <w:p w14:paraId="3D6E2E7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构成合同文件的任何内容与国家、行业和工程所在地市现行规范、规程和标准出现矛盾时，乙方应书面要求甲方予以澄清，除非甲方有特别指令，乙方应按其中要求最严格的标准执行。</w:t>
      </w:r>
    </w:p>
    <w:p w14:paraId="3D6E2E7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除合同另有约定外，材料、施工工艺和本分包工程应按技术标准和要求以及国家、行业和工程所在地市现行规范、标准和规程最新版本执行。</w:t>
      </w:r>
    </w:p>
    <w:p w14:paraId="3D6E2E79">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246" w:name="_Toc101357418"/>
      <w:bookmarkStart w:id="247" w:name="_Toc101963485"/>
      <w:bookmarkStart w:id="248" w:name="_Toc175772226"/>
      <w:r>
        <w:rPr>
          <w:rFonts w:hint="eastAsia" w:asciiTheme="minorEastAsia" w:hAnsiTheme="minorEastAsia" w:eastAsiaTheme="minorEastAsia" w:cstheme="minorEastAsia"/>
          <w:b/>
          <w:sz w:val="21"/>
          <w:szCs w:val="21"/>
          <w:lang w:eastAsia="zh-CN"/>
        </w:rPr>
        <w:t>合同文件组成及解释顺序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D6E2E7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除专用合同条款另有约定外，组成本合同的文件及优先解释顺序如下：</w:t>
      </w:r>
    </w:p>
    <w:p w14:paraId="3D6E2E7B">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w:t>
      </w:r>
    </w:p>
    <w:p w14:paraId="3D6E2E7C">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中标通知书（如有）；</w:t>
      </w:r>
    </w:p>
    <w:p w14:paraId="3D6E2E7D">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专用合同条款及承诺书等合同附件；</w:t>
      </w:r>
    </w:p>
    <w:p w14:paraId="3D6E2E7E">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通用合同条款；</w:t>
      </w:r>
    </w:p>
    <w:p w14:paraId="3D6E2E7F">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标准、规范及有关技术标准和要求；</w:t>
      </w:r>
    </w:p>
    <w:p w14:paraId="3D6E2E80">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施工图纸、施工组织设计或施工方案；</w:t>
      </w:r>
    </w:p>
    <w:p w14:paraId="3D6E2E81">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已标价的工程量清单；</w:t>
      </w:r>
    </w:p>
    <w:p w14:paraId="3D6E2E82">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往来资料及函件；</w:t>
      </w:r>
    </w:p>
    <w:p w14:paraId="3D6E2E83">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招标文件及补遗文件（如有）；</w:t>
      </w:r>
    </w:p>
    <w:p w14:paraId="3D6E2E84">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甲方现场管理制度及要求；</w:t>
      </w:r>
    </w:p>
    <w:p w14:paraId="3D6E2E85">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投标文件及附件；</w:t>
      </w:r>
    </w:p>
    <w:p w14:paraId="3D6E2E86">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与本合同有关的其他文件。</w:t>
      </w:r>
    </w:p>
    <w:p w14:paraId="3D6E2E8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在合同订立及履行过程中形成的与合同有关的文件均为合同文件的组成部分。</w:t>
      </w:r>
    </w:p>
    <w:p w14:paraId="3D6E2E8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上述各项合同文件中包括合同当事人就该项合同文件所做出的补充和修改，属于同一类型内容的文件应以最新签署的为准。</w:t>
      </w:r>
    </w:p>
    <w:p w14:paraId="3D6E2E8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组成合同的各项文件应互相解释，互为说明。本合同约定解释合同文件的优先顺序同上述排列次序，在合同订立及履行过程中形成的与合同有关的文件根据其性质确定优先解释顺序。当合同文件与工程规范、技术要求不一致时，应以要求较高的标准执行。</w:t>
      </w:r>
    </w:p>
    <w:p w14:paraId="3D6E2E8A">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49" w:name="_Toc5199"/>
      <w:bookmarkStart w:id="250" w:name="_Toc494"/>
      <w:bookmarkStart w:id="251" w:name="_Toc32415"/>
      <w:bookmarkStart w:id="252" w:name="_Toc10197"/>
      <w:bookmarkStart w:id="253" w:name="_Toc10762"/>
      <w:bookmarkStart w:id="254" w:name="_Toc26319"/>
      <w:bookmarkStart w:id="255" w:name="_Toc28671"/>
      <w:bookmarkStart w:id="256" w:name="_Toc175772227"/>
      <w:bookmarkStart w:id="257" w:name="_Toc2101"/>
      <w:bookmarkStart w:id="258" w:name="_Toc101963486"/>
      <w:bookmarkStart w:id="259" w:name="_Toc101357419"/>
      <w:bookmarkStart w:id="260" w:name="_Toc12825"/>
      <w:bookmarkStart w:id="261" w:name="_Toc8737"/>
      <w:bookmarkStart w:id="262" w:name="_Toc3330"/>
      <w:bookmarkStart w:id="263" w:name="_Toc24518"/>
      <w:bookmarkStart w:id="264" w:name="_Toc23198"/>
      <w:bookmarkStart w:id="265" w:name="_Toc24763"/>
      <w:r>
        <w:rPr>
          <w:rFonts w:hint="eastAsia" w:asciiTheme="minorEastAsia" w:hAnsiTheme="minorEastAsia" w:eastAsiaTheme="minorEastAsia" w:cstheme="minorEastAsia"/>
          <w:b/>
          <w:sz w:val="21"/>
          <w:szCs w:val="21"/>
        </w:rPr>
        <w:t>甲方工作</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D6E2E8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负责将电源配送至一、二级电箱及线路装配。</w:t>
      </w:r>
    </w:p>
    <w:p w14:paraId="3D6E2E8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表甲方行使本合同权利、履行本合同义务的机构是其成立的项目部，负责人为项目经理，代表甲方行使本合同的约定责任。对乙方不服从现场管理或有其他违约行为，项目经理可下达整改、处罚通知、追究违约责任。</w:t>
      </w:r>
      <w:r>
        <w:rPr>
          <w:rFonts w:hint="eastAsia" w:asciiTheme="minorEastAsia" w:hAnsiTheme="minorEastAsia" w:eastAsiaTheme="minorEastAsia" w:cstheme="minorEastAsia"/>
          <w:b/>
          <w:bCs/>
          <w:sz w:val="21"/>
          <w:szCs w:val="21"/>
          <w:lang w:eastAsia="zh-CN"/>
        </w:rPr>
        <w:t>甲方可以变更或撤销关于项目经理的委派，对于变更或撤销后原项目经理发出的指令或签字等往来文件，不作为甲方对乙方的确认或承诺。</w:t>
      </w:r>
      <w:r>
        <w:rPr>
          <w:rFonts w:hint="eastAsia" w:asciiTheme="minorEastAsia" w:hAnsiTheme="minorEastAsia" w:eastAsiaTheme="minorEastAsia" w:cstheme="minorEastAsia"/>
          <w:b/>
          <w:sz w:val="21"/>
          <w:szCs w:val="21"/>
          <w:lang w:eastAsia="zh-CN"/>
        </w:rPr>
        <w:t>涉及项目部及其管理人员无权办理的相关事项，任何形式的签字、盖章均无效，甲方不承担相应责任。项目部公章为公司授权在施工管理过程中使用的印章，该枚印章授权使用范围仅为项目往来函件、洽谈变更（同业主方）等履约过程中的文件，不包括签署任何合同及补充协议、任何经济性协议、任何经济性承诺、开具收款收据、办理结算等事项。</w:t>
      </w:r>
    </w:p>
    <w:p w14:paraId="3D6E2E8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负责编制施工组织设计，统一制定各项管理目标，组织编制年、季、月施工计划、物资需用量计划表，实施对工程质量、工期、安全生产、文明施工、计量、试验等工作的控制、监督、检查和验收。</w:t>
      </w:r>
    </w:p>
    <w:p w14:paraId="3D6E2E8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的约定向乙方提供图纸，并根据本分包工程进度计划组织图纸会审和技术交底。甲方可以随时根据现场实际情况对施工图纸进行补充和变更、对工艺工序和施工方案以及进度计划进行调整、对乙方施工条件作出改变等，乙方应执行以上指示，并受其约束。</w:t>
      </w:r>
    </w:p>
    <w:p w14:paraId="3D6E2E8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负责整个施工现场的管理工作，负责定期组织召开生产例会，协调乙方与现场其它分包商、施工工序之间的关系。</w:t>
      </w:r>
    </w:p>
    <w:p w14:paraId="3D6E2E9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甲方认为乙方管理人员（包括乙方项目经理、现场负责人及其他管理人员）不能按照合同约定履行职责或义务的，可以要求乙方无条件进行撤换，并委派新的管理人员接替。</w:t>
      </w:r>
    </w:p>
    <w:p w14:paraId="3D6E2E9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负责审查乙方本专业分包工程的施工组织设计和施工方案。但这种审查通过并不能免除乙方承担因方案缺陷、错误所导致各种后果的一切相关责任。</w:t>
      </w:r>
    </w:p>
    <w:p w14:paraId="3D6E2E9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如果乙方在本工程质量、进度、安全、现场管理等方面满足不了建设单位、甲方的要求时，甲方可将分包合同范围内的工作承包给其它分包单位，其所需费用应由乙方承担，并从其应结款项扣除；如其应结款项不足以承担所需费用，则超出部分可由其履约担保金中扣回，如履约担保金仍不能满足所需费用超出部分，甲方保留其他追索权</w:t>
      </w:r>
      <w:r>
        <w:rPr>
          <w:rFonts w:hint="eastAsia" w:asciiTheme="minorEastAsia" w:hAnsiTheme="minorEastAsia" w:eastAsiaTheme="minorEastAsia" w:cstheme="minorEastAsia"/>
          <w:sz w:val="21"/>
          <w:szCs w:val="21"/>
          <w:lang w:eastAsia="zh-CN"/>
        </w:rPr>
        <w:t>。</w:t>
      </w:r>
    </w:p>
    <w:p w14:paraId="3D6E2E93">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不服从甲方现场管理人员指挥、不按操作规程作业、有明显拖延工期倾向且无有效的安全、质量、进度保证措施及整改措施时，甲方可单方面解除合同，并保留对乙方追索的权利，乙方不得因解除合同向甲方提出任何索赔。由此对甲方造成其他损失的，甲方保留追索权。</w:t>
      </w:r>
    </w:p>
    <w:p w14:paraId="3D6E2E9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甲方负责整体工程安全文明施工和环境保护工作，对乙方的绿色施工管理工作进行指导和监督，督促乙方遵守关于大气污染和绿色施工的相关管理规定，对施工现场范围内各乙方的绿色施工进行统筹管理。</w:t>
      </w:r>
    </w:p>
    <w:p w14:paraId="3D6E2E9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负责组织分部工程、本分包工程的交（竣）工验收工作。</w:t>
      </w:r>
    </w:p>
    <w:p w14:paraId="3D6E2E9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负责统一安排工程档案资料的收集、整理及交工验收。</w:t>
      </w:r>
    </w:p>
    <w:p w14:paraId="3D6E2E9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健全农民工管理体系，甲方监督乙方依法与招用的农民工签订劳动合同并严格履行合同内容，建立职工花名册并办理劳动备案；全面实行农民工实名制管理制度，建立劳动计酬手册，记录施工现场作业农民工的身份信息、劳动考勤、工资结算等信息，实现信息化实名制管理；加强对乙方劳动用工和工资发放的监督管理，在工程项目部配备劳资专管员，建立施工人员进出场登记制度和考勤计量、工资支付等管理台账，实时掌握施工现场用工及其工资支付情况，不得以包代管。</w:t>
      </w:r>
    </w:p>
    <w:p w14:paraId="3D6E2E9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负责对农民工的进场安全教育，并积极组织相关考试，按照管理要求将教育情况、考试情况录入劳务实名制管理平台。</w:t>
      </w:r>
    </w:p>
    <w:p w14:paraId="3D6E2E9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建立健全项目后勤管理相关制度，做好包括乙方办公区、工人生活区的物业化管理制度、流程及标准。甲方可进行过程中的检查、督办整改，并根据具体情况予以处罚。乙方未遵守相关制度规定或不满足属地政府、办事处等有关部门的要求，引发的不良后果及给甲方造成的损失由乙方承担。</w:t>
      </w:r>
    </w:p>
    <w:p w14:paraId="3D6E2E9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负责核实乙方现场实际投入本工程项目（工序）的主要管理人员、技术人员的配备是否与合同约定相符，并对主要管理人员、技术人员的出勤状况进行考核。</w:t>
      </w:r>
    </w:p>
    <w:p w14:paraId="3D6E2E9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负责做好材料消耗数量管理，对乙方使用的材料消耗进行对比分析，按合同规定对乙方进行扣款。</w:t>
      </w:r>
    </w:p>
    <w:p w14:paraId="3D6E2E9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负责核实乙方现场实际投入本工程项目（工序）的主要机械设备的规格、数量、进退场时间是否与合同约定相符。</w:t>
      </w:r>
    </w:p>
    <w:p w14:paraId="3D6E2E9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做好机械设备管理工作，对乙方进场的机械设备进行验收并登记造册，监督乙方对租赁机械设备费用的及时支付。</w:t>
      </w:r>
    </w:p>
    <w:p w14:paraId="3D6E2E9E">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66" w:name="_Toc4268"/>
      <w:bookmarkStart w:id="267" w:name="_Toc15331"/>
      <w:bookmarkStart w:id="268" w:name="_Toc24013"/>
      <w:bookmarkStart w:id="269" w:name="_Toc101963487"/>
      <w:bookmarkStart w:id="270" w:name="_Toc26413"/>
      <w:bookmarkStart w:id="271" w:name="_Toc22501"/>
      <w:bookmarkStart w:id="272" w:name="_Toc15691"/>
      <w:bookmarkStart w:id="273" w:name="_Toc101357420"/>
      <w:bookmarkStart w:id="274" w:name="_Toc17585"/>
      <w:bookmarkStart w:id="275" w:name="_Toc7322"/>
      <w:bookmarkStart w:id="276" w:name="_Toc8122"/>
      <w:bookmarkStart w:id="277" w:name="_Toc15315"/>
      <w:bookmarkStart w:id="278" w:name="_Toc18862"/>
      <w:bookmarkStart w:id="279" w:name="_Toc13995"/>
      <w:bookmarkStart w:id="280" w:name="_Toc28386"/>
      <w:bookmarkStart w:id="281" w:name="_Toc175772228"/>
      <w:bookmarkStart w:id="282" w:name="_Toc17055"/>
      <w:r>
        <w:rPr>
          <w:rFonts w:hint="eastAsia" w:asciiTheme="minorEastAsia" w:hAnsiTheme="minorEastAsia" w:eastAsiaTheme="minorEastAsia" w:cstheme="minorEastAsia"/>
          <w:b/>
          <w:sz w:val="21"/>
          <w:szCs w:val="21"/>
        </w:rPr>
        <w:t>乙方工作</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D6E2E9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为完成本分包工程而设置合理可行的现场组织机构，并委派具备相应岗位资格的管理人员，进场前应将管理人员的资料报甲方备案。除非获得甲方书面同意，乙方不得更换或撤回主要管理人员（现场负责人、技术负责人、安全负责人等）。在合同签订时，乙方应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可以单方解除合同。</w:t>
      </w:r>
    </w:p>
    <w:p w14:paraId="3D6E2EA0">
      <w:pPr>
        <w:numPr>
          <w:ilvl w:val="1"/>
          <w:numId w:val="3"/>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使用专用合同条款中约定的电子邮箱或联系地址收发与本分包工程有关的电子文件和书面文件，电子文件与书面文件具有相同的法律效力，电子文件投递至甲方服务器系统时生效，书面文件寄出后的第三个工作日或收件人实际签收日（以先到的时间为准）视为送达，选择直接送达的，则递交时视为送达。乙方电子邮箱或联系地址发生变更的，应在变更发生后5日内以书面形式加盖与本分包合同一致的印章通知甲方，未书面通知甲方的，视为原电子邮箱和联系地址继续有效，由此造成的任何损失由乙方承担。</w:t>
      </w:r>
    </w:p>
    <w:p w14:paraId="3D6E2EA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甲方的总体部署下，负责编制本分包工程的施工组织设计，包括各项保证工期、质量、安全的措施以及冬雨季施工措施，按照经甲方批准的本分包工程施工组织设计及甲方根据本合同发出的指令要求组织施工，未经甲方同意不得擅自更改施工方案及工艺。乙方施工组织应该符合项目整体施工组织计划的要求，涉及与其他分包工程交叉作业的工作，应采用甲方认可的合理工序进行搭接。</w:t>
      </w:r>
    </w:p>
    <w:p w14:paraId="3D6E2EA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审查并识别分包工程的设计图纸或工程建设标准、技术要求中存在的错误、遗漏、矛盾或其他缺陷，并及时通知甲方，根据甲方指令决定下一步施工安排。因乙方未能识别或识别后未及时通知导致返工或导致安全、质量等问题造成其他经济损失的，由乙方负责无偿整改恢复并承担其他经济损失，工期不予顺延。</w:t>
      </w:r>
    </w:p>
    <w:p w14:paraId="3D6E2EA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本合同签订后3天内向甲方项目经理部提交分包工程总体进度计划，并按甲方的具体要求提交年度、季度、月度、周工程进度计划。如乙方不能按甲方批准的进度计划施工时，应根据甲方的要求提交一份修订的进度计划，以保证分包工程如期竣工。</w:t>
      </w:r>
    </w:p>
    <w:p w14:paraId="3D6E2EA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编制与施工组织设计相适应的劳动力安排计划，劳动力安排计划应当包括分包作业人员数量、工种、进场时间、退场时间以及劳务费支付计划等，劳动力安排计划应当经甲方批准后实施。乙方应当组织具有相应资格证书和符合本合同分包作业要求的分包作业人员投入工作。未经甲方书面准许，乙方不得擅自调整和撤走进驻工地人员。私自调整进驻工地人员，所导致的经济损失由乙方负责。</w:t>
      </w:r>
    </w:p>
    <w:p w14:paraId="3D6E2EA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提供的图纸和文件，未经甲方同意，乙方不得为本合同履约以外的目的，泄露给他人或公开发表与引用，乙方施工完毕需将纸质图纸完整交回甲方。未经甲方书面同意，乙方不得为了本合同履约以外的目的而复制、使用上述文件或将之转让、泄露给任何第三方。乙方应负责分包工程范围内图纸的保密工作，乙方的保密义务在分包合同终止后，应当继续履行。</w:t>
      </w:r>
    </w:p>
    <w:p w14:paraId="3D6E2EA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对甲方的技术交底（含技术交底图纸）进行认真审核与校对，当发生下列各项情况之一时，乙方应立即以书面形式报告甲方工程部门进行确认，待甲方确认可后，方可进行施工。由于乙方未对所承担工程项目（工序）的技术交底（含技术交底图纸）进行认真的审核和校对，造成甲方损失的，由乙方承担全部责任并承担返工费用。</w:t>
      </w:r>
    </w:p>
    <w:p w14:paraId="3D6E2EA7">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技术交底（含技术交底图纸）与工程实际不符，如施工位置、地质、设计高程及技术交底图纸、技术交底所标明的设计数据、施工要求与实际不符；</w:t>
      </w:r>
    </w:p>
    <w:p w14:paraId="3D6E2EA8">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技术交底（含技术交底图纸）表示不明确或有遗漏、错误、图纸与文字说明不符，工程数量有误等；</w:t>
      </w:r>
    </w:p>
    <w:p w14:paraId="3D6E2EA9">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技术交底（含技术交底图纸）中的常识性错误。</w:t>
      </w:r>
    </w:p>
    <w:p w14:paraId="3D6E2EA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其设计资质等级和业务允许的范围内对图纸进行深化设计并承担费用，乙方对其自行设计的图纸负有全部的法律责任。深化设计不得改变施工图设计的建筑做法、功能、材料等，不能超出施工图界定的施工范围。不得以深化设计作为索赔条件，要求增加费用。</w:t>
      </w:r>
    </w:p>
    <w:p w14:paraId="3D6E2EA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乙方承担复制、重新绘制、翻译、购买标准图纸的责任和费用，乙方负责按甲方要求，收集、整理、编制本分包工程的中间交工资料、竣工资料及竣工图,并在甲方规定的时间内提交。</w:t>
      </w:r>
    </w:p>
    <w:p w14:paraId="3D6E2EA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工程除甲方以外的测量、放线、监测工作，负责对本工程的基准坐标点、高程点、沉降及位移观测点的保护工作，确保不被破坏，并且确保所施工工程结构定位、标高、几何尺寸等的准确性，因施工偏差而造成的其他分包工程的返工、返修，其费用由乙方承担，甲方可以在未得到乙方书面确认的前提下从乙方结算价款中直接扣除。并为自带的全站仪、经纬仪、水准仪、激光铅垂仪、尺等测量仪器向甲方提供检测合格的报告加盖乙方公章的复印件一份，并在检测有效期内使用，费用自理，同时乙方必须配备必要的测量人员。施工控制网点丢失或损坏的，乙方应及时修复并承担费用。</w:t>
      </w:r>
    </w:p>
    <w:p w14:paraId="3D6E2EA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负责提供除本合同约定甲方提供资源和服务以外的所有实施本工程所必须的资源。负责随时接受建设单位、监理及甲方的监督检查和指导，并为其日常检查查验提供便利和安全条件。</w:t>
      </w:r>
    </w:p>
    <w:p w14:paraId="3D6E2EA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在进行中间验收前24小时以书面形式通知甲方进行验收，未经甲方同意不得进入下道工序施工，由于未报验导致的一切损失和责任由乙方承担。乙方按本合同规定完成合同内全部工作后，向甲方提出竣工验收要求，竣工验收按国家规定程序及甲方的要求办理。</w:t>
      </w:r>
    </w:p>
    <w:p w14:paraId="3D6E2EA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乙方应严格执行样板（首件制）制度，样板（首件制）验收合格后方可进行大面积施工。</w:t>
      </w:r>
    </w:p>
    <w:p w14:paraId="3D6E2EB0">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负责现场数据资料的编写。必须指定专人配合甲方进行本工程所须的一切检测试验工作（含第三方见证试验），配合甲方进行和完成承包工程所需的所有甲方、建设单位、有关政府部门/单位要求的各种试验工作。</w:t>
      </w:r>
    </w:p>
    <w:p w14:paraId="3D6E2EB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如由甲方提供宿舍的，乙方负责甲方提供宿舍内设施的维护和维修，费用包含在综合单价内。水费、电费、水电表安装费用由乙方承担。工人退场后，应及时向甲方退宿舍；并确保宿舍内电器、空调、插座、电线线路、遥控、开关、床、吊顶等完好可用，宿舍卫生需打扫干净。若上述设备设施损坏，维修费用由乙方承担，在付款时直接自乙方的应得款项中扣除；宿舍卫生打扫不干净，按照每间宿舍100元扣款。并保证办公生活区满足消防要求。②乙方自身办公、住宿、饮食由乙方自行负责，包括但不限于房屋、办公及生活设施、卫生设施、水电费、第二场地租赁费、其它临时设施费、灭火器和生活垃圾清运费等。但必须服从甲方管理，达到甲方的安全文明施工要求。</w:t>
      </w:r>
    </w:p>
    <w:p w14:paraId="3D6E2EB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过程中乙方应按甲方要求对施工现场临时设施、工作面、工人生活区、现场内外临时道路等进行清理，保证施工场地每日场容整洁，对模板（清理干净，长期不用的涂刷隔离剂）、周转料具等分类整理、码放，建筑垃圾和材料运至甲方指定堆放地点，并承担相关费用。若乙方未做到或无故拖延，甲方将委托他人代为清理，清理产生的费用由乙方承担，在付款时直接自乙方的应得款项中扣除。无条件配合甲方现场施工观摩、上级检查、质量验收工作，若因乙方劳动力不足，甲方另行委派其他队伍清理乙方场地，相关费用由乙方承担，从结算价款中扣除。</w:t>
      </w:r>
    </w:p>
    <w:p w14:paraId="3D6E2EB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合理组织现场施工生产，充分利用已有机械设备、脚手架、临时道路、水电设施、消防设施及其他生产及安全设施，确保在甲方要求的时间内完成分包工作。若因乙方自身原因，造成已有设备和设施拆除后仍有剩余工作内容未完的，乙方必须另行配备足够的设备和搭建设施，并承担相关费用，保证如期履约。</w:t>
      </w:r>
    </w:p>
    <w:p w14:paraId="3D6E2EB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接收工作面时，应组织三方交接，做好交接记录。需要上一道工序的分包单位进行质量整改的，应及时提出，未及时提出的，视为移交的上一道工序合格，施工过程中乙方不得向甲方提出质量修复或因此增加费用。</w:t>
      </w:r>
    </w:p>
    <w:p w14:paraId="3D6E2EB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若分包施工涉及工程防渗漏问题，乙方必须采取防渗漏措施，并在施工方案中体现，经甲方审核后实施。若由于乙方分包施工过程管控不严而产生渗漏，由此产生的直接及间接损失均由乙方承担。</w:t>
      </w:r>
    </w:p>
    <w:p w14:paraId="3D6E2EB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乙方应在分包工程完工后 7 日内将所有剩余物料清退出场，移交施工场地，并负责清理本工程项目的标志、污斑、指印、油污和脏污等，达到交工前的清理标准。若因乙方的延误，后续分包单位不能顺利进场施工，甲方将按照实际损失从乙方结算价款中进行追偿。</w:t>
      </w:r>
    </w:p>
    <w:p w14:paraId="3D6E2EB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工程的成品保护工作直至本工程移交验收，并不得损坏他方的材料、成品及半成品，违反上述工作要求的一切责任和费用均由乙方承担。本分包工程交叉作业区域的成品保护工作由乙方自行协商解决，自行协商无果的，由甲方裁定当事方负责交叉区域的成品保护，当事方应无条件执行。</w:t>
      </w:r>
    </w:p>
    <w:p w14:paraId="3D6E2EB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甲方在最终施工时可能对图纸、技术方案、施工范围和内容，以及进度节点和施工顺序、其他施工条件进行调整，乙方应按甲方要求实施并如期交付，合同价款已考虑所有费用的差异。</w:t>
      </w:r>
    </w:p>
    <w:p w14:paraId="3D6E2EB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负责本分包工程档案资料的编制、整理、组卷并按照专用合同条款中的约定移交甲方。</w:t>
      </w:r>
    </w:p>
    <w:p w14:paraId="3D6E2EB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乙方有义务保管、维护施工范围现场临水、临电、临时消防设施，负责二级以下至施工工作面的配电，同时必须达到甲方的安全文明施工要求，其费用包含在合同单价之内。</w:t>
      </w:r>
    </w:p>
    <w:p w14:paraId="3D6E2EBB">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如果同一现场内有甲方分包的其它分包商，乙方应无条件为甲方的其它分包商提供合同中所约定的施工资源，其费用已包含在合同价款中，任何情况下均不得调整。</w:t>
      </w:r>
    </w:p>
    <w:p w14:paraId="3D6E2EB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乙方项目经理应按甲方要求准时参加由建设单位、监理单位、甲方（三方中任一方）主持的现场办公例会，并服从于会议决议以及甲方的协调管理。若乙方项目经理无法正常参加会议，需书面委托有相应决策权的代表参加。</w:t>
      </w:r>
    </w:p>
    <w:p w14:paraId="3D6E2EB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施工场地周围建筑物、构筑物、地下管线、光缆、文物的保护工作，凡因乙方原因导致施工场地周围建筑物、构筑物和现场内外的各种管线、文物的破坏，乙方应承担相应责任及损失，延误的工期不予顺延。在施工中发现古墓、古建筑遗址等文物及其他有考古、地质研究等价值的物品时，乙方应保护好现场并于4小时内以书面形式通知甲方，并按文物管理要求采取妥善保护措施及协调有关事项，有关费用及工期影响按本合同规定执行。如发现后隐瞒不报，致使文物遭受破坏，责任者依法承担相应责任。</w:t>
      </w:r>
    </w:p>
    <w:p w14:paraId="3D6E2EB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遵守当地各级管理机构关于扰民的规定，负责因自身施工不当或违反操作规程等原因引起的扰民和民扰事宜的处理。乙方应当清楚地预计到施工期间对外界可能产生的必需的不可能避免的干扰，并为此保证主动努力减少这些干扰对外界的影响，且应当积极主动与外界进行协调，将本施工对扰民的影响降到最低限，不能对甲方产生任何负面影响；凡因乙方原因造成的扰民和民扰，其责任和经济损失由乙方承担，乙方并确保甲方免于承担该等责任。必须严格遵守国家及当地省市的法律、法规，服从并执行甲方对现场质量、安全、文明施工、环境保护、施工场地交通、施工噪音、劳动保障等各项制度、规定，并按要求办理有关手续，遵守甲方关于现场管理的相关规定和要求。乙方承担任何因执行上述制度、规定不力或违反上述制度、规定造成的一切损失及责任，并保证甲方免于因乙方过失造成的损失及承担的责任。</w:t>
      </w:r>
    </w:p>
    <w:p w14:paraId="3D6E2EB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订后乙方须向甲方提交企业营业执照、施工资质证书、施工安全生产许可证等加盖公章的复印件供甲方存档，如在合同期内各项证书发生变更、年审更新等情况，乙方应主动提供更新资料给甲方。乙方须遵守国家及当地省市关于承包工程所需资质和技术能力的有关规定，并已获得政府认定的在本地从事承包工作的资格，有关资料虽经甲方审查，亦不能减免乙方应负的责任。</w:t>
      </w:r>
    </w:p>
    <w:p w14:paraId="3D6E2EC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乙方向甲方提供施工人员名单（外来人员需经当地项目建设行政主管部门外管处备案）及上岗证、操作人员100%持证上岗，特殊工种要100%持证上岗。</w:t>
      </w:r>
    </w:p>
    <w:p w14:paraId="3D6E2EC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乙方未经甲方的书面批准不得做出任何关于本工程宣传报道、竖立标牌、广告及单方面发表技术成果、专利等有关CI及知识产权方面的事宜。</w:t>
      </w:r>
    </w:p>
    <w:p w14:paraId="3D6E2EC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使用任何材料、甲方设备、工程设备或采用施工工艺时，因侵犯专利权或其他知识产权所引起的责任，由乙方承担，但由于遵照甲方提供的设计或技术标准和要求引起的除外（乙方应在投标阶段充分考虑施工过程存在的专利使用费用,并包含在报价中）。</w:t>
      </w:r>
    </w:p>
    <w:p w14:paraId="3D6E2EC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承担甲方按照总承包合同需向建设单位承担的有关本工程的责任和义务，乙方应在上述责任和义务涉及的范围内保障和保证甲方免于遭受任何与本合同的履行有关的或因其引起的一切索赔、诉讼、违约金、损失赔偿或其他任何费用。</w:t>
      </w:r>
    </w:p>
    <w:p w14:paraId="3D6E2EC4">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应保障和保证甲方免于承担由乙方、乙方工人或其雇佣的任何其他人员的任何疏忽造成的损失，及其所属上述人员对于甲方提供的临时工程的任何误用造成的损失，保障和保证甲方免于遭受与上述事宜相关的一切损失、索赔或诉讼。</w:t>
      </w:r>
    </w:p>
    <w:p w14:paraId="3D6E2EC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与所招用的农民工依法签订书面劳动合同，确立劳动关系。劳动合同必须明确规定工资支付标准（不低于当地最低工资标准）、支付形式、支付日期和项目名称等条款，工人工资约定内容要便于计量和支付。劳动合同应不少于一式三份，乙方与施工人员各持一份，剩余一份在乙方进场前提交甲方进行备案。乙方必须每月足额按照应付实际施工人员工资向甲方上报施工人员考勤及其工资表，并对考勤及其工资表真实性负责。因乙方上报资料不齐、虚假等造成不良后果的，乙方除承担费用损失外，对甲方造成信誉、社会、履约等影响的，甲方可随时中止本合同，并保留对乙方的追索权。</w:t>
      </w:r>
    </w:p>
    <w:p w14:paraId="3D6E2EC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乙方必须执行国家和地方关于农民工工资管理的规定，保证农民工工资按月足额发放，不得随意挪用；若乙方擅自挪用农民工工资而引起农民工群体上访等事件，均由乙方负责承担相关法律责任及经济赔偿责任。</w:t>
      </w:r>
    </w:p>
    <w:p w14:paraId="3D6E2EC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乙方进场后立即办理相关手续，如：暂住证、健康证等证件，乙方施工人员应持证上岗；劳动力进场后立即组织其进行入场的“三级教育”和法制教育，使职工做到安全生产，不违章、违纪、违法。</w:t>
      </w:r>
    </w:p>
    <w:p w14:paraId="3D6E2EC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专用合同条款的要求配备劳资专管员，为每位进场人员在甲方备案，配合甲方进行农民工实名制的信息化管理；配合甲方完成当地政府相关的各种检查，并提供相应的手续和证件；每月向甲方报送一次加盖乙方公章的施工人员花名册。</w:t>
      </w:r>
    </w:p>
    <w:p w14:paraId="3D6E2EC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的实名制管理负直接责任。乙方要做到八统一标准：身份证、暂住证、岗位证书、劳动合同书、人员备案证明、花名册、考勤表、工资表统一。签订合同7日内，乙方将实名制资料提交甲方劳务管理人员审核备案，无实名制资料人员严禁进入施工现场。施工过程中乙方应按甲方要求做好实名制资料管理并随时配合甲方检查。</w:t>
      </w:r>
    </w:p>
    <w:p w14:paraId="3D6E2EC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实名制管理的工资支付负直接责任。不得以工程款未到位等为由克扣或拖欠农民工工资，不得将合同应收工程款等经营风险转嫁给农民工。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天内，需将上述资料复印件加盖乙方公章后提交至甲方存档。乙方人员进退场费用、驻地只施工场地的通行费用由乙方承担，甲方不再另行支付费用。</w:t>
      </w:r>
    </w:p>
    <w:p w14:paraId="3D6E2EC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农民工考勤采用手机端云筑劳务APP、刷脸、闸机等多种方式，每日在全国建筑工人实名制管理平台对劳务人员进行考勤，甲方劳务管理员负责监督管理，乙方擅自使用未在全国建筑工人实名制管理平台进行考勤的人员，甲方不予认可，相应后果由乙方承担。</w:t>
      </w:r>
    </w:p>
    <w:p w14:paraId="3D6E2EC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配备生活区管理员并派专人负责工人生活区保洁工作，费用由乙方承担，按照甲方各项制度要求，对所属员工进行交底培训，对违反制度的人员及现场及时教育改正，如经检查不符合现场管理规定，乙方应限期整改。</w:t>
      </w:r>
    </w:p>
    <w:p w14:paraId="3D6E2ECD">
      <w:pPr>
        <w:numPr>
          <w:ilvl w:val="1"/>
          <w:numId w:val="3"/>
        </w:numPr>
        <w:kinsoku w:val="0"/>
        <w:spacing w:after="0" w:line="360" w:lineRule="auto"/>
        <w:jc w:val="both"/>
        <w:rPr>
          <w:lang w:eastAsia="zh-CN"/>
        </w:rPr>
      </w:pPr>
      <w:r>
        <w:rPr>
          <w:rFonts w:hint="eastAsia" w:asciiTheme="minorEastAsia" w:hAnsiTheme="minorEastAsia" w:eastAsiaTheme="minorEastAsia" w:cstheme="minorEastAsia"/>
          <w:sz w:val="21"/>
          <w:szCs w:val="21"/>
          <w:lang w:eastAsia="zh-CN"/>
        </w:rPr>
        <w:t>乙方要严格执行甲方与国家、地方政府常态化疫情防控要求，制定疫情常态化防控工作方案，建立疫情常态化防控工作体系，配备疫情防控人员，完善疫情防控管理制度。因疫情防控管理产生的相关费用包含在合同单价之内。</w:t>
      </w:r>
    </w:p>
    <w:p w14:paraId="3D6E2EC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乙方应严格遵守环保和文明施工的法律、法规和行业标准规定以及甲方的有关规定，积极开展环保、节能减排、水土保持等相关工作。</w:t>
      </w:r>
    </w:p>
    <w:p w14:paraId="3D6E2EC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w:t>
      </w:r>
    </w:p>
    <w:p w14:paraId="3D6E2ED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实际施工过程中甲方可以根据实际施工情况增加或减少乙方的施工内容，乙方必须按照甲方的指令进行施工，确保现场施工进度，并且不得进行任何工期及费用的索赔。</w:t>
      </w:r>
    </w:p>
    <w:p w14:paraId="3D6E2ED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当积极维护甲方名誉，不得以中建集团、中建xxx局及其下属公司、甲方及甲方关联公司、项目部等名义发布自媒体作品，接受媒体、建设单位、行政机关、司法机关等第三方的采访、调查、问询等，或通过其他形式发表言论。</w:t>
      </w:r>
    </w:p>
    <w:p w14:paraId="3D6E2ED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乙方不得书面、口头使用甲方企业及其项目部名称，对外进行经济活动。乙方在分包作业工地发生劳动、租赁、买卖等合同纠纷、债务、债权责任，一律由乙方履行和承担责任。</w:t>
      </w:r>
    </w:p>
    <w:p w14:paraId="3D6E2ED3">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83" w:name="_Toc7712"/>
      <w:bookmarkStart w:id="284" w:name="_Toc13570"/>
      <w:bookmarkStart w:id="285" w:name="_Toc101357421"/>
      <w:bookmarkStart w:id="286" w:name="_Toc10226"/>
      <w:bookmarkStart w:id="287" w:name="_Toc101963488"/>
      <w:bookmarkStart w:id="288" w:name="_Toc21935"/>
      <w:bookmarkStart w:id="289" w:name="_Toc175772229"/>
      <w:bookmarkStart w:id="290" w:name="_Toc31633"/>
      <w:bookmarkStart w:id="291" w:name="_Toc8398"/>
      <w:bookmarkStart w:id="292" w:name="_Toc4863"/>
      <w:bookmarkStart w:id="293" w:name="_Toc19801"/>
      <w:bookmarkStart w:id="294" w:name="_Toc17634"/>
      <w:bookmarkStart w:id="295" w:name="_Toc11492"/>
      <w:bookmarkStart w:id="296" w:name="_Toc9009"/>
      <w:bookmarkStart w:id="297" w:name="_Toc11195"/>
      <w:bookmarkStart w:id="298" w:name="_Toc30226"/>
      <w:bookmarkStart w:id="299" w:name="_Toc19137"/>
      <w:r>
        <w:rPr>
          <w:rFonts w:hint="eastAsia" w:asciiTheme="minorEastAsia" w:hAnsiTheme="minorEastAsia" w:eastAsiaTheme="minorEastAsia" w:cstheme="minorEastAsia"/>
          <w:b/>
          <w:sz w:val="21"/>
          <w:szCs w:val="21"/>
        </w:rPr>
        <w:t>技术质量要求</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3D6E2ED4">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sz w:val="21"/>
          <w:szCs w:val="21"/>
          <w:lang w:eastAsia="zh-CN"/>
        </w:rPr>
        <w:t>乙方必须配备满足甲方要求数量的质量检查人员（不少于两人），建立质量管理体系，坚持自检、互检、交接检制度，并为检验提供便利条件，随时接受甲方现场代表和委派人员以及各级质检部门的检查、检验，并按要求返工、修改，承担由自身原因导致的返工、修改费用。为达到上述标准或为达到上述质量标准乙方按照甲方要求施工，所采取的各种措施之费用已包含在合同价款中。</w:t>
      </w:r>
    </w:p>
    <w:p w14:paraId="3D6E2ED5">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标准的评定参考国家、地方或行业的质量检验评定标准，以总包方对业主的最终承诺为准。因乙方原因致使本工程质量达不到本合同约定的质量标准和创优目标，乙方须承担违约责任，甲方将按专用合同条款中约定的比例从分包结算总价中扣除相应金额作为质量违约金，并由乙方承担建设单位因此对甲方的任何罚款或索赔。</w:t>
      </w:r>
    </w:p>
    <w:p w14:paraId="3D6E2ED6">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质量问题整改率：100%。由于乙方发生质量问题对甲方的利益或声誉造成损害时或乙方对质量问题整改不彻底或整改不及时，甲方按照专用条款23.7条约定扣除相应的违约金，工期不予顺延。</w:t>
      </w:r>
    </w:p>
    <w:p w14:paraId="3D6E2ED7">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甲方的过程质量监督检查和工程质量检验不应影响施工正常进行。如影响施工正常进行，且检查检验不合格时，影响正常施工造成的费用增加和（或）工期延误由乙方承担。</w:t>
      </w:r>
    </w:p>
    <w:p w14:paraId="3D6E2ED8">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工程具备隐蔽条件时先由乙方进行自检，并在隐蔽验收前以书面形式通知甲方验收。通知包括隐蔽的内容、验收时间和地点。甲方组织</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6"/>
          <w:sz w:val="21"/>
          <w:szCs w:val="21"/>
          <w:lang w:eastAsia="zh-CN"/>
        </w:rPr>
        <w:t>、监理单位进行验收。乙方准备验收记录，验收合格，甲方、监理单位在验收记录上签字后，乙方可进行隐蔽或继续施工。验收不合格，乙方在甲方限定的时间内修改后重新验收，因此造成的费用增加和（或）工期延误由乙方承担。</w:t>
      </w:r>
    </w:p>
    <w:p w14:paraId="3D6E2ED9">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无论甲方是否进行验收，当其要求对已经隐蔽的工程重新检验时，乙方应按要求进行剥离或开孔，并在检验后重新覆盖或修复。检验合格，甲方承担由此发生的全部费用，赔偿乙方损失，并相应顺延工期。检验不合格，乙方应按照甲方要求进行返工、修复，并承担发生的全部费用，工期不予顺延。</w:t>
      </w:r>
    </w:p>
    <w:p w14:paraId="3D6E2EDA">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乙方应严格按相关工程资料管理的规定，及时、真实、准确地提供完整而规范的技术资料。乙方对资料的完整性、真实性负责。在资料不齐全时，甲方可以扣留部分工程款作为资料抵押金。如果政府、社会在建筑工程评比过程中对技术资料有特殊要求，乙方有义务竭力满足，不得以任何借口拒绝、推诿。</w:t>
      </w:r>
    </w:p>
    <w:p w14:paraId="3D6E2EDB">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00" w:name="_Toc15900"/>
      <w:bookmarkStart w:id="301" w:name="_Toc14890"/>
      <w:bookmarkStart w:id="302" w:name="_Toc25440"/>
      <w:bookmarkStart w:id="303" w:name="_Toc3419"/>
      <w:bookmarkStart w:id="304" w:name="_Toc22854"/>
      <w:bookmarkStart w:id="305" w:name="_Toc21526"/>
      <w:bookmarkStart w:id="306" w:name="_Toc20395"/>
      <w:bookmarkStart w:id="307" w:name="_Toc101357422"/>
      <w:bookmarkStart w:id="308" w:name="_Toc9236"/>
      <w:bookmarkStart w:id="309" w:name="_Toc101963489"/>
      <w:bookmarkStart w:id="310" w:name="_Toc28556"/>
      <w:bookmarkStart w:id="311" w:name="_Toc29241"/>
      <w:bookmarkStart w:id="312" w:name="_Toc834"/>
      <w:bookmarkStart w:id="313" w:name="_Toc6878"/>
      <w:bookmarkStart w:id="314" w:name="_Toc175772230"/>
      <w:bookmarkStart w:id="315" w:name="_Toc22723"/>
      <w:bookmarkStart w:id="316" w:name="_Toc25258"/>
      <w:r>
        <w:rPr>
          <w:rFonts w:hint="eastAsia" w:asciiTheme="minorEastAsia" w:hAnsiTheme="minorEastAsia" w:eastAsiaTheme="minorEastAsia" w:cstheme="minorEastAsia"/>
          <w:b/>
          <w:sz w:val="21"/>
          <w:szCs w:val="21"/>
        </w:rPr>
        <w:t>材料设备管理</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D6E2ED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和设备，乙方应于合同签订后10日内，根据施工图纸、施工进度计划、施工方案编制工程整体材料和设备需用计划。在施工过程中编制材料和设备进场计划，乙方当月根据甲方下达的次月生产计划上报次月甲供材料设备的需求计划，需求计划必须按照不同的工作部位、工作内容、施工工序分别列明详细的计划清单，清单中应列明材料设备规格、品种、数量、进场时间、地点等。在材料和设备进场前乙方需提前15日提供进场计划，且上述材料和设备的计划进场时间须充分考虑材料和设备的加工和准备周期。上述所有计划均须上报甲方审核批准后实施。对于任何乙方所提计划之错误、遗漏、延迟等原因造成的浪费、工期延误及甲方的相应损失，均由乙方承担。甲方对于上述计划的审核批准并不免除乙方的任何责任。</w:t>
      </w:r>
    </w:p>
    <w:p w14:paraId="3D6E2ED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上报需求计划前须按现场实际耗用量（不超过规定的损耗率）认真盘点核算，确保各种规格甲供材料的原材料、半成品库存率不超过一定比例（具体比例在专用条款中予以约定），否则甲方将处以每次2000元以上的罚款，因特殊原因引起的停窝工或甲方书面批准的特殊材料除外。</w:t>
      </w:r>
    </w:p>
    <w:p w14:paraId="3D6E2ED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所有由甲方供应的材料设备，由甲方供应至施工现场，乙方必须及时配合甲方进行共同验收盘点，按照双方确认的数量进行接收，负责卸货、倒运，并由乙方合同签约人或授权人办理领用手续，材料设备一经领用，由乙方负责保管，直至工程完工。</w:t>
      </w:r>
      <w:r>
        <w:rPr>
          <w:rFonts w:hint="eastAsia" w:asciiTheme="minorEastAsia" w:hAnsiTheme="minorEastAsia" w:eastAsiaTheme="minorEastAsia" w:cstheme="minorEastAsia"/>
          <w:b/>
          <w:bCs/>
          <w:sz w:val="21"/>
          <w:szCs w:val="21"/>
          <w:lang w:eastAsia="zh-CN"/>
        </w:rPr>
        <w:t>乙方未参加验收的，视为同意甲方的验收结果，以甲方与供应商双方确认的数量为准。如材料设备的品种、规格、型号、质量、数量不符合要求，乙方应在验收时提出，否则，视为乙方认可甲方提供的材料设备符合要求，如果乙方再行提出其他要求，由此增加的费用和（或）延误的期限均由乙方承担。</w:t>
      </w:r>
      <w:r>
        <w:rPr>
          <w:rFonts w:hint="eastAsia" w:asciiTheme="minorEastAsia" w:hAnsiTheme="minorEastAsia" w:eastAsiaTheme="minorEastAsia" w:cstheme="minorEastAsia"/>
          <w:b/>
          <w:sz w:val="21"/>
          <w:szCs w:val="21"/>
          <w:lang w:eastAsia="zh-CN"/>
        </w:rPr>
        <w:t>由于乙方现场保管不善，造成丢失或损坏，由乙方负责赔偿，由此造成的工期延误不予顺延。所有甲方供应的材料设备，如因甲方原因导致材料退场，乙方应负责提供退场装车、到场卸车、退料等人工配合工作；如因乙方原因导致材料设备退场，材料设备退场所发生的所有费用由乙方承担</w:t>
      </w:r>
      <w:r>
        <w:rPr>
          <w:rFonts w:hint="eastAsia" w:asciiTheme="minorEastAsia" w:hAnsiTheme="minorEastAsia" w:eastAsiaTheme="minorEastAsia" w:cstheme="minorEastAsia"/>
          <w:sz w:val="21"/>
          <w:szCs w:val="21"/>
          <w:lang w:eastAsia="zh-CN"/>
        </w:rPr>
        <w:t>。</w:t>
      </w:r>
    </w:p>
    <w:p w14:paraId="3D6E2ED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对于甲方提供的材料，乙方因自行加工、委托加工等原因必须移出本合同劳动作业范围时，乙方需报甲方审批，甲方批准且双方共同盘点后实施。</w:t>
      </w:r>
    </w:p>
    <w:p w14:paraId="3D6E2EE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设备属甲方所有，只供本合同分包范围内工程专用，乙方不能挪作它用或擅自处理（包括边角余料）。施工节余材料，废旧材料、边角余料由乙方负责回收至指定地点，归甲方所有,若乙方不按照甲方要求送回至甲方指定地点，甲方将以采购价（到场价）上浮</w:t>
      </w:r>
      <w:r>
        <w:rPr>
          <w:rFonts w:hint="eastAsia" w:asciiTheme="minorEastAsia" w:hAnsiTheme="minorEastAsia" w:eastAsiaTheme="minorEastAsia" w:cstheme="minorEastAsia"/>
          <w:sz w:val="21"/>
          <w:szCs w:val="21"/>
          <w:u w:val="single"/>
          <w:lang w:eastAsia="zh-CN"/>
        </w:rPr>
        <w:t>10</w:t>
      </w:r>
      <w:r>
        <w:rPr>
          <w:rFonts w:hint="eastAsia" w:asciiTheme="minorEastAsia" w:hAnsiTheme="minorEastAsia" w:eastAsiaTheme="minorEastAsia" w:cstheme="minorEastAsia"/>
          <w:sz w:val="21"/>
          <w:szCs w:val="21"/>
          <w:lang w:eastAsia="zh-CN"/>
        </w:rPr>
        <w:t>%的价格调拨给乙方，或由乙方承担甲方自行收回所使用的机械、人工等费用。</w:t>
      </w:r>
    </w:p>
    <w:p w14:paraId="3D6E2EE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甲供材料、机械设备明细表》中已列明由甲方提供的材料和大中型机械外，其余材料和机械均由乙方自行提供。包括但不限于零星材料、辅材、低值易耗品、小型机械等，不包括主要建筑材料、周转材料和大中型施工机械设备等，费用包含在合同综合单价中。</w:t>
      </w:r>
    </w:p>
    <w:p w14:paraId="3D6E2EE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乙方负责采购的材料设备，乙方应根据工程进度及工期要求提供分批采购计划、数量、品种、规格及供货时间，提前报送甲方审核备案。且材料设备出入要有许可证，需明确进出场时间、车牌号、材料名称、进出场理由及乙方负责人签名。如果乙方的备料计划发生变更应提前7日通知甲方，如果乙方的材料进场计划发生变更应提前3日通知甲方，以便甲方采取补救措施。任何因乙方责任导致材料计划的变更所造成的损失均由乙方承担。上述通知并不能减少或免除乙方应承担的责任。</w:t>
      </w:r>
    </w:p>
    <w:p w14:paraId="3D6E2EE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乙方按照本合同规定、设计标准、品牌要求和施工组织需求采购材料及提供机械设备，须同时提供合格证、生产许可证、出厂证明等合法资料，对材料/设备质量负责，乙方在材料/设备进场前24小时通知甲方。</w:t>
      </w:r>
    </w:p>
    <w:p w14:paraId="3D6E2EE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乙方的材料、设备与设计标准要求不符时，乙方应按甲方要求的时间运出施工场地，重新采购提供符合要求的材料、设备，乙方承担由此发生的费用，由此延误的工期不予顺延。</w:t>
      </w:r>
    </w:p>
    <w:p w14:paraId="3D6E2EE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乙方施工材料、设备进场必须向甲方报验，经甲方书面确认后方可用于工程施工，由于乙方未报验导致的损失由乙方负责。然而上述报验程序并不能减少或免除乙方应该就本工程材料、设备供货所应承担的责任。</w:t>
      </w:r>
    </w:p>
    <w:p w14:paraId="3D6E2EE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乙方采购提供的材料、设备在使用前应按甲方要求进行检验或试验，不合格者不得使用，检验或试验费用由乙方承担。</w:t>
      </w:r>
    </w:p>
    <w:p w14:paraId="3D6E2EE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甲方发现乙方采购提供并使用不符合设计和标准要求的材料、设备时，应要求乙方负责修复、拆除或重新采购提供，直至验收合格，由乙方承担发生的全部费用，由此延误的工期不予顺延。</w:t>
      </w:r>
    </w:p>
    <w:p w14:paraId="3D6E2EE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需要使用代用材料、设备时，应提前24小时通知甲方，经甲方认可后方能使用，并须确保代用材料、设备能满足工程设计标准及本合同要求，由此发生的费用及造成的工期影响应已考虑及包括在合同价款与合同工期内，由乙方负责承担。</w:t>
      </w:r>
    </w:p>
    <w:p w14:paraId="3D6E2EE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乙方提供的机械设备，在进入施工场地后，应满足现场施工组织需求和安全文明管理，并按甲方要求进行管理，若机械设备无法满足现场施工组织要求时应无条件更换机械设备型号或增加机械设备数量，以满足施工要求。乙方提供机械设备的设备租赁费、折旧费、动力费用（燃油费、电费等）、维修费（包含配件）、进退场费、操作人员工资、食宿费等均由乙方自行承担，费用已包含在综合单价中，不再另行计取。</w:t>
      </w:r>
    </w:p>
    <w:p w14:paraId="3D6E2EE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甲方保留将任何材料作为指定供应的权利，及将任何分项工程另行分包的权利。</w:t>
      </w:r>
    </w:p>
    <w:p w14:paraId="3D6E2EE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甲方提供设备应在安装调试完毕，确认运行良好后交付乙方使用，在进出场时，乙方必须参与验收。乙方操作人员应严格遵守设备有关安全管理规定、操作规程要求，服从甲方相关人员的指挥安排，如违章操作、使用，造成事故，乙方应承担全部的安全责任及事故造成的经济损失，损坏或丢失甲供设备须按设备配件或设备的原值进行赔偿。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3D6E2EE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对于由甲方供应的材料（《甲供材料、机械设备明细表》），乙方负责在本合同中约定的消耗量之内控制使用。如合同未明确损耗率，则默认双方认可材料损耗率为零。</w:t>
      </w:r>
    </w:p>
    <w:p w14:paraId="3D6E2EE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由乙方负责提供的材料，不论何种原因造成超用、浪费、丢失的均由乙方自行承担。乙方不得以甲方的名义向甲方的材料、设备供方发出任何采购、订货指令和信息，且不得单方面签收其供货物品，否则其责任全部由乙方承担。</w:t>
      </w:r>
    </w:p>
    <w:p w14:paraId="3D6E2EE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材料进场后的申报程序执行工程所在地地方标准，进场设备应符合工程所在地项目建设行政主管部门备案、安全规定，乙方租用设备要有主管部门要求的证件、手续。</w:t>
      </w:r>
    </w:p>
    <w:p w14:paraId="3D6E2EE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存放管理：乙方自行负责材料保管，防止人为破坏、偷盗以及不利自然条件的侵蚀。材料在使用前完好无损，符合国家工程规范标准和合同其他要求。如果乙方未采取适当的保管保护措施，甲方将指派他人完成，所发生的费用由乙方承担。进场材料堆放地点、标识等管理，必须经过甲方批准，服从甲方的统筹安排。</w:t>
      </w:r>
    </w:p>
    <w:p w14:paraId="3D6E2EF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本工程需要爆破，乙方应严格按照爆破器材的运输、保管、使用的安全规定及甲方制定的管理办法，由乙方指定持有爆破证的人员根据每次爆破用量到甲方指定的炸药库领取和使用，未使用完的爆破器材必须及时退回炸药库存放，不允许私自存放，否则发生的危险及后果由乙方承担。</w:t>
      </w:r>
    </w:p>
    <w:p w14:paraId="3D6E2EF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的材料进场前七天及时向甲方提供样品，并按经甲方确认的样品采购材料，提供有效的材质证明，承担因材料达不到要求引起的任何费用支出。材料样品经批准后，一套作为乙方加工定货依据，另一套由乙方负责封存交甲方保管。封存的样品需经设计师、建设单位、监理单位、甲方、乙方等各方签字，用不易退色的文具书写。材料验收标准以封存样品为准。如果样品质量与规范发生差异，按照较严标准执行。</w:t>
      </w:r>
    </w:p>
    <w:p w14:paraId="3D6E2EF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接受甲方及相关部门对机械设备、工具、材料的管理及使用情况的监督和检查；接受甲方及相关部门对乙方操作人员的有效证件、持证上岗情况的监督和检查；并按甲方要求做好与现场其他单位协调配合工作。</w:t>
      </w:r>
    </w:p>
    <w:p w14:paraId="3D6E2EF3">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17" w:name="_Toc22544"/>
      <w:bookmarkStart w:id="318" w:name="_Toc31959"/>
      <w:bookmarkStart w:id="319" w:name="_Toc22411"/>
      <w:bookmarkStart w:id="320" w:name="_Toc383"/>
      <w:bookmarkStart w:id="321" w:name="_Toc749"/>
      <w:bookmarkStart w:id="322" w:name="_Toc10324"/>
      <w:bookmarkStart w:id="323" w:name="_Toc11354"/>
      <w:bookmarkStart w:id="324" w:name="_Toc101357423"/>
      <w:bookmarkStart w:id="325" w:name="_Toc175772231"/>
      <w:bookmarkStart w:id="326" w:name="_Toc101963490"/>
      <w:bookmarkStart w:id="327" w:name="_Toc18280"/>
      <w:bookmarkStart w:id="328" w:name="_Toc18064"/>
      <w:bookmarkStart w:id="329" w:name="_Toc5351"/>
      <w:bookmarkStart w:id="330" w:name="_Toc16298"/>
      <w:bookmarkStart w:id="331" w:name="_Toc17371"/>
      <w:bookmarkStart w:id="332" w:name="_Toc15892"/>
      <w:bookmarkStart w:id="333" w:name="_Toc13649"/>
      <w:r>
        <w:rPr>
          <w:rFonts w:hint="eastAsia" w:asciiTheme="minorEastAsia" w:hAnsiTheme="minorEastAsia" w:eastAsiaTheme="minorEastAsia" w:cstheme="minorEastAsia"/>
          <w:b/>
          <w:sz w:val="21"/>
          <w:szCs w:val="21"/>
          <w:lang w:eastAsia="zh-CN"/>
        </w:rPr>
        <w:t>安</w:t>
      </w:r>
      <w:r>
        <w:rPr>
          <w:rFonts w:hint="eastAsia" w:asciiTheme="minorEastAsia" w:hAnsiTheme="minorEastAsia" w:eastAsiaTheme="minorEastAsia" w:cstheme="minorEastAsia"/>
          <w:b/>
          <w:sz w:val="21"/>
          <w:szCs w:val="21"/>
        </w:rPr>
        <w:t>全</w:t>
      </w:r>
      <w:r>
        <w:rPr>
          <w:rFonts w:hint="eastAsia" w:asciiTheme="minorEastAsia" w:hAnsiTheme="minorEastAsia" w:eastAsiaTheme="minorEastAsia" w:cstheme="minorEastAsia"/>
          <w:b/>
          <w:sz w:val="21"/>
          <w:szCs w:val="21"/>
          <w:lang w:eastAsia="zh-CN"/>
        </w:rPr>
        <w:t>文明施工</w:t>
      </w:r>
      <w:r>
        <w:rPr>
          <w:rFonts w:hint="eastAsia" w:asciiTheme="minorEastAsia" w:hAnsiTheme="minorEastAsia" w:eastAsiaTheme="minorEastAsia" w:cstheme="minorEastAsia"/>
          <w:b/>
          <w:sz w:val="21"/>
          <w:szCs w:val="21"/>
        </w:rPr>
        <w:t>管理</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D6E2EF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本合同双方须共同遵守国家和地方有关安全管理、环境保护的法律、法规。乙方应严格按照《安全管理协议书》中安全和绿色施工标准组织施工。</w:t>
      </w:r>
    </w:p>
    <w:p w14:paraId="3D6E2EF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本合同签约合同总价中已包含安全文明施工措施费，且明确单列，乙方应保证做到专款专用。</w:t>
      </w:r>
      <w:r>
        <w:rPr>
          <w:rFonts w:hint="eastAsia" w:asciiTheme="minorEastAsia" w:hAnsiTheme="minorEastAsia" w:eastAsiaTheme="minorEastAsia" w:cstheme="minorEastAsia"/>
          <w:b/>
          <w:bCs/>
          <w:sz w:val="21"/>
          <w:szCs w:val="21"/>
          <w:lang w:eastAsia="zh-CN"/>
        </w:rPr>
        <w:t>计提标准及使用方法见《中建路桥集团有限公司安全生产管理办法》。</w:t>
      </w:r>
    </w:p>
    <w:p w14:paraId="3D6E2EF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每月甲方对乙方的安全措施投入情况进行验收，验收合格后按照约定的计提比例予以支付，如现场安全投入不能满足甲方要求，则安全措施费不予支付。</w:t>
      </w:r>
    </w:p>
    <w:p w14:paraId="3D6E2EF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乙方必须缴纳安全风险抵押金5-10万元，具体金额按照专用合同条款约定执行，如施工过程中乙方更换安全人员，更换人员资历水平不得低于原投标人员，否则扣除安全风险抵押金。</w:t>
      </w:r>
    </w:p>
    <w:p w14:paraId="3D6E2EF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乙方应承担由于自身安全措施不力造成事故的责任和由此发生的费用，并承担政府主管部门因扬尘污染而给予责令停工等行政处罚所造成的误工、工期拖延造成的损失。</w:t>
      </w:r>
    </w:p>
    <w:p w14:paraId="3D6E2EF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照甲方现场管理的要求对其施工现场进行管理，并严格遵守甲方安全生产管理体系和本项目各阶段安全生产、文明施工要求，编制专项安全施工方案并在合同签订后三日内取得甲方审批同意，建立自己的安全生产保证体系，并配备足额安全生产管理人员。</w:t>
      </w:r>
    </w:p>
    <w:p w14:paraId="3D6E2EFA">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专业承包单位应当根据所承担的分部分项工程的工程量和施工危险程度按要求配置专职安全生产管理人员。</w:t>
      </w:r>
    </w:p>
    <w:p w14:paraId="3D6E2EFB">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14:paraId="3D6E2EF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工程所在地政府及相关行政主管部门有关规定做好安全教育、安全防护（包括为所属人员配备个人防护用品）等工作，保证施工安全和人身安全。如在合同期内，乙方承包范围内发生的所有人员伤亡事故，其责任及费用均由乙方承担，并应积极采取有效措施防止损失扩大，同时按规定立即书面报告甲方。</w:t>
      </w:r>
    </w:p>
    <w:p w14:paraId="3D6E2EF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按文明施工有关规定及甲方要求进行现场布置管理，做到工完场清，料具工具堆放整齐。安全帽应按照甲方要求统一颜色、标识，便于规范管理。</w:t>
      </w:r>
    </w:p>
    <w:p w14:paraId="3D6E2EF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乙方在施工过程中必须遵守工程所在地有关消防、安全文明施工、环境管理等规定，办理相关手续，承担由此发生的费用。凡因违反政府有关规定所导致的责任，均由乙方承担。</w:t>
      </w:r>
    </w:p>
    <w:p w14:paraId="3D6E2EF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对其施工管理人员及作业人员施行严格的管理，在工程开工前将进场施工人员名单报送甲方，且所有施工人员已在项目建设行政主管部门办理备案登记，特殊工种必须持证上岗。乙方必须配备专职安全员，安全员必须持证上岗。</w:t>
      </w:r>
    </w:p>
    <w:p w14:paraId="3D6E2F0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甲方认为乙方工作中安全措施不力或安全设施不足，可要求乙方限期改正，若仍不能满足安全要求，甲方可自行安排相关工作，所发生的费用由乙方承担。</w:t>
      </w:r>
    </w:p>
    <w:p w14:paraId="3D6E2F01">
      <w:pPr>
        <w:numPr>
          <w:ilvl w:val="1"/>
          <w:numId w:val="3"/>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必须为施工现场自有人员配备必需的劳动防护用品。乙方配备的劳动防护用品使用性能或质量必须符合国家主管部门及行业规范、标准要求，另外劳动防护用品外观、样式、规格、型号须符合甲方安全管理要求。</w:t>
      </w:r>
    </w:p>
    <w:p w14:paraId="3D6E2F02">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34" w:name="_Toc101963491"/>
      <w:bookmarkStart w:id="335" w:name="_Toc175772232"/>
      <w:bookmarkStart w:id="336" w:name="_Toc101357424"/>
      <w:bookmarkStart w:id="337" w:name="_Toc32373"/>
      <w:bookmarkStart w:id="338" w:name="_Toc31132"/>
      <w:bookmarkStart w:id="339" w:name="_Toc12899"/>
      <w:bookmarkStart w:id="340" w:name="_Toc8805"/>
      <w:bookmarkStart w:id="341" w:name="_Toc28305"/>
      <w:bookmarkStart w:id="342" w:name="_Toc6633"/>
      <w:bookmarkStart w:id="343" w:name="_Toc2374"/>
      <w:bookmarkStart w:id="344" w:name="_Toc9837"/>
      <w:bookmarkStart w:id="345" w:name="_Toc3343"/>
      <w:bookmarkStart w:id="346" w:name="_Toc16982"/>
      <w:bookmarkStart w:id="347" w:name="_Toc22368"/>
      <w:bookmarkStart w:id="348" w:name="_Toc27577"/>
      <w:bookmarkStart w:id="349" w:name="_Toc27395"/>
      <w:bookmarkStart w:id="350" w:name="_Toc6154"/>
      <w:r>
        <w:rPr>
          <w:rFonts w:hint="eastAsia" w:asciiTheme="minorEastAsia" w:hAnsiTheme="minorEastAsia" w:eastAsiaTheme="minorEastAsia" w:cstheme="minorEastAsia"/>
          <w:b/>
          <w:sz w:val="21"/>
          <w:szCs w:val="21"/>
          <w:lang w:eastAsia="zh-CN"/>
        </w:rPr>
        <w:t>绿色施工、环境保护与职业健康管理</w:t>
      </w:r>
      <w:bookmarkEnd w:id="334"/>
      <w:bookmarkEnd w:id="335"/>
      <w:bookmarkEnd w:id="336"/>
    </w:p>
    <w:p w14:paraId="3D6E2F0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1" w:name="_Toc101357426"/>
      <w:r>
        <w:rPr>
          <w:rFonts w:hint="eastAsia" w:asciiTheme="minorEastAsia" w:hAnsiTheme="minorEastAsia" w:eastAsiaTheme="minorEastAsia" w:cstheme="minorEastAsia"/>
          <w:sz w:val="21"/>
          <w:szCs w:val="21"/>
          <w:lang w:eastAsia="zh-CN"/>
        </w:rPr>
        <w:t>本合同双方应共同遵守国家和地方有关的环境保护、“双碳”目标的法律、法规，努力营造绿色低碳施工环境及建筑。</w:t>
      </w:r>
      <w:bookmarkEnd w:id="351"/>
    </w:p>
    <w:p w14:paraId="3D6E2F0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2" w:name="_Toc101357427"/>
      <w:r>
        <w:rPr>
          <w:rFonts w:hint="eastAsia" w:asciiTheme="minorEastAsia" w:hAnsiTheme="minorEastAsia" w:eastAsiaTheme="minorEastAsia" w:cstheme="minorEastAsia"/>
          <w:sz w:val="21"/>
          <w:szCs w:val="21"/>
          <w:lang w:eastAsia="zh-CN"/>
        </w:rPr>
        <w:t>乙方在整个施工作业过程中满足甲方制定并经国家权威部门认证的ISO9001、ISO14001和OHSA18001的要求，保证施工生产符合相关标准的要求。</w:t>
      </w:r>
      <w:bookmarkEnd w:id="352"/>
      <w:r>
        <w:rPr>
          <w:rFonts w:hint="eastAsia" w:asciiTheme="minorEastAsia" w:hAnsiTheme="minorEastAsia" w:eastAsiaTheme="minorEastAsia" w:cstheme="minorEastAsia"/>
          <w:sz w:val="21"/>
          <w:szCs w:val="21"/>
          <w:lang w:eastAsia="zh-CN"/>
        </w:rPr>
        <w:t>乙方应定期对自有管理人员及劳务工人进行绿色施工法规、技术知识培训等，并接受相关单位的监督管理。</w:t>
      </w:r>
    </w:p>
    <w:p w14:paraId="3D6E2F0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建立绿色施工组织架构和绿色施工管理体系，并保证有效运行，真正做到“四节一环保”即：节水、节能、节地、节材和环境保护：乙方施工中不得对未完成审批手续的森林、农田、自然保护区、自然保护动物进行破坏。</w:t>
      </w:r>
    </w:p>
    <w:p w14:paraId="3D6E2F06">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（1）乙方应当确保其所提供的材料、工程设备、施工设备和其他材料都是绿色环保产品，列入国家强制认证产品名录的，还应当是通过国家强制认证的产品；</w:t>
      </w:r>
    </w:p>
    <w:p w14:paraId="3D6E2F07">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（2）建筑余料应合理使用：施工现场建筑余料要合理利用，如混凝土用于制作路牙石，预制过梁等，钢筋制作马镫，定位筋等；</w:t>
      </w:r>
    </w:p>
    <w:p w14:paraId="3D6E2F08">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（3）板材、块材等下脚料和撒落混凝土及砂浆应科学利用：下脚料等分规格后合理进行利用；</w:t>
      </w:r>
    </w:p>
    <w:p w14:paraId="3D6E2F09">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（4）混凝土养护和砂浆搅拌用水应合理，应有节水措施：混凝土养护宜采用覆膜养护或喷雾养护等节水措施；</w:t>
      </w:r>
    </w:p>
    <w:p w14:paraId="3D6E2F0A">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（5）管网和用水器具不应有渗漏：对管网及用水器具要定期进行检查维修；</w:t>
      </w:r>
    </w:p>
    <w:p w14:paraId="3D6E2F0B">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（6）对施工现场的生产、生活、办公和主要耗能施工设备应设有节能的控制措施：主要耗能设备要有自动控制等相关控制措施，避免造成能源浪费；</w:t>
      </w:r>
    </w:p>
    <w:p w14:paraId="3D6E2F0C">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（7）国家、行业、地方政府明令淘汰的施工设备、机具和产品不应使用：施工现场严禁使用国家命令淘汰的用能设备及生产工艺；</w:t>
      </w:r>
    </w:p>
    <w:p w14:paraId="3D6E2F0D">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（8）应采用节能型设施：现场临电设备、小型机具、照明灯具等应采用带有国家能源效率标示的产品；</w:t>
      </w:r>
    </w:p>
    <w:p w14:paraId="3D6E2F0E">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（9）临时用电应设置合理，管理制度应齐全并应落实到位：施工现场临时用电要规范，制定相关管理制度，有专人负责；</w:t>
      </w:r>
    </w:p>
    <w:p w14:paraId="3D6E2F0F">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（10）应采用能源利用效率高的施工机械设备：现场施工应选用功率与负载相匹配的施工机械设备；</w:t>
      </w:r>
    </w:p>
    <w:p w14:paraId="3D6E2F10">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（11）施工机具资源应共享：合理进行施工平面布置，塔吊、加工厂等要充分考虑多区域共同利用；</w:t>
      </w:r>
    </w:p>
    <w:p w14:paraId="3D6E2F11">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（12）应定期监控重点耗能设备的能源利用情况，并有记录：塔吊、施工电梯等重点耗能设备要单独安装电表；</w:t>
      </w:r>
    </w:p>
    <w:p w14:paraId="3D6E2F12">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（13）建筑材料的选用应缩短运输距离，减少能源消耗：500km以内的建筑材料用量占施工使用的建筑材料总重量的70%以上；</w:t>
      </w:r>
    </w:p>
    <w:p w14:paraId="3D6E2F13">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（14）应采用能耗少的施工工艺：改进施工工艺，节能降耗。如采用逆作法等，降低扬尘及噪音、减少材料消耗、避免使用大型设备能源；</w:t>
      </w:r>
    </w:p>
    <w:p w14:paraId="3D6E2F14">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（15）应合理安排施工工序和施工进度：在既定施工目标条件下，做到均衡施工、流水施工。特别要避免突击赶工期造成的无序施工、人力物力财力浪费等现象；</w:t>
      </w:r>
    </w:p>
    <w:p w14:paraId="3D6E2F15">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（16）乙方应在其施工环保措施计划中明确防止误用的保证措施，违背此项约定的责任和后果全部由乙方承担。</w:t>
      </w:r>
    </w:p>
    <w:p w14:paraId="3D6E2F1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3" w:name="_Toc101357428"/>
      <w:r>
        <w:rPr>
          <w:rFonts w:hint="eastAsia" w:asciiTheme="minorEastAsia" w:hAnsiTheme="minorEastAsia" w:eastAsiaTheme="minorEastAsia" w:cstheme="minorEastAsia"/>
          <w:sz w:val="21"/>
          <w:szCs w:val="21"/>
          <w:lang w:eastAsia="zh-CN"/>
        </w:rPr>
        <w:t>乙方在运输材料（包括废料）、机具过程中应执行工程所在地关于禁止车辆运输泄露、遗撒的规定。</w:t>
      </w:r>
    </w:p>
    <w:p w14:paraId="3D6E2F1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4" w:name="_Toc101357430"/>
      <w:r>
        <w:rPr>
          <w:rFonts w:hint="eastAsia" w:asciiTheme="minorEastAsia" w:hAnsiTheme="minorEastAsia" w:eastAsiaTheme="minorEastAsia" w:cstheme="minorEastAsia"/>
          <w:sz w:val="21"/>
          <w:szCs w:val="21"/>
          <w:lang w:eastAsia="zh-CN"/>
        </w:rPr>
        <w:t>乙方必须采取有效措施，防止运输机械噪声超标或机械漏油污染环境。</w:t>
      </w:r>
      <w:bookmarkEnd w:id="354"/>
      <w:r>
        <w:rPr>
          <w:rFonts w:hint="eastAsia" w:asciiTheme="minorEastAsia" w:hAnsiTheme="minorEastAsia" w:eastAsiaTheme="minorEastAsia" w:cstheme="minorEastAsia"/>
          <w:sz w:val="21"/>
          <w:szCs w:val="21"/>
          <w:lang w:eastAsia="zh-CN"/>
        </w:rPr>
        <w:t>运输车辆要定期进行噪音检测。对于不符合要求的机械要及时采取必要的措施。车辆进入现场禁止鸣笛。</w:t>
      </w:r>
    </w:p>
    <w:p w14:paraId="3D6E2F1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乙方应承担因其原因引起的环境污染侵权损害赔偿责任，因上述环境污染引起纠纷而导致分包作业暂停的，由此增加的费用和（或）延误的工期由乙方承担。</w:t>
      </w:r>
    </w:p>
    <w:p w14:paraId="3D6E2F1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乙方进驻现场员工需接受10.2条约定的国家认证体系的教育培训并建立工人职业健康档案。</w:t>
      </w:r>
      <w:bookmarkEnd w:id="353"/>
      <w:r>
        <w:rPr>
          <w:rFonts w:hint="eastAsia" w:asciiTheme="minorEastAsia" w:hAnsiTheme="minorEastAsia" w:eastAsiaTheme="minorEastAsia" w:cstheme="minorEastAsia"/>
          <w:sz w:val="21"/>
          <w:szCs w:val="21"/>
          <w:lang w:eastAsia="zh-CN"/>
        </w:rPr>
        <w:t>乙方应对聘用的所有人员核实身份及健康信息，不私招滥雇，不使用无健康信息的人员，不得在项目之间无组织无序调配使用务工人员。建立“一人一档”制度，准确掌握人员健康和流动情况。乙方应按法律规定安排分包作业人员的劳动和休息时间，保证其雇佣人员享有休息和休假的权利，做好人员防护、宣传教育工作，建立健全应急防控机制。</w:t>
      </w:r>
      <w:bookmarkStart w:id="355" w:name="_Toc101357429"/>
    </w:p>
    <w:p w14:paraId="3D6E2F1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w:t>
      </w:r>
    </w:p>
    <w:bookmarkEnd w:id="355"/>
    <w:p w14:paraId="3D6E2F1B">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56" w:name="_Toc101357431"/>
      <w:bookmarkStart w:id="357" w:name="_Toc101963492"/>
      <w:bookmarkStart w:id="358" w:name="_Toc175772233"/>
      <w:r>
        <w:rPr>
          <w:rFonts w:hint="eastAsia" w:asciiTheme="minorEastAsia" w:hAnsiTheme="minorEastAsia" w:eastAsiaTheme="minorEastAsia" w:cstheme="minorEastAsia"/>
          <w:b/>
          <w:sz w:val="21"/>
          <w:szCs w:val="21"/>
        </w:rPr>
        <w:t>工期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6"/>
      <w:bookmarkEnd w:id="357"/>
      <w:bookmarkEnd w:id="358"/>
    </w:p>
    <w:p w14:paraId="3D6E2F1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合同工期已经考虑下列因素，乙方承诺不因此类原因提出任何有关的工期和费用索赔：</w:t>
      </w:r>
    </w:p>
    <w:p w14:paraId="3D6E2F1D">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国家及地方政府规定的节假日或公休日；</w:t>
      </w:r>
    </w:p>
    <w:p w14:paraId="3D6E2F1E">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高考、中考期间政府对施工的限制；</w:t>
      </w:r>
    </w:p>
    <w:p w14:paraId="3D6E2F1F">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两会及其他政府会议；</w:t>
      </w:r>
    </w:p>
    <w:p w14:paraId="3D6E2F20">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与其他施工工序间不可避免的交叉作业影响，配合施工的等待时间等对工期产生的影响；</w:t>
      </w:r>
    </w:p>
    <w:p w14:paraId="3D6E2F21">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不利的气候条件（不可抗力除外）；</w:t>
      </w:r>
    </w:p>
    <w:p w14:paraId="3D6E2F22">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施工噪音及夜间施工时间段造成的影响、空气污染预警、环保政策要求、扰民与民扰、城管管制、农忙；</w:t>
      </w:r>
    </w:p>
    <w:p w14:paraId="3D6E2F23">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甲方及甲方上级单位、建设单位或政府职能部门的各类检查、奖项评比、各种层级的观摩；</w:t>
      </w:r>
    </w:p>
    <w:p w14:paraId="3D6E2F24">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已充分研判和考虑地质风险；</w:t>
      </w:r>
    </w:p>
    <w:p w14:paraId="3D6E2F25">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其它不利的条件（不可抗力除外）。</w:t>
      </w:r>
    </w:p>
    <w:p w14:paraId="3D6E2F2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经甲方审批的《工程进度计划》作为考核分包工期的依据，乙方须无条件完全正确地执行。</w:t>
      </w:r>
    </w:p>
    <w:p w14:paraId="3D6E2F27">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工期为乙方已充分考虑了合同文件的有关内容，并根据乙方自身条件完全能满足并达到甲方要求的工期，甲方的工期包括但不限于施工准备、材料/设备加工定货、工程施工、工程验收、完工交付等全部工作时间，除本合同规定外，不作调整。</w:t>
      </w:r>
    </w:p>
    <w:p w14:paraId="3D6E2F2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发生下列情况之一时,经甲方确认,工期可以顺延:</w:t>
      </w:r>
    </w:p>
    <w:p w14:paraId="3D6E2F29">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因不可抗力或甲方原因导致乙方不能正常施工，并按照签证签署经甲方项目经理、项目技术负责人、项目生产负责人、项目商务经理书面共同确认。</w:t>
      </w:r>
    </w:p>
    <w:p w14:paraId="3D6E2F2A">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建设单位书面认可的工期延误。</w:t>
      </w:r>
    </w:p>
    <w:p w14:paraId="3D6E2F2B">
      <w:pPr>
        <w:tabs>
          <w:tab w:val="left" w:pos="0"/>
        </w:tabs>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乙方须在以上情况发生后7天内，提出工期顺延要求的报告，并附上详细的证据资料，甲方在接到报告后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天内予以签认、提出拒签理由或要求乙方补充资料。若乙方未在</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rPr>
        <w:t>日内补充要求的资料，则视为乙方放弃索赔工期的权利。经甲方审核确认后，按甲方批准时间顺延阶段工期或总工期，但乙方不得因此提出任何索赔或费用的调整，如乙方逾期未向甲方提出报告，工期不予顺延。</w:t>
      </w:r>
    </w:p>
    <w:p w14:paraId="3D6E2F2C">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乙方充分理解甲方在征拆或图纸不到位的情况下有可能出现所分包项目不能连续施工的情况，乙方承诺将按甲方要求顺延工期并不对此做任何费用增加及补偿的要求。</w:t>
      </w:r>
    </w:p>
    <w:p w14:paraId="3D6E2F2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甲方根据合同约定工期及施工组织设计编制节点工期，乙方必须严格按照甲方制定的节点工期要求组织施工。</w:t>
      </w:r>
    </w:p>
    <w:p w14:paraId="3D6E2F2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3D6E2F2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当工程具备复工条件时，甲方向乙方发出复工通知后，乙方应按照复工通知的要求复工，乙方应当无条件复工，超过15天乙方仍未复工的，甲方可解除合同并要求乙方承担违约责任。</w:t>
      </w:r>
    </w:p>
    <w:p w14:paraId="3D6E2F3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如在乙方没有全面履行完此分包合同义务之前，甲方与建设单位合同解除，甲方应当及时通知乙方，乙方接到通知后应尽快与甲方协商，解除或调整分包合同的内容，及时做好已完工程的结算。</w:t>
      </w:r>
      <w:r>
        <w:rPr>
          <w:rFonts w:hint="eastAsia" w:asciiTheme="minorEastAsia" w:hAnsiTheme="minorEastAsia" w:eastAsiaTheme="minorEastAsia" w:cstheme="minorEastAsia"/>
          <w:b/>
          <w:bCs/>
          <w:sz w:val="21"/>
          <w:szCs w:val="21"/>
          <w:lang w:eastAsia="zh-CN"/>
        </w:rPr>
        <w:t>无法施工的剩余分包内容工程，乙方放弃主张可得利益等权利。</w:t>
      </w:r>
    </w:p>
    <w:p w14:paraId="3D6E2F31">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59" w:name="_Toc101357432"/>
      <w:bookmarkStart w:id="360" w:name="_Toc175772234"/>
      <w:bookmarkStart w:id="361" w:name="_Toc101963493"/>
      <w:bookmarkStart w:id="362" w:name="_Toc14657"/>
      <w:bookmarkStart w:id="363" w:name="_Toc6962"/>
      <w:bookmarkStart w:id="364" w:name="_Toc26349"/>
      <w:bookmarkStart w:id="365" w:name="_Toc12536"/>
      <w:bookmarkStart w:id="366" w:name="_Toc12433"/>
      <w:bookmarkStart w:id="367" w:name="_Toc17806"/>
      <w:bookmarkStart w:id="368" w:name="_Toc19965"/>
      <w:bookmarkStart w:id="369" w:name="_Toc32027"/>
      <w:bookmarkStart w:id="370" w:name="_Toc4842"/>
      <w:bookmarkStart w:id="371" w:name="_Toc1769"/>
      <w:bookmarkStart w:id="372" w:name="_Toc10639"/>
      <w:bookmarkStart w:id="373" w:name="_Toc30939"/>
      <w:bookmarkStart w:id="374" w:name="_Toc23833"/>
      <w:bookmarkStart w:id="375" w:name="_Toc30786"/>
      <w:r>
        <w:rPr>
          <w:rFonts w:hint="eastAsia" w:asciiTheme="minorEastAsia" w:hAnsiTheme="minorEastAsia" w:eastAsiaTheme="minorEastAsia" w:cstheme="minorEastAsia"/>
          <w:b/>
          <w:sz w:val="21"/>
          <w:szCs w:val="21"/>
          <w:lang w:eastAsia="zh-CN"/>
        </w:rPr>
        <w:t>试验和检验</w:t>
      </w:r>
      <w:bookmarkEnd w:id="359"/>
      <w:bookmarkEnd w:id="360"/>
      <w:bookmarkEnd w:id="361"/>
    </w:p>
    <w:p w14:paraId="3D6E2F3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76" w:name="_Toc101357433"/>
      <w:r>
        <w:rPr>
          <w:rFonts w:hint="eastAsia" w:asciiTheme="minorEastAsia" w:hAnsiTheme="minorEastAsia" w:eastAsiaTheme="minorEastAsia" w:cstheme="minorEastAsia"/>
          <w:sz w:val="21"/>
          <w:szCs w:val="21"/>
          <w:lang w:eastAsia="zh-CN"/>
        </w:rPr>
        <w:t>乙方应按合同约定进行材料、工程设备和工程的试验和检验，并为甲方对上述材料、工程设备和工程的质量检查提供必要的试验资料和原始记录。按合同约定应由甲方与乙方共同进行试验和检验的，由乙方负责提供必要的试验条件、试验资料和原始记录。</w:t>
      </w:r>
      <w:bookmarkEnd w:id="376"/>
    </w:p>
    <w:p w14:paraId="3D6E2F3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77" w:name="_Toc101357434"/>
      <w:r>
        <w:rPr>
          <w:rFonts w:hint="eastAsia" w:asciiTheme="minorEastAsia" w:hAnsiTheme="minorEastAsia" w:eastAsiaTheme="minorEastAsia" w:cstheme="minorEastAsia"/>
          <w:sz w:val="21"/>
          <w:szCs w:val="21"/>
          <w:lang w:eastAsia="zh-CN"/>
        </w:rPr>
        <w:t>甲方未按合同约定派员参加试验和检验的，除甲方另有指示外，乙方可自行试验和检验，并应及时将试验和检验结果报送甲方，甲方应签字确认。</w:t>
      </w:r>
      <w:bookmarkEnd w:id="377"/>
    </w:p>
    <w:p w14:paraId="3D6E2F3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78" w:name="_Toc101357435"/>
      <w:r>
        <w:rPr>
          <w:rFonts w:hint="eastAsia" w:asciiTheme="minorEastAsia" w:hAnsiTheme="minorEastAsia" w:eastAsiaTheme="minorEastAsia" w:cstheme="minorEastAsia"/>
          <w:sz w:val="21"/>
          <w:szCs w:val="21"/>
          <w:lang w:eastAsia="zh-CN"/>
        </w:rPr>
        <w:t>甲方对乙方的试验和检验结果有疑问的，或为查清乙方试验和检验成果的可靠性而要求乙方重新试验和检验的。重新试验和检验的结果证明该项材料、工程设备或工程的质量不符合合同约定或质量技术要求的，由此增加的费用和（或）工期延误由乙方承担；重新试验和检验结果符合合同约定的，由甲方承担由此增加的费用和（或）工期延误。</w:t>
      </w:r>
      <w:bookmarkEnd w:id="378"/>
    </w:p>
    <w:p w14:paraId="3D6E2F35">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79" w:name="_Toc101357436"/>
      <w:bookmarkStart w:id="380" w:name="_Toc175772235"/>
      <w:bookmarkStart w:id="381" w:name="_Toc101963494"/>
      <w:r>
        <w:rPr>
          <w:rFonts w:hint="eastAsia" w:asciiTheme="minorEastAsia" w:hAnsiTheme="minorEastAsia" w:eastAsiaTheme="minorEastAsia" w:cstheme="minorEastAsia"/>
          <w:b/>
          <w:sz w:val="21"/>
          <w:szCs w:val="21"/>
        </w:rPr>
        <w:t>合同价款与计量方式</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9"/>
      <w:bookmarkEnd w:id="380"/>
      <w:bookmarkEnd w:id="381"/>
    </w:p>
    <w:p w14:paraId="3D6E2F36">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bookmarkStart w:id="382" w:name="OLE_LINK1"/>
      <w:r>
        <w:rPr>
          <w:rFonts w:hint="eastAsia" w:asciiTheme="minorEastAsia" w:hAnsiTheme="minorEastAsia" w:eastAsiaTheme="minorEastAsia" w:cstheme="minorEastAsia"/>
          <w:sz w:val="21"/>
          <w:szCs w:val="21"/>
          <w:lang w:eastAsia="zh-CN"/>
        </w:rPr>
        <w:t>合同价款：以合同协议书中约定为准，本合同生效后，除专用合同条款另有约定外不作调整。</w:t>
      </w:r>
      <w:bookmarkEnd w:id="382"/>
      <w:r>
        <w:rPr>
          <w:rFonts w:hint="eastAsia" w:asciiTheme="minorEastAsia" w:hAnsiTheme="minorEastAsia" w:eastAsiaTheme="minorEastAsia" w:cstheme="minorEastAsia"/>
          <w:sz w:val="21"/>
          <w:szCs w:val="21"/>
          <w:lang w:eastAsia="zh-CN"/>
        </w:rPr>
        <w:t>乙方在其承包范围内，为履行本合同约定的义务和职责，满足国家相关法律法规、设计要求和建设单位（</w:t>
      </w:r>
      <w:r>
        <w:rPr>
          <w:rFonts w:hint="eastAsia" w:asciiTheme="minorEastAsia" w:hAnsiTheme="minorEastAsia" w:eastAsiaTheme="minorEastAsia" w:cstheme="minorEastAsia"/>
          <w:sz w:val="21"/>
          <w:szCs w:val="21"/>
          <w:u w:val="single"/>
          <w:lang w:eastAsia="zh-CN"/>
        </w:rPr>
        <w:t>包括项目管理咨询公司、第三方实测实量机构</w:t>
      </w:r>
      <w:r>
        <w:rPr>
          <w:rFonts w:hint="eastAsia" w:asciiTheme="minorEastAsia" w:hAnsiTheme="minorEastAsia" w:eastAsiaTheme="minorEastAsia" w:cstheme="minorEastAsia"/>
          <w:sz w:val="21"/>
          <w:szCs w:val="21"/>
          <w:lang w:eastAsia="zh-CN"/>
        </w:rPr>
        <w:t>）、监理单位、甲方的合理要求，并承担自身经营风险所可能发生的一切相关费用均已包含在合同价格之内。</w:t>
      </w:r>
    </w:p>
    <w:p w14:paraId="3D6E2F37">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下列三种确定合同价格的方式，在专用合同条款中约定采用其中一种：</w:t>
      </w:r>
    </w:p>
    <w:p w14:paraId="3D6E2F38">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价合同：是指双方当事人约定以工程量清单及其综合单价进行合同价格计算、调整和确认的建设工程施工合同，在约定的风险范围内合同单价不作调整。综合单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3D6E2F3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3D6E2F3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（2）经过乙方标价的工程量清单（或乙方投标报价）各分项工程、各子目中的计算、价格错误及组价的漏项；</w:t>
      </w:r>
    </w:p>
    <w:p w14:paraId="3D6E2F3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（3）乙方施工范围或施工工程量增加15%范围以内的情况或乙方施工范围或施工工程量减少的情况导致价格的变化；</w:t>
      </w:r>
    </w:p>
    <w:p w14:paraId="3D6E2F3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（4）材料价格及人工价格上涨或下落；</w:t>
      </w:r>
    </w:p>
    <w:p w14:paraId="3D6E2F3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（5）国家法律、法规、政策的变化；</w:t>
      </w:r>
    </w:p>
    <w:p w14:paraId="3D6E2F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（6）工程造价管理部门公布的各种价格调整；</w:t>
      </w:r>
    </w:p>
    <w:p w14:paraId="3D6E2F3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（7）大面积与局部、小面积之间，普通部位与特殊部位之间的各种施工差异；</w:t>
      </w:r>
    </w:p>
    <w:p w14:paraId="3D6E2F4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（8）任何情况下，乙方在投标前已勘察现场及熟悉施工图纸等，实际施工时不能以对现场或图纸不熟，或者以清单未描述或内容描述不全面等为由要求调整合同单价。</w:t>
      </w:r>
    </w:p>
    <w:p w14:paraId="3D6E2F41">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总价合同：是指双方当事人约定以图纸、已标价工程量清单或预算书及有关条件进行合同价格计算、调整和确认的建设工程施工合同，在约定的风险范围内合同价格不再调整。</w:t>
      </w:r>
      <w:r>
        <w:rPr>
          <w:rFonts w:hint="eastAsia" w:asciiTheme="minorEastAsia" w:hAnsiTheme="minorEastAsia" w:eastAsiaTheme="minorEastAsia" w:cstheme="minorEastAsia"/>
          <w:sz w:val="21"/>
          <w:szCs w:val="21"/>
          <w:lang w:eastAsia="zh-CN"/>
        </w:rPr>
        <w:t>合同总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3D6E2F4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3D6E2F4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（2）施工图纸、图集和相关规范所必须的全部施工内容；</w:t>
      </w:r>
    </w:p>
    <w:p w14:paraId="3D6E2F4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（3）当施工范围或施工图纸发生变化导致工程量增加15%以内或工程量减少的情况导致价格的变化；</w:t>
      </w:r>
    </w:p>
    <w:p w14:paraId="3D6E2F4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（4）合同清单中的计算、价格错误及组价的漏项；</w:t>
      </w:r>
    </w:p>
    <w:p w14:paraId="3D6E2F4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（5）材料价格及人工价格上涨或下落；</w:t>
      </w:r>
    </w:p>
    <w:p w14:paraId="3D6E2F4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（6）国家法律、法规、政策的变化；</w:t>
      </w:r>
    </w:p>
    <w:p w14:paraId="3D6E2F4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（7）工程造价管理部门公布的各种价格调整；</w:t>
      </w:r>
    </w:p>
    <w:p w14:paraId="3D6E2F4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（8）大面积与局部、小面积之间，普通部位与特殊部位之间的各种施工差异；</w:t>
      </w:r>
    </w:p>
    <w:p w14:paraId="3D6E2F4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（9）任何情况下，乙方在投标前已勘察现场及熟悉施工图纸等，实际施工时不能以对现场或图纸不熟，或者以清单未描述或内容描述不全面等为由要求调整合同总价。</w:t>
      </w:r>
    </w:p>
    <w:p w14:paraId="3D6E2F4B">
      <w:pPr>
        <w:numPr>
          <w:ilvl w:val="2"/>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其他价格形式：是指除第 13.2.1、13.2.2 项以外的其他合同价格形式，具体约定见专用合同条款。</w:t>
      </w:r>
    </w:p>
    <w:p w14:paraId="3D6E2F4C">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招标文件和分包合同文件明示要求的项目若在《工程量清单计价表》内没有显示，或任何组成《工程量清单计价表》以外的而根据设计和规范必不可少项目，其价款均视为已经包含在《工程量清单计价表》所列项目单价/价款内。</w:t>
      </w:r>
    </w:p>
    <w:p w14:paraId="3D6E2F4D">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合同单价中存在一定的不平衡，由此导致的风险由乙方承担，乙方不得以低于成本、出现亏损等任何原因要求调高价款。</w:t>
      </w:r>
    </w:p>
    <w:p w14:paraId="3D6E2F4E">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合同价款综合考虑了以下各类因素，乙方不得有选择性施工作业；乙方不得以施工难度等因素为由调整合同价款，甲方不接受乙方就以下情况的费用索赔或额外补偿的要求。</w:t>
      </w:r>
    </w:p>
    <w:p w14:paraId="3D6E2F4F">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（1）实际</w:t>
      </w:r>
      <w:r>
        <w:rPr>
          <w:rFonts w:hint="eastAsia" w:asciiTheme="minorEastAsia" w:hAnsiTheme="minorEastAsia" w:eastAsiaTheme="minorEastAsia" w:cstheme="minorEastAsia"/>
          <w:bCs/>
          <w:kern w:val="10"/>
          <w:sz w:val="21"/>
          <w:szCs w:val="21"/>
          <w:lang w:eastAsia="zh-CN"/>
        </w:rPr>
        <w:t>工程量较合同清单工程量增加</w:t>
      </w:r>
      <w:r>
        <w:rPr>
          <w:rFonts w:hint="eastAsia" w:asciiTheme="minorEastAsia" w:hAnsiTheme="minorEastAsia" w:eastAsiaTheme="minorEastAsia" w:cstheme="minorEastAsia"/>
          <w:sz w:val="21"/>
          <w:szCs w:val="21"/>
          <w:lang w:eastAsia="zh-CN"/>
        </w:rPr>
        <w:t>15%范围以内或减少的情况，单价不予调整；若</w:t>
      </w:r>
      <w:r>
        <w:rPr>
          <w:rFonts w:hint="eastAsia" w:asciiTheme="minorEastAsia" w:hAnsiTheme="minorEastAsia" w:eastAsiaTheme="minorEastAsia" w:cstheme="minorEastAsia"/>
          <w:kern w:val="10"/>
          <w:sz w:val="21"/>
          <w:szCs w:val="21"/>
          <w:lang w:eastAsia="zh-CN"/>
        </w:rPr>
        <w:t>实际</w:t>
      </w:r>
      <w:r>
        <w:rPr>
          <w:rFonts w:hint="eastAsia" w:asciiTheme="minorEastAsia" w:hAnsiTheme="minorEastAsia" w:eastAsiaTheme="minorEastAsia" w:cstheme="minorEastAsia"/>
          <w:bCs/>
          <w:kern w:val="10"/>
          <w:sz w:val="21"/>
          <w:szCs w:val="21"/>
          <w:lang w:eastAsia="zh-CN"/>
        </w:rPr>
        <w:t>工程量较合同清单工程量</w:t>
      </w:r>
      <w:r>
        <w:rPr>
          <w:rFonts w:hint="eastAsia" w:asciiTheme="minorEastAsia" w:hAnsiTheme="minorEastAsia" w:eastAsiaTheme="minorEastAsia" w:cstheme="minorEastAsia"/>
          <w:sz w:val="21"/>
          <w:szCs w:val="21"/>
          <w:lang w:eastAsia="zh-CN"/>
        </w:rPr>
        <w:t>增加超过15%时，双方应就该清单项单价调减，并及时签订补充协议</w:t>
      </w:r>
      <w:r>
        <w:rPr>
          <w:rFonts w:hint="eastAsia" w:asciiTheme="minorEastAsia" w:hAnsiTheme="minorEastAsia" w:eastAsiaTheme="minorEastAsia" w:cstheme="minorEastAsia"/>
          <w:bCs/>
          <w:kern w:val="10"/>
          <w:sz w:val="21"/>
          <w:szCs w:val="21"/>
          <w:lang w:eastAsia="zh-CN"/>
        </w:rPr>
        <w:t>；</w:t>
      </w:r>
    </w:p>
    <w:p w14:paraId="3D6E2F50">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（2）全部</w:t>
      </w:r>
      <w:r>
        <w:rPr>
          <w:rFonts w:hint="eastAsia" w:asciiTheme="minorEastAsia" w:hAnsiTheme="minorEastAsia" w:eastAsiaTheme="minorEastAsia" w:cstheme="minorEastAsia"/>
          <w:bCs/>
          <w:kern w:val="10"/>
          <w:sz w:val="21"/>
          <w:szCs w:val="21"/>
          <w:lang w:eastAsia="zh-CN"/>
        </w:rPr>
        <w:t>非标层高、局部超高及高层施工难度等因素；</w:t>
      </w:r>
    </w:p>
    <w:p w14:paraId="3D6E2F51">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（3）全部或局部尺寸、形状、工艺等部分特殊性设计或异形构件等施工造成的工效降低；</w:t>
      </w:r>
    </w:p>
    <w:p w14:paraId="3D6E2F5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（3）机械覆盖范围外引起降效和人工倒运；</w:t>
      </w:r>
    </w:p>
    <w:p w14:paraId="3D6E2F5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3" w:name="_Hlk34494197"/>
      <w:r>
        <w:rPr>
          <w:rFonts w:hint="eastAsia" w:asciiTheme="minorEastAsia" w:hAnsiTheme="minorEastAsia" w:eastAsiaTheme="minorEastAsia" w:cstheme="minorEastAsia"/>
          <w:kern w:val="10"/>
          <w:sz w:val="21"/>
          <w:szCs w:val="21"/>
          <w:lang w:eastAsia="zh-CN"/>
        </w:rPr>
        <w:t>（4）</w:t>
      </w:r>
      <w:bookmarkEnd w:id="383"/>
      <w:r>
        <w:rPr>
          <w:rFonts w:hint="eastAsia" w:asciiTheme="minorEastAsia" w:hAnsiTheme="minorEastAsia" w:eastAsiaTheme="minorEastAsia" w:cstheme="minorEastAsia"/>
          <w:kern w:val="10"/>
          <w:sz w:val="21"/>
          <w:szCs w:val="21"/>
          <w:lang w:eastAsia="zh-CN"/>
        </w:rPr>
        <w:t>建设单位图纸原因、节假日、政府强制停工复工、各类</w:t>
      </w:r>
      <w:r>
        <w:rPr>
          <w:rFonts w:hint="eastAsia" w:asciiTheme="minorEastAsia" w:hAnsiTheme="minorEastAsia" w:eastAsiaTheme="minorEastAsia" w:cstheme="minorEastAsia"/>
          <w:sz w:val="21"/>
          <w:szCs w:val="21"/>
          <w:lang w:eastAsia="zh-CN"/>
        </w:rPr>
        <w:t>检查观摩等</w:t>
      </w:r>
      <w:r>
        <w:rPr>
          <w:rFonts w:hint="eastAsia" w:asciiTheme="minorEastAsia" w:hAnsiTheme="minorEastAsia" w:eastAsiaTheme="minorEastAsia" w:cstheme="minorEastAsia"/>
          <w:kern w:val="10"/>
          <w:sz w:val="21"/>
          <w:szCs w:val="21"/>
          <w:lang w:eastAsia="zh-CN"/>
        </w:rPr>
        <w:t>所引起各项工作费用（如二次进出场、留守人员等）；</w:t>
      </w:r>
    </w:p>
    <w:p w14:paraId="3D6E2F5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（5）停水停电、待料、机械修理等停工费用；</w:t>
      </w:r>
    </w:p>
    <w:p w14:paraId="3D6E2F5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（6）甲方根据工程的进展及施工的需要调整了施工方案和工序而产生费用；</w:t>
      </w:r>
    </w:p>
    <w:p w14:paraId="3D6E2F56">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（7）未经甲方允许，乙方在施工中擅自改变材料做法进行施工作业；</w:t>
      </w:r>
    </w:p>
    <w:p w14:paraId="3D6E2F57">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（8）乙方承包范围内任何零星用工、窝工、误工、赶工等费用；</w:t>
      </w:r>
    </w:p>
    <w:p w14:paraId="3D6E2F58">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（9）因市场变化导致人工、材料、机械价格变化或政府及行业主管部门红头文件的颁发而起的乙方的实际支出的增减；</w:t>
      </w:r>
    </w:p>
    <w:p w14:paraId="3D6E2F59">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（10）因天气、地形、地质、环保要求等条件变化对工程影响（如因雨雪、大气污染、扬尘管控）及采取的临时措施；</w:t>
      </w:r>
    </w:p>
    <w:p w14:paraId="3D6E2F5A">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（11）乙方对招标文件、图纸情况、施工现场情况、生活区情况的理解偏差；</w:t>
      </w:r>
    </w:p>
    <w:p w14:paraId="3D6E2F5B">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（12）按规范、方案、图纸要求必须完成的</w:t>
      </w:r>
      <w:bookmarkStart w:id="384" w:name="_Hlk34051356"/>
      <w:r>
        <w:rPr>
          <w:rFonts w:hint="eastAsia" w:asciiTheme="minorEastAsia" w:hAnsiTheme="minorEastAsia" w:eastAsiaTheme="minorEastAsia" w:cstheme="minorEastAsia"/>
          <w:kern w:val="10"/>
          <w:sz w:val="21"/>
          <w:szCs w:val="21"/>
          <w:lang w:eastAsia="zh-CN"/>
        </w:rPr>
        <w:t>（包括图纸没有显示的）工作；</w:t>
      </w:r>
    </w:p>
    <w:bookmarkEnd w:id="384"/>
    <w:p w14:paraId="3D6E2F5C">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（13）同前期工程衔接、处理完善前期遗留问题、接受现场基层条件所需的费用；</w:t>
      </w:r>
    </w:p>
    <w:p w14:paraId="3D6E2F5D">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5" w:name="_Hlk33982872"/>
      <w:r>
        <w:rPr>
          <w:rFonts w:hint="eastAsia" w:asciiTheme="minorEastAsia" w:hAnsiTheme="minorEastAsia" w:eastAsiaTheme="minorEastAsia" w:cstheme="minorEastAsia"/>
          <w:kern w:val="10"/>
          <w:sz w:val="21"/>
          <w:szCs w:val="21"/>
          <w:lang w:eastAsia="zh-CN"/>
        </w:rPr>
        <w:t>（14）与其他分包单位的照管、配合及带来的工作量的全部费用；</w:t>
      </w:r>
    </w:p>
    <w:bookmarkEnd w:id="385"/>
    <w:p w14:paraId="3D6E2F5E">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（15）甲方基于项目需求所推行或要求使用的新技术、新工艺、新材料的费用；</w:t>
      </w:r>
    </w:p>
    <w:p w14:paraId="3D6E2F5F">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（16）本合同没有提到的但乙方为完成本工程工作所必然发生的工作所产生的费用；</w:t>
      </w:r>
    </w:p>
    <w:p w14:paraId="3D6E2F60">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（17）非乙方原因停工30日以内造成的窝工；</w:t>
      </w:r>
    </w:p>
    <w:p w14:paraId="3D6E2F61">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（18）因达到合同约定的创优标准所发生的费用；</w:t>
      </w:r>
    </w:p>
    <w:p w14:paraId="3D6E2F6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（19）其他在本合同中明确的因素。</w:t>
      </w:r>
    </w:p>
    <w:p w14:paraId="3D6E2F6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承诺为满足本合同约定的工期、质量、安全生产要求，会随时按甲方指令无条件追加现场资源投入，以达到甲方的要求为止；为达到上述要求，乙方采取各种措施的费用已包含于合同价款中，不再增加任何费用。</w:t>
      </w:r>
    </w:p>
    <w:p w14:paraId="3D6E2F6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在合同执行期间，如遇国家增值税率调整，在不含税价格不变的情况下，按政策调整之日对本合同项下未完成部分执行最新规定。</w:t>
      </w:r>
    </w:p>
    <w:p w14:paraId="3D6E2F6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本合同中约定的任何一项工作内容未履行或未完全履行，均应从合同价款中扣除相应费用。</w:t>
      </w:r>
    </w:p>
    <w:p w14:paraId="3D6E2F66">
      <w:pPr>
        <w:numPr>
          <w:ilvl w:val="1"/>
          <w:numId w:val="3"/>
        </w:numPr>
        <w:kinsoku w:val="0"/>
        <w:spacing w:after="0"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计量方式</w:t>
      </w:r>
    </w:p>
    <w:p w14:paraId="3D6E2F67">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本工程工程量计量原则按照经甲方确认的施工图纸及合同专用条款中约定的规定执行，以经甲方最终确认的实际施工部位为准，按照施工图纸计算的工程量及现场实际完成的合格工程量的较小值计算。</w:t>
      </w:r>
    </w:p>
    <w:p w14:paraId="3D6E2F68">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本工程分部分项工程量清单中所列数量为暂定数量（固定总价合同除外），不作为乙方结算依据，乙方不得以清单中工程数量及项目发生变更要求调整清单单价，乙方结算按照上述计量原则进行计算。</w:t>
      </w:r>
    </w:p>
    <w:p w14:paraId="3D6E2F69">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本合同范围内工作内容不得发生任何零工、零星机械台班及技术措施费。甲方可以拒绝支付任何此类费用。</w:t>
      </w:r>
    </w:p>
    <w:p w14:paraId="3D6E2F6A">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任何情况下（甲方原因除外）造成的返工、返修、超技术交底或设计图纸施工的工程数量不予计价。</w:t>
      </w:r>
    </w:p>
    <w:p w14:paraId="3D6E2F6B">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开工前期，如在网电未接通的情况下需进行施工时,具体事宜在专用条款中约定，专用条款中没有约定的视为此项费用由乙方承担，已包含在分包单价中。</w:t>
      </w:r>
    </w:p>
    <w:p w14:paraId="3D6E2F6C">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86" w:name="_Toc101357437"/>
      <w:bookmarkStart w:id="387" w:name="_Toc29071"/>
      <w:bookmarkStart w:id="388" w:name="_Toc20662"/>
      <w:bookmarkStart w:id="389" w:name="_Toc26611"/>
      <w:bookmarkStart w:id="390" w:name="_Toc175772236"/>
      <w:bookmarkStart w:id="391" w:name="_Toc24618"/>
      <w:bookmarkStart w:id="392" w:name="_Toc27252"/>
      <w:bookmarkStart w:id="393" w:name="_Toc25862"/>
      <w:bookmarkStart w:id="394" w:name="_Toc12172"/>
      <w:bookmarkStart w:id="395" w:name="_Toc17450"/>
      <w:bookmarkStart w:id="396" w:name="_Toc10179"/>
      <w:bookmarkStart w:id="397" w:name="_Toc32406"/>
      <w:bookmarkStart w:id="398" w:name="_Toc19551"/>
      <w:bookmarkStart w:id="399" w:name="_Toc9587"/>
      <w:bookmarkStart w:id="400" w:name="_Toc10689"/>
      <w:bookmarkStart w:id="401" w:name="_Toc7970"/>
      <w:bookmarkStart w:id="402" w:name="_Toc101963495"/>
      <w:r>
        <w:rPr>
          <w:rFonts w:hint="eastAsia" w:asciiTheme="minorEastAsia" w:hAnsiTheme="minorEastAsia" w:eastAsiaTheme="minorEastAsia" w:cstheme="minorEastAsia"/>
          <w:b/>
          <w:sz w:val="21"/>
          <w:szCs w:val="21"/>
        </w:rPr>
        <w:t>变更</w:t>
      </w:r>
      <w:r>
        <w:rPr>
          <w:rFonts w:hint="eastAsia" w:asciiTheme="minorEastAsia" w:hAnsiTheme="minorEastAsia" w:eastAsiaTheme="minorEastAsia" w:cstheme="minorEastAsia"/>
          <w:b/>
          <w:sz w:val="21"/>
          <w:szCs w:val="21"/>
          <w:lang w:eastAsia="zh-CN"/>
        </w:rPr>
        <w:t>签证</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D6E2F6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如果甲方认为有必要对本分包工程或其中的任何部分的形式、质量、数量做出任何变更或调整，乙方应遵照执行，该指示包括来自建设单位、设计单位、监理单位的设计变更、洽商、指示等。</w:t>
      </w:r>
      <w:r>
        <w:rPr>
          <w:rFonts w:hint="eastAsia" w:asciiTheme="minorEastAsia" w:hAnsiTheme="minorEastAsia" w:eastAsiaTheme="minorEastAsia" w:cstheme="minorEastAsia"/>
          <w:bCs/>
          <w:sz w:val="21"/>
          <w:szCs w:val="21"/>
          <w:lang w:eastAsia="zh-CN"/>
        </w:rPr>
        <w:t>乙方因没有遵守此条款，引起的任何返工，其损失或工期延误都应由乙方承担。</w:t>
      </w:r>
    </w:p>
    <w:p w14:paraId="3D6E2F6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上述变更指令发出后，双方应继续履行本合同。因变更而导致合同价款的增减及造成的工期影响，按本合同17.4.2条规定执行。</w:t>
      </w:r>
    </w:p>
    <w:p w14:paraId="3D6E2F6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如果上述变更是因为乙方违约或自身原因造成甲方不得不发出变更指令，则任何此类变更后增加的费用均由乙方承担。</w:t>
      </w:r>
    </w:p>
    <w:p w14:paraId="3D6E2F7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甲方发出的设计变更通知及有关要求，进行施工，未经甲方事先书面同意，乙方不得擅自对原工程设计进行变更或调整分包作业范围。由乙方擅自变更或未按照甲方设计变更通知进行施工造成的费用增加和由此导致甲方的直接损失，由乙方承担，延误的工期不予顺延。</w:t>
      </w:r>
    </w:p>
    <w:p w14:paraId="3D6E2F7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中提出的合理化建议及涉及到对设计图纸或施工组织设计的更改及对材料、设备的换用，应向甲方提交合理化建议说明，说明建议的内容、理由以及实施该建议对合同价格和工期的影响，且须经甲方同意，未经甲方同意擅自更改或换用时，乙方承担由此发生的费用，并赔偿由此给甲方造成的一切损失，延误的工期不予顺延。</w:t>
      </w:r>
    </w:p>
    <w:p w14:paraId="3D6E2F7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14.5条中的情况时，乙方应在7日内，将调整的原因、金额以书面形式（附有详细估算）提交甲方，甲方在收到乙方报告后上报建设单位，经建设单位审批后，甲方签署意见并调整本合同价款，本变更合同价款由双方协商确定但不得超过建设单位审批变更价款。</w:t>
      </w:r>
    </w:p>
    <w:p w14:paraId="3D6E2F7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现场变更签证管理规定：</w:t>
      </w:r>
    </w:p>
    <w:p w14:paraId="3D6E2F74">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变更、工程量确定原则</w:t>
      </w:r>
    </w:p>
    <w:p w14:paraId="3D6E2F75">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（1）工程变更、签证单应按甲方要求填写，字迹清楚工整。</w:t>
      </w:r>
    </w:p>
    <w:p w14:paraId="3D6E2F76">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b/>
          <w:bCs/>
          <w:sz w:val="21"/>
          <w:szCs w:val="21"/>
          <w:lang w:eastAsia="zh-CN"/>
        </w:rPr>
        <w:t>须由甲方项目部现场签证发起人员、商务人员及乙方三方进行现场验收核实，并经甲方项目经理、商务经理、项目技术负责人、项目生产负责人等共同签字且日期齐全。</w:t>
      </w:r>
      <w:r>
        <w:rPr>
          <w:rFonts w:hint="eastAsia" w:asciiTheme="minorEastAsia" w:hAnsiTheme="minorEastAsia" w:eastAsiaTheme="minorEastAsia" w:cstheme="minorEastAsia"/>
          <w:sz w:val="21"/>
          <w:szCs w:val="21"/>
          <w:lang w:eastAsia="zh-CN"/>
        </w:rPr>
        <w:t>对变更、签证事由和内容的描述须详尽，必要时应附上图示及工程量计算式。变更事由注明发生时间、地点和工作部位（层次、轴线编号、构件名称、桩号等）。</w:t>
      </w:r>
    </w:p>
    <w:p w14:paraId="3D6E2F77">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变更、签证单价确定原则</w:t>
      </w:r>
    </w:p>
    <w:p w14:paraId="3D6E2F78">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（1）如果取消某项工作，则该项工作的总额价不予支付；</w:t>
      </w:r>
    </w:p>
    <w:p w14:paraId="3D6E2F79">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（2）已标价工程量清单中有相同清单项的，按照已标价工程量清单单价认定；</w:t>
      </w:r>
    </w:p>
    <w:p w14:paraId="3D6E2F7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（3）已标价工程量清单中无相同清单项，但有类似清单项的，于合同清单外工程的价格，可以参照已标价工程量清单中类似清单项单价认定；</w:t>
      </w:r>
    </w:p>
    <w:p w14:paraId="3D6E2F7B">
      <w:pPr>
        <w:kinsoku w:val="0"/>
        <w:adjustRightInd w:val="0"/>
        <w:snapToGrid w:val="0"/>
        <w:spacing w:after="0"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已标价工程量清单中无相同清单项或类似清单项的，由乙方提出适当的价格，并经甲方审核后出具双方签字盖章的价格确认单方可执行。变更、签证单上签署的未经甲方相关部门和人员审核的价格，不作为最终结算依据。</w:t>
      </w:r>
    </w:p>
    <w:p w14:paraId="3D6E2F7C">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（5）如果本工程的变更指示是因乙方过错、乙方违反合同或乙方责任造成的，则这种违约引起的任何额外费用应由乙方承担。</w:t>
      </w:r>
    </w:p>
    <w:p w14:paraId="3D6E2F7D">
      <w:pPr>
        <w:numPr>
          <w:ilvl w:val="2"/>
          <w:numId w:val="3"/>
        </w:numPr>
        <w:kinsoku w:val="0"/>
        <w:spacing w:after="0" w:line="36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无效变更、签证单：</w:t>
      </w:r>
    </w:p>
    <w:p w14:paraId="3D6E2F7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（1）</w:t>
      </w:r>
      <w:r>
        <w:rPr>
          <w:rFonts w:hint="eastAsia" w:asciiTheme="minorEastAsia" w:hAnsiTheme="minorEastAsia" w:eastAsiaTheme="minorEastAsia" w:cstheme="minorEastAsia"/>
          <w:sz w:val="21"/>
          <w:szCs w:val="21"/>
          <w:lang w:eastAsia="zh-CN"/>
        </w:rPr>
        <w:t>甲方项目经理、项目商务经理、项目技术负责人、项目生产负责人及经办人员签名不全或没有注明变更日期的变更、签证单；</w:t>
      </w:r>
    </w:p>
    <w:p w14:paraId="3D6E2F7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（2）超过变更时效或竣工后突击补签的变更、签证单；</w:t>
      </w:r>
    </w:p>
    <w:p w14:paraId="3D6E2F8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（3）非原件的变更、签证资料；</w:t>
      </w:r>
    </w:p>
    <w:p w14:paraId="3D6E2F8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（4）内容不实、对事由的描述太简单以致无法核定工程量的变更、签证单；</w:t>
      </w:r>
    </w:p>
    <w:p w14:paraId="3D6E2F8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（5）变更、签证内容包括在本合同单价范围内或者本合同工作范围内。</w:t>
      </w:r>
    </w:p>
    <w:p w14:paraId="3D6E2F83">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已发生的有关签证必须在当天办理现场验收核实，涉及的合同外增加费用的，乙方必须在变更、签证发生7天内将变更、签证费用上报甲方，如果乙方未在规定的时间内上报，则视为本洽商、变更、签证不涉及合同外费用调整。</w:t>
      </w:r>
    </w:p>
    <w:p w14:paraId="3D6E2F84">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03" w:name="_Toc21135"/>
      <w:bookmarkStart w:id="404" w:name="_Toc30828"/>
      <w:bookmarkStart w:id="405" w:name="_Toc101357440"/>
      <w:bookmarkStart w:id="406" w:name="_Toc101963496"/>
      <w:bookmarkStart w:id="407" w:name="_Toc23028"/>
      <w:bookmarkStart w:id="408" w:name="_Toc4065"/>
      <w:bookmarkStart w:id="409" w:name="_Toc1051"/>
      <w:bookmarkStart w:id="410" w:name="_Toc21943"/>
      <w:bookmarkStart w:id="411" w:name="_Toc31015"/>
      <w:bookmarkStart w:id="412" w:name="_Toc24261"/>
      <w:bookmarkStart w:id="413" w:name="_Toc4788"/>
      <w:bookmarkStart w:id="414" w:name="_Toc5904"/>
      <w:bookmarkStart w:id="415" w:name="_Toc20055"/>
      <w:bookmarkStart w:id="416" w:name="_Toc175772237"/>
      <w:bookmarkStart w:id="417" w:name="_Toc14250"/>
      <w:bookmarkStart w:id="418" w:name="_Toc26886"/>
      <w:bookmarkStart w:id="419" w:name="_Toc4391"/>
      <w:bookmarkStart w:id="420" w:name="_Toc23790"/>
      <w:bookmarkStart w:id="421" w:name="_Toc32733"/>
      <w:bookmarkStart w:id="422" w:name="_Toc27177"/>
      <w:bookmarkStart w:id="423" w:name="_Toc11138"/>
      <w:bookmarkStart w:id="424" w:name="_Toc9294"/>
      <w:bookmarkStart w:id="425" w:name="_Toc22125"/>
      <w:bookmarkStart w:id="426" w:name="_Toc28252"/>
      <w:bookmarkStart w:id="427" w:name="_Toc29236"/>
      <w:bookmarkStart w:id="428" w:name="_Toc20120"/>
      <w:bookmarkStart w:id="429" w:name="_Toc11238"/>
      <w:bookmarkStart w:id="430" w:name="_Toc30193"/>
      <w:bookmarkStart w:id="431" w:name="_Toc101357438"/>
      <w:bookmarkStart w:id="432" w:name="_Toc23683"/>
      <w:bookmarkStart w:id="433" w:name="_Toc6616"/>
      <w:bookmarkStart w:id="434" w:name="_Toc28726"/>
      <w:r>
        <w:rPr>
          <w:rFonts w:hint="eastAsia" w:asciiTheme="minorEastAsia" w:hAnsiTheme="minorEastAsia" w:eastAsiaTheme="minorEastAsia" w:cstheme="minorEastAsia"/>
          <w:b/>
          <w:sz w:val="21"/>
          <w:szCs w:val="21"/>
        </w:rPr>
        <w:t>工程款支付</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D6E2F8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甲方应按合同约定向乙方支付工程预付款。工程预付款的支付时间、预付额度、工程预付款的抵扣起始时间和方式见专用合同条款。</w:t>
      </w:r>
    </w:p>
    <w:p w14:paraId="3D6E2F8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甲方应按专用合同条款约定的工程进度款付款周期、程序、支付比例或金额支付工程进度款。</w:t>
      </w:r>
    </w:p>
    <w:p w14:paraId="3D6E2F8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委托甲方代发农民工工资，并认可甲方的按月代发行为，每次付款前,应当提供收款承诺书或收据。不得据此拒绝提供或不足额提供增值税专用发票给甲方。甲方根据合同专用合同条款的约定代发乙方农民工工资。乙方不得以任何理由扣押或者变相扣押用于支付农民工工资的银行账户所绑定的农民工本人社会保障卡或者银行卡。乙方需按照国家法律法规政策，为农民工缴纳个人所得税，并按照甲方要求，定期提交纳税证明，确保如实履行代扣代缴的纳税义务。</w:t>
      </w:r>
    </w:p>
    <w:p w14:paraId="3D6E2F8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甲方按合同约定向乙方支付的进度款已足够支付全额工人工资，乙方在收到甲方进度款后应优先用于支付工人工资。</w:t>
      </w:r>
    </w:p>
    <w:p w14:paraId="3D6E2F8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甲方财务要求提供符合本合同协议书中约定税率的合规增值税专用发票（包含税务机关代开），并按实际提供服务及货物情况，准确填写发票项目，甲方收到乙方的合格发票后支付工程款。因乙方发票填写有误，造成甲方增值税抵扣税额损失的，由乙方全额进行赔偿。</w:t>
      </w:r>
    </w:p>
    <w:p w14:paraId="3D6E2F8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增值税专用发票的，乙方应按甲方通知的时间完成指定工作，并经双方现场人员验收确认后，由甲方通知乙方开票时间，乙方在甲方要求的时间内，向甲方开具已验收工作内容全额增值税专用发票。由于乙方不及时提供发票或者提供的发票不符合税务机关要求，导致甲方不能报验抵扣进项税金，或者当时虽正常通过审核，后被税务机关以“比对不符”或“失控发票”等事由追缴税款，从而给甲方造成的经济损失，由乙方负责赔偿。乙方不提供发票或发票不符合税务部门要求的，甲方</w:t>
      </w:r>
      <w:r>
        <w:rPr>
          <w:rStyle w:val="19"/>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sz w:val="21"/>
          <w:szCs w:val="21"/>
          <w:lang w:eastAsia="zh-CN"/>
        </w:rPr>
        <w:t>从应付款项中直接扣除发票事项的损失，然后再支付剩余的款项给乙方。</w:t>
      </w:r>
    </w:p>
    <w:p w14:paraId="3D6E2F8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因合同工作内容及价款等增值税专用发票记载项目发生变化的，如果甲方取得增值税专用发票尚未认证抵扣，则乙方应作废原发票，重新开具增值税专用发票，作废发票前需告知甲方，并收回原发票；如果原增值税专用发票已经认证抵扣，则乙方就合同增加的金额补开增值税专用发票；如有调减或者其他需要，与甲方联系开具红字信息表办理开具红冲发票。</w:t>
      </w:r>
    </w:p>
    <w:p w14:paraId="3D6E2F8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的发票必须保证“五流一致”，即合同流、资金流（银行的收付款凭证）、发票流（发票的开票人和收票人）、物流（或劳务流）和信息流相互统一，即合同主体、收款方、开票方和货物销售方或劳务提供方必须是同一个法律主体，而且合同主体、付款方、货物采购方或劳务接收方必须是同一个法律主体，如果因乙方原因导致五流不一致，造成甲方不能对税款进行抵扣的，乙方必须承担由此给甲方带来的经济损失。</w:t>
      </w:r>
    </w:p>
    <w:p w14:paraId="3D6E2F8D">
      <w:pPr>
        <w:numPr>
          <w:ilvl w:val="1"/>
          <w:numId w:val="3"/>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在分包报价中已考虑本项目的资金风险，具备一定的资金实力。如双方因工程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乙方不以缓付、迟付工程款为由减慢施工进度或停止施工，</w:t>
      </w:r>
      <w:r>
        <w:rPr>
          <w:rFonts w:hint="eastAsia" w:asciiTheme="minorEastAsia" w:hAnsiTheme="minorEastAsia" w:eastAsiaTheme="minorEastAsia" w:cstheme="minorEastAsia"/>
          <w:b/>
          <w:bCs/>
          <w:sz w:val="21"/>
          <w:szCs w:val="21"/>
          <w:lang w:eastAsia="zh-CN"/>
        </w:rPr>
        <w:t>乙方需自筹资金保证本工程按期完成</w:t>
      </w:r>
      <w:r>
        <w:rPr>
          <w:rFonts w:hint="eastAsia" w:asciiTheme="minorEastAsia" w:hAnsiTheme="minorEastAsia" w:eastAsiaTheme="minorEastAsia" w:cstheme="minorEastAsia"/>
          <w:b/>
          <w:sz w:val="21"/>
          <w:szCs w:val="21"/>
          <w:lang w:eastAsia="zh-CN"/>
        </w:rPr>
        <w:t>；不以缓付、迟付工程款为由拒绝办理过程结算、竣工结算。</w:t>
      </w:r>
    </w:p>
    <w:p w14:paraId="3D6E2F8E">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35" w:name="_Toc175772238"/>
      <w:bookmarkStart w:id="436" w:name="_Toc101963497"/>
      <w:r>
        <w:rPr>
          <w:rFonts w:hint="eastAsia" w:asciiTheme="minorEastAsia" w:hAnsiTheme="minorEastAsia" w:eastAsiaTheme="minorEastAsia" w:cstheme="minorEastAsia"/>
          <w:b/>
          <w:sz w:val="21"/>
          <w:szCs w:val="21"/>
          <w:lang w:eastAsia="zh-CN"/>
        </w:rPr>
        <w:t>过程结算</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D6E2F8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乙方应按合同约定的时间和内容向甲方提交计量周期的已完成的工程量报告。乙方提交已完成的工程量报告的时间、内容和计量周期见专用合同条款。</w:t>
      </w:r>
    </w:p>
    <w:p w14:paraId="3D6E2F9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乙方必须满足“月结月清”要求，每次过程结算内容必须包含图纸施工内容、及经相关人员签字确认的合同外签证变更索赔等所有乙方发生内容，超期补报视为无效。</w:t>
      </w:r>
    </w:p>
    <w:p w14:paraId="3D6E2F9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工程量有异议的，可以要求乙方进行共同复核或抽样复测。乙方应协助甲方进行复核或抽样复测，并按甲方要求提供补充计量资料。乙方未按甲方要求参加复核或抽样复测的，甲方复核或修正的工程量视为乙方实际完成的工程量。</w:t>
      </w:r>
    </w:p>
    <w:p w14:paraId="3D6E2F9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审核通过的工程量报告，编制过程结算资料，甲方和乙方应在过程结算资料编制完毕后2日内对过程结算资料予以书面确认，乙方需加盖公章。乙方应在书面确认后2日内开具已确认过程结算金额的全额增值税专用发票。</w:t>
      </w:r>
    </w:p>
    <w:p w14:paraId="3D6E2F9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过程结算审核必须经过甲方项目部、公司等各层级相关部门审核并签字后方可生效，仅甲方项目部项目经理签字的结算书不作为过程结算确认依据。</w:t>
      </w:r>
    </w:p>
    <w:p w14:paraId="3D6E2F94">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37" w:name="_Toc24796"/>
      <w:bookmarkStart w:id="438" w:name="_Toc8694"/>
      <w:bookmarkStart w:id="439" w:name="_Toc27329"/>
      <w:bookmarkStart w:id="440" w:name="_Toc101963498"/>
      <w:bookmarkStart w:id="441" w:name="_Toc27851"/>
      <w:bookmarkStart w:id="442" w:name="_Toc14052"/>
      <w:bookmarkStart w:id="443" w:name="_Toc26755"/>
      <w:bookmarkStart w:id="444" w:name="_Toc6494"/>
      <w:bookmarkStart w:id="445" w:name="_Toc21709"/>
      <w:bookmarkStart w:id="446" w:name="_Toc9893"/>
      <w:bookmarkStart w:id="447" w:name="_Toc20927"/>
      <w:bookmarkStart w:id="448" w:name="_Toc101357439"/>
      <w:bookmarkStart w:id="449" w:name="_Toc175772239"/>
      <w:bookmarkStart w:id="450" w:name="_Toc28888"/>
      <w:bookmarkStart w:id="451" w:name="_Toc26856"/>
      <w:bookmarkStart w:id="452" w:name="_Toc9353"/>
      <w:bookmarkStart w:id="453" w:name="_Toc4798"/>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D6E2F9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完工验收合格后30天内，乙方向甲方提交经乙方签字盖章并装订成册的结算报告及完整的结算资料，包含内容见专用合同条款。结算资料一经提交，乙方不得更改或补充。超过本分包工程完工验收合格后60天或经甲方催促后14天，乙方仍未向甲方提交完整结算资料或明确答复的，甲方可以根据已有资料进行审查，确定双方的结算金额，并单方面出具书面结算资料，以快递或电子邮件形式发送乙方，若在三日内未收到乙方回复，则视同乙方已认可该结算，并将该结算作为双方最终结算。该结算金额对乙方具有约束力，乙方无权再提出疑义，由此带来的全部责任和后果由乙方自负。</w:t>
      </w:r>
    </w:p>
    <w:p w14:paraId="3D6E2F9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结算报告有异议的，可以要求乙方进行共同复核或抽样复测。乙方应协助甲方进行复核或抽样复测，并按甲方要求提供补充结算资料。乙方未按甲方要求参加复核或抽样复测的，甲方复核或修正的结算金额视为乙方实际完成的结算金额。</w:t>
      </w:r>
    </w:p>
    <w:p w14:paraId="3D6E2F9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结算必须经过甲方项目部、子企业、集团总部等相关部门审核，甲方根据通过审核的结算资料编制完工结算书，甲方和乙方应在完工结算书编制完毕后30日内予以书面确认，结算书经双方签字盖章后方可生效，仅甲方项目部相关人员签字的结算书不作为最终双方确认依据。</w:t>
      </w:r>
    </w:p>
    <w:p w14:paraId="3D6E2F9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最终结算价款根据合同价格形式，按照专用条款约定执行。</w:t>
      </w:r>
    </w:p>
    <w:p w14:paraId="3D6E2F9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本分包工程可根据施工形象进度办理分阶段最终结算，办理原则和要求与上述最终结算条款约定一致。</w:t>
      </w:r>
    </w:p>
    <w:p w14:paraId="3D6E2F9A">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54" w:name="_Toc175772240"/>
      <w:bookmarkStart w:id="455" w:name="_Toc101357441"/>
      <w:bookmarkStart w:id="456" w:name="_Toc101963499"/>
      <w:bookmarkStart w:id="457" w:name="_Toc3706"/>
      <w:bookmarkStart w:id="458" w:name="_Toc29076"/>
      <w:bookmarkStart w:id="459" w:name="_Toc1823"/>
      <w:bookmarkStart w:id="460" w:name="_Toc25864"/>
      <w:bookmarkStart w:id="461" w:name="_Toc19855"/>
      <w:bookmarkStart w:id="462" w:name="_Toc4750"/>
      <w:bookmarkStart w:id="463" w:name="_Toc12374"/>
      <w:bookmarkStart w:id="464" w:name="_Toc22036"/>
      <w:bookmarkStart w:id="465" w:name="_Toc12386"/>
      <w:bookmarkStart w:id="466" w:name="_Toc21233"/>
      <w:bookmarkStart w:id="467" w:name="_Toc16415"/>
      <w:bookmarkStart w:id="468" w:name="_Toc40"/>
      <w:bookmarkStart w:id="469" w:name="_Toc2774"/>
      <w:bookmarkStart w:id="470" w:name="_Toc19831"/>
      <w:r>
        <w:rPr>
          <w:rFonts w:hint="eastAsia" w:asciiTheme="minorEastAsia" w:hAnsiTheme="minorEastAsia" w:eastAsiaTheme="minorEastAsia" w:cstheme="minorEastAsia"/>
          <w:b/>
          <w:sz w:val="21"/>
          <w:szCs w:val="21"/>
          <w:lang w:eastAsia="zh-CN"/>
        </w:rPr>
        <w:t>完工验收</w:t>
      </w:r>
      <w:bookmarkEnd w:id="454"/>
      <w:bookmarkEnd w:id="455"/>
      <w:bookmarkEnd w:id="456"/>
    </w:p>
    <w:p w14:paraId="3D6E2F9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甲方有作业规范要求的，乙方的分包作业还应当满足甲方的作业规范要求。甲方可以随时对乙方实施的分包作业进行监督检查。</w:t>
      </w:r>
    </w:p>
    <w:p w14:paraId="3D6E2F9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本分包工程具备以下完工验收条件后，乙方方可向甲方提交完工验收申请报告：</w:t>
      </w:r>
    </w:p>
    <w:p w14:paraId="3D6E2F9D">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完工后，乙方应在完工验收10日前，向甲方提交完工验收报告和竣工资料。乙方提供资料数据并配合甲方做好竣工验收各项资料，资料费用由乙方承担。相关资料包括：分包资质报验表及其附件；乙方现场代表授权文书及现场人员通讯录（均需加盖公章）；材料进场报验表及其所附的材料试验、复试报告；隐蔽工程和中间验收记录的原始技术资料；提供办理工程竣工图的数据与资料；其他为完成竣工验收所需要的一切附件资料。</w:t>
      </w:r>
    </w:p>
    <w:p w14:paraId="3D6E2F9E">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乙方在工程完工后应通知甲方、监理办理完工验收，在甲方、监理在完工验收单上签字，明确表示本工程符合合同约定的质量标准后，方被认为工程完工。甲方、监理在完工验收单上签字时间为本工程完工时间。</w:t>
      </w:r>
    </w:p>
    <w:p w14:paraId="3D6E2F9F">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协助甲方办理整体工程竣工验收，及时完成验收提出的整改内容；并提交产品合格证、竣工报告及符合工程所在地地方标准的资料。如因缺项、漏项或资料不合格等情况，影响分包工程结算、工程款或质量保证金支付，相应责任由乙方承担。</w:t>
      </w:r>
    </w:p>
    <w:p w14:paraId="3D6E2FA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471" w:name="_Toc101357443"/>
      <w:r>
        <w:rPr>
          <w:rFonts w:hint="eastAsia" w:asciiTheme="minorEastAsia" w:hAnsiTheme="minorEastAsia" w:eastAsiaTheme="minorEastAsia" w:cstheme="minorEastAsia"/>
          <w:sz w:val="21"/>
          <w:szCs w:val="21"/>
          <w:lang w:eastAsia="zh-CN"/>
        </w:rPr>
        <w:t>甲方审查后，认为尚不具备验收条件的，应通知乙方在完工验收前尚需完成的工作内容，乙方应在完成甲方通知的全部工作内容后，再次提交完工验收申请报告。甲方审查后，认为已具备验收条件的，应在专用合同条款约定的时间内进行验收。验收合格的，则视为工程完工验收通过。验收不合格的，甲方应通知乙方进行整改，整改完成后重新办理验收，由此增加的费用和（或）工期延误由乙方承担。</w:t>
      </w:r>
      <w:bookmarkEnd w:id="471"/>
      <w:bookmarkStart w:id="472" w:name="_Toc101357444"/>
    </w:p>
    <w:p w14:paraId="3D6E2FA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经验收合格的工程，实际完工日期为乙方按第 18.2 款提交完工验收申请报告或按该款重新提交完工验收申请报告的日期（以两者中时间在后者为准）。</w:t>
      </w:r>
      <w:bookmarkEnd w:id="472"/>
    </w:p>
    <w:p w14:paraId="3D6E2FA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473" w:name="_Toc101357445"/>
      <w:r>
        <w:rPr>
          <w:rFonts w:hint="eastAsia" w:asciiTheme="minorEastAsia" w:hAnsiTheme="minorEastAsia" w:eastAsiaTheme="minorEastAsia" w:cstheme="minorEastAsia"/>
          <w:sz w:val="21"/>
          <w:szCs w:val="21"/>
          <w:lang w:eastAsia="zh-CN"/>
        </w:rPr>
        <w:t>检查检验合格后，又发现因乙方原因引起的质量问题，仍由乙方承担返修责任及费用，赔偿甲方因此造成的损失。甲方并不为其检查检验的行为承担任何责任。造成工期延误的，按照合同协议书约定承担违约金并赔偿甲方损失。</w:t>
      </w:r>
    </w:p>
    <w:p w14:paraId="3D6E2FA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分包作业经验收合格后，乙方应当按照甲方指示及时将该分包作业交付甲方，不得以双方存在争议为由拒绝将该分包作业交付甲方。</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3"/>
    <w:p w14:paraId="3D6E2FA4">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74" w:name="_Toc101366205"/>
      <w:bookmarkEnd w:id="474"/>
      <w:bookmarkStart w:id="475" w:name="_Toc29742"/>
      <w:bookmarkStart w:id="476" w:name="_Toc17265"/>
      <w:bookmarkStart w:id="477" w:name="_Toc101963501"/>
      <w:bookmarkStart w:id="478" w:name="_Toc101357447"/>
      <w:bookmarkStart w:id="479" w:name="_Toc15912"/>
      <w:bookmarkStart w:id="480" w:name="_Toc24385"/>
      <w:bookmarkStart w:id="481" w:name="_Toc20068"/>
      <w:bookmarkStart w:id="482" w:name="_Toc24000"/>
      <w:bookmarkStart w:id="483" w:name="_Toc5861"/>
      <w:bookmarkStart w:id="484" w:name="_Toc16080"/>
      <w:bookmarkStart w:id="485" w:name="_Toc230"/>
      <w:bookmarkStart w:id="486" w:name="_Toc3049"/>
      <w:bookmarkStart w:id="487" w:name="_Toc28445"/>
      <w:bookmarkStart w:id="488" w:name="_Toc28979"/>
      <w:bookmarkStart w:id="489" w:name="_Toc15786"/>
      <w:bookmarkStart w:id="490" w:name="_Toc16570"/>
      <w:bookmarkStart w:id="491" w:name="_Toc175772241"/>
      <w:r>
        <w:rPr>
          <w:rFonts w:hint="eastAsia" w:asciiTheme="minorEastAsia" w:hAnsiTheme="minorEastAsia" w:eastAsiaTheme="minorEastAsia" w:cstheme="minorEastAsia"/>
          <w:b/>
          <w:sz w:val="21"/>
          <w:szCs w:val="21"/>
        </w:rPr>
        <w:t>履约</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Theme="minorEastAsia" w:hAnsiTheme="minorEastAsia" w:eastAsiaTheme="minorEastAsia" w:cstheme="minorEastAsia"/>
          <w:b/>
          <w:sz w:val="21"/>
          <w:szCs w:val="21"/>
          <w:lang w:eastAsia="zh-CN"/>
        </w:rPr>
        <w:t>保证</w:t>
      </w:r>
      <w:bookmarkEnd w:id="491"/>
    </w:p>
    <w:p w14:paraId="3D6E2FA5">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在合同签订的同时，按专用合同条款约定向甲方提交履约保函（或提供同等金额的履约保证金）。该保函应为独立、不可撤销、见索即付的银行保函，且采取甲方和乙方双方同意的格式，开具保函的机构须经甲方同意，为执行本款所发生的费用应由乙方承担。未提交履约保函或保证金的，进度款不予支付。</w:t>
      </w:r>
    </w:p>
    <w:p w14:paraId="3D6E2FA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本分包工程交（竣）工验收合格之前，乙方应保证履约担保持续有效。若分包工程尚未完工验收或办理完成最终结算，则乙方应在履约担保期满前28天内延长履约担保的有效期，直至分包工程完工验收合格并办理完成最终结算。履约保函（或履约保证金）的有效期至本分包工程完工验收合格并办理完成最终结算为止，在有效期满30日内扣除乙方违约金及应扣款项后将履约保函（或履约保证金）无息退还给乙方。</w:t>
      </w:r>
    </w:p>
    <w:p w14:paraId="3D6E2FA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乙方未按约定履行合同而发生违约行为时，乙方应承担的违约金及因违约对甲方所造成的损失金额，甲方可无条件从履约担保中扣除违约金及相关损失并通知乙方，乙方有义务在接到上述通知后7天内将履约担保恢复到原金额。当乙方需承担的违约金及造成甲方的损失金额超出履约担保金额时，甲方可就超出数额向乙方追偿。</w:t>
      </w:r>
    </w:p>
    <w:p w14:paraId="3D6E2FA8">
      <w:pPr>
        <w:numPr>
          <w:ilvl w:val="0"/>
          <w:numId w:val="3"/>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492" w:name="_Toc101357448"/>
      <w:bookmarkStart w:id="493" w:name="_Toc32222"/>
      <w:bookmarkStart w:id="494" w:name="_Toc15725"/>
      <w:bookmarkStart w:id="495" w:name="_Toc19247"/>
      <w:bookmarkStart w:id="496" w:name="_Toc29175"/>
      <w:bookmarkStart w:id="497" w:name="_Toc13752"/>
      <w:bookmarkStart w:id="498" w:name="_Toc19980"/>
      <w:bookmarkStart w:id="499" w:name="_Toc5026"/>
      <w:bookmarkStart w:id="500" w:name="_Toc13622"/>
      <w:bookmarkStart w:id="501" w:name="_Toc24258"/>
      <w:bookmarkStart w:id="502" w:name="_Toc28929"/>
      <w:bookmarkStart w:id="503" w:name="_Toc3211"/>
      <w:bookmarkStart w:id="504" w:name="_Toc29227"/>
      <w:bookmarkStart w:id="505" w:name="_Toc11409"/>
      <w:bookmarkStart w:id="506" w:name="_Toc101963502"/>
      <w:bookmarkStart w:id="507" w:name="_Toc23026"/>
      <w:bookmarkStart w:id="508" w:name="_Toc175772242"/>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D6E2FA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乙方应在缺陷责任期内对已交付使用的工程承担缺陷责任。缺陷责任期的起始时间和缺陷责任期的期限见专用合同条款。</w:t>
      </w:r>
    </w:p>
    <w:p w14:paraId="3D6E2FA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乙方应在质量保修期内对已交付使用的工程承担保修责任。质量保修期的起始时间和质量保修期的期限见专用合同条款。</w:t>
      </w:r>
    </w:p>
    <w:p w14:paraId="3D6E2FA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乙方在质量保修期内，按照有关法律、法规、规章的管理规定和双方约定，承担本分包工程质量保修责任。保修金在保修期满后30天内无息支付。</w:t>
      </w:r>
      <w:r>
        <w:rPr>
          <w:rFonts w:hint="eastAsia" w:asciiTheme="minorEastAsia" w:hAnsiTheme="minorEastAsia" w:eastAsiaTheme="minorEastAsia" w:cstheme="minorEastAsia"/>
          <w:sz w:val="21"/>
          <w:szCs w:val="21"/>
          <w:lang w:eastAsia="zh-CN"/>
        </w:rPr>
        <w:t>乙方负责承包范围的保修工作，保修期及保修内容均按照甲方与总承包合同的相应规定执行，保修期满后，并不免除乙方的施工质量责任。</w:t>
      </w:r>
    </w:p>
    <w:p w14:paraId="3D6E2FAC">
      <w:pPr>
        <w:numPr>
          <w:ilvl w:val="1"/>
          <w:numId w:val="3"/>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质量保修责任</w:t>
      </w:r>
    </w:p>
    <w:p w14:paraId="3D6E2FAD">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属于保修范围、内容的项目，乙方应当在接到保修通知之日起24小时内派人保修。乙方不在约定期限内派人保修的，甲方可以委托第三方完成维修工作，发生的所有费用由乙方承担，因乙方拒绝维修导致额外的损失，甲方可向乙方追偿，同时乙方仍需承担由第三方代为施工的工程范围的质量及后期维修责任。</w:t>
      </w:r>
    </w:p>
    <w:p w14:paraId="3D6E2FAE">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发生紧急抢修事故时，乙方在接到事故通知后，应当立即到达事故现场抢修。</w:t>
      </w:r>
    </w:p>
    <w:p w14:paraId="3D6E2FAF">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的操作工艺、材料质量、施工质量存在的缺陷以及为修补该缺陷而需进行的剔凿和恢复以及其它相关工作，若乙方自身技术水平与资质不能胜任类似工作时，甲方可以指定专业施工队伍完成相关作业，全部费用由乙方承担。</w:t>
      </w:r>
    </w:p>
    <w:p w14:paraId="3D6E2FB0">
      <w:pPr>
        <w:numPr>
          <w:ilvl w:val="2"/>
          <w:numId w:val="3"/>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对于涉及结构安全的质量问题，应当按照行业规定，立即向当地建设行政主管部门报告，采取安全防范措施；由原设计单位或者具有相应资质等级的设计单位提出保修方案，乙方实施保修作业。</w:t>
      </w:r>
      <w:r>
        <w:rPr>
          <w:rFonts w:hint="eastAsia" w:asciiTheme="minorEastAsia" w:hAnsiTheme="minorEastAsia" w:eastAsiaTheme="minorEastAsia" w:cstheme="minorEastAsia"/>
          <w:kern w:val="10"/>
          <w:sz w:val="21"/>
          <w:szCs w:val="21"/>
        </w:rPr>
        <w:t>相关费用由乙方承担。</w:t>
      </w:r>
    </w:p>
    <w:p w14:paraId="3D6E2FB1">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质量问题保修完成后，由建设单位、使用方会同甲方组织验收，各方验收合格后当次保修即告结束。</w:t>
      </w:r>
    </w:p>
    <w:p w14:paraId="3D6E2FB2">
      <w:pPr>
        <w:numPr>
          <w:ilvl w:val="1"/>
          <w:numId w:val="3"/>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 xml:space="preserve"> </w:t>
      </w:r>
      <w:r>
        <w:rPr>
          <w:rFonts w:hint="eastAsia" w:asciiTheme="minorEastAsia" w:hAnsiTheme="minorEastAsia" w:eastAsiaTheme="minorEastAsia" w:cstheme="minorEastAsia"/>
          <w:kern w:val="10"/>
          <w:sz w:val="21"/>
          <w:szCs w:val="21"/>
        </w:rPr>
        <w:t>保修费用与赔偿责任</w:t>
      </w:r>
    </w:p>
    <w:p w14:paraId="3D6E2FB3">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保修费用由造成质量缺陷的责任方承担。</w:t>
      </w:r>
    </w:p>
    <w:p w14:paraId="3D6E2FB4">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如乙方施工质量缺陷、工艺缺陷、材料老化等缺陷与瑕疵给使用方、建设单位造成人员物资财产等直接损失以及其它间接损失均由乙方负责赔偿。</w:t>
      </w:r>
    </w:p>
    <w:p w14:paraId="3D6E2FB5">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为返修以及受它影响的相关联工作所需费用由乙方承担。</w:t>
      </w:r>
    </w:p>
    <w:p w14:paraId="3D6E2FB6">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因</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0"/>
          <w:sz w:val="21"/>
          <w:szCs w:val="21"/>
          <w:lang w:eastAsia="zh-CN"/>
        </w:rPr>
        <w:t>、使用方使用或保养不当造成质量问题，乙方应尽义务进行维修，维修费用则由甲方牵头，乙方配合，向责任方索要，但甲方没有追索此项债务的义务。</w:t>
      </w:r>
    </w:p>
    <w:p w14:paraId="3D6E2FB7">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若合同双方对本分包工程质量发生争议，则共同约请当地省市项目建设行政主管部门下属质量监督总站或其它权威机构进行鉴定。如果鉴定结论乙方质量不合格，则鉴定费用由乙方承担。</w:t>
      </w:r>
    </w:p>
    <w:p w14:paraId="3D6E2FB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保修金的返还：</w:t>
      </w:r>
      <w:r>
        <w:rPr>
          <w:rFonts w:hint="eastAsia" w:asciiTheme="minorEastAsia" w:hAnsiTheme="minorEastAsia" w:eastAsiaTheme="minorEastAsia" w:cstheme="minorEastAsia"/>
          <w:kern w:val="10"/>
          <w:sz w:val="21"/>
          <w:szCs w:val="21"/>
          <w:lang w:eastAsia="zh-CN"/>
        </w:rPr>
        <w:t>缺陷责任期</w:t>
      </w:r>
      <w:r>
        <w:rPr>
          <w:rFonts w:hint="eastAsia" w:asciiTheme="minorEastAsia" w:hAnsiTheme="minorEastAsia" w:eastAsiaTheme="minorEastAsia" w:cstheme="minorEastAsia"/>
          <w:sz w:val="21"/>
          <w:szCs w:val="21"/>
          <w:lang w:eastAsia="zh-CN"/>
        </w:rPr>
        <w:t>满后</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在合同约定工作全部完成并验收合格后办理最终结算，结算手续完成后，以及按合同规定扣除应扣的款项后，甲方将余款一次性（无息）返还给乙方。</w:t>
      </w:r>
    </w:p>
    <w:p w14:paraId="3D6E2FB9">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保修金需扣除以下费用：</w:t>
      </w:r>
    </w:p>
    <w:p w14:paraId="3D6E2FBA">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甲方委托他人完成保修维修工作的费用；</w:t>
      </w:r>
    </w:p>
    <w:p w14:paraId="3D6E2FBB">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因乙方过失、责任而赔偿建设单位、使用方的相关损失；</w:t>
      </w:r>
    </w:p>
    <w:p w14:paraId="3D6E2FBC">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为返修以及其它与之相关联工作所需花费的费用（甲方代为支付时）；</w:t>
      </w:r>
    </w:p>
    <w:p w14:paraId="3D6E2FBD">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其它与保修维修有关的费用。</w:t>
      </w:r>
    </w:p>
    <w:p w14:paraId="3D6E2FBE">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保修金不计取任何利息。</w:t>
      </w:r>
    </w:p>
    <w:p w14:paraId="3D6E2FBF">
      <w:pPr>
        <w:numPr>
          <w:ilvl w:val="0"/>
          <w:numId w:val="3"/>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509" w:name="_Toc15716"/>
      <w:bookmarkStart w:id="510" w:name="_Toc2139"/>
      <w:bookmarkStart w:id="511" w:name="_Toc7709"/>
      <w:bookmarkStart w:id="512" w:name="_Toc28167"/>
      <w:bookmarkStart w:id="513" w:name="_Toc28821"/>
      <w:bookmarkStart w:id="514" w:name="_Toc3537"/>
      <w:bookmarkStart w:id="515" w:name="_Toc101963503"/>
      <w:bookmarkStart w:id="516" w:name="_Toc1655"/>
      <w:bookmarkStart w:id="517" w:name="_Toc175772243"/>
      <w:bookmarkStart w:id="518" w:name="_Toc9963"/>
      <w:bookmarkStart w:id="519" w:name="_Toc9403"/>
      <w:bookmarkStart w:id="520" w:name="_Toc101357449"/>
      <w:bookmarkStart w:id="521" w:name="_Toc28472"/>
      <w:bookmarkStart w:id="522" w:name="_Toc24745"/>
      <w:bookmarkStart w:id="523" w:name="_Toc4112"/>
      <w:bookmarkStart w:id="524" w:name="_Toc22219"/>
      <w:bookmarkStart w:id="525" w:name="_Toc21842"/>
      <w:r>
        <w:rPr>
          <w:rFonts w:hint="eastAsia" w:asciiTheme="minorEastAsia" w:hAnsiTheme="minorEastAsia" w:eastAsiaTheme="minorEastAsia" w:cstheme="minorEastAsia"/>
          <w:b/>
          <w:sz w:val="21"/>
          <w:szCs w:val="21"/>
        </w:rPr>
        <w:t>保险</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3D6E2FC0">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甲方投保内容：施工人员意外伤害险。</w:t>
      </w:r>
    </w:p>
    <w:p w14:paraId="3D6E2FC1">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投保内容：乙方应自行办理并履行与本合同有关的各类保险，包括人身、财产、设备、工程、农民工工伤保险第三方责任等（不限于此），并在出险时自行向保险公司索赔，以保障乙方自身与工程的利益。否则，一切损失和后果由乙方自负。</w:t>
      </w:r>
    </w:p>
    <w:p w14:paraId="3D6E2FC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为施工场地内自有人员生命财产和施工机械设备及用于本工程的材料和待安装设备办理保险，并支付保险费用。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3D6E2FC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关于乙方雇佣的任何员工或其他人员的任何意外事故或伤害所引起的一切损失或法律补偿费，甲方均不负责任。乙方应使甲方免遭此类损失或补偿费，免遭此方面或与此相关的任何索赔、诉讼和费用。</w:t>
      </w:r>
    </w:p>
    <w:p w14:paraId="3D6E2FC4">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保险事故发生时，乙方有责任尽力采取必要的措施，控制事态扩散，防止或者减少损失。</w:t>
      </w:r>
    </w:p>
    <w:p w14:paraId="3D6E2FC5">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26" w:name="_Toc101963504"/>
      <w:bookmarkStart w:id="527" w:name="_Toc12027"/>
      <w:bookmarkStart w:id="528" w:name="_Toc30407"/>
      <w:bookmarkStart w:id="529" w:name="_Toc24439"/>
      <w:bookmarkStart w:id="530" w:name="_Toc101357450"/>
      <w:bookmarkStart w:id="531" w:name="_Toc20112"/>
      <w:bookmarkStart w:id="532" w:name="_Toc24208"/>
      <w:bookmarkStart w:id="533" w:name="_Toc22749"/>
      <w:bookmarkStart w:id="534" w:name="_Toc1429"/>
      <w:bookmarkStart w:id="535" w:name="_Toc27970"/>
      <w:bookmarkStart w:id="536" w:name="_Toc175772244"/>
      <w:bookmarkStart w:id="537" w:name="_Toc11014"/>
      <w:bookmarkStart w:id="538" w:name="_Toc3767"/>
      <w:bookmarkStart w:id="539" w:name="_Toc7811"/>
      <w:bookmarkStart w:id="540" w:name="_Toc16393"/>
      <w:bookmarkStart w:id="541" w:name="_Toc4173"/>
      <w:bookmarkStart w:id="542" w:name="_Toc17940"/>
      <w:r>
        <w:rPr>
          <w:rFonts w:hint="eastAsia" w:asciiTheme="minorEastAsia" w:hAnsiTheme="minorEastAsia" w:eastAsiaTheme="minorEastAsia" w:cstheme="minorEastAsia"/>
          <w:b/>
          <w:sz w:val="21"/>
          <w:szCs w:val="21"/>
        </w:rPr>
        <w:t>不可抗力</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D6E2FC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本合同所定不可抗力是指合同当事人在签订合同时不可预见，在合同履行过程中不可避免且不能克服的自然灾害和社会性突发事件，包括但不限于地震、海啸、瘟疫、骚乱、戒严、暴动、战争等。</w:t>
      </w:r>
    </w:p>
    <w:p w14:paraId="3D6E2FC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不可抗力事件发生后，乙方应立即通知甲方，并在力所能及的条件下迅速采取措施，尽力减少损失，甲方应协助乙方采取措施。若因乙方未能尽力挽救，导致损失扩大的，由乙方承担全部责任。</w:t>
      </w:r>
    </w:p>
    <w:p w14:paraId="3D6E2FC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应当暂停工作的，乙方应暂停工作。不可抗力事件发生后24小时内乙方向甲方通报受害情况和损失情况，及预计清理和修复的费用，逾期提出的甲方不予认可。不可抗力事件持续发生，乙方应每隔7日向甲方报告一次受害情况。不可抗力事件结束后7日内，乙方向甲方提交清理和修复费用的正式报告及有关资料。</w:t>
      </w:r>
    </w:p>
    <w:p w14:paraId="3D6E2FC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因不可抗力事件导致发生的下列费用由乙方承担：</w:t>
      </w:r>
    </w:p>
    <w:p w14:paraId="3D6E2FCA">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乙方人员伤亡。</w:t>
      </w:r>
    </w:p>
    <w:p w14:paraId="3D6E2FCB">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乙方机械设备和材料的损坏、停工等造成的损失；</w:t>
      </w:r>
    </w:p>
    <w:p w14:paraId="3D6E2FC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工程自身的损害、因工程损害导致第三人伤亡、工程清理维修费由乙方配合甲方与建设单位协商处理。</w:t>
      </w:r>
    </w:p>
    <w:p w14:paraId="3D6E2FC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在得到建设单位/监理对整体/分包工程的工期顺延许可后，分包工程延误的工期相应顺延。</w:t>
      </w:r>
    </w:p>
    <w:p w14:paraId="3D6E2FC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因本合同一方迟延履行合同后发生不可抗力的，不能免除迟延责任方的相应责任。</w:t>
      </w:r>
    </w:p>
    <w:p w14:paraId="3D6E2FC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因单次不可抗力导致合同无法履行连续超过</w:t>
      </w:r>
      <w:r>
        <w:rPr>
          <w:rFonts w:hint="eastAsia" w:asciiTheme="minorEastAsia" w:hAnsiTheme="minorEastAsia" w:eastAsiaTheme="minorEastAsia" w:cstheme="minorEastAsia"/>
          <w:sz w:val="21"/>
          <w:szCs w:val="21"/>
          <w:u w:val="single"/>
          <w:lang w:eastAsia="zh-CN"/>
        </w:rPr>
        <w:t>90</w:t>
      </w:r>
      <w:r>
        <w:rPr>
          <w:rFonts w:hint="eastAsia" w:asciiTheme="minorEastAsia" w:hAnsiTheme="minorEastAsia" w:eastAsiaTheme="minorEastAsia" w:cstheme="minorEastAsia"/>
          <w:sz w:val="21"/>
          <w:szCs w:val="21"/>
          <w:lang w:eastAsia="zh-CN"/>
        </w:rPr>
        <w:t>天或累计超过</w:t>
      </w:r>
      <w:r>
        <w:rPr>
          <w:rFonts w:hint="eastAsia" w:asciiTheme="minorEastAsia" w:hAnsiTheme="minorEastAsia" w:eastAsiaTheme="minorEastAsia" w:cstheme="minorEastAsia"/>
          <w:sz w:val="21"/>
          <w:szCs w:val="21"/>
          <w:u w:val="single"/>
          <w:lang w:eastAsia="zh-CN"/>
        </w:rPr>
        <w:t>120</w:t>
      </w:r>
      <w:r>
        <w:rPr>
          <w:rFonts w:hint="eastAsia" w:asciiTheme="minorEastAsia" w:hAnsiTheme="minorEastAsia" w:eastAsiaTheme="minorEastAsia" w:cstheme="minorEastAsia"/>
          <w:sz w:val="21"/>
          <w:szCs w:val="21"/>
          <w:lang w:eastAsia="zh-CN"/>
        </w:rPr>
        <w:t>天的，甲乙双方均有权解除合同。合同解除后，双方应就已完工程的计量、验收、估价以及结算与付款等善后事宜达成补充协议。</w:t>
      </w:r>
    </w:p>
    <w:p w14:paraId="3D6E2FD0">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43" w:name="_Toc2523"/>
      <w:bookmarkStart w:id="544" w:name="_Toc21421"/>
      <w:bookmarkStart w:id="545" w:name="_Toc11143"/>
      <w:bookmarkStart w:id="546" w:name="_Toc3544"/>
      <w:bookmarkStart w:id="547" w:name="_Toc24388"/>
      <w:bookmarkStart w:id="548" w:name="_Toc21657"/>
      <w:bookmarkStart w:id="549" w:name="_Toc19938"/>
      <w:bookmarkStart w:id="550" w:name="_Toc17882"/>
      <w:bookmarkStart w:id="551" w:name="_Toc29858"/>
      <w:bookmarkStart w:id="552" w:name="_Toc101963505"/>
      <w:bookmarkStart w:id="553" w:name="_Toc101357451"/>
      <w:bookmarkStart w:id="554" w:name="_Toc16400"/>
      <w:bookmarkStart w:id="555" w:name="_Toc175772245"/>
      <w:bookmarkStart w:id="556" w:name="_Toc12030"/>
      <w:bookmarkStart w:id="557" w:name="_Toc24540"/>
      <w:bookmarkStart w:id="558" w:name="_Toc636"/>
      <w:bookmarkStart w:id="559" w:name="_Toc32288"/>
      <w:r>
        <w:rPr>
          <w:rFonts w:hint="eastAsia" w:asciiTheme="minorEastAsia" w:hAnsiTheme="minorEastAsia" w:eastAsiaTheme="minorEastAsia" w:cstheme="minorEastAsia"/>
          <w:b/>
          <w:sz w:val="21"/>
          <w:szCs w:val="21"/>
        </w:rPr>
        <w:t>违约</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D6E2FD1">
      <w:pPr>
        <w:numPr>
          <w:ilvl w:val="1"/>
          <w:numId w:val="3"/>
        </w:numPr>
        <w:kinsoku w:val="0"/>
        <w:spacing w:after="0" w:line="360" w:lineRule="auto"/>
        <w:jc w:val="both"/>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kern w:val="10"/>
          <w:sz w:val="21"/>
          <w:szCs w:val="21"/>
          <w:lang w:eastAsia="zh-CN"/>
        </w:rPr>
        <w:t>合同双方任何一方不能全面履行本合同条款，均属违约；违约所造成的损失、后果、责任，概由违约方承担。</w:t>
      </w:r>
    </w:p>
    <w:p w14:paraId="3D6E2FD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除非甲乙双方协商终止本合同，违约方承担前述违约责任、损失后仍需严格履行本合同。</w:t>
      </w:r>
    </w:p>
    <w:p w14:paraId="3D6E2FD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乙方对本合同承包范围内的分包作业向甲方负责，全部施工任务必须组织自有力量完成，严禁转包、挂靠和再分包</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否则一经发现</w:t>
      </w:r>
      <w:r>
        <w:rPr>
          <w:rFonts w:hint="eastAsia" w:asciiTheme="minorEastAsia" w:hAnsiTheme="minorEastAsia" w:eastAsiaTheme="minorEastAsia" w:cstheme="minorEastAsia"/>
          <w:kern w:val="10"/>
          <w:sz w:val="21"/>
          <w:szCs w:val="21"/>
          <w:lang w:eastAsia="zh-CN"/>
        </w:rPr>
        <w:t>，乙方无条件退场，并承担由此带来的退场费用及赔偿甲方相应损失，缴纳的履约保证金不予返还，并将乙方列入甲方不合格协力队伍名录，不得参与甲方组织的任何形式的招标项目。</w:t>
      </w:r>
      <w:r>
        <w:rPr>
          <w:rFonts w:hint="eastAsia" w:asciiTheme="minorEastAsia" w:hAnsiTheme="minorEastAsia" w:eastAsiaTheme="minorEastAsia" w:cstheme="minorEastAsia"/>
          <w:sz w:val="21"/>
          <w:szCs w:val="21"/>
          <w:lang w:eastAsia="zh-CN"/>
        </w:rPr>
        <w:t>乙方违反本合同可能产生的后果：如乙方有违反分包合同的行为，乙方应保障甲方免于承担因此违约造成的工期延误、经济损失及甲方将向建设单位负责的任何赔偿费，在此情况下，甲方可从本应支付乙方的任何价款中扣除此笔经济损失及赔偿费，并且不排除采用其它补救方法的可能。</w:t>
      </w:r>
    </w:p>
    <w:p w14:paraId="3D6E2FD4">
      <w:pPr>
        <w:numPr>
          <w:ilvl w:val="1"/>
          <w:numId w:val="3"/>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 xml:space="preserve"> 如乙方出现以下违约行为，甲方可发出书面指令要求其立即纠正并承担违约所造成的损失：</w:t>
      </w:r>
    </w:p>
    <w:p w14:paraId="3D6E2FD5">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（1）在竣工之前，没有合理原因，完全搁置工程停止施工；</w:t>
      </w:r>
    </w:p>
    <w:p w14:paraId="3D6E2FD6">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（2）拒绝执行甲方要求其修补缺陷或更换不适用的材料和（或）物品等的书面通知；</w:t>
      </w:r>
    </w:p>
    <w:p w14:paraId="3D6E2FD7">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（3）未经甲方许可，乙方擅自将其承包的分包工程转包或再分包；</w:t>
      </w:r>
    </w:p>
    <w:p w14:paraId="3D6E2FD8">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（4）因乙方原因拖延工期，未能在约定的工期内或分段工期内完成分包工程或其中任何区段的工作；</w:t>
      </w:r>
    </w:p>
    <w:p w14:paraId="3D6E2FD9">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（5）因乙方原因工程质量达不到本分包合同约定的质量标准和质量目标；</w:t>
      </w:r>
    </w:p>
    <w:p w14:paraId="3D6E2FDA">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（6）合同中约定的其他违约行为。</w:t>
      </w:r>
    </w:p>
    <w:p w14:paraId="3D6E2FDB">
      <w:pPr>
        <w:numPr>
          <w:ilvl w:val="1"/>
          <w:numId w:val="3"/>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甲方可将乙方违约金从乙方缴纳的全部履约保证金或履约保函中直接扣除，也可从任何一笔应支付乙方的工程款中直接扣除，甲方应付乙方的工程款不足以覆盖上述款项的，可以向乙方追偿。乙方对此知悉并同意，且甲方可解除合同，解除合同造成的全部损失由乙方承担。</w:t>
      </w:r>
    </w:p>
    <w:p w14:paraId="3D6E2FDC">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若因乙方违约引发纠纷或诉讼，导致甲方参与诉讼或承担连带责任的，甲方可按发生费用或产生损失的两倍向乙方要求赔偿，包括但不限于诉讼费、代理费、差旅费等。</w:t>
      </w:r>
    </w:p>
    <w:p w14:paraId="3D6E2FDD">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60" w:name="_Toc14525"/>
      <w:bookmarkStart w:id="561" w:name="_Toc1784"/>
      <w:bookmarkStart w:id="562" w:name="_Toc10565"/>
      <w:bookmarkStart w:id="563" w:name="_Toc1773"/>
      <w:bookmarkStart w:id="564" w:name="_Toc15409"/>
      <w:bookmarkStart w:id="565" w:name="_Toc10915"/>
      <w:bookmarkStart w:id="566" w:name="_Toc175772246"/>
      <w:bookmarkStart w:id="567" w:name="_Toc7104"/>
      <w:bookmarkStart w:id="568" w:name="_Toc5929"/>
      <w:bookmarkStart w:id="569" w:name="_Toc22303"/>
      <w:bookmarkStart w:id="570" w:name="_Toc24440"/>
      <w:bookmarkStart w:id="571" w:name="_Toc29483"/>
      <w:bookmarkStart w:id="572" w:name="_Toc14437"/>
      <w:bookmarkStart w:id="573" w:name="_Toc101357452"/>
      <w:bookmarkStart w:id="574" w:name="_Toc101963506"/>
      <w:bookmarkStart w:id="575" w:name="_Toc27878"/>
      <w:bookmarkStart w:id="576" w:name="_Toc27114"/>
      <w:r>
        <w:rPr>
          <w:rFonts w:hint="eastAsia" w:asciiTheme="minorEastAsia" w:hAnsiTheme="minorEastAsia" w:eastAsiaTheme="minorEastAsia" w:cstheme="minorEastAsia"/>
          <w:b/>
          <w:sz w:val="21"/>
          <w:szCs w:val="21"/>
        </w:rPr>
        <w:t>争议解决</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3D6E2FDE">
      <w:pPr>
        <w:kinsoku w:val="0"/>
        <w:spacing w:after="0" w:line="360" w:lineRule="auto"/>
        <w:ind w:left="165" w:leftChars="75"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双方发生争议时，可以通过协商解决。不愿通过协商或者协商不成，按专用合同条款约定的方式解决。</w:t>
      </w:r>
    </w:p>
    <w:p w14:paraId="3D6E2FDF">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77" w:name="_Toc101357453"/>
      <w:bookmarkStart w:id="578" w:name="_Toc101963507"/>
      <w:bookmarkStart w:id="579" w:name="_Toc16949"/>
      <w:bookmarkStart w:id="580" w:name="_Toc7256"/>
      <w:bookmarkStart w:id="581" w:name="_Toc5260"/>
      <w:bookmarkStart w:id="582" w:name="_Toc10296"/>
      <w:bookmarkStart w:id="583" w:name="_Toc10150"/>
      <w:bookmarkStart w:id="584" w:name="_Toc18320"/>
      <w:bookmarkStart w:id="585" w:name="_Toc6947"/>
      <w:bookmarkStart w:id="586" w:name="_Toc15940"/>
      <w:bookmarkStart w:id="587" w:name="_Toc2614"/>
      <w:bookmarkStart w:id="588" w:name="_Toc10531"/>
      <w:bookmarkStart w:id="589" w:name="_Toc19144"/>
      <w:bookmarkStart w:id="590" w:name="_Toc7711"/>
      <w:bookmarkStart w:id="591" w:name="_Toc21888"/>
      <w:bookmarkStart w:id="592" w:name="_Toc3107"/>
      <w:bookmarkStart w:id="593" w:name="_Toc175772247"/>
      <w:r>
        <w:rPr>
          <w:rFonts w:hint="eastAsia" w:asciiTheme="minorEastAsia" w:hAnsiTheme="minorEastAsia" w:eastAsiaTheme="minorEastAsia" w:cstheme="minorEastAsia"/>
          <w:b/>
          <w:sz w:val="21"/>
          <w:szCs w:val="21"/>
        </w:rPr>
        <w:t>合同终止</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D6E2FE0">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bookmarkStart w:id="594" w:name="_Toc22366613"/>
      <w:r>
        <w:rPr>
          <w:rFonts w:hint="eastAsia" w:asciiTheme="minorEastAsia" w:hAnsiTheme="minorEastAsia" w:eastAsiaTheme="minorEastAsia" w:cstheme="minorEastAsia"/>
          <w:kern w:val="10"/>
          <w:sz w:val="21"/>
          <w:szCs w:val="21"/>
          <w:lang w:eastAsia="zh-CN"/>
        </w:rPr>
        <w:t>在乙方交付齐全有效的技术资料，履行完保修职责，保修期结束，本合同即告终止</w:t>
      </w:r>
      <w:bookmarkEnd w:id="594"/>
      <w:bookmarkStart w:id="595" w:name="_Toc22366614"/>
      <w:r>
        <w:rPr>
          <w:rFonts w:hint="eastAsia" w:asciiTheme="minorEastAsia" w:hAnsiTheme="minorEastAsia" w:eastAsiaTheme="minorEastAsia" w:cstheme="minorEastAsia"/>
          <w:kern w:val="10"/>
          <w:sz w:val="21"/>
          <w:szCs w:val="21"/>
          <w:lang w:eastAsia="zh-CN"/>
        </w:rPr>
        <w:t>。</w:t>
      </w:r>
    </w:p>
    <w:p w14:paraId="3D6E2FE1">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如乙方发生了本合同约定的违约行为，在接到甲方发出的书面指令后，违约行为仍未停止或再次发生的，甲方可选择行使如下权利：</w:t>
      </w:r>
    </w:p>
    <w:p w14:paraId="3D6E2FE2">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（1）以书面形式通知乙方解除本分包合同；</w:t>
      </w:r>
    </w:p>
    <w:p w14:paraId="3D6E2FE3">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（2）将分包工程中的部分内容交由其他单位完成，相关费用由甲方从分包工程价款中扣除，由此给甲方造成的额外成本由乙方承担。</w:t>
      </w:r>
    </w:p>
    <w:p w14:paraId="3D6E2FE4">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如果乙方发生破产、解散、关闭等已不能实际履行分包合同义务的情形，甲方可在通知乙方后，解除本分包合同。</w:t>
      </w:r>
    </w:p>
    <w:p w14:paraId="3D6E2FE5">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因不可抗力发生导致全部分包合同的履行成为不可能时，甲方、乙方均有权解除合同。</w:t>
      </w:r>
    </w:p>
    <w:p w14:paraId="3D6E2FE6">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不论基于何种原因而导致甲方与建设单位之间的合同解除时，甲乙双方间的合同都同时无条件予以解除</w:t>
      </w:r>
      <w:bookmarkEnd w:id="595"/>
      <w:r>
        <w:rPr>
          <w:rFonts w:hint="eastAsia" w:asciiTheme="minorEastAsia" w:hAnsiTheme="minorEastAsia" w:eastAsiaTheme="minorEastAsia" w:cstheme="minorEastAsia"/>
          <w:b/>
          <w:bCs/>
          <w:sz w:val="21"/>
          <w:szCs w:val="21"/>
          <w:lang w:eastAsia="zh-CN"/>
        </w:rPr>
        <w:t>。如因建设单位的原因致使本合同无法履行，或因建设单位原因造成工程停建或缓建的，此情况下，甲方享有合同单方解除权。甲方向乙方发出的解除通知到达乙方时，合同解除。合同未开始履行的，双方互不承担责任，已经履行的，按实结算。</w:t>
      </w:r>
    </w:p>
    <w:p w14:paraId="3D6E2FE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协商解除：甲方和乙方协商一致，可以解除分包合同。合同解除后，乙方应妥善做好已完劳务作业和剩余材料、设备的保护和移交工作，按甲方要求撤出劳务作业场地。有过错的一方应当赔偿因合同解除给对方造成的损失。合同解除后，不影响双方在合同中约定的结算和清理条款的效力。</w:t>
      </w:r>
    </w:p>
    <w:p w14:paraId="3D6E2FE8">
      <w:pPr>
        <w:pStyle w:val="2"/>
        <w:kinsoku w:val="0"/>
      </w:pPr>
    </w:p>
    <w:p w14:paraId="3D6E2FE9">
      <w:pPr>
        <w:kinsoku w:val="0"/>
        <w:spacing w:after="0" w:line="360" w:lineRule="auto"/>
        <w:jc w:val="both"/>
        <w:rPr>
          <w:rFonts w:hint="eastAsia" w:asciiTheme="minorEastAsia" w:hAnsiTheme="minorEastAsia" w:eastAsiaTheme="minorEastAsia" w:cstheme="minorEastAsia"/>
          <w:sz w:val="21"/>
          <w:szCs w:val="21"/>
          <w:lang w:eastAsia="zh-CN"/>
        </w:rPr>
        <w:sectPr>
          <w:pgSz w:w="11906" w:h="16838"/>
          <w:pgMar w:top="1134" w:right="1134" w:bottom="1134" w:left="1134" w:header="851" w:footer="567" w:gutter="0"/>
          <w:cols w:space="720" w:num="1"/>
          <w:docGrid w:type="lines" w:linePitch="312" w:charSpace="0"/>
        </w:sectPr>
      </w:pPr>
    </w:p>
    <w:p w14:paraId="3D6E2FEA">
      <w:pPr>
        <w:kinsoku w:val="0"/>
        <w:spacing w:line="360" w:lineRule="auto"/>
        <w:ind w:left="165" w:leftChars="75"/>
        <w:jc w:val="center"/>
        <w:outlineLvl w:val="0"/>
        <w:rPr>
          <w:rFonts w:hint="eastAsia" w:ascii="宋体" w:hAnsi="宋体"/>
          <w:b/>
          <w:sz w:val="32"/>
          <w:szCs w:val="32"/>
          <w:lang w:eastAsia="zh-CN"/>
        </w:rPr>
      </w:pPr>
      <w:bookmarkStart w:id="596" w:name="_Toc29769"/>
      <w:bookmarkStart w:id="597" w:name="_Toc17545"/>
      <w:bookmarkStart w:id="598" w:name="_Toc27110"/>
      <w:bookmarkStart w:id="599" w:name="_Toc175772248"/>
      <w:bookmarkStart w:id="600" w:name="_Toc19925"/>
      <w:bookmarkStart w:id="601" w:name="_Toc32179"/>
      <w:bookmarkStart w:id="602" w:name="_Toc5490"/>
      <w:bookmarkStart w:id="603" w:name="_Toc13080"/>
      <w:bookmarkStart w:id="604" w:name="_Toc5528"/>
      <w:bookmarkStart w:id="605" w:name="_Toc3113"/>
      <w:bookmarkStart w:id="606" w:name="_Toc13270"/>
      <w:bookmarkStart w:id="607" w:name="_Toc5434"/>
      <w:bookmarkStart w:id="608" w:name="_Toc17855"/>
      <w:bookmarkStart w:id="609" w:name="_Toc20138"/>
      <w:bookmarkStart w:id="610" w:name="_Toc15486"/>
      <w:bookmarkStart w:id="611" w:name="_Toc11775"/>
      <w:bookmarkStart w:id="612" w:name="_Toc4053"/>
      <w:bookmarkStart w:id="613" w:name="_Toc101963508"/>
      <w:bookmarkStart w:id="614" w:name="_Toc18104"/>
      <w:bookmarkStart w:id="615" w:name="_Toc25841"/>
      <w:bookmarkStart w:id="616" w:name="_Toc101357454"/>
      <w:r>
        <w:rPr>
          <w:rFonts w:hint="eastAsia" w:ascii="宋体" w:hAnsi="宋体"/>
          <w:b/>
          <w:sz w:val="32"/>
          <w:szCs w:val="32"/>
          <w:lang w:eastAsia="zh-CN"/>
        </w:rPr>
        <w:t>第三部分 专用合同条款</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3D6E2FEB">
      <w:pPr>
        <w:pStyle w:val="2"/>
        <w:ind w:firstLine="0" w:firstLineChars="0"/>
        <w:jc w:val="center"/>
        <w:rPr>
          <w:rFonts w:hint="eastAsia" w:asciiTheme="minorEastAsia" w:hAnsiTheme="minorEastAsia" w:eastAsiaTheme="minorEastAsia" w:cstheme="minorEastAsia"/>
          <w:b/>
          <w:bCs/>
          <w:color w:val="FFC000" w:themeColor="accent4"/>
          <w:sz w:val="21"/>
          <w:szCs w:val="21"/>
          <w:u w:val="single"/>
          <w14:textFill>
            <w14:solidFill>
              <w14:schemeClr w14:val="accent4"/>
            </w14:solidFill>
          </w14:textFill>
        </w:rPr>
      </w:pPr>
      <w:permStart w:id="5" w:edGrp="everyone"/>
      <w:r>
        <w:rPr>
          <w:rFonts w:hint="eastAsia" w:asciiTheme="minorEastAsia" w:hAnsiTheme="minorEastAsia" w:eastAsiaTheme="minorEastAsia" w:cstheme="minorEastAsia"/>
          <w:b/>
          <w:bCs/>
          <w:color w:val="FFC000" w:themeColor="accent4"/>
          <w:sz w:val="21"/>
          <w:szCs w:val="21"/>
          <w:u w:val="single"/>
          <w14:textFill>
            <w14:solidFill>
              <w14:schemeClr w14:val="accent4"/>
            </w14:solidFill>
          </w14:textFill>
        </w:rPr>
        <w:t>【各项目根据实际情况完善、细化专用合同条款，不得修改通用条款内容】</w:t>
      </w:r>
    </w:p>
    <w:p w14:paraId="3D6E2FEC">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17" w:name="A3"/>
      <w:bookmarkEnd w:id="617"/>
      <w:bookmarkStart w:id="618" w:name="_Toc24232"/>
      <w:bookmarkStart w:id="619" w:name="_Toc12407"/>
      <w:bookmarkStart w:id="620" w:name="_Toc101963509"/>
      <w:bookmarkStart w:id="621" w:name="_Toc14356"/>
      <w:bookmarkStart w:id="622" w:name="_Toc4138"/>
      <w:bookmarkStart w:id="623" w:name="_Toc101357455"/>
      <w:bookmarkStart w:id="624" w:name="_Toc1640"/>
      <w:bookmarkStart w:id="625" w:name="_Toc16664"/>
      <w:bookmarkStart w:id="626" w:name="_Toc22656"/>
      <w:bookmarkStart w:id="627" w:name="_Toc16194"/>
      <w:bookmarkStart w:id="628" w:name="_Toc10805"/>
      <w:bookmarkStart w:id="629" w:name="_Toc175772249"/>
      <w:bookmarkStart w:id="630" w:name="_Toc16663"/>
      <w:bookmarkStart w:id="631" w:name="_Toc31398"/>
      <w:bookmarkStart w:id="632" w:name="_Toc5201"/>
      <w:bookmarkStart w:id="633" w:name="_Toc24755"/>
      <w:bookmarkStart w:id="634" w:name="_Toc31761"/>
      <w:bookmarkStart w:id="635" w:name="_Toc7247"/>
      <w:bookmarkStart w:id="636" w:name="_Toc14288"/>
      <w:bookmarkStart w:id="637" w:name="_Toc6416"/>
      <w:bookmarkStart w:id="638" w:name="_Toc20370"/>
      <w:r>
        <w:rPr>
          <w:rFonts w:hint="eastAsia" w:asciiTheme="minorEastAsia" w:hAnsiTheme="minorEastAsia" w:eastAsiaTheme="minorEastAsia" w:cstheme="minorEastAsia"/>
          <w:b/>
          <w:sz w:val="21"/>
          <w:szCs w:val="21"/>
          <w:lang w:eastAsia="zh-CN"/>
        </w:rPr>
        <w:t>词语解释</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D6E2FED">
      <w:pPr>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EE">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39" w:name="_Toc5390"/>
      <w:bookmarkStart w:id="640" w:name="_Toc175772250"/>
      <w:bookmarkStart w:id="641" w:name="_Toc21218"/>
      <w:bookmarkStart w:id="642" w:name="_Toc30330"/>
      <w:bookmarkStart w:id="643" w:name="_Toc22681"/>
      <w:bookmarkStart w:id="644" w:name="_Toc21059"/>
      <w:bookmarkStart w:id="645" w:name="_Toc28016"/>
      <w:bookmarkStart w:id="646" w:name="_Toc22270"/>
      <w:bookmarkStart w:id="647" w:name="_Toc4045"/>
      <w:bookmarkStart w:id="648" w:name="_Toc24088"/>
      <w:bookmarkStart w:id="649" w:name="_Toc101963510"/>
      <w:bookmarkStart w:id="650" w:name="_Toc101357456"/>
      <w:bookmarkStart w:id="651" w:name="_Toc18210"/>
      <w:bookmarkStart w:id="652" w:name="_Toc30537"/>
      <w:bookmarkStart w:id="653" w:name="_Toc30074"/>
      <w:bookmarkStart w:id="654" w:name="_Toc14912"/>
      <w:bookmarkStart w:id="655" w:name="_Toc18963"/>
      <w:bookmarkStart w:id="656" w:name="_Toc13233"/>
      <w:bookmarkStart w:id="657" w:name="_Toc27250"/>
      <w:bookmarkStart w:id="658" w:name="_Toc29334"/>
      <w:bookmarkStart w:id="659" w:name="_Toc7851"/>
      <w:r>
        <w:rPr>
          <w:rFonts w:hint="eastAsia" w:asciiTheme="minorEastAsia" w:hAnsiTheme="minorEastAsia" w:eastAsiaTheme="minorEastAsia" w:cstheme="minorEastAsia"/>
          <w:b/>
          <w:sz w:val="21"/>
          <w:szCs w:val="21"/>
          <w:lang w:eastAsia="zh-CN"/>
        </w:rPr>
        <w:t>适用法律法规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D6E2FEF">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F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需要明示的法律、行政法规：</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（需明确的与项目相关法律法规）</w:t>
      </w:r>
    </w:p>
    <w:p w14:paraId="3D6E2FF1">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60" w:name="_Toc175772251"/>
      <w:bookmarkStart w:id="661" w:name="_Toc101357457"/>
      <w:bookmarkStart w:id="662" w:name="_Toc101963511"/>
      <w:bookmarkStart w:id="663" w:name="_Toc8353"/>
      <w:bookmarkStart w:id="664" w:name="_Toc28440"/>
      <w:bookmarkStart w:id="665" w:name="_Toc30676"/>
      <w:bookmarkStart w:id="666" w:name="_Toc28737"/>
      <w:bookmarkStart w:id="667" w:name="_Toc13013"/>
      <w:bookmarkStart w:id="668" w:name="_Toc4409"/>
      <w:bookmarkStart w:id="669" w:name="_Toc19069"/>
      <w:bookmarkStart w:id="670" w:name="_Toc20084"/>
      <w:bookmarkStart w:id="671" w:name="_Toc24425"/>
      <w:bookmarkStart w:id="672" w:name="_Toc32731"/>
      <w:bookmarkStart w:id="673" w:name="_Toc18335"/>
      <w:bookmarkStart w:id="674" w:name="_Toc7367"/>
      <w:bookmarkStart w:id="675" w:name="_Toc25376"/>
      <w:bookmarkStart w:id="676" w:name="_Toc22040"/>
      <w:bookmarkStart w:id="677" w:name="_Toc30885"/>
      <w:bookmarkStart w:id="678" w:name="_Toc4654"/>
      <w:bookmarkStart w:id="679" w:name="_Toc16344"/>
      <w:bookmarkStart w:id="680" w:name="_Toc2946"/>
      <w:r>
        <w:rPr>
          <w:rFonts w:hint="eastAsia" w:asciiTheme="minorEastAsia" w:hAnsiTheme="minorEastAsia" w:eastAsiaTheme="minorEastAsia" w:cstheme="minorEastAsia"/>
          <w:b/>
          <w:sz w:val="21"/>
          <w:szCs w:val="21"/>
          <w:lang w:eastAsia="zh-CN"/>
        </w:rPr>
        <w:t>标准和规范</w:t>
      </w:r>
      <w:bookmarkEnd w:id="660"/>
      <w:bookmarkEnd w:id="661"/>
      <w:bookmarkEnd w:id="662"/>
    </w:p>
    <w:p w14:paraId="3D6E2FF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F3">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1" w:name="_Toc101357458"/>
      <w:bookmarkStart w:id="682" w:name="_Toc101963512"/>
      <w:bookmarkStart w:id="683" w:name="_Toc175772252"/>
      <w:r>
        <w:rPr>
          <w:rFonts w:hint="eastAsia" w:asciiTheme="minorEastAsia" w:hAnsiTheme="minorEastAsia" w:eastAsiaTheme="minorEastAsia" w:cstheme="minorEastAsia"/>
          <w:b/>
          <w:sz w:val="21"/>
          <w:szCs w:val="21"/>
          <w:lang w:eastAsia="zh-CN"/>
        </w:rPr>
        <w:t>合同文件组成及解释顺序</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D6E2FF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2FF5">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4" w:name="_Toc101357459"/>
      <w:bookmarkStart w:id="685" w:name="_Toc30159"/>
      <w:bookmarkStart w:id="686" w:name="_Toc19399"/>
      <w:bookmarkStart w:id="687" w:name="_Toc6089"/>
      <w:bookmarkStart w:id="688" w:name="_Toc6303"/>
      <w:bookmarkStart w:id="689" w:name="_Toc4639"/>
      <w:bookmarkStart w:id="690" w:name="_Toc12286"/>
      <w:bookmarkStart w:id="691" w:name="_Toc4207"/>
      <w:bookmarkStart w:id="692" w:name="_Toc175772253"/>
      <w:bookmarkStart w:id="693" w:name="_Toc675"/>
      <w:bookmarkStart w:id="694" w:name="_Toc29551"/>
      <w:bookmarkStart w:id="695" w:name="_Toc12550"/>
      <w:bookmarkStart w:id="696" w:name="_Toc27367"/>
      <w:bookmarkStart w:id="697" w:name="_Toc26951"/>
      <w:bookmarkStart w:id="698" w:name="_Toc14134"/>
      <w:bookmarkStart w:id="699" w:name="_Toc101963513"/>
      <w:bookmarkStart w:id="700" w:name="_Toc29034"/>
      <w:bookmarkStart w:id="701" w:name="_Toc2127"/>
      <w:bookmarkStart w:id="702" w:name="_Toc12596"/>
      <w:bookmarkStart w:id="703" w:name="_Toc13464"/>
      <w:bookmarkStart w:id="704" w:name="_Toc9407"/>
      <w:r>
        <w:rPr>
          <w:rFonts w:hint="eastAsia" w:asciiTheme="minorEastAsia" w:hAnsiTheme="minorEastAsia" w:eastAsiaTheme="minorEastAsia" w:cstheme="minorEastAsia"/>
          <w:b/>
          <w:sz w:val="21"/>
          <w:szCs w:val="21"/>
          <w:lang w:eastAsia="zh-CN"/>
        </w:rPr>
        <w:t>甲方工作</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3D6E2FF6">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2FF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5.1负责将电源配送至【一/二】级电箱。</w:t>
      </w:r>
    </w:p>
    <w:p w14:paraId="3D6E2FF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5.4甲方向乙方提供图纸的期限、数量：本分包合同签订后</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天内，甲方向乙方提供</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套图纸或电子图纸，乙方要求增加的图纸，由甲方提供，费用由乙方承担；乙方不得从设计单位索取或直接接收图纸。甲方根据现场实际情况对施工图纸进行变更、对工艺工序和施工方案以及进度计划进行调整、对乙方施工条件作出改变等。</w:t>
      </w:r>
    </w:p>
    <w:p w14:paraId="3D6E2FF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2FF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5.20甲方应履行的其他义务：</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（根据工程实际情况修改或补充）</w:t>
      </w:r>
    </w:p>
    <w:p w14:paraId="3D6E2FF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（1）提供现场临时办公室</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间，办公设备及办公家具由乙方自备；向乙方提供现场人员宿舍</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间，床铺、取暖及空调通风等其他住宿用品由乙方自备。乙方按照每月</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元/间向甲方缴纳临时用房租赁费用（不含水电费）。</w:t>
      </w:r>
    </w:p>
    <w:p w14:paraId="3D6E2FF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（2）水电费：施工和生活用水电费均由乙方承担。其中，施工用水电费按照分包工程结算值的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扣除（或</w:t>
      </w:r>
      <w:r>
        <w:rPr>
          <w:rFonts w:hint="eastAsia" w:asciiTheme="minorEastAsia" w:hAnsiTheme="minorEastAsia" w:eastAsiaTheme="minorEastAsia" w:cstheme="minorEastAsia"/>
          <w:sz w:val="21"/>
          <w:szCs w:val="21"/>
          <w:lang w:eastAsia="zh-CN"/>
        </w:rPr>
        <w:t>单独挂表独立计量，其中水费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元/吨，电费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元/度）。</w:t>
      </w:r>
      <w:r>
        <w:rPr>
          <w:rFonts w:hint="eastAsia" w:asciiTheme="minorEastAsia" w:hAnsiTheme="minorEastAsia" w:eastAsiaTheme="minorEastAsia" w:cstheme="minorEastAsia"/>
          <w:kern w:val="10"/>
          <w:sz w:val="21"/>
          <w:szCs w:val="21"/>
          <w:lang w:eastAsia="zh-CN"/>
        </w:rPr>
        <w:t>生活用水电费按照分包工程结算值的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扣除（或</w:t>
      </w:r>
      <w:r>
        <w:rPr>
          <w:rFonts w:hint="eastAsia" w:asciiTheme="minorEastAsia" w:hAnsiTheme="minorEastAsia" w:eastAsiaTheme="minorEastAsia" w:cstheme="minorEastAsia"/>
          <w:sz w:val="21"/>
          <w:szCs w:val="21"/>
          <w:lang w:eastAsia="zh-CN"/>
        </w:rPr>
        <w:t>单独挂表独立计量，其中水费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元/吨，电费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元/度）</w:t>
      </w:r>
      <w:r>
        <w:rPr>
          <w:rFonts w:hint="eastAsia" w:asciiTheme="minorEastAsia" w:hAnsiTheme="minorEastAsia" w:eastAsiaTheme="minorEastAsia" w:cstheme="minorEastAsia"/>
          <w:kern w:val="10"/>
          <w:sz w:val="21"/>
          <w:szCs w:val="21"/>
          <w:lang w:eastAsia="zh-CN"/>
        </w:rPr>
        <w:t>。乙方用水用电必须严格按甲方规定使用，杜绝浪费，否则经甲方查证将双倍扣除。若工人宿舍为外租房，水电设施由乙方自行解决，乙方按时交纳水电费并承担因房屋租赁引起的一切责任。</w:t>
      </w:r>
    </w:p>
    <w:p w14:paraId="3D6E2FFD">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05" w:name="_Toc101366220"/>
      <w:bookmarkEnd w:id="705"/>
      <w:bookmarkStart w:id="706" w:name="_Toc101366219"/>
      <w:bookmarkEnd w:id="706"/>
      <w:bookmarkStart w:id="707" w:name="_Toc101366222"/>
      <w:bookmarkEnd w:id="707"/>
      <w:bookmarkStart w:id="708" w:name="_Toc101366221"/>
      <w:bookmarkEnd w:id="708"/>
      <w:bookmarkStart w:id="709" w:name="_Toc101366226"/>
      <w:bookmarkEnd w:id="709"/>
      <w:bookmarkStart w:id="710" w:name="_Toc101366225"/>
      <w:bookmarkEnd w:id="710"/>
      <w:bookmarkStart w:id="711" w:name="_Toc101366223"/>
      <w:bookmarkEnd w:id="711"/>
      <w:bookmarkStart w:id="712" w:name="_Toc101366224"/>
      <w:bookmarkEnd w:id="712"/>
      <w:bookmarkStart w:id="713" w:name="_Toc11907"/>
      <w:bookmarkStart w:id="714" w:name="_Toc3920"/>
      <w:bookmarkStart w:id="715" w:name="_Toc497"/>
      <w:bookmarkStart w:id="716" w:name="_Toc118"/>
      <w:bookmarkStart w:id="717" w:name="_Toc31864"/>
      <w:bookmarkStart w:id="718" w:name="_Toc101963514"/>
      <w:bookmarkStart w:id="719" w:name="_Toc11989"/>
      <w:bookmarkStart w:id="720" w:name="_Toc101357460"/>
      <w:bookmarkStart w:id="721" w:name="_Toc22484"/>
      <w:bookmarkStart w:id="722" w:name="_Toc11612"/>
      <w:bookmarkStart w:id="723" w:name="_Toc27703"/>
      <w:bookmarkStart w:id="724" w:name="_Toc30945"/>
      <w:bookmarkStart w:id="725" w:name="_Toc9845"/>
      <w:bookmarkStart w:id="726" w:name="_Toc15681"/>
      <w:bookmarkStart w:id="727" w:name="_Toc16841"/>
      <w:bookmarkStart w:id="728" w:name="_Toc12823"/>
      <w:bookmarkStart w:id="729" w:name="_Toc175772254"/>
      <w:bookmarkStart w:id="730" w:name="_Toc19642"/>
      <w:bookmarkStart w:id="731" w:name="_Toc20567"/>
      <w:bookmarkStart w:id="732" w:name="_Toc21663"/>
      <w:bookmarkStart w:id="733" w:name="_Toc4573"/>
      <w:r>
        <w:rPr>
          <w:rFonts w:hint="eastAsia" w:asciiTheme="minorEastAsia" w:hAnsiTheme="minorEastAsia" w:eastAsiaTheme="minorEastAsia" w:cstheme="minorEastAsia"/>
          <w:b/>
          <w:sz w:val="21"/>
          <w:szCs w:val="21"/>
          <w:lang w:eastAsia="zh-CN"/>
        </w:rPr>
        <w:t>乙方工作</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3D6E2FFE">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2FF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w:t>
      </w:r>
      <w:r>
        <w:rPr>
          <w:rFonts w:hint="eastAsia" w:ascii="宋体" w:hAnsi="宋体"/>
          <w:sz w:val="21"/>
          <w:szCs w:val="21"/>
          <w:lang w:eastAsia="zh-CN"/>
        </w:rPr>
        <w:t>为提高乙方诚信能力，建立黑名单制度，乙方明确本项目负责人：</w:t>
      </w:r>
      <w:r>
        <w:rPr>
          <w:rFonts w:hint="eastAsia" w:ascii="宋体" w:hAnsi="宋体"/>
          <w:sz w:val="21"/>
          <w:szCs w:val="21"/>
          <w:u w:val="single"/>
          <w:lang w:eastAsia="zh-CN"/>
        </w:rPr>
        <w:t>（人名），身份证号：XXX XXX XXX XXX，施工队长：（人名），身份证号：XXX XXX XXX XXX，施工班组长：（人名），身份证号：XXX XXX XXX XXX。若施工期间乙方存在施工不力、严重违约、恶意讨薪等问题，乙方连同上述人员不得再参与甲方组织的分包招标工作。</w:t>
      </w:r>
      <w:r>
        <w:rPr>
          <w:rFonts w:hint="eastAsia" w:asciiTheme="minorEastAsia" w:hAnsiTheme="minorEastAsia" w:eastAsiaTheme="minorEastAsia" w:cstheme="minorEastAsia"/>
          <w:sz w:val="21"/>
          <w:szCs w:val="21"/>
          <w:lang w:eastAsia="zh-CN"/>
        </w:rPr>
        <w:t>乙方没有得到甲方书面同意更换项目经理或其他主要管理人员的，每发生一次更换项目经理乙方承担人民币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元整的违约金，每发生一次更换项目其他主要管理人员承担人民币</w:t>
      </w:r>
      <w:r>
        <w:rPr>
          <w:rFonts w:hint="eastAsia" w:asciiTheme="minorEastAsia" w:hAnsiTheme="minorEastAsia" w:eastAsiaTheme="minorEastAsia" w:cstheme="minorEastAsia"/>
          <w:sz w:val="21"/>
          <w:szCs w:val="21"/>
          <w:u w:val="single"/>
          <w:lang w:eastAsia="zh-CN"/>
        </w:rPr>
        <w:t>20000</w:t>
      </w:r>
      <w:r>
        <w:rPr>
          <w:rFonts w:hint="eastAsia" w:asciiTheme="minorEastAsia" w:hAnsiTheme="minorEastAsia" w:eastAsiaTheme="minorEastAsia" w:cstheme="minorEastAsia"/>
          <w:sz w:val="21"/>
          <w:szCs w:val="21"/>
          <w:lang w:eastAsia="zh-CN"/>
        </w:rPr>
        <w:t>元整的违约金，并按照甲方要求限期纠正；甲方要求乙方更换项目经理或其他主要管理人员的，乙方应在</w:t>
      </w:r>
      <w:r>
        <w:rPr>
          <w:rFonts w:hint="eastAsia" w:asciiTheme="minorEastAsia" w:hAnsiTheme="minorEastAsia" w:eastAsiaTheme="minorEastAsia" w:cstheme="minorEastAsia"/>
          <w:sz w:val="21"/>
          <w:szCs w:val="21"/>
          <w:u w:val="single"/>
          <w:lang w:eastAsia="zh-CN"/>
        </w:rPr>
        <w:t xml:space="preserve"> 7 </w:t>
      </w:r>
      <w:r>
        <w:rPr>
          <w:rFonts w:hint="eastAsia" w:asciiTheme="minorEastAsia" w:hAnsiTheme="minorEastAsia" w:eastAsiaTheme="minorEastAsia" w:cstheme="minorEastAsia"/>
          <w:sz w:val="21"/>
          <w:szCs w:val="21"/>
          <w:lang w:eastAsia="zh-CN"/>
        </w:rPr>
        <w:t>日内按照甲方要求予以撤换，当乙方无正当理由拒绝更换时，乙方应承担人民币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元整的违约金。当乙方项目经理临时离开现场时应指定合适的替代人员，离开现场</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天及以上时，应书面通知甲方并获得甲方同意，否则每次乙方应承担人民币</w:t>
      </w:r>
      <w:r>
        <w:rPr>
          <w:rFonts w:hint="eastAsia" w:asciiTheme="minorEastAsia" w:hAnsiTheme="minorEastAsia" w:eastAsiaTheme="minorEastAsia" w:cstheme="minorEastAsia"/>
          <w:sz w:val="21"/>
          <w:szCs w:val="21"/>
          <w:u w:val="single"/>
          <w:lang w:eastAsia="zh-CN"/>
        </w:rPr>
        <w:t>50000</w:t>
      </w:r>
      <w:r>
        <w:rPr>
          <w:rFonts w:hint="eastAsia" w:asciiTheme="minorEastAsia" w:hAnsiTheme="minorEastAsia" w:eastAsiaTheme="minorEastAsia" w:cstheme="minorEastAsia"/>
          <w:sz w:val="21"/>
          <w:szCs w:val="21"/>
          <w:lang w:eastAsia="zh-CN"/>
        </w:rPr>
        <w:t>元整的违约金；此类违约超过两次，甲方可要求更换项目经理。</w:t>
      </w:r>
    </w:p>
    <w:p w14:paraId="3D6E300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6.2乙方使用电子邮箱处理与甲方的电子函件往来：</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.com。</w:t>
      </w:r>
    </w:p>
    <w:p w14:paraId="3D6E3001">
      <w:pPr>
        <w:kinsoku w:val="0"/>
        <w:spacing w:after="0" w:line="360" w:lineRule="auto"/>
        <w:ind w:firstLine="420" w:firstLineChars="200"/>
        <w:jc w:val="both"/>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6.9本条款不适用。</w:t>
      </w:r>
      <w:r>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t>（具体根据专业进行约定）</w:t>
      </w:r>
    </w:p>
    <w:p w14:paraId="3D6E3002">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6.16本合同适用</w:t>
      </w:r>
      <w:r>
        <w:rPr>
          <w:rFonts w:hint="eastAsia" w:asciiTheme="minorEastAsia" w:hAnsiTheme="minorEastAsia" w:eastAsiaTheme="minorEastAsia" w:cstheme="minorEastAsia"/>
          <w:sz w:val="21"/>
          <w:szCs w:val="21"/>
          <w:u w:val="single"/>
          <w:lang w:eastAsia="zh-CN"/>
        </w:rPr>
        <w:t>【①/②】</w:t>
      </w:r>
      <w:r>
        <w:rPr>
          <w:rFonts w:hint="eastAsia" w:asciiTheme="minorEastAsia" w:hAnsiTheme="minorEastAsia" w:eastAsiaTheme="minorEastAsia" w:cstheme="minorEastAsia"/>
          <w:sz w:val="21"/>
          <w:szCs w:val="21"/>
          <w:lang w:eastAsia="zh-CN"/>
        </w:rPr>
        <w:t>条约定。</w:t>
      </w:r>
    </w:p>
    <w:p w14:paraId="3D6E3003">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6.24本分包工程需要乙方提供的资料和档案形式、提供的份数、期限、标准以及其它相关要求：</w:t>
      </w:r>
      <w:r>
        <w:rPr>
          <w:rFonts w:hint="eastAsia" w:asciiTheme="minorEastAsia" w:hAnsiTheme="minorEastAsia" w:eastAsiaTheme="minorEastAsia" w:cstheme="minorEastAsia"/>
          <w:sz w:val="21"/>
          <w:szCs w:val="21"/>
          <w:u w:val="single"/>
          <w:lang w:eastAsia="zh-CN"/>
        </w:rPr>
        <w:t xml:space="preserve"> ** </w:t>
      </w:r>
    </w:p>
    <w:p w14:paraId="3D6E300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关于竣工文件的其他约定：</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05">
      <w:pPr>
        <w:kinsoku w:val="0"/>
        <w:spacing w:after="0" w:line="360" w:lineRule="auto"/>
        <w:ind w:firstLine="420" w:firstLineChars="20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6.39 乙方配置</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名劳资专员。</w:t>
      </w:r>
    </w:p>
    <w:p w14:paraId="3D6E3006">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（1）姓名：</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，联系地址：</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3D6E300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（2）姓名：</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，身份证号：</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，联系地址：</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3D6E3008">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09">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6.38本条款</w:t>
      </w:r>
      <w:r>
        <w:rPr>
          <w:rFonts w:hint="eastAsia" w:asciiTheme="minorEastAsia" w:hAnsiTheme="minorEastAsia" w:eastAsiaTheme="minorEastAsia" w:cstheme="minorEastAsia"/>
          <w:sz w:val="21"/>
          <w:szCs w:val="21"/>
          <w:u w:val="single"/>
          <w:lang w:eastAsia="zh-CN"/>
        </w:rPr>
        <w:t>【适用/不适用】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t>（适用于非代发民工工资项目，代发项目不适用）</w:t>
      </w:r>
    </w:p>
    <w:p w14:paraId="3D6E300A">
      <w:pPr>
        <w:kinsoku w:val="0"/>
        <w:spacing w:after="0" w:line="360" w:lineRule="auto"/>
        <w:ind w:firstLine="420" w:firstLineChars="200"/>
        <w:jc w:val="both"/>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6.50乙方应履行的其他义务：</w:t>
      </w:r>
      <w:r>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t>（注：根据实际情况修改，签约时删除此备注）</w:t>
      </w:r>
    </w:p>
    <w:p w14:paraId="74A6E8EE">
      <w:pPr>
        <w:pStyle w:val="29"/>
        <w:numPr>
          <w:ilvl w:val="0"/>
          <w:numId w:val="8"/>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乙方应于施工前对照水、电、结构、绿化配置等相关专业施工图纸，核实相应的场地标高、水电接驳等，并将存在问题和与施工现场相矛盾之处及时反馈给甲方，以便在施工前解决此类问题，若由于乙方未能及时反馈造成的停工返工，一切损失由乙方自行承担；</w:t>
      </w:r>
    </w:p>
    <w:p w14:paraId="4242FA15">
      <w:pPr>
        <w:pStyle w:val="29"/>
        <w:numPr>
          <w:ilvl w:val="0"/>
          <w:numId w:val="8"/>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负责施工现场二次或多次转运、垃圾清运出场、成品保护和自我成品保护、污染后的修复、损坏后（含造成其他工程损坏）的修复；</w:t>
      </w:r>
    </w:p>
    <w:p w14:paraId="1E80C8C7">
      <w:pPr>
        <w:pStyle w:val="29"/>
        <w:numPr>
          <w:ilvl w:val="0"/>
          <w:numId w:val="8"/>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需由专业厂家配合进行二次设计的部分,最终效果应由专业厂家配合设计并由甲方、建设单位及设计单位共同确认后方可进行施工；</w:t>
      </w:r>
    </w:p>
    <w:p w14:paraId="4DA34944">
      <w:pPr>
        <w:pStyle w:val="29"/>
        <w:numPr>
          <w:ilvl w:val="0"/>
          <w:numId w:val="8"/>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负责土方回填完成后的下沉修复，全过程控制场内回填土完成面标高直至本工程移交；</w:t>
      </w:r>
    </w:p>
    <w:p w14:paraId="3C67CFED">
      <w:pPr>
        <w:pStyle w:val="29"/>
        <w:numPr>
          <w:ilvl w:val="0"/>
          <w:numId w:val="8"/>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绿化苗木需三方共同号苗确认后方可施工并进行专项验收。</w:t>
      </w:r>
    </w:p>
    <w:p w14:paraId="1D66D27F">
      <w:pPr>
        <w:pStyle w:val="2"/>
        <w:spacing w:after="0" w:line="360" w:lineRule="auto"/>
        <w:ind w:firstLine="420"/>
        <w:jc w:val="both"/>
        <w:rPr>
          <w:sz w:val="21"/>
          <w:szCs w:val="21"/>
        </w:rPr>
      </w:pPr>
      <w:r>
        <w:rPr>
          <w:rFonts w:hint="eastAsia"/>
          <w:sz w:val="21"/>
          <w:szCs w:val="21"/>
        </w:rPr>
        <w:t>分包方未经总包方许可，禁止擅自使用、拆改总包方现场的临时设施，由此发生的一切事故及损失均由分包方负责。</w:t>
      </w:r>
    </w:p>
    <w:p w14:paraId="5AC7B729">
      <w:pPr>
        <w:pStyle w:val="2"/>
        <w:spacing w:after="0" w:line="360" w:lineRule="auto"/>
        <w:ind w:firstLine="420"/>
        <w:jc w:val="both"/>
        <w:rPr>
          <w:sz w:val="21"/>
          <w:szCs w:val="21"/>
        </w:rPr>
      </w:pPr>
      <w:r>
        <w:rPr>
          <w:rFonts w:hint="eastAsia"/>
          <w:sz w:val="21"/>
          <w:szCs w:val="21"/>
        </w:rPr>
        <w:t>如未在文中以文字形式明确列出、提及或约定的工作内容，但合理推断应属于分包方的工作，则此类工作应理解为分包方的潜在责任和义务，分包方应负责完成并自行承担相应的费用。</w:t>
      </w:r>
    </w:p>
    <w:p w14:paraId="4D540929">
      <w:pPr>
        <w:pStyle w:val="2"/>
        <w:spacing w:after="0" w:line="360" w:lineRule="auto"/>
        <w:ind w:firstLine="420"/>
        <w:jc w:val="both"/>
      </w:pPr>
      <w:r>
        <w:rPr>
          <w:rFonts w:hint="eastAsia"/>
          <w:sz w:val="21"/>
          <w:szCs w:val="21"/>
        </w:rPr>
        <w:t>在施工过程中若因分包自身原因破坏已完成的工程项目时，分包方需负责修复并承担所有费用及可能引起的一切经济损失。</w:t>
      </w:r>
    </w:p>
    <w:p w14:paraId="3D6E300B">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4" w:name="_Toc101366229"/>
      <w:bookmarkEnd w:id="734"/>
      <w:bookmarkStart w:id="735" w:name="_Toc101366231"/>
      <w:bookmarkEnd w:id="735"/>
      <w:bookmarkStart w:id="736" w:name="_Toc101366230"/>
      <w:bookmarkEnd w:id="736"/>
      <w:bookmarkStart w:id="737" w:name="_Toc101366228"/>
      <w:bookmarkEnd w:id="737"/>
      <w:bookmarkStart w:id="738" w:name="_Toc752"/>
      <w:bookmarkStart w:id="739" w:name="_Toc23064"/>
      <w:bookmarkStart w:id="740" w:name="_Toc32452"/>
      <w:bookmarkStart w:id="741" w:name="_Toc10615"/>
      <w:bookmarkStart w:id="742" w:name="_Toc14452"/>
      <w:bookmarkStart w:id="743" w:name="_Toc15695"/>
      <w:bookmarkStart w:id="744" w:name="_Toc10220"/>
      <w:bookmarkStart w:id="745" w:name="_Toc9000"/>
      <w:bookmarkStart w:id="746" w:name="_Toc29276"/>
      <w:bookmarkStart w:id="747" w:name="_Toc26129"/>
      <w:bookmarkStart w:id="748" w:name="_Toc1623"/>
      <w:bookmarkStart w:id="749" w:name="_Toc25021"/>
      <w:bookmarkStart w:id="750" w:name="_Toc101357461"/>
      <w:bookmarkStart w:id="751" w:name="_Toc3210"/>
      <w:bookmarkStart w:id="752" w:name="_Toc101963515"/>
      <w:bookmarkStart w:id="753" w:name="_Toc4482"/>
      <w:bookmarkStart w:id="754" w:name="_Toc3041"/>
      <w:bookmarkStart w:id="755" w:name="_Toc175772255"/>
      <w:bookmarkStart w:id="756" w:name="_Toc556"/>
      <w:bookmarkStart w:id="757" w:name="_Toc544"/>
      <w:bookmarkStart w:id="758" w:name="_Toc26576"/>
      <w:r>
        <w:rPr>
          <w:rFonts w:hint="eastAsia" w:asciiTheme="minorEastAsia" w:hAnsiTheme="minorEastAsia" w:eastAsiaTheme="minorEastAsia" w:cstheme="minorEastAsia"/>
          <w:b/>
          <w:sz w:val="21"/>
          <w:szCs w:val="21"/>
          <w:lang w:eastAsia="zh-CN"/>
        </w:rPr>
        <w:t>技术质量要求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D6E300C">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0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7.2</w:t>
      </w:r>
      <w:r>
        <w:rPr>
          <w:rFonts w:hint="eastAsia" w:asciiTheme="minorEastAsia" w:hAnsiTheme="minorEastAsia" w:eastAsiaTheme="minorEastAsia" w:cstheme="minorEastAsia"/>
          <w:sz w:val="21"/>
          <w:szCs w:val="21"/>
          <w:lang w:eastAsia="zh-CN"/>
        </w:rPr>
        <w:t>补充：</w:t>
      </w:r>
      <w:r>
        <w:rPr>
          <w:rFonts w:hint="eastAsia" w:asciiTheme="minorEastAsia" w:hAnsiTheme="minorEastAsia" w:eastAsiaTheme="minorEastAsia" w:cstheme="minorEastAsia"/>
          <w:kern w:val="10"/>
          <w:sz w:val="21"/>
          <w:szCs w:val="21"/>
          <w:lang w:eastAsia="zh-CN"/>
        </w:rPr>
        <w:t>质量违约金为分包结算总价中相应金额的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w:t>
      </w:r>
    </w:p>
    <w:p w14:paraId="413B062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7.8乙方提供的苗木必须事先控制质量，苗木规格严格按照设计要进行选择，苗木种植质量必须严格按照绿化种植规范。苗木成活率达到100%。</w:t>
      </w:r>
    </w:p>
    <w:p w14:paraId="1068771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7.9苗木养护期为2年，从本工程施工完成合同约定的全部验收之日起计。保养期内，凡因乙方施工造成的质量问题，乙方接甲方通知，应无条件予以保养，苗木不成活的应及时更换。否则甲方有权另派施工队伍施工、保养，一切费用在质保金内扣除，超过质保金部分，甲方有权向乙方追偿。</w:t>
      </w:r>
    </w:p>
    <w:p w14:paraId="12AC79A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7.10绿化地平整清理</w:t>
      </w:r>
    </w:p>
    <w:p w14:paraId="7DC4CC0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按城市园林绿化规范规定在10cm以上，30cm以内平整绿化地面至设计坡度要求，平面绿化地平整坡度控制在2.5%~3%坡度。</w:t>
      </w:r>
    </w:p>
    <w:p w14:paraId="01D3C46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根据实际的地形与标高构筑湿地，0.02≤i≤0.1，确保水能排到指定的收水口、蓄水池。同时要整理绿化现场，去除场地上的废弃物和建筑垃圾，改良土壤，并把土面整平耙细、在有铺装道路通过的地方，草坪土面要低于路面2cm~5cm，以免草坪地面雨水流到路面上。</w:t>
      </w:r>
    </w:p>
    <w:p w14:paraId="3423063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7.11绿地种植土质要求</w:t>
      </w:r>
    </w:p>
    <w:p w14:paraId="3EB2B23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土壤均为适宜植物正常生长的无毒无害的，不含建筑垃圾、杂草、淤泥、碎石。</w:t>
      </w:r>
    </w:p>
    <w:p w14:paraId="686CD6D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应对现场使用的土壤进行检测，并支付相关费用，检测结果交予业主与监理工程师确认；业主有权利对土壤进行检测；土壤应该疏松湿润，排水性良好，PH5-7,含有机制的肥沃土壤,对强酸碱，盐土、重黏土、沙土等不良土壤均应进行改良，并符合种植物生长要求。对草坪，花卉种植地应施肥，翻耕25—30cm，搂平耙细，去除杂物，平整度和坡度符合设计要求；</w:t>
      </w:r>
    </w:p>
    <w:p w14:paraId="7BBB501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种植区现有土壤不适宜种植时,将表面换为种植土,植物生长最低种植土层厚度应符合下表规定</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1056"/>
        <w:gridCol w:w="1056"/>
        <w:gridCol w:w="846"/>
        <w:gridCol w:w="846"/>
        <w:gridCol w:w="1056"/>
        <w:gridCol w:w="1056"/>
      </w:tblGrid>
      <w:tr w14:paraId="4B41A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0" w:type="auto"/>
            <w:vAlign w:val="center"/>
          </w:tcPr>
          <w:p w14:paraId="033D155F">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植被类型</w:t>
            </w:r>
          </w:p>
        </w:tc>
        <w:tc>
          <w:tcPr>
            <w:tcW w:w="0" w:type="auto"/>
            <w:vAlign w:val="center"/>
          </w:tcPr>
          <w:p w14:paraId="5969A19F">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草本花卉</w:t>
            </w:r>
          </w:p>
        </w:tc>
        <w:tc>
          <w:tcPr>
            <w:tcW w:w="0" w:type="auto"/>
            <w:vAlign w:val="center"/>
          </w:tcPr>
          <w:p w14:paraId="446A2EE0">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草坪地被</w:t>
            </w:r>
          </w:p>
        </w:tc>
        <w:tc>
          <w:tcPr>
            <w:tcW w:w="0" w:type="auto"/>
            <w:vAlign w:val="center"/>
          </w:tcPr>
          <w:p w14:paraId="38951740">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小灌木</w:t>
            </w:r>
          </w:p>
        </w:tc>
        <w:tc>
          <w:tcPr>
            <w:tcW w:w="0" w:type="auto"/>
            <w:vAlign w:val="center"/>
          </w:tcPr>
          <w:p w14:paraId="4AA9BDDA">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大灌木</w:t>
            </w:r>
          </w:p>
        </w:tc>
        <w:tc>
          <w:tcPr>
            <w:tcW w:w="0" w:type="auto"/>
            <w:vAlign w:val="center"/>
          </w:tcPr>
          <w:p w14:paraId="6CE53899">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浅根乔木</w:t>
            </w:r>
          </w:p>
        </w:tc>
        <w:tc>
          <w:tcPr>
            <w:tcW w:w="0" w:type="auto"/>
            <w:vAlign w:val="center"/>
          </w:tcPr>
          <w:p w14:paraId="30B92EB5">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深根桥木</w:t>
            </w:r>
          </w:p>
        </w:tc>
      </w:tr>
      <w:tr w14:paraId="76E5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3114363D">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土层厚度(cm)</w:t>
            </w:r>
          </w:p>
        </w:tc>
        <w:tc>
          <w:tcPr>
            <w:tcW w:w="0" w:type="auto"/>
            <w:vAlign w:val="center"/>
          </w:tcPr>
          <w:p w14:paraId="6F718BF6">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30</w:t>
            </w:r>
          </w:p>
        </w:tc>
        <w:tc>
          <w:tcPr>
            <w:tcW w:w="0" w:type="auto"/>
            <w:vAlign w:val="center"/>
          </w:tcPr>
          <w:p w14:paraId="72135958">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15—30</w:t>
            </w:r>
          </w:p>
        </w:tc>
        <w:tc>
          <w:tcPr>
            <w:tcW w:w="0" w:type="auto"/>
            <w:vAlign w:val="center"/>
          </w:tcPr>
          <w:p w14:paraId="6B578445">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45</w:t>
            </w:r>
          </w:p>
        </w:tc>
        <w:tc>
          <w:tcPr>
            <w:tcW w:w="0" w:type="auto"/>
            <w:vAlign w:val="center"/>
          </w:tcPr>
          <w:p w14:paraId="177A3C49">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60</w:t>
            </w:r>
          </w:p>
        </w:tc>
        <w:tc>
          <w:tcPr>
            <w:tcW w:w="0" w:type="auto"/>
            <w:vAlign w:val="center"/>
          </w:tcPr>
          <w:p w14:paraId="476781AE">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90</w:t>
            </w:r>
          </w:p>
        </w:tc>
        <w:tc>
          <w:tcPr>
            <w:tcW w:w="0" w:type="auto"/>
            <w:vAlign w:val="center"/>
          </w:tcPr>
          <w:p w14:paraId="68E6BCC9">
            <w:pPr>
              <w:kinsoku w:val="0"/>
              <w:spacing w:after="0" w:line="36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150</w:t>
            </w:r>
          </w:p>
        </w:tc>
      </w:tr>
    </w:tbl>
    <w:p w14:paraId="0274F2F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7.12树穴要求</w:t>
      </w:r>
    </w:p>
    <w:p w14:paraId="1EFCB37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树穴应符合设计要求，位置要准确。土层干燥地区应在种植前浸树穴。树穴应根据苗木根系，土球直径和土壤情况而定，所有乔木树球规格不得小于胸径的8倍，树穴要求大于土球直径30~40cm左右，挖掘深度大于土球厚度10~20cm，要求树穴上下口径一致。挖树穴时如遇有障碍物或其它物体时应采用避让或与甲方取得联系。</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1109"/>
        <w:gridCol w:w="1109"/>
        <w:gridCol w:w="1110"/>
        <w:gridCol w:w="1109"/>
        <w:gridCol w:w="1109"/>
        <w:gridCol w:w="1110"/>
      </w:tblGrid>
      <w:tr w14:paraId="7C1E4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486" w:type="dxa"/>
            <w:gridSpan w:val="7"/>
            <w:vAlign w:val="center"/>
          </w:tcPr>
          <w:p w14:paraId="23C949BB">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乔木栽植土球与标准树穴尺寸</w:t>
            </w:r>
          </w:p>
        </w:tc>
      </w:tr>
      <w:tr w14:paraId="2161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830" w:type="dxa"/>
            <w:vAlign w:val="center"/>
          </w:tcPr>
          <w:p w14:paraId="31DC7655">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土球直径（cm）</w:t>
            </w:r>
          </w:p>
        </w:tc>
        <w:tc>
          <w:tcPr>
            <w:tcW w:w="1109" w:type="dxa"/>
            <w:vAlign w:val="center"/>
          </w:tcPr>
          <w:p w14:paraId="71B46189">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30</w:t>
            </w:r>
          </w:p>
        </w:tc>
        <w:tc>
          <w:tcPr>
            <w:tcW w:w="1109" w:type="dxa"/>
            <w:vAlign w:val="center"/>
          </w:tcPr>
          <w:p w14:paraId="300EA9A0">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40</w:t>
            </w:r>
          </w:p>
        </w:tc>
        <w:tc>
          <w:tcPr>
            <w:tcW w:w="1110" w:type="dxa"/>
            <w:vAlign w:val="center"/>
          </w:tcPr>
          <w:p w14:paraId="3D8E257C">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50</w:t>
            </w:r>
          </w:p>
        </w:tc>
        <w:tc>
          <w:tcPr>
            <w:tcW w:w="1109" w:type="dxa"/>
            <w:vAlign w:val="center"/>
          </w:tcPr>
          <w:p w14:paraId="1140CF08">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60</w:t>
            </w:r>
          </w:p>
        </w:tc>
        <w:tc>
          <w:tcPr>
            <w:tcW w:w="1109" w:type="dxa"/>
            <w:vAlign w:val="center"/>
          </w:tcPr>
          <w:p w14:paraId="7E53163B">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70</w:t>
            </w:r>
          </w:p>
        </w:tc>
        <w:tc>
          <w:tcPr>
            <w:tcW w:w="1110" w:type="dxa"/>
            <w:vAlign w:val="center"/>
          </w:tcPr>
          <w:p w14:paraId="5488DBB4">
            <w:pPr>
              <w:kinsoku w:val="0"/>
              <w:spacing w:after="0" w:line="240" w:lineRule="auto"/>
              <w:jc w:val="center"/>
              <w:rPr>
                <w:rFonts w:hint="eastAsia" w:asciiTheme="minorEastAsia" w:hAnsiTheme="minorEastAsia" w:eastAsiaTheme="minorEastAsia" w:cstheme="minorEastAsia"/>
                <w:kern w:val="10"/>
                <w:sz w:val="21"/>
                <w:szCs w:val="21"/>
                <w:lang w:eastAsia="zh-CN"/>
              </w:rPr>
            </w:pPr>
          </w:p>
        </w:tc>
      </w:tr>
      <w:tr w14:paraId="3F96F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vAlign w:val="center"/>
          </w:tcPr>
          <w:p w14:paraId="32E22200">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lang w:eastAsia="zh-CN"/>
              </w:rPr>
              <w:t>标注树穴（面直径×底直径×深）</w:t>
            </w:r>
          </w:p>
        </w:tc>
        <w:tc>
          <w:tcPr>
            <w:tcW w:w="1109" w:type="dxa"/>
            <w:vAlign w:val="center"/>
          </w:tcPr>
          <w:p w14:paraId="283F2036">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50×40×40</w:t>
            </w:r>
          </w:p>
        </w:tc>
        <w:tc>
          <w:tcPr>
            <w:tcW w:w="1109" w:type="dxa"/>
            <w:vAlign w:val="center"/>
          </w:tcPr>
          <w:p w14:paraId="18C372AA">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60×50×50</w:t>
            </w:r>
          </w:p>
        </w:tc>
        <w:tc>
          <w:tcPr>
            <w:tcW w:w="1110" w:type="dxa"/>
            <w:vAlign w:val="center"/>
          </w:tcPr>
          <w:p w14:paraId="1D129C55">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80×60×60</w:t>
            </w:r>
          </w:p>
        </w:tc>
        <w:tc>
          <w:tcPr>
            <w:tcW w:w="1109" w:type="dxa"/>
            <w:vAlign w:val="center"/>
          </w:tcPr>
          <w:p w14:paraId="6E0421AC">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90×70×70</w:t>
            </w:r>
          </w:p>
        </w:tc>
        <w:tc>
          <w:tcPr>
            <w:tcW w:w="1109" w:type="dxa"/>
            <w:vAlign w:val="center"/>
          </w:tcPr>
          <w:p w14:paraId="2F8CB78D">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110×80×80</w:t>
            </w:r>
          </w:p>
        </w:tc>
        <w:tc>
          <w:tcPr>
            <w:tcW w:w="1110" w:type="dxa"/>
            <w:vAlign w:val="center"/>
          </w:tcPr>
          <w:p w14:paraId="446A5DA3">
            <w:pPr>
              <w:kinsoku w:val="0"/>
              <w:spacing w:after="0" w:line="240" w:lineRule="auto"/>
              <w:jc w:val="center"/>
              <w:rPr>
                <w:rFonts w:hint="eastAsia" w:asciiTheme="minorEastAsia" w:hAnsiTheme="minorEastAsia" w:eastAsiaTheme="minorEastAsia" w:cstheme="minorEastAsia"/>
                <w:kern w:val="10"/>
                <w:sz w:val="21"/>
                <w:szCs w:val="21"/>
                <w:lang w:eastAsia="zh-CN"/>
              </w:rPr>
            </w:pPr>
          </w:p>
        </w:tc>
      </w:tr>
      <w:tr w14:paraId="3F43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830" w:type="dxa"/>
            <w:vAlign w:val="center"/>
          </w:tcPr>
          <w:p w14:paraId="1EDA3715">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土球直径（cm）</w:t>
            </w:r>
          </w:p>
        </w:tc>
        <w:tc>
          <w:tcPr>
            <w:tcW w:w="2218" w:type="dxa"/>
            <w:gridSpan w:val="2"/>
            <w:vAlign w:val="center"/>
          </w:tcPr>
          <w:p w14:paraId="29ECDF78">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80</w:t>
            </w:r>
          </w:p>
        </w:tc>
        <w:tc>
          <w:tcPr>
            <w:tcW w:w="2219" w:type="dxa"/>
            <w:gridSpan w:val="2"/>
            <w:vAlign w:val="center"/>
          </w:tcPr>
          <w:p w14:paraId="3408DD75">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90</w:t>
            </w:r>
          </w:p>
        </w:tc>
        <w:tc>
          <w:tcPr>
            <w:tcW w:w="2219" w:type="dxa"/>
            <w:gridSpan w:val="2"/>
            <w:vAlign w:val="center"/>
          </w:tcPr>
          <w:p w14:paraId="3DE2C244">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100及以上</w:t>
            </w:r>
          </w:p>
        </w:tc>
      </w:tr>
      <w:tr w14:paraId="196B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vAlign w:val="center"/>
          </w:tcPr>
          <w:p w14:paraId="1BC7DF9A">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lang w:eastAsia="zh-CN"/>
              </w:rPr>
              <w:t>标注树穴（面直径×底直径×深）</w:t>
            </w:r>
          </w:p>
        </w:tc>
        <w:tc>
          <w:tcPr>
            <w:tcW w:w="2218" w:type="dxa"/>
            <w:gridSpan w:val="2"/>
            <w:vAlign w:val="center"/>
          </w:tcPr>
          <w:p w14:paraId="0A1741CD">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120×90×90</w:t>
            </w:r>
          </w:p>
        </w:tc>
        <w:tc>
          <w:tcPr>
            <w:tcW w:w="2219" w:type="dxa"/>
            <w:gridSpan w:val="2"/>
            <w:vAlign w:val="center"/>
          </w:tcPr>
          <w:p w14:paraId="04E6C39F">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140×110×110</w:t>
            </w:r>
          </w:p>
        </w:tc>
        <w:tc>
          <w:tcPr>
            <w:tcW w:w="2219" w:type="dxa"/>
            <w:gridSpan w:val="2"/>
            <w:vAlign w:val="center"/>
          </w:tcPr>
          <w:p w14:paraId="184E930A">
            <w:pPr>
              <w:kinsoku w:val="0"/>
              <w:spacing w:after="0" w:line="240" w:lineRule="auto"/>
              <w:jc w:val="center"/>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sz w:val="21"/>
                <w:szCs w:val="21"/>
              </w:rPr>
              <w:t>按照实际需要而定</w:t>
            </w:r>
          </w:p>
        </w:tc>
      </w:tr>
    </w:tbl>
    <w:p w14:paraId="4766E6D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7.13苗木要求</w:t>
      </w:r>
    </w:p>
    <w:p w14:paraId="51B3792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出圃苗木应符合国家行业标准，具备生长健壮、枝繁叶茂、冠形整齐、色泽正常、根系成熟、无病虫害和机械损伤等基本条件。</w:t>
      </w:r>
    </w:p>
    <w:p w14:paraId="6D3C01A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按照国家建设部91年颁布的《常用苗木产品主要规格质量标准》（CJ或T34-91）及相关规范说明如下：</w:t>
      </w:r>
    </w:p>
    <w:p w14:paraId="3218ECE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严格按苗木规格购苗，应选择树干通直，树皮颜色新鲜，树势健旺的，而且应该是在育苗内经过1~3次翻栽，根群集中在树兜的苗木，苗木移植尽量减少截枝量，严禁出现没枝的单干苗木，乔木的分枝点应不少于四个，树型特殊的树种，分枝必须有4层以上。孤植树应选种树形姿态优美、树冠广阔或树势雄伟的苗木。</w:t>
      </w:r>
    </w:p>
    <w:p w14:paraId="0145A72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所有植物必须健康、新鲜、无病虫害、无缺乏矿物质症状，生长旺盛而不老化，树皮无损伤或虫眼等。</w:t>
      </w:r>
    </w:p>
    <w:p w14:paraId="682A23F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所有苗木的树冠应生长茂盛，分枝均衡，整冠饱满，能充分体现个体的自然景观美。</w:t>
      </w:r>
    </w:p>
    <w:p w14:paraId="33B369D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草皮覆盖率达90%以上、纯度98%以上，以成块草皮（300mmX300mm）形式铺植。</w:t>
      </w:r>
    </w:p>
    <w:p w14:paraId="04EF521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人行树高差不大于0.5m,且枝下分枝高度高差小于0.5m，力求列植后整齐划一。</w:t>
      </w:r>
    </w:p>
    <w:p w14:paraId="6C2DFE8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规则式种植的乔灌木，（如广场上列植乔木等）同种苗木的规格大小应统一。</w:t>
      </w:r>
    </w:p>
    <w:p w14:paraId="3B8B1CC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丛植或群式种植的乔灌木，同种或不同种苗木都应高低错落，充分体现了自然丛林般的景观。植后同种苗木相差50cm左右。</w:t>
      </w:r>
    </w:p>
    <w:p w14:paraId="62DC932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孤植树应选种树形姿态优美、造型奇特、冠形圆整耐看，树冠广阔或树势雄伟的优质苗木。</w:t>
      </w:r>
    </w:p>
    <w:p w14:paraId="43061F3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整形装饰篱木规格大小应一致，修剪整形的观赏面应为圆滑曲线弧形，起伏有致。</w:t>
      </w:r>
    </w:p>
    <w:p w14:paraId="5CE8C8A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分层种植的灌木花带边缘轮廓线上种植密度应大于规格密度，平面线性流畅，外缘成弧形，高低层次分明，且于周边点种植物高差不少于300mm。</w:t>
      </w:r>
    </w:p>
    <w:p w14:paraId="6966FE5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苗木表中注明种植容器类型者，可在保证苗木质量的前提下，按如下顺序确定：指定盆苗则用盆苗，指定袋苗则用袋苗、亦可用盆苗，指定假植苗可用盆苗、袋苗；指定地苗则用盆苗、袋苗、假植苗。依次类扒，反之则不行。</w:t>
      </w:r>
    </w:p>
    <w:p w14:paraId="2F39497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截干乔木锯口处要干净、光泽、无撕裂或分裂。3cm以上截口应用松香封盖。</w:t>
      </w:r>
    </w:p>
    <w:p w14:paraId="43C45AF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棕榈科植物、开花乔木及主景树在种植时必须尽量保留原有的自然生长冠形。</w:t>
      </w:r>
    </w:p>
    <w:p w14:paraId="5EE2451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容器苗木（袋苗），不能用裸根苗种植，以保证尽快见效和迅速恢复正常生长。</w:t>
      </w:r>
    </w:p>
    <w:p w14:paraId="2981664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本地无苗源的树种：对本地无苗源或苗源不足的树种，应提前寻找苗源地对所选苗木进行技术处理，以保证移植到现场的苗木有良好的绿化初期效果。</w:t>
      </w:r>
    </w:p>
    <w:p w14:paraId="643CE93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种植苗木规格的确定：要求乙方认真选苗对苗木进行前期技术处理，以保证苗木符合绿化设计规格要求。</w:t>
      </w:r>
    </w:p>
    <w:p w14:paraId="0FCAAFE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苗木包装运输要求：按园林行业常规处理，保证苗木质量。特别强调如下：</w:t>
      </w:r>
    </w:p>
    <w:p w14:paraId="6DCB061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带土球苗木，挖取的土球直径为基径的6-8倍，土球厚度为土球直径的三分之二以上。</w:t>
      </w:r>
    </w:p>
    <w:p w14:paraId="20B64E2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裸根苗木，挖取根系幅度为基径的6-8倍。</w:t>
      </w:r>
    </w:p>
    <w:p w14:paraId="0CE193F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不适宜季节或特殊要求挖取苗木，需加大土球，增强保护措施。</w:t>
      </w:r>
    </w:p>
    <w:p w14:paraId="72C0AE2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包装要求：土壤湿润、土球规范、包装结实、不裂不散。</w:t>
      </w:r>
    </w:p>
    <w:p w14:paraId="68110A1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7.14基肥</w:t>
      </w:r>
    </w:p>
    <w:p w14:paraId="1DA302D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要求施工种植前必须依实施足基肥，弥补绿地瘦瘠对植物生长的不良影响，基肥上面覆盖一层土，避免树根直径接触肥料，造成烧根，以使绿化尽快见效。</w:t>
      </w:r>
    </w:p>
    <w:p w14:paraId="3D6E300E">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759" w:name="_Toc101357462"/>
      <w:bookmarkStart w:id="760" w:name="_Toc13749"/>
      <w:bookmarkStart w:id="761" w:name="_Toc7739"/>
      <w:bookmarkStart w:id="762" w:name="_Toc29298"/>
      <w:bookmarkStart w:id="763" w:name="_Toc15624"/>
      <w:bookmarkStart w:id="764" w:name="_Toc26939"/>
      <w:bookmarkStart w:id="765" w:name="_Toc22673"/>
      <w:bookmarkStart w:id="766" w:name="_Toc20514"/>
      <w:bookmarkStart w:id="767" w:name="_Toc13402"/>
      <w:bookmarkStart w:id="768" w:name="_Toc175772256"/>
      <w:bookmarkStart w:id="769" w:name="_Toc19888"/>
      <w:bookmarkStart w:id="770" w:name="_Toc14225"/>
      <w:bookmarkStart w:id="771" w:name="_Toc101963516"/>
      <w:bookmarkStart w:id="772" w:name="_Toc5405"/>
      <w:bookmarkStart w:id="773" w:name="_Toc30440"/>
      <w:bookmarkStart w:id="774" w:name="_Toc19673"/>
      <w:bookmarkStart w:id="775" w:name="_Toc7540"/>
      <w:bookmarkStart w:id="776" w:name="_Toc22750"/>
      <w:bookmarkStart w:id="777" w:name="_Toc2819"/>
      <w:bookmarkStart w:id="778" w:name="_Toc31809"/>
      <w:bookmarkStart w:id="779" w:name="_Toc28201"/>
      <w:r>
        <w:rPr>
          <w:rFonts w:hint="eastAsia" w:asciiTheme="minorEastAsia" w:hAnsiTheme="minorEastAsia" w:eastAsiaTheme="minorEastAsia" w:cstheme="minorEastAsia"/>
          <w:b/>
          <w:sz w:val="21"/>
          <w:szCs w:val="21"/>
          <w:lang w:eastAsia="zh-CN"/>
        </w:rPr>
        <w:t>材料设备管理</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3D6E300F">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10">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8.2半成品库存率不超过</w:t>
      </w:r>
      <w:r>
        <w:rPr>
          <w:rFonts w:hint="eastAsia" w:asciiTheme="minorEastAsia" w:hAnsiTheme="minorEastAsia" w:eastAsiaTheme="minorEastAsia" w:cstheme="minorEastAsia"/>
          <w:sz w:val="21"/>
          <w:szCs w:val="21"/>
          <w:u w:val="single"/>
          <w:lang w:eastAsia="zh-CN"/>
        </w:rPr>
        <w:t>XXX</w:t>
      </w:r>
      <w:r>
        <w:rPr>
          <w:rFonts w:hint="eastAsia" w:asciiTheme="minorEastAsia" w:hAnsiTheme="minorEastAsia" w:eastAsiaTheme="minorEastAsia" w:cstheme="minorEastAsia"/>
          <w:sz w:val="21"/>
          <w:szCs w:val="21"/>
          <w:lang w:eastAsia="zh-CN"/>
        </w:rPr>
        <w:t>%。</w:t>
      </w:r>
    </w:p>
    <w:p w14:paraId="3D6E3011">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8.17对于由甲方供应的材料，乙方应限额领料，超出限额或损耗率控制目标的部分，甲方将按甲供材料价格表中材料单价加包装、运输费等乘以超出上述核定量之部分</w:t>
      </w:r>
      <w:r>
        <w:rPr>
          <w:rFonts w:hint="eastAsia" w:asciiTheme="minorEastAsia" w:hAnsiTheme="minorEastAsia" w:eastAsiaTheme="minorEastAsia" w:cstheme="minorEastAsia"/>
          <w:b/>
          <w:bCs/>
          <w:sz w:val="21"/>
          <w:szCs w:val="21"/>
          <w:u w:val="single"/>
          <w:lang w:eastAsia="zh-CN"/>
        </w:rPr>
        <w:t>1.3倍</w:t>
      </w:r>
      <w:r>
        <w:rPr>
          <w:rFonts w:hint="eastAsia" w:asciiTheme="minorEastAsia" w:hAnsiTheme="minorEastAsia" w:eastAsiaTheme="minorEastAsia" w:cstheme="minorEastAsia"/>
          <w:sz w:val="21"/>
          <w:szCs w:val="21"/>
          <w:lang w:eastAsia="zh-CN"/>
        </w:rPr>
        <w:t>在对乙方的进度款或结算款中扣除。</w:t>
      </w:r>
    </w:p>
    <w:p w14:paraId="3D6E301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8.20需要乙方报送样品的材料或工程设备，样品的种类、名称、规格、数量要求：</w:t>
      </w:r>
      <w:r>
        <w:rPr>
          <w:rFonts w:hint="eastAsia" w:asciiTheme="minorEastAsia" w:hAnsiTheme="minorEastAsia" w:eastAsiaTheme="minorEastAsia" w:cstheme="minorEastAsia"/>
          <w:color w:val="FF0000"/>
          <w:sz w:val="21"/>
          <w:szCs w:val="21"/>
          <w:u w:val="single"/>
          <w:lang w:eastAsia="zh-CN"/>
        </w:rPr>
        <w:t xml:space="preserve"> 涉及到景观造型、色彩、质感、大小、尺寸、性能、安全等方面的材料，除按本设计图纸要求外，均需报送样品，经甲方、建设单位及设计单位审核确认后方可采用。</w:t>
      </w:r>
    </w:p>
    <w:p w14:paraId="3D6E3013">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14">
      <w:pPr>
        <w:pStyle w:val="6"/>
        <w:kinsoku w:val="0"/>
        <w:spacing w:after="0"/>
        <w:rPr>
          <w:rFonts w:hint="eastAsia"/>
          <w:color w:val="FFC000"/>
        </w:rPr>
      </w:pPr>
      <w:r>
        <w:rPr>
          <w:rFonts w:hint="eastAsia"/>
        </w:rPr>
        <w:t>8.24乙方供应主材的要求：</w:t>
      </w:r>
      <w:r>
        <w:rPr>
          <w:rFonts w:hint="eastAsia"/>
          <w:color w:val="FFC000"/>
        </w:rPr>
        <w:t>（若无此项可删除）</w:t>
      </w:r>
    </w:p>
    <w:tbl>
      <w:tblPr>
        <w:tblStyle w:val="13"/>
        <w:tblW w:w="0" w:type="auto"/>
        <w:jc w:val="center"/>
        <w:tblLayout w:type="fixed"/>
        <w:tblCellMar>
          <w:top w:w="0" w:type="dxa"/>
          <w:left w:w="108" w:type="dxa"/>
          <w:bottom w:w="0" w:type="dxa"/>
          <w:right w:w="108" w:type="dxa"/>
        </w:tblCellMar>
      </w:tblPr>
      <w:tblGrid>
        <w:gridCol w:w="1984"/>
        <w:gridCol w:w="2089"/>
        <w:gridCol w:w="1313"/>
        <w:gridCol w:w="1276"/>
        <w:gridCol w:w="1276"/>
      </w:tblGrid>
      <w:tr w14:paraId="504C5B57">
        <w:tblPrEx>
          <w:tblCellMar>
            <w:top w:w="0" w:type="dxa"/>
            <w:left w:w="108" w:type="dxa"/>
            <w:bottom w:w="0" w:type="dxa"/>
            <w:right w:w="108" w:type="dxa"/>
          </w:tblCellMar>
        </w:tblPrEx>
        <w:trPr>
          <w:trHeight w:val="360" w:hRule="atLeast"/>
          <w:jc w:val="center"/>
        </w:trPr>
        <w:tc>
          <w:tcPr>
            <w:tcW w:w="19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4F2722">
            <w:pPr>
              <w:kinsoku w:val="0"/>
              <w:spacing w:after="0" w:line="240" w:lineRule="auto"/>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材料名称</w:t>
            </w:r>
          </w:p>
        </w:tc>
        <w:tc>
          <w:tcPr>
            <w:tcW w:w="2089" w:type="dxa"/>
            <w:tcBorders>
              <w:top w:val="single" w:color="auto" w:sz="4" w:space="0"/>
              <w:left w:val="nil"/>
              <w:bottom w:val="single" w:color="auto" w:sz="4" w:space="0"/>
              <w:right w:val="single" w:color="auto" w:sz="4" w:space="0"/>
            </w:tcBorders>
            <w:shd w:val="clear" w:color="auto" w:fill="FFFFFF"/>
            <w:noWrap/>
            <w:vAlign w:val="center"/>
          </w:tcPr>
          <w:p w14:paraId="3A9D0284">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规格、型号</w:t>
            </w:r>
          </w:p>
        </w:tc>
        <w:tc>
          <w:tcPr>
            <w:tcW w:w="1313" w:type="dxa"/>
            <w:tcBorders>
              <w:top w:val="single" w:color="auto" w:sz="4" w:space="0"/>
              <w:left w:val="nil"/>
              <w:bottom w:val="single" w:color="auto" w:sz="4" w:space="0"/>
              <w:right w:val="single" w:color="auto" w:sz="4" w:space="0"/>
            </w:tcBorders>
            <w:shd w:val="clear" w:color="auto" w:fill="FFFFFF"/>
            <w:noWrap/>
            <w:vAlign w:val="center"/>
          </w:tcPr>
          <w:p w14:paraId="34766083">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厂家</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3C616445">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品牌</w:t>
            </w:r>
          </w:p>
        </w:tc>
        <w:tc>
          <w:tcPr>
            <w:tcW w:w="127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508D5E">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备注</w:t>
            </w:r>
          </w:p>
        </w:tc>
      </w:tr>
      <w:tr w14:paraId="2AE043A8">
        <w:tblPrEx>
          <w:tblCellMar>
            <w:top w:w="0" w:type="dxa"/>
            <w:left w:w="108" w:type="dxa"/>
            <w:bottom w:w="0" w:type="dxa"/>
            <w:right w:w="108" w:type="dxa"/>
          </w:tblCellMar>
        </w:tblPrEx>
        <w:trPr>
          <w:trHeight w:val="360" w:hRule="atLeast"/>
          <w:jc w:val="center"/>
        </w:trPr>
        <w:tc>
          <w:tcPr>
            <w:tcW w:w="1984" w:type="dxa"/>
            <w:tcBorders>
              <w:top w:val="nil"/>
              <w:left w:val="single" w:color="auto" w:sz="4" w:space="0"/>
              <w:bottom w:val="single" w:color="auto" w:sz="4" w:space="0"/>
              <w:right w:val="single" w:color="auto" w:sz="4" w:space="0"/>
            </w:tcBorders>
            <w:shd w:val="clear" w:color="auto" w:fill="FFFFFF"/>
            <w:noWrap/>
            <w:vAlign w:val="center"/>
          </w:tcPr>
          <w:p w14:paraId="1C58ECC1">
            <w:pPr>
              <w:kinsoku w:val="0"/>
              <w:spacing w:after="0" w:line="240" w:lineRule="auto"/>
              <w:contextualSpacing/>
              <w:jc w:val="center"/>
              <w:rPr>
                <w:rFonts w:hint="eastAsia" w:asciiTheme="minorEastAsia" w:hAnsiTheme="minorEastAsia" w:eastAsiaTheme="minorEastAsia" w:cstheme="minorEastAsia"/>
                <w:sz w:val="21"/>
                <w:szCs w:val="21"/>
              </w:rPr>
            </w:pPr>
          </w:p>
        </w:tc>
        <w:tc>
          <w:tcPr>
            <w:tcW w:w="2089" w:type="dxa"/>
            <w:tcBorders>
              <w:top w:val="nil"/>
              <w:left w:val="nil"/>
              <w:bottom w:val="single" w:color="auto" w:sz="4" w:space="0"/>
              <w:right w:val="single" w:color="auto" w:sz="4" w:space="0"/>
            </w:tcBorders>
            <w:shd w:val="clear" w:color="auto" w:fill="FFFFFF"/>
            <w:noWrap/>
            <w:vAlign w:val="center"/>
          </w:tcPr>
          <w:p w14:paraId="1A7F5AEB">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313" w:type="dxa"/>
            <w:tcBorders>
              <w:top w:val="nil"/>
              <w:left w:val="nil"/>
              <w:bottom w:val="single" w:color="auto" w:sz="4" w:space="0"/>
              <w:right w:val="single" w:color="auto" w:sz="4" w:space="0"/>
            </w:tcBorders>
            <w:shd w:val="clear" w:color="auto" w:fill="FFFFFF"/>
            <w:noWrap/>
            <w:vAlign w:val="center"/>
          </w:tcPr>
          <w:p w14:paraId="22CFA2B1">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single" w:color="auto" w:sz="4" w:space="0"/>
              <w:left w:val="nil"/>
              <w:bottom w:val="single" w:color="auto" w:sz="4" w:space="0"/>
              <w:right w:val="single" w:color="auto" w:sz="4" w:space="0"/>
            </w:tcBorders>
            <w:shd w:val="clear" w:color="auto" w:fill="FFFFFF"/>
            <w:vAlign w:val="center"/>
          </w:tcPr>
          <w:p w14:paraId="12A1386B">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nil"/>
              <w:left w:val="single" w:color="auto" w:sz="4" w:space="0"/>
              <w:bottom w:val="single" w:color="auto" w:sz="4" w:space="0"/>
              <w:right w:val="single" w:color="auto" w:sz="4" w:space="0"/>
            </w:tcBorders>
            <w:shd w:val="clear" w:color="auto" w:fill="FFFFFF"/>
            <w:noWrap/>
            <w:vAlign w:val="center"/>
          </w:tcPr>
          <w:p w14:paraId="4DFE2BB9">
            <w:pPr>
              <w:kinsoku w:val="0"/>
              <w:spacing w:after="0" w:line="240" w:lineRule="auto"/>
              <w:contextualSpacing/>
              <w:jc w:val="center"/>
              <w:rPr>
                <w:rFonts w:hint="eastAsia" w:asciiTheme="minorEastAsia" w:hAnsiTheme="minorEastAsia" w:eastAsiaTheme="minorEastAsia" w:cstheme="minorEastAsia"/>
                <w:kern w:val="10"/>
                <w:sz w:val="21"/>
                <w:szCs w:val="21"/>
              </w:rPr>
            </w:pPr>
          </w:p>
        </w:tc>
      </w:tr>
      <w:tr w14:paraId="10AA0FB8">
        <w:tblPrEx>
          <w:tblCellMar>
            <w:top w:w="0" w:type="dxa"/>
            <w:left w:w="108" w:type="dxa"/>
            <w:bottom w:w="0" w:type="dxa"/>
            <w:right w:w="108" w:type="dxa"/>
          </w:tblCellMar>
        </w:tblPrEx>
        <w:trPr>
          <w:trHeight w:val="360" w:hRule="atLeast"/>
          <w:jc w:val="center"/>
        </w:trPr>
        <w:tc>
          <w:tcPr>
            <w:tcW w:w="1984" w:type="dxa"/>
            <w:tcBorders>
              <w:top w:val="nil"/>
              <w:left w:val="single" w:color="auto" w:sz="4" w:space="0"/>
              <w:bottom w:val="single" w:color="auto" w:sz="4" w:space="0"/>
              <w:right w:val="single" w:color="auto" w:sz="4" w:space="0"/>
            </w:tcBorders>
            <w:shd w:val="clear" w:color="auto" w:fill="FFFFFF"/>
            <w:noWrap/>
            <w:vAlign w:val="center"/>
          </w:tcPr>
          <w:p w14:paraId="789049A3">
            <w:pPr>
              <w:kinsoku w:val="0"/>
              <w:spacing w:after="0" w:line="240" w:lineRule="auto"/>
              <w:contextualSpacing/>
              <w:jc w:val="center"/>
              <w:rPr>
                <w:rFonts w:hint="eastAsia" w:asciiTheme="minorEastAsia" w:hAnsiTheme="minorEastAsia" w:eastAsiaTheme="minorEastAsia" w:cstheme="minorEastAsia"/>
                <w:sz w:val="21"/>
                <w:szCs w:val="21"/>
              </w:rPr>
            </w:pPr>
          </w:p>
        </w:tc>
        <w:tc>
          <w:tcPr>
            <w:tcW w:w="2089" w:type="dxa"/>
            <w:tcBorders>
              <w:top w:val="nil"/>
              <w:left w:val="nil"/>
              <w:bottom w:val="single" w:color="auto" w:sz="4" w:space="0"/>
              <w:right w:val="single" w:color="auto" w:sz="4" w:space="0"/>
            </w:tcBorders>
            <w:shd w:val="clear" w:color="auto" w:fill="FFFFFF"/>
            <w:noWrap/>
            <w:vAlign w:val="center"/>
          </w:tcPr>
          <w:p w14:paraId="5265E89A">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313" w:type="dxa"/>
            <w:tcBorders>
              <w:top w:val="nil"/>
              <w:left w:val="nil"/>
              <w:bottom w:val="single" w:color="auto" w:sz="4" w:space="0"/>
              <w:right w:val="single" w:color="auto" w:sz="4" w:space="0"/>
            </w:tcBorders>
            <w:shd w:val="clear" w:color="auto" w:fill="FFFFFF"/>
            <w:noWrap/>
            <w:vAlign w:val="center"/>
          </w:tcPr>
          <w:p w14:paraId="2A99357C">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single" w:color="auto" w:sz="4" w:space="0"/>
              <w:left w:val="nil"/>
              <w:bottom w:val="single" w:color="auto" w:sz="4" w:space="0"/>
              <w:right w:val="single" w:color="auto" w:sz="4" w:space="0"/>
            </w:tcBorders>
            <w:shd w:val="clear" w:color="auto" w:fill="FFFFFF"/>
            <w:vAlign w:val="center"/>
          </w:tcPr>
          <w:p w14:paraId="52A5B235">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nil"/>
              <w:left w:val="single" w:color="auto" w:sz="4" w:space="0"/>
              <w:bottom w:val="single" w:color="auto" w:sz="4" w:space="0"/>
              <w:right w:val="single" w:color="auto" w:sz="4" w:space="0"/>
            </w:tcBorders>
            <w:shd w:val="clear" w:color="auto" w:fill="FFFFFF"/>
            <w:noWrap/>
            <w:vAlign w:val="center"/>
          </w:tcPr>
          <w:p w14:paraId="39B28521">
            <w:pPr>
              <w:kinsoku w:val="0"/>
              <w:spacing w:after="0" w:line="240" w:lineRule="auto"/>
              <w:contextualSpacing/>
              <w:jc w:val="center"/>
              <w:rPr>
                <w:rFonts w:hint="eastAsia" w:asciiTheme="minorEastAsia" w:hAnsiTheme="minorEastAsia" w:eastAsiaTheme="minorEastAsia" w:cstheme="minorEastAsia"/>
                <w:kern w:val="10"/>
                <w:sz w:val="21"/>
                <w:szCs w:val="21"/>
              </w:rPr>
            </w:pPr>
          </w:p>
        </w:tc>
      </w:tr>
      <w:tr w14:paraId="4AD0C96B">
        <w:tblPrEx>
          <w:tblCellMar>
            <w:top w:w="0" w:type="dxa"/>
            <w:left w:w="108" w:type="dxa"/>
            <w:bottom w:w="0" w:type="dxa"/>
            <w:right w:w="108" w:type="dxa"/>
          </w:tblCellMar>
        </w:tblPrEx>
        <w:trPr>
          <w:trHeight w:val="360" w:hRule="atLeast"/>
          <w:jc w:val="center"/>
        </w:trPr>
        <w:tc>
          <w:tcPr>
            <w:tcW w:w="1984" w:type="dxa"/>
            <w:tcBorders>
              <w:top w:val="nil"/>
              <w:left w:val="single" w:color="auto" w:sz="4" w:space="0"/>
              <w:bottom w:val="single" w:color="auto" w:sz="4" w:space="0"/>
              <w:right w:val="single" w:color="auto" w:sz="4" w:space="0"/>
            </w:tcBorders>
            <w:shd w:val="clear" w:color="auto" w:fill="FFFFFF"/>
            <w:noWrap/>
            <w:vAlign w:val="center"/>
          </w:tcPr>
          <w:p w14:paraId="6729B951">
            <w:pPr>
              <w:kinsoku w:val="0"/>
              <w:spacing w:after="0" w:line="240" w:lineRule="auto"/>
              <w:contextualSpacing/>
              <w:jc w:val="center"/>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w:t>
            </w:r>
          </w:p>
        </w:tc>
        <w:tc>
          <w:tcPr>
            <w:tcW w:w="2089" w:type="dxa"/>
            <w:tcBorders>
              <w:top w:val="nil"/>
              <w:left w:val="nil"/>
              <w:bottom w:val="single" w:color="auto" w:sz="4" w:space="0"/>
              <w:right w:val="single" w:color="auto" w:sz="4" w:space="0"/>
            </w:tcBorders>
            <w:shd w:val="clear" w:color="auto" w:fill="FFFFFF"/>
            <w:noWrap/>
            <w:vAlign w:val="center"/>
          </w:tcPr>
          <w:p w14:paraId="46B75076">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313" w:type="dxa"/>
            <w:tcBorders>
              <w:top w:val="nil"/>
              <w:left w:val="nil"/>
              <w:bottom w:val="single" w:color="auto" w:sz="4" w:space="0"/>
              <w:right w:val="single" w:color="auto" w:sz="4" w:space="0"/>
            </w:tcBorders>
            <w:shd w:val="clear" w:color="auto" w:fill="FFFFFF"/>
            <w:noWrap/>
            <w:vAlign w:val="center"/>
          </w:tcPr>
          <w:p w14:paraId="01969843">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single" w:color="auto" w:sz="4" w:space="0"/>
              <w:left w:val="nil"/>
              <w:bottom w:val="single" w:color="auto" w:sz="4" w:space="0"/>
              <w:right w:val="single" w:color="auto" w:sz="4" w:space="0"/>
            </w:tcBorders>
            <w:shd w:val="clear" w:color="auto" w:fill="FFFFFF"/>
            <w:vAlign w:val="center"/>
          </w:tcPr>
          <w:p w14:paraId="095BEA35">
            <w:pPr>
              <w:kinsoku w:val="0"/>
              <w:spacing w:after="0" w:line="240" w:lineRule="auto"/>
              <w:contextualSpacing/>
              <w:jc w:val="center"/>
              <w:rPr>
                <w:rFonts w:hint="eastAsia" w:asciiTheme="minorEastAsia" w:hAnsiTheme="minorEastAsia" w:eastAsiaTheme="minorEastAsia" w:cstheme="minorEastAsia"/>
                <w:kern w:val="10"/>
                <w:sz w:val="21"/>
                <w:szCs w:val="21"/>
              </w:rPr>
            </w:pPr>
          </w:p>
        </w:tc>
        <w:tc>
          <w:tcPr>
            <w:tcW w:w="1276" w:type="dxa"/>
            <w:tcBorders>
              <w:top w:val="nil"/>
              <w:left w:val="single" w:color="auto" w:sz="4" w:space="0"/>
              <w:bottom w:val="single" w:color="auto" w:sz="4" w:space="0"/>
              <w:right w:val="single" w:color="auto" w:sz="4" w:space="0"/>
            </w:tcBorders>
            <w:shd w:val="clear" w:color="auto" w:fill="FFFFFF"/>
            <w:noWrap/>
            <w:vAlign w:val="center"/>
          </w:tcPr>
          <w:p w14:paraId="263498A5">
            <w:pPr>
              <w:kinsoku w:val="0"/>
              <w:spacing w:after="0" w:line="240" w:lineRule="auto"/>
              <w:contextualSpacing/>
              <w:jc w:val="center"/>
              <w:rPr>
                <w:rFonts w:hint="eastAsia" w:asciiTheme="minorEastAsia" w:hAnsiTheme="minorEastAsia" w:eastAsiaTheme="minorEastAsia" w:cstheme="minorEastAsia"/>
                <w:kern w:val="10"/>
                <w:sz w:val="21"/>
                <w:szCs w:val="21"/>
              </w:rPr>
            </w:pPr>
          </w:p>
        </w:tc>
      </w:tr>
    </w:tbl>
    <w:p w14:paraId="3D6E302D">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80" w:name="_Toc12658"/>
      <w:bookmarkStart w:id="781" w:name="_Toc31479"/>
      <w:bookmarkStart w:id="782" w:name="_Toc20670"/>
      <w:bookmarkStart w:id="783" w:name="_Toc26565"/>
      <w:bookmarkStart w:id="784" w:name="_Toc5704"/>
      <w:bookmarkStart w:id="785" w:name="_Toc6224"/>
      <w:bookmarkStart w:id="786" w:name="_Toc11460"/>
      <w:bookmarkStart w:id="787" w:name="_Toc101963517"/>
      <w:bookmarkStart w:id="788" w:name="_Toc19535"/>
      <w:bookmarkStart w:id="789" w:name="_Toc20197"/>
      <w:bookmarkStart w:id="790" w:name="_Toc5223"/>
      <w:bookmarkStart w:id="791" w:name="_Toc10950"/>
      <w:bookmarkStart w:id="792" w:name="_Toc10045"/>
      <w:bookmarkStart w:id="793" w:name="_Toc4835"/>
      <w:bookmarkStart w:id="794" w:name="_Toc10377"/>
      <w:bookmarkStart w:id="795" w:name="_Toc19791"/>
      <w:bookmarkStart w:id="796" w:name="_Toc175772257"/>
      <w:bookmarkStart w:id="797" w:name="_Toc13688"/>
      <w:bookmarkStart w:id="798" w:name="_Toc2732"/>
      <w:bookmarkStart w:id="799" w:name="_Toc101357463"/>
      <w:bookmarkStart w:id="800" w:name="_Toc7144"/>
      <w:r>
        <w:rPr>
          <w:rFonts w:hint="eastAsia" w:asciiTheme="minorEastAsia" w:hAnsiTheme="minorEastAsia" w:eastAsiaTheme="minorEastAsia" w:cstheme="minorEastAsia"/>
          <w:b/>
          <w:sz w:val="21"/>
          <w:szCs w:val="21"/>
          <w:lang w:eastAsia="zh-CN"/>
        </w:rPr>
        <w:t>安全文明施工管理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3D6E302E">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2F">
      <w:pPr>
        <w:kinsoku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9.4补充：乙方必须缴纳安全风险抵押金</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lang w:eastAsia="zh-CN"/>
        </w:rPr>
        <w:t>万元。</w:t>
      </w:r>
    </w:p>
    <w:p w14:paraId="3D6E3030">
      <w:pPr>
        <w:kinsoku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9.12</w:t>
      </w:r>
      <w:r>
        <w:rPr>
          <w:rFonts w:hint="eastAsia" w:asciiTheme="minorEastAsia" w:hAnsiTheme="minorEastAsia" w:eastAsiaTheme="minorEastAsia" w:cstheme="minorEastAsia"/>
          <w:b/>
          <w:sz w:val="21"/>
          <w:szCs w:val="21"/>
          <w:lang w:eastAsia="zh-CN"/>
        </w:rPr>
        <w:t>劳动防护用品（包括“三宝一器”：安全帽、安全带、安全网、漏电保护器）的购买、验收、发放、使用、更换和报废统一由</w:t>
      </w:r>
      <w:r>
        <w:rPr>
          <w:rFonts w:hint="eastAsia" w:asciiTheme="minorEastAsia" w:hAnsiTheme="minorEastAsia" w:eastAsiaTheme="minorEastAsia" w:cstheme="minorEastAsia"/>
          <w:b/>
          <w:sz w:val="21"/>
          <w:szCs w:val="21"/>
          <w:u w:val="single"/>
          <w:lang w:eastAsia="zh-CN"/>
        </w:rPr>
        <w:t>甲方</w:t>
      </w:r>
      <w:r>
        <w:rPr>
          <w:rFonts w:hint="eastAsia" w:asciiTheme="minorEastAsia" w:hAnsiTheme="minorEastAsia" w:eastAsiaTheme="minorEastAsia" w:cstheme="minorEastAsia"/>
          <w:b/>
          <w:sz w:val="21"/>
          <w:szCs w:val="21"/>
          <w:lang w:eastAsia="zh-CN"/>
        </w:rPr>
        <w:t>负责。费用由乙方承担，从本分包工程的结算中扣除，</w:t>
      </w:r>
      <w:r>
        <w:rPr>
          <w:rFonts w:hint="eastAsia" w:asciiTheme="minorEastAsia" w:hAnsiTheme="minorEastAsia" w:eastAsiaTheme="minorEastAsia" w:cstheme="minorEastAsia"/>
          <w:b/>
          <w:bCs/>
          <w:sz w:val="21"/>
          <w:szCs w:val="21"/>
          <w:lang w:eastAsia="zh-CN"/>
        </w:rPr>
        <w:t>甲方代付代扣</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（各项目可根据不同情况需要进行调整，若由乙方负责购买则删除“</w:t>
      </w:r>
      <w:r>
        <w:rPr>
          <w:rFonts w:hint="eastAsia" w:asciiTheme="minorEastAsia" w:hAnsiTheme="minorEastAsia" w:eastAsiaTheme="minorEastAsia" w:cstheme="minorEastAsia"/>
          <w:b/>
          <w:color w:val="FFC000" w:themeColor="accent4"/>
          <w:sz w:val="21"/>
          <w:szCs w:val="21"/>
          <w:lang w:eastAsia="zh-CN"/>
          <w14:textFill>
            <w14:solidFill>
              <w14:schemeClr w14:val="accent4"/>
            </w14:solidFill>
          </w14:textFill>
        </w:rPr>
        <w:t>从本分包工程的结算中扣除，</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甲方代付代扣”，同时注意与安全管理协议约定保持一致）</w:t>
      </w:r>
      <w:r>
        <w:rPr>
          <w:rFonts w:hint="eastAsia" w:asciiTheme="minorEastAsia" w:hAnsiTheme="minorEastAsia" w:eastAsiaTheme="minorEastAsia" w:cstheme="minorEastAsia"/>
          <w:b/>
          <w:bCs/>
          <w:sz w:val="21"/>
          <w:szCs w:val="21"/>
          <w:lang w:eastAsia="zh-CN"/>
        </w:rPr>
        <w:t>。</w:t>
      </w:r>
    </w:p>
    <w:p w14:paraId="5831D69E">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41D0A87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9.13 乙方安全生产费用投入必须达到项目所在地、业主及甲方要求，并提供相应的发票，若安全生产费用投入未达到要求的投入金额，甲方有权在工程款支付时扣除不足部分的安全生产费用；</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（具体要求在此专用条款中详细约定）</w:t>
      </w:r>
    </w:p>
    <w:p w14:paraId="7CDBD2F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9.14乙方须采取有效措施，防止机械噪声超标或机械漏油污染环境，对于不符合要求的机械应及时采取必要的措施；</w:t>
      </w:r>
    </w:p>
    <w:p w14:paraId="3D6E3031">
      <w:pPr>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01" w:name="_Toc101963518"/>
      <w:bookmarkStart w:id="802" w:name="_Toc101357464"/>
      <w:bookmarkStart w:id="803" w:name="_Toc175772258"/>
      <w:bookmarkStart w:id="804" w:name="_Toc17137"/>
      <w:bookmarkStart w:id="805" w:name="_Toc29188"/>
      <w:bookmarkStart w:id="806" w:name="_Toc14336"/>
      <w:bookmarkStart w:id="807" w:name="_Toc26103"/>
      <w:bookmarkStart w:id="808" w:name="_Toc4937"/>
      <w:bookmarkStart w:id="809" w:name="_Toc370"/>
      <w:bookmarkStart w:id="810" w:name="_Toc24192"/>
      <w:bookmarkStart w:id="811" w:name="_Toc783"/>
      <w:bookmarkStart w:id="812" w:name="_Toc28958"/>
      <w:bookmarkStart w:id="813" w:name="_Toc10348"/>
      <w:bookmarkStart w:id="814" w:name="_Toc496"/>
      <w:bookmarkStart w:id="815" w:name="_Toc28699"/>
      <w:bookmarkStart w:id="816" w:name="_Toc21644"/>
      <w:bookmarkStart w:id="817" w:name="_Toc3250"/>
      <w:bookmarkStart w:id="818" w:name="_Toc2531"/>
      <w:bookmarkStart w:id="819" w:name="_Toc21567"/>
      <w:bookmarkStart w:id="820" w:name="_Toc25432"/>
      <w:bookmarkStart w:id="821" w:name="_Toc22179"/>
      <w:r>
        <w:rPr>
          <w:rFonts w:hint="eastAsia" w:asciiTheme="minorEastAsia" w:hAnsiTheme="minorEastAsia" w:eastAsiaTheme="minorEastAsia" w:cstheme="minorEastAsia"/>
          <w:b/>
          <w:sz w:val="21"/>
          <w:szCs w:val="21"/>
          <w:lang w:eastAsia="zh-CN"/>
        </w:rPr>
        <w:t>绿色施工、环境保护与职业健康管理</w:t>
      </w:r>
      <w:bookmarkEnd w:id="801"/>
      <w:bookmarkEnd w:id="802"/>
      <w:bookmarkEnd w:id="803"/>
      <w:bookmarkStart w:id="822" w:name="_Toc101357465"/>
    </w:p>
    <w:p w14:paraId="3D6E3032">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bookmarkEnd w:id="822"/>
    </w:p>
    <w:p w14:paraId="2EAD2CD1">
      <w:pPr>
        <w:pStyle w:val="2"/>
        <w:rPr>
          <w:rFonts w:hint="eastAsia"/>
          <w:lang w:eastAsia="zh-CN"/>
        </w:rPr>
      </w:pPr>
      <w:r>
        <w:rPr>
          <w:rFonts w:hint="eastAsia"/>
          <w:lang w:eastAsia="zh-CN"/>
        </w:rPr>
        <w:t>10.7补充：从事接触职业病危害作业的分包方作业人员，进场前要求提供职业健康体检报告，无体检报告或与作业存在职业禁忌的不得从事相关作业。提供虚假报告的由责任单位承担法律责任。</w:t>
      </w:r>
    </w:p>
    <w:p w14:paraId="3D6E3033">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23" w:name="_Toc175772259"/>
      <w:bookmarkStart w:id="824" w:name="_Toc101357466"/>
      <w:bookmarkStart w:id="825" w:name="_Toc101963519"/>
      <w:r>
        <w:rPr>
          <w:rFonts w:hint="eastAsia" w:asciiTheme="minorEastAsia" w:hAnsiTheme="minorEastAsia" w:eastAsiaTheme="minorEastAsia" w:cstheme="minorEastAsia"/>
          <w:b/>
          <w:sz w:val="21"/>
          <w:szCs w:val="21"/>
          <w:lang w:eastAsia="zh-CN"/>
        </w:rPr>
        <w:t>工期</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p>
    <w:p w14:paraId="3D6E3034">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3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bookmarkStart w:id="826" w:name="_Toc2649"/>
      <w:r>
        <w:rPr>
          <w:rFonts w:hint="eastAsia" w:asciiTheme="minorEastAsia" w:hAnsiTheme="minorEastAsia" w:eastAsiaTheme="minorEastAsia" w:cstheme="minorEastAsia"/>
          <w:sz w:val="21"/>
          <w:szCs w:val="21"/>
          <w:lang w:eastAsia="zh-CN"/>
        </w:rPr>
        <w:t>11.6主要节点工期目标：</w:t>
      </w:r>
      <w:bookmarkEnd w:id="826"/>
    </w:p>
    <w:tbl>
      <w:tblPr>
        <w:tblStyle w:val="14"/>
        <w:tblW w:w="9105"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647"/>
        <w:gridCol w:w="2647"/>
        <w:gridCol w:w="2647"/>
      </w:tblGrid>
      <w:tr w14:paraId="3D6E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36">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46" w:type="dxa"/>
            <w:tcBorders>
              <w:top w:val="single" w:color="auto" w:sz="4" w:space="0"/>
              <w:left w:val="single" w:color="auto" w:sz="4" w:space="0"/>
              <w:bottom w:val="single" w:color="auto" w:sz="4" w:space="0"/>
              <w:right w:val="single" w:color="auto" w:sz="4" w:space="0"/>
            </w:tcBorders>
            <w:vAlign w:val="center"/>
          </w:tcPr>
          <w:p w14:paraId="3D6E3037">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工程节点</w:t>
            </w:r>
          </w:p>
        </w:tc>
        <w:tc>
          <w:tcPr>
            <w:tcW w:w="2646" w:type="dxa"/>
            <w:tcBorders>
              <w:top w:val="single" w:color="auto" w:sz="4" w:space="0"/>
              <w:left w:val="single" w:color="auto" w:sz="4" w:space="0"/>
              <w:bottom w:val="single" w:color="auto" w:sz="4" w:space="0"/>
              <w:right w:val="single" w:color="auto" w:sz="4" w:space="0"/>
            </w:tcBorders>
            <w:vAlign w:val="center"/>
          </w:tcPr>
          <w:p w14:paraId="3D6E3038">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工期节点目标</w:t>
            </w:r>
          </w:p>
        </w:tc>
        <w:tc>
          <w:tcPr>
            <w:tcW w:w="2646" w:type="dxa"/>
            <w:tcBorders>
              <w:top w:val="single" w:color="auto" w:sz="4" w:space="0"/>
              <w:left w:val="single" w:color="auto" w:sz="4" w:space="0"/>
              <w:bottom w:val="single" w:color="auto" w:sz="4" w:space="0"/>
              <w:right w:val="single" w:color="auto" w:sz="4" w:space="0"/>
            </w:tcBorders>
            <w:vAlign w:val="center"/>
          </w:tcPr>
          <w:p w14:paraId="3D6E3039">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3D6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3B">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46" w:type="dxa"/>
            <w:tcBorders>
              <w:top w:val="single" w:color="auto" w:sz="4" w:space="0"/>
              <w:left w:val="single" w:color="auto" w:sz="4" w:space="0"/>
              <w:bottom w:val="single" w:color="auto" w:sz="4" w:space="0"/>
              <w:right w:val="single" w:color="auto" w:sz="4" w:space="0"/>
            </w:tcBorders>
            <w:vAlign w:val="center"/>
          </w:tcPr>
          <w:p w14:paraId="3D6E303C">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3D">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3E">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0">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646" w:type="dxa"/>
            <w:tcBorders>
              <w:top w:val="single" w:color="auto" w:sz="4" w:space="0"/>
              <w:left w:val="single" w:color="auto" w:sz="4" w:space="0"/>
              <w:bottom w:val="single" w:color="auto" w:sz="4" w:space="0"/>
              <w:right w:val="single" w:color="auto" w:sz="4" w:space="0"/>
            </w:tcBorders>
            <w:vAlign w:val="center"/>
          </w:tcPr>
          <w:p w14:paraId="3D6E3041">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2">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3">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5">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646" w:type="dxa"/>
            <w:tcBorders>
              <w:top w:val="single" w:color="auto" w:sz="4" w:space="0"/>
              <w:left w:val="single" w:color="auto" w:sz="4" w:space="0"/>
              <w:bottom w:val="single" w:color="auto" w:sz="4" w:space="0"/>
              <w:right w:val="single" w:color="auto" w:sz="4" w:space="0"/>
            </w:tcBorders>
            <w:vAlign w:val="center"/>
          </w:tcPr>
          <w:p w14:paraId="3D6E3046">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7">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8">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A">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646" w:type="dxa"/>
            <w:tcBorders>
              <w:top w:val="single" w:color="auto" w:sz="4" w:space="0"/>
              <w:left w:val="single" w:color="auto" w:sz="4" w:space="0"/>
              <w:bottom w:val="single" w:color="auto" w:sz="4" w:space="0"/>
              <w:right w:val="single" w:color="auto" w:sz="4" w:space="0"/>
            </w:tcBorders>
            <w:vAlign w:val="center"/>
          </w:tcPr>
          <w:p w14:paraId="3D6E304B">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C">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4D">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r w14:paraId="3D6E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tcBorders>
              <w:top w:val="single" w:color="auto" w:sz="4" w:space="0"/>
              <w:left w:val="single" w:color="auto" w:sz="4" w:space="0"/>
              <w:bottom w:val="single" w:color="auto" w:sz="4" w:space="0"/>
              <w:right w:val="single" w:color="auto" w:sz="4" w:space="0"/>
            </w:tcBorders>
            <w:vAlign w:val="center"/>
          </w:tcPr>
          <w:p w14:paraId="3D6E304F">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646" w:type="dxa"/>
            <w:tcBorders>
              <w:top w:val="single" w:color="auto" w:sz="4" w:space="0"/>
              <w:left w:val="single" w:color="auto" w:sz="4" w:space="0"/>
              <w:bottom w:val="single" w:color="auto" w:sz="4" w:space="0"/>
              <w:right w:val="single" w:color="auto" w:sz="4" w:space="0"/>
            </w:tcBorders>
            <w:vAlign w:val="center"/>
          </w:tcPr>
          <w:p w14:paraId="3D6E3050">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51">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c>
          <w:tcPr>
            <w:tcW w:w="2646" w:type="dxa"/>
            <w:tcBorders>
              <w:top w:val="single" w:color="auto" w:sz="4" w:space="0"/>
              <w:left w:val="single" w:color="auto" w:sz="4" w:space="0"/>
              <w:bottom w:val="single" w:color="auto" w:sz="4" w:space="0"/>
              <w:right w:val="single" w:color="auto" w:sz="4" w:space="0"/>
            </w:tcBorders>
            <w:vAlign w:val="center"/>
          </w:tcPr>
          <w:p w14:paraId="3D6E3052">
            <w:pPr>
              <w:kinsoku w:val="0"/>
              <w:spacing w:after="0"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0"/>
                <w:sz w:val="21"/>
                <w:szCs w:val="21"/>
                <w:u w:val="single"/>
                <w:lang w:eastAsia="zh-CN"/>
              </w:rPr>
              <w:t>**</w:t>
            </w:r>
          </w:p>
        </w:tc>
      </w:tr>
    </w:tbl>
    <w:p w14:paraId="3D6E3054">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27" w:name="_Toc175772260"/>
      <w:bookmarkStart w:id="828" w:name="_Toc101963520"/>
      <w:bookmarkStart w:id="829" w:name="_Toc101357467"/>
      <w:bookmarkStart w:id="830" w:name="_Toc9892"/>
      <w:bookmarkStart w:id="831" w:name="_Toc14156"/>
      <w:bookmarkStart w:id="832" w:name="_Toc16161"/>
      <w:bookmarkStart w:id="833" w:name="_Toc416"/>
      <w:bookmarkStart w:id="834" w:name="_Toc4510"/>
      <w:bookmarkStart w:id="835" w:name="_Toc13529"/>
      <w:bookmarkStart w:id="836" w:name="_Toc12264"/>
      <w:bookmarkStart w:id="837" w:name="_Toc15784"/>
      <w:bookmarkStart w:id="838" w:name="_Toc6778"/>
      <w:bookmarkStart w:id="839" w:name="_Toc31747"/>
      <w:bookmarkStart w:id="840" w:name="_Toc2116"/>
      <w:bookmarkStart w:id="841" w:name="_Toc23709"/>
      <w:bookmarkStart w:id="842" w:name="_Toc9732"/>
      <w:bookmarkStart w:id="843" w:name="_Toc15643"/>
      <w:bookmarkStart w:id="844" w:name="_Toc20371"/>
      <w:bookmarkStart w:id="845" w:name="_Toc17691"/>
      <w:bookmarkStart w:id="846" w:name="_Toc19739"/>
      <w:bookmarkStart w:id="847" w:name="_Toc15033"/>
      <w:r>
        <w:rPr>
          <w:rFonts w:hint="eastAsia" w:asciiTheme="minorEastAsia" w:hAnsiTheme="minorEastAsia" w:eastAsiaTheme="minorEastAsia" w:cstheme="minorEastAsia"/>
          <w:b/>
          <w:sz w:val="21"/>
          <w:szCs w:val="21"/>
          <w:lang w:eastAsia="zh-CN"/>
        </w:rPr>
        <w:t>试验和检验</w:t>
      </w:r>
      <w:bookmarkEnd w:id="827"/>
      <w:bookmarkEnd w:id="828"/>
      <w:bookmarkEnd w:id="829"/>
    </w:p>
    <w:p w14:paraId="3D6E305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848" w:name="_Toc101357468"/>
      <w:r>
        <w:rPr>
          <w:rFonts w:hint="eastAsia" w:asciiTheme="minorEastAsia" w:hAnsiTheme="minorEastAsia" w:eastAsiaTheme="minorEastAsia" w:cstheme="minorEastAsia"/>
          <w:sz w:val="21"/>
          <w:szCs w:val="21"/>
          <w:lang w:eastAsia="zh-CN"/>
        </w:rPr>
        <w:t>见通用合同条款。</w:t>
      </w:r>
      <w:bookmarkEnd w:id="848"/>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3056">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49" w:name="_Toc101963521"/>
      <w:bookmarkStart w:id="850" w:name="_Toc101357469"/>
      <w:bookmarkStart w:id="851" w:name="_Toc175772261"/>
      <w:r>
        <w:rPr>
          <w:rFonts w:hint="eastAsia" w:asciiTheme="minorEastAsia" w:hAnsiTheme="minorEastAsia" w:eastAsiaTheme="minorEastAsia" w:cstheme="minorEastAsia"/>
          <w:b/>
          <w:sz w:val="21"/>
          <w:szCs w:val="21"/>
        </w:rPr>
        <w:t>合同价款与计量方式</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9"/>
      <w:bookmarkEnd w:id="850"/>
      <w:bookmarkEnd w:id="851"/>
    </w:p>
    <w:p w14:paraId="3D6E3057">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bookmarkStart w:id="852" w:name="_Toc21889"/>
      <w:bookmarkStart w:id="853" w:name="_Toc10465"/>
      <w:bookmarkStart w:id="854" w:name="_Toc15999"/>
      <w:bookmarkStart w:id="855" w:name="_Toc18090"/>
      <w:bookmarkStart w:id="856" w:name="_Toc3339"/>
      <w:bookmarkStart w:id="857" w:name="_Toc29038"/>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5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13.2本分包合同价格采用</w:t>
      </w:r>
      <w:r>
        <w:rPr>
          <w:rFonts w:hint="eastAsia" w:asciiTheme="minorEastAsia" w:hAnsiTheme="minorEastAsia" w:eastAsiaTheme="minorEastAsia" w:cstheme="minorEastAsia"/>
          <w:sz w:val="21"/>
          <w:szCs w:val="21"/>
          <w:u w:val="single"/>
          <w:lang w:eastAsia="zh-CN"/>
        </w:rPr>
        <w:t xml:space="preserve"> 固定综合单价/ 固定总价 / 其他价格 </w:t>
      </w:r>
      <w:r>
        <w:rPr>
          <w:rFonts w:hint="eastAsia" w:asciiTheme="minorEastAsia" w:hAnsiTheme="minorEastAsia" w:eastAsiaTheme="minorEastAsia" w:cstheme="minorEastAsia"/>
          <w:kern w:val="2"/>
          <w:sz w:val="21"/>
          <w:szCs w:val="21"/>
          <w:u w:val="single"/>
          <w:lang w:eastAsia="zh-CN" w:bidi="ar-SA"/>
        </w:rPr>
        <w:t>形式</w:t>
      </w:r>
      <w:r>
        <w:rPr>
          <w:rFonts w:hint="eastAsia" w:asciiTheme="minorEastAsia" w:hAnsiTheme="minorEastAsia" w:eastAsiaTheme="minorEastAsia" w:cstheme="minorEastAsia"/>
          <w:sz w:val="21"/>
          <w:szCs w:val="21"/>
          <w:lang w:eastAsia="zh-CN"/>
        </w:rPr>
        <w:t>。</w:t>
      </w:r>
    </w:p>
    <w:p w14:paraId="3D6E3059">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13.2.3 其他价格形式：</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（根据实际情况修改，若不符合则删除）</w:t>
      </w:r>
      <w:r>
        <w:rPr>
          <w:rFonts w:hint="eastAsia" w:asciiTheme="minorEastAsia" w:hAnsiTheme="minorEastAsia" w:eastAsiaTheme="minorEastAsia" w:cstheme="minorEastAsia"/>
          <w:sz w:val="21"/>
          <w:szCs w:val="21"/>
          <w:u w:val="single"/>
          <w:lang w:eastAsia="zh-CN"/>
        </w:rPr>
        <w:t xml:space="preserve"> 固定下浮率 </w:t>
      </w:r>
      <w:r>
        <w:rPr>
          <w:rFonts w:hint="eastAsia" w:asciiTheme="minorEastAsia" w:hAnsiTheme="minorEastAsia" w:eastAsiaTheme="minorEastAsia" w:cstheme="minorEastAsia"/>
          <w:sz w:val="21"/>
          <w:szCs w:val="21"/>
          <w:lang w:eastAsia="zh-CN"/>
        </w:rPr>
        <w:t>，在经最终审计后的甲方收入（</w:t>
      </w:r>
      <w:r>
        <w:rPr>
          <w:rFonts w:hint="eastAsia" w:asciiTheme="minorEastAsia" w:hAnsiTheme="minorEastAsia" w:eastAsiaTheme="minorEastAsia" w:cstheme="minorEastAsia"/>
          <w:sz w:val="21"/>
          <w:szCs w:val="21"/>
          <w:u w:val="single"/>
          <w:lang w:eastAsia="zh-CN"/>
        </w:rPr>
        <w:t xml:space="preserve"> 不含措施费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 xml:space="preserve"> 须明确是否包含措施费、管理费等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r>
        <w:rPr>
          <w:rFonts w:hint="eastAsia" w:asciiTheme="minorEastAsia" w:hAnsiTheme="minorEastAsia" w:eastAsiaTheme="minorEastAsia" w:cstheme="minorEastAsia"/>
          <w:sz w:val="21"/>
          <w:szCs w:val="21"/>
          <w:lang w:eastAsia="zh-CN"/>
        </w:rPr>
        <w:t>基础上，下浮</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sz w:val="21"/>
          <w:szCs w:val="21"/>
          <w:lang w:eastAsia="zh-CN"/>
        </w:rPr>
        <w:t>%后为本分包工程价格，分包价格=经最终审计后的甲方收入（</w:t>
      </w:r>
      <w:r>
        <w:rPr>
          <w:rFonts w:hint="eastAsia" w:asciiTheme="minorEastAsia" w:hAnsiTheme="minorEastAsia" w:eastAsiaTheme="minorEastAsia" w:cstheme="minorEastAsia"/>
          <w:sz w:val="21"/>
          <w:szCs w:val="21"/>
          <w:u w:val="single"/>
          <w:lang w:eastAsia="zh-CN"/>
        </w:rPr>
        <w:t xml:space="preserve"> 不含措施费 </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sz w:val="21"/>
          <w:szCs w:val="21"/>
          <w:lang w:eastAsia="zh-CN"/>
        </w:rPr>
        <w:t>%）。合同价款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等）、工程设计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配合乙方或甲方另行分包的项目所需的配合服务费及配合照管费、疫情常态化防控发生的各种防疫费用、为完成本合同承包范围由甲方安排的其它工作等。合同价格包括的风险范围</w:t>
      </w:r>
      <w:r>
        <w:rPr>
          <w:rFonts w:hint="eastAsia" w:asciiTheme="minorEastAsia" w:hAnsiTheme="minorEastAsia" w:eastAsiaTheme="minorEastAsia" w:cstheme="minorEastAsia"/>
          <w:b/>
          <w:bCs/>
          <w:color w:val="FFC000" w:themeColor="accent4"/>
          <w:sz w:val="21"/>
          <w:szCs w:val="21"/>
          <w:u w:val="single"/>
          <w:lang w:eastAsia="zh-CN"/>
          <w14:textFill>
            <w14:solidFill>
              <w14:schemeClr w14:val="accent4"/>
            </w14:solidFill>
          </w14:textFill>
        </w:rPr>
        <w:t>（备注：在以下固定风险范围的基础上按照总承包合同约定的风险范围增加，</w:t>
      </w:r>
      <w:r>
        <w:rPr>
          <w:rFonts w:hint="eastAsia" w:asciiTheme="minorEastAsia" w:hAnsiTheme="minorEastAsia" w:eastAsiaTheme="minorEastAsia" w:cstheme="minorEastAsia"/>
          <w:b/>
          <w:color w:val="FFC000" w:themeColor="accent4"/>
          <w:sz w:val="21"/>
          <w:szCs w:val="21"/>
          <w:u w:val="single"/>
          <w:lang w:eastAsia="zh-CN"/>
          <w14:textFill>
            <w14:solidFill>
              <w14:schemeClr w14:val="accent4"/>
            </w14:solidFill>
          </w14:textFill>
        </w:rPr>
        <w:t>此条仅适用“其他价格形式，”采用固定单价或固定总价形式时删除，此条</w:t>
      </w:r>
      <w:r>
        <w:rPr>
          <w:rFonts w:hint="eastAsia" w:asciiTheme="minorEastAsia" w:hAnsiTheme="minorEastAsia" w:eastAsiaTheme="minorEastAsia" w:cstheme="minorEastAsia"/>
          <w:b/>
          <w:bCs/>
          <w:color w:val="FFC000" w:themeColor="accent4"/>
          <w:sz w:val="21"/>
          <w:szCs w:val="21"/>
          <w:u w:val="single"/>
          <w:lang w:eastAsia="zh-CN"/>
          <w14:textFill>
            <w14:solidFill>
              <w14:schemeClr w14:val="accent4"/>
            </w14:solidFill>
          </w14:textFill>
        </w:rPr>
        <w:t>编辑时删除此备注）</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5A">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（1）施工图纸、图集和相关规范所必须的全部施工内容。</w:t>
      </w:r>
    </w:p>
    <w:p w14:paraId="3D6E305B">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（2）当施工范围或施工图纸发生变化导致工程量增加15%以内或工程量减少的情况导致价格的变化。</w:t>
      </w:r>
    </w:p>
    <w:p w14:paraId="3D6E305C">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（3）合同清单中的计算、价格错误及组价的漏项。</w:t>
      </w:r>
    </w:p>
    <w:p w14:paraId="3D6E305D">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（4）材料价格及人工价格上涨或下落。</w:t>
      </w:r>
    </w:p>
    <w:p w14:paraId="3D6E305E">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（5）国家法律、法规、政策的变化。</w:t>
      </w:r>
    </w:p>
    <w:p w14:paraId="3D6E305F">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（6）工程造价管理部门公布的各种价格调整。</w:t>
      </w:r>
    </w:p>
    <w:p w14:paraId="3D6E3060">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（7）大面积与局部、小面积之间，普通部位与特殊部位之间的各种施工差异。</w:t>
      </w:r>
    </w:p>
    <w:p w14:paraId="3D6E306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（8）任何情况下，乙方在投标前已勘察现场及熟悉施工图纸等，实际施工时不能以对现场或图纸不熟，或者以清单未描述或内容描述不全面等为由要求调整合同计价原则。</w:t>
      </w:r>
    </w:p>
    <w:p w14:paraId="3D6E3062">
      <w:pPr>
        <w:kinsoku w:val="0"/>
        <w:spacing w:after="0" w:line="360" w:lineRule="auto"/>
        <w:ind w:firstLine="420" w:firstLineChars="200"/>
        <w:jc w:val="both"/>
        <w:rPr>
          <w:rFonts w:hint="eastAsia" w:asciiTheme="minorEastAsia" w:hAnsiTheme="minorEastAsia" w:eastAsiaTheme="minorEastAsia" w:cstheme="minorEastAsia"/>
          <w:b/>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13.2.4招标文件和本合同中的《工程量清单》所列项目单价/价款，仅作为过程结算使用，最终结算按照专用合同条款17条执行。</w:t>
      </w:r>
      <w:r>
        <w:rPr>
          <w:rFonts w:hint="eastAsia" w:asciiTheme="minorEastAsia" w:hAnsiTheme="minorEastAsia" w:eastAsiaTheme="minorEastAsia" w:cstheme="minorEastAsia"/>
          <w:b/>
          <w:color w:val="FFC000" w:themeColor="accent4"/>
          <w:sz w:val="21"/>
          <w:szCs w:val="21"/>
          <w:u w:val="single"/>
          <w:lang w:eastAsia="zh-CN"/>
          <w14:textFill>
            <w14:solidFill>
              <w14:schemeClr w14:val="accent4"/>
            </w14:solidFill>
          </w14:textFill>
        </w:rPr>
        <w:t>（备注：此条仅适用固定下浮率价格形式，采用其他价格形式删除此条，编辑合同时删除此备注）</w:t>
      </w:r>
    </w:p>
    <w:p w14:paraId="3D6E3063">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13.5</w:t>
      </w:r>
      <w:r>
        <w:rPr>
          <w:rFonts w:hint="eastAsia" w:asciiTheme="minorEastAsia" w:hAnsiTheme="minorEastAsia" w:eastAsiaTheme="minorEastAsia" w:cstheme="minorEastAsia"/>
          <w:kern w:val="10"/>
          <w:sz w:val="21"/>
          <w:szCs w:val="21"/>
          <w:lang w:eastAsia="zh-CN"/>
        </w:rPr>
        <w:t>合同价款综合考虑的其他因素：</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根据项目实际情况填写或/（编号应对应通用条款）</w:t>
      </w:r>
    </w:p>
    <w:p w14:paraId="4C6C9C75">
      <w:pPr>
        <w:pStyle w:val="29"/>
        <w:widowControl w:val="0"/>
        <w:numPr>
          <w:ilvl w:val="0"/>
          <w:numId w:val="9"/>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机械进出场、场地平整、机械挖土方、转翻土方、汽车短驳、运输道板使用、卸点机械推土和抛堆土、测量、标高控制、施工工期内全程排水、降水、施工现场工完场清、道路清扫、扬尘洒水及车辆进出施工大门的清洗等费用；</w:t>
      </w:r>
    </w:p>
    <w:p w14:paraId="7DBB1A54">
      <w:pPr>
        <w:pStyle w:val="29"/>
        <w:widowControl w:val="0"/>
        <w:numPr>
          <w:ilvl w:val="0"/>
          <w:numId w:val="9"/>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甲供材的装卸、转运、保管费等已综合考虑在承包单价内，不再另行计取；</w:t>
      </w:r>
    </w:p>
    <w:p w14:paraId="0A13CE30">
      <w:pPr>
        <w:pStyle w:val="29"/>
        <w:widowControl w:val="0"/>
        <w:numPr>
          <w:ilvl w:val="0"/>
          <w:numId w:val="9"/>
        </w:numPr>
        <w:spacing w:after="0" w:line="360" w:lineRule="auto"/>
        <w:ind w:firstLine="420"/>
        <w:jc w:val="both"/>
        <w:rPr>
          <w:rFonts w:hint="eastAsia" w:ascii="宋体" w:hAnsi="宋体" w:cstheme="minorEastAsia"/>
          <w:color w:val="FF0000"/>
          <w:sz w:val="21"/>
          <w:szCs w:val="21"/>
          <w:lang w:eastAsia="zh-CN"/>
        </w:rPr>
      </w:pPr>
      <w:r>
        <w:rPr>
          <w:rFonts w:hint="eastAsia" w:ascii="宋体" w:hAnsi="宋体" w:cstheme="minorEastAsia"/>
          <w:color w:val="FF0000"/>
          <w:sz w:val="21"/>
          <w:szCs w:val="21"/>
          <w:lang w:eastAsia="zh-CN"/>
        </w:rPr>
        <w:t>缺陷责任期内的养护工作，缺陷责任期内苗木存活率未达100%的及时更换费用。</w:t>
      </w:r>
    </w:p>
    <w:p w14:paraId="3D6E306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13.9计量方式</w:t>
      </w:r>
    </w:p>
    <w:p w14:paraId="3D6E306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13.9.1本工程工程量以</w:t>
      </w:r>
      <w:r>
        <w:rPr>
          <w:rFonts w:hint="eastAsia" w:asciiTheme="minorEastAsia" w:hAnsiTheme="minorEastAsia" w:eastAsiaTheme="minorEastAsia" w:cstheme="minorEastAsia"/>
          <w:sz w:val="21"/>
          <w:szCs w:val="21"/>
          <w:u w:val="single"/>
          <w:lang w:eastAsia="zh-CN"/>
        </w:rPr>
        <w:t>设计院出具的施工蓝图/经设计院确认的深化图/经甲方审批后的方案</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（删除不适用内容）</w:t>
      </w:r>
      <w:r>
        <w:rPr>
          <w:rFonts w:hint="eastAsia" w:asciiTheme="minorEastAsia" w:hAnsiTheme="minorEastAsia" w:eastAsiaTheme="minorEastAsia" w:cstheme="minorEastAsia"/>
          <w:sz w:val="21"/>
          <w:szCs w:val="21"/>
          <w:lang w:eastAsia="zh-CN"/>
        </w:rPr>
        <w:t>作为计算依据，计量原则按照以下第</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sz w:val="21"/>
          <w:szCs w:val="21"/>
          <w:lang w:eastAsia="zh-CN"/>
        </w:rPr>
        <w:t>种方式执行，按照计算工程量与现场实际施工完成的合格工程量的较小值计算，并以经甲方最终确认的工程数量为准，但不得高于建设单位批复数量。</w:t>
      </w:r>
      <w:bookmarkEnd w:id="852"/>
      <w:bookmarkEnd w:id="853"/>
      <w:bookmarkEnd w:id="854"/>
      <w:bookmarkEnd w:id="855"/>
      <w:bookmarkEnd w:id="856"/>
      <w:bookmarkEnd w:id="857"/>
    </w:p>
    <w:p w14:paraId="3D6E3066">
      <w:pPr>
        <w:tabs>
          <w:tab w:val="left" w:pos="900"/>
        </w:tabs>
        <w:kinsoku w:val="0"/>
        <w:spacing w:after="0" w:line="360" w:lineRule="auto"/>
        <w:ind w:firstLine="630" w:firstLineChars="3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（1）</w:t>
      </w:r>
      <w:r>
        <w:rPr>
          <w:rFonts w:hint="eastAsia" w:asciiTheme="minorEastAsia" w:hAnsiTheme="minorEastAsia" w:eastAsiaTheme="minorEastAsia" w:cstheme="minorEastAsia"/>
          <w:sz w:val="21"/>
          <w:szCs w:val="21"/>
          <w:lang w:eastAsia="zh-CN"/>
        </w:rPr>
        <w:t>工程预算定额</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（备注：保留以下所需清单或自行补充，确保有效性）</w:t>
      </w:r>
    </w:p>
    <w:p w14:paraId="3D6E3067">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市建设工程预算定额</w:t>
      </w:r>
    </w:p>
    <w:p w14:paraId="3D6E3068">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《公路工程预算定额》（JTG/T 3832-2018）</w:t>
      </w:r>
    </w:p>
    <w:p w14:paraId="3D6E3069">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《铁路工程基本定额》（TZJ2000-2017）、《铁路工程预算定额》（TZJ2001-2017)至(TZJ2013-2017)、《铁路工程预算定额 第三册 隧道工程》（国铁科法［2020］26号）</w:t>
      </w:r>
    </w:p>
    <w:p w14:paraId="3D6E306A">
      <w:pPr>
        <w:pStyle w:val="6"/>
        <w:kinsoku w:val="0"/>
        <w:spacing w:after="0"/>
        <w:rPr>
          <w:rFonts w:hint="eastAsia"/>
        </w:rPr>
      </w:pPr>
      <w:r>
        <w:rPr>
          <w:rFonts w:hint="eastAsia"/>
        </w:rPr>
        <w:t>（2）工程量清单规范</w:t>
      </w:r>
      <w:r>
        <w:rPr>
          <w:rFonts w:hint="eastAsia"/>
          <w:color w:val="FFC000" w:themeColor="accent4"/>
          <w14:textFill>
            <w14:solidFill>
              <w14:schemeClr w14:val="accent4"/>
            </w14:solidFill>
          </w14:textFill>
        </w:rPr>
        <w:t>（备注：保留以下所需清单或自行补充，确保有效性）</w:t>
      </w:r>
    </w:p>
    <w:p w14:paraId="3D6E306B">
      <w:pPr>
        <w:kinsoku w:val="0"/>
        <w:spacing w:after="0" w:line="360" w:lineRule="auto"/>
        <w:ind w:left="440" w:firstLine="211" w:firstLineChars="100"/>
        <w:jc w:val="both"/>
        <w:rPr>
          <w:rFonts w:hint="eastAsia" w:asciiTheme="minorEastAsia" w:hAnsiTheme="minorEastAsia" w:eastAsiaTheme="minorEastAsia" w:cstheme="minorEastAsia"/>
          <w:b/>
          <w:bCs/>
          <w:sz w:val="21"/>
          <w:szCs w:val="21"/>
          <w:lang w:eastAsia="zh-CN"/>
        </w:rPr>
      </w:pPr>
      <w:bookmarkStart w:id="858" w:name="_Toc8780"/>
      <w:bookmarkStart w:id="859" w:name="_Toc17330"/>
      <w:bookmarkStart w:id="860" w:name="_Toc7339"/>
      <w:bookmarkStart w:id="861" w:name="_Toc30587"/>
      <w:bookmarkStart w:id="862" w:name="_Toc25397"/>
      <w:bookmarkStart w:id="863" w:name="_Toc17676"/>
      <w:bookmarkStart w:id="864" w:name="_Toc18054"/>
      <w:bookmarkStart w:id="865" w:name="_Toc3159"/>
      <w:r>
        <w:rPr>
          <w:rFonts w:hint="eastAsia" w:asciiTheme="minorEastAsia" w:hAnsiTheme="minorEastAsia" w:eastAsiaTheme="minorEastAsia" w:cstheme="minorEastAsia"/>
          <w:b/>
          <w:bCs/>
          <w:sz w:val="21"/>
          <w:szCs w:val="21"/>
          <w:lang w:eastAsia="zh-CN"/>
        </w:rPr>
        <w:t>《房屋建筑与装饰工程工程量计算规范》（GB50854-2013）</w:t>
      </w:r>
      <w:bookmarkEnd w:id="858"/>
      <w:bookmarkEnd w:id="859"/>
      <w:bookmarkEnd w:id="860"/>
      <w:bookmarkEnd w:id="861"/>
      <w:bookmarkEnd w:id="862"/>
      <w:bookmarkEnd w:id="863"/>
      <w:bookmarkEnd w:id="864"/>
      <w:bookmarkEnd w:id="865"/>
    </w:p>
    <w:p w14:paraId="3D6E306C">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66" w:name="_Toc692"/>
      <w:bookmarkStart w:id="867" w:name="_Toc31630"/>
      <w:bookmarkStart w:id="868" w:name="_Toc30659"/>
      <w:bookmarkStart w:id="869" w:name="_Toc19176"/>
      <w:bookmarkStart w:id="870" w:name="_Toc17250"/>
      <w:bookmarkStart w:id="871" w:name="_Toc15661"/>
      <w:bookmarkStart w:id="872" w:name="_Toc19778"/>
      <w:bookmarkStart w:id="873" w:name="_Toc15890"/>
      <w:r>
        <w:rPr>
          <w:rFonts w:hint="eastAsia" w:asciiTheme="minorEastAsia" w:hAnsiTheme="minorEastAsia" w:eastAsiaTheme="minorEastAsia" w:cstheme="minorEastAsia"/>
          <w:sz w:val="21"/>
          <w:szCs w:val="21"/>
          <w:lang w:eastAsia="zh-CN"/>
        </w:rPr>
        <w:t>《仿古建筑工程工程量计算规范》（GB50855—2013）</w:t>
      </w:r>
      <w:bookmarkEnd w:id="866"/>
      <w:bookmarkEnd w:id="867"/>
      <w:bookmarkEnd w:id="868"/>
      <w:bookmarkEnd w:id="869"/>
      <w:bookmarkEnd w:id="870"/>
      <w:bookmarkEnd w:id="871"/>
      <w:bookmarkEnd w:id="872"/>
      <w:bookmarkEnd w:id="873"/>
    </w:p>
    <w:p w14:paraId="3D6E306D">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74" w:name="_Toc272"/>
      <w:bookmarkStart w:id="875" w:name="_Toc396"/>
      <w:bookmarkStart w:id="876" w:name="_Toc13292"/>
      <w:bookmarkStart w:id="877" w:name="_Toc24875"/>
      <w:bookmarkStart w:id="878" w:name="_Toc13796"/>
      <w:bookmarkStart w:id="879" w:name="_Toc12637"/>
      <w:bookmarkStart w:id="880" w:name="_Toc26082"/>
      <w:bookmarkStart w:id="881" w:name="_Toc24470"/>
      <w:r>
        <w:rPr>
          <w:rFonts w:hint="eastAsia" w:asciiTheme="minorEastAsia" w:hAnsiTheme="minorEastAsia" w:eastAsiaTheme="minorEastAsia" w:cstheme="minorEastAsia"/>
          <w:sz w:val="21"/>
          <w:szCs w:val="21"/>
          <w:lang w:eastAsia="zh-CN"/>
        </w:rPr>
        <w:t>《通用安装工程工程量计算规范》（GB50856—2013）</w:t>
      </w:r>
      <w:bookmarkEnd w:id="874"/>
      <w:bookmarkEnd w:id="875"/>
      <w:bookmarkEnd w:id="876"/>
      <w:bookmarkEnd w:id="877"/>
      <w:bookmarkEnd w:id="878"/>
      <w:bookmarkEnd w:id="879"/>
      <w:bookmarkEnd w:id="880"/>
      <w:bookmarkEnd w:id="881"/>
    </w:p>
    <w:p w14:paraId="3D6E306E">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82" w:name="_Toc30158"/>
      <w:bookmarkStart w:id="883" w:name="_Toc5721"/>
      <w:bookmarkStart w:id="884" w:name="_Toc26415"/>
      <w:bookmarkStart w:id="885" w:name="_Toc2929"/>
      <w:bookmarkStart w:id="886" w:name="_Toc27070"/>
      <w:bookmarkStart w:id="887" w:name="_Toc15330"/>
      <w:bookmarkStart w:id="888" w:name="_Toc18073"/>
      <w:bookmarkStart w:id="889" w:name="_Toc10115"/>
      <w:r>
        <w:rPr>
          <w:rFonts w:hint="eastAsia" w:asciiTheme="minorEastAsia" w:hAnsiTheme="minorEastAsia" w:eastAsiaTheme="minorEastAsia" w:cstheme="minorEastAsia"/>
          <w:sz w:val="21"/>
          <w:szCs w:val="21"/>
          <w:lang w:eastAsia="zh-CN"/>
        </w:rPr>
        <w:t>《市政工程工程量计算规范》（GB50857-2013）</w:t>
      </w:r>
      <w:bookmarkEnd w:id="882"/>
      <w:bookmarkEnd w:id="883"/>
      <w:bookmarkEnd w:id="884"/>
      <w:bookmarkEnd w:id="885"/>
      <w:bookmarkEnd w:id="886"/>
      <w:bookmarkEnd w:id="887"/>
      <w:bookmarkEnd w:id="888"/>
      <w:bookmarkEnd w:id="889"/>
    </w:p>
    <w:p w14:paraId="3D6E306F">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90" w:name="_Toc14252"/>
      <w:bookmarkStart w:id="891" w:name="_Toc156"/>
      <w:bookmarkStart w:id="892" w:name="_Toc495"/>
      <w:bookmarkStart w:id="893" w:name="_Toc6563"/>
      <w:bookmarkStart w:id="894" w:name="_Toc3432"/>
      <w:bookmarkStart w:id="895" w:name="_Toc962"/>
      <w:bookmarkStart w:id="896" w:name="_Toc8664"/>
      <w:bookmarkStart w:id="897" w:name="_Toc9689"/>
      <w:r>
        <w:rPr>
          <w:rFonts w:hint="eastAsia" w:asciiTheme="minorEastAsia" w:hAnsiTheme="minorEastAsia" w:eastAsiaTheme="minorEastAsia" w:cstheme="minorEastAsia"/>
          <w:sz w:val="21"/>
          <w:szCs w:val="21"/>
          <w:lang w:eastAsia="zh-CN"/>
        </w:rPr>
        <w:t>《园林绿化工程工程量计算规范》（GB50858—2013）</w:t>
      </w:r>
      <w:bookmarkEnd w:id="890"/>
      <w:bookmarkEnd w:id="891"/>
      <w:bookmarkEnd w:id="892"/>
      <w:bookmarkEnd w:id="893"/>
      <w:bookmarkEnd w:id="894"/>
      <w:bookmarkEnd w:id="895"/>
      <w:bookmarkEnd w:id="896"/>
      <w:bookmarkEnd w:id="897"/>
    </w:p>
    <w:p w14:paraId="3D6E3070">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898" w:name="_Toc1400"/>
      <w:bookmarkStart w:id="899" w:name="_Toc28158"/>
      <w:bookmarkStart w:id="900" w:name="_Toc21870"/>
      <w:bookmarkStart w:id="901" w:name="_Toc330"/>
      <w:bookmarkStart w:id="902" w:name="_Toc26788"/>
      <w:bookmarkStart w:id="903" w:name="_Toc30022"/>
      <w:bookmarkStart w:id="904" w:name="_Toc31279"/>
      <w:bookmarkStart w:id="905" w:name="_Toc20935"/>
      <w:r>
        <w:rPr>
          <w:rFonts w:hint="eastAsia" w:asciiTheme="minorEastAsia" w:hAnsiTheme="minorEastAsia" w:eastAsiaTheme="minorEastAsia" w:cstheme="minorEastAsia"/>
          <w:sz w:val="21"/>
          <w:szCs w:val="21"/>
          <w:lang w:eastAsia="zh-CN"/>
        </w:rPr>
        <w:t>《矿山工程工程量计算规范》（GB50859—2013）</w:t>
      </w:r>
      <w:bookmarkEnd w:id="898"/>
      <w:bookmarkEnd w:id="899"/>
      <w:bookmarkEnd w:id="900"/>
      <w:bookmarkEnd w:id="901"/>
      <w:bookmarkEnd w:id="902"/>
      <w:bookmarkEnd w:id="903"/>
      <w:bookmarkEnd w:id="904"/>
      <w:bookmarkEnd w:id="905"/>
    </w:p>
    <w:p w14:paraId="3D6E3071">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906" w:name="_Toc27193"/>
      <w:bookmarkStart w:id="907" w:name="_Toc10210"/>
      <w:bookmarkStart w:id="908" w:name="_Toc12567"/>
      <w:bookmarkStart w:id="909" w:name="_Toc8010"/>
      <w:bookmarkStart w:id="910" w:name="_Toc22917"/>
      <w:bookmarkStart w:id="911" w:name="_Toc18419"/>
      <w:bookmarkStart w:id="912" w:name="_Toc19432"/>
      <w:bookmarkStart w:id="913" w:name="_Toc2709"/>
      <w:r>
        <w:rPr>
          <w:rFonts w:hint="eastAsia" w:asciiTheme="minorEastAsia" w:hAnsiTheme="minorEastAsia" w:eastAsiaTheme="minorEastAsia" w:cstheme="minorEastAsia"/>
          <w:sz w:val="21"/>
          <w:szCs w:val="21"/>
          <w:lang w:eastAsia="zh-CN"/>
        </w:rPr>
        <w:t>《构筑物工程工程量计算规范》（GB50860—2013）</w:t>
      </w:r>
      <w:bookmarkEnd w:id="906"/>
      <w:bookmarkEnd w:id="907"/>
      <w:bookmarkEnd w:id="908"/>
      <w:bookmarkEnd w:id="909"/>
      <w:bookmarkEnd w:id="910"/>
      <w:bookmarkEnd w:id="911"/>
      <w:bookmarkEnd w:id="912"/>
      <w:bookmarkEnd w:id="913"/>
    </w:p>
    <w:p w14:paraId="3D6E3072">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914" w:name="_Toc8295"/>
      <w:bookmarkStart w:id="915" w:name="_Toc5041"/>
      <w:bookmarkStart w:id="916" w:name="_Toc15779"/>
      <w:bookmarkStart w:id="917" w:name="_Toc24276"/>
      <w:bookmarkStart w:id="918" w:name="_Toc31072"/>
      <w:bookmarkStart w:id="919" w:name="_Toc6767"/>
      <w:bookmarkStart w:id="920" w:name="_Toc27867"/>
      <w:bookmarkStart w:id="921" w:name="_Toc16063"/>
      <w:r>
        <w:rPr>
          <w:rFonts w:hint="eastAsia" w:asciiTheme="minorEastAsia" w:hAnsiTheme="minorEastAsia" w:eastAsiaTheme="minorEastAsia" w:cstheme="minorEastAsia"/>
          <w:sz w:val="21"/>
          <w:szCs w:val="21"/>
          <w:lang w:eastAsia="zh-CN"/>
        </w:rPr>
        <w:t>《城市轨道交通工程工程量计算规范》（GB50861—2013）</w:t>
      </w:r>
      <w:bookmarkEnd w:id="914"/>
      <w:bookmarkEnd w:id="915"/>
      <w:bookmarkEnd w:id="916"/>
      <w:bookmarkEnd w:id="917"/>
      <w:bookmarkEnd w:id="918"/>
      <w:bookmarkEnd w:id="919"/>
      <w:bookmarkEnd w:id="920"/>
      <w:bookmarkEnd w:id="921"/>
    </w:p>
    <w:p w14:paraId="3D6E3073">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bookmarkStart w:id="922" w:name="_Toc11967"/>
      <w:bookmarkStart w:id="923" w:name="_Toc29794"/>
      <w:bookmarkStart w:id="924" w:name="_Toc5158"/>
      <w:bookmarkStart w:id="925" w:name="_Toc17602"/>
      <w:bookmarkStart w:id="926" w:name="_Toc16247"/>
      <w:bookmarkStart w:id="927" w:name="_Toc23835"/>
      <w:bookmarkStart w:id="928" w:name="_Toc19205"/>
      <w:bookmarkStart w:id="929" w:name="_Toc30639"/>
      <w:r>
        <w:rPr>
          <w:rFonts w:hint="eastAsia" w:asciiTheme="minorEastAsia" w:hAnsiTheme="minorEastAsia" w:eastAsiaTheme="minorEastAsia" w:cstheme="minorEastAsia"/>
          <w:sz w:val="21"/>
          <w:szCs w:val="21"/>
          <w:lang w:eastAsia="zh-CN"/>
        </w:rPr>
        <w:t>《爆破工程工程量计算规范》（GB50862—2013）</w:t>
      </w:r>
      <w:bookmarkEnd w:id="922"/>
      <w:bookmarkEnd w:id="923"/>
      <w:bookmarkEnd w:id="924"/>
      <w:bookmarkEnd w:id="925"/>
      <w:bookmarkEnd w:id="926"/>
      <w:bookmarkEnd w:id="927"/>
      <w:bookmarkEnd w:id="928"/>
      <w:bookmarkEnd w:id="929"/>
    </w:p>
    <w:p w14:paraId="3D6E3074">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《公路工程标准施工招标文件》2018版</w:t>
      </w:r>
    </w:p>
    <w:p w14:paraId="3D6E3075">
      <w:pPr>
        <w:kinsoku w:val="0"/>
        <w:spacing w:after="0" w:line="360" w:lineRule="auto"/>
        <w:ind w:left="44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《铁路工程工程量清单规范》（TZJ1006-2020）</w:t>
      </w:r>
    </w:p>
    <w:p w14:paraId="3D6E3076">
      <w:pPr>
        <w:numPr>
          <w:ilvl w:val="0"/>
          <w:numId w:val="10"/>
        </w:numPr>
        <w:kinsoku w:val="0"/>
        <w:adjustRightInd w:val="0"/>
        <w:snapToGrid w:val="0"/>
        <w:spacing w:after="0" w:line="360" w:lineRule="auto"/>
        <w:ind w:firstLine="420" w:firstLineChars="200"/>
        <w:contextualSpacing/>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p>
    <w:p w14:paraId="3D6E3077">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B01D6B7">
      <w:pPr>
        <w:kinsoku w:val="0"/>
        <w:spacing w:after="0" w:line="360" w:lineRule="auto"/>
        <w:ind w:firstLine="420" w:firstLineChars="200"/>
        <w:jc w:val="both"/>
        <w:rPr>
          <w:rFonts w:hint="eastAsia" w:ascii="宋体" w:hAnsi="宋体" w:cstheme="minorEastAsia"/>
          <w:color w:val="FF0000"/>
          <w:sz w:val="21"/>
          <w:szCs w:val="21"/>
          <w:lang w:eastAsia="zh-CN"/>
        </w:rPr>
      </w:pPr>
      <w:r>
        <w:rPr>
          <w:rFonts w:hint="eastAsia" w:asciiTheme="minorEastAsia" w:hAnsiTheme="minorEastAsia" w:eastAsiaTheme="minorEastAsia" w:cstheme="minorEastAsia"/>
          <w:sz w:val="21"/>
          <w:szCs w:val="21"/>
          <w:lang w:eastAsia="zh-CN"/>
        </w:rPr>
        <w:t>13.9.4工程量计量应满足以下要求</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r>
        <w:rPr>
          <w:rFonts w:hint="eastAsia" w:asciiTheme="minorEastAsia" w:hAnsiTheme="minorEastAsia" w:eastAsiaTheme="minorEastAsia" w:cstheme="minorEastAsia"/>
          <w:sz w:val="21"/>
          <w:szCs w:val="21"/>
          <w:lang w:eastAsia="zh-CN"/>
        </w:rPr>
        <w:t>：</w:t>
      </w:r>
    </w:p>
    <w:p w14:paraId="3D6E3079">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30" w:name="_Toc6199"/>
      <w:bookmarkStart w:id="931" w:name="_Toc9193"/>
      <w:bookmarkStart w:id="932" w:name="_Toc3437"/>
      <w:bookmarkStart w:id="933" w:name="_Toc26062"/>
      <w:bookmarkStart w:id="934" w:name="_Toc11994"/>
      <w:bookmarkStart w:id="935" w:name="_Toc438"/>
      <w:bookmarkStart w:id="936" w:name="_Toc8900"/>
      <w:bookmarkStart w:id="937" w:name="_Toc28009"/>
      <w:bookmarkStart w:id="938" w:name="_Toc101963522"/>
      <w:bookmarkStart w:id="939" w:name="_Toc2347"/>
      <w:bookmarkStart w:id="940" w:name="_Toc31545"/>
      <w:bookmarkStart w:id="941" w:name="_Toc21360"/>
      <w:bookmarkStart w:id="942" w:name="_Toc2913"/>
      <w:bookmarkStart w:id="943" w:name="_Toc6228"/>
      <w:bookmarkStart w:id="944" w:name="_Toc6377"/>
      <w:bookmarkStart w:id="945" w:name="_Toc101357470"/>
      <w:bookmarkStart w:id="946" w:name="_Toc21879"/>
      <w:bookmarkStart w:id="947" w:name="_Toc19921"/>
      <w:bookmarkStart w:id="948" w:name="_Toc7533"/>
      <w:bookmarkStart w:id="949" w:name="_Toc15608"/>
      <w:bookmarkStart w:id="950" w:name="_Toc175772262"/>
      <w:r>
        <w:rPr>
          <w:rFonts w:hint="eastAsia" w:asciiTheme="minorEastAsia" w:hAnsiTheme="minorEastAsia" w:eastAsiaTheme="minorEastAsia" w:cstheme="minorEastAsia"/>
          <w:b/>
          <w:sz w:val="21"/>
          <w:szCs w:val="21"/>
        </w:rPr>
        <w:t>变更</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Pr>
          <w:rFonts w:hint="eastAsia" w:asciiTheme="minorEastAsia" w:hAnsiTheme="minorEastAsia" w:eastAsiaTheme="minorEastAsia" w:cstheme="minorEastAsia"/>
          <w:b/>
          <w:sz w:val="21"/>
          <w:szCs w:val="21"/>
          <w:lang w:eastAsia="zh-CN"/>
        </w:rPr>
        <w:t>签证</w:t>
      </w:r>
      <w:bookmarkEnd w:id="950"/>
    </w:p>
    <w:p w14:paraId="3D6E307A">
      <w:pPr>
        <w:kinsoku w:val="0"/>
        <w:spacing w:after="0" w:line="360" w:lineRule="auto"/>
        <w:ind w:firstLine="420" w:firstLineChars="200"/>
        <w:jc w:val="both"/>
        <w:rPr>
          <w:rFonts w:hint="eastAsia" w:ascii="宋体" w:hAnsi="宋体" w:cstheme="minorEastAsia"/>
          <w:sz w:val="21"/>
          <w:szCs w:val="21"/>
          <w:lang w:eastAsia="zh-CN"/>
        </w:rPr>
      </w:pPr>
      <w:bookmarkStart w:id="951" w:name="_Toc1218"/>
      <w:bookmarkStart w:id="952" w:name="_Toc10335"/>
      <w:bookmarkStart w:id="953" w:name="_Toc228"/>
      <w:bookmarkStart w:id="954" w:name="_Toc9374"/>
      <w:bookmarkStart w:id="955" w:name="_Toc5241"/>
      <w:bookmarkStart w:id="956" w:name="_Toc10576"/>
      <w:r>
        <w:rPr>
          <w:rFonts w:hint="eastAsia" w:ascii="宋体" w:hAnsi="宋体" w:cstheme="minorEastAsia"/>
          <w:sz w:val="21"/>
          <w:szCs w:val="21"/>
          <w:lang w:eastAsia="zh-CN"/>
        </w:rPr>
        <w:t>14.7.5增加：甲方授权本合同现场签证事项签署人员为：项目经理</w:t>
      </w:r>
      <w:r>
        <w:rPr>
          <w:rFonts w:hint="eastAsia" w:ascii="宋体" w:hAnsi="宋体" w:cstheme="minorEastAsia"/>
          <w:sz w:val="21"/>
          <w:szCs w:val="21"/>
          <w:u w:val="single"/>
          <w:lang w:eastAsia="zh-CN"/>
        </w:rPr>
        <w:t>XXX</w:t>
      </w:r>
      <w:r>
        <w:rPr>
          <w:rFonts w:hint="eastAsia" w:ascii="宋体" w:hAnsi="宋体" w:cstheme="minorEastAsia"/>
          <w:color w:val="FFC000"/>
          <w:sz w:val="21"/>
          <w:szCs w:val="21"/>
          <w:lang w:eastAsia="zh-CN"/>
        </w:rPr>
        <w:t>（人名）</w:t>
      </w:r>
      <w:r>
        <w:rPr>
          <w:rFonts w:hint="eastAsia" w:ascii="宋体" w:hAnsi="宋体" w:cstheme="minorEastAsia"/>
          <w:sz w:val="21"/>
          <w:szCs w:val="21"/>
          <w:lang w:eastAsia="zh-CN"/>
        </w:rPr>
        <w:t>及分管项目签证负责人</w:t>
      </w:r>
      <w:r>
        <w:rPr>
          <w:rFonts w:hint="eastAsia" w:ascii="宋体" w:hAnsi="宋体" w:cstheme="minorEastAsia"/>
          <w:sz w:val="21"/>
          <w:szCs w:val="21"/>
          <w:u w:val="single"/>
          <w:lang w:eastAsia="zh-CN"/>
        </w:rPr>
        <w:t>XXX</w:t>
      </w:r>
      <w:r>
        <w:rPr>
          <w:rFonts w:hint="eastAsia" w:ascii="宋体" w:hAnsi="宋体" w:cstheme="minorEastAsia"/>
          <w:color w:val="FFC000"/>
          <w:sz w:val="21"/>
          <w:szCs w:val="21"/>
          <w:lang w:eastAsia="zh-CN"/>
        </w:rPr>
        <w:t>（人名）</w:t>
      </w:r>
      <w:r>
        <w:rPr>
          <w:rFonts w:hint="eastAsia" w:ascii="宋体" w:hAnsi="宋体" w:cstheme="minorEastAsia"/>
          <w:sz w:val="21"/>
          <w:szCs w:val="21"/>
          <w:lang w:eastAsia="zh-CN"/>
        </w:rPr>
        <w:t>。单份单项额度2万元以下的现场签证签署至项目经理，单份单项额度2万元及以上的现场签证签署至分管项目签证负责人，非甲方授权人员签字确认的签证事项一律无效，不作为结算依据。在分包合同和工程量清单描述中已经明确约定由乙方负责的工作内容以及属分包合同价格包干工作内容，不能签证，即使签署了签证也为无效签证。</w:t>
      </w:r>
    </w:p>
    <w:p w14:paraId="3D6E307B">
      <w:pPr>
        <w:pStyle w:val="2"/>
        <w:spacing w:after="0" w:line="360" w:lineRule="auto"/>
        <w:ind w:firstLine="420"/>
        <w:jc w:val="both"/>
        <w:rPr>
          <w:rFonts w:hint="eastAsia" w:ascii="宋体" w:hAnsi="宋体"/>
          <w:sz w:val="21"/>
          <w:szCs w:val="21"/>
        </w:rPr>
      </w:pPr>
      <w:r>
        <w:rPr>
          <w:rFonts w:hint="eastAsia" w:ascii="宋体" w:hAnsi="宋体"/>
          <w:sz w:val="21"/>
          <w:szCs w:val="21"/>
        </w:rPr>
        <w:t>14.7.6增加：甲方对乙方结算及付款的依据仅限于甲方与乙方双方签订的分包合同、分包补充合同（协议）及甲方授权人在权限范围内签署的现场签证。除甲方评审通过并经甲乙双方签字盖章的变更、签证单外（格式见附件16），由甲方发出的、超出分包合同工程量清单承包范围外的指令，无论何种形式（包括但不仅限于往来函件、会议纪要、洽商变更、承诺书、备忘录等</w:t>
      </w:r>
      <w:r>
        <w:rPr>
          <w:rFonts w:ascii="宋体" w:hAnsi="宋体"/>
          <w:sz w:val="21"/>
          <w:szCs w:val="21"/>
        </w:rPr>
        <w:t>）</w:t>
      </w:r>
      <w:r>
        <w:rPr>
          <w:rFonts w:hint="eastAsia" w:ascii="宋体" w:hAnsi="宋体"/>
          <w:sz w:val="21"/>
          <w:szCs w:val="21"/>
        </w:rPr>
        <w:t>，仅作为签订分包合同、补充合同（协议）或现场签证的辅助性支撑资料，不能单独作为甲方对乙方结算及付款的依据。甲方项目部其他任何人员的任何形式的签字均不作为甲方结算及付款的依据。</w:t>
      </w:r>
    </w:p>
    <w:bookmarkEnd w:id="951"/>
    <w:bookmarkEnd w:id="952"/>
    <w:bookmarkEnd w:id="953"/>
    <w:bookmarkEnd w:id="954"/>
    <w:bookmarkEnd w:id="955"/>
    <w:bookmarkEnd w:id="956"/>
    <w:p w14:paraId="3D6E307C">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57" w:name="_Toc6875"/>
      <w:bookmarkStart w:id="958" w:name="_Toc3916"/>
      <w:bookmarkStart w:id="959" w:name="_Toc20034"/>
      <w:bookmarkStart w:id="960" w:name="_Toc22366"/>
      <w:bookmarkStart w:id="961" w:name="_Toc8618"/>
      <w:bookmarkStart w:id="962" w:name="_Toc14584"/>
      <w:bookmarkStart w:id="963" w:name="_Toc101963523"/>
      <w:bookmarkStart w:id="964" w:name="_Toc20022"/>
      <w:bookmarkStart w:id="965" w:name="_Toc2547"/>
      <w:bookmarkStart w:id="966" w:name="_Toc28309"/>
      <w:bookmarkStart w:id="967" w:name="_Toc175772263"/>
      <w:bookmarkStart w:id="968" w:name="_Toc101357473"/>
      <w:bookmarkStart w:id="969" w:name="_Toc8508"/>
      <w:bookmarkStart w:id="970" w:name="_Toc10569"/>
      <w:bookmarkStart w:id="971" w:name="_Toc4604"/>
      <w:bookmarkStart w:id="972" w:name="_Toc11817"/>
      <w:bookmarkStart w:id="973" w:name="_Toc15410"/>
      <w:bookmarkStart w:id="974" w:name="_Toc31952"/>
      <w:bookmarkStart w:id="975" w:name="_Toc9211"/>
      <w:bookmarkStart w:id="976" w:name="_Toc11499"/>
      <w:bookmarkStart w:id="977" w:name="_Toc28357"/>
      <w:bookmarkStart w:id="978" w:name="_Toc21029"/>
      <w:bookmarkStart w:id="979" w:name="_Toc7740"/>
      <w:bookmarkStart w:id="980" w:name="_Toc101357471"/>
      <w:bookmarkStart w:id="981" w:name="_Toc5210"/>
      <w:bookmarkStart w:id="982" w:name="_Toc27949"/>
      <w:bookmarkStart w:id="983" w:name="_Toc21651"/>
      <w:bookmarkStart w:id="984" w:name="_Toc8585"/>
      <w:bookmarkStart w:id="985" w:name="_Toc1067"/>
      <w:bookmarkStart w:id="986" w:name="_Toc17252"/>
      <w:bookmarkStart w:id="987" w:name="_Toc27680"/>
      <w:bookmarkStart w:id="988" w:name="_Toc31997"/>
      <w:bookmarkStart w:id="989" w:name="_Toc12415"/>
      <w:bookmarkStart w:id="990" w:name="_Toc27504"/>
      <w:bookmarkStart w:id="991" w:name="_Toc18734"/>
      <w:bookmarkStart w:id="992" w:name="_Toc1084"/>
      <w:bookmarkStart w:id="993" w:name="_Toc24145"/>
      <w:bookmarkStart w:id="994" w:name="_Toc5433"/>
      <w:bookmarkStart w:id="995" w:name="_Toc13268"/>
      <w:bookmarkStart w:id="996" w:name="_Toc11858"/>
      <w:r>
        <w:rPr>
          <w:rFonts w:hint="eastAsia" w:asciiTheme="minorEastAsia" w:hAnsiTheme="minorEastAsia" w:eastAsiaTheme="minorEastAsia" w:cstheme="minorEastAsia"/>
          <w:b/>
          <w:sz w:val="21"/>
          <w:szCs w:val="21"/>
        </w:rPr>
        <w:t>工程款支付</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3D6E307D">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7E">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15.1本工程</w:t>
      </w:r>
      <w:r>
        <w:rPr>
          <w:rFonts w:asciiTheme="minorEastAsia" w:hAnsiTheme="minorEastAsia" w:eastAsiaTheme="minorEastAsia" w:cstheme="minorEastAsia"/>
          <w:color w:val="FFC000" w:themeColor="accent4"/>
          <w:sz w:val="21"/>
          <w:szCs w:val="21"/>
          <w14:textFill>
            <w14:solidFill>
              <w14:schemeClr w14:val="accent4"/>
            </w14:solidFill>
          </w14:textFill>
        </w:rPr>
        <w:sym w:font="Wingdings 2" w:char="F052"/>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无工程预付款，</w:t>
      </w:r>
      <w:r>
        <w:rPr>
          <w:rFonts w:asciiTheme="minorEastAsia" w:hAnsiTheme="minorEastAsia" w:eastAsiaTheme="minorEastAsia" w:cstheme="minorEastAsia"/>
          <w:color w:val="FFC000" w:themeColor="accent4"/>
          <w:sz w:val="21"/>
          <w:szCs w:val="21"/>
          <w14:textFill>
            <w14:solidFill>
              <w14:schemeClr w14:val="accent4"/>
            </w14:solidFill>
          </w14:textFill>
        </w:rPr>
        <w:sym w:font="Wingdings 2" w:char="F0A3"/>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有工程预付款，工程预付款的支付时间、预付额度、工程预付款的抵扣起始时间和方式：</w:t>
      </w:r>
    </w:p>
    <w:p w14:paraId="3D6E307F">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（1）工程预付款的支付时间：</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0">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（2）工程预付款的额度：</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1">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（3）工程预付款的抵扣起始时间：</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2">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（4）工程预付款的抵扣方式：</w:t>
      </w:r>
      <w:r>
        <w:rPr>
          <w:rFonts w:hint="eastAsia" w:asciiTheme="minorEastAsia" w:hAnsiTheme="minorEastAsia" w:eastAsiaTheme="minorEastAsia" w:cstheme="minorEastAsia"/>
          <w:color w:val="FFC000" w:themeColor="accent4"/>
          <w:kern w:val="10"/>
          <w:sz w:val="21"/>
          <w:szCs w:val="21"/>
          <w:u w:val="single"/>
          <w:lang w:eastAsia="zh-CN"/>
          <w14:textFill>
            <w14:solidFill>
              <w14:schemeClr w14:val="accent4"/>
            </w14:solidFill>
          </w14:textFill>
        </w:rPr>
        <w:t xml:space="preserve">   ****   </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w:t>
      </w:r>
    </w:p>
    <w:p w14:paraId="3D6E3083">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（5）预付款保函：</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预付款支付前3日内，乙方将预付款保函按甲方的要求提供。</w:t>
      </w:r>
    </w:p>
    <w:p w14:paraId="3D6E3084">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15.2工程进度款的付款周期、程序、支付比例</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（注：在比例满足制度要求的基础上，其他付款节点和比例可根据项目实际情况修改，编制合同时删除此注）</w:t>
      </w:r>
      <w:r>
        <w:rPr>
          <w:rFonts w:hint="eastAsia" w:asciiTheme="minorEastAsia" w:hAnsiTheme="minorEastAsia" w:eastAsiaTheme="minorEastAsia" w:cstheme="minorEastAsia"/>
          <w:sz w:val="21"/>
          <w:szCs w:val="21"/>
          <w:lang w:eastAsia="zh-CN"/>
        </w:rPr>
        <w:t>：</w:t>
      </w:r>
    </w:p>
    <w:p w14:paraId="3D6E3085">
      <w:pPr>
        <w:tabs>
          <w:tab w:val="left" w:pos="992"/>
        </w:tabs>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以下约定的支付情况，是在乙方已向甲方提供了按结算金额开具的建筑业增值税专用发票并经甲方完成发票认证和相应金额的财务收据前提下执行。</w:t>
      </w:r>
    </w:p>
    <w:p w14:paraId="3D6E3086">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本工程按</w:t>
      </w:r>
      <w:r>
        <w:rPr>
          <w:rFonts w:hint="eastAsia" w:asciiTheme="minorEastAsia" w:hAnsiTheme="minorEastAsia" w:eastAsiaTheme="minorEastAsia" w:cstheme="minorEastAsia"/>
          <w:sz w:val="21"/>
          <w:szCs w:val="21"/>
          <w:u w:val="single"/>
          <w:lang w:eastAsia="zh-CN"/>
        </w:rPr>
        <w:t>月/季/节点</w:t>
      </w:r>
      <w:r>
        <w:rPr>
          <w:rFonts w:hint="eastAsia" w:asciiTheme="minorEastAsia" w:hAnsiTheme="minorEastAsia" w:eastAsiaTheme="minorEastAsia" w:cstheme="minorEastAsia"/>
          <w:sz w:val="21"/>
          <w:szCs w:val="21"/>
          <w:lang w:eastAsia="zh-CN"/>
        </w:rPr>
        <w:t>支付进度工程款，经甲方审核完成乙方报送过程结算书后1个月内，支付甲方审定的当期进度完成量的</w:t>
      </w:r>
      <w:r>
        <w:rPr>
          <w:rFonts w:hint="eastAsia" w:asciiTheme="minorEastAsia" w:hAnsiTheme="minorEastAsia" w:eastAsiaTheme="minorEastAsia" w:cstheme="minorEastAsia"/>
          <w:sz w:val="21"/>
          <w:szCs w:val="21"/>
          <w:u w:val="single"/>
          <w:lang w:eastAsia="zh-CN"/>
        </w:rPr>
        <w:t xml:space="preserve">70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w:t>
      </w:r>
      <w:r>
        <w:rPr>
          <w:rFonts w:hint="eastAsia" w:asciiTheme="minorEastAsia" w:hAnsiTheme="minorEastAsia" w:eastAsiaTheme="minorEastAsia" w:cstheme="minorEastAsia"/>
          <w:kern w:val="10"/>
          <w:sz w:val="21"/>
          <w:szCs w:val="21"/>
          <w:u w:val="single"/>
          <w:lang w:eastAsia="zh-CN"/>
        </w:rPr>
        <w:t>100</w:t>
      </w:r>
      <w:r>
        <w:rPr>
          <w:rFonts w:hint="eastAsia" w:asciiTheme="minorEastAsia" w:hAnsiTheme="minorEastAsia" w:eastAsiaTheme="minorEastAsia" w:cstheme="minorEastAsia"/>
          <w:kern w:val="10"/>
          <w:sz w:val="21"/>
          <w:szCs w:val="21"/>
          <w:lang w:eastAsia="zh-CN"/>
        </w:rPr>
        <w:t>%。</w:t>
      </w:r>
    </w:p>
    <w:p w14:paraId="3D6E3087">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若按照最终结算要求办理了分包工程分阶段最终结算，经甲方审定后3个月内，分阶段最终结算部分可较上述过程结算支付比例提升</w:t>
      </w:r>
      <w:r>
        <w:rPr>
          <w:rFonts w:hint="eastAsia" w:asciiTheme="minorEastAsia" w:hAnsiTheme="minorEastAsia" w:eastAsiaTheme="minorEastAsia" w:cstheme="minorEastAsia"/>
          <w:kern w:val="10"/>
          <w:sz w:val="21"/>
          <w:szCs w:val="21"/>
          <w:u w:val="single"/>
          <w:lang w:eastAsia="zh-CN"/>
        </w:rPr>
        <w:t xml:space="preserve"> 5-10</w:t>
      </w:r>
      <w:r>
        <w:rPr>
          <w:rFonts w:hint="eastAsia" w:asciiTheme="minorEastAsia" w:hAnsiTheme="minorEastAsia" w:eastAsiaTheme="minorEastAsia" w:cstheme="minorEastAsia"/>
          <w:kern w:val="10"/>
          <w:sz w:val="21"/>
          <w:szCs w:val="21"/>
          <w:lang w:eastAsia="zh-CN"/>
        </w:rPr>
        <w:t>%，其余未办理最终结算部分依据上述过程结算进度款支付比例进行支付。乙方应及时提交农民工工资支付各项手续，并对真实性、完整性负责，确保农民工工资支付比例100%。</w:t>
      </w: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（此条款仅适用于按照分包工程最终结算原则和要求办理了分阶段最终结算的分包工程，提高支付的比例结合项目实际情况确定）</w:t>
      </w:r>
    </w:p>
    <w:p w14:paraId="3D6E3088">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本分包工程完工验收合格后3个月内，甲方依据有效的过程结算书，支付至甲方审定的进度完成量的</w:t>
      </w:r>
      <w:r>
        <w:rPr>
          <w:rFonts w:hint="eastAsia" w:asciiTheme="minorEastAsia" w:hAnsiTheme="minorEastAsia" w:eastAsiaTheme="minorEastAsia" w:cstheme="minorEastAsia"/>
          <w:kern w:val="10"/>
          <w:sz w:val="21"/>
          <w:szCs w:val="21"/>
          <w:u w:val="single"/>
          <w:lang w:eastAsia="zh-CN"/>
        </w:rPr>
        <w:t xml:space="preserve">80 </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3D6E3089">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 xml:space="preserve"> 85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3D6E308A">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整体工程竣工验收合格且分包最终结算经甲方审定后3个月内支付至本分包工程最终结算额的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％，剩余</w:t>
      </w:r>
      <w:r>
        <w:rPr>
          <w:rFonts w:hint="eastAsia" w:asciiTheme="minorEastAsia" w:hAnsiTheme="minorEastAsia" w:eastAsiaTheme="minorEastAsia" w:cstheme="minorEastAsia"/>
          <w:sz w:val="21"/>
          <w:szCs w:val="21"/>
          <w:u w:val="single"/>
          <w:lang w:eastAsia="zh-CN"/>
        </w:rPr>
        <w:t>3</w:t>
      </w:r>
      <w:r>
        <w:rPr>
          <w:rFonts w:hint="eastAsia" w:asciiTheme="minorEastAsia" w:hAnsiTheme="minorEastAsia" w:eastAsiaTheme="minorEastAsia" w:cstheme="minorEastAsia"/>
          <w:sz w:val="21"/>
          <w:szCs w:val="21"/>
          <w:lang w:eastAsia="zh-CN"/>
        </w:rPr>
        <w:t>%为质量保证金，缺陷责任期满后，若无质量等扣款事项且乙方尽到保修义务的，甲方一次性无息付清工程尾款。乙方应在甲方支付至分包工程最终结算额的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％前，按分包最终结算提供全额发票（含保修金发票），否则甲方可暂不支付而无需承担延期支付责任。</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1.若工程类别为公路项目，则为“交工验收合格并通车运营”；2.针对前期工程，如临建工程、围挡工程、拌和站或者加工场站等临建类工程合同，可考虑项目实际资金情况在“单项工程验收合格”后支付尾款。编制合同时删除此注。）</w:t>
      </w:r>
    </w:p>
    <w:p w14:paraId="3D6E308B">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甲乙双方一致同意对工程所有款项实施分账制支付，即，一部分是农民工工资，占结算价款比例的</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（注：此数应等同或小于合同款中人工费占比，编制合同时删除此注）</w:t>
      </w:r>
      <w:r>
        <w:rPr>
          <w:rFonts w:hint="eastAsia" w:asciiTheme="minorEastAsia" w:hAnsiTheme="minorEastAsia" w:eastAsiaTheme="minorEastAsia" w:cstheme="minorEastAsia"/>
          <w:sz w:val="21"/>
          <w:szCs w:val="21"/>
          <w:lang w:eastAsia="zh-CN"/>
        </w:rPr>
        <w:t>，直接通过甲方开设的农民工工资专用账户（乙方应签订农民工工资代付协议，并为农民工办理个人工资银行卡，在工人进场后7日内将工人的工资收款信息书面报送甲方，并按时编制报送每期农民工工资明细）支付至乙方指定工人（乙方在实名制平台上登记考勤的工人）的银行卡；另外一部分（含乙方采购的材料、管理费、机械设备费、利润和税金等除农民工工资外的全部费用）按合同约定支付到乙方指定账户。</w:t>
      </w:r>
    </w:p>
    <w:p w14:paraId="3D6E308C">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接受甲方以现金或银行转账方式支付人工费部分，以电汇、转账、银行汇票、信用证、保理、供应链等形式支付非人工费部分，乙方须配合甲方完成相关支付手续。付款过程中产生的贴息费用及手续费由【乙方/甲方】</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（条款说明：根据招标时的约定选择一方填写，编制合同时删除此说明）</w:t>
      </w:r>
      <w:r>
        <w:rPr>
          <w:rFonts w:hint="eastAsia" w:asciiTheme="minorEastAsia" w:hAnsiTheme="minorEastAsia" w:eastAsiaTheme="minorEastAsia" w:cstheme="minorEastAsia"/>
          <w:sz w:val="21"/>
          <w:szCs w:val="21"/>
          <w:lang w:eastAsia="zh-CN"/>
        </w:rPr>
        <w:t>承担。乙方委托专职收款人办理收款业务，收款人必须取得授权。</w:t>
      </w:r>
    </w:p>
    <w:p w14:paraId="3D6E308D">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乙方指定下列账户为收款账户，当甲方采用转账方式付款时，应支付至下列账户。如乙方变更收款账户，应提前十五天以上书面通知甲方，否则造成资金的损失由乙方自行承担，与甲方无关。乙方指定收款账户：</w:t>
      </w:r>
    </w:p>
    <w:p w14:paraId="3D6E308E">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账户名：</w:t>
      </w:r>
      <w:r>
        <w:rPr>
          <w:rFonts w:hint="eastAsia" w:asciiTheme="minorEastAsia" w:hAnsiTheme="minorEastAsia" w:eastAsiaTheme="minorEastAsia" w:cstheme="minorEastAsia"/>
          <w:sz w:val="21"/>
          <w:szCs w:val="21"/>
          <w:u w:val="single"/>
          <w:lang w:eastAsia="zh-CN"/>
        </w:rPr>
        <w:t xml:space="preserve">                            </w:t>
      </w:r>
    </w:p>
    <w:p w14:paraId="3D6E308F">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开户行：</w:t>
      </w:r>
      <w:r>
        <w:rPr>
          <w:rFonts w:hint="eastAsia" w:asciiTheme="minorEastAsia" w:hAnsiTheme="minorEastAsia" w:eastAsiaTheme="minorEastAsia" w:cstheme="minorEastAsia"/>
          <w:sz w:val="21"/>
          <w:szCs w:val="21"/>
          <w:u w:val="single"/>
          <w:lang w:eastAsia="zh-CN"/>
        </w:rPr>
        <w:t xml:space="preserve">                            </w:t>
      </w:r>
    </w:p>
    <w:p w14:paraId="3D6E3090">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  号：</w:t>
      </w:r>
      <w:r>
        <w:rPr>
          <w:rFonts w:hint="eastAsia" w:asciiTheme="minorEastAsia" w:hAnsiTheme="minorEastAsia" w:eastAsiaTheme="minorEastAsia" w:cstheme="minorEastAsia"/>
          <w:sz w:val="21"/>
          <w:szCs w:val="21"/>
          <w:u w:val="single"/>
          <w:lang w:eastAsia="zh-CN"/>
        </w:rPr>
        <w:t xml:space="preserve">                            </w:t>
      </w:r>
    </w:p>
    <w:p w14:paraId="3D6E3091">
      <w:pPr>
        <w:numPr>
          <w:ilvl w:val="0"/>
          <w:numId w:val="11"/>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付款中包含甲方在工程开工之日起一个月内支付乙方合同价款50%安全生产费，剩余50%安全生产费按工程施工进度分批次支付，乙方应确保该项金额全部用于安全生产支出。首次付款支付50%安全生产费后，剩余50%安全生产费用支付前，乙方应提供前期支付的50%费用的安全措施费发票及相关资料，乙方提供的发票应符合甲方和建设单位及属地有关部门的要求。乙方投入不足或提供资料不符合要求的，甲方有权在后续工程款中扣除或要求乙方退还已支付安全生产费。</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（注：不应超过总承包合同约定的相应节点支付比例，编制合同时删除此注）</w:t>
      </w:r>
    </w:p>
    <w:p w14:paraId="3D6E3092">
      <w:pPr>
        <w:numPr>
          <w:ilvl w:val="0"/>
          <w:numId w:val="11"/>
        </w:num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甲方拖欠线索受理联系人：</w:t>
      </w:r>
    </w:p>
    <w:p w14:paraId="3D6E3093">
      <w:pPr>
        <w:kinsoku w:val="0"/>
        <w:spacing w:after="0" w:line="360" w:lineRule="auto"/>
        <w:ind w:left="440" w:leftChars="20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项目部联系人：</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，联系电话：</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w:t>
      </w:r>
    </w:p>
    <w:p w14:paraId="3D6E3094">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公司联系人：</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 xml:space="preserve"> ，联系电话：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（填写子企业维稳负责人员）</w:t>
      </w:r>
    </w:p>
    <w:p w14:paraId="3D6E3095">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公司信访投诉电话：</w:t>
      </w:r>
      <w:r>
        <w:rPr>
          <w:rFonts w:hint="eastAsia" w:asciiTheme="minorEastAsia" w:hAnsiTheme="minorEastAsia" w:eastAsiaTheme="minorEastAsia" w:cstheme="minorEastAsia"/>
          <w:sz w:val="21"/>
          <w:szCs w:val="21"/>
          <w:u w:val="single"/>
          <w:lang w:eastAsia="zh-CN"/>
        </w:rPr>
        <w:t xml:space="preserve">   ***   </w:t>
      </w:r>
    </w:p>
    <w:p w14:paraId="3D6E3096">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信访投诉邮箱：</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@qq.com</w:t>
      </w:r>
    </w:p>
    <w:p w14:paraId="3D6E3097">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云筑网中建系统账款投诉平台：https://ts.yzw.cn</w:t>
      </w:r>
    </w:p>
    <w:p w14:paraId="3D6E3098">
      <w:pPr>
        <w:kinsoku w:val="0"/>
        <w:spacing w:after="0" w:line="360" w:lineRule="auto"/>
        <w:ind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15.3甲方代发乙方农民工工资的程序、支付比例：</w:t>
      </w:r>
    </w:p>
    <w:p w14:paraId="3D6E309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（1）支付周期：</w:t>
      </w:r>
      <w:r>
        <w:rPr>
          <w:rFonts w:hint="eastAsia" w:asciiTheme="minorEastAsia" w:hAnsiTheme="minorEastAsia" w:eastAsiaTheme="minorEastAsia" w:cstheme="minorEastAsia"/>
          <w:sz w:val="21"/>
          <w:szCs w:val="21"/>
          <w:u w:val="single"/>
          <w:lang w:eastAsia="zh-CN"/>
        </w:rPr>
        <w:t xml:space="preserve">  月度  </w:t>
      </w:r>
      <w:r>
        <w:rPr>
          <w:rFonts w:hint="eastAsia" w:asciiTheme="minorEastAsia" w:hAnsiTheme="minorEastAsia" w:eastAsiaTheme="minorEastAsia" w:cstheme="minorEastAsia"/>
          <w:sz w:val="21"/>
          <w:szCs w:val="21"/>
          <w:lang w:eastAsia="zh-CN"/>
        </w:rPr>
        <w:t>。</w:t>
      </w:r>
    </w:p>
    <w:p w14:paraId="3D6E309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（2）甲方优先代发乙方农民工工资，农民工工资代发完毕后，支付乙方当期其他工程款。</w:t>
      </w:r>
    </w:p>
    <w:p w14:paraId="3D6E309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（3）甲方代发乙方农民工工资前，乙方应提供以下资料：</w:t>
      </w:r>
    </w:p>
    <w:p w14:paraId="3D6E309C">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1）乙方与农民工签订的劳动合同。</w:t>
      </w:r>
    </w:p>
    <w:p w14:paraId="3D6E309D">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2）农民工工资支付台账、考勤表，农民工工资支付台账以班组分类，必须农民工本人签字并按手印，提供农民工本人签字并按手印的影像资料。</w:t>
      </w:r>
    </w:p>
    <w:p w14:paraId="3D6E309E">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3）乙方出具的《农民工当期工资支付完毕声明书》。</w:t>
      </w:r>
    </w:p>
    <w:p w14:paraId="3D6E309F">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4）工人退场时需办理劳务工资结算单，对于已经结清工资的农民工，应在劳务结算单上签字确认工资结清承诺。</w:t>
      </w:r>
    </w:p>
    <w:p w14:paraId="3D6E30A0">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5）乙方应向甲方出具农民工工资代发授权委托书。</w:t>
      </w:r>
    </w:p>
    <w:p w14:paraId="3D6E30A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（4）甲方根据乙方编制的农民工工资支付台账，通过农民工工资专用账户直接将工资支付到农民工本人的银行账户，并向乙方提供代发工资凭证。</w:t>
      </w:r>
    </w:p>
    <w:p w14:paraId="3D6E30A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因乙方漏报、瞒报、虚报农民工工资等原因造成甲方代乙方清偿拖欠农民工工资、超分包工程款代付农民工工资情况的，甲方可以从分包履约保证金中扣回（尚未完成履约的应及时补缴履约保证金），也可以采取索赔和追偿。</w:t>
      </w:r>
    </w:p>
    <w:p w14:paraId="3D6E30A3">
      <w:pPr>
        <w:pStyle w:val="2"/>
        <w:spacing w:after="0" w:line="360" w:lineRule="auto"/>
        <w:ind w:firstLine="420"/>
        <w:rPr>
          <w:rFonts w:hint="eastAsia" w:asciiTheme="minorEastAsia" w:hAnsiTheme="minorEastAsia" w:eastAsiaTheme="minorEastAsia" w:cstheme="minorEastAsia"/>
          <w:b/>
          <w:bCs/>
          <w:color w:val="FFC000" w:themeColor="accent4"/>
          <w:kern w:val="10"/>
          <w:sz w:val="21"/>
          <w:szCs w:val="21"/>
          <w:u w:val="single"/>
          <w14:textFill>
            <w14:solidFill>
              <w14:schemeClr w14:val="accent4"/>
            </w14:solidFill>
          </w14:textFill>
        </w:rPr>
      </w:pPr>
      <w:r>
        <w:rPr>
          <w:rFonts w:hint="eastAsia" w:asciiTheme="minorEastAsia" w:hAnsiTheme="minorEastAsia" w:eastAsiaTheme="minorEastAsia" w:cstheme="minorEastAsia"/>
          <w:sz w:val="21"/>
          <w:szCs w:val="21"/>
        </w:rPr>
        <w:t>15.4本条款</w:t>
      </w:r>
      <w:r>
        <w:rPr>
          <w:rFonts w:hint="eastAsia" w:asciiTheme="minorEastAsia" w:hAnsiTheme="minorEastAsia" w:eastAsiaTheme="minorEastAsia" w:cstheme="minorEastAsia"/>
          <w:sz w:val="21"/>
          <w:szCs w:val="21"/>
          <w:u w:val="single"/>
        </w:rPr>
        <w:t>【适用/不适用】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color w:val="FFC000" w:themeColor="accent4"/>
          <w:kern w:val="10"/>
          <w:sz w:val="21"/>
          <w:szCs w:val="21"/>
          <w:u w:val="single"/>
          <w14:textFill>
            <w14:solidFill>
              <w14:schemeClr w14:val="accent4"/>
            </w14:solidFill>
          </w14:textFill>
        </w:rPr>
        <w:t>（适用于非代发民工工资项目，代发项目不适用）</w:t>
      </w:r>
    </w:p>
    <w:p w14:paraId="3D6E30A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A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15.9甲方付款前，乙方应按甲方财务要求提供合法的</w:t>
      </w:r>
      <w:r>
        <w:rPr>
          <w:rFonts w:hint="eastAsia" w:asciiTheme="minorEastAsia" w:hAnsiTheme="minorEastAsia" w:eastAsiaTheme="minorEastAsia" w:cstheme="minorEastAsia"/>
          <w:sz w:val="21"/>
          <w:szCs w:val="21"/>
          <w:u w:val="single"/>
          <w:lang w:eastAsia="zh-CN"/>
        </w:rPr>
        <w:t>增值税专用发票</w:t>
      </w:r>
      <w:r>
        <w:rPr>
          <w:rFonts w:hint="eastAsia" w:asciiTheme="minorEastAsia" w:hAnsiTheme="minorEastAsia" w:eastAsiaTheme="minorEastAsia" w:cstheme="minorEastAsia"/>
          <w:sz w:val="21"/>
          <w:szCs w:val="21"/>
          <w:lang w:eastAsia="zh-CN"/>
        </w:rPr>
        <w:t>，准确填写发票内容并提供发票真伪查询证明，发票备注栏应填写与总包合同一致的工程名称及工程地址（省市区）。</w:t>
      </w:r>
      <w:r>
        <w:rPr>
          <w:rFonts w:hint="eastAsia" w:asciiTheme="minorEastAsia" w:hAnsiTheme="minorEastAsia" w:eastAsiaTheme="minorEastAsia" w:cstheme="minorEastAsia"/>
          <w:b/>
          <w:bCs/>
          <w:sz w:val="21"/>
          <w:szCs w:val="21"/>
          <w:lang w:eastAsia="zh-CN"/>
        </w:rPr>
        <w:t>乙方未能按甲方要求提供增值税专用发票，除扣除相应税金外，还应承担合同金额（含增值税）</w:t>
      </w:r>
      <w:r>
        <w:rPr>
          <w:rFonts w:hint="eastAsia" w:asciiTheme="minorEastAsia" w:hAnsiTheme="minorEastAsia" w:eastAsiaTheme="minorEastAsia" w:cstheme="minorEastAsia"/>
          <w:b/>
          <w:bCs/>
          <w:sz w:val="21"/>
          <w:szCs w:val="21"/>
          <w:u w:val="single"/>
          <w:lang w:eastAsia="zh-CN"/>
        </w:rPr>
        <w:t>10%</w:t>
      </w:r>
      <w:r>
        <w:rPr>
          <w:rFonts w:hint="eastAsia" w:asciiTheme="minorEastAsia" w:hAnsiTheme="minorEastAsia" w:eastAsiaTheme="minorEastAsia" w:cstheme="minorEastAsia"/>
          <w:b/>
          <w:bCs/>
          <w:sz w:val="21"/>
          <w:szCs w:val="21"/>
          <w:lang w:eastAsia="zh-CN"/>
        </w:rPr>
        <w:t>的违约金。</w:t>
      </w:r>
      <w:r>
        <w:rPr>
          <w:rFonts w:hint="eastAsia" w:asciiTheme="minorEastAsia" w:hAnsiTheme="minorEastAsia" w:eastAsiaTheme="minorEastAsia" w:cstheme="minorEastAsia"/>
          <w:sz w:val="21"/>
          <w:szCs w:val="21"/>
          <w:lang w:eastAsia="zh-CN"/>
        </w:rPr>
        <w:t>乙方开具增值税发票后，次月必须在税务网进行抄税，未经甲方事先书面同意，乙方不得擅自将已向甲方开具的增值税发票作废。若乙方擅自作废发票，需向甲方承担作废发票金额</w:t>
      </w:r>
      <w:r>
        <w:rPr>
          <w:rFonts w:hint="eastAsia" w:asciiTheme="minorEastAsia" w:hAnsiTheme="minorEastAsia" w:eastAsiaTheme="minorEastAsia" w:cstheme="minorEastAsia"/>
          <w:sz w:val="21"/>
          <w:szCs w:val="21"/>
          <w:u w:val="single"/>
          <w:lang w:eastAsia="zh-CN"/>
        </w:rPr>
        <w:t>2</w:t>
      </w:r>
      <w:r>
        <w:rPr>
          <w:rFonts w:hint="eastAsia" w:asciiTheme="minorEastAsia" w:hAnsiTheme="minorEastAsia" w:eastAsiaTheme="minorEastAsia" w:cstheme="minorEastAsia"/>
          <w:sz w:val="21"/>
          <w:szCs w:val="21"/>
          <w:lang w:eastAsia="zh-CN"/>
        </w:rPr>
        <w:t>%的违约金并承担因擅自作废给甲方造成的所有责任及损失。</w:t>
      </w:r>
    </w:p>
    <w:p w14:paraId="3D6E30A6">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15.10发票要求：</w:t>
      </w:r>
    </w:p>
    <w:p w14:paraId="3D6E30A7">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甲方单位名称：</w:t>
      </w:r>
      <w:r>
        <w:rPr>
          <w:rFonts w:hint="eastAsia" w:asciiTheme="minorEastAsia" w:hAnsiTheme="minorEastAsia" w:eastAsiaTheme="minorEastAsia" w:cstheme="minorEastAsia"/>
          <w:bCs/>
          <w:sz w:val="21"/>
          <w:szCs w:val="21"/>
          <w:u w:val="single"/>
          <w:lang w:eastAsia="zh-CN"/>
        </w:rPr>
        <w:t xml:space="preserve">                                  </w:t>
      </w:r>
    </w:p>
    <w:p w14:paraId="3D6E30A8">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bCs/>
          <w:sz w:val="21"/>
          <w:szCs w:val="21"/>
          <w:lang w:eastAsia="zh-CN"/>
        </w:rPr>
        <w:t>开户银行：</w:t>
      </w:r>
      <w:r>
        <w:rPr>
          <w:rFonts w:hint="eastAsia" w:asciiTheme="minorEastAsia" w:hAnsiTheme="minorEastAsia" w:eastAsiaTheme="minorEastAsia" w:cstheme="minorEastAsia"/>
          <w:bCs/>
          <w:sz w:val="21"/>
          <w:szCs w:val="21"/>
          <w:u w:val="single"/>
          <w:lang w:eastAsia="zh-CN"/>
        </w:rPr>
        <w:t xml:space="preserve">        *****                     </w:t>
      </w:r>
    </w:p>
    <w:p w14:paraId="3D6E30A9">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甲方银行账号：</w:t>
      </w:r>
      <w:r>
        <w:rPr>
          <w:rFonts w:hint="eastAsia" w:asciiTheme="minorEastAsia" w:hAnsiTheme="minorEastAsia" w:eastAsiaTheme="minorEastAsia" w:cstheme="minorEastAsia"/>
          <w:bCs/>
          <w:sz w:val="21"/>
          <w:szCs w:val="21"/>
          <w:u w:val="single"/>
          <w:lang w:eastAsia="zh-CN"/>
        </w:rPr>
        <w:t xml:space="preserve">        *****                     </w:t>
      </w:r>
    </w:p>
    <w:p w14:paraId="3D6E30AA">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地 址、电 话：</w:t>
      </w:r>
      <w:r>
        <w:rPr>
          <w:rFonts w:hint="eastAsia" w:asciiTheme="minorEastAsia" w:hAnsiTheme="minorEastAsia" w:eastAsiaTheme="minorEastAsia" w:cstheme="minorEastAsia"/>
          <w:bCs/>
          <w:sz w:val="21"/>
          <w:szCs w:val="21"/>
          <w:u w:val="single"/>
          <w:lang w:eastAsia="zh-CN"/>
        </w:rPr>
        <w:t xml:space="preserve">        *****                     </w:t>
      </w:r>
    </w:p>
    <w:p w14:paraId="3D6E30AB">
      <w:pPr>
        <w:kinsoku w:val="0"/>
        <w:spacing w:after="0" w:line="360" w:lineRule="auto"/>
        <w:ind w:left="165" w:leftChars="75"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统一社会信用代码：</w:t>
      </w:r>
      <w:r>
        <w:rPr>
          <w:rFonts w:hint="eastAsia" w:asciiTheme="minorEastAsia" w:hAnsiTheme="minorEastAsia" w:eastAsiaTheme="minorEastAsia" w:cstheme="minorEastAsia"/>
          <w:bCs/>
          <w:sz w:val="21"/>
          <w:szCs w:val="21"/>
          <w:u w:val="single"/>
          <w:lang w:eastAsia="zh-CN"/>
        </w:rPr>
        <w:t xml:space="preserve">        *****                 </w:t>
      </w:r>
    </w:p>
    <w:p w14:paraId="3D6E30A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15.11甲乙双方一致确认提供发票为主合同义务而非附随义务，如因乙方未及时开具发票，甲方可拒绝付款，并不承担逾期付款责任。</w:t>
      </w:r>
    </w:p>
    <w:p w14:paraId="3D6E30A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15.12过程计量并支付的同时，过程结算金额低于</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万元的，当期不予支付。</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（注：视合同总金额大小确定，编制合同时删除此注）</w:t>
      </w:r>
    </w:p>
    <w:p w14:paraId="3D6E30AE">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97" w:name="_Toc101963524"/>
      <w:bookmarkStart w:id="998" w:name="_Toc175772264"/>
      <w:r>
        <w:rPr>
          <w:rFonts w:hint="eastAsia" w:asciiTheme="minorEastAsia" w:hAnsiTheme="minorEastAsia" w:eastAsiaTheme="minorEastAsia" w:cstheme="minorEastAsia"/>
          <w:b/>
          <w:sz w:val="21"/>
          <w:szCs w:val="21"/>
          <w:lang w:eastAsia="zh-CN"/>
        </w:rPr>
        <w:t>过程结算</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3D6E30AF">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B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16.1乙方提交已完成的工程量报告的时间、内容、计量周期：</w:t>
      </w:r>
    </w:p>
    <w:p w14:paraId="3D6E30B1">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（1）乙方提交已完成的工程量报告的时间：</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B2">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（2）乙方提交已完成的工程量报告的内容：</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B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（3）计量周期：</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3D6E30B4">
      <w:pPr>
        <w:pStyle w:val="2"/>
        <w:kinsoku w:val="0"/>
        <w:spacing w:after="0"/>
        <w:rPr>
          <w:color w:val="FFC000"/>
        </w:rPr>
      </w:pPr>
      <w:r>
        <w:rPr>
          <w:rFonts w:hint="eastAsia"/>
          <w:color w:val="FFC000"/>
        </w:rPr>
        <w:t>(新增条款）</w:t>
      </w:r>
    </w:p>
    <w:p w14:paraId="3D6E30B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16.6若乙方未能在本合同约定的时间内完成工程量核对确认工作，甲方可以暂停乙方过程结算及支付工作，直至完成合同内工程量核对确认并签订转固定总价补充协议。</w:t>
      </w:r>
    </w:p>
    <w:p w14:paraId="3D6E30B6">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99" w:name="_Toc12521"/>
      <w:bookmarkStart w:id="1000" w:name="_Toc32235"/>
      <w:bookmarkStart w:id="1001" w:name="_Toc5073"/>
      <w:bookmarkStart w:id="1002" w:name="_Toc11418"/>
      <w:bookmarkStart w:id="1003" w:name="_Toc8151"/>
      <w:bookmarkStart w:id="1004" w:name="_Toc9965"/>
      <w:bookmarkStart w:id="1005" w:name="_Toc24445"/>
      <w:bookmarkStart w:id="1006" w:name="_Toc12928"/>
      <w:bookmarkStart w:id="1007" w:name="_Toc32123"/>
      <w:bookmarkStart w:id="1008" w:name="_Toc5995"/>
      <w:bookmarkStart w:id="1009" w:name="_Toc101357472"/>
      <w:bookmarkStart w:id="1010" w:name="_Toc16958"/>
      <w:bookmarkStart w:id="1011" w:name="_Toc175772265"/>
      <w:bookmarkStart w:id="1012" w:name="_Toc24768"/>
      <w:bookmarkStart w:id="1013" w:name="_Toc101963525"/>
      <w:bookmarkStart w:id="1014" w:name="_Toc24071"/>
      <w:bookmarkStart w:id="1015" w:name="_Toc638"/>
      <w:bookmarkStart w:id="1016" w:name="_Toc9347"/>
      <w:bookmarkStart w:id="1017" w:name="_Toc8237"/>
      <w:bookmarkStart w:id="1018" w:name="_Toc9149"/>
      <w:bookmarkStart w:id="1019" w:name="_Toc13020"/>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3D6E30B7">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B8">
      <w:pPr>
        <w:tabs>
          <w:tab w:val="left" w:pos="425"/>
        </w:tabs>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Cs/>
          <w:sz w:val="21"/>
          <w:szCs w:val="21"/>
          <w:lang w:eastAsia="zh-CN"/>
        </w:rPr>
        <w:t>17.1</w:t>
      </w:r>
      <w:r>
        <w:rPr>
          <w:rFonts w:hint="eastAsia" w:asciiTheme="minorEastAsia" w:hAnsiTheme="minorEastAsia" w:eastAsiaTheme="minorEastAsia" w:cstheme="minorEastAsia"/>
          <w:b/>
          <w:bCs/>
          <w:sz w:val="21"/>
          <w:szCs w:val="21"/>
          <w:lang w:eastAsia="zh-CN"/>
        </w:rPr>
        <w:t>本分包工程完工验收合格后30天内，乙方向甲方提交结算报告，乙方提交的结算报告内容包含且不限于：</w:t>
      </w:r>
    </w:p>
    <w:p w14:paraId="3D6E30B9">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（1）加盖乙方单位公章的工程结算书（含工程量计算书电子版）。</w:t>
      </w:r>
    </w:p>
    <w:p w14:paraId="3D6E30BA">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（2）分包完工确认单（含工程量、签证、材料、费用等完工确认单）。</w:t>
      </w:r>
    </w:p>
    <w:p w14:paraId="3D6E30BB">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（3）派工资料、验收资料、设备启停通知等。</w:t>
      </w:r>
    </w:p>
    <w:p w14:paraId="3D6E30BC">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（4）乙方物资对账汇总表。</w:t>
      </w:r>
    </w:p>
    <w:p w14:paraId="3D6E30BD">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（5）经审批的变更洽商、现场签证等。</w:t>
      </w:r>
    </w:p>
    <w:p w14:paraId="3D6E30BE">
      <w:pPr>
        <w:kinsoku w:val="0"/>
        <w:spacing w:after="0" w:line="360" w:lineRule="auto"/>
        <w:ind w:firstLine="42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（6）会议纪要、备忘录、施工方案等相关资料。</w:t>
      </w:r>
    </w:p>
    <w:p w14:paraId="3D6E30BF">
      <w:pPr>
        <w:pStyle w:val="6"/>
        <w:kinsoku w:val="0"/>
        <w:spacing w:after="0"/>
        <w:rPr>
          <w:rFonts w:hint="eastAsia"/>
        </w:rPr>
      </w:pPr>
      <w:r>
        <w:rPr>
          <w:rFonts w:hint="eastAsia"/>
        </w:rPr>
        <w:t>（7）其他：</w:t>
      </w:r>
      <w:r>
        <w:rPr>
          <w:rFonts w:hint="eastAsia"/>
          <w:u w:val="single"/>
        </w:rPr>
        <w:t xml:space="preserve">                              </w:t>
      </w:r>
    </w:p>
    <w:p w14:paraId="3D6E30C0">
      <w:pPr>
        <w:kinsoku w:val="0"/>
        <w:snapToGrid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17.3增加：若乙方所报结算价的审减率在5%-10%（含5%）的，乙方承担被审减额的</w:t>
      </w:r>
      <w:r>
        <w:rPr>
          <w:rFonts w:hint="eastAsia" w:asciiTheme="minorEastAsia" w:hAnsiTheme="minorEastAsia" w:eastAsiaTheme="minorEastAsia" w:cstheme="minorEastAsia"/>
          <w:sz w:val="21"/>
          <w:szCs w:val="21"/>
          <w:u w:val="single"/>
          <w:lang w:eastAsia="zh-CN"/>
        </w:rPr>
        <w:t xml:space="preserve">  5  </w:t>
      </w:r>
      <w:r>
        <w:rPr>
          <w:rFonts w:hint="eastAsia" w:asciiTheme="minorEastAsia" w:hAnsiTheme="minorEastAsia" w:eastAsiaTheme="minorEastAsia" w:cstheme="minorEastAsia"/>
          <w:sz w:val="21"/>
          <w:szCs w:val="21"/>
          <w:lang w:eastAsia="zh-CN"/>
        </w:rPr>
        <w:t xml:space="preserve">%的违约金，若审减率超过10%（含10%）的，乙方承担被审减额的 </w:t>
      </w:r>
      <w:r>
        <w:rPr>
          <w:rFonts w:hint="eastAsia" w:asciiTheme="minorEastAsia" w:hAnsiTheme="minorEastAsia" w:eastAsiaTheme="minorEastAsia" w:cstheme="minorEastAsia"/>
          <w:sz w:val="21"/>
          <w:szCs w:val="21"/>
          <w:u w:val="single"/>
          <w:lang w:eastAsia="zh-CN"/>
        </w:rPr>
        <w:t xml:space="preserve">10 </w:t>
      </w:r>
      <w:r>
        <w:rPr>
          <w:rFonts w:hint="eastAsia" w:asciiTheme="minorEastAsia" w:hAnsiTheme="minorEastAsia" w:eastAsiaTheme="minorEastAsia" w:cstheme="minorEastAsia"/>
          <w:sz w:val="21"/>
          <w:szCs w:val="21"/>
          <w:lang w:eastAsia="zh-CN"/>
        </w:rPr>
        <w:t>%的违约金，审减率在20%以上（含20%）的，乙方承担被审减额的</w:t>
      </w:r>
      <w:r>
        <w:rPr>
          <w:rFonts w:hint="eastAsia" w:asciiTheme="minorEastAsia" w:hAnsiTheme="minorEastAsia" w:eastAsiaTheme="minorEastAsia" w:cstheme="minorEastAsia"/>
          <w:sz w:val="21"/>
          <w:szCs w:val="21"/>
          <w:u w:val="single"/>
          <w:lang w:eastAsia="zh-CN"/>
        </w:rPr>
        <w:t xml:space="preserve"> 20 </w:t>
      </w:r>
      <w:r>
        <w:rPr>
          <w:rFonts w:hint="eastAsia" w:asciiTheme="minorEastAsia" w:hAnsiTheme="minorEastAsia" w:eastAsiaTheme="minorEastAsia" w:cstheme="minorEastAsia"/>
          <w:sz w:val="21"/>
          <w:szCs w:val="21"/>
          <w:lang w:eastAsia="zh-CN"/>
        </w:rPr>
        <w:t>%的违约金，被审减额为乙方上报结算金额与经甲方审定盖章后的最终结算金额之差。</w:t>
      </w:r>
    </w:p>
    <w:p w14:paraId="3D6E30C1">
      <w:pPr>
        <w:kinsoku w:val="0"/>
        <w:snapToGrid w:val="0"/>
        <w:spacing w:after="0" w:line="360" w:lineRule="auto"/>
        <w:ind w:firstLine="420"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17.4</w:t>
      </w:r>
      <w:r>
        <w:rPr>
          <w:rFonts w:hint="eastAsia" w:asciiTheme="minorEastAsia" w:hAnsiTheme="minorEastAsia" w:eastAsiaTheme="minorEastAsia" w:cstheme="minorEastAsia"/>
          <w:b/>
          <w:bCs/>
          <w:sz w:val="21"/>
          <w:szCs w:val="21"/>
          <w:lang w:eastAsia="zh-CN"/>
        </w:rPr>
        <w:t>最终结算价款=根据13.9.1条计算的工程量×固定单价±变更洽商金额—扣款和罚款—违约金。</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（适用于单价合同，根据实际情况删除）</w:t>
      </w:r>
    </w:p>
    <w:p w14:paraId="3D6E30C2">
      <w:pPr>
        <w:kinsoku w:val="0"/>
        <w:snapToGrid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最终结算价款=固定总价±变更洽商金额—扣款和罚款—违约金。</w:t>
      </w:r>
      <w:r>
        <w:rPr>
          <w:rFonts w:hint="eastAsia" w:asciiTheme="minorEastAsia" w:hAnsiTheme="minorEastAsia" w:eastAsiaTheme="minorEastAsia" w:cstheme="minorEastAsia"/>
          <w:b/>
          <w:bCs/>
          <w:color w:val="FFC000" w:themeColor="accent4"/>
          <w:sz w:val="21"/>
          <w:szCs w:val="21"/>
          <w:lang w:eastAsia="zh-CN"/>
          <w14:textFill>
            <w14:solidFill>
              <w14:schemeClr w14:val="accent4"/>
            </w14:solidFill>
          </w14:textFill>
        </w:rPr>
        <w:t>（适用于固定总价合同，根据实际情况删除）</w:t>
      </w:r>
    </w:p>
    <w:p w14:paraId="3D6E30C3">
      <w:pPr>
        <w:pStyle w:val="6"/>
        <w:kinsoku w:val="0"/>
        <w:spacing w:after="0"/>
        <w:rPr>
          <w:rFonts w:hint="eastAsia"/>
          <w:b/>
          <w:bCs/>
        </w:rPr>
      </w:pPr>
      <w:r>
        <w:rPr>
          <w:rFonts w:hint="eastAsia"/>
        </w:rPr>
        <w:t>其他：经最终审计后的甲方收入（ 不含措施费 ）*（1-</w:t>
      </w:r>
      <w:r>
        <w:rPr>
          <w:rFonts w:hint="eastAsia"/>
          <w:kern w:val="10"/>
        </w:rPr>
        <w:t>**</w:t>
      </w:r>
      <w:r>
        <w:rPr>
          <w:rFonts w:hint="eastAsia"/>
        </w:rPr>
        <w:t>%）</w:t>
      </w:r>
      <w:r>
        <w:rPr>
          <w:rFonts w:hint="eastAsia"/>
          <w:b/>
          <w:bCs/>
        </w:rPr>
        <w:t>—扣款和罚款—违约金。</w:t>
      </w:r>
      <w:r>
        <w:rPr>
          <w:rFonts w:hint="eastAsia"/>
          <w:b/>
          <w:bCs/>
          <w:color w:val="FFC000" w:themeColor="accent4"/>
          <w14:textFill>
            <w14:solidFill>
              <w14:schemeClr w14:val="accent4"/>
            </w14:solidFill>
          </w14:textFill>
        </w:rPr>
        <w:t>（适用于固定下浮率合同，根据实际情况删除）</w:t>
      </w:r>
    </w:p>
    <w:p w14:paraId="3D6E30C4">
      <w:pPr>
        <w:kinsoku w:val="0"/>
        <w:autoSpaceDE w:val="0"/>
        <w:autoSpaceDN w:val="0"/>
        <w:adjustRightInd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17.4.1结算扣款、罚款和违约金包含且不限于以下内容：</w:t>
      </w:r>
    </w:p>
    <w:p w14:paraId="3D6E30C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①包含在施工所需水、电费用。</w:t>
      </w:r>
    </w:p>
    <w:p w14:paraId="3D6E30C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②地方各种政策性收费：按甲方实际代扣代缴为准。</w:t>
      </w:r>
    </w:p>
    <w:p w14:paraId="3D6E30C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③乙方承担的各项罚款及违约金。</w:t>
      </w:r>
    </w:p>
    <w:p w14:paraId="3D6E30C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④乙方施工的安防用品、工作服等，以实际领取数量及甲方采购价为准（如有）。</w:t>
      </w:r>
    </w:p>
    <w:p w14:paraId="3D6E30C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⑤应由乙方分摊或甲方代为支付的垃圾清运、试验检测、安全文明等费用。</w:t>
      </w:r>
    </w:p>
    <w:p w14:paraId="3D6E30C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⑥甲方根据合同应当扣除的其他款项。</w:t>
      </w:r>
    </w:p>
    <w:p w14:paraId="3D6E30CB">
      <w:pPr>
        <w:pStyle w:val="2"/>
        <w:kinsoku w:val="0"/>
        <w:spacing w:after="0"/>
        <w:rPr>
          <w:color w:val="FFC000"/>
        </w:rPr>
      </w:pPr>
      <w:r>
        <w:rPr>
          <w:rFonts w:hint="eastAsia"/>
          <w:color w:val="FFC000"/>
        </w:rPr>
        <w:t>（新增条款）</w:t>
      </w:r>
    </w:p>
    <w:p w14:paraId="3D6E30CC">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20" w:name="_Toc175772266"/>
      <w:bookmarkStart w:id="1021" w:name="_Toc101963526"/>
      <w:bookmarkStart w:id="1022" w:name="_Toc101357474"/>
      <w:bookmarkStart w:id="1023" w:name="_Toc15704"/>
      <w:bookmarkStart w:id="1024" w:name="_Toc7572"/>
      <w:bookmarkStart w:id="1025" w:name="_Toc28514"/>
      <w:bookmarkStart w:id="1026" w:name="_Toc4434"/>
      <w:bookmarkStart w:id="1027" w:name="_Toc31287"/>
      <w:bookmarkStart w:id="1028" w:name="_Toc22761"/>
      <w:bookmarkStart w:id="1029" w:name="_Toc16327"/>
      <w:bookmarkStart w:id="1030" w:name="_Toc19408"/>
      <w:bookmarkStart w:id="1031" w:name="_Toc4720"/>
      <w:bookmarkStart w:id="1032" w:name="_Toc31668"/>
      <w:bookmarkStart w:id="1033" w:name="_Toc8861"/>
      <w:bookmarkStart w:id="1034" w:name="_Toc25355"/>
      <w:bookmarkStart w:id="1035" w:name="_Toc21149"/>
      <w:bookmarkStart w:id="1036" w:name="_Toc8522"/>
      <w:bookmarkStart w:id="1037" w:name="_Toc29974"/>
      <w:bookmarkStart w:id="1038" w:name="_Toc3585"/>
      <w:bookmarkStart w:id="1039" w:name="_Toc2867"/>
      <w:bookmarkStart w:id="1040" w:name="_Toc577"/>
      <w:r>
        <w:rPr>
          <w:rFonts w:hint="eastAsia" w:asciiTheme="minorEastAsia" w:hAnsiTheme="minorEastAsia" w:eastAsiaTheme="minorEastAsia" w:cstheme="minorEastAsia"/>
          <w:b/>
          <w:sz w:val="21"/>
          <w:szCs w:val="21"/>
          <w:lang w:eastAsia="zh-CN"/>
        </w:rPr>
        <w:t>完工验收</w:t>
      </w:r>
      <w:bookmarkEnd w:id="1020"/>
      <w:bookmarkEnd w:id="1021"/>
      <w:bookmarkEnd w:id="1022"/>
    </w:p>
    <w:p w14:paraId="3D6E30CD">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C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18.3补充：完工验收期限：</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w:t>
      </w:r>
    </w:p>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14:paraId="3D6E30CF">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41" w:name="_Toc175772267"/>
      <w:bookmarkStart w:id="1042" w:name="_Toc6364"/>
      <w:bookmarkStart w:id="1043" w:name="_Toc10185"/>
      <w:bookmarkStart w:id="1044" w:name="_Toc14412"/>
      <w:bookmarkStart w:id="1045" w:name="_Toc21575"/>
      <w:bookmarkStart w:id="1046" w:name="_Toc101963528"/>
      <w:bookmarkStart w:id="1047" w:name="_Toc28462"/>
      <w:bookmarkStart w:id="1048" w:name="_Toc14756"/>
      <w:bookmarkStart w:id="1049" w:name="_Toc27061"/>
      <w:bookmarkStart w:id="1050" w:name="_Toc31722"/>
      <w:bookmarkStart w:id="1051" w:name="_Toc1328"/>
      <w:bookmarkStart w:id="1052" w:name="_Toc101357477"/>
      <w:bookmarkStart w:id="1053" w:name="_Toc18993"/>
      <w:bookmarkStart w:id="1054" w:name="_Toc15602"/>
      <w:bookmarkStart w:id="1055" w:name="_Toc5078"/>
      <w:bookmarkStart w:id="1056" w:name="_Toc10135"/>
      <w:bookmarkStart w:id="1057" w:name="_Toc28255"/>
      <w:bookmarkStart w:id="1058" w:name="_Toc31165"/>
      <w:bookmarkStart w:id="1059" w:name="_Toc21044"/>
      <w:bookmarkStart w:id="1060" w:name="_Toc21183"/>
      <w:bookmarkStart w:id="1061" w:name="_Toc3443"/>
      <w:r>
        <w:rPr>
          <w:rFonts w:hint="eastAsia" w:asciiTheme="minorEastAsia" w:hAnsiTheme="minorEastAsia" w:eastAsiaTheme="minorEastAsia" w:cstheme="minorEastAsia"/>
          <w:b/>
          <w:sz w:val="21"/>
          <w:szCs w:val="21"/>
        </w:rPr>
        <w:t>履约保</w:t>
      </w:r>
      <w:r>
        <w:rPr>
          <w:rFonts w:hint="eastAsia" w:asciiTheme="minorEastAsia" w:hAnsiTheme="minorEastAsia" w:eastAsiaTheme="minorEastAsia" w:cstheme="minorEastAsia"/>
          <w:b/>
          <w:sz w:val="21"/>
          <w:szCs w:val="21"/>
          <w:lang w:eastAsia="zh-CN"/>
        </w:rPr>
        <w:t>证</w:t>
      </w:r>
      <w:bookmarkEnd w:id="1041"/>
    </w:p>
    <w:p w14:paraId="3D6E30D0">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14:paraId="3D6E30D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19.1乙方履约担保形式：</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不担保，</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 xml:space="preserve">独立、不可撤销、见索即付的银行保函，担保金额：¥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 xml:space="preserve">履约保证金，保证金额：¥ </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元）。</w:t>
      </w:r>
    </w:p>
    <w:p w14:paraId="3D6E30D2">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62" w:name="_Toc7929"/>
      <w:bookmarkStart w:id="1063" w:name="_Toc723"/>
      <w:bookmarkStart w:id="1064" w:name="_Toc15918"/>
      <w:bookmarkStart w:id="1065" w:name="_Toc2350"/>
      <w:bookmarkStart w:id="1066" w:name="_Toc11440"/>
      <w:bookmarkStart w:id="1067" w:name="_Toc5256"/>
      <w:bookmarkStart w:id="1068" w:name="_Toc8344"/>
      <w:bookmarkStart w:id="1069" w:name="_Toc669"/>
      <w:bookmarkStart w:id="1070" w:name="_Toc27527"/>
      <w:bookmarkStart w:id="1071" w:name="_Toc25332"/>
      <w:bookmarkStart w:id="1072" w:name="_Toc25609"/>
      <w:bookmarkStart w:id="1073" w:name="_Toc15741"/>
      <w:bookmarkStart w:id="1074" w:name="_Toc13157"/>
      <w:bookmarkStart w:id="1075" w:name="_Toc13500"/>
      <w:bookmarkStart w:id="1076" w:name="_Toc101963529"/>
      <w:bookmarkStart w:id="1077" w:name="_Toc29281"/>
      <w:bookmarkStart w:id="1078" w:name="_Toc175772268"/>
      <w:bookmarkStart w:id="1079" w:name="_Toc101357478"/>
      <w:bookmarkStart w:id="1080" w:name="_Toc21636"/>
      <w:bookmarkStart w:id="1081" w:name="_Toc20599"/>
      <w:bookmarkStart w:id="1082" w:name="_Toc16322"/>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D6E30D3">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D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20.1 缺陷责任期：</w:t>
      </w:r>
      <w:r>
        <w:rPr>
          <w:rFonts w:hint="eastAsia" w:asciiTheme="minorEastAsia" w:hAnsiTheme="minorEastAsia" w:eastAsiaTheme="minorEastAsia" w:cstheme="minorEastAsia"/>
          <w:kern w:val="10"/>
          <w:sz w:val="21"/>
          <w:szCs w:val="21"/>
          <w:u w:val="single"/>
          <w:lang w:eastAsia="zh-CN"/>
        </w:rPr>
        <w:t xml:space="preserve">  24  </w:t>
      </w:r>
      <w:r>
        <w:rPr>
          <w:rFonts w:hint="eastAsia" w:asciiTheme="minorEastAsia" w:hAnsiTheme="minorEastAsia" w:eastAsiaTheme="minorEastAsia" w:cstheme="minorEastAsia"/>
          <w:sz w:val="21"/>
          <w:szCs w:val="21"/>
          <w:lang w:eastAsia="zh-CN"/>
        </w:rPr>
        <w:t>个月，缺陷责任期自甲方整体工程竣工验收合格且总承包工程交接证书中载明的交接之日起计算。</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（注：若工程类别为公路项目，缺陷责任期则为“自甲方整体工程交工验收合格并通车运营且总承包工程交接证书中载明的交接之日起计算”）</w:t>
      </w:r>
    </w:p>
    <w:p w14:paraId="3D6E30D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20.2质量保修期：</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年，质量保修期自甲方整体工程竣工验收合格且总承包工程交接证书中载明的交接之日起计算。</w:t>
      </w:r>
      <w:r>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t>（注：若工程类别为公路项目，质量保修期则为“自甲方整体工程交工验收合格并通车运营且总承包工程交接证书中载明的交接之日起计算”）</w:t>
      </w:r>
    </w:p>
    <w:p w14:paraId="3D6E30D6">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83" w:name="_Toc18145"/>
      <w:bookmarkStart w:id="1084" w:name="_Toc9484"/>
      <w:bookmarkStart w:id="1085" w:name="_Toc32301"/>
      <w:bookmarkStart w:id="1086" w:name="_Toc24792"/>
      <w:bookmarkStart w:id="1087" w:name="_Toc26076"/>
      <w:bookmarkStart w:id="1088" w:name="_Toc3596"/>
      <w:bookmarkStart w:id="1089" w:name="_Toc30242"/>
      <w:bookmarkStart w:id="1090" w:name="_Toc7605"/>
      <w:bookmarkStart w:id="1091" w:name="_Toc21668"/>
      <w:bookmarkStart w:id="1092" w:name="_Toc101963530"/>
      <w:bookmarkStart w:id="1093" w:name="_Toc14158"/>
      <w:bookmarkStart w:id="1094" w:name="_Toc6172"/>
      <w:bookmarkStart w:id="1095" w:name="_Toc12525"/>
      <w:bookmarkStart w:id="1096" w:name="_Toc24061"/>
      <w:bookmarkStart w:id="1097" w:name="_Toc24423"/>
      <w:bookmarkStart w:id="1098" w:name="_Toc101357479"/>
      <w:bookmarkStart w:id="1099" w:name="_Toc175772269"/>
      <w:bookmarkStart w:id="1100" w:name="_Toc18693"/>
      <w:bookmarkStart w:id="1101" w:name="_Toc15560"/>
      <w:bookmarkStart w:id="1102" w:name="_Toc18945"/>
      <w:bookmarkStart w:id="1103" w:name="_Toc26482"/>
      <w:r>
        <w:rPr>
          <w:rFonts w:hint="eastAsia" w:asciiTheme="minorEastAsia" w:hAnsiTheme="minorEastAsia" w:eastAsiaTheme="minorEastAsia" w:cstheme="minorEastAsia"/>
          <w:b/>
          <w:sz w:val="21"/>
          <w:szCs w:val="21"/>
        </w:rPr>
        <w:t>保险</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3D6E30D7">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D8">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 xml:space="preserve">21.1甲方投保内容：施工人员意外伤害险，从乙方结算价款中扣除，保费扣除金额= </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（乙方合同价款）*</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lang w:eastAsia="zh-CN"/>
        </w:rPr>
        <w:t>（保费费率）。</w:t>
      </w:r>
    </w:p>
    <w:p w14:paraId="3D6E30D9">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04" w:name="_Toc26543"/>
      <w:bookmarkStart w:id="1105" w:name="_Toc15928"/>
      <w:bookmarkStart w:id="1106" w:name="_Toc9356"/>
      <w:bookmarkStart w:id="1107" w:name="_Toc101963531"/>
      <w:bookmarkStart w:id="1108" w:name="_Toc24557"/>
      <w:bookmarkStart w:id="1109" w:name="_Toc7215"/>
      <w:bookmarkStart w:id="1110" w:name="_Toc16794"/>
      <w:bookmarkStart w:id="1111" w:name="_Toc19013"/>
      <w:bookmarkStart w:id="1112" w:name="_Toc18600"/>
      <w:bookmarkStart w:id="1113" w:name="_Toc634"/>
      <w:bookmarkStart w:id="1114" w:name="_Toc7971"/>
      <w:bookmarkStart w:id="1115" w:name="_Toc22941"/>
      <w:bookmarkStart w:id="1116" w:name="_Toc20802"/>
      <w:bookmarkStart w:id="1117" w:name="_Toc101357480"/>
      <w:bookmarkStart w:id="1118" w:name="_Toc28353"/>
      <w:bookmarkStart w:id="1119" w:name="_Toc3384"/>
      <w:bookmarkStart w:id="1120" w:name="_Toc3222"/>
      <w:bookmarkStart w:id="1121" w:name="_Toc19476"/>
      <w:bookmarkStart w:id="1122" w:name="_Toc13977"/>
      <w:bookmarkStart w:id="1123" w:name="_Toc17268"/>
      <w:bookmarkStart w:id="1124" w:name="_Toc175772270"/>
      <w:r>
        <w:rPr>
          <w:rFonts w:hint="eastAsia" w:asciiTheme="minorEastAsia" w:hAnsiTheme="minorEastAsia" w:eastAsiaTheme="minorEastAsia" w:cstheme="minorEastAsia"/>
          <w:b/>
          <w:sz w:val="21"/>
          <w:szCs w:val="21"/>
        </w:rPr>
        <w:t>不可抗力</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D6E30DA">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r>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t>（可修改或新增条款）</w:t>
      </w:r>
    </w:p>
    <w:p w14:paraId="3D6E30DB">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25" w:name="_Toc6999"/>
      <w:bookmarkStart w:id="1126" w:name="_Toc101963532"/>
      <w:bookmarkStart w:id="1127" w:name="_Toc12979"/>
      <w:bookmarkStart w:id="1128" w:name="_Toc18426"/>
      <w:bookmarkStart w:id="1129" w:name="_Toc15121"/>
      <w:bookmarkStart w:id="1130" w:name="_Toc20420"/>
      <w:bookmarkStart w:id="1131" w:name="_Toc101357481"/>
      <w:bookmarkStart w:id="1132" w:name="_Toc11400"/>
      <w:bookmarkStart w:id="1133" w:name="_Toc21145"/>
      <w:bookmarkStart w:id="1134" w:name="_Toc26578"/>
      <w:bookmarkStart w:id="1135" w:name="_Toc24784"/>
      <w:bookmarkStart w:id="1136" w:name="_Toc19605"/>
      <w:bookmarkStart w:id="1137" w:name="_Toc30852"/>
      <w:bookmarkStart w:id="1138" w:name="_Toc2628"/>
      <w:bookmarkStart w:id="1139" w:name="_Toc16901"/>
      <w:bookmarkStart w:id="1140" w:name="_Toc5749"/>
      <w:bookmarkStart w:id="1141" w:name="_Toc175772271"/>
      <w:bookmarkStart w:id="1142" w:name="_Toc10662"/>
      <w:bookmarkStart w:id="1143" w:name="_Toc2889"/>
      <w:bookmarkStart w:id="1144" w:name="_Toc14862"/>
      <w:bookmarkStart w:id="1145" w:name="_Toc28990"/>
      <w:r>
        <w:rPr>
          <w:rFonts w:hint="eastAsia" w:asciiTheme="minorEastAsia" w:hAnsiTheme="minorEastAsia" w:eastAsiaTheme="minorEastAsia" w:cstheme="minorEastAsia"/>
          <w:b/>
          <w:sz w:val="21"/>
          <w:szCs w:val="21"/>
        </w:rPr>
        <w:t>违约</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3D6E30DC">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bookmarkStart w:id="1146" w:name="_Toc101963533"/>
      <w:bookmarkStart w:id="1147" w:name="_Toc4860"/>
      <w:bookmarkStart w:id="1148" w:name="_Toc5986"/>
      <w:bookmarkStart w:id="1149" w:name="_Toc27782"/>
      <w:bookmarkStart w:id="1150" w:name="_Toc4047"/>
      <w:bookmarkStart w:id="1151" w:name="_Toc16290"/>
      <w:bookmarkStart w:id="1152" w:name="_Toc30012"/>
      <w:bookmarkStart w:id="1153" w:name="_Toc23242"/>
      <w:bookmarkStart w:id="1154" w:name="_Toc8437"/>
      <w:bookmarkStart w:id="1155" w:name="_Toc24887"/>
      <w:bookmarkStart w:id="1156" w:name="_Toc16061"/>
      <w:bookmarkStart w:id="1157" w:name="_Toc22716"/>
      <w:bookmarkStart w:id="1158" w:name="_Toc13869"/>
      <w:bookmarkStart w:id="1159" w:name="_Toc101357482"/>
      <w:bookmarkStart w:id="1160" w:name="_Toc12743"/>
      <w:bookmarkStart w:id="1161" w:name="_Toc25592"/>
      <w:bookmarkStart w:id="1162" w:name="_Toc30088"/>
      <w:bookmarkStart w:id="1163" w:name="_Toc2136"/>
      <w:bookmarkStart w:id="1164" w:name="_Toc4020"/>
      <w:bookmarkStart w:id="1165" w:name="_Toc31565"/>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(以下条款在通用条款基础上进一步补充）</w:t>
      </w:r>
    </w:p>
    <w:p w14:paraId="3D6E30D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23.3乙方转包、挂靠和再分包的，甲方可以单方解除合同，且乙方应承担签约合同价</w:t>
      </w:r>
      <w:r>
        <w:rPr>
          <w:rFonts w:hint="eastAsia" w:asciiTheme="minorEastAsia" w:hAnsiTheme="minorEastAsia" w:eastAsiaTheme="minorEastAsia" w:cstheme="minorEastAsia"/>
          <w:kern w:val="10"/>
          <w:sz w:val="21"/>
          <w:szCs w:val="21"/>
          <w:u w:val="single"/>
          <w:lang w:eastAsia="zh-CN"/>
        </w:rPr>
        <w:t xml:space="preserve"> 20 %</w:t>
      </w:r>
      <w:r>
        <w:rPr>
          <w:rFonts w:hint="eastAsia" w:asciiTheme="minorEastAsia" w:hAnsiTheme="minorEastAsia" w:eastAsiaTheme="minorEastAsia" w:cstheme="minorEastAsia"/>
          <w:kern w:val="10"/>
          <w:sz w:val="21"/>
          <w:szCs w:val="21"/>
          <w:lang w:eastAsia="zh-CN"/>
        </w:rPr>
        <w:t>的惩罚性违约金并赔偿甲方所有的损失（包括但不限于诉讼费、律师费、行政处罚等）</w:t>
      </w: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r>
        <w:rPr>
          <w:rFonts w:hint="eastAsia" w:asciiTheme="minorEastAsia" w:hAnsiTheme="minorEastAsia" w:eastAsiaTheme="minorEastAsia" w:cstheme="minorEastAsia"/>
          <w:kern w:val="10"/>
          <w:sz w:val="21"/>
          <w:szCs w:val="21"/>
          <w:lang w:eastAsia="zh-CN"/>
        </w:rPr>
        <w:t>。</w:t>
      </w:r>
    </w:p>
    <w:p w14:paraId="3D6E30DE">
      <w:pPr>
        <w:kinsoku w:val="0"/>
        <w:spacing w:after="0" w:line="360" w:lineRule="auto"/>
        <w:ind w:firstLine="420" w:firstLineChars="200"/>
        <w:jc w:val="both"/>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0D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 安全违约</w:t>
      </w:r>
    </w:p>
    <w:p w14:paraId="3D6E30E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23.6.1乙方因违反国家安全质量法规及本合同有关条款约定，出现火灾、坍塌、人员重伤、死亡等生产安全事故，则乙方应承担全部损失，并按相关法规接受行政及法律处罚；如造成甲方及对第三人利益的损害等，该损害赔偿责任均由乙方承担。</w:t>
      </w:r>
    </w:p>
    <w:p w14:paraId="3D6E30E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23.6.2由乙方原因发生的安全事故或</w:t>
      </w:r>
      <w:r>
        <w:rPr>
          <w:rFonts w:hint="eastAsia" w:asciiTheme="minorEastAsia" w:hAnsiTheme="minorEastAsia" w:eastAsiaTheme="minorEastAsia" w:cstheme="minorEastAsia"/>
          <w:sz w:val="21"/>
          <w:szCs w:val="21"/>
          <w:lang w:eastAsia="zh-CN"/>
        </w:rPr>
        <w:t>由于乙方原因导致隐患与违章在各级各类监督检查过程中，</w:t>
      </w:r>
      <w:r>
        <w:rPr>
          <w:rFonts w:hint="eastAsia" w:asciiTheme="minorEastAsia" w:hAnsiTheme="minorEastAsia" w:eastAsiaTheme="minorEastAsia" w:cstheme="minorEastAsia"/>
          <w:kern w:val="10"/>
          <w:sz w:val="21"/>
          <w:szCs w:val="21"/>
          <w:lang w:eastAsia="zh-CN"/>
        </w:rPr>
        <w:t>给甲方造成</w:t>
      </w:r>
      <w:r>
        <w:rPr>
          <w:rFonts w:hint="eastAsia" w:asciiTheme="minorEastAsia" w:hAnsiTheme="minorEastAsia" w:eastAsiaTheme="minorEastAsia" w:cstheme="minorEastAsia"/>
          <w:sz w:val="21"/>
          <w:szCs w:val="21"/>
          <w:lang w:eastAsia="zh-CN"/>
        </w:rPr>
        <w:t>信誉评价扣分</w:t>
      </w:r>
      <w:r>
        <w:rPr>
          <w:rFonts w:hint="eastAsia" w:asciiTheme="minorEastAsia" w:hAnsiTheme="minorEastAsia" w:eastAsiaTheme="minorEastAsia" w:cstheme="minorEastAsia"/>
          <w:kern w:val="10"/>
          <w:sz w:val="21"/>
          <w:szCs w:val="21"/>
          <w:lang w:eastAsia="zh-CN"/>
        </w:rPr>
        <w:t>、经济损失，</w:t>
      </w:r>
      <w:r>
        <w:rPr>
          <w:rFonts w:hint="eastAsia" w:asciiTheme="minorEastAsia" w:hAnsiTheme="minorEastAsia" w:eastAsiaTheme="minorEastAsia" w:cstheme="minorEastAsia"/>
          <w:sz w:val="21"/>
          <w:szCs w:val="21"/>
          <w:lang w:eastAsia="zh-CN"/>
        </w:rPr>
        <w:t>以及停止招投标等市场影响的，所有经济损失由乙方承担，并按甲方公司及项目安全管理规定进行处罚。</w:t>
      </w:r>
    </w:p>
    <w:p w14:paraId="3D6E30E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23.6.3甲方和乙方应对各自施工现场的工作人员进行安全教育，作业前进行安全技术交底。发生重大伤亡事故及其他安全事故后，首先施救、保护现场，第一时间通知甲方，由甲方按政府有关部门要求进行处理，由事故责任方承担责任和相应的费用，伤亡事故的善后处理由乙方负责。</w:t>
      </w:r>
    </w:p>
    <w:p w14:paraId="3D6E30E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23.6.4如乙方违反国家、地方、甲方及本合同关于安全文明施工的规定，但尚未造成生产安全事故，乙方应及时改正行为并赔偿相关方的损失，如未及时整改，</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b/>
          <w:bCs/>
          <w:sz w:val="21"/>
          <w:szCs w:val="21"/>
          <w:lang w:eastAsia="zh-CN"/>
        </w:rPr>
        <w:t>因乙方原因未达到本合同约定的安全文明施工标准时，乙方向甲方支付签约合同价</w:t>
      </w:r>
      <w:r>
        <w:rPr>
          <w:rFonts w:hint="eastAsia" w:asciiTheme="minorEastAsia" w:hAnsiTheme="minorEastAsia" w:eastAsiaTheme="minorEastAsia" w:cstheme="minorEastAsia"/>
          <w:b/>
          <w:bCs/>
          <w:sz w:val="21"/>
          <w:szCs w:val="21"/>
          <w:u w:val="single"/>
          <w:lang w:eastAsia="zh-CN"/>
        </w:rPr>
        <w:t xml:space="preserve">  5  </w:t>
      </w:r>
      <w:r>
        <w:rPr>
          <w:rFonts w:hint="eastAsia" w:asciiTheme="minorEastAsia" w:hAnsiTheme="minorEastAsia" w:eastAsiaTheme="minorEastAsia" w:cstheme="minorEastAsia"/>
          <w:b/>
          <w:bCs/>
          <w:sz w:val="21"/>
          <w:szCs w:val="21"/>
          <w:lang w:eastAsia="zh-CN"/>
        </w:rPr>
        <w:t>%的违约金，并承担因此给甲方造成的全部损失。</w:t>
      </w:r>
      <w:r>
        <w:rPr>
          <w:rFonts w:hint="eastAsia" w:asciiTheme="minorEastAsia" w:hAnsiTheme="minorEastAsia" w:eastAsiaTheme="minorEastAsia" w:cstheme="minorEastAsia"/>
          <w:sz w:val="21"/>
          <w:szCs w:val="21"/>
          <w:lang w:eastAsia="zh-CN"/>
        </w:rPr>
        <w:t>安全文明工地建设参照当地主管部门的有关标准验收，用工等费用已包含在乙方报价中。</w:t>
      </w:r>
    </w:p>
    <w:p w14:paraId="3D6E30E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23.6.5乙方必须接受相关方和甲方组织的安全、文明施工的检查，检查中的不合格项目、安全隐患必须在规定的时间内整改完成，否则将</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kern w:val="10"/>
          <w:sz w:val="21"/>
          <w:szCs w:val="21"/>
          <w:lang w:eastAsia="zh-CN"/>
        </w:rPr>
        <w:t>直至整改合格。</w:t>
      </w:r>
    </w:p>
    <w:p w14:paraId="3D6E30E5">
      <w:pPr>
        <w:kinsoku w:val="0"/>
        <w:spacing w:after="0" w:line="360" w:lineRule="auto"/>
        <w:ind w:firstLine="422" w:firstLineChars="200"/>
        <w:jc w:val="both"/>
        <w:rPr>
          <w:rFonts w:hint="eastAsia" w:asciiTheme="minorEastAsia" w:hAnsiTheme="minorEastAsia" w:eastAsiaTheme="minorEastAsia" w:cstheme="minorEastAsia"/>
          <w:b/>
          <w:kern w:val="10"/>
          <w:sz w:val="21"/>
          <w:szCs w:val="21"/>
          <w:lang w:eastAsia="zh-CN"/>
        </w:rPr>
      </w:pPr>
      <w:r>
        <w:rPr>
          <w:rFonts w:hint="eastAsia" w:asciiTheme="minorEastAsia" w:hAnsiTheme="minorEastAsia" w:eastAsiaTheme="minorEastAsia" w:cstheme="minorEastAsia"/>
          <w:b/>
          <w:kern w:val="10"/>
          <w:sz w:val="21"/>
          <w:szCs w:val="21"/>
          <w:lang w:eastAsia="zh-CN"/>
        </w:rPr>
        <w:t>23.6.6</w:t>
      </w:r>
      <w:r>
        <w:rPr>
          <w:rFonts w:hint="eastAsia" w:asciiTheme="minorEastAsia" w:hAnsiTheme="minorEastAsia" w:eastAsiaTheme="minorEastAsia" w:cstheme="minorEastAsia"/>
          <w:b/>
          <w:sz w:val="21"/>
          <w:szCs w:val="21"/>
          <w:lang w:eastAsia="zh-CN"/>
        </w:rPr>
        <w:t>乙方未按法规要求及合同承诺配备专职安全管理人员，乙方应限期整改，若乙方未能在限期内完成整改，每缺少1名专职安全管理人员，乙方向甲方支付</w:t>
      </w:r>
      <w:r>
        <w:rPr>
          <w:rFonts w:hint="eastAsia" w:asciiTheme="minorEastAsia" w:hAnsiTheme="minorEastAsia" w:eastAsiaTheme="minorEastAsia" w:cstheme="minorEastAsia"/>
          <w:b/>
          <w:sz w:val="21"/>
          <w:szCs w:val="21"/>
          <w:u w:val="single"/>
          <w:lang w:eastAsia="zh-CN"/>
        </w:rPr>
        <w:t>20000</w:t>
      </w:r>
      <w:r>
        <w:rPr>
          <w:rFonts w:hint="eastAsia" w:asciiTheme="minorEastAsia" w:hAnsiTheme="minorEastAsia" w:eastAsiaTheme="minorEastAsia" w:cstheme="minorEastAsia"/>
          <w:b/>
          <w:sz w:val="21"/>
          <w:szCs w:val="21"/>
          <w:lang w:eastAsia="zh-CN"/>
        </w:rPr>
        <w:t>元违约金。</w:t>
      </w:r>
    </w:p>
    <w:p w14:paraId="3D6E30E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 质量违约</w:t>
      </w:r>
    </w:p>
    <w:p w14:paraId="3D6E30E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23.7.1因乙方质量原因出现以下情形的，乙方须承担相应违约责任。</w:t>
      </w:r>
    </w:p>
    <w:p w14:paraId="3D6E30E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（1）不按图施工，每次乙方向甲方支付违约金人民币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（2）未进行隐蔽验收，验收不合格强行施工，每次乙方向甲方支付违约金人民币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（3）施工质量不符合设计及规范要求，每次乙方向甲方支付违约金人民币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（4）未进行条件验收，条件验收不合格继续施工，或发现质量问题隐患隐瞒不报、未经甲方允许自行处理的，每次乙方向甲方支付违约金人民币</w:t>
      </w:r>
      <w:r>
        <w:rPr>
          <w:rFonts w:hint="eastAsia" w:asciiTheme="minorEastAsia" w:hAnsiTheme="minorEastAsia" w:eastAsiaTheme="minorEastAsia" w:cstheme="minorEastAsia"/>
          <w:b/>
          <w:kern w:val="10"/>
          <w:sz w:val="21"/>
          <w:szCs w:val="21"/>
          <w:u w:val="single"/>
          <w:lang w:eastAsia="zh-CN"/>
        </w:rPr>
        <w:t>5000-10000</w:t>
      </w:r>
      <w:r>
        <w:rPr>
          <w:rFonts w:hint="eastAsia" w:asciiTheme="minorEastAsia" w:hAnsiTheme="minorEastAsia" w:eastAsiaTheme="minorEastAsia" w:cstheme="minorEastAsia"/>
          <w:kern w:val="10"/>
          <w:sz w:val="21"/>
          <w:szCs w:val="21"/>
          <w:lang w:eastAsia="zh-CN"/>
        </w:rPr>
        <w:t>元。</w:t>
      </w:r>
    </w:p>
    <w:p w14:paraId="3D6E30E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（5）成品防护不到位，施工后出现较大面积破损或污染，每处乙方向甲方支付违约金人民币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3D6E30E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（6）原材料、设备未按国家及行业相关规定进行报验、审批或手续不全，已投入使用；乙方未按要求及时上报主要材料、设备使用计划或不能及时上报审批用相关资料，每次乙方向甲方支付违约金人民币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元。如在施工过程中发现材料质量不合格，乙方除负责更换合格材料外，每次乙方向甲方支付违约金人民币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元，并承担因此给甲方造成的全部损失。</w:t>
      </w:r>
    </w:p>
    <w:p w14:paraId="3D6E30EE">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甲方与建设单位间的隐蔽工程验收、分部分项工程验收以及工程竣工验收表明分包作业质量不合格时，乙方应负责无偿整改，作业期限不予延长，并承担由此导致的甲方的全部损失。若乙方接到甲方整改通知单后</w:t>
      </w:r>
      <w:r>
        <w:rPr>
          <w:rFonts w:hint="eastAsia" w:asciiTheme="minorEastAsia" w:hAnsiTheme="minorEastAsia" w:eastAsiaTheme="minorEastAsia" w:cstheme="minorEastAsia"/>
          <w:kern w:val="10"/>
          <w:sz w:val="21"/>
          <w:szCs w:val="21"/>
          <w:u w:val="single"/>
          <w:lang w:eastAsia="zh-CN"/>
        </w:rPr>
        <w:t xml:space="preserve"> 24小时 </w:t>
      </w:r>
      <w:r>
        <w:rPr>
          <w:rFonts w:hint="eastAsia" w:asciiTheme="minorEastAsia" w:hAnsiTheme="minorEastAsia" w:eastAsiaTheme="minorEastAsia" w:cstheme="minorEastAsia"/>
          <w:kern w:val="10"/>
          <w:sz w:val="21"/>
          <w:szCs w:val="21"/>
          <w:lang w:eastAsia="zh-CN"/>
        </w:rPr>
        <w:t>内未进行整改或整改不合格的，甲方</w:t>
      </w:r>
      <w:r>
        <w:rPr>
          <w:rStyle w:val="19"/>
          <w:rFonts w:hint="eastAsia" w:asciiTheme="minorEastAsia" w:hAnsiTheme="minorEastAsia" w:eastAsiaTheme="minorEastAsia" w:cstheme="minorEastAsia"/>
          <w:lang w:eastAsia="zh-CN"/>
        </w:rPr>
        <w:t>可以自行</w:t>
      </w:r>
      <w:r>
        <w:rPr>
          <w:rFonts w:hint="eastAsia" w:asciiTheme="minorEastAsia" w:hAnsiTheme="minorEastAsia" w:eastAsiaTheme="minorEastAsia" w:cstheme="minorEastAsia"/>
          <w:kern w:val="10"/>
          <w:sz w:val="21"/>
          <w:szCs w:val="21"/>
          <w:lang w:eastAsia="zh-CN"/>
        </w:rPr>
        <w:t>委托第三方完成，此部分费用由乙方承担并向甲方支付违约金人民币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w:t>
      </w:r>
    </w:p>
    <w:p w14:paraId="3D6E30EF">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（8）如乙方未能按照约定履行维修义务，甲方可在乙方的质保金中扣除相关维修费用，并要求乙方承担维修费用</w:t>
      </w:r>
      <w:r>
        <w:rPr>
          <w:rFonts w:hint="eastAsia" w:asciiTheme="minorEastAsia" w:hAnsiTheme="minorEastAsia" w:eastAsiaTheme="minorEastAsia" w:cstheme="minorEastAsia"/>
          <w:b/>
          <w:kern w:val="10"/>
          <w:sz w:val="21"/>
          <w:szCs w:val="21"/>
          <w:u w:val="single"/>
          <w:lang w:eastAsia="zh-CN"/>
        </w:rPr>
        <w:t>20%</w:t>
      </w:r>
      <w:r>
        <w:rPr>
          <w:rFonts w:hint="eastAsia" w:asciiTheme="minorEastAsia" w:hAnsiTheme="minorEastAsia" w:eastAsiaTheme="minorEastAsia" w:cstheme="minorEastAsia"/>
          <w:kern w:val="10"/>
          <w:sz w:val="21"/>
          <w:szCs w:val="21"/>
          <w:lang w:eastAsia="zh-CN"/>
        </w:rPr>
        <w:t>的违约金，不足部分及因乙方拒绝维修导致额外的损失，甲方将继续向乙方追偿。</w:t>
      </w:r>
    </w:p>
    <w:p w14:paraId="3D6E30F0">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（9）被建设单位、甲方公司及其上级单位质量检查通报排名倒数后两名的，乙方按照</w:t>
      </w:r>
      <w:r>
        <w:rPr>
          <w:rFonts w:hint="eastAsia" w:asciiTheme="minorEastAsia" w:hAnsiTheme="minorEastAsia" w:eastAsiaTheme="minorEastAsia"/>
          <w:b/>
          <w:sz w:val="21"/>
          <w:szCs w:val="21"/>
          <w:u w:val="single"/>
        </w:rPr>
        <w:t>3000～5000</w:t>
      </w:r>
      <w:r>
        <w:rPr>
          <w:rFonts w:hint="eastAsia" w:asciiTheme="minorEastAsia" w:hAnsiTheme="minorEastAsia" w:eastAsiaTheme="minorEastAsia"/>
          <w:sz w:val="21"/>
          <w:szCs w:val="21"/>
        </w:rPr>
        <w:t>元/次承担违约金。同一项目，被连续通报倒数后两名的，违约金加倍。</w:t>
      </w:r>
    </w:p>
    <w:p w14:paraId="3D6E30F1">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（10）被建设单位投诉到甲方公司及其上级单位主管部门的，乙方按照</w:t>
      </w:r>
      <w:r>
        <w:rPr>
          <w:rFonts w:hint="eastAsia" w:asciiTheme="minorEastAsia" w:hAnsiTheme="minorEastAsia" w:eastAsiaTheme="minorEastAsia"/>
          <w:b/>
          <w:sz w:val="21"/>
          <w:szCs w:val="21"/>
          <w:u w:val="single"/>
        </w:rPr>
        <w:t>10000～50000</w:t>
      </w:r>
      <w:r>
        <w:rPr>
          <w:rFonts w:hint="eastAsia" w:asciiTheme="minorEastAsia" w:hAnsiTheme="minorEastAsia" w:eastAsiaTheme="minorEastAsia"/>
          <w:sz w:val="21"/>
          <w:szCs w:val="21"/>
        </w:rPr>
        <w:t>元/次承担违约金。同一项目，半年期内连续被投诉，违约金加倍。</w:t>
      </w:r>
    </w:p>
    <w:p w14:paraId="3D6E30F2">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（11）被新闻媒体曝光的，乙方按照</w:t>
      </w:r>
      <w:r>
        <w:rPr>
          <w:rFonts w:hint="eastAsia" w:asciiTheme="minorEastAsia" w:hAnsiTheme="minorEastAsia" w:eastAsiaTheme="minorEastAsia"/>
          <w:b/>
          <w:sz w:val="21"/>
          <w:szCs w:val="21"/>
          <w:u w:val="single"/>
        </w:rPr>
        <w:t>20000～100000</w:t>
      </w:r>
      <w:r>
        <w:rPr>
          <w:rFonts w:hint="eastAsia" w:asciiTheme="minorEastAsia" w:hAnsiTheme="minorEastAsia" w:eastAsiaTheme="minorEastAsia"/>
          <w:sz w:val="21"/>
          <w:szCs w:val="21"/>
        </w:rPr>
        <w:t>元/次承担违约金。</w:t>
      </w:r>
    </w:p>
    <w:p w14:paraId="3D6E30F3">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（12）被政府主管部门行政处罚的，乙方除按处罚金额交款外，另外按照罚款金额的</w:t>
      </w:r>
      <w:r>
        <w:rPr>
          <w:rFonts w:hint="eastAsia" w:asciiTheme="minorEastAsia" w:hAnsiTheme="minorEastAsia" w:eastAsiaTheme="minorEastAsia"/>
          <w:b/>
          <w:sz w:val="21"/>
          <w:szCs w:val="21"/>
          <w:u w:val="single"/>
        </w:rPr>
        <w:t>两倍</w:t>
      </w:r>
      <w:r>
        <w:rPr>
          <w:rFonts w:hint="eastAsia" w:asciiTheme="minorEastAsia" w:hAnsiTheme="minorEastAsia" w:eastAsiaTheme="minorEastAsia"/>
          <w:sz w:val="21"/>
          <w:szCs w:val="21"/>
        </w:rPr>
        <w:t>承担违约金。</w:t>
      </w:r>
    </w:p>
    <w:p w14:paraId="3D6E30F4">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（13）被政府主管部门责令停工、限制投标以及降低资质的，乙方按照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3D6E30F5">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（14）被国家、地方政府建设主管部门在执法检查中典型通报，违反国家强制性标准，或质量较差造成恶劣影响的，乙方按照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3D6E30F6">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23.7.2发生质量事故的，乙方按照下述承担违约责任。</w:t>
      </w:r>
    </w:p>
    <w:p w14:paraId="3D6E30F7">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（1）特别重大质量事故直接责任人应依法追究其刑事责任及民事责任。乙方按照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500000～1000000</w:t>
      </w:r>
      <w:r>
        <w:rPr>
          <w:rFonts w:hint="eastAsia" w:asciiTheme="minorEastAsia" w:hAnsiTheme="minorEastAsia" w:eastAsiaTheme="minorEastAsia" w:cstheme="minorEastAsia"/>
          <w:kern w:val="10"/>
          <w:sz w:val="21"/>
          <w:szCs w:val="21"/>
          <w:lang w:eastAsia="zh-CN"/>
        </w:rPr>
        <w:t>元/次承担违约金。</w:t>
      </w:r>
    </w:p>
    <w:p w14:paraId="3D6E30F8">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w:t>
      </w:r>
      <w:r>
        <w:rPr>
          <w:rFonts w:hint="eastAsia" w:asciiTheme="minorEastAsia" w:hAnsiTheme="minorEastAsia" w:eastAsiaTheme="minorEastAsia" w:cstheme="minorEastAsia"/>
          <w:sz w:val="21"/>
          <w:szCs w:val="21"/>
          <w:lang w:eastAsia="zh-CN"/>
        </w:rPr>
        <w:t>重大质量事故的</w:t>
      </w:r>
      <w:r>
        <w:rPr>
          <w:rFonts w:hint="eastAsia" w:asciiTheme="minorEastAsia" w:hAnsiTheme="minorEastAsia" w:eastAsiaTheme="minorEastAsia" w:cstheme="minorEastAsia"/>
          <w:kern w:val="10"/>
          <w:sz w:val="21"/>
          <w:szCs w:val="21"/>
          <w:lang w:eastAsia="zh-CN"/>
        </w:rPr>
        <w:t>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100000～200000</w:t>
      </w:r>
      <w:r>
        <w:rPr>
          <w:rFonts w:hint="eastAsia" w:asciiTheme="minorEastAsia" w:hAnsiTheme="minorEastAsia" w:eastAsiaTheme="minorEastAsia" w:cstheme="minorEastAsia"/>
          <w:kern w:val="10"/>
          <w:sz w:val="21"/>
          <w:szCs w:val="21"/>
          <w:lang w:eastAsia="zh-CN"/>
        </w:rPr>
        <w:t>元/次承担违约金。</w:t>
      </w:r>
    </w:p>
    <w:p w14:paraId="3D6E30F9">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（3）较大质量事故的直接责任人应依法追究其民事责任，因事故造成人员死亡时应依法追究其刑事责任。乙方按照</w:t>
      </w:r>
      <w:r>
        <w:rPr>
          <w:rFonts w:hint="eastAsia" w:asciiTheme="minorEastAsia" w:hAnsiTheme="minorEastAsia" w:eastAsiaTheme="minorEastAsia" w:cstheme="minorEastAsia"/>
          <w:b/>
          <w:kern w:val="10"/>
          <w:sz w:val="21"/>
          <w:szCs w:val="21"/>
          <w:u w:val="single"/>
          <w:lang w:eastAsia="zh-CN"/>
        </w:rPr>
        <w:t>50000～200000</w:t>
      </w:r>
      <w:r>
        <w:rPr>
          <w:rFonts w:hint="eastAsia" w:asciiTheme="minorEastAsia" w:hAnsiTheme="minorEastAsia" w:eastAsiaTheme="minorEastAsia" w:cstheme="minorEastAsia"/>
          <w:kern w:val="10"/>
          <w:sz w:val="21"/>
          <w:szCs w:val="21"/>
          <w:lang w:eastAsia="zh-CN"/>
        </w:rPr>
        <w:t>元/次承担违约金。</w:t>
      </w:r>
    </w:p>
    <w:p w14:paraId="3D6E30FA">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（4）一般质量事故的直接责任人违约金额度不应低于事故直接经济损失的5%，亦不应低于100000元。乙方按照</w:t>
      </w:r>
      <w:r>
        <w:rPr>
          <w:rFonts w:hint="eastAsia" w:asciiTheme="minorEastAsia" w:hAnsiTheme="minorEastAsia" w:eastAsiaTheme="minorEastAsia" w:cstheme="minorEastAsia"/>
          <w:b/>
          <w:kern w:val="10"/>
          <w:sz w:val="21"/>
          <w:szCs w:val="21"/>
          <w:u w:val="single"/>
          <w:lang w:eastAsia="zh-CN"/>
        </w:rPr>
        <w:t>10000～50000</w:t>
      </w:r>
      <w:r>
        <w:rPr>
          <w:rFonts w:hint="eastAsia" w:asciiTheme="minorEastAsia" w:hAnsiTheme="minorEastAsia" w:eastAsiaTheme="minorEastAsia" w:cstheme="minorEastAsia"/>
          <w:kern w:val="10"/>
          <w:sz w:val="21"/>
          <w:szCs w:val="21"/>
          <w:lang w:eastAsia="zh-CN"/>
        </w:rPr>
        <w:t>元/次承担违约金。</w:t>
      </w:r>
    </w:p>
    <w:p w14:paraId="3D6E30F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23.7.3乙方必须接受相关部门和甲方组织的工程质量检查，检查中发现的不合格项目必须在规定的整改时间内完成。</w:t>
      </w:r>
    </w:p>
    <w:p w14:paraId="3D6E30F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23.7.4因乙方原因造成本工程质量达不到合同约定质量标准和创优目标的，甲方可采取不办理结算、不支付工程款，乙方承担合同价款10%的违约金，甲方可选择解除合同，乙方承担因此造成的一切经济损失。</w:t>
      </w:r>
    </w:p>
    <w:p w14:paraId="3D6E30F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上述罚款行为视为乙方的违约行为，罚款视为乙方应支付的违约金，23.7.1和23.7.2条款所涉及违约事项由同一行为导致的或发生多项违约行为的，</w:t>
      </w:r>
      <w:r>
        <w:rPr>
          <w:rFonts w:hint="eastAsia" w:asciiTheme="minorEastAsia" w:hAnsiTheme="minorEastAsia" w:eastAsiaTheme="minorEastAsia" w:cstheme="minorEastAsia"/>
          <w:b/>
          <w:bCs/>
          <w:kern w:val="10"/>
          <w:sz w:val="21"/>
          <w:szCs w:val="21"/>
          <w:lang w:eastAsia="zh-CN"/>
        </w:rPr>
        <w:t>违约金累加计算</w:t>
      </w:r>
      <w:r>
        <w:rPr>
          <w:rFonts w:hint="eastAsia" w:asciiTheme="minorEastAsia" w:hAnsiTheme="minorEastAsia" w:eastAsiaTheme="minorEastAsia" w:cstheme="minorEastAsia"/>
          <w:kern w:val="10"/>
          <w:sz w:val="21"/>
          <w:szCs w:val="21"/>
          <w:lang w:eastAsia="zh-CN"/>
        </w:rPr>
        <w:t>，甲方可选择在过程结算中扣除，也可在最终结算时扣除。</w:t>
      </w:r>
    </w:p>
    <w:p w14:paraId="3D6E30F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23.8工期违约</w:t>
      </w:r>
    </w:p>
    <w:p w14:paraId="3D6E30F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23.8.1乙方工期节点延误，每延误一天，乙方支付</w:t>
      </w:r>
      <w:r>
        <w:rPr>
          <w:rFonts w:hint="eastAsia" w:asciiTheme="minorEastAsia" w:hAnsiTheme="minorEastAsia" w:eastAsiaTheme="minorEastAsia" w:cstheme="minorEastAsia"/>
          <w:b/>
          <w:kern w:val="10"/>
          <w:sz w:val="21"/>
          <w:szCs w:val="21"/>
          <w:u w:val="single"/>
          <w:lang w:eastAsia="zh-CN"/>
        </w:rPr>
        <w:t xml:space="preserve">1000 </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误期违约赔偿金，最高赔偿金不超过合同价款的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b/>
          <w:kern w:val="10"/>
          <w:sz w:val="21"/>
          <w:szCs w:val="21"/>
          <w:lang w:eastAsia="zh-CN"/>
        </w:rPr>
        <w:t>%</w:t>
      </w:r>
      <w:r>
        <w:rPr>
          <w:rFonts w:hint="eastAsia" w:asciiTheme="minorEastAsia" w:hAnsiTheme="minorEastAsia" w:eastAsiaTheme="minorEastAsia" w:cstheme="minorEastAsia"/>
          <w:b/>
          <w:color w:val="FFC000" w:themeColor="accent4"/>
          <w:kern w:val="10"/>
          <w:sz w:val="21"/>
          <w:szCs w:val="21"/>
          <w:lang w:eastAsia="zh-CN"/>
          <w14:textFill>
            <w14:solidFill>
              <w14:schemeClr w14:val="accent4"/>
            </w14:solidFill>
          </w14:textFill>
        </w:rPr>
        <w:t>（与施工总承包保持一致，最低不低于1%）</w:t>
      </w:r>
      <w:r>
        <w:rPr>
          <w:rFonts w:hint="eastAsia" w:asciiTheme="minorEastAsia" w:hAnsiTheme="minorEastAsia" w:eastAsiaTheme="minorEastAsia" w:cstheme="minorEastAsia"/>
          <w:kern w:val="10"/>
          <w:sz w:val="21"/>
          <w:szCs w:val="21"/>
          <w:lang w:eastAsia="zh-CN"/>
        </w:rPr>
        <w:t>，误期违约赔偿金不应解除乙方完成本工程的义务，或合同约定的其可能承担的其他责任、义务或职责。且甲方可以从乙方交纳的履约保证金中直接扣除相应金额抵付违约金。如因乙方延期给甲方造成的经济损失超过该违约金金额的，乙方还应承担赔偿责任。在合同实施过程中，当甲方认为乙方无法保证工期，甲方可以对乙方合同范围的施工任务进行切割，乙方须无条件接受，由此造成的损失由乙方承担全部责任和费用。</w:t>
      </w:r>
    </w:p>
    <w:p w14:paraId="3D6E310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23.8.2主要机械设备未到场的工程进度延误，对未按要求进场的主要机械设备处以每台次</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b/>
          <w:kern w:val="10"/>
          <w:sz w:val="21"/>
          <w:szCs w:val="21"/>
          <w:u w:val="single"/>
          <w:lang w:eastAsia="zh-CN"/>
        </w:rPr>
        <w:t xml:space="preserve">1000 </w:t>
      </w:r>
      <w:r>
        <w:rPr>
          <w:rFonts w:hint="eastAsia" w:asciiTheme="minorEastAsia" w:hAnsiTheme="minorEastAsia" w:eastAsiaTheme="minorEastAsia" w:cstheme="minorEastAsia"/>
          <w:b/>
          <w:kern w:val="10"/>
          <w:sz w:val="21"/>
          <w:szCs w:val="21"/>
          <w:lang w:eastAsia="zh-CN"/>
        </w:rPr>
        <w:t>元/天</w:t>
      </w:r>
      <w:r>
        <w:rPr>
          <w:rFonts w:hint="eastAsia" w:asciiTheme="minorEastAsia" w:hAnsiTheme="minorEastAsia" w:eastAsiaTheme="minorEastAsia" w:cstheme="minorEastAsia"/>
          <w:kern w:val="10"/>
          <w:sz w:val="21"/>
          <w:szCs w:val="21"/>
          <w:lang w:eastAsia="zh-CN"/>
        </w:rPr>
        <w:t>的违约金，从甲方应支付给乙方的合同价款中扣除。</w:t>
      </w:r>
    </w:p>
    <w:p w14:paraId="3D6E3101">
      <w:pPr>
        <w:kinsoku w:val="0"/>
        <w:spacing w:after="0" w:line="360" w:lineRule="auto"/>
        <w:ind w:firstLine="420"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kern w:val="10"/>
          <w:sz w:val="21"/>
          <w:szCs w:val="21"/>
          <w:lang w:eastAsia="zh-CN"/>
        </w:rPr>
        <w:t>23.8.3如因非甲方原因导致本工程不能按合同约定完工交付，每延期一天乙方向甲方支付违约金</w:t>
      </w:r>
      <w:r>
        <w:rPr>
          <w:rFonts w:hint="eastAsia" w:asciiTheme="minorEastAsia" w:hAnsiTheme="minorEastAsia" w:eastAsiaTheme="minorEastAsia" w:cstheme="minorEastAsia"/>
          <w:b/>
          <w:bCs/>
          <w:kern w:val="10"/>
          <w:sz w:val="21"/>
          <w:szCs w:val="21"/>
          <w:u w:val="single"/>
          <w:lang w:eastAsia="zh-CN"/>
        </w:rPr>
        <w:t>10000</w:t>
      </w:r>
      <w:r>
        <w:rPr>
          <w:rFonts w:hint="eastAsia" w:asciiTheme="minorEastAsia" w:hAnsiTheme="minorEastAsia" w:eastAsiaTheme="minorEastAsia" w:cstheme="minorEastAsia"/>
          <w:b/>
          <w:bCs/>
          <w:kern w:val="10"/>
          <w:sz w:val="21"/>
          <w:szCs w:val="21"/>
          <w:lang w:eastAsia="zh-CN"/>
        </w:rPr>
        <w:t>元</w:t>
      </w:r>
      <w:r>
        <w:rPr>
          <w:rFonts w:hint="eastAsia" w:asciiTheme="minorEastAsia" w:hAnsiTheme="minorEastAsia" w:eastAsiaTheme="minorEastAsia" w:cstheme="minorEastAsia"/>
          <w:kern w:val="10"/>
          <w:sz w:val="21"/>
          <w:szCs w:val="21"/>
          <w:lang w:eastAsia="zh-CN"/>
        </w:rPr>
        <w:t>，延期违约金最高不得超过合同价款的</w:t>
      </w:r>
      <w:r>
        <w:rPr>
          <w:rFonts w:hint="eastAsia" w:asciiTheme="minorEastAsia" w:hAnsiTheme="minorEastAsia" w:eastAsiaTheme="minorEastAsia" w:cstheme="minorEastAsia"/>
          <w:b/>
          <w:bCs/>
          <w:kern w:val="10"/>
          <w:sz w:val="21"/>
          <w:szCs w:val="21"/>
          <w:u w:val="single"/>
          <w:lang w:eastAsia="zh-CN"/>
        </w:rPr>
        <w:t>20</w:t>
      </w:r>
      <w:r>
        <w:rPr>
          <w:rFonts w:hint="eastAsia" w:asciiTheme="minorEastAsia" w:hAnsiTheme="minorEastAsia" w:eastAsiaTheme="minorEastAsia" w:cstheme="minorEastAsia"/>
          <w:b/>
          <w:bCs/>
          <w:kern w:val="10"/>
          <w:sz w:val="21"/>
          <w:szCs w:val="21"/>
          <w:lang w:eastAsia="zh-CN"/>
        </w:rPr>
        <w:t>%</w:t>
      </w:r>
      <w:r>
        <w:rPr>
          <w:rFonts w:hint="eastAsia" w:asciiTheme="minorEastAsia" w:hAnsiTheme="minorEastAsia" w:eastAsiaTheme="minorEastAsia" w:cstheme="minorEastAsia"/>
          <w:kern w:val="10"/>
          <w:sz w:val="21"/>
          <w:szCs w:val="21"/>
          <w:lang w:eastAsia="zh-CN"/>
        </w:rPr>
        <w:t>，并赔偿因工期延误造成的连带损失。</w:t>
      </w:r>
    </w:p>
    <w:p w14:paraId="3D6E310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23.8.4在施工过程中，若乙方擅自停工，视为乙方违约，除承担停工给甲方造成的损失外，另承担</w:t>
      </w:r>
      <w:r>
        <w:rPr>
          <w:rFonts w:hint="eastAsia" w:asciiTheme="minorEastAsia" w:hAnsiTheme="minorEastAsia" w:eastAsiaTheme="minorEastAsia" w:cstheme="minorEastAsia"/>
          <w:b/>
          <w:bCs/>
          <w:kern w:val="10"/>
          <w:sz w:val="21"/>
          <w:szCs w:val="21"/>
          <w:u w:val="single"/>
          <w:lang w:eastAsia="zh-CN"/>
        </w:rPr>
        <w:t>1000</w:t>
      </w:r>
      <w:r>
        <w:rPr>
          <w:rFonts w:hint="eastAsia" w:asciiTheme="minorEastAsia" w:hAnsiTheme="minorEastAsia" w:eastAsiaTheme="minorEastAsia" w:cstheme="minorEastAsia"/>
          <w:b/>
          <w:bCs/>
          <w:kern w:val="10"/>
          <w:sz w:val="21"/>
          <w:szCs w:val="21"/>
          <w:lang w:eastAsia="zh-CN"/>
        </w:rPr>
        <w:t>元/天</w:t>
      </w:r>
      <w:r>
        <w:rPr>
          <w:rFonts w:hint="eastAsia" w:asciiTheme="minorEastAsia" w:hAnsiTheme="minorEastAsia" w:eastAsiaTheme="minorEastAsia" w:cstheme="minorEastAsia"/>
          <w:kern w:val="10"/>
          <w:sz w:val="21"/>
          <w:szCs w:val="21"/>
          <w:lang w:eastAsia="zh-CN"/>
        </w:rPr>
        <w:t>的违约金，停工超过</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天，甲方可单方解除合同，乙方需向甲方承担本合同签约合同价3%的违约金。</w:t>
      </w:r>
    </w:p>
    <w:p w14:paraId="3D6E310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23.9环保违约</w:t>
      </w:r>
    </w:p>
    <w:p w14:paraId="3D6E310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23.9.1乙方未按要求开展生态环保、节能减排、水土保持等工作，导致施工现场存在大气、水土、固体废弃物等方面的生态环保隐患的，每发生一起支付违约金人民币</w:t>
      </w:r>
      <w:r>
        <w:rPr>
          <w:rFonts w:hint="eastAsia" w:asciiTheme="minorEastAsia" w:hAnsiTheme="minorEastAsia" w:eastAsiaTheme="minorEastAsia" w:cstheme="minorEastAsia"/>
          <w:b/>
          <w:kern w:val="10"/>
          <w:sz w:val="21"/>
          <w:szCs w:val="21"/>
          <w:u w:val="single"/>
          <w:lang w:eastAsia="zh-CN"/>
        </w:rPr>
        <w:t>5000-20000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3D6E310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23.9.2因乙方管理不当，致使甲方被属地政府单位或其他国家行政单位进行公示或处以罚款的，乙方需承担甲方全部经济损失，且每发生一起支付违约金人民币</w:t>
      </w:r>
      <w:r>
        <w:rPr>
          <w:rFonts w:hint="eastAsia" w:asciiTheme="minorEastAsia" w:hAnsiTheme="minorEastAsia" w:eastAsiaTheme="minorEastAsia" w:cstheme="minorEastAsia"/>
          <w:b/>
          <w:kern w:val="10"/>
          <w:sz w:val="21"/>
          <w:szCs w:val="21"/>
          <w:u w:val="single"/>
          <w:lang w:eastAsia="zh-CN"/>
        </w:rPr>
        <w:t>50000-100000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3D6E310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23.10用工违约</w:t>
      </w:r>
    </w:p>
    <w:p w14:paraId="3D6E310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23.10.1如经查实乙方未依法办理劳动用工、社会保险手续的，按乙方违约处理，每出现一例，乙方需支付违约金人民币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3D6E310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23.10.2在合同履行期间，如经查实乙方拖欠或克扣农民工或劳务工工资，导致劳资纠纷或发生危及公共安全或正常社会秩序的事件的，按乙方违约处理，乙方按拖欠或克扣农民工或劳务工工资的</w:t>
      </w:r>
      <w:r>
        <w:rPr>
          <w:rFonts w:hint="eastAsia" w:asciiTheme="minorEastAsia" w:hAnsiTheme="minorEastAsia" w:eastAsiaTheme="minorEastAsia" w:cstheme="minorEastAsia"/>
          <w:b/>
          <w:kern w:val="10"/>
          <w:sz w:val="21"/>
          <w:szCs w:val="21"/>
          <w:u w:val="single"/>
          <w:lang w:eastAsia="zh-CN"/>
        </w:rPr>
        <w:t>3倍</w:t>
      </w:r>
      <w:r>
        <w:rPr>
          <w:rFonts w:hint="eastAsia" w:asciiTheme="minorEastAsia" w:hAnsiTheme="minorEastAsia" w:eastAsiaTheme="minorEastAsia" w:cstheme="minorEastAsia"/>
          <w:kern w:val="10"/>
          <w:sz w:val="21"/>
          <w:szCs w:val="21"/>
          <w:lang w:eastAsia="zh-CN"/>
        </w:rPr>
        <w:t>支付违约金；如甲方先行垫付，甲方有权从欠付乙方工程款或保证金中直接扣除。</w:t>
      </w:r>
    </w:p>
    <w:p w14:paraId="3D6E310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23.10.3特殊工种未持证上岗每查实一人次，乙方应支付违约金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元/人次</w:t>
      </w:r>
      <w:r>
        <w:rPr>
          <w:rFonts w:hint="eastAsia" w:asciiTheme="minorEastAsia" w:hAnsiTheme="minorEastAsia" w:eastAsiaTheme="minorEastAsia" w:cstheme="minorEastAsia"/>
          <w:kern w:val="10"/>
          <w:sz w:val="21"/>
          <w:szCs w:val="21"/>
          <w:lang w:eastAsia="zh-CN"/>
        </w:rPr>
        <w:t>，该人不得从事本工种。</w:t>
      </w:r>
    </w:p>
    <w:p w14:paraId="3D6E310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23.10.4项目安全管理人员未持证上岗，乙方应支付违约金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p>
    <w:p w14:paraId="3D6E310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23.11其他违约</w:t>
      </w:r>
    </w:p>
    <w:p w14:paraId="3D6E310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23.11.1配备的主要安全管理人员擅离岗位，每次支付违约金</w:t>
      </w:r>
      <w:r>
        <w:rPr>
          <w:rFonts w:hint="eastAsia" w:asciiTheme="minorEastAsia" w:hAnsiTheme="minorEastAsia" w:eastAsiaTheme="minorEastAsia" w:cstheme="minorEastAsia"/>
          <w:b/>
          <w:kern w:val="10"/>
          <w:sz w:val="21"/>
          <w:szCs w:val="21"/>
          <w:u w:val="single"/>
          <w:lang w:eastAsia="zh-CN"/>
        </w:rPr>
        <w:t>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3D6E310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23.11.2未按甲方安全质量通报要求及时上报整改情况，每次支付违约金</w:t>
      </w:r>
      <w:r>
        <w:rPr>
          <w:rFonts w:hint="eastAsia" w:asciiTheme="minorEastAsia" w:hAnsiTheme="minorEastAsia" w:eastAsiaTheme="minorEastAsia" w:cstheme="minorEastAsia"/>
          <w:b/>
          <w:kern w:val="10"/>
          <w:sz w:val="21"/>
          <w:szCs w:val="21"/>
          <w:u w:val="single"/>
          <w:lang w:eastAsia="zh-CN"/>
        </w:rPr>
        <w:t>20000-50000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人民币。</w:t>
      </w:r>
    </w:p>
    <w:p w14:paraId="3D6E310E">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23.11.3因乙方自身原因而导致甲方经济损失或使得</w:t>
      </w:r>
      <w:r>
        <w:rPr>
          <w:rFonts w:hint="eastAsia" w:asciiTheme="minorEastAsia" w:hAnsiTheme="minorEastAsia" w:eastAsiaTheme="minorEastAsia" w:cstheme="minorEastAsia"/>
          <w:b/>
          <w:bCs/>
          <w:sz w:val="21"/>
          <w:szCs w:val="21"/>
          <w:lang w:eastAsia="zh-CN"/>
        </w:rPr>
        <w:t>建设单位</w:t>
      </w:r>
      <w:r>
        <w:rPr>
          <w:rFonts w:hint="eastAsia" w:asciiTheme="minorEastAsia" w:hAnsiTheme="minorEastAsia" w:eastAsiaTheme="minorEastAsia" w:cstheme="minorEastAsia"/>
          <w:b/>
          <w:bCs/>
          <w:kern w:val="10"/>
          <w:sz w:val="21"/>
          <w:szCs w:val="21"/>
          <w:lang w:eastAsia="zh-CN"/>
        </w:rPr>
        <w:t>或其它方对甲方进行罚款的，此经济损失或罚款均由乙方承担。乙方承诺，此经济损失或罚款只要事实清楚、证据确凿，不管乙方签字确认与否，此经济损失或罚款都应由乙方承担，款额甲方将从乙方的应结款或履约担保金中直接扣回。</w:t>
      </w:r>
    </w:p>
    <w:p w14:paraId="3D6E310F">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23.11.4若乙方及乙方的供货商、员工、下游工人、其他相关方因聚众闹事、恶意讨薪等造成被媒体曝光或政府相关部门通报等负面影响，乙方应承担合同额10%的违约金，且甲方可选择解除合同。</w:t>
      </w:r>
    </w:p>
    <w:p w14:paraId="3D6E311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23.11.5</w:t>
      </w:r>
      <w:r>
        <w:rPr>
          <w:rFonts w:hint="eastAsia" w:asciiTheme="minorEastAsia" w:hAnsiTheme="minorEastAsia" w:eastAsiaTheme="minorEastAsia" w:cstheme="minorEastAsia"/>
          <w:sz w:val="21"/>
          <w:szCs w:val="21"/>
          <w:lang w:eastAsia="zh-CN"/>
        </w:rPr>
        <w:t>乙方与第三人的债务纠纷、诉讼、仲裁纠纷，导致甲方被追索或成为协助义务人，冻结了甲方的账户或造成甲方其他损失的，乙方应承担因此对甲方造成的所有损失并按签约合同价</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元/次进行赔偿。同时甲方可以解除合同，解除合同通知书达到乙方时，本合同及其补充协议解除。</w:t>
      </w:r>
    </w:p>
    <w:p w14:paraId="3D6E311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23.11.6</w:t>
      </w:r>
      <w:r>
        <w:rPr>
          <w:rFonts w:hint="eastAsia" w:asciiTheme="minorEastAsia" w:hAnsiTheme="minorEastAsia" w:eastAsiaTheme="minorEastAsia" w:cstheme="minorEastAsia"/>
          <w:b/>
          <w:bCs/>
          <w:kern w:val="10"/>
          <w:sz w:val="21"/>
          <w:szCs w:val="21"/>
          <w:lang w:eastAsia="zh-CN"/>
        </w:rPr>
        <w:t>对于在本合同项下产生的或与本合同相关事宜产生的乙方对甲方拥有的债权，乙方承诺不得将其转让给第三方，也不得用于对外提供担保。违反本条款约定，除转让无效和对外提供担保无效外，乙方还应当承担违约责任支付违约金。除非经过甲方的书面同意后方可转让，否则，乙方应在违约转让债权之日起五日内，按照违约转让债权总额的</w:t>
      </w:r>
      <w:r>
        <w:rPr>
          <w:rFonts w:hint="eastAsia" w:asciiTheme="minorEastAsia" w:hAnsiTheme="minorEastAsia" w:eastAsiaTheme="minorEastAsia" w:cstheme="minorEastAsia"/>
          <w:b/>
          <w:bCs/>
          <w:kern w:val="10"/>
          <w:sz w:val="21"/>
          <w:szCs w:val="21"/>
          <w:u w:val="single"/>
          <w:lang w:eastAsia="zh-CN"/>
        </w:rPr>
        <w:t xml:space="preserve"> 5 </w:t>
      </w:r>
      <w:r>
        <w:rPr>
          <w:rFonts w:hint="eastAsia" w:asciiTheme="minorEastAsia" w:hAnsiTheme="minorEastAsia" w:eastAsiaTheme="minorEastAsia" w:cstheme="minorEastAsia"/>
          <w:b/>
          <w:bCs/>
          <w:kern w:val="10"/>
          <w:sz w:val="21"/>
          <w:szCs w:val="21"/>
          <w:lang w:eastAsia="zh-CN"/>
        </w:rPr>
        <w:t>%向甲方支付违约金，逾期支付并应承担违约付款责任，同时债权转让不发生法律效力。</w:t>
      </w:r>
    </w:p>
    <w:p w14:paraId="3D6E311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23.11.7如乙方泄露或者在本合同以外使用该商业秘密、技术秘密等保密信息，应向甲方支付签约合同价</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%的违约金，并赔偿甲方因此遭受的全部损失。</w:t>
      </w:r>
    </w:p>
    <w:p w14:paraId="3D6E311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23.11.8如因乙方原因导致中建集团、中建路桥或其他下属公司、甲方及甲方关联公司或项目部名誉受损的，除应按签约合同价</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kern w:val="10"/>
          <w:sz w:val="21"/>
          <w:szCs w:val="21"/>
          <w:lang w:eastAsia="zh-CN"/>
        </w:rPr>
        <w:t>%/次支付违约金外，还应赔偿甲方因此而遭受的全部损失，以及甲方为恢复名誉而支付的差旅费、诉讼费、律师费等，并应在事件发生后</w:t>
      </w:r>
      <w:r>
        <w:rPr>
          <w:rFonts w:hint="eastAsia" w:asciiTheme="minorEastAsia" w:hAnsiTheme="minorEastAsia" w:eastAsiaTheme="minorEastAsia" w:cstheme="minorEastAsia"/>
          <w:kern w:val="10"/>
          <w:sz w:val="21"/>
          <w:szCs w:val="21"/>
          <w:u w:val="single"/>
          <w:lang w:eastAsia="zh-CN"/>
        </w:rPr>
        <w:t>24小时</w:t>
      </w:r>
      <w:r>
        <w:rPr>
          <w:rFonts w:hint="eastAsia" w:asciiTheme="minorEastAsia" w:hAnsiTheme="minorEastAsia" w:eastAsiaTheme="minorEastAsia" w:cstheme="minorEastAsia"/>
          <w:kern w:val="10"/>
          <w:sz w:val="21"/>
          <w:szCs w:val="21"/>
          <w:lang w:eastAsia="zh-CN"/>
        </w:rPr>
        <w:t>内通过具有全国影响力的主流媒体公开向甲方道歉并澄清相关事实。</w:t>
      </w:r>
    </w:p>
    <w:p w14:paraId="3D6E311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23.11.9乙方因自身原因在合同约定工作未完成前主动退场或因不能满足合同要求而被勒令退场时，甲方将扣除乙方所完工程金额的</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kern w:val="10"/>
          <w:sz w:val="21"/>
          <w:szCs w:val="21"/>
          <w:lang w:eastAsia="zh-CN"/>
        </w:rPr>
        <w:t>%作为违约金，从结算金额中予以扣除。</w:t>
      </w:r>
    </w:p>
    <w:p w14:paraId="3D6E3115">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66" w:name="_Toc175772272"/>
      <w:r>
        <w:rPr>
          <w:rFonts w:hint="eastAsia" w:asciiTheme="minorEastAsia" w:hAnsiTheme="minorEastAsia" w:eastAsiaTheme="minorEastAsia" w:cstheme="minorEastAsia"/>
          <w:b/>
          <w:sz w:val="21"/>
          <w:szCs w:val="21"/>
        </w:rPr>
        <w:t>争议解决</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3D6E3116">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117">
      <w:pPr>
        <w:pStyle w:val="2"/>
        <w:kinsoku w:val="0"/>
        <w:spacing w:after="0" w:line="360" w:lineRule="auto"/>
        <w:jc w:val="both"/>
      </w:pPr>
      <w:r>
        <w:rPr>
          <w:rFonts w:hint="eastAsia"/>
        </w:rPr>
        <w:t>24.1对因本合同引起或与之相关的任何争议、纠纷或权利主张，任何一方如欲通过本条约定的方式解决，则必须在提起本条约定的争议解决方式前，向对方发出书面和解申请书，并告知对方争议、纠纷或权利主张之事实及依据、联系人及联系方式，在对方收到上述通知之日起3个月为双方和解期限。在和解期限内，若双方达成和解协议的，双方的权利义务按照和解协议履行；若未达成和解协议的，任何一方可采取本条第2款约定的争议解决方式。</w:t>
      </w:r>
    </w:p>
    <w:p w14:paraId="3D6E3118">
      <w:pPr>
        <w:pStyle w:val="2"/>
        <w:kinsoku w:val="0"/>
        <w:spacing w:after="0" w:line="360" w:lineRule="auto"/>
        <w:jc w:val="both"/>
      </w:pPr>
      <w:r>
        <w:rPr>
          <w:rFonts w:hint="eastAsia"/>
        </w:rPr>
        <w:t>任何一方若未履行上述和解程序而直接采用第2款约定的争议解决方式的，则需要向对方承担合同总价款3%的违约金；如一方出现上述情形，另一方提起反诉或反请求，则提起反诉或反请求的一方不承担违约金。</w:t>
      </w:r>
    </w:p>
    <w:p w14:paraId="3D6E3119">
      <w:pPr>
        <w:kinsoku w:val="0"/>
        <w:spacing w:after="0" w:line="360" w:lineRule="auto"/>
        <w:ind w:firstLine="440" w:firstLineChars="200"/>
        <w:jc w:val="both"/>
        <w:rPr>
          <w:rFonts w:hint="eastAsia" w:asciiTheme="minorEastAsia" w:hAnsiTheme="minorEastAsia" w:eastAsiaTheme="minorEastAsia" w:cstheme="minorEastAsia"/>
          <w:sz w:val="21"/>
          <w:szCs w:val="21"/>
          <w:lang w:eastAsia="zh-CN"/>
        </w:rPr>
      </w:pPr>
      <w:r>
        <w:rPr>
          <w:rFonts w:hint="eastAsia"/>
          <w:lang w:eastAsia="zh-CN"/>
        </w:rPr>
        <w:t>24.2双方和解不成且已超过和解期限的，可向石家庄仲裁委员会申请仲裁，并自行承担本方发生的律师费、差旅费、保函费等相关费用。</w:t>
      </w:r>
    </w:p>
    <w:p w14:paraId="3D6E311A">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67" w:name="_Toc18492"/>
      <w:bookmarkStart w:id="1168" w:name="_Toc17384"/>
      <w:bookmarkStart w:id="1169" w:name="_Toc101357483"/>
      <w:bookmarkStart w:id="1170" w:name="_Toc16065"/>
      <w:bookmarkStart w:id="1171" w:name="_Toc22869"/>
      <w:bookmarkStart w:id="1172" w:name="_Toc25119"/>
      <w:bookmarkStart w:id="1173" w:name="_Toc7440"/>
      <w:bookmarkStart w:id="1174" w:name="_Toc27023"/>
      <w:bookmarkStart w:id="1175" w:name="_Toc10401"/>
      <w:bookmarkStart w:id="1176" w:name="_Toc26894"/>
      <w:bookmarkStart w:id="1177" w:name="_Toc31281"/>
      <w:bookmarkStart w:id="1178" w:name="_Toc4879"/>
      <w:bookmarkStart w:id="1179" w:name="_Toc11232"/>
      <w:bookmarkStart w:id="1180" w:name="_Toc29653"/>
      <w:bookmarkStart w:id="1181" w:name="_Toc26863"/>
      <w:bookmarkStart w:id="1182" w:name="_Toc5739"/>
      <w:bookmarkStart w:id="1183" w:name="_Toc23370"/>
      <w:bookmarkStart w:id="1184" w:name="_Toc24283"/>
      <w:bookmarkStart w:id="1185" w:name="_Toc1486"/>
      <w:bookmarkStart w:id="1186" w:name="_Toc101963534"/>
      <w:bookmarkStart w:id="1187" w:name="_Toc175772273"/>
      <w:r>
        <w:rPr>
          <w:rFonts w:hint="eastAsia" w:asciiTheme="minorEastAsia" w:hAnsiTheme="minorEastAsia" w:eastAsiaTheme="minorEastAsia" w:cstheme="minorEastAsia"/>
          <w:b/>
          <w:sz w:val="21"/>
          <w:szCs w:val="21"/>
        </w:rPr>
        <w:t>合同终止</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3D6E311B">
      <w:pPr>
        <w:kinsoku w:val="0"/>
        <w:spacing w:after="0" w:line="360" w:lineRule="auto"/>
        <w:ind w:firstLine="420" w:firstLineChars="200"/>
        <w:jc w:val="both"/>
        <w:rPr>
          <w:rFonts w:hint="eastAsia" w:asciiTheme="minorEastAsia" w:hAnsiTheme="minorEastAsia" w:eastAsiaTheme="minorEastAsia" w:cstheme="minorEastAsia"/>
          <w:color w:val="FFC000" w:themeColor="accent4"/>
          <w:sz w:val="21"/>
          <w:szCs w:val="21"/>
          <w:u w:val="single"/>
          <w:lang w:eastAsia="zh-CN"/>
          <w14:textFill>
            <w14:solidFill>
              <w14:schemeClr w14:val="accent4"/>
            </w14:solidFill>
          </w14:textFill>
        </w:rPr>
      </w:pPr>
      <w:r>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t>(新增条款）</w:t>
      </w:r>
    </w:p>
    <w:p w14:paraId="3D6E311C">
      <w:pPr>
        <w:pStyle w:val="2"/>
        <w:kinsoku w:val="0"/>
        <w:spacing w:after="0" w:line="360" w:lineRule="auto"/>
        <w:jc w:val="both"/>
        <w:rPr>
          <w:kern w:val="10"/>
        </w:rPr>
      </w:pPr>
      <w:r>
        <w:rPr>
          <w:rFonts w:hint="eastAsia"/>
        </w:rPr>
        <w:t>25.7如因本合同约定的合同解除情形发生，甲方和乙方应具有以下权利和责任：</w:t>
      </w:r>
    </w:p>
    <w:p w14:paraId="3D6E311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（1）甲方可雇佣其他单位进行并完成分包工程。</w:t>
      </w:r>
    </w:p>
    <w:p w14:paraId="3D6E311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）天内，经甲方同意，乙方可将用于本分包工程的任何材料、设备和其它物品的采购供货协议和租赁协议等转让给甲方或乙方的继任者。</w:t>
      </w:r>
    </w:p>
    <w:p w14:paraId="3D6E311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（3）乙方应妥善做好已完工程和已购材料、设备、建筑施工图纸和全部相关资料的保护和移交工作。</w:t>
      </w:r>
    </w:p>
    <w:p w14:paraId="3D6E312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可以变卖或处理任何这些的属于乙方的财产。甲方在扣除因乙方违约造成的工程损失费用及处理此类财产的费用后，将剩余金额返还乙方。</w:t>
      </w:r>
    </w:p>
    <w:p w14:paraId="3D6E312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）日内，乙方自身的劳务人员或其劳务分包的全体人员应退场，未撤场人员发生的费用均由乙方承担。</w:t>
      </w:r>
    </w:p>
    <w:p w14:paraId="3D6E312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（6）乙方应补偿甲方因分包合同解除给甲方带来的任何损失和损害。</w:t>
      </w:r>
    </w:p>
    <w:p w14:paraId="3D6E312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作为乙方对甲方的负债，由甲方从乙方提交的履约保函、预付款保函中予以扣回，不足时，仍可索赔；如果此金额未超过甲方应支付给乙方的工程款额时，其差额应由甲方按分包合同付款条件支付给乙方。</w:t>
      </w:r>
    </w:p>
    <w:p w14:paraId="3D6E3124">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88" w:name="_Toc2158"/>
      <w:bookmarkStart w:id="1189" w:name="_Toc101963535"/>
      <w:bookmarkStart w:id="1190" w:name="_Toc28952"/>
      <w:bookmarkStart w:id="1191" w:name="_Toc10738"/>
      <w:bookmarkStart w:id="1192" w:name="_Toc4980"/>
      <w:bookmarkStart w:id="1193" w:name="_Toc31549"/>
      <w:bookmarkStart w:id="1194" w:name="_Toc175772274"/>
      <w:bookmarkStart w:id="1195" w:name="_Toc26100"/>
      <w:bookmarkStart w:id="1196" w:name="_Toc20289"/>
      <w:bookmarkStart w:id="1197" w:name="_Toc16417"/>
      <w:bookmarkStart w:id="1198" w:name="_Toc101357484"/>
      <w:bookmarkStart w:id="1199" w:name="_Toc16676"/>
      <w:bookmarkStart w:id="1200" w:name="_Toc24897"/>
      <w:bookmarkStart w:id="1201" w:name="_Toc8410"/>
      <w:bookmarkStart w:id="1202" w:name="_Toc21424"/>
      <w:bookmarkStart w:id="1203" w:name="_Toc27942"/>
      <w:bookmarkStart w:id="1204" w:name="_Toc31576"/>
      <w:bookmarkStart w:id="1205" w:name="_Toc6048"/>
      <w:bookmarkStart w:id="1206" w:name="_Toc6031"/>
      <w:bookmarkStart w:id="1207" w:name="_Toc24167"/>
      <w:bookmarkStart w:id="1208" w:name="_Toc6396"/>
      <w:r>
        <w:rPr>
          <w:rFonts w:hint="eastAsia" w:asciiTheme="minorEastAsia" w:hAnsiTheme="minorEastAsia" w:eastAsiaTheme="minorEastAsia" w:cstheme="minorEastAsia"/>
          <w:b/>
          <w:sz w:val="21"/>
          <w:szCs w:val="21"/>
        </w:rPr>
        <w:t>合同附件</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3D6E3125">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09" w:name="_Toc175772275"/>
      <w:r>
        <w:rPr>
          <w:rFonts w:hint="eastAsia" w:asciiTheme="minorEastAsia" w:hAnsiTheme="minorEastAsia" w:eastAsiaTheme="minorEastAsia" w:cstheme="minorEastAsia"/>
          <w:sz w:val="21"/>
          <w:szCs w:val="21"/>
          <w:lang w:eastAsia="zh-CN"/>
        </w:rPr>
        <w:t>附件1.工程量清单</w:t>
      </w:r>
      <w:bookmarkEnd w:id="1209"/>
    </w:p>
    <w:p w14:paraId="3D6E3126">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0" w:name="_Toc175772276"/>
      <w:r>
        <w:rPr>
          <w:rFonts w:hint="eastAsia" w:asciiTheme="minorEastAsia" w:hAnsiTheme="minorEastAsia" w:eastAsiaTheme="minorEastAsia" w:cstheme="minorEastAsia"/>
          <w:sz w:val="21"/>
          <w:szCs w:val="21"/>
          <w:lang w:eastAsia="zh-CN"/>
        </w:rPr>
        <w:t>附件2.甲供材料、机械设备明细表</w:t>
      </w:r>
      <w:bookmarkEnd w:id="1210"/>
    </w:p>
    <w:p w14:paraId="3D6E3127">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1" w:name="_Toc175772277"/>
      <w:r>
        <w:rPr>
          <w:rFonts w:hint="eastAsia" w:asciiTheme="minorEastAsia" w:hAnsiTheme="minorEastAsia" w:eastAsiaTheme="minorEastAsia" w:cstheme="minorEastAsia"/>
          <w:sz w:val="21"/>
          <w:szCs w:val="21"/>
          <w:lang w:eastAsia="zh-CN"/>
        </w:rPr>
        <w:t>附件3.拟投入本合同工程主要人员汇总表</w:t>
      </w:r>
      <w:bookmarkEnd w:id="1211"/>
    </w:p>
    <w:p w14:paraId="3D6E3128">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2" w:name="_Toc175772278"/>
      <w:r>
        <w:rPr>
          <w:rFonts w:hint="eastAsia" w:asciiTheme="minorEastAsia" w:hAnsiTheme="minorEastAsia" w:eastAsiaTheme="minorEastAsia" w:cstheme="minorEastAsia"/>
          <w:sz w:val="21"/>
          <w:szCs w:val="21"/>
          <w:lang w:eastAsia="zh-CN"/>
        </w:rPr>
        <w:t>附件4.拟进场机械设备一览表</w:t>
      </w:r>
      <w:bookmarkEnd w:id="1212"/>
    </w:p>
    <w:p w14:paraId="3D6E3129">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3" w:name="_Toc175772279"/>
      <w:r>
        <w:rPr>
          <w:rFonts w:hint="eastAsia" w:asciiTheme="minorEastAsia" w:hAnsiTheme="minorEastAsia" w:eastAsiaTheme="minorEastAsia" w:cstheme="minorEastAsia"/>
          <w:sz w:val="21"/>
          <w:szCs w:val="21"/>
          <w:lang w:eastAsia="zh-CN"/>
        </w:rPr>
        <w:t>附件5.安全管理协议书</w:t>
      </w:r>
      <w:bookmarkEnd w:id="1213"/>
    </w:p>
    <w:p w14:paraId="3D6E312A">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4" w:name="_Toc175772280"/>
      <w:r>
        <w:rPr>
          <w:rFonts w:hint="eastAsia" w:asciiTheme="minorEastAsia" w:hAnsiTheme="minorEastAsia" w:eastAsiaTheme="minorEastAsia" w:cstheme="minorEastAsia"/>
          <w:sz w:val="21"/>
          <w:szCs w:val="21"/>
          <w:lang w:eastAsia="zh-CN"/>
        </w:rPr>
        <w:t>附件6.廉政合同</w:t>
      </w:r>
      <w:bookmarkEnd w:id="1214"/>
    </w:p>
    <w:p w14:paraId="3D6E312B">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5" w:name="_Toc175772281"/>
      <w:r>
        <w:rPr>
          <w:rFonts w:hint="eastAsia" w:asciiTheme="minorEastAsia" w:hAnsiTheme="minorEastAsia" w:eastAsiaTheme="minorEastAsia" w:cstheme="minorEastAsia"/>
          <w:sz w:val="21"/>
          <w:szCs w:val="21"/>
          <w:lang w:eastAsia="zh-CN"/>
        </w:rPr>
        <w:t>附件7.履约授权管理协议</w:t>
      </w:r>
      <w:bookmarkEnd w:id="1215"/>
    </w:p>
    <w:p w14:paraId="3D6E312C">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6" w:name="_Toc175772282"/>
      <w:r>
        <w:rPr>
          <w:rFonts w:hint="eastAsia" w:asciiTheme="minorEastAsia" w:hAnsiTheme="minorEastAsia" w:eastAsiaTheme="minorEastAsia" w:cstheme="minorEastAsia"/>
          <w:sz w:val="21"/>
          <w:szCs w:val="21"/>
          <w:lang w:eastAsia="zh-CN"/>
        </w:rPr>
        <w:t>附件8.工程项目施工质量管理协议书</w:t>
      </w:r>
      <w:bookmarkEnd w:id="1216"/>
    </w:p>
    <w:p w14:paraId="3D6E312D">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7" w:name="_Toc175772283"/>
      <w:r>
        <w:rPr>
          <w:rFonts w:hint="eastAsia" w:asciiTheme="minorEastAsia" w:hAnsiTheme="minorEastAsia" w:eastAsiaTheme="minorEastAsia" w:cstheme="minorEastAsia"/>
          <w:sz w:val="21"/>
          <w:szCs w:val="21"/>
          <w:lang w:eastAsia="zh-CN"/>
        </w:rPr>
        <w:t>附件9.质量保修书</w:t>
      </w:r>
      <w:bookmarkEnd w:id="1217"/>
    </w:p>
    <w:p w14:paraId="3D6E312E">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8" w:name="_Toc175772284"/>
      <w:r>
        <w:rPr>
          <w:rFonts w:hint="eastAsia" w:asciiTheme="minorEastAsia" w:hAnsiTheme="minorEastAsia" w:eastAsiaTheme="minorEastAsia" w:cstheme="minorEastAsia"/>
          <w:sz w:val="21"/>
          <w:szCs w:val="21"/>
          <w:lang w:eastAsia="zh-CN"/>
        </w:rPr>
        <w:t>附件10.农民工工资管理协议</w:t>
      </w:r>
      <w:bookmarkEnd w:id="1218"/>
    </w:p>
    <w:p w14:paraId="3D6E312F">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19" w:name="_Toc175772285"/>
      <w:r>
        <w:rPr>
          <w:rFonts w:hint="eastAsia" w:asciiTheme="minorEastAsia" w:hAnsiTheme="minorEastAsia" w:eastAsiaTheme="minorEastAsia" w:cstheme="minorEastAsia"/>
          <w:sz w:val="21"/>
          <w:szCs w:val="21"/>
          <w:lang w:eastAsia="zh-CN"/>
        </w:rPr>
        <w:t>附件11.项目部合规权限告知书</w:t>
      </w:r>
      <w:bookmarkEnd w:id="1219"/>
    </w:p>
    <w:p w14:paraId="3D6E3130">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0" w:name="_Toc175772286"/>
      <w:r>
        <w:rPr>
          <w:rFonts w:hint="eastAsia" w:asciiTheme="minorEastAsia" w:hAnsiTheme="minorEastAsia" w:eastAsiaTheme="minorEastAsia" w:cstheme="minorEastAsia"/>
          <w:sz w:val="21"/>
          <w:szCs w:val="21"/>
          <w:lang w:eastAsia="zh-CN"/>
        </w:rPr>
        <w:t>附件12.授权委托书（分包方）</w:t>
      </w:r>
      <w:bookmarkEnd w:id="1220"/>
    </w:p>
    <w:p w14:paraId="3D6E3131">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1" w:name="_Toc175772287"/>
      <w:r>
        <w:rPr>
          <w:rFonts w:hint="eastAsia" w:asciiTheme="minorEastAsia" w:hAnsiTheme="minorEastAsia" w:eastAsiaTheme="minorEastAsia" w:cstheme="minorEastAsia"/>
          <w:sz w:val="21"/>
          <w:szCs w:val="21"/>
          <w:lang w:eastAsia="zh-CN"/>
        </w:rPr>
        <w:t>附件13.农民工工资代发授权委托书</w:t>
      </w:r>
      <w:bookmarkEnd w:id="1221"/>
    </w:p>
    <w:p w14:paraId="3D6E3132">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2" w:name="_Toc175772288"/>
      <w:r>
        <w:rPr>
          <w:rFonts w:hint="eastAsia" w:asciiTheme="minorEastAsia" w:hAnsiTheme="minorEastAsia" w:eastAsiaTheme="minorEastAsia" w:cstheme="minorEastAsia"/>
          <w:sz w:val="21"/>
          <w:szCs w:val="21"/>
          <w:lang w:eastAsia="zh-CN"/>
        </w:rPr>
        <w:t>附件14.农民工当期工资支付完毕声明书</w:t>
      </w:r>
      <w:bookmarkEnd w:id="1222"/>
    </w:p>
    <w:p w14:paraId="3D6E3133">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3" w:name="_Toc175772289"/>
      <w:r>
        <w:rPr>
          <w:rFonts w:hint="eastAsia" w:asciiTheme="minorEastAsia" w:hAnsiTheme="minorEastAsia" w:eastAsiaTheme="minorEastAsia" w:cstheme="minorEastAsia"/>
          <w:sz w:val="21"/>
          <w:szCs w:val="21"/>
          <w:lang w:eastAsia="zh-CN"/>
        </w:rPr>
        <w:t>附件15.违约金扣款通知单</w:t>
      </w:r>
      <w:bookmarkEnd w:id="1223"/>
    </w:p>
    <w:p w14:paraId="05C5C1C0">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224" w:name="_Toc175772290"/>
      <w:r>
        <w:rPr>
          <w:rFonts w:hint="eastAsia" w:asciiTheme="minorEastAsia" w:hAnsiTheme="minorEastAsia" w:eastAsiaTheme="minorEastAsia" w:cstheme="minorEastAsia"/>
          <w:sz w:val="21"/>
          <w:szCs w:val="21"/>
          <w:lang w:eastAsia="zh-CN"/>
        </w:rPr>
        <w:t>附件16.签证工作内容记录单</w:t>
      </w:r>
      <w:permEnd w:id="5"/>
      <w:bookmarkEnd w:id="1224"/>
    </w:p>
    <w:sectPr>
      <w:pgSz w:w="11906" w:h="16838"/>
      <w:pgMar w:top="1134" w:right="1134" w:bottom="1134" w:left="1134" w:header="851"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E">
    <w:pPr>
      <w:pStyle w:val="8"/>
      <w:tabs>
        <w:tab w:val="center" w:pos="4699"/>
        <w:tab w:val="left" w:pos="7320"/>
      </w:tabs>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F">
    <w:pPr>
      <w:pStyle w:val="8"/>
      <w:jc w:val="center"/>
    </w:pPr>
    <w:r>
      <w:fldChar w:fldCharType="begin"/>
    </w:r>
    <w:r>
      <w:instrText xml:space="preserve">PAGE   \* MERGEFORMAT</w:instrText>
    </w:r>
    <w:r>
      <w:fldChar w:fldCharType="separate"/>
    </w:r>
    <w:r>
      <w:rPr>
        <w:lang w:val="zh-CN" w:eastAsia="zh-CN"/>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C">
    <w:pPr>
      <w:tabs>
        <w:tab w:val="center" w:pos="4153"/>
        <w:tab w:val="right" w:pos="8306"/>
      </w:tabs>
      <w:wordWrap w:val="0"/>
      <w:snapToGrid w:val="0"/>
      <w:rPr>
        <w:rFonts w:hint="eastAsia" w:ascii="黑体" w:hAnsi="黑体" w:eastAsia="黑体" w:cs="黑体"/>
        <w:b/>
        <w:sz w:val="28"/>
        <w:szCs w:val="28"/>
      </w:rPr>
    </w:pPr>
    <w:r>
      <w:drawing>
        <wp:anchor distT="0" distB="0" distL="114300" distR="114300" simplePos="0" relativeHeight="25165926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00468649"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68649" name="图片 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313D">
    <w:pPr>
      <w:tabs>
        <w:tab w:val="center" w:pos="4153"/>
        <w:tab w:val="right" w:pos="8306"/>
      </w:tabs>
      <w:wordWrap w:val="0"/>
      <w:snapToGrid w:val="0"/>
    </w:pPr>
    <w:r>
      <w:rPr>
        <w:rFonts w:hint="eastAsia"/>
      </w:rP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64017878" name="图片 8640178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7878" name="图片 86401787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AEE3"/>
    <w:multiLevelType w:val="multilevel"/>
    <w:tmpl w:val="80EEAEE3"/>
    <w:lvl w:ilvl="0" w:tentative="0">
      <w:start w:val="1"/>
      <w:numFmt w:val="decimal"/>
      <w:lvlText w:val="%1"/>
      <w:lvlJc w:val="left"/>
      <w:pPr>
        <w:tabs>
          <w:tab w:val="left" w:pos="425"/>
        </w:tabs>
        <w:ind w:left="113" w:hanging="113"/>
      </w:pPr>
      <w:rPr>
        <w:rFonts w:hint="eastAsia"/>
        <w:color w:val="auto"/>
      </w:rPr>
    </w:lvl>
    <w:lvl w:ilvl="1" w:tentative="0">
      <w:start w:val="1"/>
      <w:numFmt w:val="decimal"/>
      <w:suff w:val="space"/>
      <w:lvlText w:val="%1.%2"/>
      <w:lvlJc w:val="left"/>
      <w:pPr>
        <w:ind w:left="388" w:firstLine="0"/>
      </w:pPr>
      <w:rPr>
        <w:rFonts w:hint="eastAsia"/>
        <w:b/>
        <w:color w:val="auto"/>
      </w:rPr>
    </w:lvl>
    <w:lvl w:ilvl="2" w:tentative="0">
      <w:start w:val="1"/>
      <w:numFmt w:val="decimal"/>
      <w:suff w:val="nothing"/>
      <w:lvlText w:val="%1.%2.%3"/>
      <w:lvlJc w:val="left"/>
      <w:pPr>
        <w:ind w:left="0"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AD7538A6"/>
    <w:multiLevelType w:val="singleLevel"/>
    <w:tmpl w:val="AD7538A6"/>
    <w:lvl w:ilvl="0" w:tentative="0">
      <w:start w:val="1"/>
      <w:numFmt w:val="chineseCounting"/>
      <w:suff w:val="space"/>
      <w:lvlText w:val="第%1部分"/>
      <w:lvlJc w:val="left"/>
      <w:pPr>
        <w:ind w:left="0" w:firstLine="0"/>
      </w:pPr>
    </w:lvl>
  </w:abstractNum>
  <w:abstractNum w:abstractNumId="2">
    <w:nsid w:val="06E4193F"/>
    <w:multiLevelType w:val="multilevel"/>
    <w:tmpl w:val="06E4193F"/>
    <w:lvl w:ilvl="0" w:tentative="0">
      <w:start w:val="20"/>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5C444FB"/>
    <w:multiLevelType w:val="multilevel"/>
    <w:tmpl w:val="15C444F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115380E"/>
    <w:multiLevelType w:val="singleLevel"/>
    <w:tmpl w:val="2115380E"/>
    <w:lvl w:ilvl="0" w:tentative="0">
      <w:start w:val="1"/>
      <w:numFmt w:val="decimal"/>
      <w:suff w:val="nothing"/>
      <w:lvlText w:val="（%1）"/>
      <w:lvlJc w:val="left"/>
      <w:pPr>
        <w:ind w:left="0" w:firstLine="0"/>
      </w:pPr>
    </w:lvl>
  </w:abstractNum>
  <w:abstractNum w:abstractNumId="5">
    <w:nsid w:val="233A1860"/>
    <w:multiLevelType w:val="multilevel"/>
    <w:tmpl w:val="233A1860"/>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3D827672"/>
    <w:multiLevelType w:val="multilevel"/>
    <w:tmpl w:val="3D827672"/>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F38846"/>
    <w:multiLevelType w:val="multilevel"/>
    <w:tmpl w:val="48F38846"/>
    <w:lvl w:ilvl="0" w:tentative="0">
      <w:start w:val="1"/>
      <w:numFmt w:val="decimal"/>
      <w:lvlText w:val="%1"/>
      <w:lvlJc w:val="left"/>
      <w:pPr>
        <w:tabs>
          <w:tab w:val="left" w:pos="0"/>
        </w:tabs>
        <w:ind w:left="0" w:firstLine="0"/>
      </w:pPr>
    </w:lvl>
    <w:lvl w:ilvl="1" w:tentative="0">
      <w:start w:val="1"/>
      <w:numFmt w:val="decimal"/>
      <w:lvlText w:val="%1.%2"/>
      <w:lvlJc w:val="left"/>
      <w:pPr>
        <w:tabs>
          <w:tab w:val="left" w:pos="567"/>
        </w:tabs>
        <w:ind w:left="0" w:firstLine="0"/>
      </w:pPr>
      <w:rPr>
        <w:rFonts w:hint="eastAsia" w:ascii="宋体" w:hAnsi="宋体" w:eastAsia="宋体" w:cs="宋体"/>
        <w:b/>
        <w:color w:val="auto"/>
      </w:rPr>
    </w:lvl>
    <w:lvl w:ilvl="2" w:tentative="0">
      <w:start w:val="1"/>
      <w:numFmt w:val="decimal"/>
      <w:lvlText w:val="%1.%2.%3"/>
      <w:lvlJc w:val="left"/>
      <w:pPr>
        <w:tabs>
          <w:tab w:val="left" w:pos="0"/>
        </w:tabs>
        <w:ind w:left="0" w:firstLine="0"/>
      </w:pPr>
      <w:rPr>
        <w:rFonts w:hint="eastAsia" w:ascii="宋体" w:hAnsi="宋体" w:eastAsia="宋体" w:cs="宋体"/>
      </w:rPr>
    </w:lvl>
    <w:lvl w:ilvl="3" w:tentative="0">
      <w:start w:val="1"/>
      <w:numFmt w:val="decimal"/>
      <w:lvlText w:val="%1.%2.%3.%4"/>
      <w:lvlJc w:val="left"/>
      <w:pPr>
        <w:tabs>
          <w:tab w:val="left" w:pos="0"/>
        </w:tabs>
        <w:ind w:left="0" w:firstLine="0"/>
      </w:pPr>
      <w:rPr>
        <w:rFonts w:hint="eastAsia" w:ascii="宋体" w:hAnsi="宋体" w:eastAsia="宋体" w:cs="宋体"/>
      </w:rPr>
    </w:lvl>
    <w:lvl w:ilvl="4" w:tentative="0">
      <w:start w:val="1"/>
      <w:numFmt w:val="decimal"/>
      <w:lvlText w:val="%1.%2.%3.%4.%5"/>
      <w:lvlJc w:val="left"/>
      <w:pPr>
        <w:tabs>
          <w:tab w:val="left" w:pos="0"/>
        </w:tabs>
        <w:ind w:left="0" w:firstLine="0"/>
      </w:pPr>
      <w:rPr>
        <w:rFonts w:hint="eastAsia" w:ascii="宋体" w:hAnsi="宋体" w:eastAsia="宋体" w:cs="宋体"/>
      </w:r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522C26EC"/>
    <w:multiLevelType w:val="multilevel"/>
    <w:tmpl w:val="522C26E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10E65B5"/>
    <w:multiLevelType w:val="multilevel"/>
    <w:tmpl w:val="710E65B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79A482B7"/>
    <w:multiLevelType w:val="singleLevel"/>
    <w:tmpl w:val="79A482B7"/>
    <w:lvl w:ilvl="0" w:tentative="0">
      <w:start w:val="3"/>
      <w:numFmt w:val="decimal"/>
      <w:suff w:val="nothing"/>
      <w:lvlText w:val="（%1）"/>
      <w:lvlJc w:val="left"/>
      <w:pPr>
        <w:ind w:left="0" w:firstLine="0"/>
      </w:pPr>
    </w:lvl>
  </w:abstractNum>
  <w:num w:numId="1">
    <w:abstractNumId w:val="1"/>
    <w:lvlOverride w:ilvl="0">
      <w:startOverride w:val="1"/>
    </w:lvlOverride>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0"/>
    <w:lvlOverride w:ilvl="0">
      <w:startOverride w:val="3"/>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dit="readOnly" w:enforcement="1" w:cryptProviderType="rsaAES" w:cryptAlgorithmClass="hash" w:cryptAlgorithmType="typeAny" w:cryptAlgorithmSid="14" w:cryptSpinCount="100000" w:hash="aJb3APgfNGcVJESmfrZqGDOPK8vK5yTms+3S9Is8iY9OoXbrdYkpEirSe93c4FWMxWXWl6rKuyuZBbMPWBstfw==" w:salt="pptxCI+Ck05WoC/g14k2lA=="/>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NjY5ZjgzZmNiM2U2MzVlODJkNzIwODg4OTdjN2YifQ=="/>
  </w:docVars>
  <w:rsids>
    <w:rsidRoot w:val="002B315B"/>
    <w:rsid w:val="00002298"/>
    <w:rsid w:val="00003733"/>
    <w:rsid w:val="00004159"/>
    <w:rsid w:val="00007B39"/>
    <w:rsid w:val="000112A0"/>
    <w:rsid w:val="00013C24"/>
    <w:rsid w:val="00017544"/>
    <w:rsid w:val="00022467"/>
    <w:rsid w:val="00023A91"/>
    <w:rsid w:val="00026B39"/>
    <w:rsid w:val="00034949"/>
    <w:rsid w:val="00040DE1"/>
    <w:rsid w:val="00043A11"/>
    <w:rsid w:val="00054FBC"/>
    <w:rsid w:val="000616A5"/>
    <w:rsid w:val="00061DF6"/>
    <w:rsid w:val="00062DE1"/>
    <w:rsid w:val="0006709E"/>
    <w:rsid w:val="00067FF8"/>
    <w:rsid w:val="00072A80"/>
    <w:rsid w:val="000816A5"/>
    <w:rsid w:val="00082B97"/>
    <w:rsid w:val="00082D0A"/>
    <w:rsid w:val="00083472"/>
    <w:rsid w:val="00083CB8"/>
    <w:rsid w:val="000841B4"/>
    <w:rsid w:val="0008592E"/>
    <w:rsid w:val="00092E45"/>
    <w:rsid w:val="0009477F"/>
    <w:rsid w:val="00094EF1"/>
    <w:rsid w:val="0009640B"/>
    <w:rsid w:val="000A234D"/>
    <w:rsid w:val="000B2751"/>
    <w:rsid w:val="000C153D"/>
    <w:rsid w:val="000C4782"/>
    <w:rsid w:val="000C6384"/>
    <w:rsid w:val="000D03FB"/>
    <w:rsid w:val="000D41DA"/>
    <w:rsid w:val="000D6152"/>
    <w:rsid w:val="000E0E50"/>
    <w:rsid w:val="000E1917"/>
    <w:rsid w:val="000E1D84"/>
    <w:rsid w:val="000E41BD"/>
    <w:rsid w:val="000E7F29"/>
    <w:rsid w:val="000F015F"/>
    <w:rsid w:val="000F49EF"/>
    <w:rsid w:val="000F7AC0"/>
    <w:rsid w:val="00100DA9"/>
    <w:rsid w:val="00101B96"/>
    <w:rsid w:val="0010210E"/>
    <w:rsid w:val="00104CC3"/>
    <w:rsid w:val="00106162"/>
    <w:rsid w:val="00107A9B"/>
    <w:rsid w:val="00113297"/>
    <w:rsid w:val="001132A8"/>
    <w:rsid w:val="00113FE7"/>
    <w:rsid w:val="00115990"/>
    <w:rsid w:val="00120FCF"/>
    <w:rsid w:val="00124052"/>
    <w:rsid w:val="001244BB"/>
    <w:rsid w:val="001252DF"/>
    <w:rsid w:val="00126C3A"/>
    <w:rsid w:val="00130412"/>
    <w:rsid w:val="0013069B"/>
    <w:rsid w:val="00135E94"/>
    <w:rsid w:val="00137CB2"/>
    <w:rsid w:val="0014630B"/>
    <w:rsid w:val="00147012"/>
    <w:rsid w:val="0016323A"/>
    <w:rsid w:val="001652EE"/>
    <w:rsid w:val="0017267B"/>
    <w:rsid w:val="00174FB9"/>
    <w:rsid w:val="0017570B"/>
    <w:rsid w:val="00181045"/>
    <w:rsid w:val="00182003"/>
    <w:rsid w:val="00186704"/>
    <w:rsid w:val="001877CD"/>
    <w:rsid w:val="0019075E"/>
    <w:rsid w:val="001933BB"/>
    <w:rsid w:val="001967EA"/>
    <w:rsid w:val="001A455F"/>
    <w:rsid w:val="001A4BA4"/>
    <w:rsid w:val="001A6620"/>
    <w:rsid w:val="001A7C0E"/>
    <w:rsid w:val="001B2628"/>
    <w:rsid w:val="001B3CE2"/>
    <w:rsid w:val="001B7F45"/>
    <w:rsid w:val="001C29DA"/>
    <w:rsid w:val="001C3E5F"/>
    <w:rsid w:val="001C519C"/>
    <w:rsid w:val="001C6595"/>
    <w:rsid w:val="001C7D30"/>
    <w:rsid w:val="001D1586"/>
    <w:rsid w:val="001D41F2"/>
    <w:rsid w:val="001F08D0"/>
    <w:rsid w:val="001F1AC3"/>
    <w:rsid w:val="001F310F"/>
    <w:rsid w:val="001F4247"/>
    <w:rsid w:val="0020489A"/>
    <w:rsid w:val="00205C53"/>
    <w:rsid w:val="00222885"/>
    <w:rsid w:val="002351CC"/>
    <w:rsid w:val="0023621E"/>
    <w:rsid w:val="00242219"/>
    <w:rsid w:val="00243DE1"/>
    <w:rsid w:val="00244B44"/>
    <w:rsid w:val="00245ED2"/>
    <w:rsid w:val="00247F72"/>
    <w:rsid w:val="0025253D"/>
    <w:rsid w:val="00256621"/>
    <w:rsid w:val="00256E30"/>
    <w:rsid w:val="00260122"/>
    <w:rsid w:val="00261A7F"/>
    <w:rsid w:val="002648A8"/>
    <w:rsid w:val="00271FD5"/>
    <w:rsid w:val="00273A1C"/>
    <w:rsid w:val="00280594"/>
    <w:rsid w:val="002860E4"/>
    <w:rsid w:val="00286E13"/>
    <w:rsid w:val="0029335F"/>
    <w:rsid w:val="00294484"/>
    <w:rsid w:val="00296ABF"/>
    <w:rsid w:val="002A45F9"/>
    <w:rsid w:val="002A4900"/>
    <w:rsid w:val="002A4A10"/>
    <w:rsid w:val="002B1174"/>
    <w:rsid w:val="002B315B"/>
    <w:rsid w:val="002B490B"/>
    <w:rsid w:val="002C52AD"/>
    <w:rsid w:val="002D0E9F"/>
    <w:rsid w:val="002D0EAC"/>
    <w:rsid w:val="002D16D3"/>
    <w:rsid w:val="002D245A"/>
    <w:rsid w:val="002D2618"/>
    <w:rsid w:val="002D2669"/>
    <w:rsid w:val="002E1433"/>
    <w:rsid w:val="002E1A7E"/>
    <w:rsid w:val="002F4F56"/>
    <w:rsid w:val="002F7779"/>
    <w:rsid w:val="0030106E"/>
    <w:rsid w:val="00304AE5"/>
    <w:rsid w:val="00306ED9"/>
    <w:rsid w:val="00314662"/>
    <w:rsid w:val="003154AA"/>
    <w:rsid w:val="00323D42"/>
    <w:rsid w:val="00325F99"/>
    <w:rsid w:val="00326E94"/>
    <w:rsid w:val="003353BB"/>
    <w:rsid w:val="00335DD9"/>
    <w:rsid w:val="003457E5"/>
    <w:rsid w:val="00350C2B"/>
    <w:rsid w:val="00350F9C"/>
    <w:rsid w:val="003561F6"/>
    <w:rsid w:val="00363782"/>
    <w:rsid w:val="0036453B"/>
    <w:rsid w:val="003646B9"/>
    <w:rsid w:val="00367168"/>
    <w:rsid w:val="00370060"/>
    <w:rsid w:val="0037090A"/>
    <w:rsid w:val="00371DBB"/>
    <w:rsid w:val="00372CF4"/>
    <w:rsid w:val="00376043"/>
    <w:rsid w:val="003773B3"/>
    <w:rsid w:val="0038605B"/>
    <w:rsid w:val="00387055"/>
    <w:rsid w:val="00396140"/>
    <w:rsid w:val="003A0D68"/>
    <w:rsid w:val="003A2A60"/>
    <w:rsid w:val="003A66B4"/>
    <w:rsid w:val="003B50FD"/>
    <w:rsid w:val="003B7F2C"/>
    <w:rsid w:val="003C2BA4"/>
    <w:rsid w:val="003C43E1"/>
    <w:rsid w:val="003C4C44"/>
    <w:rsid w:val="003C6982"/>
    <w:rsid w:val="003C7D4E"/>
    <w:rsid w:val="003D2F6A"/>
    <w:rsid w:val="003D484F"/>
    <w:rsid w:val="003D4BA1"/>
    <w:rsid w:val="003D73E3"/>
    <w:rsid w:val="003E287E"/>
    <w:rsid w:val="003E2A88"/>
    <w:rsid w:val="003E3E09"/>
    <w:rsid w:val="003E49F0"/>
    <w:rsid w:val="003E76C5"/>
    <w:rsid w:val="003F4912"/>
    <w:rsid w:val="003F5AB0"/>
    <w:rsid w:val="00401AA8"/>
    <w:rsid w:val="00403525"/>
    <w:rsid w:val="00403E45"/>
    <w:rsid w:val="004045A0"/>
    <w:rsid w:val="00405966"/>
    <w:rsid w:val="00407482"/>
    <w:rsid w:val="00407E89"/>
    <w:rsid w:val="00413ADC"/>
    <w:rsid w:val="0041424F"/>
    <w:rsid w:val="004154F2"/>
    <w:rsid w:val="00417C8E"/>
    <w:rsid w:val="00417D2A"/>
    <w:rsid w:val="00421441"/>
    <w:rsid w:val="00435FA7"/>
    <w:rsid w:val="004370EA"/>
    <w:rsid w:val="004427EF"/>
    <w:rsid w:val="00450BE9"/>
    <w:rsid w:val="00451CDD"/>
    <w:rsid w:val="00452150"/>
    <w:rsid w:val="00452B3A"/>
    <w:rsid w:val="004641EB"/>
    <w:rsid w:val="004644CB"/>
    <w:rsid w:val="0046539C"/>
    <w:rsid w:val="0046670F"/>
    <w:rsid w:val="0047007F"/>
    <w:rsid w:val="00473C45"/>
    <w:rsid w:val="00474E12"/>
    <w:rsid w:val="004767B2"/>
    <w:rsid w:val="00480770"/>
    <w:rsid w:val="00481281"/>
    <w:rsid w:val="00482DD5"/>
    <w:rsid w:val="00487283"/>
    <w:rsid w:val="00496C4C"/>
    <w:rsid w:val="004A0BB6"/>
    <w:rsid w:val="004A0F4C"/>
    <w:rsid w:val="004A4EFF"/>
    <w:rsid w:val="004A5170"/>
    <w:rsid w:val="004B2ABA"/>
    <w:rsid w:val="004C1548"/>
    <w:rsid w:val="004C4FAE"/>
    <w:rsid w:val="004D1266"/>
    <w:rsid w:val="004D4834"/>
    <w:rsid w:val="004E2836"/>
    <w:rsid w:val="004E4B25"/>
    <w:rsid w:val="004E4EA4"/>
    <w:rsid w:val="004E4F81"/>
    <w:rsid w:val="004E76B2"/>
    <w:rsid w:val="004F0DBB"/>
    <w:rsid w:val="0050093D"/>
    <w:rsid w:val="00500B04"/>
    <w:rsid w:val="00501F27"/>
    <w:rsid w:val="005037AA"/>
    <w:rsid w:val="00515994"/>
    <w:rsid w:val="0052469E"/>
    <w:rsid w:val="00530685"/>
    <w:rsid w:val="005307D5"/>
    <w:rsid w:val="005457C8"/>
    <w:rsid w:val="0055396D"/>
    <w:rsid w:val="00553C86"/>
    <w:rsid w:val="005610A2"/>
    <w:rsid w:val="00562CED"/>
    <w:rsid w:val="00563E94"/>
    <w:rsid w:val="005647F5"/>
    <w:rsid w:val="00564AEB"/>
    <w:rsid w:val="005823B0"/>
    <w:rsid w:val="00582E23"/>
    <w:rsid w:val="0058456C"/>
    <w:rsid w:val="00585C2A"/>
    <w:rsid w:val="00587D03"/>
    <w:rsid w:val="00591106"/>
    <w:rsid w:val="005911CF"/>
    <w:rsid w:val="005A29A9"/>
    <w:rsid w:val="005A5EAD"/>
    <w:rsid w:val="005B543E"/>
    <w:rsid w:val="005C0287"/>
    <w:rsid w:val="005C3519"/>
    <w:rsid w:val="005D1984"/>
    <w:rsid w:val="005D35AC"/>
    <w:rsid w:val="005D5DEB"/>
    <w:rsid w:val="005E26EE"/>
    <w:rsid w:val="005E5C5C"/>
    <w:rsid w:val="005F5FE1"/>
    <w:rsid w:val="005F6B07"/>
    <w:rsid w:val="00611EF2"/>
    <w:rsid w:val="00624510"/>
    <w:rsid w:val="00625577"/>
    <w:rsid w:val="00631662"/>
    <w:rsid w:val="00632C6E"/>
    <w:rsid w:val="00640675"/>
    <w:rsid w:val="006432F3"/>
    <w:rsid w:val="00644FD4"/>
    <w:rsid w:val="00656048"/>
    <w:rsid w:val="00661A61"/>
    <w:rsid w:val="0066448C"/>
    <w:rsid w:val="00665641"/>
    <w:rsid w:val="00667B66"/>
    <w:rsid w:val="00671F4A"/>
    <w:rsid w:val="00673015"/>
    <w:rsid w:val="006744F6"/>
    <w:rsid w:val="00675EDB"/>
    <w:rsid w:val="00681837"/>
    <w:rsid w:val="00682EDE"/>
    <w:rsid w:val="00683AC9"/>
    <w:rsid w:val="00683AE8"/>
    <w:rsid w:val="00683D35"/>
    <w:rsid w:val="006861F9"/>
    <w:rsid w:val="00694C18"/>
    <w:rsid w:val="00695CF2"/>
    <w:rsid w:val="006A1CB2"/>
    <w:rsid w:val="006C03CD"/>
    <w:rsid w:val="006C31C7"/>
    <w:rsid w:val="006C4FF2"/>
    <w:rsid w:val="006C61BA"/>
    <w:rsid w:val="006C7CAE"/>
    <w:rsid w:val="006D6AE8"/>
    <w:rsid w:val="006E1975"/>
    <w:rsid w:val="006E1EAE"/>
    <w:rsid w:val="006E4038"/>
    <w:rsid w:val="006E5C14"/>
    <w:rsid w:val="006E7CA7"/>
    <w:rsid w:val="006F11F4"/>
    <w:rsid w:val="006F28A2"/>
    <w:rsid w:val="00701A75"/>
    <w:rsid w:val="0070332D"/>
    <w:rsid w:val="00704800"/>
    <w:rsid w:val="0070633F"/>
    <w:rsid w:val="00712951"/>
    <w:rsid w:val="00714CD3"/>
    <w:rsid w:val="007207B8"/>
    <w:rsid w:val="00720FC8"/>
    <w:rsid w:val="00726360"/>
    <w:rsid w:val="00727F4F"/>
    <w:rsid w:val="00732B70"/>
    <w:rsid w:val="0073330A"/>
    <w:rsid w:val="007361CB"/>
    <w:rsid w:val="00741A6F"/>
    <w:rsid w:val="00741CA9"/>
    <w:rsid w:val="00752358"/>
    <w:rsid w:val="007523CF"/>
    <w:rsid w:val="00753092"/>
    <w:rsid w:val="007635BB"/>
    <w:rsid w:val="00764101"/>
    <w:rsid w:val="0076692C"/>
    <w:rsid w:val="00773817"/>
    <w:rsid w:val="00776988"/>
    <w:rsid w:val="007802D1"/>
    <w:rsid w:val="007867B4"/>
    <w:rsid w:val="00787201"/>
    <w:rsid w:val="007900B3"/>
    <w:rsid w:val="00790413"/>
    <w:rsid w:val="0079289E"/>
    <w:rsid w:val="007940CA"/>
    <w:rsid w:val="0079693F"/>
    <w:rsid w:val="007A21D7"/>
    <w:rsid w:val="007A30A4"/>
    <w:rsid w:val="007B0058"/>
    <w:rsid w:val="007B200F"/>
    <w:rsid w:val="007B3341"/>
    <w:rsid w:val="007B5C28"/>
    <w:rsid w:val="007B5F47"/>
    <w:rsid w:val="007B755F"/>
    <w:rsid w:val="007B76A4"/>
    <w:rsid w:val="007C0339"/>
    <w:rsid w:val="007C0DAB"/>
    <w:rsid w:val="007C1CEF"/>
    <w:rsid w:val="007D0936"/>
    <w:rsid w:val="007D5185"/>
    <w:rsid w:val="007D7894"/>
    <w:rsid w:val="007E415A"/>
    <w:rsid w:val="007E48FA"/>
    <w:rsid w:val="007F272D"/>
    <w:rsid w:val="007F4AC3"/>
    <w:rsid w:val="007F500D"/>
    <w:rsid w:val="0080177D"/>
    <w:rsid w:val="00801D0F"/>
    <w:rsid w:val="0081025E"/>
    <w:rsid w:val="00811BB5"/>
    <w:rsid w:val="00823AD8"/>
    <w:rsid w:val="0083193D"/>
    <w:rsid w:val="00832FB4"/>
    <w:rsid w:val="0083365C"/>
    <w:rsid w:val="0083449E"/>
    <w:rsid w:val="0084101E"/>
    <w:rsid w:val="00847963"/>
    <w:rsid w:val="00847B26"/>
    <w:rsid w:val="00851BC8"/>
    <w:rsid w:val="00855163"/>
    <w:rsid w:val="0087329F"/>
    <w:rsid w:val="00874EC5"/>
    <w:rsid w:val="0087710F"/>
    <w:rsid w:val="008867E8"/>
    <w:rsid w:val="00890CF5"/>
    <w:rsid w:val="0089379C"/>
    <w:rsid w:val="008A2B95"/>
    <w:rsid w:val="008A4A42"/>
    <w:rsid w:val="008A4B9B"/>
    <w:rsid w:val="008A4BCE"/>
    <w:rsid w:val="008A4FA7"/>
    <w:rsid w:val="008A5175"/>
    <w:rsid w:val="008A6A88"/>
    <w:rsid w:val="008B0500"/>
    <w:rsid w:val="008B0519"/>
    <w:rsid w:val="008B0CDA"/>
    <w:rsid w:val="008B25E4"/>
    <w:rsid w:val="008C3567"/>
    <w:rsid w:val="008C6180"/>
    <w:rsid w:val="008C6F18"/>
    <w:rsid w:val="008C727D"/>
    <w:rsid w:val="008D1D4D"/>
    <w:rsid w:val="008D3821"/>
    <w:rsid w:val="008D62CA"/>
    <w:rsid w:val="008D6CFB"/>
    <w:rsid w:val="008E4F27"/>
    <w:rsid w:val="008E6422"/>
    <w:rsid w:val="008E75DD"/>
    <w:rsid w:val="008F5C13"/>
    <w:rsid w:val="00902008"/>
    <w:rsid w:val="0090258D"/>
    <w:rsid w:val="009048FB"/>
    <w:rsid w:val="00905CDF"/>
    <w:rsid w:val="00907C24"/>
    <w:rsid w:val="009127CC"/>
    <w:rsid w:val="0091455B"/>
    <w:rsid w:val="00914AA1"/>
    <w:rsid w:val="00916427"/>
    <w:rsid w:val="009165F0"/>
    <w:rsid w:val="00925F68"/>
    <w:rsid w:val="009267C7"/>
    <w:rsid w:val="0093394A"/>
    <w:rsid w:val="00934DB6"/>
    <w:rsid w:val="009365D1"/>
    <w:rsid w:val="009476ED"/>
    <w:rsid w:val="009539B9"/>
    <w:rsid w:val="00953BA0"/>
    <w:rsid w:val="00954EC2"/>
    <w:rsid w:val="00963F4B"/>
    <w:rsid w:val="00967829"/>
    <w:rsid w:val="009746A5"/>
    <w:rsid w:val="00975263"/>
    <w:rsid w:val="00975272"/>
    <w:rsid w:val="009812C4"/>
    <w:rsid w:val="00983DEB"/>
    <w:rsid w:val="00986B51"/>
    <w:rsid w:val="00990C44"/>
    <w:rsid w:val="00992462"/>
    <w:rsid w:val="00993684"/>
    <w:rsid w:val="009A3CA5"/>
    <w:rsid w:val="009A6387"/>
    <w:rsid w:val="009A7B81"/>
    <w:rsid w:val="009B2745"/>
    <w:rsid w:val="009B7486"/>
    <w:rsid w:val="009C4C16"/>
    <w:rsid w:val="009C61E2"/>
    <w:rsid w:val="009D2DE7"/>
    <w:rsid w:val="009E28C9"/>
    <w:rsid w:val="009E2FD0"/>
    <w:rsid w:val="009E4731"/>
    <w:rsid w:val="009E4D28"/>
    <w:rsid w:val="009E4E24"/>
    <w:rsid w:val="00A01427"/>
    <w:rsid w:val="00A0729D"/>
    <w:rsid w:val="00A11BB4"/>
    <w:rsid w:val="00A201B9"/>
    <w:rsid w:val="00A23C17"/>
    <w:rsid w:val="00A30A21"/>
    <w:rsid w:val="00A30BB7"/>
    <w:rsid w:val="00A34F5E"/>
    <w:rsid w:val="00A3758E"/>
    <w:rsid w:val="00A45C11"/>
    <w:rsid w:val="00A4677F"/>
    <w:rsid w:val="00A52EAB"/>
    <w:rsid w:val="00A61387"/>
    <w:rsid w:val="00A613A3"/>
    <w:rsid w:val="00A6224F"/>
    <w:rsid w:val="00A6294B"/>
    <w:rsid w:val="00A62BC4"/>
    <w:rsid w:val="00A641B8"/>
    <w:rsid w:val="00A72DE9"/>
    <w:rsid w:val="00A80F37"/>
    <w:rsid w:val="00A81FB8"/>
    <w:rsid w:val="00A8631C"/>
    <w:rsid w:val="00A87E12"/>
    <w:rsid w:val="00A9197F"/>
    <w:rsid w:val="00A91A4B"/>
    <w:rsid w:val="00A97BA8"/>
    <w:rsid w:val="00AA03F9"/>
    <w:rsid w:val="00AA6249"/>
    <w:rsid w:val="00AA65E6"/>
    <w:rsid w:val="00AB248C"/>
    <w:rsid w:val="00AC2B32"/>
    <w:rsid w:val="00AC3721"/>
    <w:rsid w:val="00AC3B52"/>
    <w:rsid w:val="00AD0885"/>
    <w:rsid w:val="00AD3020"/>
    <w:rsid w:val="00AD75CA"/>
    <w:rsid w:val="00AE092B"/>
    <w:rsid w:val="00AE2F9F"/>
    <w:rsid w:val="00AE660A"/>
    <w:rsid w:val="00AE7487"/>
    <w:rsid w:val="00AE7DBB"/>
    <w:rsid w:val="00AF0DDA"/>
    <w:rsid w:val="00AF7BE3"/>
    <w:rsid w:val="00B12DA7"/>
    <w:rsid w:val="00B22000"/>
    <w:rsid w:val="00B25D48"/>
    <w:rsid w:val="00B26A44"/>
    <w:rsid w:val="00B2735E"/>
    <w:rsid w:val="00B30AF1"/>
    <w:rsid w:val="00B318EA"/>
    <w:rsid w:val="00B358B2"/>
    <w:rsid w:val="00B41B71"/>
    <w:rsid w:val="00B43017"/>
    <w:rsid w:val="00B45593"/>
    <w:rsid w:val="00B45F43"/>
    <w:rsid w:val="00B50076"/>
    <w:rsid w:val="00B50CF7"/>
    <w:rsid w:val="00B5111A"/>
    <w:rsid w:val="00B56203"/>
    <w:rsid w:val="00B5622C"/>
    <w:rsid w:val="00B72884"/>
    <w:rsid w:val="00B73B4C"/>
    <w:rsid w:val="00B85E35"/>
    <w:rsid w:val="00B903CE"/>
    <w:rsid w:val="00B921AF"/>
    <w:rsid w:val="00B94BF4"/>
    <w:rsid w:val="00B956AC"/>
    <w:rsid w:val="00BA1DB2"/>
    <w:rsid w:val="00BA214D"/>
    <w:rsid w:val="00BA3A08"/>
    <w:rsid w:val="00BB46CA"/>
    <w:rsid w:val="00BB7133"/>
    <w:rsid w:val="00BB7F4C"/>
    <w:rsid w:val="00BC3653"/>
    <w:rsid w:val="00BC3C7B"/>
    <w:rsid w:val="00BC435C"/>
    <w:rsid w:val="00BC6547"/>
    <w:rsid w:val="00BC736C"/>
    <w:rsid w:val="00BC76EA"/>
    <w:rsid w:val="00BD2FF4"/>
    <w:rsid w:val="00BD30D4"/>
    <w:rsid w:val="00BE1A64"/>
    <w:rsid w:val="00BF511A"/>
    <w:rsid w:val="00BF5FB7"/>
    <w:rsid w:val="00C039D8"/>
    <w:rsid w:val="00C04C1C"/>
    <w:rsid w:val="00C0728D"/>
    <w:rsid w:val="00C212D0"/>
    <w:rsid w:val="00C23D7E"/>
    <w:rsid w:val="00C25CAB"/>
    <w:rsid w:val="00C30F6D"/>
    <w:rsid w:val="00C32C15"/>
    <w:rsid w:val="00C34435"/>
    <w:rsid w:val="00C34BCF"/>
    <w:rsid w:val="00C36C38"/>
    <w:rsid w:val="00C42C32"/>
    <w:rsid w:val="00C45086"/>
    <w:rsid w:val="00C47B5A"/>
    <w:rsid w:val="00C5398F"/>
    <w:rsid w:val="00C63F5E"/>
    <w:rsid w:val="00C666AE"/>
    <w:rsid w:val="00C733F3"/>
    <w:rsid w:val="00C752C3"/>
    <w:rsid w:val="00C762F1"/>
    <w:rsid w:val="00C9399E"/>
    <w:rsid w:val="00C94B5F"/>
    <w:rsid w:val="00CA0BAB"/>
    <w:rsid w:val="00CA757A"/>
    <w:rsid w:val="00CB2133"/>
    <w:rsid w:val="00CB47F9"/>
    <w:rsid w:val="00CC15B3"/>
    <w:rsid w:val="00CC253C"/>
    <w:rsid w:val="00CC4A25"/>
    <w:rsid w:val="00CC5B25"/>
    <w:rsid w:val="00CD0A4E"/>
    <w:rsid w:val="00CE0FF1"/>
    <w:rsid w:val="00CE2205"/>
    <w:rsid w:val="00CF07C3"/>
    <w:rsid w:val="00CF38C2"/>
    <w:rsid w:val="00CF3D7C"/>
    <w:rsid w:val="00CF6EA1"/>
    <w:rsid w:val="00CF708C"/>
    <w:rsid w:val="00D02D74"/>
    <w:rsid w:val="00D05AA8"/>
    <w:rsid w:val="00D05C47"/>
    <w:rsid w:val="00D06BDD"/>
    <w:rsid w:val="00D123D3"/>
    <w:rsid w:val="00D13D59"/>
    <w:rsid w:val="00D167A9"/>
    <w:rsid w:val="00D16CB2"/>
    <w:rsid w:val="00D16CC8"/>
    <w:rsid w:val="00D22A1E"/>
    <w:rsid w:val="00D23F76"/>
    <w:rsid w:val="00D24536"/>
    <w:rsid w:val="00D31135"/>
    <w:rsid w:val="00D31597"/>
    <w:rsid w:val="00D32995"/>
    <w:rsid w:val="00D34CDA"/>
    <w:rsid w:val="00D521C6"/>
    <w:rsid w:val="00D5428F"/>
    <w:rsid w:val="00D605BB"/>
    <w:rsid w:val="00D60BCB"/>
    <w:rsid w:val="00D647B8"/>
    <w:rsid w:val="00D72084"/>
    <w:rsid w:val="00D73A98"/>
    <w:rsid w:val="00D74B01"/>
    <w:rsid w:val="00D74B7D"/>
    <w:rsid w:val="00D75F89"/>
    <w:rsid w:val="00D83643"/>
    <w:rsid w:val="00D911E7"/>
    <w:rsid w:val="00D96542"/>
    <w:rsid w:val="00DA3BF9"/>
    <w:rsid w:val="00DB29D4"/>
    <w:rsid w:val="00DB5497"/>
    <w:rsid w:val="00DC0AA1"/>
    <w:rsid w:val="00DC2345"/>
    <w:rsid w:val="00DC674A"/>
    <w:rsid w:val="00DD0FD6"/>
    <w:rsid w:val="00DD2C48"/>
    <w:rsid w:val="00DD51EC"/>
    <w:rsid w:val="00DD5262"/>
    <w:rsid w:val="00DD722A"/>
    <w:rsid w:val="00DD7D58"/>
    <w:rsid w:val="00DE4CAA"/>
    <w:rsid w:val="00DE612A"/>
    <w:rsid w:val="00DE79BF"/>
    <w:rsid w:val="00DF4B85"/>
    <w:rsid w:val="00E03505"/>
    <w:rsid w:val="00E046BA"/>
    <w:rsid w:val="00E1221A"/>
    <w:rsid w:val="00E2325D"/>
    <w:rsid w:val="00E2636A"/>
    <w:rsid w:val="00E3523D"/>
    <w:rsid w:val="00E4506C"/>
    <w:rsid w:val="00E4665C"/>
    <w:rsid w:val="00E476F7"/>
    <w:rsid w:val="00E57343"/>
    <w:rsid w:val="00E72BC9"/>
    <w:rsid w:val="00E75706"/>
    <w:rsid w:val="00E83925"/>
    <w:rsid w:val="00E9157B"/>
    <w:rsid w:val="00E94918"/>
    <w:rsid w:val="00E96C0E"/>
    <w:rsid w:val="00EA7A5F"/>
    <w:rsid w:val="00EB1B0A"/>
    <w:rsid w:val="00EB1CF0"/>
    <w:rsid w:val="00EB2C22"/>
    <w:rsid w:val="00EB4CE5"/>
    <w:rsid w:val="00EB5297"/>
    <w:rsid w:val="00EC33E2"/>
    <w:rsid w:val="00EC4699"/>
    <w:rsid w:val="00EC563F"/>
    <w:rsid w:val="00EC61A5"/>
    <w:rsid w:val="00EC6E2C"/>
    <w:rsid w:val="00ED0667"/>
    <w:rsid w:val="00ED0D71"/>
    <w:rsid w:val="00ED26F7"/>
    <w:rsid w:val="00ED4F74"/>
    <w:rsid w:val="00ED6882"/>
    <w:rsid w:val="00EE148C"/>
    <w:rsid w:val="00EE5010"/>
    <w:rsid w:val="00EE64E7"/>
    <w:rsid w:val="00EE6B25"/>
    <w:rsid w:val="00EE79E3"/>
    <w:rsid w:val="00EF1DD2"/>
    <w:rsid w:val="00EF5834"/>
    <w:rsid w:val="00EF5961"/>
    <w:rsid w:val="00F00C4D"/>
    <w:rsid w:val="00F07774"/>
    <w:rsid w:val="00F12387"/>
    <w:rsid w:val="00F13650"/>
    <w:rsid w:val="00F140A9"/>
    <w:rsid w:val="00F146C7"/>
    <w:rsid w:val="00F17FB1"/>
    <w:rsid w:val="00F24FC2"/>
    <w:rsid w:val="00F260FA"/>
    <w:rsid w:val="00F323E6"/>
    <w:rsid w:val="00F334CB"/>
    <w:rsid w:val="00F35D35"/>
    <w:rsid w:val="00F37165"/>
    <w:rsid w:val="00F42222"/>
    <w:rsid w:val="00F4486E"/>
    <w:rsid w:val="00F45AAF"/>
    <w:rsid w:val="00F4798F"/>
    <w:rsid w:val="00F55E12"/>
    <w:rsid w:val="00F6464E"/>
    <w:rsid w:val="00F733B4"/>
    <w:rsid w:val="00F73D27"/>
    <w:rsid w:val="00F740AC"/>
    <w:rsid w:val="00F75535"/>
    <w:rsid w:val="00F75C42"/>
    <w:rsid w:val="00F77F71"/>
    <w:rsid w:val="00F83DB7"/>
    <w:rsid w:val="00F840ED"/>
    <w:rsid w:val="00F85CF1"/>
    <w:rsid w:val="00F903C2"/>
    <w:rsid w:val="00F91813"/>
    <w:rsid w:val="00FA07C9"/>
    <w:rsid w:val="00FA0AAC"/>
    <w:rsid w:val="00FA1C7C"/>
    <w:rsid w:val="00FC4A14"/>
    <w:rsid w:val="00FD17F8"/>
    <w:rsid w:val="00FD5785"/>
    <w:rsid w:val="00FD716F"/>
    <w:rsid w:val="00FE01BA"/>
    <w:rsid w:val="00FE34D1"/>
    <w:rsid w:val="00FE756B"/>
    <w:rsid w:val="00FF2806"/>
    <w:rsid w:val="043206E5"/>
    <w:rsid w:val="04E53E7A"/>
    <w:rsid w:val="07463B51"/>
    <w:rsid w:val="084B6928"/>
    <w:rsid w:val="0A0738EF"/>
    <w:rsid w:val="0C600578"/>
    <w:rsid w:val="0DBF0BF8"/>
    <w:rsid w:val="0DF854CB"/>
    <w:rsid w:val="0E0E058B"/>
    <w:rsid w:val="0FF81B77"/>
    <w:rsid w:val="10D90711"/>
    <w:rsid w:val="130E5C52"/>
    <w:rsid w:val="13267A75"/>
    <w:rsid w:val="13880A02"/>
    <w:rsid w:val="185035D6"/>
    <w:rsid w:val="186773BD"/>
    <w:rsid w:val="18FA7829"/>
    <w:rsid w:val="1AAA0B4C"/>
    <w:rsid w:val="1C4231EC"/>
    <w:rsid w:val="1E2B2D0C"/>
    <w:rsid w:val="202378CC"/>
    <w:rsid w:val="2091347B"/>
    <w:rsid w:val="21D2510C"/>
    <w:rsid w:val="22FA79E2"/>
    <w:rsid w:val="236B5F7E"/>
    <w:rsid w:val="23746A36"/>
    <w:rsid w:val="29F5293C"/>
    <w:rsid w:val="2B801F8B"/>
    <w:rsid w:val="2FB51A54"/>
    <w:rsid w:val="30486A45"/>
    <w:rsid w:val="305F38FB"/>
    <w:rsid w:val="321D7610"/>
    <w:rsid w:val="361C0EBA"/>
    <w:rsid w:val="36F52036"/>
    <w:rsid w:val="3A5E5738"/>
    <w:rsid w:val="3D61397C"/>
    <w:rsid w:val="3EED49AB"/>
    <w:rsid w:val="3F7C488C"/>
    <w:rsid w:val="42EB2656"/>
    <w:rsid w:val="43953B9F"/>
    <w:rsid w:val="43FD2CBF"/>
    <w:rsid w:val="440D5D7C"/>
    <w:rsid w:val="44232F9A"/>
    <w:rsid w:val="442C0A64"/>
    <w:rsid w:val="45022641"/>
    <w:rsid w:val="47225ABA"/>
    <w:rsid w:val="47750940"/>
    <w:rsid w:val="486D3062"/>
    <w:rsid w:val="49552E32"/>
    <w:rsid w:val="4A05116D"/>
    <w:rsid w:val="4B1235AF"/>
    <w:rsid w:val="4B5679C8"/>
    <w:rsid w:val="4CC43735"/>
    <w:rsid w:val="4D8712D5"/>
    <w:rsid w:val="4DAB7A25"/>
    <w:rsid w:val="4DD97C2D"/>
    <w:rsid w:val="501120A0"/>
    <w:rsid w:val="50A770DF"/>
    <w:rsid w:val="548A0BC1"/>
    <w:rsid w:val="570D69B5"/>
    <w:rsid w:val="57D93C2F"/>
    <w:rsid w:val="58587D80"/>
    <w:rsid w:val="598D151E"/>
    <w:rsid w:val="59AF294E"/>
    <w:rsid w:val="5B6F1496"/>
    <w:rsid w:val="62BD7BDA"/>
    <w:rsid w:val="644143E5"/>
    <w:rsid w:val="64D272F5"/>
    <w:rsid w:val="65896198"/>
    <w:rsid w:val="6626231F"/>
    <w:rsid w:val="692C2B70"/>
    <w:rsid w:val="69E50099"/>
    <w:rsid w:val="6A696FDD"/>
    <w:rsid w:val="6AC96DB9"/>
    <w:rsid w:val="6B225A3D"/>
    <w:rsid w:val="6CD00095"/>
    <w:rsid w:val="6D9360F3"/>
    <w:rsid w:val="6D946E2F"/>
    <w:rsid w:val="6F134DCC"/>
    <w:rsid w:val="6FD37055"/>
    <w:rsid w:val="6FE2091C"/>
    <w:rsid w:val="71622867"/>
    <w:rsid w:val="72C6616E"/>
    <w:rsid w:val="73E67832"/>
    <w:rsid w:val="750267DB"/>
    <w:rsid w:val="752902B3"/>
    <w:rsid w:val="78DA53DD"/>
    <w:rsid w:val="7A3B2C4D"/>
    <w:rsid w:val="7A973FCD"/>
    <w:rsid w:val="7CAB1295"/>
    <w:rsid w:val="7CD97919"/>
    <w:rsid w:val="7CE52E5B"/>
    <w:rsid w:val="7E8979D2"/>
    <w:rsid w:val="7F544A77"/>
    <w:rsid w:val="7F62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1"/>
    <w:basedOn w:val="1"/>
    <w:next w:val="1"/>
    <w:link w:val="21"/>
    <w:qFormat/>
    <w:uiPriority w:val="9"/>
    <w:pPr>
      <w:keepNext/>
      <w:keepLines/>
      <w:spacing w:before="480" w:after="0"/>
      <w:outlineLvl w:val="0"/>
    </w:pPr>
    <w:rPr>
      <w:rFonts w:ascii="Cambria" w:hAnsi="Cambria" w:cs="宋体"/>
      <w:b/>
      <w:bCs/>
      <w:color w:val="365F91"/>
      <w:sz w:val="28"/>
      <w:szCs w:val="28"/>
      <w:lang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0"/>
    <w:qFormat/>
    <w:uiPriority w:val="99"/>
    <w:pPr>
      <w:spacing w:after="120"/>
      <w:ind w:firstLine="440" w:firstLineChars="200"/>
    </w:pPr>
    <w:rPr>
      <w:szCs w:val="20"/>
      <w:lang w:eastAsia="zh-CN"/>
    </w:rPr>
  </w:style>
  <w:style w:type="paragraph" w:styleId="4">
    <w:name w:val="annotation text"/>
    <w:basedOn w:val="1"/>
    <w:link w:val="23"/>
    <w:qFormat/>
    <w:uiPriority w:val="0"/>
    <w:rPr>
      <w:lang w:eastAsia="zh-CN" w:bidi="ar-SA"/>
    </w:rPr>
  </w:style>
  <w:style w:type="paragraph" w:styleId="5">
    <w:name w:val="Block Text"/>
    <w:basedOn w:val="1"/>
    <w:unhideWhenUsed/>
    <w:qFormat/>
    <w:uiPriority w:val="0"/>
    <w:pPr>
      <w:adjustRightInd w:val="0"/>
      <w:spacing w:before="100" w:beforeAutospacing="1" w:after="100" w:afterAutospacing="1"/>
      <w:ind w:left="1265" w:right="101" w:rightChars="48"/>
    </w:pPr>
    <w:rPr>
      <w:rFonts w:eastAsia="华文宋体"/>
      <w:szCs w:val="20"/>
    </w:rPr>
  </w:style>
  <w:style w:type="paragraph" w:styleId="6">
    <w:name w:val="Plain Text"/>
    <w:basedOn w:val="1"/>
    <w:link w:val="26"/>
    <w:qFormat/>
    <w:uiPriority w:val="0"/>
    <w:pPr>
      <w:spacing w:line="360" w:lineRule="auto"/>
      <w:ind w:firstLine="420"/>
      <w:jc w:val="both"/>
    </w:pPr>
    <w:rPr>
      <w:rFonts w:asciiTheme="minorEastAsia" w:hAnsiTheme="minorEastAsia" w:eastAsiaTheme="minorEastAsia" w:cstheme="minorEastAsia"/>
      <w:sz w:val="21"/>
      <w:szCs w:val="21"/>
      <w:lang w:eastAsia="zh-CN"/>
    </w:rPr>
  </w:style>
  <w:style w:type="paragraph" w:styleId="7">
    <w:name w:val="Balloon Text"/>
    <w:basedOn w:val="1"/>
    <w:link w:val="28"/>
    <w:qFormat/>
    <w:uiPriority w:val="0"/>
    <w:pPr>
      <w:spacing w:after="0" w:line="240" w:lineRule="auto"/>
    </w:pPr>
    <w:rPr>
      <w:sz w:val="18"/>
      <w:szCs w:val="18"/>
    </w:rPr>
  </w:style>
  <w:style w:type="paragraph" w:styleId="8">
    <w:name w:val="footer"/>
    <w:basedOn w:val="1"/>
    <w:link w:val="25"/>
    <w:qFormat/>
    <w:uiPriority w:val="99"/>
    <w:pPr>
      <w:tabs>
        <w:tab w:val="center" w:pos="4153"/>
        <w:tab w:val="right" w:pos="8306"/>
      </w:tabs>
      <w:snapToGrid w:val="0"/>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style>
  <w:style w:type="paragraph" w:styleId="11">
    <w:name w:val="toc 2"/>
    <w:basedOn w:val="1"/>
    <w:next w:val="1"/>
    <w:qFormat/>
    <w:uiPriority w:val="39"/>
    <w:pPr>
      <w:adjustRightInd w:val="0"/>
      <w:spacing w:line="360" w:lineRule="auto"/>
      <w:ind w:left="899" w:leftChars="428" w:firstLine="44" w:firstLineChars="21"/>
    </w:pPr>
    <w:rPr>
      <w:rFonts w:ascii="宋体" w:hAnsi="宋体"/>
    </w:rPr>
  </w:style>
  <w:style w:type="paragraph" w:styleId="12">
    <w:name w:val="annotation subject"/>
    <w:basedOn w:val="4"/>
    <w:next w:val="4"/>
    <w:link w:val="27"/>
    <w:semiHidden/>
    <w:unhideWhenUsed/>
    <w:qFormat/>
    <w:uiPriority w:val="0"/>
    <w:rPr>
      <w:b/>
      <w:bCs/>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FollowedHyperlink"/>
    <w:basedOn w:val="15"/>
    <w:semiHidden/>
    <w:unhideWhenUsed/>
    <w:qFormat/>
    <w:uiPriority w:val="0"/>
    <w:rPr>
      <w:color w:val="954F72" w:themeColor="followedHyperlink"/>
      <w:u w:val="single"/>
      <w14:textFill>
        <w14:solidFill>
          <w14:schemeClr w14:val="folHlink"/>
        </w14:solidFill>
      </w14:textFill>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正文文本 字符"/>
    <w:basedOn w:val="15"/>
    <w:link w:val="2"/>
    <w:qFormat/>
    <w:uiPriority w:val="99"/>
    <w:rPr>
      <w:sz w:val="22"/>
      <w:lang w:bidi="en-US"/>
    </w:rPr>
  </w:style>
  <w:style w:type="character" w:customStyle="1" w:styleId="21">
    <w:name w:val="标题 1 字符"/>
    <w:basedOn w:val="15"/>
    <w:link w:val="3"/>
    <w:qFormat/>
    <w:uiPriority w:val="9"/>
    <w:rPr>
      <w:rFonts w:asciiTheme="majorHAnsi" w:hAnsiTheme="majorHAnsi" w:eastAsiaTheme="majorEastAsia" w:cstheme="majorBidi"/>
      <w:color w:val="2E75B6" w:themeColor="accent1" w:themeShade="BF"/>
      <w:sz w:val="48"/>
      <w:szCs w:val="48"/>
      <w:lang w:eastAsia="en-US" w:bidi="en-US"/>
    </w:rPr>
  </w:style>
  <w:style w:type="paragraph" w:customStyle="1" w:styleId="22">
    <w:name w:val="msonormal"/>
    <w:basedOn w:val="1"/>
    <w:qFormat/>
    <w:uiPriority w:val="0"/>
    <w:pPr>
      <w:spacing w:before="100" w:beforeAutospacing="1" w:after="100" w:afterAutospacing="1" w:line="240" w:lineRule="auto"/>
    </w:pPr>
    <w:rPr>
      <w:rFonts w:ascii="宋体" w:hAnsi="宋体" w:cs="宋体"/>
      <w:sz w:val="24"/>
      <w:szCs w:val="24"/>
      <w:lang w:eastAsia="zh-CN" w:bidi="ar-SA"/>
    </w:rPr>
  </w:style>
  <w:style w:type="character" w:customStyle="1" w:styleId="23">
    <w:name w:val="批注文字 字符"/>
    <w:basedOn w:val="15"/>
    <w:link w:val="4"/>
    <w:qFormat/>
    <w:locked/>
    <w:uiPriority w:val="0"/>
    <w:rPr>
      <w:sz w:val="22"/>
      <w:szCs w:val="22"/>
      <w:lang w:eastAsia="en-US" w:bidi="en-US"/>
    </w:rPr>
  </w:style>
  <w:style w:type="character" w:customStyle="1" w:styleId="24">
    <w:name w:val="页眉 字符"/>
    <w:basedOn w:val="15"/>
    <w:link w:val="9"/>
    <w:qFormat/>
    <w:uiPriority w:val="0"/>
    <w:rPr>
      <w:sz w:val="18"/>
      <w:szCs w:val="18"/>
      <w:lang w:eastAsia="en-US" w:bidi="en-US"/>
    </w:rPr>
  </w:style>
  <w:style w:type="character" w:customStyle="1" w:styleId="25">
    <w:name w:val="页脚 字符"/>
    <w:basedOn w:val="15"/>
    <w:link w:val="8"/>
    <w:qFormat/>
    <w:uiPriority w:val="99"/>
    <w:rPr>
      <w:sz w:val="18"/>
      <w:szCs w:val="18"/>
      <w:lang w:eastAsia="en-US" w:bidi="en-US"/>
    </w:rPr>
  </w:style>
  <w:style w:type="character" w:customStyle="1" w:styleId="26">
    <w:name w:val="纯文本 字符"/>
    <w:basedOn w:val="15"/>
    <w:link w:val="6"/>
    <w:qFormat/>
    <w:uiPriority w:val="0"/>
    <w:rPr>
      <w:rFonts w:asciiTheme="minorEastAsia" w:hAnsiTheme="minorEastAsia" w:eastAsiaTheme="minorEastAsia" w:cstheme="minorEastAsia"/>
      <w:sz w:val="21"/>
      <w:szCs w:val="21"/>
      <w:lang w:bidi="en-US"/>
    </w:rPr>
  </w:style>
  <w:style w:type="character" w:customStyle="1" w:styleId="27">
    <w:name w:val="批注主题 字符"/>
    <w:basedOn w:val="23"/>
    <w:link w:val="12"/>
    <w:semiHidden/>
    <w:qFormat/>
    <w:locked/>
    <w:uiPriority w:val="0"/>
    <w:rPr>
      <w:b/>
      <w:bCs/>
      <w:sz w:val="22"/>
      <w:szCs w:val="22"/>
      <w:lang w:eastAsia="en-US" w:bidi="en-US"/>
    </w:rPr>
  </w:style>
  <w:style w:type="character" w:customStyle="1" w:styleId="28">
    <w:name w:val="批注框文本 字符"/>
    <w:basedOn w:val="15"/>
    <w:link w:val="7"/>
    <w:qFormat/>
    <w:locked/>
    <w:uiPriority w:val="0"/>
    <w:rPr>
      <w:sz w:val="18"/>
      <w:szCs w:val="18"/>
      <w:lang w:eastAsia="en-US" w:bidi="en-US"/>
    </w:rPr>
  </w:style>
  <w:style w:type="paragraph" w:styleId="29">
    <w:name w:val="List Paragraph"/>
    <w:basedOn w:val="1"/>
    <w:unhideWhenUsed/>
    <w:qFormat/>
    <w:uiPriority w:val="99"/>
    <w:pPr>
      <w:ind w:firstLine="420" w:firstLineChars="200"/>
    </w:pPr>
  </w:style>
  <w:style w:type="paragraph" w:customStyle="1" w:styleId="30">
    <w:name w:val="_Style 3"/>
    <w:basedOn w:val="3"/>
    <w:next w:val="1"/>
    <w:qFormat/>
    <w:uiPriority w:val="39"/>
    <w:pPr>
      <w:outlineLvl w:val="9"/>
    </w:pPr>
    <w:rPr>
      <w:rFonts w:cs="Times New Roman"/>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TOC 标题1"/>
    <w:basedOn w:val="3"/>
    <w:next w:val="1"/>
    <w:qFormat/>
    <w:uiPriority w:val="39"/>
    <w:pPr>
      <w:spacing w:before="240" w:line="256" w:lineRule="auto"/>
      <w:outlineLvl w:val="9"/>
    </w:pPr>
    <w:rPr>
      <w:rFonts w:asciiTheme="majorHAnsi" w:hAnsiTheme="majorHAnsi" w:eastAsiaTheme="majorEastAsia" w:cstheme="majorBidi"/>
      <w:b w:val="0"/>
      <w:bCs w:val="0"/>
      <w:color w:val="2E75B6"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8B279-53DF-41CC-8601-67E5C9FFBD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838</Words>
  <Characters>971</Characters>
  <Lines>423</Lines>
  <Paragraphs>119</Paragraphs>
  <TotalTime>1</TotalTime>
  <ScaleCrop>false</ScaleCrop>
  <LinksUpToDate>false</LinksUpToDate>
  <CharactersWithSpaces>1599</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2024-03-11T09:08:00Z</dcterms:created>
  <dc:creator>admin</dc:creator>
  <cp:lastModifiedBy>一人游</cp:lastModifiedBy>
  <cp:lastPrinted>2024-01-02T01:44:00Z</cp:lastPrinted>
  <dcterms:modified xsi:type="dcterms:W3CDTF">2026-06-24T02:46:15Z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DEA7DEC89FB24FE389D1B12F770657E0_13</vt:lpwstr>
  </property>
  <property fmtid="{D5CDD505-2E9C-101B-9397-08002B2CF9AE}" pid="4" name="KSOTemplateDocerSaveRecord">
    <vt:lpwstr>eyJoZGlkIjoiOThiNGRkZDVkZGZmNWEyMGZmYmY3NzY1OTQ1ZjEzM2IiLCJ1c2VySWQiOiIxODUyMTg5MDQ3In0=</vt:lpwstr>
  </property>
</Properties>
</file>