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ascii="宋体" w:hAnsi="宋体" w:eastAsia="宋体"/>
          <w:highlight w:val="none"/>
          <w:u w:val="single"/>
        </w:rPr>
        <w:t>ZJLQ-FG-</w:t>
      </w:r>
      <w:r>
        <w:rPr>
          <w:rFonts w:hint="eastAsia" w:ascii="宋体" w:hAnsi="宋体" w:eastAsia="宋体"/>
          <w:highlight w:val="none"/>
          <w:u w:val="single"/>
          <w:lang w:val="en-US" w:eastAsia="zh-CN"/>
        </w:rPr>
        <w:t>昌都卡若区嘎玛乡达那村公路工程</w:t>
      </w:r>
      <w:r>
        <w:rPr>
          <w:rFonts w:hint="eastAsia" w:ascii="宋体" w:hAnsi="宋体" w:eastAsia="宋体"/>
          <w:highlight w:val="none"/>
          <w:u w:val="single"/>
        </w:rPr>
        <w:t>-00</w:t>
      </w:r>
      <w:r>
        <w:rPr>
          <w:rFonts w:hint="eastAsia" w:ascii="宋体" w:hAnsi="宋体" w:eastAsia="宋体"/>
          <w:highlight w:val="none"/>
          <w:u w:val="single"/>
          <w:lang w:val="en-US" w:eastAsia="zh-CN"/>
        </w:rPr>
        <w:t>8</w:t>
      </w:r>
      <w:r>
        <w:rPr>
          <w:rFonts w:hint="eastAsia" w:eastAsia="仿宋_GB2312"/>
          <w:bCs/>
          <w:color w:val="000000"/>
          <w:sz w:val="28"/>
          <w:szCs w:val="28"/>
          <w:highlight w:val="none"/>
          <w:u w:val="single"/>
        </w:rPr>
        <w:t xml:space="preserve"> </w:t>
      </w:r>
      <w:permEnd w:id="0"/>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3"/>
        <w:rPr>
          <w:rFonts w:hint="eastAsia"/>
          <w:highlight w:val="none"/>
        </w:rPr>
      </w:pPr>
    </w:p>
    <w:p w14:paraId="5FE9DEF8">
      <w:pPr>
        <w:pStyle w:val="3"/>
        <w:rPr>
          <w:rFonts w:hint="eastAsia"/>
          <w:highlight w:val="none"/>
        </w:rPr>
      </w:pPr>
    </w:p>
    <w:p w14:paraId="0032B077">
      <w:pPr>
        <w:pStyle w:val="3"/>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2" w:edGrp="everyone"/>
      <w:r>
        <w:rPr>
          <w:rFonts w:hint="eastAsia" w:ascii="华文中宋" w:hAnsi="华文中宋" w:eastAsia="华文中宋" w:cs="华文中宋"/>
          <w:b/>
          <w:sz w:val="52"/>
          <w:szCs w:val="52"/>
          <w:highlight w:val="none"/>
        </w:rPr>
        <w:t>【</w:t>
      </w:r>
      <w:r>
        <w:rPr>
          <w:rFonts w:hint="eastAsia" w:cs="Times New Roman" w:asciiTheme="majorEastAsia" w:hAnsiTheme="majorEastAsia" w:eastAsiaTheme="majorEastAsia"/>
          <w:b/>
          <w:color w:val="000000"/>
          <w:kern w:val="2"/>
          <w:sz w:val="44"/>
          <w:szCs w:val="44"/>
          <w:highlight w:val="none"/>
          <w:u w:val="single"/>
          <w:lang w:val="en-US" w:eastAsia="zh-CN"/>
        </w:rPr>
        <w:t>安全设施及预埋管线</w:t>
      </w:r>
      <w:r>
        <w:rPr>
          <w:rFonts w:hint="eastAsia" w:ascii="华文中宋" w:hAnsi="华文中宋" w:eastAsia="华文中宋" w:cs="华文中宋"/>
          <w:b/>
          <w:sz w:val="52"/>
          <w:szCs w:val="52"/>
          <w:highlight w:val="none"/>
        </w:rPr>
        <w:t>】</w:t>
      </w:r>
      <w:permEnd w:id="2"/>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0">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4"/>
        <w:spacing w:after="120"/>
        <w:ind w:firstLine="560"/>
        <w:rPr>
          <w:rFonts w:hint="eastAsia" w:ascii="宋体" w:hAnsi="宋体" w:cs="宋体"/>
          <w:b/>
          <w:sz w:val="28"/>
          <w:szCs w:val="28"/>
          <w:highlight w:val="none"/>
        </w:rPr>
      </w:pPr>
    </w:p>
    <w:p w14:paraId="3C3CC732">
      <w:pPr>
        <w:pStyle w:val="4"/>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CD1102E">
      <w:pPr>
        <w:spacing w:line="360" w:lineRule="auto"/>
        <w:ind w:firstLine="562" w:firstLineChars="200"/>
        <w:rPr>
          <w:rFonts w:hint="eastAsia" w:ascii="仿宋_GB2312" w:hAnsi="仿宋_GB2312" w:eastAsia="仿宋_GB2312" w:cs="仿宋_GB2312"/>
          <w:sz w:val="28"/>
          <w:szCs w:val="28"/>
          <w:highlight w:val="none"/>
        </w:rPr>
      </w:pPr>
      <w:permStart w:id="3"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昌都市卡若区嘎玛乡达那村公路工程</w:t>
      </w:r>
      <w:r>
        <w:rPr>
          <w:rFonts w:hint="eastAsia" w:ascii="仿宋_GB2312" w:hAnsi="仿宋_GB2312" w:eastAsia="仿宋_GB2312" w:cs="仿宋_GB2312"/>
          <w:b/>
          <w:color w:val="000000"/>
          <w:sz w:val="28"/>
          <w:szCs w:val="28"/>
          <w:highlight w:val="none"/>
        </w:rPr>
        <w:t xml:space="preserve"> 】</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5A86FBE4">
      <w:pPr>
        <w:pStyle w:val="3"/>
        <w:rPr>
          <w:rFonts w:hint="eastAsia" w:ascii="仿宋_GB2312" w:hAnsi="仿宋_GB2312" w:eastAsia="仿宋_GB2312" w:cs="仿宋_GB2312"/>
          <w:b/>
          <w:color w:val="000000"/>
          <w:sz w:val="28"/>
          <w:szCs w:val="28"/>
          <w:highlight w:val="none"/>
        </w:rPr>
      </w:pPr>
    </w:p>
    <w:p w14:paraId="35B960C7">
      <w:pPr>
        <w:rPr>
          <w:rFonts w:hint="eastAsia" w:ascii="仿宋_GB2312" w:hAnsi="仿宋_GB2312" w:eastAsia="仿宋_GB2312" w:cs="仿宋_GB2312"/>
          <w:b/>
          <w:color w:val="000000"/>
          <w:sz w:val="28"/>
          <w:szCs w:val="28"/>
          <w:highlight w:val="none"/>
        </w:rPr>
      </w:pPr>
    </w:p>
    <w:p w14:paraId="27CA8C6F">
      <w:pPr>
        <w:pStyle w:val="3"/>
        <w:rPr>
          <w:rFonts w:hint="eastAsia" w:ascii="仿宋_GB2312" w:hAnsi="仿宋_GB2312" w:eastAsia="仿宋_GB2312" w:cs="仿宋_GB2312"/>
          <w:b/>
          <w:color w:val="000000"/>
          <w:sz w:val="28"/>
          <w:szCs w:val="28"/>
          <w:highlight w:val="none"/>
        </w:rPr>
      </w:pPr>
    </w:p>
    <w:permEnd w:id="3"/>
    <w:p w14:paraId="63B0223E">
      <w:pPr>
        <w:rPr>
          <w:rFonts w:hint="eastAsia"/>
        </w:rPr>
      </w:pPr>
    </w:p>
    <w:bookmarkEnd w:id="0"/>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4"/>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4"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4"/>
            <w:rPr>
              <w:highlight w:val="none"/>
            </w:rPr>
          </w:pPr>
        </w:p>
        <w:p w14:paraId="28E2A186">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6</w:t>
          </w:r>
          <w:r>
            <w:rPr>
              <w:highlight w:val="none"/>
            </w:rPr>
            <w:fldChar w:fldCharType="end"/>
          </w:r>
          <w:r>
            <w:rPr>
              <w:highlight w:val="none"/>
            </w:rPr>
            <w:fldChar w:fldCharType="end"/>
          </w:r>
        </w:p>
        <w:p w14:paraId="3A871502">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8"/>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33</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4"/>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5"/>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6"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6"/>
    <w:p w14:paraId="633853E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29946"/>
      <w:bookmarkStart w:id="5" w:name="_Toc17203"/>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昌都市卡若区嘎玛乡              </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yellow"/>
          <w:u w:val="single"/>
          <w:lang w:val="en-US" w:eastAsia="zh-CN"/>
          <w14:textFill>
            <w14:solidFill>
              <w14:schemeClr w14:val="tx1"/>
            </w14:solidFill>
          </w14:textFill>
        </w:rPr>
      </w:pPr>
      <w:bookmarkStart w:id="7" w:name="_Toc6010"/>
      <w:bookmarkStart w:id="8" w:name="_Toc2931"/>
      <w:bookmarkStart w:id="9" w:name="_Toc23103"/>
      <w:r>
        <w:rPr>
          <w:rFonts w:hint="eastAsia" w:ascii="仿宋_GB2312" w:hAnsi="仿宋_GB2312" w:eastAsia="仿宋_GB2312" w:cs="仿宋_GB2312"/>
          <w:b/>
          <w:bCs/>
          <w:color w:val="000000" w:themeColor="text1"/>
          <w:highlight w:val="yellow"/>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yellow"/>
          <w:lang w:eastAsia="zh-CN"/>
          <w14:textFill>
            <w14:solidFill>
              <w14:schemeClr w14:val="tx1"/>
            </w14:solidFill>
          </w14:textFill>
        </w:rPr>
        <w:t>、</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价款、计价方式</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24"/>
        <w:gridCol w:w="1656"/>
        <w:gridCol w:w="440"/>
        <w:gridCol w:w="846"/>
        <w:gridCol w:w="756"/>
        <w:gridCol w:w="872"/>
        <w:gridCol w:w="462"/>
        <w:gridCol w:w="1017"/>
        <w:gridCol w:w="756"/>
        <w:gridCol w:w="397"/>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8"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9"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8"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3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8"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99"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1D6466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1053" w:type="dxa"/>
            <w:shd w:val="clear" w:color="auto" w:fill="auto"/>
            <w:vAlign w:val="center"/>
          </w:tcPr>
          <w:p w14:paraId="4E8168A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878" w:type="dxa"/>
            <w:shd w:val="clear" w:color="auto" w:fill="auto"/>
            <w:vAlign w:val="center"/>
          </w:tcPr>
          <w:p w14:paraId="37C28BE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上游端头（AT1-2，12m/个）</w:t>
            </w:r>
          </w:p>
        </w:tc>
        <w:tc>
          <w:tcPr>
            <w:tcW w:w="440" w:type="dxa"/>
            <w:shd w:val="clear" w:color="auto" w:fill="auto"/>
            <w:vAlign w:val="center"/>
          </w:tcPr>
          <w:p w14:paraId="4F7B56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7007E6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67.00 </w:t>
            </w:r>
          </w:p>
        </w:tc>
        <w:tc>
          <w:tcPr>
            <w:tcW w:w="491"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9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9F94F1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1053" w:type="dxa"/>
            <w:shd w:val="clear" w:color="auto" w:fill="auto"/>
            <w:vAlign w:val="center"/>
          </w:tcPr>
          <w:p w14:paraId="5269E14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878" w:type="dxa"/>
            <w:shd w:val="clear" w:color="auto" w:fill="auto"/>
            <w:vAlign w:val="center"/>
          </w:tcPr>
          <w:p w14:paraId="0EF19A6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上游端头（AT1-2，16m/个）</w:t>
            </w:r>
          </w:p>
        </w:tc>
        <w:tc>
          <w:tcPr>
            <w:tcW w:w="440" w:type="dxa"/>
            <w:shd w:val="clear" w:color="auto" w:fill="auto"/>
            <w:noWrap/>
            <w:vAlign w:val="center"/>
          </w:tcPr>
          <w:p w14:paraId="18D30C0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499F820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91" w:type="pct"/>
            <w:shd w:val="clear" w:color="auto" w:fill="auto"/>
            <w:noWrap/>
            <w:vAlign w:val="center"/>
          </w:tcPr>
          <w:p w14:paraId="39EBD4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C8D26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1B2EA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0A537B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F953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1356D0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CD9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6B6837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1053" w:type="dxa"/>
            <w:shd w:val="clear" w:color="auto" w:fill="auto"/>
            <w:vAlign w:val="center"/>
          </w:tcPr>
          <w:p w14:paraId="49C8376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878" w:type="dxa"/>
            <w:shd w:val="clear" w:color="auto" w:fill="auto"/>
            <w:vAlign w:val="center"/>
          </w:tcPr>
          <w:p w14:paraId="135EE1C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下游端头（AT2，4m/个）</w:t>
            </w:r>
          </w:p>
        </w:tc>
        <w:tc>
          <w:tcPr>
            <w:tcW w:w="440" w:type="dxa"/>
            <w:shd w:val="clear" w:color="auto" w:fill="auto"/>
            <w:noWrap/>
            <w:vAlign w:val="center"/>
          </w:tcPr>
          <w:p w14:paraId="75A723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471A967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66.00 </w:t>
            </w:r>
          </w:p>
        </w:tc>
        <w:tc>
          <w:tcPr>
            <w:tcW w:w="491" w:type="pct"/>
            <w:shd w:val="clear" w:color="auto" w:fill="auto"/>
            <w:noWrap/>
            <w:vAlign w:val="center"/>
          </w:tcPr>
          <w:p w14:paraId="6958E5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58E07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52705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7DFBBA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579B3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639457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D27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6158C29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1053" w:type="dxa"/>
            <w:shd w:val="clear" w:color="auto" w:fill="auto"/>
            <w:vAlign w:val="center"/>
          </w:tcPr>
          <w:p w14:paraId="63D6BAD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878" w:type="dxa"/>
            <w:shd w:val="clear" w:color="auto" w:fill="auto"/>
            <w:vAlign w:val="center"/>
          </w:tcPr>
          <w:p w14:paraId="2BB9C1F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端头（BT-1，14m/个）</w:t>
            </w:r>
          </w:p>
        </w:tc>
        <w:tc>
          <w:tcPr>
            <w:tcW w:w="440" w:type="dxa"/>
            <w:shd w:val="clear" w:color="auto" w:fill="auto"/>
            <w:noWrap/>
            <w:vAlign w:val="center"/>
          </w:tcPr>
          <w:p w14:paraId="1FAEB4A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3B205D4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491" w:type="pct"/>
            <w:shd w:val="clear" w:color="auto" w:fill="auto"/>
            <w:noWrap/>
            <w:vAlign w:val="center"/>
          </w:tcPr>
          <w:p w14:paraId="57E8C3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15BF6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0C4D6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21FE85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60B79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76C494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B8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199C51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1053" w:type="dxa"/>
            <w:shd w:val="clear" w:color="auto" w:fill="auto"/>
            <w:vAlign w:val="center"/>
          </w:tcPr>
          <w:p w14:paraId="251658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878" w:type="dxa"/>
            <w:shd w:val="clear" w:color="auto" w:fill="auto"/>
            <w:vAlign w:val="center"/>
          </w:tcPr>
          <w:p w14:paraId="1FE24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端头（BT-1，4m/个）</w:t>
            </w:r>
          </w:p>
        </w:tc>
        <w:tc>
          <w:tcPr>
            <w:tcW w:w="440" w:type="dxa"/>
            <w:shd w:val="clear" w:color="auto" w:fill="auto"/>
            <w:noWrap/>
            <w:vAlign w:val="center"/>
          </w:tcPr>
          <w:p w14:paraId="6CB4A30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05F81FA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91" w:type="pct"/>
            <w:shd w:val="clear" w:color="auto" w:fill="auto"/>
            <w:noWrap/>
            <w:vAlign w:val="center"/>
          </w:tcPr>
          <w:p w14:paraId="3064AA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41BA6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65C96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448881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D87CC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27EC17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0B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57D3ED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1053" w:type="dxa"/>
            <w:shd w:val="clear" w:color="auto" w:fill="auto"/>
            <w:vAlign w:val="center"/>
          </w:tcPr>
          <w:p w14:paraId="3D89A61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单柱式交通标志</w:t>
            </w:r>
          </w:p>
        </w:tc>
        <w:tc>
          <w:tcPr>
            <w:tcW w:w="878" w:type="dxa"/>
            <w:shd w:val="clear" w:color="auto" w:fill="auto"/>
            <w:vAlign w:val="center"/>
          </w:tcPr>
          <w:p w14:paraId="5651640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△700mm单柱式交通标志</w:t>
            </w:r>
          </w:p>
        </w:tc>
        <w:tc>
          <w:tcPr>
            <w:tcW w:w="440" w:type="dxa"/>
            <w:shd w:val="clear" w:color="auto" w:fill="auto"/>
            <w:noWrap/>
            <w:vAlign w:val="center"/>
          </w:tcPr>
          <w:p w14:paraId="08B131C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04463BD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67.00 </w:t>
            </w:r>
          </w:p>
        </w:tc>
        <w:tc>
          <w:tcPr>
            <w:tcW w:w="491" w:type="pct"/>
            <w:shd w:val="clear" w:color="auto" w:fill="auto"/>
            <w:noWrap/>
            <w:vAlign w:val="center"/>
          </w:tcPr>
          <w:p w14:paraId="095D01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E16D3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38DF5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1FA88B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11768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1F6A14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67A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2FD619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1053" w:type="dxa"/>
            <w:shd w:val="clear" w:color="auto" w:fill="auto"/>
            <w:vAlign w:val="center"/>
          </w:tcPr>
          <w:p w14:paraId="47ABDA6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单柱式交通标志</w:t>
            </w:r>
          </w:p>
        </w:tc>
        <w:tc>
          <w:tcPr>
            <w:tcW w:w="878" w:type="dxa"/>
            <w:shd w:val="clear" w:color="auto" w:fill="auto"/>
            <w:vAlign w:val="center"/>
          </w:tcPr>
          <w:p w14:paraId="7C35484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○600mm单柱式交通标志</w:t>
            </w:r>
          </w:p>
        </w:tc>
        <w:tc>
          <w:tcPr>
            <w:tcW w:w="440" w:type="dxa"/>
            <w:shd w:val="clear" w:color="auto" w:fill="auto"/>
            <w:noWrap/>
            <w:vAlign w:val="center"/>
          </w:tcPr>
          <w:p w14:paraId="76760F7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1C839F33">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91" w:type="pct"/>
            <w:shd w:val="clear" w:color="auto" w:fill="auto"/>
            <w:noWrap/>
            <w:vAlign w:val="center"/>
          </w:tcPr>
          <w:p w14:paraId="5591E0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F5E784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F453D2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744BD0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292C3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606A41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C27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23B68A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1053" w:type="dxa"/>
            <w:shd w:val="clear" w:color="auto" w:fill="auto"/>
            <w:vAlign w:val="center"/>
          </w:tcPr>
          <w:p w14:paraId="748C2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单柱式交通标志</w:t>
            </w:r>
          </w:p>
        </w:tc>
        <w:tc>
          <w:tcPr>
            <w:tcW w:w="878" w:type="dxa"/>
            <w:shd w:val="clear" w:color="auto" w:fill="auto"/>
            <w:vAlign w:val="center"/>
          </w:tcPr>
          <w:p w14:paraId="50629D4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□2950×2350mm单柱式交通标志</w:t>
            </w:r>
          </w:p>
        </w:tc>
        <w:tc>
          <w:tcPr>
            <w:tcW w:w="440" w:type="dxa"/>
            <w:shd w:val="clear" w:color="auto" w:fill="auto"/>
            <w:noWrap/>
            <w:vAlign w:val="center"/>
          </w:tcPr>
          <w:p w14:paraId="04C9A80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58D16D4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91" w:type="pct"/>
            <w:shd w:val="clear" w:color="auto" w:fill="auto"/>
            <w:noWrap/>
            <w:vAlign w:val="center"/>
          </w:tcPr>
          <w:p w14:paraId="220040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7D74C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7AF4D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45E484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55E2EA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374F32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AAD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0BC2BC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1053" w:type="dxa"/>
            <w:shd w:val="clear" w:color="auto" w:fill="auto"/>
            <w:vAlign w:val="center"/>
          </w:tcPr>
          <w:p w14:paraId="2DB5AC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单悬臂式交通标志</w:t>
            </w:r>
          </w:p>
        </w:tc>
        <w:tc>
          <w:tcPr>
            <w:tcW w:w="878" w:type="dxa"/>
            <w:shd w:val="clear" w:color="auto" w:fill="auto"/>
            <w:vAlign w:val="center"/>
          </w:tcPr>
          <w:p w14:paraId="67A57CF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长方形（3000×1200mm）单悬臂式交通标志</w:t>
            </w:r>
          </w:p>
        </w:tc>
        <w:tc>
          <w:tcPr>
            <w:tcW w:w="440" w:type="dxa"/>
            <w:shd w:val="clear" w:color="auto" w:fill="auto"/>
            <w:noWrap/>
            <w:vAlign w:val="center"/>
          </w:tcPr>
          <w:p w14:paraId="4D5CFD7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2BC6581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91" w:type="pct"/>
            <w:shd w:val="clear" w:color="auto" w:fill="auto"/>
            <w:noWrap/>
            <w:vAlign w:val="center"/>
          </w:tcPr>
          <w:p w14:paraId="5A767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1E937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9215C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39AF85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C9931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10AB81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066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72C2F48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1053" w:type="dxa"/>
            <w:shd w:val="clear" w:color="auto" w:fill="auto"/>
            <w:vAlign w:val="center"/>
          </w:tcPr>
          <w:p w14:paraId="7AA53FD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道路反光镜</w:t>
            </w:r>
          </w:p>
        </w:tc>
        <w:tc>
          <w:tcPr>
            <w:tcW w:w="878" w:type="dxa"/>
            <w:shd w:val="clear" w:color="auto" w:fill="auto"/>
            <w:vAlign w:val="center"/>
          </w:tcPr>
          <w:p w14:paraId="218E747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道路广角镜 D800</w:t>
            </w:r>
          </w:p>
        </w:tc>
        <w:tc>
          <w:tcPr>
            <w:tcW w:w="440" w:type="dxa"/>
            <w:shd w:val="clear" w:color="auto" w:fill="auto"/>
            <w:noWrap/>
            <w:vAlign w:val="center"/>
          </w:tcPr>
          <w:p w14:paraId="602B2F3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55FF011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6.00 </w:t>
            </w:r>
          </w:p>
        </w:tc>
        <w:tc>
          <w:tcPr>
            <w:tcW w:w="491" w:type="pct"/>
            <w:shd w:val="clear" w:color="auto" w:fill="auto"/>
            <w:noWrap/>
            <w:vAlign w:val="center"/>
          </w:tcPr>
          <w:p w14:paraId="291650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4A367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405DD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2B04C7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35B597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44AE94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C6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6332CFC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w:t>
            </w:r>
          </w:p>
        </w:tc>
        <w:tc>
          <w:tcPr>
            <w:tcW w:w="1053" w:type="dxa"/>
            <w:shd w:val="clear" w:color="auto" w:fill="auto"/>
            <w:vAlign w:val="center"/>
          </w:tcPr>
          <w:p w14:paraId="08C7963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轮廓标</w:t>
            </w:r>
          </w:p>
        </w:tc>
        <w:tc>
          <w:tcPr>
            <w:tcW w:w="878" w:type="dxa"/>
            <w:shd w:val="clear" w:color="auto" w:fill="auto"/>
            <w:vAlign w:val="center"/>
          </w:tcPr>
          <w:p w14:paraId="53E6F55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附着式轮廓标</w:t>
            </w:r>
          </w:p>
        </w:tc>
        <w:tc>
          <w:tcPr>
            <w:tcW w:w="440" w:type="dxa"/>
            <w:shd w:val="clear" w:color="auto" w:fill="auto"/>
            <w:noWrap/>
            <w:vAlign w:val="center"/>
          </w:tcPr>
          <w:p w14:paraId="00A6A2D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919" w:type="dxa"/>
            <w:shd w:val="clear" w:color="auto" w:fill="auto"/>
            <w:vAlign w:val="center"/>
          </w:tcPr>
          <w:p w14:paraId="47D85DB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2395.00 </w:t>
            </w:r>
          </w:p>
        </w:tc>
        <w:tc>
          <w:tcPr>
            <w:tcW w:w="491" w:type="pct"/>
            <w:shd w:val="clear" w:color="auto" w:fill="auto"/>
            <w:noWrap/>
            <w:vAlign w:val="center"/>
          </w:tcPr>
          <w:p w14:paraId="490940B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1B4B1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B42EA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029840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00437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05ACC4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CD5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18E9132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w:t>
            </w:r>
          </w:p>
        </w:tc>
        <w:tc>
          <w:tcPr>
            <w:tcW w:w="1053" w:type="dxa"/>
            <w:shd w:val="clear" w:color="auto" w:fill="auto"/>
            <w:vAlign w:val="center"/>
          </w:tcPr>
          <w:p w14:paraId="5842582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视频监控</w:t>
            </w:r>
          </w:p>
        </w:tc>
        <w:tc>
          <w:tcPr>
            <w:tcW w:w="878" w:type="dxa"/>
            <w:shd w:val="clear" w:color="auto" w:fill="auto"/>
            <w:vAlign w:val="center"/>
          </w:tcPr>
          <w:p w14:paraId="574BDE8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w:t>
            </w:r>
          </w:p>
        </w:tc>
        <w:tc>
          <w:tcPr>
            <w:tcW w:w="440" w:type="dxa"/>
            <w:shd w:val="clear" w:color="auto" w:fill="auto"/>
            <w:noWrap/>
            <w:vAlign w:val="center"/>
          </w:tcPr>
          <w:p w14:paraId="51DBBBD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919" w:type="dxa"/>
            <w:shd w:val="clear" w:color="auto" w:fill="auto"/>
            <w:vAlign w:val="center"/>
          </w:tcPr>
          <w:p w14:paraId="3ECAFFF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 </w:t>
            </w:r>
          </w:p>
        </w:tc>
        <w:tc>
          <w:tcPr>
            <w:tcW w:w="491" w:type="pct"/>
            <w:shd w:val="clear" w:color="auto" w:fill="auto"/>
            <w:noWrap/>
            <w:vAlign w:val="center"/>
          </w:tcPr>
          <w:p w14:paraId="77DB03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9D565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373E0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71A506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D641F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51E1F1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8"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8"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39"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8"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99"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9"/>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合同单价：</w:t>
      </w:r>
      <w:r>
        <w:rPr>
          <w:rFonts w:hint="eastAsia" w:ascii="仿宋_GB2312" w:hAnsi="仿宋_GB2312" w:eastAsia="仿宋_GB2312" w:cs="仿宋_GB2312"/>
          <w:color w:val="000000" w:themeColor="text1"/>
          <w:highlight w:val="yellow"/>
          <w14:textFill>
            <w14:solidFill>
              <w14:schemeClr w14:val="tx1"/>
            </w14:solidFill>
          </w14:textFill>
        </w:rPr>
        <w:t>本合同综合单价适用第</w:t>
      </w:r>
      <w:permStart w:id="10"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1.1  </w:t>
      </w:r>
      <w:permEnd w:id="10"/>
      <w:r>
        <w:rPr>
          <w:rFonts w:hint="eastAsia" w:ascii="仿宋_GB2312" w:hAnsi="仿宋_GB2312" w:eastAsia="仿宋_GB2312" w:cs="仿宋_GB2312"/>
          <w:color w:val="000000" w:themeColor="text1"/>
          <w:highlight w:val="yellow"/>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1"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w:t>
      </w:r>
      <w:permEnd w:id="11"/>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w:t>
      </w:r>
      <w:permEnd w:id="12"/>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5703"/>
      <w:bookmarkStart w:id="12" w:name="_Toc13168"/>
      <w:bookmarkStart w:id="13" w:name="_Toc23444"/>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3"/>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4"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4"/>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1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昌都市卡若区嘎玛乡达那村公路工程甲方指定位置 </w:t>
      </w:r>
      <w:permEnd w:id="16"/>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符合现场要求的安全设施及预埋管线</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8"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贾博存</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17796919351</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0"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本条款适用于乙方负责运输情形）</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4" w:edGrp="everyone"/>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公路交通标志板技术条件》JT/T279-2004、《路面标线涂料》JT/T280-2004</w:t>
      </w:r>
      <w:r>
        <w:rPr>
          <w:rFonts w:hint="eastAsia" w:ascii="仿宋_GB2312" w:hAnsi="仿宋_GB2312" w:eastAsia="仿宋_GB2312" w:cs="仿宋_GB2312"/>
          <w:color w:val="auto"/>
          <w:sz w:val="24"/>
          <w:szCs w:val="24"/>
          <w:highlight w:val="none"/>
          <w:u w:val="single"/>
        </w:rPr>
        <w:t xml:space="preserve">  </w:t>
      </w:r>
      <w:permEnd w:id="24"/>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6" w:edGrp="everyone"/>
      <w:r>
        <w:rPr>
          <w:rFonts w:hint="eastAsia" w:ascii="仿宋_GB2312" w:hAnsi="仿宋_GB2312" w:eastAsia="仿宋_GB2312" w:cs="仿宋_GB2312"/>
          <w:color w:val="auto"/>
          <w:highlight w:val="none"/>
          <w:u w:val="single"/>
        </w:rPr>
        <w:t xml:space="preserve">   /  </w:t>
      </w:r>
      <w:permEnd w:id="26"/>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2447"/>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7"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公路交通标志板技术条件》JT/T279-2004、《路面标线涂料》JT/T280-2004</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highlight w:val="none"/>
          <w:u w:val="single"/>
        </w:rPr>
        <w:t xml:space="preserve">  </w:t>
      </w:r>
      <w:permEnd w:id="27"/>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8"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符合设计图纸质量要求</w:t>
      </w:r>
      <w:r>
        <w:rPr>
          <w:rFonts w:hint="eastAsia" w:ascii="仿宋_GB2312" w:hAnsi="仿宋_GB2312" w:eastAsia="仿宋_GB2312" w:cs="仿宋_GB2312"/>
          <w:color w:val="auto"/>
          <w:highlight w:val="none"/>
        </w:rPr>
        <w:t xml:space="preserve"> </w:t>
      </w:r>
      <w:permEnd w:id="28"/>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29"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29"/>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0"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0"/>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permStart w:id="31"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3.2</w:t>
      </w:r>
      <w:r>
        <w:rPr>
          <w:rFonts w:hint="eastAsia" w:ascii="仿宋_GB2312" w:hAnsi="仿宋_GB2312" w:eastAsia="仿宋_GB2312" w:cs="仿宋_GB2312"/>
          <w:color w:val="auto"/>
          <w:highlight w:val="none"/>
          <w:u w:val="single"/>
        </w:rPr>
        <w:t xml:space="preserve"> </w:t>
      </w:r>
      <w:permEnd w:id="31"/>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2"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1 </w:t>
      </w:r>
      <w:r>
        <w:rPr>
          <w:rFonts w:hint="eastAsia" w:ascii="仿宋_GB2312" w:hAnsi="仿宋_GB2312" w:eastAsia="仿宋_GB2312" w:cs="仿宋_GB2312"/>
          <w:color w:val="auto"/>
          <w:highlight w:val="none"/>
          <w:u w:val="single"/>
        </w:rPr>
        <w:t xml:space="preserve"> </w:t>
      </w:r>
      <w:permEnd w:id="32"/>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3" w:edGrp="everyone"/>
      <w:r>
        <w:rPr>
          <w:rFonts w:hint="eastAsia" w:ascii="仿宋_GB2312" w:hAnsi="仿宋_GB2312" w:eastAsia="仿宋_GB2312" w:cs="仿宋_GB2312"/>
          <w:color w:val="auto"/>
          <w:highlight w:val="none"/>
          <w:u w:val="single"/>
        </w:rPr>
        <w:t xml:space="preserve">      </w:t>
      </w:r>
      <w:permEnd w:id="33"/>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22036"/>
      <w:bookmarkStart w:id="20" w:name="_Toc12481"/>
      <w:bookmarkStart w:id="21"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4" w:edGrp="everyone"/>
      <w:r>
        <w:rPr>
          <w:rFonts w:hint="eastAsia" w:ascii="仿宋_GB2312" w:hAnsi="仿宋_GB2312" w:eastAsia="仿宋_GB2312" w:cs="仿宋_GB2312"/>
          <w:highlight w:val="none"/>
          <w:lang w:eastAsia="zh-CN"/>
        </w:rPr>
        <w:t>□</w:t>
      </w:r>
      <w:permEnd w:id="34"/>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rPr>
        <w:t xml:space="preserve">□ </w:t>
      </w:r>
      <w:permEnd w:id="36"/>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其他计量方式</w:t>
      </w:r>
      <w:permStart w:id="38"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8"/>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w:t>
      </w:r>
      <w:r>
        <w:rPr>
          <w:rFonts w:hint="eastAsia" w:ascii="仿宋_GB2312" w:hAnsi="仿宋_GB2312" w:eastAsia="仿宋_GB2312" w:cs="仿宋_GB2312"/>
          <w:highlight w:val="none"/>
          <w:u w:val="none"/>
          <w:lang w:val="en-US" w:eastAsia="zh-CN"/>
        </w:rPr>
        <w:t>交易</w:t>
      </w:r>
      <w:r>
        <w:rPr>
          <w:rFonts w:hint="eastAsia" w:ascii="仿宋_GB2312" w:hAnsi="仿宋_GB2312" w:eastAsia="仿宋_GB2312" w:cs="仿宋_GB2312"/>
          <w:highlight w:val="none"/>
          <w:u w:val="none"/>
        </w:rPr>
        <w:t>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39"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39"/>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40"/>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3953"/>
      <w:bookmarkStart w:id="25" w:name="_Toc24231"/>
      <w:bookmarkStart w:id="26" w:name="_Toc22166"/>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1"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2"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2"/>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3"/>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4"/>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5"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5"/>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1859"/>
      <w:bookmarkStart w:id="29" w:name="_Toc27325"/>
      <w:bookmarkStart w:id="30" w:name="_Toc32138"/>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支付周期及支付比例：</w:t>
      </w:r>
      <w:r>
        <w:rPr>
          <w:rFonts w:hint="eastAsia" w:ascii="仿宋_GB2312" w:hAnsi="仿宋_GB2312" w:eastAsia="仿宋_GB2312" w:cs="仿宋_GB2312"/>
          <w:color w:val="000000" w:themeColor="text1"/>
          <w:highlight w:val="yellow"/>
          <w14:textFill>
            <w14:solidFill>
              <w14:schemeClr w14:val="tx1"/>
            </w14:solidFill>
          </w14:textFill>
        </w:rPr>
        <w:t>双方办理完结算后，适用第</w:t>
      </w:r>
      <w:permStart w:id="46"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highlight w:val="yellow"/>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w:t>
      </w:r>
      <w:permStart w:id="4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w:t>
      </w:r>
      <w:bookmarkStart w:id="128" w:name="_GoBack"/>
      <w:bookmarkEnd w:id="128"/>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%，余下</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52"/>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3"/>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r>
        <w:rPr>
          <w:rFonts w:hint="eastAsia" w:ascii="仿宋_GB2312" w:hAnsi="仿宋_GB2312" w:eastAsia="仿宋_GB2312" w:cs="仿宋_GB2312"/>
          <w:color w:val="000000" w:themeColor="text1"/>
          <w:highlight w:val="none"/>
          <w14:textFill>
            <w14:solidFill>
              <w14:schemeClr w14:val="tx1"/>
            </w14:solidFill>
          </w14:textFill>
        </w:rPr>
        <w:t>（身份证号：</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ermStart w:id="60"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 </w:t>
      </w:r>
      <w:permEnd w:id="60"/>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61"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10000.00</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62"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hAnsiTheme="minorEastAsia"/>
          <w:b w:val="0"/>
          <w:bCs/>
          <w:sz w:val="21"/>
          <w:szCs w:val="21"/>
          <w:u w:val="single"/>
        </w:rPr>
        <w:t>中建路桥集团第六工程有限公司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13050165527200000297</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建行邢台青青家园支行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7"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15 </w:t>
      </w:r>
      <w:permEnd w:id="67"/>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pStyle w:val="12"/>
        <w:spacing w:line="400" w:lineRule="atLeas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24664"/>
      <w:bookmarkStart w:id="33" w:name="_Toc12208"/>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刘浩鹏 </w:t>
      </w:r>
      <w:permEnd w:id="6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19902176858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 xml:space="preserve">0319-2620099 </w:t>
      </w:r>
      <w:permEnd w:id="71"/>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 xml:space="preserve">0319-2620099 </w:t>
      </w:r>
      <w:permEnd w:id="72"/>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b/>
          <w:bCs/>
          <w:sz w:val="24"/>
          <w:szCs w:val="24"/>
          <w:u w:val="single"/>
        </w:rPr>
        <w:fldChar w:fldCharType="begin"/>
      </w:r>
      <w:r>
        <w:rPr>
          <w:rFonts w:ascii="宋体" w:hAnsi="宋体" w:eastAsia="宋体" w:cs="宋体"/>
          <w:b/>
          <w:bCs/>
          <w:sz w:val="24"/>
          <w:szCs w:val="24"/>
          <w:u w:val="single"/>
        </w:rPr>
        <w:instrText xml:space="preserve"> HYPERLINK "mailto:zjlq6bgsh@163.com" </w:instrText>
      </w:r>
      <w:r>
        <w:rPr>
          <w:rFonts w:ascii="宋体" w:hAnsi="宋体" w:eastAsia="宋体" w:cs="宋体"/>
          <w:b/>
          <w:bCs/>
          <w:sz w:val="24"/>
          <w:szCs w:val="24"/>
          <w:u w:val="single"/>
        </w:rPr>
        <w:fldChar w:fldCharType="separate"/>
      </w:r>
      <w:r>
        <w:rPr>
          <w:rStyle w:val="11"/>
          <w:rFonts w:ascii="宋体" w:hAnsi="宋体" w:eastAsia="宋体" w:cs="宋体"/>
          <w:b/>
          <w:bCs/>
          <w:sz w:val="24"/>
          <w:szCs w:val="24"/>
        </w:rPr>
        <w:t>zjlq6bgsh@163.com</w:t>
      </w:r>
      <w:r>
        <w:rPr>
          <w:rFonts w:ascii="宋体" w:hAnsi="宋体" w:eastAsia="宋体" w:cs="宋体"/>
          <w:b/>
          <w:bCs/>
          <w:sz w:val="24"/>
          <w:szCs w:val="24"/>
          <w:u w:val="single"/>
        </w:rPr>
        <w:fldChar w:fldCharType="end"/>
      </w:r>
      <w:r>
        <w:rPr>
          <w:rFonts w:hint="eastAsia" w:ascii="宋体" w:hAnsi="宋体" w:eastAsia="宋体" w:cs="宋体"/>
          <w:b/>
          <w:bCs/>
          <w:sz w:val="24"/>
          <w:szCs w:val="24"/>
          <w:u w:val="single"/>
          <w:lang w:val="en-US" w:eastAsia="zh-CN"/>
        </w:rPr>
        <w:t xml:space="preserve"> </w:t>
      </w:r>
      <w:permEnd w:id="73"/>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4"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4"/>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刘浩鹏，19902176858</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highlight w:val="none"/>
          <w14:textFill>
            <w14:solidFill>
              <w14:schemeClr w14:val="tx1"/>
            </w14:solidFill>
          </w14:textFill>
        </w:rPr>
        <w:t>；邮箱：</w:t>
      </w:r>
      <w:permStart w:id="7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；邮箱：</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4701"/>
      <w:bookmarkStart w:id="35" w:name="_Toc26478"/>
      <w:bookmarkStart w:id="36" w:name="_Toc21843"/>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31827_WPSOffice_Level1"/>
      <w:bookmarkStart w:id="38" w:name="_Toc15785_WPSOffice_Level1"/>
      <w:bookmarkStart w:id="39" w:name="_Toc21939"/>
      <w:bookmarkStart w:id="40" w:name="_Toc7989"/>
      <w:bookmarkStart w:id="41" w:name="_Toc6851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2"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捌</w:t>
      </w:r>
      <w:permEnd w:id="82"/>
      <w:r>
        <w:rPr>
          <w:rFonts w:hint="eastAsia" w:ascii="仿宋_GB2312" w:hAnsi="仿宋_GB2312" w:eastAsia="仿宋_GB2312" w:cs="仿宋_GB2312"/>
          <w:color w:val="000000" w:themeColor="text1"/>
          <w:highlight w:val="none"/>
          <w14:textFill>
            <w14:solidFill>
              <w14:schemeClr w14:val="tx1"/>
            </w14:solidFill>
          </w14:textFill>
        </w:rPr>
        <w:t>份，甲方执</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份，乙方执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贰</w:t>
      </w:r>
      <w:permEnd w:id="84"/>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8898_WPSOffice_Level1"/>
      <w:bookmarkStart w:id="43" w:name="_Toc6163_WPSOffice_Level1"/>
      <w:bookmarkStart w:id="44" w:name="_Toc19595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374"/>
      <w:bookmarkStart w:id="46" w:name="_Toc31108"/>
      <w:bookmarkStart w:id="47"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3383_WPSOffice_Level1"/>
      <w:bookmarkStart w:id="49" w:name="_Toc5250_WPSOffice_Level1"/>
      <w:bookmarkStart w:id="50" w:name="_Toc16133_WPSOffice_Level1"/>
      <w:bookmarkStart w:id="51" w:name="_Toc14040"/>
      <w:bookmarkStart w:id="52" w:name="_Toc27542"/>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641_WPSOffice_Level1"/>
      <w:bookmarkStart w:id="55" w:name="_Toc19768_WPSOffice_Level1"/>
      <w:bookmarkStart w:id="56" w:name="_Toc22730_WPSOffice_Level1"/>
      <w:bookmarkStart w:id="57" w:name="_Toc3486"/>
      <w:bookmarkStart w:id="58" w:name="_Toc660"/>
      <w:bookmarkStart w:id="59"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24584_WPSOffice_Level1"/>
      <w:bookmarkStart w:id="61" w:name="_Toc19161_WPSOffice_Level1"/>
      <w:bookmarkStart w:id="62" w:name="_Toc8260_WPSOffice_Level1"/>
      <w:bookmarkStart w:id="63" w:name="_Toc459"/>
      <w:bookmarkStart w:id="64" w:name="_Toc25961"/>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6" w:type="default"/>
          <w:footerReference r:id="rId7"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permStart w:id="85" w:edGrp="everyone"/>
      <w:bookmarkStart w:id="66" w:name="_Toc7321"/>
      <w:bookmarkStart w:id="67" w:name="_Toc31445"/>
      <w:bookmarkStart w:id="68" w:name="_Toc25426"/>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199108A4">
      <w:pPr>
        <w:autoSpaceDE w:val="0"/>
        <w:autoSpaceDN w:val="0"/>
        <w:adjustRightInd w:val="0"/>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9"/>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正面</w:t>
            </w:r>
          </w:p>
        </w:tc>
        <w:tc>
          <w:tcPr>
            <w:tcW w:w="4560" w:type="dxa"/>
            <w:tcBorders>
              <w:left w:val="single" w:color="000000" w:sz="4" w:space="0"/>
            </w:tcBorders>
            <w:vAlign w:val="center"/>
          </w:tcPr>
          <w:p w14:paraId="2A64513D">
            <w:pPr>
              <w:autoSpaceDE w:val="0"/>
              <w:autoSpaceDN w:val="0"/>
              <w:adjustRightInd w:val="0"/>
              <w:spacing w:line="400" w:lineRule="exact"/>
              <w:ind w:firstLine="1920" w:firstLineChars="8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背面</w:t>
            </w: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6619FC2E">
            <w:pPr>
              <w:autoSpaceDE w:val="0"/>
              <w:autoSpaceDN w:val="0"/>
              <w:adjustRightInd w:val="0"/>
              <w:spacing w:line="400" w:lineRule="exact"/>
              <w:ind w:firstLine="1920" w:firstLineChars="8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背面</w:t>
            </w: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ermEnd w:id="85"/>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21254"/>
      <w:bookmarkStart w:id="70" w:name="_Toc16973"/>
      <w:bookmarkStart w:id="71" w:name="_Toc4519"/>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8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中建路桥集团有限公司</w:t>
      </w:r>
      <w:permEnd w:id="87"/>
      <w:bookmarkEnd w:id="72"/>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8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昌都市卡若区嘎玛乡达那村公路工程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8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130426198612143215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73"/>
    <w:tbl>
      <w:tblPr>
        <w:tblStyle w:val="9"/>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8" w:type="default"/>
          <w:pgSz w:w="11906" w:h="16838"/>
          <w:pgMar w:top="1440" w:right="1800" w:bottom="1440" w:left="1800" w:header="850" w:footer="975" w:gutter="0"/>
          <w:cols w:space="0" w:num="1"/>
          <w:docGrid w:linePitch="312" w:charSpace="0"/>
        </w:sectPr>
      </w:pPr>
      <w:bookmarkStart w:id="75" w:name="_Toc11293"/>
      <w:bookmarkStart w:id="76" w:name="_Toc20069"/>
      <w:bookmarkStart w:id="77" w:name="_Toc15118"/>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9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1"/>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2"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2"/>
    </w:p>
    <w:p w14:paraId="30E75F9D">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3"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昌都</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95"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9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9726"/>
      <w:bookmarkStart w:id="81" w:name="_Toc776"/>
      <w:bookmarkStart w:id="82" w:name="_Toc24322"/>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97" w:edGrp="everyone"/>
      <w:bookmarkStart w:id="84" w:name="_Hlk127190139"/>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97"/>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8"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9"/>
      <w:bookmarkStart w:id="91" w:name="_Hlk127794870"/>
      <w:bookmarkStart w:id="92" w:name="_Toc18674"/>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11168"/>
      <w:bookmarkStart w:id="95"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965"/>
      <w:bookmarkStart w:id="97" w:name="_Toc13486"/>
      <w:bookmarkStart w:id="98" w:name="_Toc1717"/>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9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99"/>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D16ABE">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66CB7B60">
      <w:pPr>
        <w:pStyle w:val="12"/>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1521"/>
      <w:bookmarkStart w:id="103" w:name="_Toc20335"/>
      <w:bookmarkStart w:id="104"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2864"/>
      <w:bookmarkStart w:id="106" w:name="_Toc13471"/>
      <w:bookmarkStart w:id="107" w:name="_Toc13562"/>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8560"/>
      <w:bookmarkStart w:id="109" w:name="_Toc29083"/>
      <w:bookmarkStart w:id="110" w:name="_Toc23441"/>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合同交易物的金额不超过原合同金额的10%（含），正常办理结算；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合同交易物的金额超过原合同金额的10%但不超过30%（含），甲乙双方签订补充协议；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合同交易物的金额超过原合同金额的30%，则对原合同外的物资重新组织采购。</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16580"/>
      <w:bookmarkStart w:id="113" w:name="_Toc24603"/>
      <w:bookmarkStart w:id="114" w:name="_Toc177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yellow"/>
          <w14:textFill>
            <w14:solidFill>
              <w14:schemeClr w14:val="tx1"/>
            </w14:solidFill>
          </w14:textFill>
        </w:rPr>
      </w:pPr>
      <w:bookmarkStart w:id="115" w:name="_Toc10852"/>
      <w:bookmarkStart w:id="116" w:name="_Toc18501"/>
      <w:bookmarkStart w:id="117" w:name="_Toc9310"/>
      <w:r>
        <w:rPr>
          <w:rFonts w:hint="eastAsia" w:ascii="仿宋_GB2312" w:hAnsi="仿宋_GB2312" w:eastAsia="仿宋_GB2312" w:cs="仿宋_GB2312"/>
          <w:b/>
          <w:bCs/>
          <w:color w:val="000000" w:themeColor="text1"/>
          <w:highlight w:val="yellow"/>
          <w14:textFill>
            <w14:solidFill>
              <w14:schemeClr w14:val="tx1"/>
            </w14:solidFill>
          </w14:textFill>
        </w:rPr>
        <w:t>争议解决</w:t>
      </w:r>
      <w:bookmarkEnd w:id="115"/>
      <w:bookmarkEnd w:id="116"/>
      <w:bookmarkEnd w:id="117"/>
    </w:p>
    <w:p w14:paraId="5E4690C1">
      <w:pPr>
        <w:pStyle w:val="12"/>
        <w:spacing w:line="400" w:lineRule="atLeast"/>
        <w:ind w:firstLine="482"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1、争议和解：</w:t>
      </w:r>
      <w:r>
        <w:rPr>
          <w:rFonts w:hint="eastAsia" w:ascii="仿宋_GB2312" w:hAnsi="仿宋_GB2312" w:eastAsia="仿宋_GB2312" w:cs="仿宋_GB2312"/>
          <w:color w:val="000000" w:themeColor="text1"/>
          <w:highlight w:val="yellow"/>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yellow"/>
          <w:u w:val="single"/>
          <w14:textFill>
            <w14:solidFill>
              <w14:schemeClr w14:val="tx1"/>
            </w14:solidFill>
          </w14:textFill>
        </w:rPr>
        <w:t>3个月</w:t>
      </w:r>
      <w:r>
        <w:rPr>
          <w:rFonts w:hint="eastAsia" w:ascii="仿宋_GB2312" w:hAnsi="仿宋_GB2312" w:eastAsia="仿宋_GB2312" w:cs="仿宋_GB2312"/>
          <w:color w:val="000000" w:themeColor="text1"/>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bookmarkStart w:id="118" w:name="_Hlk126830485"/>
      <w:bookmarkStart w:id="119" w:name="_Hlk126770481"/>
      <w:bookmarkStart w:id="120" w:name="_Toc11207"/>
      <w:bookmarkStart w:id="121" w:name="_Toc18393"/>
      <w:bookmarkStart w:id="122" w:name="_Toc31739"/>
      <w:r>
        <w:rPr>
          <w:rFonts w:hint="eastAsia" w:ascii="仿宋_GB2312" w:hAnsi="仿宋_GB2312" w:eastAsia="仿宋_GB2312" w:cs="仿宋_GB2312"/>
          <w:b/>
          <w:bCs/>
          <w:color w:val="000000" w:themeColor="text1"/>
          <w:highlight w:val="yellow"/>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yellow"/>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yellow"/>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highlight w:val="none"/>
          <w14:textFill>
            <w14:solidFill>
              <w14:schemeClr w14:val="tx1"/>
            </w14:solidFill>
          </w14:textFill>
        </w:rPr>
        <w:t>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0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00"/>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uKUUlhWKOTnWp/OdzAMIoPQudds=" w:salt="jBhQwyS3HqfAlwJyl3vk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2C264F1"/>
    <w:rsid w:val="05317A22"/>
    <w:rsid w:val="0560216C"/>
    <w:rsid w:val="07100CF1"/>
    <w:rsid w:val="07677F35"/>
    <w:rsid w:val="07E22A1E"/>
    <w:rsid w:val="087D170E"/>
    <w:rsid w:val="0AE417CB"/>
    <w:rsid w:val="0B7C60D5"/>
    <w:rsid w:val="0C2C12C5"/>
    <w:rsid w:val="0C382749"/>
    <w:rsid w:val="0CDB347F"/>
    <w:rsid w:val="0DB8731C"/>
    <w:rsid w:val="0F5D461F"/>
    <w:rsid w:val="0FB520AF"/>
    <w:rsid w:val="10122848"/>
    <w:rsid w:val="11A93B4C"/>
    <w:rsid w:val="14926CC5"/>
    <w:rsid w:val="15064E11"/>
    <w:rsid w:val="15F405EB"/>
    <w:rsid w:val="161401DB"/>
    <w:rsid w:val="194A79C2"/>
    <w:rsid w:val="199F06C1"/>
    <w:rsid w:val="1A866EA5"/>
    <w:rsid w:val="1CCD2EB3"/>
    <w:rsid w:val="1DCE5781"/>
    <w:rsid w:val="1E8C6B08"/>
    <w:rsid w:val="1E9811D0"/>
    <w:rsid w:val="2005342C"/>
    <w:rsid w:val="20677AD3"/>
    <w:rsid w:val="20D34741"/>
    <w:rsid w:val="21BD2162"/>
    <w:rsid w:val="24E6773E"/>
    <w:rsid w:val="251A767D"/>
    <w:rsid w:val="2581497C"/>
    <w:rsid w:val="25AB6412"/>
    <w:rsid w:val="27001DCB"/>
    <w:rsid w:val="27044385"/>
    <w:rsid w:val="273D7445"/>
    <w:rsid w:val="27727469"/>
    <w:rsid w:val="2809000E"/>
    <w:rsid w:val="281C1F8A"/>
    <w:rsid w:val="282D2989"/>
    <w:rsid w:val="28A06C1C"/>
    <w:rsid w:val="29143B49"/>
    <w:rsid w:val="2B6B0C1C"/>
    <w:rsid w:val="2CF52523"/>
    <w:rsid w:val="2CFF55C1"/>
    <w:rsid w:val="2F363C4A"/>
    <w:rsid w:val="2F642E8E"/>
    <w:rsid w:val="2FD92135"/>
    <w:rsid w:val="2FF75092"/>
    <w:rsid w:val="329F4483"/>
    <w:rsid w:val="32D72F11"/>
    <w:rsid w:val="33134E71"/>
    <w:rsid w:val="35966615"/>
    <w:rsid w:val="36E8561F"/>
    <w:rsid w:val="37A442EA"/>
    <w:rsid w:val="38C55C94"/>
    <w:rsid w:val="3A58061F"/>
    <w:rsid w:val="3D3424ED"/>
    <w:rsid w:val="3DDE2C63"/>
    <w:rsid w:val="3EA80078"/>
    <w:rsid w:val="3EF518D7"/>
    <w:rsid w:val="44702D73"/>
    <w:rsid w:val="448600AA"/>
    <w:rsid w:val="4493311A"/>
    <w:rsid w:val="47857C94"/>
    <w:rsid w:val="4B7613B8"/>
    <w:rsid w:val="4C03387D"/>
    <w:rsid w:val="4D7E765F"/>
    <w:rsid w:val="4DAC7892"/>
    <w:rsid w:val="4E2D3FC0"/>
    <w:rsid w:val="4F461FE7"/>
    <w:rsid w:val="4F8151E4"/>
    <w:rsid w:val="4FB51761"/>
    <w:rsid w:val="52413DEC"/>
    <w:rsid w:val="55C3101A"/>
    <w:rsid w:val="57206CE0"/>
    <w:rsid w:val="57415D69"/>
    <w:rsid w:val="577657E8"/>
    <w:rsid w:val="57DB2421"/>
    <w:rsid w:val="5D403159"/>
    <w:rsid w:val="5E361890"/>
    <w:rsid w:val="5E4E17D8"/>
    <w:rsid w:val="5EE82A63"/>
    <w:rsid w:val="637A221F"/>
    <w:rsid w:val="66576686"/>
    <w:rsid w:val="66F260F2"/>
    <w:rsid w:val="68DE6863"/>
    <w:rsid w:val="697275C4"/>
    <w:rsid w:val="69F85DC8"/>
    <w:rsid w:val="6ADE3093"/>
    <w:rsid w:val="6BFE7C2B"/>
    <w:rsid w:val="6C537AB1"/>
    <w:rsid w:val="6D441D97"/>
    <w:rsid w:val="6E3470A8"/>
    <w:rsid w:val="6EEF5F38"/>
    <w:rsid w:val="6FA504B7"/>
    <w:rsid w:val="721414BF"/>
    <w:rsid w:val="733C129F"/>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rPr>
      <w:szCs w:val="28"/>
    </w:r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character" w:styleId="11">
    <w:name w:val="Hyperlink"/>
    <w:basedOn w:val="10"/>
    <w:qFormat/>
    <w:uiPriority w:val="0"/>
    <w:rPr>
      <w:color w:val="0000FF"/>
      <w:u w:val="single"/>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12372</Words>
  <Characters>13006</Characters>
  <Lines>0</Lines>
  <Paragraphs>0</Paragraphs>
  <TotalTime>4</TotalTime>
  <ScaleCrop>false</ScaleCrop>
  <LinksUpToDate>false</LinksUpToDate>
  <CharactersWithSpaces>14282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YL虎</cp:lastModifiedBy>
  <dcterms:modified xsi:type="dcterms:W3CDTF">2026-06-26T06:30:28Z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6684387A4B5B4DCFA87A4FF1A6E9DFD3_13</vt:lpwstr>
  </property>
  <property fmtid="{D5CDD505-2E9C-101B-9397-08002B2CF9AE}" pid="4" name="KSOTemplateDocerSaveRecord">
    <vt:lpwstr>eyJoZGlkIjoiOWMyMWM0NzM3Y2NmNTgyNmJkOGYwYTdjMzg3YjdhODgiLCJ1c2VySWQiOiI3NDgzNzg5NjUifQ==</vt:lpwstr>
  </property>
</Properties>
</file>