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jc w:val="right"/>
        <w:rPr>
          <w:rFonts w:hint="eastAsia" w:hAnsi="宋体"/>
          <w:b/>
          <w:color w:val="000000" w:themeColor="text1"/>
          <w:sz w:val="28"/>
          <w:szCs w:val="28"/>
          <w:highlight w:val="none"/>
          <w14:textFill>
            <w14:solidFill>
              <w14:schemeClr w14:val="tx1"/>
            </w14:solidFill>
          </w14:textFill>
        </w:rPr>
      </w:pPr>
    </w:p>
    <w:p w14:paraId="6CB0490A">
      <w:pPr>
        <w:tabs>
          <w:tab w:val="left" w:pos="180"/>
        </w:tabs>
        <w:spacing w:line="600" w:lineRule="auto"/>
        <w:ind w:right="695" w:rightChars="331"/>
        <w:rPr>
          <w:rFonts w:hint="eastAsia" w:hAnsi="宋体"/>
          <w:b/>
          <w:color w:val="000000" w:themeColor="text1"/>
          <w:sz w:val="44"/>
          <w:szCs w:val="44"/>
          <w:highlight w:val="none"/>
          <w:u w:val="single"/>
          <w14:textFill>
            <w14:solidFill>
              <w14:schemeClr w14:val="tx1"/>
            </w14:solidFill>
          </w14:textFill>
        </w:rPr>
      </w:pPr>
    </w:p>
    <w:p w14:paraId="7EE2040D">
      <w:pPr>
        <w:tabs>
          <w:tab w:val="left" w:pos="180"/>
        </w:tabs>
        <w:spacing w:line="360" w:lineRule="auto"/>
        <w:ind w:right="48" w:rightChars="23"/>
        <w:jc w:val="center"/>
        <w:rPr>
          <w:rFonts w:hint="eastAsia" w:hAnsi="宋体"/>
          <w:b/>
          <w:color w:val="000000" w:themeColor="text1"/>
          <w:sz w:val="48"/>
          <w:szCs w:val="48"/>
          <w:highlight w:val="none"/>
          <w14:textFill>
            <w14:solidFill>
              <w14:schemeClr w14:val="tx1"/>
            </w14:solidFill>
          </w14:textFill>
        </w:rPr>
      </w:pPr>
      <w:r>
        <w:rPr>
          <w:rFonts w:hint="eastAsia" w:hAnsi="宋体"/>
          <w:b/>
          <w:color w:val="000000" w:themeColor="text1"/>
          <w:sz w:val="48"/>
          <w:szCs w:val="48"/>
          <w:highlight w:val="none"/>
          <w14:textFill>
            <w14:solidFill>
              <w14:schemeClr w14:val="tx1"/>
            </w14:solidFill>
          </w14:textFill>
        </w:rPr>
        <w:t>广西</w:t>
      </w:r>
      <w:r>
        <w:rPr>
          <w:rFonts w:hint="eastAsia" w:hAnsi="宋体"/>
          <w:b/>
          <w:color w:val="000000" w:themeColor="text1"/>
          <w:sz w:val="48"/>
          <w:szCs w:val="48"/>
          <w:highlight w:val="none"/>
          <w:lang w:val="en-US" w:eastAsia="zh-CN"/>
          <w14:textFill>
            <w14:solidFill>
              <w14:schemeClr w14:val="tx1"/>
            </w14:solidFill>
          </w14:textFill>
        </w:rPr>
        <w:t>桂林项目</w:t>
      </w:r>
      <w:r>
        <w:rPr>
          <w:rFonts w:hint="eastAsia" w:hAnsi="宋体"/>
          <w:b/>
          <w:color w:val="000000" w:themeColor="text1"/>
          <w:sz w:val="48"/>
          <w:szCs w:val="48"/>
          <w:highlight w:val="none"/>
          <w14:textFill>
            <w14:solidFill>
              <w14:schemeClr w14:val="tx1"/>
            </w14:solidFill>
          </w14:textFill>
        </w:rPr>
        <w:t>路面封层撒布</w:t>
      </w:r>
    </w:p>
    <w:p w14:paraId="45880F6F">
      <w:pPr>
        <w:tabs>
          <w:tab w:val="left" w:pos="180"/>
        </w:tabs>
        <w:spacing w:line="360" w:lineRule="auto"/>
        <w:ind w:right="48" w:rightChars="23"/>
        <w:jc w:val="center"/>
        <w:rPr>
          <w:rFonts w:hint="eastAsia" w:hAnsi="宋体"/>
          <w:b/>
          <w:color w:val="000000" w:themeColor="text1"/>
          <w:sz w:val="48"/>
          <w:szCs w:val="48"/>
          <w:highlight w:val="none"/>
          <w14:textFill>
            <w14:solidFill>
              <w14:schemeClr w14:val="tx1"/>
            </w14:solidFill>
          </w14:textFill>
        </w:rPr>
      </w:pPr>
      <w:r>
        <w:rPr>
          <w:rFonts w:hint="eastAsia" w:hAnsi="宋体"/>
          <w:b/>
          <w:color w:val="000000" w:themeColor="text1"/>
          <w:sz w:val="48"/>
          <w:szCs w:val="48"/>
          <w:highlight w:val="none"/>
          <w14:textFill>
            <w14:solidFill>
              <w14:schemeClr w14:val="tx1"/>
            </w14:solidFill>
          </w14:textFill>
        </w:rPr>
        <w:t>施工劳务分包工程</w:t>
      </w:r>
    </w:p>
    <w:p w14:paraId="7131851B">
      <w:pPr>
        <w:jc w:val="center"/>
        <w:rPr>
          <w:b/>
          <w:color w:val="000000" w:themeColor="text1"/>
          <w:sz w:val="72"/>
          <w:szCs w:val="72"/>
          <w:highlight w:val="none"/>
          <w14:textFill>
            <w14:solidFill>
              <w14:schemeClr w14:val="tx1"/>
            </w14:solidFill>
          </w14:textFill>
        </w:rPr>
      </w:pPr>
      <w:bookmarkStart w:id="1692" w:name="_GoBack"/>
      <w:bookmarkEnd w:id="1692"/>
    </w:p>
    <w:p w14:paraId="35AF2067">
      <w:pPr>
        <w:jc w:val="center"/>
        <w:rPr>
          <w:b/>
          <w:color w:val="000000" w:themeColor="text1"/>
          <w:sz w:val="36"/>
          <w:szCs w:val="36"/>
          <w:highlight w:val="none"/>
          <w14:textFill>
            <w14:solidFill>
              <w14:schemeClr w14:val="tx1"/>
            </w14:solidFill>
          </w14:textFill>
        </w:rPr>
      </w:pPr>
    </w:p>
    <w:p w14:paraId="4E1C3887">
      <w:pPr>
        <w:tabs>
          <w:tab w:val="left" w:pos="180"/>
        </w:tabs>
        <w:spacing w:line="600" w:lineRule="auto"/>
        <w:ind w:firstLine="138" w:firstLineChars="49"/>
        <w:jc w:val="center"/>
        <w:rPr>
          <w:rFonts w:hint="default" w:hAnsi="宋体" w:eastAsia="宋体"/>
          <w:b/>
          <w:color w:val="000000" w:themeColor="text1"/>
          <w:sz w:val="28"/>
          <w:szCs w:val="28"/>
          <w:highlight w:val="none"/>
          <w:u w:val="single"/>
          <w:lang w:val="en-US" w:eastAsia="zh-CN"/>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采购文件编号：</w:t>
      </w:r>
      <w:r>
        <w:rPr>
          <w:rFonts w:hint="eastAsia" w:hAnsi="宋体"/>
          <w:b/>
          <w:color w:val="000000" w:themeColor="text1"/>
          <w:sz w:val="28"/>
          <w:szCs w:val="28"/>
          <w:highlight w:val="none"/>
          <w:u w:val="single"/>
          <w14:textFill>
            <w14:solidFill>
              <w14:schemeClr w14:val="tx1"/>
            </w14:solidFill>
          </w14:textFill>
        </w:rPr>
        <w:t>ZJLQ-FBCG-（</w:t>
      </w:r>
      <w:r>
        <w:rPr>
          <w:rFonts w:hint="eastAsia" w:hAnsi="宋体"/>
          <w:b/>
          <w:color w:val="000000" w:themeColor="text1"/>
          <w:sz w:val="28"/>
          <w:szCs w:val="28"/>
          <w:highlight w:val="none"/>
          <w:u w:val="single"/>
          <w:lang w:val="en-US" w:eastAsia="zh-CN"/>
          <w14:textFill>
            <w14:solidFill>
              <w14:schemeClr w14:val="tx1"/>
            </w14:solidFill>
          </w14:textFill>
        </w:rPr>
        <w:t>广西桂林项目</w:t>
      </w:r>
      <w:r>
        <w:rPr>
          <w:rFonts w:hint="eastAsia" w:hAnsi="宋体"/>
          <w:b/>
          <w:color w:val="000000" w:themeColor="text1"/>
          <w:sz w:val="28"/>
          <w:szCs w:val="28"/>
          <w:highlight w:val="none"/>
          <w:u w:val="single"/>
          <w14:textFill>
            <w14:solidFill>
              <w14:schemeClr w14:val="tx1"/>
            </w14:solidFill>
          </w14:textFill>
        </w:rPr>
        <w:t>）-0</w:t>
      </w:r>
      <w:r>
        <w:rPr>
          <w:rFonts w:hint="eastAsia" w:hAnsi="宋体"/>
          <w:b/>
          <w:color w:val="000000" w:themeColor="text1"/>
          <w:sz w:val="28"/>
          <w:szCs w:val="28"/>
          <w:highlight w:val="none"/>
          <w:u w:val="single"/>
          <w:lang w:val="en-US" w:eastAsia="zh-CN"/>
          <w14:textFill>
            <w14:solidFill>
              <w14:schemeClr w14:val="tx1"/>
            </w14:solidFill>
          </w14:textFill>
        </w:rPr>
        <w:t>06</w:t>
      </w:r>
    </w:p>
    <w:p w14:paraId="01FC247D">
      <w:pPr>
        <w:jc w:val="center"/>
        <w:rPr>
          <w:rFonts w:hint="eastAsia" w:hAnsi="宋体"/>
          <w:b/>
          <w:color w:val="000000" w:themeColor="text1"/>
          <w:sz w:val="72"/>
          <w:highlight w:val="none"/>
          <w14:textFill>
            <w14:solidFill>
              <w14:schemeClr w14:val="tx1"/>
            </w14:solidFill>
          </w14:textFill>
        </w:rPr>
      </w:pPr>
      <w:r>
        <w:rPr>
          <w:rFonts w:hint="eastAsia" w:hAnsi="宋体"/>
          <w:b/>
          <w:color w:val="000000" w:themeColor="text1"/>
          <w:sz w:val="72"/>
          <w:highlight w:val="none"/>
          <w14:textFill>
            <w14:solidFill>
              <w14:schemeClr w14:val="tx1"/>
            </w14:solidFill>
          </w14:textFill>
        </w:rPr>
        <w:t>采购文件</w:t>
      </w:r>
    </w:p>
    <w:p w14:paraId="411070FA">
      <w:pPr>
        <w:jc w:val="center"/>
        <w:rPr>
          <w:b/>
          <w:color w:val="000000" w:themeColor="text1"/>
          <w:sz w:val="36"/>
          <w:szCs w:val="36"/>
          <w:highlight w:val="none"/>
          <w14:textFill>
            <w14:solidFill>
              <w14:schemeClr w14:val="tx1"/>
            </w14:solidFill>
          </w14:textFill>
        </w:rPr>
      </w:pPr>
    </w:p>
    <w:p w14:paraId="2ECB0F0D">
      <w:pPr>
        <w:jc w:val="center"/>
        <w:rPr>
          <w:b/>
          <w:color w:val="000000" w:themeColor="text1"/>
          <w:sz w:val="36"/>
          <w:szCs w:val="36"/>
          <w:highlight w:val="none"/>
          <w14:textFill>
            <w14:solidFill>
              <w14:schemeClr w14:val="tx1"/>
            </w14:solidFill>
          </w14:textFill>
        </w:rPr>
      </w:pPr>
    </w:p>
    <w:p w14:paraId="3F0D233D">
      <w:pPr>
        <w:jc w:val="center"/>
        <w:rPr>
          <w:b/>
          <w:color w:val="000000" w:themeColor="text1"/>
          <w:sz w:val="36"/>
          <w:szCs w:val="36"/>
          <w:highlight w:val="none"/>
          <w14:textFill>
            <w14:solidFill>
              <w14:schemeClr w14:val="tx1"/>
            </w14:solidFill>
          </w14:textFill>
        </w:rPr>
      </w:pPr>
    </w:p>
    <w:p w14:paraId="30198CD8">
      <w:pPr>
        <w:jc w:val="center"/>
        <w:rPr>
          <w:b/>
          <w:color w:val="000000" w:themeColor="text1"/>
          <w:sz w:val="36"/>
          <w:szCs w:val="36"/>
          <w:highlight w:val="none"/>
          <w14:textFill>
            <w14:solidFill>
              <w14:schemeClr w14:val="tx1"/>
            </w14:solidFill>
          </w14:textFill>
        </w:rPr>
      </w:pPr>
    </w:p>
    <w:p w14:paraId="5F3D01A6">
      <w:pPr>
        <w:jc w:val="center"/>
        <w:rPr>
          <w:b/>
          <w:color w:val="000000" w:themeColor="text1"/>
          <w:sz w:val="36"/>
          <w:szCs w:val="36"/>
          <w:highlight w:val="none"/>
          <w14:textFill>
            <w14:solidFill>
              <w14:schemeClr w14:val="tx1"/>
            </w14:solidFill>
          </w14:textFill>
        </w:rPr>
      </w:pPr>
    </w:p>
    <w:p w14:paraId="42752C93">
      <w:pPr>
        <w:jc w:val="center"/>
        <w:rPr>
          <w:b/>
          <w:color w:val="000000" w:themeColor="text1"/>
          <w:sz w:val="36"/>
          <w:szCs w:val="36"/>
          <w:highlight w:val="none"/>
          <w14:textFill>
            <w14:solidFill>
              <w14:schemeClr w14:val="tx1"/>
            </w14:solidFill>
          </w14:textFill>
        </w:rPr>
      </w:pPr>
    </w:p>
    <w:p w14:paraId="243BD321">
      <w:pPr>
        <w:jc w:val="center"/>
        <w:rPr>
          <w:b/>
          <w:color w:val="000000" w:themeColor="text1"/>
          <w:sz w:val="36"/>
          <w:szCs w:val="36"/>
          <w:highlight w:val="none"/>
          <w14:textFill>
            <w14:solidFill>
              <w14:schemeClr w14:val="tx1"/>
            </w14:solidFill>
          </w14:textFill>
        </w:rPr>
      </w:pPr>
    </w:p>
    <w:p w14:paraId="261F56A8">
      <w:pPr>
        <w:jc w:val="center"/>
        <w:rPr>
          <w:b/>
          <w:color w:val="000000" w:themeColor="text1"/>
          <w:sz w:val="36"/>
          <w:szCs w:val="36"/>
          <w:highlight w:val="none"/>
          <w14:textFill>
            <w14:solidFill>
              <w14:schemeClr w14:val="tx1"/>
            </w14:solidFill>
          </w14:textFill>
        </w:rPr>
      </w:pPr>
    </w:p>
    <w:p w14:paraId="1B4C3151">
      <w:pPr>
        <w:jc w:val="center"/>
        <w:rPr>
          <w:b/>
          <w:color w:val="000000" w:themeColor="text1"/>
          <w:sz w:val="36"/>
          <w:szCs w:val="36"/>
          <w:highlight w:val="none"/>
          <w14:textFill>
            <w14:solidFill>
              <w14:schemeClr w14:val="tx1"/>
            </w14:solidFill>
          </w14:textFill>
        </w:rPr>
      </w:pPr>
    </w:p>
    <w:p w14:paraId="550CB270">
      <w:pPr>
        <w:jc w:val="center"/>
        <w:rPr>
          <w:b/>
          <w:color w:val="000000" w:themeColor="text1"/>
          <w:sz w:val="36"/>
          <w:szCs w:val="36"/>
          <w:highlight w:val="none"/>
          <w14:textFill>
            <w14:solidFill>
              <w14:schemeClr w14:val="tx1"/>
            </w14:solidFill>
          </w14:textFill>
        </w:rPr>
      </w:pPr>
    </w:p>
    <w:p w14:paraId="63264D80">
      <w:pPr>
        <w:jc w:val="center"/>
        <w:rPr>
          <w:b/>
          <w:color w:val="000000" w:themeColor="text1"/>
          <w:sz w:val="36"/>
          <w:szCs w:val="36"/>
          <w:highlight w:val="none"/>
          <w14:textFill>
            <w14:solidFill>
              <w14:schemeClr w14:val="tx1"/>
            </w14:solidFill>
          </w14:textFill>
        </w:rPr>
      </w:pPr>
    </w:p>
    <w:p w14:paraId="4F780708">
      <w:pPr>
        <w:spacing w:line="360" w:lineRule="auto"/>
        <w:ind w:right="27" w:rightChars="13"/>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中建路桥集团</w:t>
      </w:r>
      <w:r>
        <w:rPr>
          <w:b/>
          <w:color w:val="000000" w:themeColor="text1"/>
          <w:sz w:val="36"/>
          <w:szCs w:val="36"/>
          <w:highlight w:val="none"/>
          <w14:textFill>
            <w14:solidFill>
              <w14:schemeClr w14:val="tx1"/>
            </w14:solidFill>
          </w14:textFill>
        </w:rPr>
        <w:t>有限公司</w:t>
      </w:r>
    </w:p>
    <w:p w14:paraId="4AB2AE73">
      <w:pPr>
        <w:spacing w:line="360" w:lineRule="auto"/>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2026年</w:t>
      </w:r>
      <w:r>
        <w:rPr>
          <w:rFonts w:hint="eastAsia"/>
          <w:b/>
          <w:color w:val="000000" w:themeColor="text1"/>
          <w:sz w:val="36"/>
          <w:szCs w:val="36"/>
          <w:highlight w:val="none"/>
          <w:lang w:val="en-US" w:eastAsia="zh-CN"/>
          <w14:textFill>
            <w14:solidFill>
              <w14:schemeClr w14:val="tx1"/>
            </w14:solidFill>
          </w14:textFill>
        </w:rPr>
        <w:t>8</w:t>
      </w:r>
      <w:r>
        <w:rPr>
          <w:rFonts w:hint="eastAsia"/>
          <w:b/>
          <w:color w:val="000000" w:themeColor="text1"/>
          <w:sz w:val="36"/>
          <w:szCs w:val="36"/>
          <w:highlight w:val="none"/>
          <w14:textFill>
            <w14:solidFill>
              <w14:schemeClr w14:val="tx1"/>
            </w14:solidFill>
          </w14:textFill>
        </w:rPr>
        <w:t>月</w:t>
      </w:r>
    </w:p>
    <w:p w14:paraId="43DB44DF">
      <w:pPr>
        <w:spacing w:line="360" w:lineRule="auto"/>
        <w:ind w:right="17" w:firstLine="1932"/>
        <w:rPr>
          <w:color w:val="000000" w:themeColor="text1"/>
          <w:sz w:val="24"/>
          <w:highlight w:val="none"/>
          <w14:textFill>
            <w14:solidFill>
              <w14:schemeClr w14:val="tx1"/>
            </w14:solidFill>
          </w14:textFill>
        </w:rPr>
      </w:pPr>
    </w:p>
    <w:p w14:paraId="22CDE378">
      <w:pPr>
        <w:spacing w:line="360" w:lineRule="auto"/>
        <w:ind w:right="17" w:firstLine="1932"/>
        <w:rPr>
          <w:color w:val="000000" w:themeColor="text1"/>
          <w:sz w:val="24"/>
          <w:highlight w:val="none"/>
          <w14:textFill>
            <w14:solidFill>
              <w14:schemeClr w14:val="tx1"/>
            </w14:solidFill>
          </w14:textFill>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3FF757C5">
      <w:pPr>
        <w:pStyle w:val="2"/>
        <w:rPr>
          <w:color w:val="000000" w:themeColor="text1"/>
          <w:highlight w:val="none"/>
          <w14:textFill>
            <w14:solidFill>
              <w14:schemeClr w14:val="tx1"/>
            </w14:solidFill>
          </w14:textFill>
        </w:rPr>
      </w:pPr>
      <w:bookmarkStart w:id="0" w:name="_Toc53949168"/>
      <w:bookmarkStart w:id="1" w:name="_Toc145426861"/>
      <w:bookmarkStart w:id="2" w:name="_Toc53918797"/>
      <w:bookmarkStart w:id="3" w:name="_Toc53939570"/>
      <w:bookmarkStart w:id="4" w:name="_Toc53936506"/>
      <w:bookmarkStart w:id="5" w:name="_Toc145499727"/>
      <w:bookmarkStart w:id="6" w:name="_Toc53948325"/>
      <w:bookmarkStart w:id="7" w:name="_Toc54281207"/>
      <w:bookmarkStart w:id="8" w:name="_Toc53945771"/>
      <w:bookmarkStart w:id="9" w:name="_Toc144872077"/>
      <w:bookmarkStart w:id="10" w:name="_Toc284135586"/>
      <w:bookmarkStart w:id="11" w:name="_Toc54280355"/>
      <w:bookmarkStart w:id="12" w:name="_Toc54280781"/>
      <w:bookmarkStart w:id="13" w:name="_Toc54278546"/>
      <w:bookmarkStart w:id="14" w:name="_Toc54279929"/>
      <w:bookmarkStart w:id="15" w:name="_Toc53916200"/>
      <w:bookmarkStart w:id="16" w:name="_Toc54291111"/>
      <w:r>
        <w:rPr>
          <w:rFonts w:hint="eastAsia"/>
          <w:color w:val="000000" w:themeColor="text1"/>
          <w:highlight w:val="none"/>
          <w14:textFill>
            <w14:solidFill>
              <w14:schemeClr w14:val="tx1"/>
            </w14:solidFill>
          </w14:textFill>
        </w:rPr>
        <w:t>第一篇  采购公告</w:t>
      </w:r>
    </w:p>
    <w:p w14:paraId="0EEEF371">
      <w:pPr>
        <w:spacing w:line="360" w:lineRule="auto"/>
        <w:ind w:firstLine="640" w:firstLineChars="200"/>
        <w:rPr>
          <w:rFonts w:hint="default" w:ascii="宋体" w:hAnsi="宋体" w:cs="宋体"/>
          <w:color w:val="000000" w:themeColor="text1"/>
          <w:kern w:val="0"/>
          <w:sz w:val="32"/>
          <w:szCs w:val="32"/>
          <w:highlight w:val="none"/>
          <w:lang w:val="en-US" w:eastAsia="zh-CN"/>
          <w14:textFill>
            <w14:solidFill>
              <w14:schemeClr w14:val="tx1"/>
            </w14:solidFill>
          </w14:textFill>
        </w:rPr>
      </w:pPr>
      <w:r>
        <w:rPr>
          <w:rFonts w:hint="eastAsia" w:ascii="宋体" w:hAnsi="宋体" w:cs="宋体"/>
          <w:color w:val="000000" w:themeColor="text1"/>
          <w:kern w:val="0"/>
          <w:sz w:val="32"/>
          <w:szCs w:val="32"/>
          <w:highlight w:val="none"/>
          <w:u w:val="single"/>
          <w14:textFill>
            <w14:solidFill>
              <w14:schemeClr w14:val="tx1"/>
            </w14:solidFill>
          </w14:textFill>
        </w:rPr>
        <w:t>广西</w:t>
      </w:r>
      <w:r>
        <w:rPr>
          <w:rFonts w:hint="eastAsia" w:ascii="宋体" w:hAnsi="宋体" w:cs="宋体"/>
          <w:color w:val="000000" w:themeColor="text1"/>
          <w:kern w:val="0"/>
          <w:sz w:val="32"/>
          <w:szCs w:val="32"/>
          <w:highlight w:val="none"/>
          <w:u w:val="single"/>
          <w:lang w:val="en-US" w:eastAsia="zh-CN"/>
          <w14:textFill>
            <w14:solidFill>
              <w14:schemeClr w14:val="tx1"/>
            </w14:solidFill>
          </w14:textFill>
        </w:rPr>
        <w:t>桂林项目</w:t>
      </w:r>
      <w:r>
        <w:rPr>
          <w:rFonts w:hint="eastAsia" w:ascii="宋体" w:hAnsi="宋体" w:cs="宋体"/>
          <w:color w:val="000000" w:themeColor="text1"/>
          <w:kern w:val="0"/>
          <w:sz w:val="32"/>
          <w:szCs w:val="32"/>
          <w:highlight w:val="none"/>
          <w:u w:val="single"/>
          <w14:textFill>
            <w14:solidFill>
              <w14:schemeClr w14:val="tx1"/>
            </w14:solidFill>
          </w14:textFill>
        </w:rPr>
        <w:t>路面封层撒布施工劳务</w:t>
      </w:r>
      <w:r>
        <w:rPr>
          <w:rFonts w:hint="eastAsia" w:ascii="宋体" w:hAnsi="宋体" w:cs="宋体"/>
          <w:color w:val="000000" w:themeColor="text1"/>
          <w:kern w:val="0"/>
          <w:sz w:val="32"/>
          <w:szCs w:val="32"/>
          <w:highlight w:val="none"/>
          <w14:textFill>
            <w14:solidFill>
              <w14:schemeClr w14:val="tx1"/>
            </w14:solidFill>
          </w14:textFill>
        </w:rPr>
        <w:t>分包工程采</w:t>
      </w:r>
      <w:r>
        <w:rPr>
          <w:rFonts w:hint="eastAsia" w:ascii="宋体" w:hAnsi="宋体" w:cs="宋体"/>
          <w:color w:val="000000" w:themeColor="text1"/>
          <w:kern w:val="0"/>
          <w:sz w:val="32"/>
          <w:szCs w:val="32"/>
          <w:highlight w:val="none"/>
          <w:lang w:val="en-US" w:eastAsia="zh-CN"/>
          <w14:textFill>
            <w14:solidFill>
              <w14:schemeClr w14:val="tx1"/>
            </w14:solidFill>
          </w14:textFill>
        </w:rPr>
        <w:t>购公告</w:t>
      </w:r>
    </w:p>
    <w:p w14:paraId="4A5978B3">
      <w:pPr>
        <w:spacing w:line="360" w:lineRule="auto"/>
        <w:rPr>
          <w:b/>
          <w:color w:val="000000" w:themeColor="text1"/>
          <w:highlight w:val="none"/>
          <w14:textFill>
            <w14:solidFill>
              <w14:schemeClr w14:val="tx1"/>
            </w14:solidFill>
          </w14:textFill>
        </w:rPr>
      </w:pPr>
    </w:p>
    <w:p w14:paraId="65783CC6">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 xml:space="preserve">1. </w:t>
      </w:r>
      <w:bookmarkStart w:id="17" w:name="_Toc326091674"/>
      <w:bookmarkStart w:id="18" w:name="_Toc321926658"/>
      <w:r>
        <w:rPr>
          <w:rFonts w:hint="eastAsia" w:ascii="宋体" w:hAnsi="宋体"/>
          <w:b/>
          <w:color w:val="000000" w:themeColor="text1"/>
          <w:sz w:val="28"/>
          <w:szCs w:val="28"/>
          <w:highlight w:val="none"/>
          <w14:textFill>
            <w14:solidFill>
              <w14:schemeClr w14:val="tx1"/>
            </w14:solidFill>
          </w14:textFill>
        </w:rPr>
        <w:t>采购条件</w:t>
      </w:r>
      <w:bookmarkEnd w:id="17"/>
      <w:bookmarkEnd w:id="18"/>
    </w:p>
    <w:p w14:paraId="50C0584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color w:val="000000" w:themeColor="text1"/>
          <w:kern w:val="0"/>
          <w:sz w:val="24"/>
          <w:highlight w:val="none"/>
          <w:u w:val="single"/>
          <w14:textFill>
            <w14:solidFill>
              <w14:schemeClr w14:val="tx1"/>
            </w14:solidFill>
          </w14:textFill>
        </w:rPr>
        <w:t>广西</w:t>
      </w:r>
      <w:r>
        <w:rPr>
          <w:rFonts w:hint="eastAsia" w:ascii="宋体" w:hAnsi="宋体" w:cs="宋体"/>
          <w:color w:val="000000" w:themeColor="text1"/>
          <w:kern w:val="0"/>
          <w:sz w:val="24"/>
          <w:highlight w:val="none"/>
          <w:u w:val="single"/>
          <w:lang w:val="en-US" w:eastAsia="zh-CN"/>
          <w14:textFill>
            <w14:solidFill>
              <w14:schemeClr w14:val="tx1"/>
            </w14:solidFill>
          </w14:textFill>
        </w:rPr>
        <w:t>桂林项目</w:t>
      </w:r>
      <w:r>
        <w:rPr>
          <w:rFonts w:hint="eastAsia" w:ascii="宋体" w:hAnsi="宋体" w:cs="宋体"/>
          <w:color w:val="000000" w:themeColor="text1"/>
          <w:kern w:val="0"/>
          <w:sz w:val="24"/>
          <w:highlight w:val="none"/>
          <w:u w:val="single"/>
          <w14:textFill>
            <w14:solidFill>
              <w14:schemeClr w14:val="tx1"/>
            </w14:solidFill>
          </w14:textFill>
        </w:rPr>
        <w:t>路面封层撒布施工劳务</w:t>
      </w:r>
      <w:r>
        <w:rPr>
          <w:rFonts w:hint="eastAsia" w:ascii="宋体" w:hAnsi="宋体" w:cs="宋体"/>
          <w:color w:val="000000" w:themeColor="text1"/>
          <w:kern w:val="0"/>
          <w:sz w:val="24"/>
          <w:highlight w:val="none"/>
          <w14:textFill>
            <w14:solidFill>
              <w14:schemeClr w14:val="tx1"/>
            </w14:solidFill>
          </w14:textFill>
        </w:rPr>
        <w:t>分包工程已具备采购条件，</w:t>
      </w:r>
      <w:r>
        <w:rPr>
          <w:rFonts w:hint="eastAsia" w:ascii="宋体" w:hAnsi="宋体" w:cs="宋体"/>
          <w:color w:val="000000" w:themeColor="text1"/>
          <w:sz w:val="24"/>
          <w:highlight w:val="none"/>
          <w14:textFill>
            <w14:solidFill>
              <w14:schemeClr w14:val="tx1"/>
            </w14:solidFill>
          </w14:textFill>
        </w:rPr>
        <w:t>采购人为</w:t>
      </w:r>
      <w:r>
        <w:rPr>
          <w:rFonts w:hint="eastAsia" w:ascii="宋体" w:hAnsi="宋体" w:cs="宋体"/>
          <w:color w:val="000000" w:themeColor="text1"/>
          <w:sz w:val="24"/>
          <w:highlight w:val="none"/>
          <w:u w:val="single"/>
          <w14:textFill>
            <w14:solidFill>
              <w14:schemeClr w14:val="tx1"/>
            </w14:solidFill>
          </w14:textFill>
        </w:rPr>
        <w:t>中建路桥集团有限公司</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现对该项目进行公开采购，诚邀符合资质要求、能提供优质服务的分供商参与项目采购活动。</w:t>
      </w:r>
    </w:p>
    <w:p w14:paraId="7E07D8FC">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2</w:t>
      </w:r>
      <w:r>
        <w:rPr>
          <w:rFonts w:ascii="宋体" w:hAnsi="宋体"/>
          <w:b/>
          <w:color w:val="000000" w:themeColor="text1"/>
          <w:sz w:val="28"/>
          <w:szCs w:val="28"/>
          <w:highlight w:val="none"/>
          <w14:textFill>
            <w14:solidFill>
              <w14:schemeClr w14:val="tx1"/>
            </w14:solidFill>
          </w14:textFill>
        </w:rPr>
        <w:t>．项目概况与采购范围</w:t>
      </w:r>
    </w:p>
    <w:p w14:paraId="26A80A6E">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bookmarkStart w:id="19" w:name="_Toc235071704"/>
      <w:r>
        <w:rPr>
          <w:rFonts w:hint="eastAsia" w:ascii="宋体" w:hAnsi="宋体" w:cs="宋体"/>
          <w:color w:val="000000" w:themeColor="text1"/>
          <w:kern w:val="0"/>
          <w:sz w:val="24"/>
          <w:highlight w:val="none"/>
          <w14:textFill>
            <w14:solidFill>
              <w14:schemeClr w14:val="tx1"/>
            </w14:solidFill>
          </w14:textFill>
        </w:rPr>
        <w:t>建设地点：</w:t>
      </w:r>
      <w:r>
        <w:rPr>
          <w:rFonts w:hint="eastAsia" w:ascii="宋体" w:hAnsi="宋体" w:cs="宋体"/>
          <w:color w:val="000000" w:themeColor="text1"/>
          <w:kern w:val="0"/>
          <w:sz w:val="24"/>
          <w:highlight w:val="none"/>
          <w:lang w:val="en-US" w:eastAsia="zh-CN"/>
          <w14:textFill>
            <w14:solidFill>
              <w14:schemeClr w14:val="tx1"/>
            </w14:solidFill>
          </w14:textFill>
        </w:rPr>
        <w:t>桂林市临桂区永福县</w:t>
      </w:r>
    </w:p>
    <w:p w14:paraId="027A0F56">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规模：</w:t>
      </w:r>
      <w:r>
        <w:rPr>
          <w:rFonts w:hint="eastAsia"/>
          <w:b w:val="0"/>
          <w:bCs/>
          <w:color w:val="000000" w:themeColor="text1"/>
          <w:sz w:val="24"/>
          <w:szCs w:val="24"/>
          <w:highlight w:val="none"/>
          <w:u w:val="none"/>
          <w14:textFill>
            <w14:solidFill>
              <w14:schemeClr w14:val="tx1"/>
            </w14:solidFill>
          </w14:textFill>
        </w:rPr>
        <w:t>封层撒布施工劳务分包工程</w:t>
      </w:r>
      <w:r>
        <w:rPr>
          <w:rFonts w:hint="eastAsia"/>
          <w:b w:val="0"/>
          <w:bCs/>
          <w:color w:val="000000" w:themeColor="text1"/>
          <w:sz w:val="24"/>
          <w:szCs w:val="24"/>
          <w:highlight w:val="none"/>
          <w:u w:val="none"/>
          <w:lang w:eastAsia="zh-CN"/>
          <w14:textFill>
            <w14:solidFill>
              <w14:schemeClr w14:val="tx1"/>
            </w14:solidFill>
          </w14:textFill>
        </w:rPr>
        <w:t>，</w:t>
      </w:r>
      <w:r>
        <w:rPr>
          <w:rFonts w:hint="eastAsia"/>
          <w:b w:val="0"/>
          <w:bCs/>
          <w:color w:val="000000" w:themeColor="text1"/>
          <w:sz w:val="24"/>
          <w:szCs w:val="24"/>
          <w:highlight w:val="none"/>
          <w:u w:val="none"/>
          <w:lang w:val="en-US" w:eastAsia="zh-CN"/>
          <w14:textFill>
            <w14:solidFill>
              <w14:schemeClr w14:val="tx1"/>
            </w14:solidFill>
          </w14:textFill>
        </w:rPr>
        <w:t>其中</w:t>
      </w:r>
      <w:r>
        <w:rPr>
          <w:rFonts w:hint="eastAsia" w:ascii="宋体" w:hAnsi="宋体" w:cs="宋体"/>
          <w:color w:val="000000" w:themeColor="text1"/>
          <w:kern w:val="0"/>
          <w:sz w:val="24"/>
          <w:highlight w:val="none"/>
          <w:lang w:val="en-US" w:eastAsia="zh-CN"/>
          <w14:textFill>
            <w14:solidFill>
              <w14:schemeClr w14:val="tx1"/>
            </w14:solidFill>
          </w14:textFill>
        </w:rPr>
        <w:t>路基15.39km、桥梁10.44km、隧道20.5km、服务区1个、枢纽1个。</w:t>
      </w:r>
    </w:p>
    <w:p w14:paraId="420684A2">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计划工期：</w:t>
      </w:r>
      <w:r>
        <w:rPr>
          <w:rFonts w:hint="eastAsia" w:ascii="宋体" w:hAnsi="宋体" w:cs="宋体"/>
          <w:color w:val="000000" w:themeColor="text1"/>
          <w:kern w:val="0"/>
          <w:sz w:val="24"/>
          <w:highlight w:val="none"/>
          <w:lang w:val="en-US" w:eastAsia="zh-CN"/>
          <w14:textFill>
            <w14:solidFill>
              <w14:schemeClr w14:val="tx1"/>
            </w14:solidFill>
          </w14:textFill>
        </w:rPr>
        <w:t>5个月</w:t>
      </w:r>
    </w:p>
    <w:p w14:paraId="0F1B113F">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采购范围：</w:t>
      </w:r>
      <w:r>
        <w:rPr>
          <w:rFonts w:hint="eastAsia"/>
          <w:b w:val="0"/>
          <w:bCs/>
          <w:color w:val="000000" w:themeColor="text1"/>
          <w:sz w:val="24"/>
          <w:szCs w:val="24"/>
          <w:highlight w:val="none"/>
          <w:u w:val="none"/>
          <w:lang w:eastAsia="zh-CN"/>
          <w14:textFill>
            <w14:solidFill>
              <w14:schemeClr w14:val="tx1"/>
            </w14:solidFill>
          </w14:textFill>
        </w:rPr>
        <w:t>铺筑前对下承层</w:t>
      </w:r>
      <w:r>
        <w:rPr>
          <w:rFonts w:hint="eastAsia"/>
          <w:b w:val="0"/>
          <w:bCs/>
          <w:color w:val="000000" w:themeColor="text1"/>
          <w:sz w:val="24"/>
          <w:szCs w:val="24"/>
          <w:highlight w:val="none"/>
          <w:u w:val="none"/>
          <w:lang w:val="en-US" w:eastAsia="zh-CN"/>
          <w14:textFill>
            <w14:solidFill>
              <w14:schemeClr w14:val="tx1"/>
            </w14:solidFill>
          </w14:textFill>
        </w:rPr>
        <w:t>/</w:t>
      </w:r>
      <w:r>
        <w:rPr>
          <w:rFonts w:hint="eastAsia"/>
          <w:b w:val="0"/>
          <w:bCs/>
          <w:color w:val="000000" w:themeColor="text1"/>
          <w:sz w:val="24"/>
          <w:szCs w:val="24"/>
          <w:highlight w:val="none"/>
          <w:u w:val="none"/>
          <w:lang w:eastAsia="zh-CN"/>
          <w14:textFill>
            <w14:solidFill>
              <w14:schemeClr w14:val="tx1"/>
            </w14:solidFill>
          </w14:textFill>
        </w:rPr>
        <w:t>基面的检查和清扫；封层撒布施工劳务分包工程</w:t>
      </w:r>
      <w:r>
        <w:rPr>
          <w:rFonts w:hint="eastAsia"/>
          <w:b w:val="0"/>
          <w:bCs/>
          <w:color w:val="000000" w:themeColor="text1"/>
          <w:sz w:val="24"/>
          <w:szCs w:val="24"/>
          <w:highlight w:val="none"/>
          <w:u w:val="none"/>
          <w:lang w:val="en-US" w:eastAsia="zh-CN"/>
          <w14:textFill>
            <w14:solidFill>
              <w14:schemeClr w14:val="tx1"/>
            </w14:solidFill>
          </w14:textFill>
        </w:rPr>
        <w:t>；</w:t>
      </w:r>
      <w:r>
        <w:rPr>
          <w:rFonts w:hint="eastAsia"/>
          <w:b w:val="0"/>
          <w:bCs/>
          <w:color w:val="000000" w:themeColor="text1"/>
          <w:sz w:val="24"/>
          <w:szCs w:val="24"/>
          <w:highlight w:val="none"/>
          <w:u w:val="none"/>
          <w:lang w:eastAsia="zh-CN"/>
          <w14:textFill>
            <w14:solidFill>
              <w14:schemeClr w14:val="tx1"/>
            </w14:solidFill>
          </w14:textFill>
        </w:rPr>
        <w:t>配合甲方进行测量、试验等所有为完成路面工程的所有相关工作内容</w:t>
      </w:r>
    </w:p>
    <w:p w14:paraId="1C7161ED">
      <w:pPr>
        <w:autoSpaceDE w:val="0"/>
        <w:autoSpaceDN w:val="0"/>
        <w:spacing w:line="360" w:lineRule="auto"/>
        <w:ind w:firstLine="480" w:firstLineChars="200"/>
        <w:jc w:val="left"/>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段落划分：</w:t>
      </w:r>
      <w:r>
        <w:rPr>
          <w:rFonts w:hint="eastAsia" w:ascii="宋体" w:hAnsi="宋体" w:cs="宋体"/>
          <w:color w:val="000000" w:themeColor="text1"/>
          <w:kern w:val="0"/>
          <w:sz w:val="24"/>
          <w:highlight w:val="none"/>
          <w:lang w:val="en-US" w:eastAsia="zh-CN"/>
          <w14:textFill>
            <w14:solidFill>
              <w14:schemeClr w14:val="tx1"/>
            </w14:solidFill>
          </w14:textFill>
        </w:rPr>
        <w:t>K64+294-K110+669段路面</w:t>
      </w:r>
    </w:p>
    <w:p w14:paraId="44C671E0">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w:t>
      </w:r>
    </w:p>
    <w:p w14:paraId="0C0B81BC">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3．响应单位资格要求</w:t>
      </w:r>
      <w:bookmarkEnd w:id="19"/>
    </w:p>
    <w:p w14:paraId="307CB73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bookmarkStart w:id="20" w:name="_Toc232836822"/>
      <w:bookmarkStart w:id="21" w:name="_Toc184704557"/>
      <w:bookmarkStart w:id="22" w:name="_Toc234932518"/>
      <w:bookmarkStart w:id="23" w:name="_Toc235071706"/>
      <w:r>
        <w:rPr>
          <w:rFonts w:hint="eastAsia" w:ascii="宋体" w:hAnsi="宋体"/>
          <w:color w:val="000000" w:themeColor="text1"/>
          <w:sz w:val="24"/>
          <w:highlight w:val="none"/>
          <w14:textFill>
            <w14:solidFill>
              <w14:schemeClr w14:val="tx1"/>
            </w14:solidFill>
          </w14:textFill>
        </w:rPr>
        <w:t>3.1本次采购要求响应单位须具备</w:t>
      </w:r>
      <w:r>
        <w:rPr>
          <w:rFonts w:hint="eastAsia" w:ascii="宋体" w:hAnsi="宋体"/>
          <w:color w:val="000000" w:themeColor="text1"/>
          <w:sz w:val="24"/>
          <w:highlight w:val="none"/>
          <w:u w:val="single"/>
          <w:lang w:val="en-US" w:eastAsia="zh-CN"/>
          <w14:textFill>
            <w14:solidFill>
              <w14:schemeClr w14:val="tx1"/>
            </w14:solidFill>
          </w14:textFill>
        </w:rPr>
        <w:t>施工劳务不分等级</w:t>
      </w:r>
      <w:r>
        <w:rPr>
          <w:rFonts w:hint="eastAsia" w:ascii="宋体" w:hAnsi="宋体"/>
          <w:color w:val="000000" w:themeColor="text1"/>
          <w:sz w:val="24"/>
          <w:highlight w:val="none"/>
          <w14:textFill>
            <w14:solidFill>
              <w14:schemeClr w14:val="tx1"/>
            </w14:solidFill>
          </w14:textFill>
        </w:rPr>
        <w:t>资质</w:t>
      </w:r>
      <w:r>
        <w:rPr>
          <w:rFonts w:hint="eastAsia" w:ascii="宋体" w:hAnsi="宋体"/>
          <w:color w:val="000000" w:themeColor="text1"/>
          <w:sz w:val="24"/>
          <w:highlight w:val="none"/>
          <w:lang w:eastAsia="zh-CN"/>
          <w14:textFill>
            <w14:solidFill>
              <w14:schemeClr w14:val="tx1"/>
            </w14:solidFill>
          </w14:textFill>
        </w:rPr>
        <w:t>，</w:t>
      </w:r>
      <w:r>
        <w:rPr>
          <w:rFonts w:hint="eastAsia"/>
          <w:b w:val="0"/>
          <w:bCs/>
          <w:color w:val="000000" w:themeColor="text1"/>
          <w:sz w:val="24"/>
          <w:szCs w:val="24"/>
          <w:highlight w:val="none"/>
          <w:u w:val="none"/>
          <w:lang w:eastAsia="zh-CN"/>
          <w14:textFill>
            <w14:solidFill>
              <w14:schemeClr w14:val="tx1"/>
            </w14:solidFill>
          </w14:textFill>
        </w:rPr>
        <w:t>且近5年内具备</w:t>
      </w:r>
      <w:r>
        <w:rPr>
          <w:rFonts w:hint="eastAsia"/>
          <w:b w:val="0"/>
          <w:bCs/>
          <w:color w:val="000000" w:themeColor="text1"/>
          <w:sz w:val="24"/>
          <w:szCs w:val="24"/>
          <w:highlight w:val="none"/>
          <w:u w:val="none"/>
          <w:lang w:val="en-US" w:eastAsia="zh-CN"/>
          <w14:textFill>
            <w14:solidFill>
              <w14:schemeClr w14:val="tx1"/>
            </w14:solidFill>
          </w14:textFill>
        </w:rPr>
        <w:t>1项以上路面施工业绩</w:t>
      </w:r>
      <w:r>
        <w:rPr>
          <w:rFonts w:hint="eastAsia"/>
          <w:b w:val="0"/>
          <w:bCs/>
          <w:color w:val="000000" w:themeColor="text1"/>
          <w:sz w:val="24"/>
          <w:szCs w:val="24"/>
          <w:highlight w:val="none"/>
          <w:u w:val="none"/>
          <w:lang w:eastAsia="zh-CN"/>
          <w14:textFill>
            <w14:solidFill>
              <w14:schemeClr w14:val="tx1"/>
            </w14:solidFill>
          </w14:textFill>
        </w:rPr>
        <w:t>，响应单位需在中建路桥集团合格分供商名录中，未在中建系统不合格（含不良行为）名册中，并在人员、设备、资金等方面具备相应的施工能力。</w:t>
      </w:r>
    </w:p>
    <w:p w14:paraId="3B8E132C">
      <w:pPr>
        <w:pStyle w:val="15"/>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3.2本次采购不接受联合体形式参与采购活动。</w:t>
      </w:r>
    </w:p>
    <w:p w14:paraId="5482566D">
      <w:pPr>
        <w:pStyle w:val="15"/>
        <w:spacing w:line="360" w:lineRule="auto"/>
        <w:ind w:firstLine="48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3.3每个响应单位最多可参与</w:t>
      </w:r>
      <w:r>
        <w:rPr>
          <w:rFonts w:hint="eastAsia" w:hAnsi="宋体"/>
          <w:color w:val="000000" w:themeColor="text1"/>
          <w:sz w:val="24"/>
          <w:highlight w:val="none"/>
          <w:u w:val="single"/>
          <w:lang w:val="en-US" w:eastAsia="zh-CN"/>
          <w14:textFill>
            <w14:solidFill>
              <w14:schemeClr w14:val="tx1"/>
            </w14:solidFill>
          </w14:textFill>
        </w:rPr>
        <w:t>1</w:t>
      </w:r>
      <w:r>
        <w:rPr>
          <w:rFonts w:hint="eastAsia" w:hAnsi="宋体"/>
          <w:color w:val="000000" w:themeColor="text1"/>
          <w:sz w:val="24"/>
          <w:highlight w:val="none"/>
          <w14:textFill>
            <w14:solidFill>
              <w14:schemeClr w14:val="tx1"/>
            </w14:solidFill>
          </w14:textFill>
        </w:rPr>
        <w:t>个段落施工采购活动。</w:t>
      </w:r>
    </w:p>
    <w:p w14:paraId="273A6C7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3.4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4．采购文件的获取</w:t>
      </w:r>
      <w:bookmarkEnd w:id="20"/>
      <w:bookmarkEnd w:id="21"/>
      <w:bookmarkEnd w:id="22"/>
      <w:bookmarkEnd w:id="23"/>
    </w:p>
    <w:p w14:paraId="027CC93D">
      <w:pPr>
        <w:spacing w:line="360" w:lineRule="auto"/>
        <w:ind w:firstLine="480" w:firstLineChars="200"/>
        <w:rPr>
          <w:rFonts w:hint="eastAsia"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凡有意参加投标者，请于</w:t>
      </w:r>
      <w:r>
        <w:rPr>
          <w:rFonts w:hint="eastAsia" w:ascii="宋体" w:hAnsi="宋体"/>
          <w:color w:val="000000" w:themeColor="text1"/>
          <w:sz w:val="24"/>
          <w:szCs w:val="21"/>
          <w:highlight w:val="none"/>
          <w:u w:val="single"/>
          <w:lang w:val="en-US" w:eastAsia="zh-CN"/>
          <w14:textFill>
            <w14:solidFill>
              <w14:schemeClr w14:val="tx1"/>
            </w14:solidFill>
          </w14:textFill>
        </w:rPr>
        <w:t>2026</w:t>
      </w:r>
      <w:r>
        <w:rPr>
          <w:rFonts w:hint="eastAsia" w:ascii="宋体" w:hAnsi="宋体"/>
          <w:color w:val="000000" w:themeColor="text1"/>
          <w:sz w:val="24"/>
          <w:szCs w:val="21"/>
          <w:highlight w:val="none"/>
          <w14:textFill>
            <w14:solidFill>
              <w14:schemeClr w14:val="tx1"/>
            </w14:solidFill>
          </w14:textFill>
        </w:rPr>
        <w:t>年</w:t>
      </w:r>
      <w:r>
        <w:rPr>
          <w:rFonts w:hint="eastAsia" w:ascii="宋体" w:hAnsi="宋体"/>
          <w:color w:val="000000" w:themeColor="text1"/>
          <w:sz w:val="24"/>
          <w:szCs w:val="21"/>
          <w:highlight w:val="none"/>
          <w:u w:val="single"/>
          <w:lang w:val="en-US" w:eastAsia="zh-CN"/>
          <w14:textFill>
            <w14:solidFill>
              <w14:schemeClr w14:val="tx1"/>
            </w14:solidFill>
          </w14:textFill>
        </w:rPr>
        <w:t>8</w:t>
      </w:r>
      <w:r>
        <w:rPr>
          <w:rFonts w:hint="eastAsia" w:ascii="宋体" w:hAnsi="宋体"/>
          <w:color w:val="000000" w:themeColor="text1"/>
          <w:sz w:val="24"/>
          <w:szCs w:val="21"/>
          <w:highlight w:val="none"/>
          <w:lang w:val="en-US" w:eastAsia="zh-CN"/>
          <w14:textFill>
            <w14:solidFill>
              <w14:schemeClr w14:val="tx1"/>
            </w14:solidFill>
          </w14:textFill>
        </w:rPr>
        <w:t xml:space="preserve"> </w:t>
      </w:r>
      <w:r>
        <w:rPr>
          <w:rFonts w:hint="eastAsia" w:ascii="宋体" w:hAnsi="宋体"/>
          <w:color w:val="000000" w:themeColor="text1"/>
          <w:sz w:val="24"/>
          <w:szCs w:val="21"/>
          <w:highlight w:val="none"/>
          <w14:textFill>
            <w14:solidFill>
              <w14:schemeClr w14:val="tx1"/>
            </w14:solidFill>
          </w14:textFill>
        </w:rPr>
        <w:t>月</w:t>
      </w:r>
      <w:r>
        <w:rPr>
          <w:rFonts w:hint="eastAsia" w:ascii="宋体" w:hAnsi="宋体"/>
          <w:color w:val="000000" w:themeColor="text1"/>
          <w:sz w:val="24"/>
          <w:szCs w:val="21"/>
          <w:highlight w:val="none"/>
          <w:u w:val="single"/>
          <w:lang w:val="en-US" w:eastAsia="zh-CN"/>
          <w14:textFill>
            <w14:solidFill>
              <w14:schemeClr w14:val="tx1"/>
            </w14:solidFill>
          </w14:textFill>
        </w:rPr>
        <w:t xml:space="preserve"> 14</w:t>
      </w:r>
      <w:r>
        <w:rPr>
          <w:rFonts w:hint="eastAsia" w:ascii="宋体" w:hAnsi="宋体"/>
          <w:color w:val="000000" w:themeColor="text1"/>
          <w:sz w:val="24"/>
          <w:szCs w:val="21"/>
          <w:highlight w:val="none"/>
          <w14:textFill>
            <w14:solidFill>
              <w14:schemeClr w14:val="tx1"/>
            </w14:solidFill>
          </w14:textFill>
        </w:rPr>
        <w:t>日至</w:t>
      </w:r>
      <w:r>
        <w:rPr>
          <w:rFonts w:hint="eastAsia" w:ascii="宋体" w:hAnsi="宋体"/>
          <w:color w:val="000000" w:themeColor="text1"/>
          <w:sz w:val="24"/>
          <w:szCs w:val="21"/>
          <w:highlight w:val="none"/>
          <w:u w:val="single"/>
          <w:lang w:val="en-US" w:eastAsia="zh-CN"/>
          <w14:textFill>
            <w14:solidFill>
              <w14:schemeClr w14:val="tx1"/>
            </w14:solidFill>
          </w14:textFill>
        </w:rPr>
        <w:t>2026</w:t>
      </w:r>
      <w:r>
        <w:rPr>
          <w:rFonts w:hint="eastAsia" w:ascii="宋体" w:hAnsi="宋体"/>
          <w:color w:val="000000" w:themeColor="text1"/>
          <w:sz w:val="24"/>
          <w:szCs w:val="21"/>
          <w:highlight w:val="none"/>
          <w14:textFill>
            <w14:solidFill>
              <w14:schemeClr w14:val="tx1"/>
            </w14:solidFill>
          </w14:textFill>
        </w:rPr>
        <w:t>年</w:t>
      </w:r>
      <w:r>
        <w:rPr>
          <w:rFonts w:hint="eastAsia" w:ascii="宋体" w:hAnsi="宋体"/>
          <w:color w:val="000000" w:themeColor="text1"/>
          <w:sz w:val="24"/>
          <w:szCs w:val="21"/>
          <w:highlight w:val="none"/>
          <w:u w:val="single"/>
          <w:lang w:val="en-US" w:eastAsia="zh-CN"/>
          <w14:textFill>
            <w14:solidFill>
              <w14:schemeClr w14:val="tx1"/>
            </w14:solidFill>
          </w14:textFill>
        </w:rPr>
        <w:t>8</w:t>
      </w:r>
      <w:r>
        <w:rPr>
          <w:rFonts w:hint="eastAsia" w:ascii="宋体" w:hAnsi="宋体"/>
          <w:color w:val="000000" w:themeColor="text1"/>
          <w:sz w:val="24"/>
          <w:szCs w:val="21"/>
          <w:highlight w:val="none"/>
          <w:lang w:val="en-US" w:eastAsia="zh-CN"/>
          <w14:textFill>
            <w14:solidFill>
              <w14:schemeClr w14:val="tx1"/>
            </w14:solidFill>
          </w14:textFill>
        </w:rPr>
        <w:t xml:space="preserve"> </w:t>
      </w:r>
      <w:r>
        <w:rPr>
          <w:rFonts w:hint="eastAsia" w:ascii="宋体" w:hAnsi="宋体"/>
          <w:color w:val="000000" w:themeColor="text1"/>
          <w:sz w:val="24"/>
          <w:szCs w:val="21"/>
          <w:highlight w:val="none"/>
          <w14:textFill>
            <w14:solidFill>
              <w14:schemeClr w14:val="tx1"/>
            </w14:solidFill>
          </w14:textFill>
        </w:rPr>
        <w:t>月</w:t>
      </w:r>
      <w:r>
        <w:rPr>
          <w:rFonts w:hint="eastAsia" w:ascii="宋体" w:hAnsi="宋体"/>
          <w:color w:val="000000" w:themeColor="text1"/>
          <w:sz w:val="24"/>
          <w:szCs w:val="21"/>
          <w:highlight w:val="none"/>
          <w:u w:val="single"/>
          <w:lang w:val="en-US" w:eastAsia="zh-CN"/>
          <w14:textFill>
            <w14:solidFill>
              <w14:schemeClr w14:val="tx1"/>
            </w14:solidFill>
          </w14:textFill>
        </w:rPr>
        <w:t xml:space="preserve"> 16</w:t>
      </w:r>
      <w:r>
        <w:rPr>
          <w:rFonts w:hint="eastAsia" w:ascii="宋体" w:hAnsi="宋体"/>
          <w:color w:val="000000" w:themeColor="text1"/>
          <w:sz w:val="24"/>
          <w:szCs w:val="21"/>
          <w:highlight w:val="none"/>
          <w14:textFill>
            <w14:solidFill>
              <w14:schemeClr w14:val="tx1"/>
            </w14:solidFill>
          </w14:textFill>
        </w:rPr>
        <w:t>日（法定公休日、法定节假日正常上班)，每日上午 9 时至 11 时，下午 14 时至 18 时持单位介绍信或授权书、经办人或被授权人的身份证到</w:t>
      </w:r>
      <w:r>
        <w:rPr>
          <w:rFonts w:hint="eastAsia" w:ascii="宋体" w:hAnsi="宋体"/>
          <w:color w:val="000000" w:themeColor="text1"/>
          <w:sz w:val="24"/>
          <w:szCs w:val="21"/>
          <w:highlight w:val="none"/>
          <w:u w:val="single"/>
          <w14:textFill>
            <w14:solidFill>
              <w14:schemeClr w14:val="tx1"/>
            </w14:solidFill>
          </w14:textFill>
        </w:rPr>
        <w:t>河北省石家庄市桥西区</w:t>
      </w:r>
      <w:r>
        <w:rPr>
          <w:rFonts w:hint="eastAsia" w:ascii="宋体" w:hAnsi="宋体"/>
          <w:color w:val="000000" w:themeColor="text1"/>
          <w:sz w:val="24"/>
          <w:szCs w:val="21"/>
          <w:highlight w:val="none"/>
          <w:u w:val="single"/>
          <w:lang w:val="en-US" w:eastAsia="zh-CN"/>
          <w14:textFill>
            <w14:solidFill>
              <w14:schemeClr w14:val="tx1"/>
            </w14:solidFill>
          </w14:textFill>
        </w:rPr>
        <w:t>新石北路362号中建路桥集团公司第二办公区</w:t>
      </w:r>
      <w:r>
        <w:rPr>
          <w:rFonts w:hint="eastAsia" w:ascii="宋体" w:hAnsi="宋体"/>
          <w:color w:val="000000" w:themeColor="text1"/>
          <w:sz w:val="24"/>
          <w:szCs w:val="21"/>
          <w:highlight w:val="none"/>
          <w14:textFill>
            <w14:solidFill>
              <w14:schemeClr w14:val="tx1"/>
            </w14:solidFill>
          </w14:textFill>
        </w:rPr>
        <w:t>报名并领取采购文件或与下方联系人联络获取电子版采购文件。</w:t>
      </w:r>
    </w:p>
    <w:p w14:paraId="38E4C757">
      <w:pPr>
        <w:spacing w:line="360" w:lineRule="auto"/>
        <w:rPr>
          <w:rFonts w:hint="eastAsia" w:ascii="宋体" w:hAnsi="宋体"/>
          <w:b/>
          <w:color w:val="000000" w:themeColor="text1"/>
          <w:sz w:val="28"/>
          <w:szCs w:val="28"/>
          <w:highlight w:val="none"/>
          <w14:textFill>
            <w14:solidFill>
              <w14:schemeClr w14:val="tx1"/>
            </w14:solidFill>
          </w14:textFill>
        </w:rPr>
      </w:pPr>
      <w:bookmarkStart w:id="24" w:name="_Toc234932519"/>
      <w:bookmarkStart w:id="25" w:name="_Toc232836823"/>
      <w:bookmarkStart w:id="26" w:name="_Toc235071707"/>
      <w:bookmarkStart w:id="27" w:name="_Toc184704558"/>
      <w:r>
        <w:rPr>
          <w:rFonts w:hint="eastAsia" w:ascii="宋体" w:hAnsi="宋体"/>
          <w:b/>
          <w:color w:val="000000" w:themeColor="text1"/>
          <w:sz w:val="28"/>
          <w:szCs w:val="28"/>
          <w:highlight w:val="none"/>
          <w14:textFill>
            <w14:solidFill>
              <w14:schemeClr w14:val="tx1"/>
            </w14:solidFill>
          </w14:textFill>
        </w:rPr>
        <w:t>5．响应文件的递交</w:t>
      </w:r>
      <w:bookmarkEnd w:id="24"/>
      <w:bookmarkEnd w:id="25"/>
      <w:bookmarkEnd w:id="26"/>
      <w:bookmarkEnd w:id="27"/>
    </w:p>
    <w:p w14:paraId="58071276">
      <w:pPr>
        <w:spacing w:line="360" w:lineRule="auto"/>
        <w:ind w:left="239" w:leftChars="114" w:firstLine="240" w:firstLineChars="1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5.1 递交响应文件截止时间（响应截止时间，下同）为</w:t>
      </w:r>
      <w:r>
        <w:rPr>
          <w:rFonts w:hint="default" w:ascii="宋体" w:hAnsi="宋体"/>
          <w:color w:val="000000" w:themeColor="text1"/>
          <w:sz w:val="24"/>
          <w:highlight w:val="none"/>
          <w:u w:val="single"/>
          <w14:textFill>
            <w14:solidFill>
              <w14:schemeClr w14:val="tx1"/>
            </w14:solidFill>
          </w14:textFill>
        </w:rPr>
        <w:t>2026</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19</w:t>
      </w:r>
      <w:r>
        <w:rPr>
          <w:rFonts w:hint="eastAsia"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时，投标人应于当日</w:t>
      </w:r>
      <w:r>
        <w:rPr>
          <w:rFonts w:hint="eastAsia" w:ascii="宋体" w:hAnsi="宋体"/>
          <w:color w:val="000000" w:themeColor="text1"/>
          <w:sz w:val="24"/>
          <w:highlight w:val="none"/>
          <w:u w:val="single"/>
          <w:lang w:val="en-US" w:eastAsia="zh-CN"/>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时</w:t>
      </w:r>
      <w:r>
        <w:rPr>
          <w:rFonts w:hint="eastAsia" w:ascii="宋体" w:hAnsi="宋体"/>
          <w:color w:val="000000" w:themeColor="text1"/>
          <w:sz w:val="24"/>
          <w:highlight w:val="none"/>
          <w:u w:val="single"/>
          <w:lang w:val="en-US" w:eastAsia="zh-CN"/>
          <w14:textFill>
            <w14:solidFill>
              <w14:schemeClr w14:val="tx1"/>
            </w14:solidFill>
          </w14:textFill>
        </w:rPr>
        <w:t>00</w:t>
      </w:r>
      <w:r>
        <w:rPr>
          <w:rFonts w:hint="eastAsia" w:ascii="宋体" w:hAnsi="宋体"/>
          <w:color w:val="000000" w:themeColor="text1"/>
          <w:sz w:val="24"/>
          <w:highlight w:val="none"/>
          <w14:textFill>
            <w14:solidFill>
              <w14:schemeClr w14:val="tx1"/>
            </w14:solidFill>
          </w14:textFill>
        </w:rPr>
        <w:t>分至</w:t>
      </w:r>
      <w:r>
        <w:rPr>
          <w:rFonts w:hint="eastAsia" w:ascii="宋体" w:hAnsi="宋体"/>
          <w:color w:val="000000" w:themeColor="text1"/>
          <w:sz w:val="24"/>
          <w:highlight w:val="none"/>
          <w:u w:val="single"/>
          <w:lang w:val="en-US" w:eastAsia="zh-CN"/>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时</w:t>
      </w:r>
      <w:r>
        <w:rPr>
          <w:rFonts w:hint="eastAsia" w:ascii="宋体" w:hAnsi="宋体"/>
          <w:color w:val="000000" w:themeColor="text1"/>
          <w:sz w:val="24"/>
          <w:highlight w:val="none"/>
          <w:u w:val="single"/>
          <w:lang w:val="en-US" w:eastAsia="zh-CN"/>
          <w14:textFill>
            <w14:solidFill>
              <w14:schemeClr w14:val="tx1"/>
            </w14:solidFill>
          </w14:textFill>
        </w:rPr>
        <w:t>30</w:t>
      </w:r>
      <w:r>
        <w:rPr>
          <w:rFonts w:hint="eastAsia" w:ascii="宋体" w:hAnsi="宋体"/>
          <w:color w:val="000000" w:themeColor="text1"/>
          <w:sz w:val="24"/>
          <w:highlight w:val="none"/>
          <w14:textFill>
            <w14:solidFill>
              <w14:schemeClr w14:val="tx1"/>
            </w14:solidFill>
          </w14:textFill>
        </w:rPr>
        <w:t>分将投标文件递交至</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none"/>
          <w:lang w:val="en-US" w:eastAsia="zh-CN"/>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河北省石家庄市桥西区</w:t>
      </w:r>
      <w:r>
        <w:rPr>
          <w:rFonts w:hint="eastAsia" w:ascii="宋体" w:hAnsi="宋体" w:cs="宋体"/>
          <w:color w:val="000000" w:themeColor="text1"/>
          <w:sz w:val="24"/>
          <w:highlight w:val="none"/>
          <w:u w:val="single"/>
          <w:lang w:val="en-US" w:eastAsia="zh-CN"/>
          <w14:textFill>
            <w14:solidFill>
              <w14:schemeClr w14:val="tx1"/>
            </w14:solidFill>
          </w14:textFill>
        </w:rPr>
        <w:t>新石北路362号中建路桥集团公司第二办公区</w:t>
      </w:r>
      <w:r>
        <w:rPr>
          <w:rFonts w:hint="eastAsia" w:ascii="宋体" w:hAnsi="宋体"/>
          <w:color w:val="000000" w:themeColor="text1"/>
          <w:sz w:val="24"/>
          <w:highlight w:val="none"/>
          <w14:textFill>
            <w14:solidFill>
              <w14:schemeClr w14:val="tx1"/>
            </w14:solidFill>
          </w14:textFill>
        </w:rPr>
        <w:t>完成采购响应，逾期</w:t>
      </w:r>
      <w:r>
        <w:rPr>
          <w:rFonts w:hint="eastAsia" w:ascii="宋体" w:hAnsi="宋体"/>
          <w:color w:val="000000" w:themeColor="text1"/>
          <w:sz w:val="24"/>
          <w:highlight w:val="none"/>
          <w:lang w:val="en-US" w:eastAsia="zh-CN"/>
          <w14:textFill>
            <w14:solidFill>
              <w14:schemeClr w14:val="tx1"/>
            </w14:solidFill>
          </w14:textFill>
        </w:rPr>
        <w:t>未递交</w:t>
      </w:r>
      <w:r>
        <w:rPr>
          <w:rFonts w:hint="eastAsia" w:ascii="宋体" w:hAnsi="宋体"/>
          <w:color w:val="000000" w:themeColor="text1"/>
          <w:sz w:val="24"/>
          <w:highlight w:val="none"/>
          <w14:textFill>
            <w14:solidFill>
              <w14:schemeClr w14:val="tx1"/>
            </w14:solidFill>
          </w14:textFill>
        </w:rPr>
        <w:t>响应文件的，采购人不再另行受理。</w:t>
      </w:r>
    </w:p>
    <w:p w14:paraId="747BFD98">
      <w:pPr>
        <w:pStyle w:val="2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0" w:right="0" w:firstLine="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bookmarkStart w:id="28" w:name="_Toc235071708"/>
      <w:bookmarkStart w:id="29" w:name="_Toc232836824"/>
      <w:bookmarkStart w:id="30" w:name="_Toc234932520"/>
      <w:bookmarkStart w:id="31" w:name="_Toc184704559"/>
      <w:r>
        <w:rPr>
          <w:rFonts w:hint="default" w:ascii="Times New Roman" w:hAnsi="Times New Roman" w:eastAsia="宋体" w:cs="Times New Roman"/>
          <w:i w:val="0"/>
          <w:iCs w:val="0"/>
          <w:caps w:val="0"/>
          <w:color w:val="000000" w:themeColor="text1"/>
          <w:spacing w:val="0"/>
          <w:sz w:val="21"/>
          <w:szCs w:val="21"/>
          <w:highlight w:val="none"/>
          <w:shd w:val="clear" w:fill="FFFFFF"/>
          <w14:textFill>
            <w14:solidFill>
              <w14:schemeClr w14:val="tx1"/>
            </w14:solidFill>
          </w14:textFill>
        </w:rPr>
        <w:t>　</w:t>
      </w:r>
      <w:r>
        <w:rPr>
          <w:rFonts w:hint="default" w:ascii="宋体" w:hAnsi="宋体" w:eastAsia="宋体" w:cs="Times New Roman"/>
          <w:color w:val="000000" w:themeColor="text1"/>
          <w:kern w:val="2"/>
          <w:sz w:val="24"/>
          <w:szCs w:val="24"/>
          <w:highlight w:val="none"/>
          <w:lang w:val="en-US" w:eastAsia="zh-CN" w:bidi="ar-SA"/>
          <w14:textFill>
            <w14:solidFill>
              <w14:schemeClr w14:val="tx1"/>
            </w14:solidFill>
          </w14:textFill>
        </w:rPr>
        <w:t>　5.2 </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逾期未完成采购响应的、未按采购文件要求提交响应担保的响应文件，</w:t>
      </w:r>
      <w:r>
        <w:rPr>
          <w:rFonts w:hint="eastAsia" w:cs="Times New Roman"/>
          <w:color w:val="000000" w:themeColor="text1"/>
          <w:kern w:val="2"/>
          <w:sz w:val="24"/>
          <w:szCs w:val="24"/>
          <w:highlight w:val="none"/>
          <w:lang w:val="en-US" w:eastAsia="zh-CN" w:bidi="ar-SA"/>
          <w14:textFill>
            <w14:solidFill>
              <w14:schemeClr w14:val="tx1"/>
            </w14:solidFill>
          </w14:textFill>
        </w:rPr>
        <w:t>采购人</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将予以拒收。</w:t>
      </w:r>
    </w:p>
    <w:p w14:paraId="3172E2F1">
      <w:pPr>
        <w:pStyle w:val="2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0" w:right="0" w:firstLine="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Times New Roman"/>
          <w:color w:val="000000" w:themeColor="text1"/>
          <w:kern w:val="2"/>
          <w:sz w:val="24"/>
          <w:szCs w:val="24"/>
          <w:highlight w:val="none"/>
          <w:lang w:val="en-US" w:eastAsia="zh-CN" w:bidi="ar-SA"/>
          <w14:textFill>
            <w14:solidFill>
              <w14:schemeClr w14:val="tx1"/>
            </w14:solidFill>
          </w14:textFill>
        </w:rPr>
        <w:t>　　5.3 </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响应文件应符合采购文件所列其他要求。</w:t>
      </w:r>
    </w:p>
    <w:p w14:paraId="446AC18B">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6. 发布公告的媒介</w:t>
      </w:r>
      <w:bookmarkEnd w:id="28"/>
      <w:bookmarkEnd w:id="29"/>
      <w:bookmarkEnd w:id="30"/>
      <w:bookmarkEnd w:id="31"/>
    </w:p>
    <w:p w14:paraId="4E8FDB72">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本次采购公告在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中建路桥集团官网</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统一公开发布。</w:t>
      </w:r>
    </w:p>
    <w:p w14:paraId="7FE2781B">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7. 联系方式</w:t>
      </w:r>
    </w:p>
    <w:p w14:paraId="1713332F">
      <w:pPr>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 购 人：</w:t>
      </w:r>
      <w:r>
        <w:rPr>
          <w:rFonts w:hint="eastAsia" w:ascii="宋体" w:hAnsi="宋体" w:cs="宋体"/>
          <w:color w:val="000000" w:themeColor="text1"/>
          <w:sz w:val="24"/>
          <w:highlight w:val="none"/>
          <w:u w:val="single"/>
          <w14:textFill>
            <w14:solidFill>
              <w14:schemeClr w14:val="tx1"/>
            </w14:solidFill>
          </w14:textFill>
        </w:rPr>
        <w:t>中建路桥集团有限公司</w:t>
      </w:r>
    </w:p>
    <w:p w14:paraId="041B688D">
      <w:pPr>
        <w:spacing w:line="360" w:lineRule="auto"/>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邮    编：</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050021</w:t>
      </w:r>
      <w:r>
        <w:rPr>
          <w:rFonts w:hint="eastAsia" w:ascii="宋体" w:hAnsi="宋体" w:cs="宋体"/>
          <w:color w:val="000000" w:themeColor="text1"/>
          <w:sz w:val="24"/>
          <w:highlight w:val="none"/>
          <w:u w:val="single"/>
          <w14:textFill>
            <w14:solidFill>
              <w14:schemeClr w14:val="tx1"/>
            </w14:solidFill>
          </w14:textFill>
        </w:rPr>
        <w:t xml:space="preserve">   </w:t>
      </w:r>
    </w:p>
    <w:p w14:paraId="00C4EDF5">
      <w:pPr>
        <w:spacing w:line="360" w:lineRule="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河北省石家庄市桥西区</w:t>
      </w:r>
      <w:r>
        <w:rPr>
          <w:rFonts w:hint="eastAsia" w:ascii="宋体" w:hAnsi="宋体" w:cs="宋体"/>
          <w:color w:val="000000" w:themeColor="text1"/>
          <w:sz w:val="24"/>
          <w:highlight w:val="none"/>
          <w:u w:val="single"/>
          <w:lang w:val="en-US" w:eastAsia="zh-CN"/>
          <w14:textFill>
            <w14:solidFill>
              <w14:schemeClr w14:val="tx1"/>
            </w14:solidFill>
          </w14:textFill>
        </w:rPr>
        <w:t>新石北路362号中建路桥集团公司第二办公区</w:t>
      </w:r>
    </w:p>
    <w:p w14:paraId="7430BC3A">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15131192930</w:t>
      </w:r>
      <w:r>
        <w:rPr>
          <w:rFonts w:hint="eastAsia" w:ascii="宋体" w:hAnsi="宋体" w:cs="宋体"/>
          <w:color w:val="000000" w:themeColor="text1"/>
          <w:sz w:val="24"/>
          <w:highlight w:val="none"/>
          <w:u w:val="single"/>
          <w14:textFill>
            <w14:solidFill>
              <w14:schemeClr w14:val="tx1"/>
            </w14:solidFill>
          </w14:textFill>
        </w:rPr>
        <w:t xml:space="preserve"> </w:t>
      </w:r>
    </w:p>
    <w:p w14:paraId="57EB012D">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 系 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白广涛</w:t>
      </w:r>
      <w:r>
        <w:rPr>
          <w:rFonts w:hint="eastAsia" w:ascii="宋体" w:hAnsi="宋体" w:cs="宋体"/>
          <w:color w:val="000000" w:themeColor="text1"/>
          <w:sz w:val="24"/>
          <w:highlight w:val="none"/>
          <w:u w:val="single"/>
          <w14:textFill>
            <w14:solidFill>
              <w14:schemeClr w14:val="tx1"/>
            </w14:solidFill>
          </w14:textFill>
        </w:rPr>
        <w:t xml:space="preserve">   </w:t>
      </w:r>
    </w:p>
    <w:p w14:paraId="61D65434">
      <w:pPr>
        <w:rPr>
          <w:color w:val="000000" w:themeColor="text1"/>
          <w:highlight w:val="none"/>
          <w14:textFill>
            <w14:solidFill>
              <w14:schemeClr w14:val="tx1"/>
            </w14:solidFill>
          </w14:textFill>
        </w:rPr>
        <w:sectPr>
          <w:footerReference r:id="rId8" w:type="default"/>
          <w:pgSz w:w="11907" w:h="16840"/>
          <w:pgMar w:top="1417" w:right="1701" w:bottom="1417" w:left="1701" w:header="850" w:footer="1134" w:gutter="0"/>
          <w:pgNumType w:fmt="decimal"/>
          <w:cols w:space="0" w:num="1"/>
          <w:rtlGutter w:val="0"/>
          <w:docGrid w:linePitch="312" w:charSpace="0"/>
        </w:sectPr>
      </w:pPr>
      <w:r>
        <w:rPr>
          <w:rFonts w:hint="eastAsia"/>
          <w:b/>
          <w:color w:val="000000" w:themeColor="text1"/>
          <w:highlight w:val="non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1879BF74">
      <w:pPr>
        <w:pStyle w:val="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color w:val="000000" w:themeColor="text1"/>
          <w:highlight w:val="none"/>
          <w14:textFill>
            <w14:solidFill>
              <w14:schemeClr w14:val="tx1"/>
            </w14:solidFill>
          </w14:textFill>
        </w:rPr>
        <w:t>响应单位须知</w:t>
      </w:r>
    </w:p>
    <w:p w14:paraId="11B2715A">
      <w:pPr>
        <w:pStyle w:val="3"/>
        <w:tabs>
          <w:tab w:val="center" w:pos="4513"/>
          <w:tab w:val="left" w:pos="6930"/>
        </w:tabs>
        <w:spacing w:before="240" w:beforeLines="100" w:after="0" w:line="360" w:lineRule="auto"/>
        <w:jc w:val="center"/>
        <w:rPr>
          <w:rFonts w:ascii="Times New Roman" w:hAnsi="Times New Roman" w:eastAsia="宋体"/>
          <w:bCs w:val="0"/>
          <w:color w:val="000000" w:themeColor="text1"/>
          <w:sz w:val="28"/>
          <w:szCs w:val="28"/>
          <w:highlight w:val="none"/>
          <w14:textFill>
            <w14:solidFill>
              <w14:schemeClr w14:val="tx1"/>
            </w14:solidFill>
          </w14:textFill>
        </w:rPr>
      </w:pPr>
      <w:bookmarkStart w:id="32" w:name="_Toc145499728"/>
      <w:bookmarkStart w:id="33" w:name="_Toc284135587"/>
      <w:r>
        <w:rPr>
          <w:rStyle w:val="46"/>
          <w:rFonts w:ascii="Times New Roman" w:hAnsi="宋体" w:eastAsia="宋体"/>
          <w:b/>
          <w:bCs w:val="0"/>
          <w:color w:val="000000" w:themeColor="text1"/>
          <w:sz w:val="28"/>
          <w:szCs w:val="28"/>
          <w:highlight w:val="none"/>
          <w14:textFill>
            <w14:solidFill>
              <w14:schemeClr w14:val="tx1"/>
            </w14:solidFill>
          </w14:textFill>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项号</w:t>
            </w:r>
          </w:p>
        </w:tc>
        <w:tc>
          <w:tcPr>
            <w:tcW w:w="1308" w:type="dxa"/>
            <w:vAlign w:val="center"/>
          </w:tcPr>
          <w:p w14:paraId="4935C789">
            <w:pPr>
              <w:ind w:left="-42" w:leftChars="-20" w:right="-42" w:rightChars="-20"/>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内容</w:t>
            </w:r>
          </w:p>
        </w:tc>
        <w:tc>
          <w:tcPr>
            <w:tcW w:w="6478" w:type="dxa"/>
            <w:vAlign w:val="center"/>
          </w:tcPr>
          <w:p w14:paraId="2F34A305">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308" w:type="dxa"/>
            <w:vAlign w:val="center"/>
          </w:tcPr>
          <w:p w14:paraId="577A60B1">
            <w:pPr>
              <w:ind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名  称</w:t>
            </w:r>
          </w:p>
        </w:tc>
        <w:tc>
          <w:tcPr>
            <w:tcW w:w="6478" w:type="dxa"/>
            <w:vAlign w:val="center"/>
          </w:tcPr>
          <w:p w14:paraId="6B69CD8D">
            <w:pPr>
              <w:tabs>
                <w:tab w:val="left" w:pos="180"/>
              </w:tabs>
              <w:spacing w:line="360" w:lineRule="auto"/>
              <w:ind w:right="48" w:rightChars="23"/>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项目名称：广西</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桂林项目</w:t>
            </w:r>
          </w:p>
          <w:p w14:paraId="36F0507E">
            <w:pPr>
              <w:tabs>
                <w:tab w:val="left" w:pos="180"/>
              </w:tabs>
              <w:spacing w:line="360" w:lineRule="auto"/>
              <w:ind w:right="48" w:rightChars="23"/>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采购分包工程名称：封层撒布施工劳务分包工程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308" w:type="dxa"/>
            <w:vAlign w:val="center"/>
          </w:tcPr>
          <w:p w14:paraId="479AEC48">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采购人</w:t>
            </w:r>
          </w:p>
        </w:tc>
        <w:tc>
          <w:tcPr>
            <w:tcW w:w="6478" w:type="dxa"/>
            <w:vAlign w:val="center"/>
          </w:tcPr>
          <w:p w14:paraId="728F18B0">
            <w:pPr>
              <w:spacing w:line="36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 购 人：</w:t>
            </w:r>
            <w:r>
              <w:rPr>
                <w:rFonts w:hint="eastAsia" w:ascii="宋体" w:hAnsi="宋体" w:eastAsia="宋体" w:cs="宋体"/>
                <w:color w:val="000000" w:themeColor="text1"/>
                <w:sz w:val="24"/>
                <w:szCs w:val="24"/>
                <w:highlight w:val="none"/>
                <w:u w:val="single"/>
                <w14:textFill>
                  <w14:solidFill>
                    <w14:schemeClr w14:val="tx1"/>
                  </w14:solidFill>
                </w14:textFill>
              </w:rPr>
              <w:t>中建路桥集团有限公司</w:t>
            </w:r>
          </w:p>
          <w:p w14:paraId="6D943C5B">
            <w:pPr>
              <w:spacing w:line="360" w:lineRule="auto"/>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    编：</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050021</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04FC2F9D">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    址：</w:t>
            </w:r>
            <w:r>
              <w:rPr>
                <w:rFonts w:hint="eastAsia" w:ascii="宋体" w:hAnsi="宋体" w:eastAsia="宋体" w:cs="宋体"/>
                <w:color w:val="000000" w:themeColor="text1"/>
                <w:sz w:val="24"/>
                <w:szCs w:val="24"/>
                <w:highlight w:val="none"/>
                <w:u w:val="single"/>
                <w14:textFill>
                  <w14:solidFill>
                    <w14:schemeClr w14:val="tx1"/>
                  </w14:solidFill>
                </w14:textFill>
              </w:rPr>
              <w:t>河北省石家庄市桥西区建设南大街70号</w:t>
            </w:r>
          </w:p>
          <w:p w14:paraId="73765724">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    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15131192930</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0ACD356D">
            <w:pPr>
              <w:spacing w:line="360" w:lineRule="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 系 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白广涛</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308" w:type="dxa"/>
            <w:vAlign w:val="center"/>
          </w:tcPr>
          <w:p w14:paraId="131B8C69">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现场踏勘</w:t>
            </w:r>
          </w:p>
        </w:tc>
        <w:tc>
          <w:tcPr>
            <w:tcW w:w="6478" w:type="dxa"/>
            <w:vAlign w:val="center"/>
          </w:tcPr>
          <w:p w14:paraId="22E6521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不组织，各响应单位可自行前往。</w:t>
            </w:r>
          </w:p>
          <w:p w14:paraId="78E7194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□组织，勘察时间：  年  月  日  时</w:t>
            </w:r>
          </w:p>
          <w:p w14:paraId="54C2E24F">
            <w:pPr>
              <w:pStyle w:val="8"/>
              <w:ind w:firstLine="0" w:firstLineChars="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勘察地点： </w:t>
            </w:r>
          </w:p>
          <w:p w14:paraId="5370DF38">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勘察</w:t>
            </w:r>
            <w:r>
              <w:rPr>
                <w:rFonts w:hint="eastAsia" w:ascii="宋体" w:hAnsi="宋体" w:eastAsia="宋体" w:cs="宋体"/>
                <w:color w:val="000000" w:themeColor="text1"/>
                <w:sz w:val="24"/>
                <w:szCs w:val="24"/>
                <w:highlight w:val="none"/>
                <w14:textFill>
                  <w14:solidFill>
                    <w14:schemeClr w14:val="tx1"/>
                  </w14:solidFill>
                </w14:textFill>
              </w:rPr>
              <w:t>联系人：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白广涛</w:t>
            </w:r>
            <w:r>
              <w:rPr>
                <w:rFonts w:hint="eastAsia" w:ascii="宋体" w:hAnsi="宋体" w:eastAsia="宋体" w:cs="宋体"/>
                <w:color w:val="000000" w:themeColor="text1"/>
                <w:sz w:val="24"/>
                <w:szCs w:val="24"/>
                <w:highlight w:val="none"/>
                <w14:textFill>
                  <w14:solidFill>
                    <w14:schemeClr w14:val="tx1"/>
                  </w14:solidFill>
                </w14:textFill>
              </w:rPr>
              <w:t xml:space="preserve">                 电话：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15131192930</w:t>
            </w:r>
            <w:r>
              <w:rPr>
                <w:rFonts w:hint="eastAsia" w:ascii="宋体" w:hAnsi="宋体" w:eastAsia="宋体" w:cs="宋体"/>
                <w:color w:val="000000" w:themeColor="text1"/>
                <w:sz w:val="24"/>
                <w:szCs w:val="24"/>
                <w:highlight w:val="none"/>
                <w14:textFill>
                  <w14:solidFill>
                    <w14:schemeClr w14:val="tx1"/>
                  </w14:solidFill>
                </w14:textFill>
              </w:rPr>
              <w:t xml:space="preserve">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308" w:type="dxa"/>
            <w:vAlign w:val="center"/>
          </w:tcPr>
          <w:p w14:paraId="0BA17843">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采购范围</w:t>
            </w:r>
          </w:p>
        </w:tc>
        <w:tc>
          <w:tcPr>
            <w:tcW w:w="6478" w:type="dxa"/>
            <w:vAlign w:val="center"/>
          </w:tcPr>
          <w:p w14:paraId="4C8F6134">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柔性抗裂封层（四同步）撒布</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308" w:type="dxa"/>
            <w:vAlign w:val="center"/>
          </w:tcPr>
          <w:p w14:paraId="4C97CF81">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工期及质量要求</w:t>
            </w:r>
          </w:p>
        </w:tc>
        <w:tc>
          <w:tcPr>
            <w:tcW w:w="6478" w:type="dxa"/>
            <w:vAlign w:val="center"/>
          </w:tcPr>
          <w:p w14:paraId="4F24802B">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计划开工日期：  年  月  日</w:t>
            </w:r>
          </w:p>
          <w:p w14:paraId="2D6A460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计划完工日期：  年  月  日</w:t>
            </w:r>
          </w:p>
          <w:p w14:paraId="401CFA7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计划合同工期：</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150</w:t>
            </w:r>
            <w:r>
              <w:rPr>
                <w:rFonts w:hint="eastAsia" w:ascii="宋体" w:hAnsi="宋体" w:eastAsia="宋体" w:cs="宋体"/>
                <w:bCs/>
                <w:color w:val="000000" w:themeColor="text1"/>
                <w:sz w:val="24"/>
                <w:szCs w:val="24"/>
                <w:highlight w:val="none"/>
                <w14:textFill>
                  <w14:solidFill>
                    <w14:schemeClr w14:val="tx1"/>
                  </w14:solidFill>
                </w14:textFill>
              </w:rPr>
              <w:t>日历天</w:t>
            </w:r>
          </w:p>
          <w:p w14:paraId="67A89D52">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质量要求：</w:t>
            </w:r>
            <w:r>
              <w:rPr>
                <w:rFonts w:hint="eastAsia" w:ascii="宋体" w:hAnsi="宋体" w:eastAsia="宋体" w:cs="宋体"/>
                <w:bCs/>
                <w:color w:val="000000" w:themeColor="text1"/>
                <w:sz w:val="24"/>
                <w:szCs w:val="24"/>
                <w:highlight w:val="none"/>
                <w14:textFill>
                  <w14:solidFill>
                    <w14:schemeClr w14:val="tx1"/>
                  </w14:solidFill>
                </w14:textFill>
              </w:rPr>
              <w:t>工程一次验收合格率100%</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本工程交工验收阶段质量评定合格；竣工验收质量评定优良。</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308" w:type="dxa"/>
            <w:vAlign w:val="center"/>
          </w:tcPr>
          <w:p w14:paraId="00B9683C">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采购文件</w:t>
            </w:r>
          </w:p>
          <w:p w14:paraId="63E07B98">
            <w:pPr>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的澄清</w:t>
            </w:r>
          </w:p>
        </w:tc>
        <w:tc>
          <w:tcPr>
            <w:tcW w:w="6478" w:type="dxa"/>
            <w:vAlign w:val="center"/>
          </w:tcPr>
          <w:p w14:paraId="25C6BC7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可以书面形式或致电质疑，接收人：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白广涛</w:t>
            </w:r>
            <w:r>
              <w:rPr>
                <w:rFonts w:hint="eastAsia" w:ascii="宋体" w:hAnsi="宋体" w:eastAsia="宋体" w:cs="宋体"/>
                <w:bCs/>
                <w:color w:val="000000" w:themeColor="text1"/>
                <w:sz w:val="24"/>
                <w:szCs w:val="24"/>
                <w:highlight w:val="none"/>
                <w14:textFill>
                  <w14:solidFill>
                    <w14:schemeClr w14:val="tx1"/>
                  </w14:solidFill>
                </w14:textFill>
              </w:rPr>
              <w:t xml:space="preserve">      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15131192930</w:t>
            </w:r>
            <w:r>
              <w:rPr>
                <w:rFonts w:hint="eastAsia" w:ascii="宋体" w:hAnsi="宋体" w:eastAsia="宋体" w:cs="宋体"/>
                <w:bCs/>
                <w:color w:val="000000" w:themeColor="text1"/>
                <w:sz w:val="24"/>
                <w:szCs w:val="24"/>
                <w:highlight w:val="none"/>
                <w14:textFill>
                  <w14:solidFill>
                    <w14:schemeClr w14:val="tx1"/>
                  </w14:solidFill>
                </w14:textFill>
              </w:rPr>
              <w:t xml:space="preserve"> </w:t>
            </w:r>
          </w:p>
          <w:p w14:paraId="56E12D96">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澄清截止日期：</w:t>
            </w:r>
            <w:r>
              <w:rPr>
                <w:rFonts w:hint="eastAsia" w:ascii="宋体" w:hAnsi="宋体" w:cs="宋体"/>
                <w:bCs/>
                <w:color w:val="000000" w:themeColor="text1"/>
                <w:sz w:val="24"/>
                <w:szCs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szCs w:val="24"/>
                <w:highlight w:val="none"/>
                <w14:textFill>
                  <w14:solidFill>
                    <w14:schemeClr w14:val="tx1"/>
                  </w14:solidFill>
                </w14:textFill>
              </w:rPr>
              <w:t xml:space="preserve">年 </w:t>
            </w: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cs="宋体"/>
                <w:bCs/>
                <w:color w:val="000000" w:themeColor="text1"/>
                <w:sz w:val="24"/>
                <w:szCs w:val="24"/>
                <w:highlight w:val="none"/>
                <w:lang w:val="en-US" w:eastAsia="zh-CN"/>
                <w14:textFill>
                  <w14:solidFill>
                    <w14:schemeClr w14:val="tx1"/>
                  </w14:solidFill>
                </w14:textFill>
              </w:rPr>
              <w:t>18</w:t>
            </w:r>
            <w:r>
              <w:rPr>
                <w:rFonts w:hint="eastAsia" w:ascii="宋体" w:hAnsi="宋体" w:eastAsia="宋体" w:cs="宋体"/>
                <w:bCs/>
                <w:color w:val="000000" w:themeColor="text1"/>
                <w:sz w:val="24"/>
                <w:szCs w:val="24"/>
                <w:highlight w:val="none"/>
                <w14:textFill>
                  <w14:solidFill>
                    <w14:schemeClr w14:val="tx1"/>
                  </w14:solidFill>
                </w14:textFill>
              </w:rPr>
              <w:t>日</w:t>
            </w:r>
            <w:r>
              <w:rPr>
                <w:rFonts w:hint="eastAsia" w:ascii="宋体" w:hAnsi="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308" w:type="dxa"/>
            <w:vAlign w:val="center"/>
          </w:tcPr>
          <w:p w14:paraId="1DCDABEF">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采购文件的修改</w:t>
            </w:r>
          </w:p>
        </w:tc>
        <w:tc>
          <w:tcPr>
            <w:tcW w:w="6478" w:type="dxa"/>
            <w:vAlign w:val="center"/>
          </w:tcPr>
          <w:p w14:paraId="7649BC53">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采购人在响应文件递交截止日</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1天 </w:t>
            </w:r>
            <w:r>
              <w:rPr>
                <w:rFonts w:hint="eastAsia" w:ascii="宋体" w:hAnsi="宋体" w:eastAsia="宋体" w:cs="宋体"/>
                <w:bCs/>
                <w:color w:val="000000" w:themeColor="text1"/>
                <w:sz w:val="24"/>
                <w:szCs w:val="24"/>
                <w:highlight w:val="none"/>
                <w14:textFill>
                  <w14:solidFill>
                    <w14:schemeClr w14:val="tx1"/>
                  </w14:solidFill>
                </w14:textFill>
              </w:rPr>
              <w:t>前，可因任何原因，以“补充采购文件”形式对采购文件进行修改。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308" w:type="dxa"/>
            <w:vAlign w:val="center"/>
          </w:tcPr>
          <w:p w14:paraId="2F3937D4">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响应文件的份数</w:t>
            </w:r>
          </w:p>
        </w:tc>
        <w:tc>
          <w:tcPr>
            <w:tcW w:w="6478" w:type="dxa"/>
            <w:vAlign w:val="center"/>
          </w:tcPr>
          <w:p w14:paraId="411F98CE">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响应单位应按照采购文件要求编制响应文件。</w:t>
            </w:r>
          </w:p>
          <w:p w14:paraId="7435FA0A">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电子版响应文件要求：盖章签字响应文件完整扫描件（PDF格式，彩色，清晰度不低于200dpi）。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1308" w:type="dxa"/>
            <w:vAlign w:val="center"/>
          </w:tcPr>
          <w:p w14:paraId="561F2032">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响应文件的封面</w:t>
            </w:r>
          </w:p>
        </w:tc>
        <w:tc>
          <w:tcPr>
            <w:tcW w:w="6478" w:type="dxa"/>
            <w:vAlign w:val="center"/>
          </w:tcPr>
          <w:p w14:paraId="0322F9F5">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响应文件为A4大小，采用胶装方式装订；</w:t>
            </w:r>
          </w:p>
          <w:p w14:paraId="6FDBCCAC">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封面均按采购文件要求以黑体字标明工程名称；</w:t>
            </w:r>
          </w:p>
          <w:p w14:paraId="5E47C3D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封面内容、格式见“</w:t>
            </w:r>
            <w:r>
              <w:rPr>
                <w:rFonts w:hint="eastAsia" w:ascii="宋体" w:hAnsi="宋体" w:eastAsia="宋体" w:cs="宋体"/>
                <w:color w:val="000000" w:themeColor="text1"/>
                <w:sz w:val="24"/>
                <w:szCs w:val="24"/>
                <w:highlight w:val="none"/>
                <w14:textFill>
                  <w14:solidFill>
                    <w14:schemeClr w14:val="tx1"/>
                  </w14:solidFill>
                </w14:textFill>
              </w:rPr>
              <w:t>第六篇  响应文件格式”</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c>
          <w:tcPr>
            <w:tcW w:w="1308" w:type="dxa"/>
            <w:vAlign w:val="center"/>
          </w:tcPr>
          <w:p w14:paraId="5D5E11EF">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w:t>
            </w:r>
          </w:p>
          <w:p w14:paraId="7CE2D999">
            <w:pPr>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有效期</w:t>
            </w:r>
          </w:p>
        </w:tc>
        <w:tc>
          <w:tcPr>
            <w:tcW w:w="6478" w:type="dxa"/>
            <w:vAlign w:val="center"/>
          </w:tcPr>
          <w:p w14:paraId="25C2C70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自响应文件递交截止日后90日历天。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w:t>
            </w:r>
          </w:p>
        </w:tc>
        <w:tc>
          <w:tcPr>
            <w:tcW w:w="1308" w:type="dxa"/>
            <w:vAlign w:val="center"/>
          </w:tcPr>
          <w:p w14:paraId="6ED0ED15">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响应担保</w:t>
            </w:r>
          </w:p>
        </w:tc>
        <w:tc>
          <w:tcPr>
            <w:tcW w:w="6478" w:type="dxa"/>
            <w:vAlign w:val="center"/>
          </w:tcPr>
          <w:p w14:paraId="5B0E29A2">
            <w:pP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响应担保金额：</w:t>
            </w:r>
            <w:r>
              <w:rPr>
                <w:rFonts w:hint="eastAsia" w:ascii="宋体" w:hAnsi="宋体" w:eastAsia="宋体" w:cs="宋体"/>
                <w:bCs/>
                <w:color w:val="000000" w:themeColor="text1"/>
                <w:sz w:val="24"/>
                <w:szCs w:val="24"/>
                <w:highlight w:val="none"/>
                <w14:textFill>
                  <w14:solidFill>
                    <w14:schemeClr w14:val="tx1"/>
                  </w14:solidFill>
                </w14:textFill>
              </w:rPr>
              <w:t>小写：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100000元，</w:t>
            </w:r>
            <w:r>
              <w:rPr>
                <w:rFonts w:hint="eastAsia" w:ascii="宋体" w:hAnsi="宋体" w:eastAsia="宋体" w:cs="宋体"/>
                <w:bCs/>
                <w:color w:val="000000" w:themeColor="text1"/>
                <w:sz w:val="24"/>
                <w:szCs w:val="24"/>
                <w:highlight w:val="none"/>
                <w14:textFill>
                  <w14:solidFill>
                    <w14:schemeClr w14:val="tx1"/>
                  </w14:solidFill>
                </w14:textFill>
              </w:rPr>
              <w:t>大写：</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壹拾万圆整。</w:t>
            </w:r>
          </w:p>
          <w:p w14:paraId="4BB58853">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响应保证金，在上交响应文件之前电汇汇入下列账户</w:t>
            </w:r>
          </w:p>
          <w:p w14:paraId="0AB82116">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账户名称：中建路桥集团建设发展有限公司</w:t>
            </w:r>
          </w:p>
          <w:p w14:paraId="0740A485">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账    号：</w:t>
            </w:r>
            <w:r>
              <w:rPr>
                <w:rFonts w:hint="eastAsia" w:ascii="宋体" w:hAnsi="宋体" w:eastAsia="宋体" w:cs="宋体"/>
                <w:color w:val="000000" w:themeColor="text1"/>
                <w:sz w:val="24"/>
                <w:szCs w:val="24"/>
                <w:highlight w:val="none"/>
                <w14:textFill>
                  <w14:solidFill>
                    <w14:schemeClr w14:val="tx1"/>
                  </w14:solidFill>
                </w14:textFill>
              </w:rPr>
              <w:t xml:space="preserve"> 8111801012501322184</w:t>
            </w:r>
          </w:p>
          <w:p w14:paraId="76847474">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开户银行：</w:t>
            </w:r>
            <w:r>
              <w:rPr>
                <w:rFonts w:hint="eastAsia" w:ascii="宋体" w:hAnsi="宋体" w:eastAsia="宋体" w:cs="宋体"/>
                <w:color w:val="000000" w:themeColor="text1"/>
                <w:sz w:val="24"/>
                <w:szCs w:val="24"/>
                <w:highlight w:val="none"/>
                <w14:textFill>
                  <w14:solidFill>
                    <w14:schemeClr w14:val="tx1"/>
                  </w14:solidFill>
                </w14:textFill>
              </w:rPr>
              <w:t xml:space="preserve"> 中信银行石家庄建设北大街支行</w:t>
            </w:r>
          </w:p>
          <w:p w14:paraId="15FB114D">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重要说明：以响应单位基本账户汇入，请注明“</w:t>
            </w:r>
            <w:r>
              <w:rPr>
                <w:rFonts w:hint="eastAsia" w:ascii="宋体" w:hAnsi="宋体" w:cs="宋体"/>
                <w:bCs/>
                <w:color w:val="000000" w:themeColor="text1"/>
                <w:sz w:val="24"/>
                <w:szCs w:val="24"/>
                <w:highlight w:val="none"/>
                <w:lang w:val="en-US" w:eastAsia="zh-CN"/>
                <w14:textFill>
                  <w14:solidFill>
                    <w14:schemeClr w14:val="tx1"/>
                  </w14:solidFill>
                </w14:textFill>
              </w:rPr>
              <w:t>广西桂林</w:t>
            </w:r>
            <w:r>
              <w:rPr>
                <w:rFonts w:hint="eastAsia" w:ascii="宋体" w:hAnsi="宋体" w:eastAsia="宋体" w:cs="宋体"/>
                <w:bCs/>
                <w:color w:val="000000" w:themeColor="text1"/>
                <w:sz w:val="24"/>
                <w:szCs w:val="24"/>
                <w:highlight w:val="none"/>
                <w14:textFill>
                  <w14:solidFill>
                    <w14:schemeClr w14:val="tx1"/>
                  </w14:solidFill>
                </w14:textFill>
              </w:rPr>
              <w:t>项目响应保证金”。</w:t>
            </w:r>
          </w:p>
          <w:p w14:paraId="059D99BD">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响应单位也可自主选择采用电子保函方式</w:t>
            </w:r>
            <w:r>
              <w:rPr>
                <w:rFonts w:hint="eastAsia" w:ascii="宋体" w:hAnsi="宋体" w:cs="宋体"/>
                <w:bCs/>
                <w:color w:val="000000" w:themeColor="text1"/>
                <w:sz w:val="24"/>
                <w:szCs w:val="24"/>
                <w:highlight w:val="none"/>
                <w:lang w:val="en-US" w:eastAsia="zh-CN"/>
                <w14:textFill>
                  <w14:solidFill>
                    <w14:schemeClr w14:val="tx1"/>
                  </w14:solidFill>
                </w14:textFill>
              </w:rPr>
              <w:t>。</w:t>
            </w:r>
          </w:p>
          <w:p w14:paraId="066AC56E">
            <w:pP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12 </w:t>
            </w:r>
          </w:p>
        </w:tc>
        <w:tc>
          <w:tcPr>
            <w:tcW w:w="1308" w:type="dxa"/>
            <w:vAlign w:val="center"/>
          </w:tcPr>
          <w:p w14:paraId="5602FEF9">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采购控制价</w:t>
            </w:r>
          </w:p>
        </w:tc>
        <w:tc>
          <w:tcPr>
            <w:tcW w:w="6478" w:type="dxa"/>
            <w:vAlign w:val="center"/>
          </w:tcPr>
          <w:p w14:paraId="4BFC69A1">
            <w:pPr>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最高采购限价为</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1066.07万</w:t>
            </w:r>
            <w:r>
              <w:rPr>
                <w:rFonts w:hint="eastAsia" w:ascii="宋体" w:hAnsi="宋体" w:eastAsia="宋体" w:cs="宋体"/>
                <w:bCs/>
                <w:color w:val="000000" w:themeColor="text1"/>
                <w:sz w:val="24"/>
                <w:szCs w:val="24"/>
                <w:highlight w:val="none"/>
                <w14:textFill>
                  <w14:solidFill>
                    <w14:schemeClr w14:val="tx1"/>
                  </w14:solidFill>
                </w14:textFill>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w:t>
            </w:r>
          </w:p>
        </w:tc>
        <w:tc>
          <w:tcPr>
            <w:tcW w:w="1308" w:type="dxa"/>
            <w:vAlign w:val="center"/>
          </w:tcPr>
          <w:p w14:paraId="02F2EB0B">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响应截止</w:t>
            </w:r>
          </w:p>
          <w:p w14:paraId="3C2FB0E8">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时间</w:t>
            </w:r>
          </w:p>
        </w:tc>
        <w:tc>
          <w:tcPr>
            <w:tcW w:w="6478" w:type="dxa"/>
            <w:vAlign w:val="center"/>
          </w:tcPr>
          <w:p w14:paraId="0CA278B2">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响应文件递交截止时间：</w:t>
            </w:r>
            <w:r>
              <w:rPr>
                <w:rFonts w:hint="eastAsia" w:ascii="宋体" w:hAnsi="宋体" w:cs="宋体"/>
                <w:bCs/>
                <w:color w:val="000000" w:themeColor="text1"/>
                <w:sz w:val="24"/>
                <w:szCs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cs="宋体"/>
                <w:bCs/>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bCs/>
                <w:color w:val="000000" w:themeColor="text1"/>
                <w:sz w:val="24"/>
                <w:szCs w:val="24"/>
                <w:highlight w:val="none"/>
                <w14:textFill>
                  <w14:solidFill>
                    <w14:schemeClr w14:val="tx1"/>
                  </w14:solidFill>
                </w14:textFill>
              </w:rPr>
              <w:t>日</w:t>
            </w:r>
            <w:r>
              <w:rPr>
                <w:rFonts w:hint="eastAsia" w:ascii="宋体" w:hAnsi="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时</w:t>
            </w:r>
            <w:r>
              <w:rPr>
                <w:rFonts w:hint="eastAsia" w:ascii="宋体" w:hAnsi="宋体" w:cs="宋体"/>
                <w:bCs/>
                <w:color w:val="000000" w:themeColor="text1"/>
                <w:sz w:val="24"/>
                <w:szCs w:val="24"/>
                <w:highlight w:val="none"/>
                <w:lang w:val="en-US" w:eastAsia="zh-CN"/>
                <w14:textFill>
                  <w14:solidFill>
                    <w14:schemeClr w14:val="tx1"/>
                  </w14:solidFill>
                </w14:textFill>
              </w:rPr>
              <w:t>30分</w:t>
            </w:r>
            <w:r>
              <w:rPr>
                <w:rFonts w:hint="eastAsia" w:ascii="宋体" w:hAnsi="宋体" w:eastAsia="宋体" w:cs="宋体"/>
                <w:bCs/>
                <w:color w:val="000000" w:themeColor="text1"/>
                <w:sz w:val="24"/>
                <w:szCs w:val="24"/>
                <w:highlight w:val="none"/>
                <w14:textFill>
                  <w14:solidFill>
                    <w14:schemeClr w14:val="tx1"/>
                  </w14:solidFill>
                </w14:textFill>
              </w:rPr>
              <w:t>；</w:t>
            </w:r>
          </w:p>
          <w:p w14:paraId="4FFD08EC">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响应文件递交方式：见下方开启响应文件的通知。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w:t>
            </w:r>
          </w:p>
        </w:tc>
        <w:tc>
          <w:tcPr>
            <w:tcW w:w="1308" w:type="dxa"/>
            <w:vAlign w:val="center"/>
          </w:tcPr>
          <w:p w14:paraId="206C61BA">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开启响应文件</w:t>
            </w:r>
          </w:p>
        </w:tc>
        <w:tc>
          <w:tcPr>
            <w:tcW w:w="6478" w:type="dxa"/>
            <w:vAlign w:val="center"/>
          </w:tcPr>
          <w:p w14:paraId="78EDD2BE">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开启响应文件时间：</w:t>
            </w:r>
            <w:r>
              <w:rPr>
                <w:rFonts w:hint="eastAsia" w:ascii="宋体" w:hAnsi="宋体" w:cs="宋体"/>
                <w:bCs/>
                <w:color w:val="000000" w:themeColor="text1"/>
                <w:sz w:val="24"/>
                <w:szCs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cs="宋体"/>
                <w:bCs/>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bCs/>
                <w:color w:val="000000" w:themeColor="text1"/>
                <w:sz w:val="24"/>
                <w:szCs w:val="24"/>
                <w:highlight w:val="none"/>
                <w14:textFill>
                  <w14:solidFill>
                    <w14:schemeClr w14:val="tx1"/>
                  </w14:solidFill>
                </w14:textFill>
              </w:rPr>
              <w:t>日</w:t>
            </w:r>
            <w:r>
              <w:rPr>
                <w:rFonts w:hint="eastAsia" w:ascii="宋体" w:hAnsi="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时</w:t>
            </w:r>
            <w:r>
              <w:rPr>
                <w:rFonts w:hint="eastAsia" w:ascii="宋体" w:hAnsi="宋体" w:cs="宋体"/>
                <w:bCs/>
                <w:color w:val="000000" w:themeColor="text1"/>
                <w:sz w:val="24"/>
                <w:szCs w:val="24"/>
                <w:highlight w:val="none"/>
                <w:lang w:val="en-US" w:eastAsia="zh-CN"/>
                <w14:textFill>
                  <w14:solidFill>
                    <w14:schemeClr w14:val="tx1"/>
                  </w14:solidFill>
                </w14:textFill>
              </w:rPr>
              <w:t>30分</w:t>
            </w:r>
            <w:r>
              <w:rPr>
                <w:rFonts w:hint="eastAsia" w:ascii="宋体" w:hAnsi="宋体" w:eastAsia="宋体" w:cs="宋体"/>
                <w:bCs/>
                <w:color w:val="000000" w:themeColor="text1"/>
                <w:sz w:val="24"/>
                <w:szCs w:val="24"/>
                <w:highlight w:val="none"/>
                <w14:textFill>
                  <w14:solidFill>
                    <w14:schemeClr w14:val="tx1"/>
                  </w14:solidFill>
                </w14:textFill>
              </w:rPr>
              <w:t>；</w:t>
            </w:r>
          </w:p>
          <w:p w14:paraId="56BAA960">
            <w:pPr>
              <w:contextualSpacing/>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w:t>
            </w:r>
          </w:p>
        </w:tc>
        <w:tc>
          <w:tcPr>
            <w:tcW w:w="1308" w:type="dxa"/>
            <w:vAlign w:val="center"/>
          </w:tcPr>
          <w:p w14:paraId="7BDB198E">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评审响应文件</w:t>
            </w:r>
          </w:p>
        </w:tc>
        <w:tc>
          <w:tcPr>
            <w:tcW w:w="6478" w:type="dxa"/>
            <w:vAlign w:val="center"/>
          </w:tcPr>
          <w:p w14:paraId="1F70693B">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综合评分法，其中商务部分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分，技术部分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bCs/>
                <w:color w:val="000000" w:themeColor="text1"/>
                <w:sz w:val="24"/>
                <w:szCs w:val="24"/>
                <w:highlight w:val="none"/>
                <w14:textFill>
                  <w14:solidFill>
                    <w14:schemeClr w14:val="tx1"/>
                  </w14:solidFill>
                </w14:textFill>
              </w:rPr>
              <w:t>分，经济部分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60</w:t>
            </w:r>
            <w:r>
              <w:rPr>
                <w:rFonts w:hint="eastAsia" w:ascii="宋体" w:hAnsi="宋体" w:eastAsia="宋体" w:cs="宋体"/>
                <w:bCs/>
                <w:color w:val="000000" w:themeColor="text1"/>
                <w:sz w:val="24"/>
                <w:szCs w:val="24"/>
                <w:highlight w:val="none"/>
                <w14:textFill>
                  <w14:solidFill>
                    <w14:schemeClr w14:val="tx1"/>
                  </w14:solidFill>
                </w14:textFill>
              </w:rPr>
              <w:t>分，具体详见评审办法。</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w:t>
            </w:r>
          </w:p>
        </w:tc>
        <w:tc>
          <w:tcPr>
            <w:tcW w:w="1308" w:type="dxa"/>
            <w:vAlign w:val="center"/>
          </w:tcPr>
          <w:p w14:paraId="401D4718">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履约担保</w:t>
            </w:r>
          </w:p>
        </w:tc>
        <w:tc>
          <w:tcPr>
            <w:tcW w:w="6478" w:type="dxa"/>
            <w:vAlign w:val="center"/>
          </w:tcPr>
          <w:p w14:paraId="2DCBE22B">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履约担保以现金支付，保证金额度：小写：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200000元</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大写：</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贰拾万圆整</w:t>
            </w:r>
            <w:r>
              <w:rPr>
                <w:rFonts w:hint="eastAsia" w:ascii="宋体" w:hAnsi="宋体" w:eastAsia="宋体" w:cs="宋体"/>
                <w:bCs/>
                <w:color w:val="000000" w:themeColor="text1"/>
                <w:sz w:val="24"/>
                <w:szCs w:val="24"/>
                <w:highlight w:val="none"/>
                <w14:textFill>
                  <w14:solidFill>
                    <w14:schemeClr w14:val="tx1"/>
                  </w14:solidFill>
                </w14:textFill>
              </w:rPr>
              <w:t>；</w:t>
            </w:r>
          </w:p>
          <w:p w14:paraId="1BCE9787">
            <w:pPr>
              <w:pStyle w:val="8"/>
              <w:ind w:firstLine="0" w:firstLineChars="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履约保证金提交截止时间：签订合同时。</w:t>
            </w:r>
          </w:p>
          <w:p w14:paraId="675C66BC">
            <w:pPr>
              <w:pStyle w:val="8"/>
              <w:ind w:firstLine="0" w:firstLineChars="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如已支付响应保证金的，成交后响应保证金转为履约保证金。</w:t>
            </w:r>
          </w:p>
          <w:p w14:paraId="75CA0D59">
            <w:pPr>
              <w:pStyle w:val="8"/>
              <w:ind w:firstLine="0" w:firstLineChars="0"/>
              <w:rPr>
                <w:rFonts w:hint="default"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hAnsi="宋体"/>
                <w:b/>
                <w:color w:val="000000" w:themeColor="text1"/>
                <w:szCs w:val="21"/>
                <w:highlight w:val="none"/>
                <w:lang w:val="en-US" w:eastAsia="zh-CN"/>
                <w14:textFill>
                  <w14:solidFill>
                    <w14:schemeClr w14:val="tx1"/>
                  </w14:solidFill>
                </w14:textFill>
              </w:rPr>
              <w:t>不足部分在月度结算中暂扣。</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w:t>
            </w:r>
          </w:p>
        </w:tc>
        <w:tc>
          <w:tcPr>
            <w:tcW w:w="1308" w:type="dxa"/>
            <w:vAlign w:val="center"/>
          </w:tcPr>
          <w:p w14:paraId="76E4A6A5">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合同协议书的签署</w:t>
            </w:r>
          </w:p>
        </w:tc>
        <w:tc>
          <w:tcPr>
            <w:tcW w:w="6478" w:type="dxa"/>
            <w:vAlign w:val="center"/>
          </w:tcPr>
          <w:p w14:paraId="3CD9FA6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合同协议书的签署期限：签发成交通知书后</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30 </w:t>
            </w:r>
            <w:r>
              <w:rPr>
                <w:rFonts w:hint="eastAsia" w:ascii="宋体" w:hAnsi="宋体" w:eastAsia="宋体" w:cs="宋体"/>
                <w:bCs/>
                <w:color w:val="000000" w:themeColor="text1"/>
                <w:sz w:val="24"/>
                <w:szCs w:val="24"/>
                <w:highlight w:val="none"/>
                <w14:textFill>
                  <w14:solidFill>
                    <w14:schemeClr w14:val="tx1"/>
                  </w14:solidFill>
                </w14:textFill>
              </w:rPr>
              <w:t>天内。</w:t>
            </w:r>
          </w:p>
        </w:tc>
      </w:tr>
    </w:tbl>
    <w:p w14:paraId="0D4D90F0">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column"/>
      </w:r>
    </w:p>
    <w:p w14:paraId="73BDF737">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34" w:name="_Toc54280782"/>
      <w:bookmarkStart w:id="35" w:name="_Toc54280356"/>
      <w:bookmarkStart w:id="36" w:name="_Toc53918798"/>
      <w:bookmarkStart w:id="37" w:name="_Toc53948748"/>
      <w:bookmarkStart w:id="38" w:name="_Toc54279930"/>
      <w:bookmarkStart w:id="39" w:name="_Toc53945772"/>
      <w:bookmarkStart w:id="40" w:name="_Toc53948327"/>
      <w:bookmarkStart w:id="41" w:name="_Toc54281208"/>
      <w:bookmarkStart w:id="42" w:name="_Toc53939571"/>
      <w:bookmarkStart w:id="43" w:name="_Toc53936507"/>
      <w:bookmarkStart w:id="44" w:name="_Toc53949169"/>
      <w:bookmarkStart w:id="45" w:name="_Toc284135588"/>
      <w:bookmarkStart w:id="46" w:name="_Toc145499729"/>
      <w:r>
        <w:rPr>
          <w:rStyle w:val="46"/>
          <w:rFonts w:ascii="Times New Roman" w:hAnsi="宋体" w:eastAsia="宋体"/>
          <w:b/>
          <w:bCs w:val="0"/>
          <w:color w:val="000000" w:themeColor="text1"/>
          <w:sz w:val="28"/>
          <w:szCs w:val="28"/>
          <w:highlight w:val="none"/>
          <w14:textFill>
            <w14:solidFill>
              <w14:schemeClr w14:val="tx1"/>
            </w14:solidFill>
          </w14:textFill>
        </w:rPr>
        <w:t>第一章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总</w:t>
      </w:r>
      <w:bookmarkStart w:id="47" w:name="_Hlt15790948"/>
      <w:r>
        <w:rPr>
          <w:rStyle w:val="46"/>
          <w:rFonts w:ascii="Times New Roman" w:hAnsi="宋体" w:eastAsia="宋体"/>
          <w:b/>
          <w:bCs w:val="0"/>
          <w:color w:val="000000" w:themeColor="text1"/>
          <w:sz w:val="28"/>
          <w:szCs w:val="28"/>
          <w:highlight w:val="none"/>
          <w14:textFill>
            <w14:solidFill>
              <w14:schemeClr w14:val="tx1"/>
            </w14:solidFill>
          </w14:textFill>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8" w:name="_Toc53948328"/>
      <w:bookmarkStart w:id="49" w:name="_Toc53949170"/>
      <w:bookmarkStart w:id="50" w:name="_Toc54279931"/>
      <w:bookmarkStart w:id="51" w:name="_Toc53948749"/>
      <w:bookmarkStart w:id="52" w:name="_Toc54280357"/>
      <w:bookmarkStart w:id="53" w:name="_Toc53945773"/>
      <w:bookmarkStart w:id="54" w:name="_Toc53939572"/>
      <w:bookmarkStart w:id="55" w:name="_Toc53918799"/>
      <w:bookmarkStart w:id="56" w:name="_Toc54281209"/>
      <w:bookmarkStart w:id="57" w:name="_Toc145499730"/>
      <w:bookmarkStart w:id="58" w:name="_Toc54280783"/>
      <w:bookmarkStart w:id="59" w:name="_Toc5393650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1.项目概述</w:t>
      </w:r>
      <w:bookmarkEnd w:id="48"/>
      <w:bookmarkEnd w:id="49"/>
      <w:bookmarkEnd w:id="50"/>
      <w:bookmarkEnd w:id="51"/>
      <w:bookmarkEnd w:id="52"/>
      <w:bookmarkEnd w:id="53"/>
      <w:bookmarkEnd w:id="54"/>
      <w:bookmarkEnd w:id="55"/>
      <w:bookmarkEnd w:id="56"/>
      <w:bookmarkEnd w:id="57"/>
      <w:bookmarkEnd w:id="58"/>
      <w:bookmarkEnd w:id="59"/>
    </w:p>
    <w:p w14:paraId="590A02BE">
      <w:pPr>
        <w:autoSpaceDE w:val="0"/>
        <w:autoSpaceDN w:val="0"/>
        <w:spacing w:line="360" w:lineRule="auto"/>
        <w:jc w:val="left"/>
        <w:rPr>
          <w:color w:val="000000" w:themeColor="text1"/>
          <w:szCs w:val="21"/>
          <w:highlight w:val="none"/>
          <w14:textFill>
            <w14:solidFill>
              <w14:schemeClr w14:val="tx1"/>
            </w14:solidFill>
          </w14:textFill>
        </w:rPr>
      </w:pPr>
      <w:bookmarkStart w:id="60" w:name="_Toc145499731"/>
      <w:bookmarkStart w:id="61" w:name="_Toc53936509"/>
      <w:bookmarkStart w:id="62" w:name="_Toc53948329"/>
      <w:bookmarkStart w:id="63" w:name="_Toc54280358"/>
      <w:bookmarkStart w:id="64" w:name="_Toc54280784"/>
      <w:bookmarkStart w:id="65" w:name="_Toc53918800"/>
      <w:bookmarkStart w:id="66" w:name="_Toc53948750"/>
      <w:bookmarkStart w:id="67" w:name="_Toc54279932"/>
      <w:bookmarkStart w:id="68" w:name="_Toc53945774"/>
      <w:bookmarkStart w:id="69" w:name="_Toc54281210"/>
      <w:bookmarkStart w:id="70" w:name="_Toc53949171"/>
      <w:bookmarkStart w:id="71" w:name="_Toc53939573"/>
      <w:r>
        <w:rPr>
          <w:rFonts w:hint="eastAsia"/>
          <w:color w:val="000000" w:themeColor="text1"/>
          <w:szCs w:val="21"/>
          <w:highlight w:val="none"/>
          <w14:textFill>
            <w14:solidFill>
              <w14:schemeClr w14:val="tx1"/>
            </w14:solidFill>
          </w14:textFill>
        </w:rPr>
        <w:t>1.1项目名称、地点及概况：</w:t>
      </w:r>
      <w:r>
        <w:rPr>
          <w:rFonts w:hint="eastAsia"/>
          <w:b w:val="0"/>
          <w:bCs/>
          <w:color w:val="000000" w:themeColor="text1"/>
          <w:sz w:val="24"/>
          <w:szCs w:val="24"/>
          <w:highlight w:val="none"/>
          <w:u w:val="none"/>
          <w14:textFill>
            <w14:solidFill>
              <w14:schemeClr w14:val="tx1"/>
            </w14:solidFill>
          </w14:textFill>
        </w:rPr>
        <w:t>路面</w:t>
      </w:r>
      <w:r>
        <w:rPr>
          <w:rFonts w:hint="eastAsia"/>
          <w:b w:val="0"/>
          <w:bCs/>
          <w:color w:val="000000" w:themeColor="text1"/>
          <w:sz w:val="24"/>
          <w:szCs w:val="24"/>
          <w:highlight w:val="none"/>
          <w:u w:val="none"/>
          <w:lang w:val="en-US" w:eastAsia="zh-CN"/>
          <w14:textFill>
            <w14:solidFill>
              <w14:schemeClr w14:val="tx1"/>
            </w14:solidFill>
          </w14:textFill>
        </w:rPr>
        <w:t>工程位于桂林市永福县</w:t>
      </w:r>
      <w:r>
        <w:rPr>
          <w:rFonts w:hint="eastAsia"/>
          <w:b w:val="0"/>
          <w:bCs/>
          <w:color w:val="000000" w:themeColor="text1"/>
          <w:sz w:val="24"/>
          <w:szCs w:val="24"/>
          <w:highlight w:val="none"/>
          <w:u w:val="none"/>
          <w:lang w:eastAsia="zh-CN"/>
          <w14:textFill>
            <w14:solidFill>
              <w14:schemeClr w14:val="tx1"/>
            </w14:solidFill>
          </w14:textFill>
        </w:rPr>
        <w:t>，</w:t>
      </w:r>
      <w:r>
        <w:rPr>
          <w:rFonts w:hint="eastAsia"/>
          <w:b w:val="0"/>
          <w:bCs/>
          <w:color w:val="000000" w:themeColor="text1"/>
          <w:sz w:val="24"/>
          <w:szCs w:val="24"/>
          <w:highlight w:val="none"/>
          <w:u w:val="none"/>
          <w:lang w:val="en-US" w:eastAsia="zh-CN"/>
          <w14:textFill>
            <w14:solidFill>
              <w14:schemeClr w14:val="tx1"/>
            </w14:solidFill>
          </w14:textFill>
        </w:rPr>
        <w:t>其中</w:t>
      </w:r>
      <w:r>
        <w:rPr>
          <w:rFonts w:hint="eastAsia" w:ascii="宋体" w:hAnsi="宋体" w:cs="宋体"/>
          <w:color w:val="000000" w:themeColor="text1"/>
          <w:kern w:val="0"/>
          <w:sz w:val="24"/>
          <w:highlight w:val="none"/>
          <w:lang w:val="en-US" w:eastAsia="zh-CN"/>
          <w14:textFill>
            <w14:solidFill>
              <w14:schemeClr w14:val="tx1"/>
            </w14:solidFill>
          </w14:textFill>
        </w:rPr>
        <w:t>路基15.39km、桥梁10.44km、隧道20.5km、服务区1个、枢纽1个。</w:t>
      </w:r>
    </w:p>
    <w:p w14:paraId="0D13798D">
      <w:pPr>
        <w:spacing w:line="360" w:lineRule="auto"/>
        <w:ind w:left="371" w:leftChars="151" w:hanging="54" w:hangingChars="2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采购分包工程名称：</w:t>
      </w:r>
      <w:r>
        <w:rPr>
          <w:rFonts w:hint="eastAsia" w:hAnsi="宋体"/>
          <w:bCs/>
          <w:color w:val="000000" w:themeColor="text1"/>
          <w:szCs w:val="21"/>
          <w:highlight w:val="none"/>
          <w14:textFill>
            <w14:solidFill>
              <w14:schemeClr w14:val="tx1"/>
            </w14:solidFill>
          </w14:textFill>
        </w:rPr>
        <w:t>柔性抗裂封层（四同步）撒布</w:t>
      </w:r>
      <w:r>
        <w:rPr>
          <w:rFonts w:hint="eastAsia" w:hAnsi="宋体"/>
          <w:bCs/>
          <w:color w:val="000000" w:themeColor="text1"/>
          <w:szCs w:val="21"/>
          <w:highlight w:val="none"/>
          <w:lang w:val="en-US" w:eastAsia="zh-CN"/>
          <w14:textFill>
            <w14:solidFill>
              <w14:schemeClr w14:val="tx1"/>
            </w14:solidFill>
          </w14:textFill>
        </w:rPr>
        <w:t>。</w:t>
      </w:r>
    </w:p>
    <w:p w14:paraId="77A1A6A9">
      <w:pPr>
        <w:spacing w:line="360" w:lineRule="auto"/>
        <w:ind w:left="371" w:leftChars="1" w:hanging="369" w:hangingChars="17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1.2采购人信息参见</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相应单位</w:t>
      </w:r>
      <w:r>
        <w:rPr>
          <w:color w:val="000000" w:themeColor="text1"/>
          <w:szCs w:val="21"/>
          <w:highlight w:val="none"/>
          <w14:textFill>
            <w14:solidFill>
              <w14:schemeClr w14:val="tx1"/>
            </w14:solidFill>
          </w14:textFill>
        </w:rPr>
        <w:t>须知前附表》</w:t>
      </w:r>
      <w:r>
        <w:rPr>
          <w:rFonts w:hint="eastAsia"/>
          <w:color w:val="000000" w:themeColor="text1"/>
          <w:szCs w:val="21"/>
          <w:highlight w:val="none"/>
          <w14:textFill>
            <w14:solidFill>
              <w14:schemeClr w14:val="tx1"/>
            </w14:solidFill>
          </w14:textFill>
        </w:rPr>
        <w:t>第2项。</w:t>
      </w:r>
    </w:p>
    <w:bookmarkEnd w:id="60"/>
    <w:bookmarkEnd w:id="61"/>
    <w:bookmarkEnd w:id="62"/>
    <w:bookmarkEnd w:id="63"/>
    <w:bookmarkEnd w:id="64"/>
    <w:bookmarkEnd w:id="65"/>
    <w:bookmarkEnd w:id="66"/>
    <w:bookmarkEnd w:id="67"/>
    <w:bookmarkEnd w:id="68"/>
    <w:bookmarkEnd w:id="69"/>
    <w:bookmarkEnd w:id="70"/>
    <w:bookmarkEnd w:id="71"/>
    <w:p w14:paraId="0F83968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72" w:name="_Toc54280785"/>
      <w:bookmarkStart w:id="73" w:name="_Toc53949172"/>
      <w:bookmarkStart w:id="74" w:name="_Toc54280359"/>
      <w:bookmarkStart w:id="75" w:name="_Toc53948751"/>
      <w:bookmarkStart w:id="76" w:name="_Toc54279933"/>
      <w:bookmarkStart w:id="77" w:name="_Toc53936510"/>
      <w:bookmarkStart w:id="78" w:name="_Toc145499732"/>
      <w:bookmarkStart w:id="79" w:name="_Toc53948330"/>
      <w:bookmarkStart w:id="80" w:name="_Toc54281211"/>
      <w:bookmarkStart w:id="81" w:name="_Toc53939574"/>
      <w:bookmarkStart w:id="82" w:name="_Toc53918801"/>
      <w:bookmarkStart w:id="83" w:name="_Toc5394577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.响应单位的合格条件</w:t>
      </w:r>
      <w:bookmarkEnd w:id="72"/>
      <w:bookmarkEnd w:id="73"/>
      <w:bookmarkEnd w:id="74"/>
      <w:bookmarkEnd w:id="75"/>
      <w:bookmarkEnd w:id="76"/>
      <w:bookmarkEnd w:id="77"/>
      <w:bookmarkEnd w:id="78"/>
      <w:bookmarkEnd w:id="79"/>
      <w:bookmarkEnd w:id="80"/>
      <w:bookmarkEnd w:id="81"/>
      <w:bookmarkEnd w:id="82"/>
      <w:bookmarkEnd w:id="83"/>
    </w:p>
    <w:p w14:paraId="4631CF78">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2.1响应单位应具备的合格条件：</w:t>
      </w:r>
    </w:p>
    <w:p w14:paraId="7FF10B0D">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2.1.1合格响应单位应是具有独立法人资格，能够自主经营、独立核算，持有建筑施工企业安全生产许可证、且在</w:t>
      </w:r>
      <w:r>
        <w:rPr>
          <w:rFonts w:hint="eastAsia"/>
          <w:color w:val="000000" w:themeColor="text1"/>
          <w:szCs w:val="21"/>
          <w:highlight w:val="none"/>
          <w14:textFill>
            <w14:solidFill>
              <w14:schemeClr w14:val="tx1"/>
            </w14:solidFill>
          </w14:textFill>
        </w:rPr>
        <w:t>采购活动</w:t>
      </w:r>
      <w:r>
        <w:rPr>
          <w:color w:val="000000" w:themeColor="text1"/>
          <w:szCs w:val="21"/>
          <w:highlight w:val="none"/>
          <w14:textFill>
            <w14:solidFill>
              <w14:schemeClr w14:val="tx1"/>
            </w14:solidFill>
          </w14:textFill>
        </w:rPr>
        <w:t>期间（成交通知书签发之前）未被暂扣；</w:t>
      </w:r>
    </w:p>
    <w:p w14:paraId="4D0D52CE">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2.1.2应具备下列施工资质之一：</w:t>
      </w:r>
    </w:p>
    <w:p w14:paraId="73DF3AD1">
      <w:pPr>
        <w:widowControl/>
        <w:spacing w:line="360" w:lineRule="auto"/>
        <w:ind w:left="1675" w:leftChars="492" w:hanging="642" w:hangingChars="30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2.1.2.1</w:t>
      </w:r>
      <w:r>
        <w:rPr>
          <w:rFonts w:hint="eastAsia"/>
          <w:color w:val="000000" w:themeColor="text1"/>
          <w:szCs w:val="21"/>
          <w:highlight w:val="none"/>
          <w14:textFill>
            <w14:solidFill>
              <w14:schemeClr w14:val="tx1"/>
            </w14:solidFill>
          </w14:textFill>
        </w:rPr>
        <w:t>劳务分包资质</w:t>
      </w:r>
      <w:r>
        <w:rPr>
          <w:color w:val="000000" w:themeColor="text1"/>
          <w:szCs w:val="21"/>
          <w:highlight w:val="none"/>
          <w14:textFill>
            <w14:solidFill>
              <w14:schemeClr w14:val="tx1"/>
            </w14:solidFill>
          </w14:textFill>
        </w:rPr>
        <w:t>；</w:t>
      </w:r>
    </w:p>
    <w:p w14:paraId="1DDB70C6">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2.1.3</w:t>
      </w:r>
      <w:r>
        <w:rPr>
          <w:color w:val="000000" w:themeColor="text1"/>
          <w:szCs w:val="21"/>
          <w:highlight w:val="none"/>
          <w14:textFill>
            <w14:solidFill>
              <w14:schemeClr w14:val="tx1"/>
            </w14:solidFill>
          </w14:textFill>
        </w:rPr>
        <w:t>且</w:t>
      </w:r>
      <w:r>
        <w:rPr>
          <w:rFonts w:hint="eastAsia"/>
          <w:color w:val="000000" w:themeColor="text1"/>
          <w:szCs w:val="21"/>
          <w:highlight w:val="none"/>
          <w14:textFill>
            <w14:solidFill>
              <w14:schemeClr w14:val="tx1"/>
            </w14:solidFill>
          </w14:textFill>
        </w:rPr>
        <w:t>近5年内具备</w:t>
      </w:r>
      <w:r>
        <w:rPr>
          <w:rFonts w:hint="eastAsia"/>
          <w:color w:val="000000" w:themeColor="text1"/>
          <w:szCs w:val="21"/>
          <w:highlight w:val="none"/>
          <w:lang w:val="en-US" w:eastAsia="zh-CN"/>
          <w14:textFill>
            <w14:solidFill>
              <w14:schemeClr w14:val="tx1"/>
            </w14:solidFill>
          </w14:textFill>
        </w:rPr>
        <w:t>1项以上路面施工业绩</w:t>
      </w:r>
      <w:r>
        <w:rPr>
          <w:color w:val="000000" w:themeColor="text1"/>
          <w:szCs w:val="21"/>
          <w:highlight w:val="none"/>
          <w14:textFill>
            <w14:solidFill>
              <w14:schemeClr w14:val="tx1"/>
            </w14:solidFill>
          </w14:textFill>
        </w:rPr>
        <w:t>；</w:t>
      </w:r>
    </w:p>
    <w:p w14:paraId="256BBDB2">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2.1.4拟派项目</w:t>
      </w:r>
      <w:r>
        <w:rPr>
          <w:rFonts w:hint="eastAsia"/>
          <w:color w:val="000000" w:themeColor="text1"/>
          <w:szCs w:val="21"/>
          <w:highlight w:val="none"/>
          <w14:textFill>
            <w14:solidFill>
              <w14:schemeClr w14:val="tx1"/>
            </w14:solidFill>
          </w14:textFill>
        </w:rPr>
        <w:t>负责人需具备符合当地要求的相应证书，且在采购活动期间（成交通知书签发之前）未发生被有关部门暂扣情况；</w:t>
      </w:r>
      <w:r>
        <w:rPr>
          <w:color w:val="000000" w:themeColor="text1"/>
          <w:szCs w:val="21"/>
          <w:highlight w:val="none"/>
          <w14:textFill>
            <w14:solidFill>
              <w14:schemeClr w14:val="tx1"/>
            </w14:solidFill>
          </w14:textFill>
        </w:rPr>
        <w:t xml:space="preserve"> </w:t>
      </w:r>
    </w:p>
    <w:p w14:paraId="315927DD">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2.1.5</w:t>
      </w:r>
      <w:r>
        <w:rPr>
          <w:rFonts w:hint="eastAsia"/>
          <w:color w:val="000000" w:themeColor="text1"/>
          <w:szCs w:val="21"/>
          <w:highlight w:val="none"/>
          <w14:textFill>
            <w14:solidFill>
              <w14:schemeClr w14:val="tx1"/>
            </w14:solidFill>
          </w14:textFill>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2.1.6响应单位在最近3年内没有骗取中标（采购成交）和严重违约及重大工程质量事故。</w:t>
      </w:r>
    </w:p>
    <w:p w14:paraId="731DE54F">
      <w:pPr>
        <w:widowControl/>
        <w:spacing w:line="360" w:lineRule="auto"/>
        <w:ind w:left="489" w:leftChars="23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2.1.7</w:t>
      </w:r>
      <w:r>
        <w:rPr>
          <w:rFonts w:hint="eastAsia"/>
          <w:color w:val="000000" w:themeColor="text1"/>
          <w:szCs w:val="21"/>
          <w:highlight w:val="none"/>
          <w14:textFill>
            <w14:solidFill>
              <w14:schemeClr w14:val="tx1"/>
            </w14:solidFill>
          </w14:textFill>
        </w:rPr>
        <w:t>响应单位需在中建路桥集团合格分供商名录中，未在中建系统不合格（含不良行为）名册中。</w:t>
      </w:r>
    </w:p>
    <w:p w14:paraId="5CF2FC70">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2.2本工程采购是并被认为其具有2.1款中所规定的合格条件，且按</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文件的要求如实填报了一切必要的材料。</w:t>
      </w:r>
    </w:p>
    <w:p w14:paraId="70CB2E86">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2.3响应单位应真实、完整地填报响应文件。如响应单位刻意隐瞒所报资料的真实性或采购活动期间在施项目发生重大质量或安全事故，采购人将保留取消其</w:t>
      </w:r>
      <w:r>
        <w:rPr>
          <w:rFonts w:hint="eastAsia"/>
          <w:color w:val="000000" w:themeColor="text1"/>
          <w:szCs w:val="21"/>
          <w:highlight w:val="none"/>
          <w14:textFill>
            <w14:solidFill>
              <w14:schemeClr w14:val="tx1"/>
            </w14:solidFill>
          </w14:textFill>
        </w:rPr>
        <w:t>响应/成交</w:t>
      </w:r>
      <w:r>
        <w:rPr>
          <w:color w:val="000000" w:themeColor="text1"/>
          <w:szCs w:val="21"/>
          <w:highlight w:val="none"/>
          <w14:textFill>
            <w14:solidFill>
              <w14:schemeClr w14:val="tx1"/>
            </w14:solidFill>
          </w14:textFill>
        </w:rPr>
        <w:t>资格的权力。</w:t>
      </w:r>
    </w:p>
    <w:p w14:paraId="3DC4C2B7">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2.4响应单位应慎重选择和填报拟投入人员，确保他们满足采购人的要求，并保证一旦</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能够按时进场。</w:t>
      </w:r>
      <w:r>
        <w:rPr>
          <w:rFonts w:hint="eastAsia"/>
          <w:color w:val="000000" w:themeColor="text1"/>
          <w:szCs w:val="21"/>
          <w:highlight w:val="none"/>
          <w14:textFill>
            <w14:solidFill>
              <w14:schemeClr w14:val="tx1"/>
            </w14:solidFill>
          </w14:textFill>
        </w:rPr>
        <w:t>合同签订后，若</w:t>
      </w:r>
      <w:r>
        <w:rPr>
          <w:color w:val="000000" w:themeColor="text1"/>
          <w:szCs w:val="21"/>
          <w:highlight w:val="none"/>
          <w14:textFill>
            <w14:solidFill>
              <w14:schemeClr w14:val="tx1"/>
            </w14:solidFill>
          </w14:textFill>
        </w:rPr>
        <w:t>非采购人主动要求，响应单位自行更换进场人员的，</w:t>
      </w:r>
      <w:r>
        <w:rPr>
          <w:rFonts w:hint="eastAsia"/>
          <w:color w:val="000000" w:themeColor="text1"/>
          <w:szCs w:val="21"/>
          <w:highlight w:val="none"/>
          <w14:textFill>
            <w14:solidFill>
              <w14:schemeClr w14:val="tx1"/>
            </w14:solidFill>
          </w14:textFill>
        </w:rPr>
        <w:t>需经</w:t>
      </w:r>
      <w:r>
        <w:rPr>
          <w:color w:val="000000" w:themeColor="text1"/>
          <w:szCs w:val="21"/>
          <w:highlight w:val="none"/>
          <w14:textFill>
            <w14:solidFill>
              <w14:schemeClr w14:val="tx1"/>
            </w14:solidFill>
          </w14:textFill>
        </w:rPr>
        <w:t>采购人同意，</w:t>
      </w:r>
      <w:r>
        <w:rPr>
          <w:rFonts w:hint="eastAsia"/>
          <w:color w:val="000000" w:themeColor="text1"/>
          <w:szCs w:val="21"/>
          <w:highlight w:val="none"/>
          <w14:textFill>
            <w14:solidFill>
              <w14:schemeClr w14:val="tx1"/>
            </w14:solidFill>
          </w14:textFill>
        </w:rPr>
        <w:t>否则</w:t>
      </w:r>
      <w:r>
        <w:rPr>
          <w:color w:val="000000" w:themeColor="text1"/>
          <w:szCs w:val="21"/>
          <w:highlight w:val="none"/>
          <w14:textFill>
            <w14:solidFill>
              <w14:schemeClr w14:val="tx1"/>
            </w14:solidFill>
          </w14:textFill>
        </w:rPr>
        <w:t>将从其</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金额中扣取一定的违约金。项目</w:t>
      </w:r>
      <w:r>
        <w:rPr>
          <w:rFonts w:hint="eastAsia"/>
          <w:color w:val="000000" w:themeColor="text1"/>
          <w:szCs w:val="21"/>
          <w:highlight w:val="none"/>
          <w14:textFill>
            <w14:solidFill>
              <w14:schemeClr w14:val="tx1"/>
            </w14:solidFill>
          </w14:textFill>
        </w:rPr>
        <w:t>负责人</w:t>
      </w:r>
      <w:r>
        <w:rPr>
          <w:color w:val="000000" w:themeColor="text1"/>
          <w:szCs w:val="21"/>
          <w:highlight w:val="none"/>
          <w14:textFill>
            <w14:solidFill>
              <w14:schemeClr w14:val="tx1"/>
            </w14:solidFill>
          </w14:textFill>
        </w:rPr>
        <w:t>或技术负责人扣款标准为：</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金额*5‰/人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r>
        <w:rPr>
          <w:rFonts w:hint="eastAsia"/>
          <w:color w:val="000000" w:themeColor="text1"/>
          <w:szCs w:val="21"/>
          <w:highlight w:val="none"/>
          <w14:textFill>
            <w14:solidFill>
              <w14:schemeClr w14:val="tx1"/>
            </w14:solidFill>
          </w14:textFill>
        </w:rPr>
        <w:t>（不小于贰</w:t>
      </w:r>
      <w:r>
        <w:rPr>
          <w:color w:val="000000" w:themeColor="text1"/>
          <w:szCs w:val="21"/>
          <w:highlight w:val="none"/>
          <w14:textFill>
            <w14:solidFill>
              <w14:schemeClr w14:val="tx1"/>
            </w14:solidFill>
          </w14:textFill>
        </w:rPr>
        <w:t>万元/人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；除此外其他人员为</w:t>
      </w:r>
      <w:r>
        <w:rPr>
          <w:rFonts w:hint="eastAsia"/>
          <w:color w:val="000000" w:themeColor="text1"/>
          <w:szCs w:val="21"/>
          <w:highlight w:val="none"/>
          <w14:textFill>
            <w14:solidFill>
              <w14:schemeClr w14:val="tx1"/>
            </w14:solidFill>
          </w14:textFill>
        </w:rPr>
        <w:t>壹</w:t>
      </w:r>
      <w:r>
        <w:rPr>
          <w:color w:val="000000" w:themeColor="text1"/>
          <w:szCs w:val="21"/>
          <w:highlight w:val="none"/>
          <w14:textFill>
            <w14:solidFill>
              <w14:schemeClr w14:val="tx1"/>
            </w14:solidFill>
          </w14:textFill>
        </w:rPr>
        <w:t>万元/人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p>
    <w:p w14:paraId="406EC005">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84" w:name="_Toc53918802"/>
      <w:bookmarkStart w:id="85" w:name="_Toc54280786"/>
      <w:bookmarkStart w:id="86" w:name="_Toc53948331"/>
      <w:bookmarkStart w:id="87" w:name="_Toc53945776"/>
      <w:bookmarkStart w:id="88" w:name="_Toc53936511"/>
      <w:bookmarkStart w:id="89" w:name="_Toc53948752"/>
      <w:bookmarkStart w:id="90" w:name="_Toc54279934"/>
      <w:bookmarkStart w:id="91" w:name="_Toc54280360"/>
      <w:bookmarkStart w:id="92" w:name="_Toc53949173"/>
      <w:bookmarkStart w:id="93" w:name="_Toc54281212"/>
      <w:bookmarkStart w:id="94" w:name="_Toc145499733"/>
      <w:bookmarkStart w:id="95" w:name="_Toc5393957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.联合体</w:t>
      </w:r>
      <w:bookmarkEnd w:id="84"/>
      <w:bookmarkEnd w:id="85"/>
      <w:bookmarkEnd w:id="86"/>
      <w:bookmarkEnd w:id="87"/>
      <w:bookmarkEnd w:id="88"/>
      <w:bookmarkEnd w:id="89"/>
      <w:bookmarkEnd w:id="90"/>
      <w:bookmarkEnd w:id="91"/>
      <w:bookmarkEnd w:id="92"/>
      <w:bookmarkEnd w:id="93"/>
      <w:bookmarkEnd w:id="94"/>
      <w:bookmarkEnd w:id="9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响应采购</w:t>
      </w:r>
    </w:p>
    <w:p w14:paraId="73C95BFA">
      <w:pPr>
        <w:widowControl/>
        <w:spacing w:line="360" w:lineRule="auto"/>
        <w:ind w:left="419" w:leftChars="33" w:hanging="350" w:hangingChars="167"/>
        <w:rPr>
          <w:color w:val="000000" w:themeColor="text1"/>
          <w:szCs w:val="21"/>
          <w:highlight w:val="none"/>
          <w14:textFill>
            <w14:solidFill>
              <w14:schemeClr w14:val="tx1"/>
            </w14:solidFill>
          </w14:textFill>
        </w:rPr>
      </w:pPr>
      <w:bookmarkStart w:id="96" w:name="_Toc54280361"/>
      <w:bookmarkStart w:id="97" w:name="_Toc54280787"/>
      <w:bookmarkStart w:id="98" w:name="_Toc53939576"/>
      <w:bookmarkStart w:id="99" w:name="_Toc53918803"/>
      <w:bookmarkStart w:id="100" w:name="_Toc53936512"/>
      <w:bookmarkStart w:id="101" w:name="_Toc53948332"/>
      <w:bookmarkStart w:id="102" w:name="_Toc54281213"/>
      <w:bookmarkStart w:id="103" w:name="_Toc53945777"/>
      <w:bookmarkStart w:id="104" w:name="_Toc53948753"/>
      <w:bookmarkStart w:id="105" w:name="_Toc53949174"/>
      <w:bookmarkStart w:id="106" w:name="_Toc54279935"/>
      <w:r>
        <w:rPr>
          <w:rFonts w:hint="eastAsia"/>
          <w:color w:val="000000" w:themeColor="text1"/>
          <w:szCs w:val="21"/>
          <w:highlight w:val="none"/>
          <w14:textFill>
            <w14:solidFill>
              <w14:schemeClr w14:val="tx1"/>
            </w14:solidFill>
          </w14:textFill>
        </w:rPr>
        <w:t>3.1本分包工程采购人不接受联合体参与采购活动。</w:t>
      </w:r>
    </w:p>
    <w:p w14:paraId="0EDA6FB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07" w:name="_Toc145499734"/>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4</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采购响应</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费用</w:t>
      </w:r>
      <w:bookmarkEnd w:id="96"/>
      <w:bookmarkEnd w:id="97"/>
      <w:bookmarkEnd w:id="98"/>
      <w:bookmarkEnd w:id="99"/>
      <w:bookmarkEnd w:id="100"/>
      <w:bookmarkEnd w:id="101"/>
      <w:bookmarkEnd w:id="102"/>
      <w:bookmarkEnd w:id="103"/>
      <w:bookmarkEnd w:id="104"/>
      <w:bookmarkEnd w:id="105"/>
      <w:bookmarkEnd w:id="106"/>
      <w:bookmarkEnd w:id="107"/>
    </w:p>
    <w:p w14:paraId="6CFBCC77">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.1响应单位在</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过程中的一切费用，不论</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与否，均由响应单位自负。</w:t>
      </w:r>
    </w:p>
    <w:p w14:paraId="12DFD20A">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.2采购人对未</w:t>
      </w:r>
      <w:r>
        <w:rPr>
          <w:rFonts w:hint="eastAsia"/>
          <w:color w:val="000000" w:themeColor="text1"/>
          <w:szCs w:val="21"/>
          <w:highlight w:val="none"/>
          <w14:textFill>
            <w14:solidFill>
              <w14:schemeClr w14:val="tx1"/>
            </w14:solidFill>
          </w14:textFill>
        </w:rPr>
        <w:t>成交响应单位</w:t>
      </w:r>
      <w:r>
        <w:rPr>
          <w:color w:val="000000" w:themeColor="text1"/>
          <w:szCs w:val="21"/>
          <w:highlight w:val="none"/>
          <w14:textFill>
            <w14:solidFill>
              <w14:schemeClr w14:val="tx1"/>
            </w14:solidFill>
          </w14:textFill>
        </w:rPr>
        <w:t>不予补偿。</w:t>
      </w:r>
    </w:p>
    <w:p w14:paraId="2F89972F">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4.3采购文件工本费：无。</w:t>
      </w:r>
    </w:p>
    <w:p w14:paraId="4C79BFD6">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4.4图纸押金：无。</w:t>
      </w:r>
    </w:p>
    <w:p w14:paraId="75C165CE">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08" w:name="_Toc53948754"/>
      <w:bookmarkStart w:id="109" w:name="_Toc53948333"/>
      <w:bookmarkStart w:id="110" w:name="_Toc54280362"/>
      <w:bookmarkStart w:id="111" w:name="_Toc54281214"/>
      <w:bookmarkStart w:id="112" w:name="_Toc53939577"/>
      <w:bookmarkStart w:id="113" w:name="_Toc54279936"/>
      <w:bookmarkStart w:id="114" w:name="_Toc54280788"/>
      <w:bookmarkStart w:id="115" w:name="_Toc53936513"/>
      <w:bookmarkStart w:id="116" w:name="_Toc53945778"/>
      <w:bookmarkStart w:id="117" w:name="_Toc53918804"/>
      <w:bookmarkStart w:id="118" w:name="_Toc53949175"/>
      <w:bookmarkStart w:id="119" w:name="_Toc14549973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5</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08"/>
      <w:bookmarkEnd w:id="109"/>
      <w:bookmarkEnd w:id="110"/>
      <w:bookmarkEnd w:id="111"/>
      <w:bookmarkEnd w:id="112"/>
      <w:bookmarkEnd w:id="113"/>
      <w:bookmarkEnd w:id="114"/>
      <w:bookmarkEnd w:id="115"/>
      <w:bookmarkEnd w:id="116"/>
      <w:bookmarkEnd w:id="117"/>
      <w:bookmarkEnd w:id="11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现场</w:t>
      </w:r>
      <w:bookmarkEnd w:id="11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踏勘</w:t>
      </w:r>
    </w:p>
    <w:p w14:paraId="176B93B6">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5.1响应单位应按照《响应单位须知前附表》中第</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项要求的时间和地址，</w:t>
      </w:r>
      <w:r>
        <w:rPr>
          <w:rFonts w:hint="eastAsia"/>
          <w:color w:val="000000" w:themeColor="text1"/>
          <w:szCs w:val="21"/>
          <w:highlight w:val="none"/>
          <w14:textFill>
            <w14:solidFill>
              <w14:schemeClr w14:val="tx1"/>
            </w14:solidFill>
          </w14:textFill>
        </w:rPr>
        <w:t>自行组织前往对</w:t>
      </w:r>
      <w:r>
        <w:rPr>
          <w:color w:val="000000" w:themeColor="text1"/>
          <w:szCs w:val="21"/>
          <w:highlight w:val="none"/>
          <w14:textFill>
            <w14:solidFill>
              <w14:schemeClr w14:val="tx1"/>
            </w14:solidFill>
          </w14:textFill>
        </w:rPr>
        <w:t>现场及其周围环境进行的</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，以便使响应单位自行查明或核实有关编制响应文件和签订合同所必需的一切资料。</w:t>
      </w:r>
    </w:p>
    <w:p w14:paraId="150E7AF8">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5.2现场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时，采购人</w:t>
      </w:r>
      <w:r>
        <w:rPr>
          <w:rFonts w:hint="eastAsia"/>
          <w:color w:val="000000" w:themeColor="text1"/>
          <w:szCs w:val="21"/>
          <w:highlight w:val="none"/>
          <w14:textFill>
            <w14:solidFill>
              <w14:schemeClr w14:val="tx1"/>
            </w14:solidFill>
          </w14:textFill>
        </w:rPr>
        <w:t>相关负责人</w:t>
      </w:r>
      <w:r>
        <w:rPr>
          <w:color w:val="000000" w:themeColor="text1"/>
          <w:szCs w:val="21"/>
          <w:highlight w:val="none"/>
          <w14:textFill>
            <w14:solidFill>
              <w14:schemeClr w14:val="tx1"/>
            </w14:solidFill>
          </w14:textFill>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期间，响应单位如果发生人身伤亡、财物或其他损失，无论何种原因造成，采购人均不负责。</w:t>
      </w:r>
    </w:p>
    <w:p w14:paraId="25A835BC">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期间，响应单位应自备车辆，其食宿</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费用、风险自理。</w:t>
      </w:r>
    </w:p>
    <w:p w14:paraId="412225F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20" w:name="_Toc53949177"/>
      <w:bookmarkStart w:id="121" w:name="_Toc54280790"/>
      <w:bookmarkStart w:id="122" w:name="_Toc53936515"/>
      <w:bookmarkStart w:id="123" w:name="_Toc53948335"/>
      <w:bookmarkStart w:id="124" w:name="_Toc145499737"/>
      <w:bookmarkStart w:id="125" w:name="_Toc53948756"/>
      <w:bookmarkStart w:id="126" w:name="_Toc53945780"/>
      <w:bookmarkStart w:id="127" w:name="_Toc53918806"/>
      <w:bookmarkStart w:id="128" w:name="_Toc53939579"/>
      <w:bookmarkStart w:id="129" w:name="_Toc54281216"/>
      <w:bookmarkStart w:id="130" w:name="_Toc54280364"/>
      <w:bookmarkStart w:id="131" w:name="_Toc54279938"/>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6</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.水文及地表以下资料</w:t>
      </w:r>
      <w:bookmarkEnd w:id="120"/>
      <w:bookmarkEnd w:id="121"/>
      <w:bookmarkEnd w:id="122"/>
      <w:bookmarkEnd w:id="123"/>
      <w:bookmarkEnd w:id="124"/>
      <w:bookmarkEnd w:id="125"/>
      <w:bookmarkEnd w:id="126"/>
      <w:bookmarkEnd w:id="127"/>
      <w:bookmarkEnd w:id="128"/>
      <w:bookmarkEnd w:id="129"/>
      <w:bookmarkEnd w:id="130"/>
      <w:bookmarkEnd w:id="131"/>
    </w:p>
    <w:p w14:paraId="561674AD">
      <w:pPr>
        <w:widowControl/>
        <w:spacing w:line="360" w:lineRule="auto"/>
        <w:ind w:left="419" w:leftChars="33" w:hanging="350" w:hangingChars="167"/>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.1采购人</w:t>
      </w:r>
      <w:r>
        <w:rPr>
          <w:rFonts w:hint="eastAsia"/>
          <w:color w:val="000000" w:themeColor="text1"/>
          <w:szCs w:val="21"/>
          <w:highlight w:val="none"/>
          <w14:textFill>
            <w14:solidFill>
              <w14:schemeClr w14:val="tx1"/>
            </w14:solidFill>
          </w14:textFill>
        </w:rPr>
        <w:t>若有且需要提供给响应单位的，采购人可提供水文</w:t>
      </w:r>
      <w:r>
        <w:rPr>
          <w:color w:val="000000" w:themeColor="text1"/>
          <w:szCs w:val="21"/>
          <w:highlight w:val="none"/>
          <w14:textFill>
            <w14:solidFill>
              <w14:schemeClr w14:val="tx1"/>
            </w14:solidFill>
          </w14:textFill>
        </w:rPr>
        <w:t>及</w:t>
      </w:r>
      <w:r>
        <w:rPr>
          <w:rFonts w:hint="eastAsia"/>
          <w:color w:val="000000" w:themeColor="text1"/>
          <w:szCs w:val="21"/>
          <w:highlight w:val="none"/>
          <w14:textFill>
            <w14:solidFill>
              <w14:schemeClr w14:val="tx1"/>
            </w14:solidFill>
          </w14:textFill>
        </w:rPr>
        <w:t>地表以下</w:t>
      </w:r>
      <w:r>
        <w:rPr>
          <w:color w:val="000000" w:themeColor="text1"/>
          <w:szCs w:val="21"/>
          <w:highlight w:val="none"/>
          <w14:textFill>
            <w14:solidFill>
              <w14:schemeClr w14:val="tx1"/>
            </w14:solidFill>
          </w14:textFill>
        </w:rPr>
        <w:t>等其它资料</w:t>
      </w:r>
      <w:r>
        <w:rPr>
          <w:rFonts w:hint="eastAsia"/>
          <w:color w:val="000000" w:themeColor="text1"/>
          <w:szCs w:val="21"/>
          <w:highlight w:val="none"/>
          <w14:textFill>
            <w14:solidFill>
              <w14:schemeClr w14:val="tx1"/>
            </w14:solidFill>
          </w14:textFill>
        </w:rPr>
        <w:t>。</w:t>
      </w:r>
    </w:p>
    <w:p w14:paraId="368700C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32" w:name="_Toc53939580"/>
      <w:bookmarkStart w:id="133" w:name="_Toc54280791"/>
      <w:bookmarkStart w:id="134" w:name="_Toc53936516"/>
      <w:bookmarkStart w:id="135" w:name="_Toc54280365"/>
      <w:bookmarkStart w:id="136" w:name="_Toc54279939"/>
      <w:bookmarkStart w:id="137" w:name="_Toc53949178"/>
      <w:bookmarkStart w:id="138" w:name="_Toc53945781"/>
      <w:bookmarkStart w:id="139" w:name="_Toc53948336"/>
      <w:bookmarkStart w:id="140" w:name="_Toc53918807"/>
      <w:bookmarkStart w:id="141" w:name="_Toc54281217"/>
      <w:bookmarkStart w:id="142" w:name="_Toc53948757"/>
      <w:bookmarkStart w:id="143" w:name="_Toc145499738"/>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7</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.采购人式</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和范围</w:t>
      </w:r>
      <w:bookmarkEnd w:id="143"/>
    </w:p>
    <w:p w14:paraId="74362D75">
      <w:pPr>
        <w:widowControl/>
        <w:spacing w:line="360" w:lineRule="auto"/>
        <w:ind w:left="419" w:leftChars="33" w:hanging="350" w:hangingChars="167"/>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.1本工程将</w:t>
      </w:r>
      <w:r>
        <w:rPr>
          <w:rFonts w:hint="eastAsia"/>
          <w:color w:val="000000" w:themeColor="text1"/>
          <w:szCs w:val="21"/>
          <w:highlight w:val="none"/>
          <w14:textFill>
            <w14:solidFill>
              <w14:schemeClr w14:val="tx1"/>
            </w14:solidFill>
          </w14:textFill>
        </w:rPr>
        <w:t>采取</w:t>
      </w:r>
      <w:r>
        <w:rPr>
          <w:rFonts w:hint="eastAsia"/>
          <w:color w:val="000000" w:themeColor="text1"/>
          <w:szCs w:val="21"/>
          <w:highlight w:val="none"/>
          <w14:textFill>
            <w14:solidFill>
              <w14:schemeClr w14:val="tx1"/>
            </w14:solidFill>
          </w14:textFill>
        </w:rPr>
        <w:t>公开</w:t>
      </w:r>
      <w:r>
        <w:rPr>
          <w:color w:val="000000" w:themeColor="text1"/>
          <w:szCs w:val="21"/>
          <w:highlight w:val="none"/>
          <w14:textFill>
            <w14:solidFill>
              <w14:schemeClr w14:val="tx1"/>
            </w14:solidFill>
          </w14:textFill>
        </w:rPr>
        <w:t>采购的方式，</w:t>
      </w:r>
      <w:r>
        <w:rPr>
          <w:rFonts w:hint="eastAsia"/>
          <w:color w:val="000000" w:themeColor="text1"/>
          <w:szCs w:val="21"/>
          <w:highlight w:val="none"/>
          <w14:textFill>
            <w14:solidFill>
              <w14:schemeClr w14:val="tx1"/>
            </w14:solidFill>
          </w14:textFill>
        </w:rPr>
        <w:t>遵循公平、公正、</w:t>
      </w:r>
      <w:r>
        <w:rPr>
          <w:color w:val="000000" w:themeColor="text1"/>
          <w:szCs w:val="21"/>
          <w:highlight w:val="none"/>
          <w14:textFill>
            <w14:solidFill>
              <w14:schemeClr w14:val="tx1"/>
            </w14:solidFill>
          </w14:textFill>
        </w:rPr>
        <w:t>科学、择优的原则，综合评选出</w:t>
      </w:r>
      <w:r>
        <w:rPr>
          <w:rFonts w:hint="eastAsia"/>
          <w:color w:val="000000" w:themeColor="text1"/>
          <w:szCs w:val="21"/>
          <w:highlight w:val="none"/>
          <w14:textFill>
            <w14:solidFill>
              <w14:schemeClr w14:val="tx1"/>
            </w14:solidFill>
          </w14:textFill>
        </w:rPr>
        <w:t>成交单位，不保证最低价成交，也不对成交结果作任何解释。</w:t>
      </w:r>
    </w:p>
    <w:p w14:paraId="5D7AC6CE">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.2本工程的采购范围见《</w:t>
      </w:r>
      <w:r>
        <w:rPr>
          <w:rFonts w:hint="eastAsia"/>
          <w:color w:val="000000" w:themeColor="text1"/>
          <w:szCs w:val="21"/>
          <w:highlight w:val="none"/>
          <w14:textFill>
            <w14:solidFill>
              <w14:schemeClr w14:val="tx1"/>
            </w14:solidFill>
          </w14:textFill>
        </w:rPr>
        <w:t>相应单位</w:t>
      </w:r>
      <w:r>
        <w:rPr>
          <w:color w:val="000000" w:themeColor="text1"/>
          <w:szCs w:val="21"/>
          <w:highlight w:val="none"/>
          <w14:textFill>
            <w14:solidFill>
              <w14:schemeClr w14:val="tx1"/>
            </w14:solidFill>
          </w14:textFill>
        </w:rPr>
        <w:t>须知前附表》第</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项说明</w:t>
      </w:r>
      <w:r>
        <w:rPr>
          <w:rFonts w:hint="eastAsia"/>
          <w:color w:val="000000" w:themeColor="text1"/>
          <w:szCs w:val="21"/>
          <w:highlight w:val="none"/>
          <w14:textFill>
            <w14:solidFill>
              <w14:schemeClr w14:val="tx1"/>
            </w14:solidFill>
          </w14:textFill>
        </w:rPr>
        <w:t>。</w:t>
      </w:r>
      <w:bookmarkStart w:id="144" w:name="_Toc54280792"/>
      <w:bookmarkStart w:id="145" w:name="_Toc53948758"/>
      <w:bookmarkStart w:id="146" w:name="_Toc53949179"/>
      <w:bookmarkStart w:id="147" w:name="_Toc53918808"/>
      <w:bookmarkStart w:id="148" w:name="_Toc53948337"/>
      <w:bookmarkStart w:id="149" w:name="_Toc53936517"/>
      <w:bookmarkStart w:id="150" w:name="_Toc54279940"/>
      <w:bookmarkStart w:id="151" w:name="_Toc54281218"/>
      <w:bookmarkStart w:id="152" w:name="_Toc54280366"/>
      <w:bookmarkStart w:id="153" w:name="_Toc53939581"/>
      <w:bookmarkStart w:id="154" w:name="_Toc53945782"/>
      <w:bookmarkStart w:id="155" w:name="_Toc145499739"/>
    </w:p>
    <w:p w14:paraId="4A29BCD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44"/>
      <w:bookmarkEnd w:id="145"/>
      <w:bookmarkEnd w:id="146"/>
      <w:bookmarkEnd w:id="147"/>
      <w:bookmarkEnd w:id="148"/>
      <w:bookmarkEnd w:id="149"/>
      <w:bookmarkEnd w:id="150"/>
      <w:bookmarkEnd w:id="151"/>
      <w:bookmarkEnd w:id="152"/>
      <w:bookmarkEnd w:id="153"/>
      <w:bookmarkEnd w:id="15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w:t>
      </w:r>
      <w:bookmarkEnd w:id="15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文件及价款方式</w:t>
      </w:r>
    </w:p>
    <w:p w14:paraId="3E3EE63D">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.1本工程的合同价款确定方式采用</w:t>
      </w:r>
      <w:r>
        <w:rPr>
          <w:color w:val="000000" w:themeColor="text1"/>
          <w:szCs w:val="21"/>
          <w:highlight w:val="none"/>
          <w14:textFill>
            <w14:solidFill>
              <w14:schemeClr w14:val="tx1"/>
            </w14:solidFill>
          </w14:textFill>
        </w:rPr>
        <w:t>固定</w:t>
      </w:r>
      <w:r>
        <w:rPr>
          <w:rFonts w:hint="eastAsia"/>
          <w:color w:val="000000" w:themeColor="text1"/>
          <w:szCs w:val="21"/>
          <w:highlight w:val="none"/>
          <w14:textFill>
            <w14:solidFill>
              <w14:schemeClr w14:val="tx1"/>
            </w14:solidFill>
          </w14:textFill>
        </w:rPr>
        <w:t>综合</w:t>
      </w:r>
      <w:r>
        <w:rPr>
          <w:color w:val="000000" w:themeColor="text1"/>
          <w:szCs w:val="21"/>
          <w:highlight w:val="none"/>
          <w14:textFill>
            <w14:solidFill>
              <w14:schemeClr w14:val="tx1"/>
            </w14:solidFill>
          </w14:textFill>
        </w:rPr>
        <w:t>单价</w:t>
      </w:r>
      <w:r>
        <w:rPr>
          <w:color w:val="000000" w:themeColor="text1"/>
          <w:szCs w:val="21"/>
          <w:highlight w:val="none"/>
          <w14:textFill>
            <w14:solidFill>
              <w14:schemeClr w14:val="tx1"/>
            </w14:solidFill>
          </w14:textFill>
        </w:rPr>
        <w:t>合同方式。</w:t>
      </w:r>
    </w:p>
    <w:p w14:paraId="0E139358">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.2本工程的合同文件格式详见本采购文件第</w:t>
      </w:r>
      <w:r>
        <w:rPr>
          <w:rFonts w:hint="eastAsia"/>
          <w:color w:val="000000" w:themeColor="text1"/>
          <w:szCs w:val="21"/>
          <w:highlight w:val="none"/>
          <w14:textFill>
            <w14:solidFill>
              <w14:schemeClr w14:val="tx1"/>
            </w14:solidFill>
          </w14:textFill>
        </w:rPr>
        <w:t>三</w:t>
      </w:r>
      <w:r>
        <w:rPr>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》的相应内容。</w:t>
      </w:r>
    </w:p>
    <w:p w14:paraId="20086100">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56" w:name="_Toc53945783"/>
      <w:bookmarkStart w:id="157" w:name="_Toc53936518"/>
      <w:bookmarkStart w:id="158" w:name="_Toc53918809"/>
      <w:bookmarkStart w:id="159" w:name="_Toc54280793"/>
      <w:bookmarkStart w:id="160" w:name="_Toc53939582"/>
      <w:bookmarkStart w:id="161" w:name="_Toc54281219"/>
      <w:bookmarkStart w:id="162" w:name="_Toc53948338"/>
      <w:bookmarkStart w:id="163" w:name="_Toc53949180"/>
      <w:bookmarkStart w:id="164" w:name="_Toc54280367"/>
      <w:bookmarkStart w:id="165" w:name="_Toc53948759"/>
      <w:bookmarkStart w:id="166" w:name="_Toc54279941"/>
      <w:bookmarkStart w:id="167" w:name="_Toc145499740"/>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9</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56"/>
      <w:bookmarkEnd w:id="157"/>
      <w:bookmarkEnd w:id="158"/>
      <w:bookmarkEnd w:id="159"/>
      <w:bookmarkEnd w:id="160"/>
      <w:bookmarkEnd w:id="161"/>
      <w:bookmarkEnd w:id="162"/>
      <w:bookmarkEnd w:id="163"/>
      <w:bookmarkEnd w:id="164"/>
      <w:bookmarkEnd w:id="165"/>
      <w:bookmarkEnd w:id="166"/>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响应文件</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语言及单位</w:t>
      </w:r>
      <w:bookmarkEnd w:id="167"/>
    </w:p>
    <w:p w14:paraId="7C7E0228">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.1响应单位应使用中文进行响应文件编制或与采购人沟通交流。</w:t>
      </w:r>
    </w:p>
    <w:p w14:paraId="0925AB7A">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68" w:name="_Toc145499741"/>
      <w:bookmarkStart w:id="169" w:name="_Toc53936520"/>
      <w:bookmarkStart w:id="170" w:name="_Toc53948761"/>
      <w:bookmarkStart w:id="171" w:name="_Toc53939584"/>
      <w:bookmarkStart w:id="172" w:name="_Toc54279943"/>
      <w:bookmarkStart w:id="173" w:name="_Toc54281221"/>
      <w:bookmarkStart w:id="174" w:name="_Toc53945785"/>
      <w:bookmarkStart w:id="175" w:name="_Toc53948340"/>
      <w:bookmarkStart w:id="176" w:name="_Toc54280369"/>
      <w:bookmarkStart w:id="177" w:name="_Toc54280795"/>
      <w:bookmarkStart w:id="178" w:name="_Toc53918811"/>
      <w:bookmarkStart w:id="179" w:name="_Toc5394918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0</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.工程质量标准</w:t>
      </w:r>
      <w:bookmarkEnd w:id="168"/>
      <w:bookmarkEnd w:id="169"/>
      <w:bookmarkEnd w:id="170"/>
      <w:bookmarkEnd w:id="171"/>
      <w:bookmarkEnd w:id="172"/>
      <w:bookmarkEnd w:id="173"/>
      <w:bookmarkEnd w:id="174"/>
      <w:bookmarkEnd w:id="175"/>
      <w:bookmarkEnd w:id="176"/>
      <w:bookmarkEnd w:id="177"/>
      <w:bookmarkEnd w:id="178"/>
      <w:bookmarkEnd w:id="17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及技术要求</w:t>
      </w:r>
    </w:p>
    <w:p w14:paraId="1F6FED94">
      <w:pPr>
        <w:widowControl/>
        <w:spacing w:line="360" w:lineRule="auto"/>
        <w:ind w:left="516" w:leftChars="33" w:hanging="447" w:hangingChars="213"/>
        <w:rPr>
          <w:color w:val="000000" w:themeColor="text1"/>
          <w:szCs w:val="21"/>
          <w:highlight w:val="none"/>
          <w14:textFill>
            <w14:solidFill>
              <w14:schemeClr w14:val="tx1"/>
            </w14:solidFill>
          </w14:textFill>
        </w:rPr>
      </w:pPr>
      <w:bookmarkStart w:id="180" w:name="_Toc54281222"/>
      <w:bookmarkStart w:id="181" w:name="_Toc54279944"/>
      <w:bookmarkStart w:id="182" w:name="_Toc53945786"/>
      <w:bookmarkStart w:id="183" w:name="_Toc53948762"/>
      <w:bookmarkStart w:id="184" w:name="_Toc53948341"/>
      <w:bookmarkStart w:id="185" w:name="_Toc53949183"/>
      <w:bookmarkStart w:id="186" w:name="_Toc54280796"/>
      <w:bookmarkStart w:id="187" w:name="_Toc54280370"/>
      <w:bookmarkStart w:id="188" w:name="_Toc53918812"/>
      <w:bookmarkStart w:id="189" w:name="_Toc53939585"/>
      <w:bookmarkStart w:id="190" w:name="_Toc53936521"/>
      <w:r>
        <w:rPr>
          <w:color w:val="000000" w:themeColor="text1"/>
          <w:szCs w:val="21"/>
          <w:highlight w:val="none"/>
          <w14:textFill>
            <w14:solidFill>
              <w14:schemeClr w14:val="tx1"/>
            </w14:solidFill>
          </w14:textFill>
        </w:rPr>
        <w:t>10.1工程质量标准约定如下：</w:t>
      </w:r>
    </w:p>
    <w:p w14:paraId="23FA172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10.1.1工程质量等级：</w:t>
      </w:r>
      <w:r>
        <w:rPr>
          <w:rFonts w:hint="eastAsia" w:ascii="宋体" w:hAnsi="宋体" w:cs="宋体"/>
          <w:bCs/>
          <w:color w:val="000000" w:themeColor="text1"/>
          <w:szCs w:val="21"/>
          <w:highlight w:val="none"/>
          <w14:textFill>
            <w14:solidFill>
              <w14:schemeClr w14:val="tx1"/>
            </w14:solidFill>
          </w14:textFill>
        </w:rPr>
        <w:t>与总包合同一致，均为合格</w:t>
      </w:r>
    </w:p>
    <w:p w14:paraId="4C577C46">
      <w:pPr>
        <w:widowControl/>
        <w:spacing w:line="360" w:lineRule="auto"/>
        <w:ind w:left="510" w:leftChars="233" w:hanging="21" w:hangingChars="1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10.1.2优质奖项要求：</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无</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w:t>
      </w:r>
    </w:p>
    <w:p w14:paraId="53477759">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10.1.</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color w:val="000000" w:themeColor="text1"/>
          <w:szCs w:val="21"/>
          <w:highlight w:val="none"/>
          <w14:textFill>
            <w14:solidFill>
              <w14:schemeClr w14:val="tx1"/>
            </w14:solidFill>
          </w14:textFill>
        </w:rPr>
        <w:t>，如果期间相关标准国家、部委有更新的，则按照更新的标准执行</w:t>
      </w:r>
      <w:r>
        <w:rPr>
          <w:color w:val="000000" w:themeColor="text1"/>
          <w:szCs w:val="21"/>
          <w:highlight w:val="none"/>
          <w14:textFill>
            <w14:solidFill>
              <w14:schemeClr w14:val="tx1"/>
            </w14:solidFill>
          </w14:textFill>
        </w:rPr>
        <w:t>。</w:t>
      </w:r>
    </w:p>
    <w:p w14:paraId="77BA7D13">
      <w:pPr>
        <w:widowControl/>
        <w:spacing w:line="360" w:lineRule="auto"/>
        <w:ind w:left="514" w:leftChars="83" w:hanging="340" w:hangingChars="162"/>
        <w:rPr>
          <w:rFonts w:hint="eastAsia" w:ascii="宋体" w:hAnsi="宋体" w:cs="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10.2</w:t>
      </w:r>
      <w:r>
        <w:rPr>
          <w:rFonts w:hint="eastAsia"/>
          <w:color w:val="000000" w:themeColor="text1"/>
          <w:szCs w:val="21"/>
          <w:highlight w:val="none"/>
          <w14:textFill>
            <w14:solidFill>
              <w14:schemeClr w14:val="tx1"/>
            </w14:solidFill>
          </w14:textFill>
        </w:rPr>
        <w:t>工程技术要求：</w:t>
      </w:r>
      <w:r>
        <w:rPr>
          <w:rFonts w:hint="eastAsia" w:ascii="宋体" w:hAnsi="宋体" w:cs="宋体"/>
          <w:bCs/>
          <w:color w:val="000000" w:themeColor="text1"/>
          <w:szCs w:val="21"/>
          <w:highlight w:val="none"/>
          <w14:textFill>
            <w14:solidFill>
              <w14:schemeClr w14:val="tx1"/>
            </w14:solidFill>
          </w14:textFill>
        </w:rPr>
        <w:t>施工技术力量全面，专业能力较强；对施工工艺流程熟悉。</w:t>
      </w:r>
      <w:r>
        <w:rPr>
          <w:rFonts w:hint="eastAsia" w:ascii="宋体" w:hAnsi="宋体" w:cs="宋体"/>
          <w:color w:val="000000" w:themeColor="text1"/>
          <w:szCs w:val="21"/>
          <w:highlight w:val="none"/>
          <w14:textFill>
            <w14:solidFill>
              <w14:schemeClr w14:val="tx1"/>
            </w14:solidFill>
          </w14:textFill>
        </w:rPr>
        <w:t>符合规范及设计要求，能够按期完工，并通过验收。</w:t>
      </w:r>
    </w:p>
    <w:p w14:paraId="16369677">
      <w:pPr>
        <w:widowControl/>
        <w:spacing w:line="360" w:lineRule="auto"/>
        <w:ind w:left="514" w:leftChars="83" w:hanging="340" w:hangingChars="162"/>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10.3</w:t>
      </w:r>
      <w:r>
        <w:rPr>
          <w:rFonts w:hint="eastAsia"/>
          <w:color w:val="000000" w:themeColor="text1"/>
          <w:szCs w:val="21"/>
          <w:highlight w:val="none"/>
          <w14:textFill>
            <w14:solidFill>
              <w14:schemeClr w14:val="tx1"/>
            </w14:solidFill>
          </w14:textFill>
        </w:rPr>
        <w:t>质量问题整改率:100%，由于</w:t>
      </w:r>
      <w:r>
        <w:rPr>
          <w:rFonts w:hint="eastAsia"/>
          <w:color w:val="000000" w:themeColor="text1"/>
          <w:szCs w:val="21"/>
          <w:highlight w:val="none"/>
          <w:lang w:val="en-US" w:eastAsia="zh-CN"/>
          <w14:textFill>
            <w14:solidFill>
              <w14:schemeClr w14:val="tx1"/>
            </w14:solidFill>
          </w14:textFill>
        </w:rPr>
        <w:t>响应</w:t>
      </w:r>
      <w:r>
        <w:rPr>
          <w:rFonts w:hint="eastAsia"/>
          <w:color w:val="000000" w:themeColor="text1"/>
          <w:szCs w:val="21"/>
          <w:highlight w:val="none"/>
          <w14:textFill>
            <w14:solidFill>
              <w14:schemeClr w14:val="tx1"/>
            </w14:solidFill>
          </w14:textFill>
        </w:rPr>
        <w:t>发生质量问题对发包方的利益或声誉造成损害时或投标方对质量问题整改不彻底或整改不及时，发包单位有权视情节轻重对</w:t>
      </w:r>
      <w:r>
        <w:rPr>
          <w:rFonts w:hint="eastAsia"/>
          <w:color w:val="000000" w:themeColor="text1"/>
          <w:szCs w:val="21"/>
          <w:highlight w:val="none"/>
          <w:lang w:val="en-US" w:eastAsia="zh-CN"/>
          <w14:textFill>
            <w14:solidFill>
              <w14:schemeClr w14:val="tx1"/>
            </w14:solidFill>
          </w14:textFill>
        </w:rPr>
        <w:t>响应</w:t>
      </w:r>
      <w:r>
        <w:rPr>
          <w:rFonts w:hint="eastAsia"/>
          <w:color w:val="000000" w:themeColor="text1"/>
          <w:szCs w:val="21"/>
          <w:highlight w:val="none"/>
          <w14:textFill>
            <w14:solidFill>
              <w14:schemeClr w14:val="tx1"/>
            </w14:solidFill>
          </w14:textFill>
        </w:rPr>
        <w:t>处以适当的经济处罚。</w:t>
      </w:r>
    </w:p>
    <w:p w14:paraId="485D49BF">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91" w:name="_Toc14549974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.工期及安全要求</w:t>
      </w:r>
      <w:bookmarkEnd w:id="180"/>
      <w:bookmarkEnd w:id="181"/>
      <w:bookmarkEnd w:id="182"/>
      <w:bookmarkEnd w:id="183"/>
      <w:bookmarkEnd w:id="184"/>
      <w:bookmarkEnd w:id="185"/>
      <w:bookmarkEnd w:id="186"/>
      <w:bookmarkEnd w:id="187"/>
      <w:bookmarkEnd w:id="188"/>
      <w:bookmarkEnd w:id="189"/>
      <w:bookmarkEnd w:id="190"/>
      <w:bookmarkEnd w:id="191"/>
    </w:p>
    <w:p w14:paraId="3DE30A5D">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.1响应单位应按照《响应单位须知前附表》第</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项要求的计划开工日期、计划竣工日期和计划合同工期编制响应文件。</w:t>
      </w:r>
    </w:p>
    <w:p w14:paraId="4A1173C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.2响应单位可以在坚持其报价的前提下，对前款规定的计划竣工日期予以提前，并据此编制响应文件。</w:t>
      </w:r>
    </w:p>
    <w:p w14:paraId="1A93FCB4">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响应单位应按照有关安全生产法律法规和有关主管部门文件的要求</w:t>
      </w:r>
      <w:r>
        <w:rPr>
          <w:color w:val="000000" w:themeColor="text1"/>
          <w:szCs w:val="21"/>
          <w:highlight w:val="none"/>
          <w14:textFill>
            <w14:solidFill>
              <w14:schemeClr w14:val="tx1"/>
            </w14:solidFill>
          </w14:textFill>
        </w:rPr>
        <w:t>，在响应文件中</w:t>
      </w:r>
      <w:r>
        <w:rPr>
          <w:rFonts w:hint="eastAsia"/>
          <w:color w:val="000000" w:themeColor="text1"/>
          <w:szCs w:val="21"/>
          <w:highlight w:val="none"/>
          <w14:textFill>
            <w14:solidFill>
              <w14:schemeClr w14:val="tx1"/>
            </w14:solidFill>
          </w14:textFill>
        </w:rPr>
        <w:t>编制安全施工措施，计取安全防护、文明施工措施费用</w:t>
      </w:r>
      <w:r>
        <w:rPr>
          <w:color w:val="000000" w:themeColor="text1"/>
          <w:szCs w:val="21"/>
          <w:highlight w:val="none"/>
          <w14:textFill>
            <w14:solidFill>
              <w14:schemeClr w14:val="tx1"/>
            </w14:solidFill>
          </w14:textFill>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192" w:name="_Toc54281223"/>
      <w:bookmarkStart w:id="193" w:name="_Toc284135589"/>
      <w:bookmarkStart w:id="194" w:name="_Toc54280797"/>
      <w:bookmarkStart w:id="195" w:name="_Toc54280371"/>
      <w:bookmarkStart w:id="196" w:name="_Toc53939586"/>
      <w:bookmarkStart w:id="197" w:name="_Toc53918813"/>
      <w:bookmarkStart w:id="198" w:name="_Toc53949184"/>
      <w:bookmarkStart w:id="199" w:name="_Toc53948763"/>
      <w:bookmarkStart w:id="200" w:name="_Toc145499743"/>
      <w:bookmarkStart w:id="201" w:name="_Toc53948342"/>
      <w:bookmarkStart w:id="202" w:name="_Toc54279945"/>
      <w:bookmarkStart w:id="203" w:name="_Toc53945787"/>
      <w:bookmarkStart w:id="204" w:name="_Toc53936522"/>
      <w:r>
        <w:rPr>
          <w:rStyle w:val="46"/>
          <w:rFonts w:ascii="Times New Roman" w:hAnsi="宋体" w:eastAsia="宋体"/>
          <w:b/>
          <w:bCs w:val="0"/>
          <w:color w:val="000000" w:themeColor="text1"/>
          <w:sz w:val="28"/>
          <w:szCs w:val="28"/>
          <w:highlight w:val="none"/>
          <w14:textFill>
            <w14:solidFill>
              <w14:schemeClr w14:val="tx1"/>
            </w14:solidFill>
          </w14:textFill>
        </w:rPr>
        <w:t>第二章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采购文件</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00F77BD5">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05" w:name="_Toc54280372"/>
      <w:bookmarkStart w:id="206" w:name="_Toc53918814"/>
      <w:bookmarkStart w:id="207" w:name="_Toc53949185"/>
      <w:bookmarkStart w:id="208" w:name="_Toc53948764"/>
      <w:bookmarkStart w:id="209" w:name="_Toc53939587"/>
      <w:bookmarkStart w:id="210" w:name="_Toc54280798"/>
      <w:bookmarkStart w:id="211" w:name="_Toc145499744"/>
      <w:bookmarkStart w:id="212" w:name="_Toc54279946"/>
      <w:bookmarkStart w:id="213" w:name="_Toc54281224"/>
      <w:bookmarkStart w:id="214" w:name="_Toc53945788"/>
      <w:bookmarkStart w:id="215" w:name="_Toc53936523"/>
      <w:bookmarkStart w:id="216" w:name="_Toc53948343"/>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12.采购文件的内容</w:t>
      </w:r>
      <w:bookmarkEnd w:id="205"/>
      <w:bookmarkEnd w:id="206"/>
      <w:bookmarkEnd w:id="207"/>
      <w:bookmarkEnd w:id="208"/>
      <w:bookmarkEnd w:id="209"/>
      <w:bookmarkEnd w:id="210"/>
      <w:bookmarkEnd w:id="211"/>
      <w:bookmarkEnd w:id="212"/>
      <w:bookmarkEnd w:id="213"/>
      <w:bookmarkEnd w:id="214"/>
      <w:bookmarkEnd w:id="215"/>
      <w:bookmarkEnd w:id="216"/>
    </w:p>
    <w:p w14:paraId="31563F8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12.1采购文件包括下列文件及所有按本《响应单位须知前附表》第</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条和第</w:t>
      </w: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条发出的补充采购文件和任何答疑会纪要：</w:t>
      </w:r>
    </w:p>
    <w:p w14:paraId="54D094EF">
      <w:pPr>
        <w:spacing w:line="360" w:lineRule="auto"/>
        <w:ind w:left="1035" w:leftChars="247" w:hanging="516" w:hangingChars="246"/>
        <w:rPr>
          <w:color w:val="000000" w:themeColor="text1"/>
          <w:szCs w:val="21"/>
          <w:highlight w:val="none"/>
          <w14:textFill>
            <w14:solidFill>
              <w14:schemeClr w14:val="tx1"/>
            </w14:solidFill>
          </w14:textFill>
        </w:rPr>
      </w:pPr>
      <w:bookmarkStart w:id="217" w:name="_13、招标文件的澄清"/>
      <w:bookmarkEnd w:id="217"/>
      <w:r>
        <w:rPr>
          <w:color w:val="000000" w:themeColor="text1"/>
          <w:szCs w:val="21"/>
          <w:highlight w:val="none"/>
          <w14:textFill>
            <w14:solidFill>
              <w14:schemeClr w14:val="tx1"/>
            </w14:solidFill>
          </w14:textFill>
        </w:rPr>
        <w:t>12.1.1</w:t>
      </w:r>
      <w:r>
        <w:rPr>
          <w:rFonts w:hAnsi="宋体"/>
          <w:color w:val="000000" w:themeColor="text1"/>
          <w:szCs w:val="21"/>
          <w:highlight w:val="none"/>
          <w14:textFill>
            <w14:solidFill>
              <w14:schemeClr w14:val="tx1"/>
            </w14:solidFill>
          </w14:textFill>
        </w:rPr>
        <w:t>第一篇</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采购公告（邀请书）</w:t>
      </w:r>
    </w:p>
    <w:p w14:paraId="60EE673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2第二篇  响应单位须知</w:t>
      </w:r>
    </w:p>
    <w:p w14:paraId="34FA3E43">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三</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分包合同条款</w:t>
      </w:r>
    </w:p>
    <w:p w14:paraId="7F335A4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四</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图纸</w:t>
      </w:r>
      <w:r>
        <w:rPr>
          <w:rFonts w:hint="eastAsia" w:hAnsi="宋体"/>
          <w:color w:val="000000" w:themeColor="text1"/>
          <w:szCs w:val="21"/>
          <w:highlight w:val="none"/>
          <w14:textFill>
            <w14:solidFill>
              <w14:schemeClr w14:val="tx1"/>
            </w14:solidFill>
          </w14:textFill>
        </w:rPr>
        <w:t>（如有）</w:t>
      </w:r>
    </w:p>
    <w:p w14:paraId="701BD3CC">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五</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工程量清单</w:t>
      </w:r>
    </w:p>
    <w:p w14:paraId="76993051">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响应文件格式</w:t>
      </w:r>
    </w:p>
    <w:p w14:paraId="6DDF935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此外，采购人在采购期间发出的问题答复、补遗书和其</w:t>
      </w:r>
      <w:r>
        <w:rPr>
          <w:rFonts w:hint="eastAsia" w:ascii="宋体" w:hAnsi="宋体"/>
          <w:color w:val="000000" w:themeColor="text1"/>
          <w:szCs w:val="21"/>
          <w:highlight w:val="none"/>
          <w14:textFill>
            <w14:solidFill>
              <w14:schemeClr w14:val="tx1"/>
            </w14:solidFill>
          </w14:textFill>
        </w:rPr>
        <w:t>他</w:t>
      </w:r>
      <w:r>
        <w:rPr>
          <w:rFonts w:ascii="宋体" w:hAnsi="宋体"/>
          <w:color w:val="000000" w:themeColor="text1"/>
          <w:szCs w:val="21"/>
          <w:highlight w:val="none"/>
          <w14:textFill>
            <w14:solidFill>
              <w14:schemeClr w14:val="tx1"/>
            </w14:solidFill>
          </w14:textFill>
        </w:rPr>
        <w:t>正式函件，均作为采购文件的组成部分，响应单位应一并阅读。</w:t>
      </w:r>
    </w:p>
    <w:p w14:paraId="3523D9C1">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12.2响应单位应认真审阅采购文件中《响应单位须知前附表》、</w:t>
      </w:r>
      <w:r>
        <w:rPr>
          <w:rFonts w:hint="eastAsia" w:hAnsi="宋体"/>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18" w:name="_Toc53945789"/>
      <w:bookmarkStart w:id="219" w:name="_Toc54280799"/>
      <w:bookmarkStart w:id="220" w:name="_Toc145499745"/>
      <w:bookmarkStart w:id="221" w:name="_Toc53949186"/>
      <w:bookmarkStart w:id="222" w:name="_Toc54279947"/>
      <w:bookmarkStart w:id="223" w:name="_Toc53939588"/>
      <w:bookmarkStart w:id="224" w:name="_Toc53948765"/>
      <w:bookmarkStart w:id="225" w:name="_Toc53936524"/>
      <w:bookmarkStart w:id="226" w:name="_Toc53948344"/>
      <w:bookmarkStart w:id="227" w:name="_Toc54281225"/>
      <w:bookmarkStart w:id="228" w:name="_Toc53918815"/>
      <w:bookmarkStart w:id="229" w:name="_Toc54280373"/>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13.采购文件的澄清</w:t>
      </w:r>
      <w:bookmarkEnd w:id="218"/>
      <w:bookmarkEnd w:id="219"/>
      <w:bookmarkEnd w:id="220"/>
      <w:bookmarkEnd w:id="221"/>
      <w:bookmarkEnd w:id="222"/>
      <w:bookmarkEnd w:id="223"/>
      <w:bookmarkEnd w:id="224"/>
      <w:bookmarkEnd w:id="225"/>
      <w:bookmarkEnd w:id="226"/>
      <w:bookmarkEnd w:id="227"/>
      <w:bookmarkEnd w:id="228"/>
      <w:bookmarkEnd w:id="229"/>
    </w:p>
    <w:p w14:paraId="7BF0F8C1">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13.1要求对采购文件进行澄清和解答的响应单位，应在《响应单位须知前附表》第</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项要求的截止时间之前，将要澄清和解答的问题以加盖公章的函件方式送达采购人</w:t>
      </w:r>
      <w:r>
        <w:rPr>
          <w:rFonts w:hint="eastAsia"/>
          <w:color w:val="000000" w:themeColor="text1"/>
          <w:szCs w:val="21"/>
          <w:highlight w:val="none"/>
          <w14:textFill>
            <w14:solidFill>
              <w14:schemeClr w14:val="tx1"/>
            </w14:solidFill>
          </w14:textFill>
        </w:rPr>
        <w:t>或电话联系</w:t>
      </w:r>
      <w:r>
        <w:rPr>
          <w:color w:val="000000" w:themeColor="text1"/>
          <w:szCs w:val="21"/>
          <w:highlight w:val="none"/>
          <w14:textFill>
            <w14:solidFill>
              <w14:schemeClr w14:val="tx1"/>
            </w14:solidFill>
          </w14:textFill>
        </w:rPr>
        <w:t>。</w:t>
      </w:r>
    </w:p>
    <w:p w14:paraId="6683F900">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30" w:name="_Toc53939589"/>
      <w:bookmarkStart w:id="231" w:name="_Toc53936525"/>
      <w:bookmarkStart w:id="232" w:name="_Toc54280800"/>
      <w:bookmarkStart w:id="233" w:name="_Toc53945790"/>
      <w:bookmarkStart w:id="234" w:name="_Toc54280374"/>
      <w:bookmarkStart w:id="235" w:name="_Toc53948345"/>
      <w:bookmarkStart w:id="236" w:name="_Toc53948766"/>
      <w:bookmarkStart w:id="237" w:name="_Toc54279948"/>
      <w:bookmarkStart w:id="238" w:name="_Toc145499746"/>
      <w:bookmarkStart w:id="239" w:name="_Toc54281226"/>
      <w:bookmarkStart w:id="240" w:name="_Toc53949187"/>
      <w:bookmarkStart w:id="241" w:name="_Toc53918816"/>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14.采购文件的修改</w:t>
      </w:r>
      <w:bookmarkEnd w:id="230"/>
      <w:bookmarkEnd w:id="231"/>
      <w:bookmarkEnd w:id="232"/>
      <w:bookmarkEnd w:id="233"/>
      <w:bookmarkEnd w:id="234"/>
      <w:bookmarkEnd w:id="235"/>
      <w:bookmarkEnd w:id="236"/>
      <w:bookmarkEnd w:id="237"/>
      <w:bookmarkEnd w:id="238"/>
      <w:bookmarkEnd w:id="239"/>
      <w:bookmarkEnd w:id="240"/>
      <w:bookmarkEnd w:id="241"/>
    </w:p>
    <w:p w14:paraId="6FF45CA0">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14.1采购人应在《响应单位须知前附表》第</w:t>
      </w: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如果采购文件作了修改，采购人应在响应文件递交截止之日</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天前，</w:t>
      </w:r>
      <w:r>
        <w:rPr>
          <w:rFonts w:hint="eastAsia"/>
          <w:color w:val="000000" w:themeColor="text1"/>
          <w:szCs w:val="21"/>
          <w:highlight w:val="none"/>
          <w14:textFill>
            <w14:solidFill>
              <w14:schemeClr w14:val="tx1"/>
            </w14:solidFill>
          </w14:textFill>
        </w:rPr>
        <w:t>以书面的</w:t>
      </w:r>
      <w:r>
        <w:rPr>
          <w:color w:val="000000" w:themeColor="text1"/>
          <w:szCs w:val="21"/>
          <w:highlight w:val="none"/>
          <w14:textFill>
            <w14:solidFill>
              <w14:schemeClr w14:val="tx1"/>
            </w14:solidFill>
          </w14:textFill>
        </w:rPr>
        <w:t>补充采购文件形式，送达所有已购买采购文件的响应单位。</w:t>
      </w:r>
    </w:p>
    <w:p w14:paraId="62E04AB6">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响应单位有责任和义务对工程量清单进行校核，如发现错漏项或数量偏差应在</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阶段提出质疑，采购人确认后以补充采购文件的方式进行修正。</w:t>
      </w:r>
    </w:p>
    <w:p w14:paraId="519F22D9">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如果采购人前后发放的补充采购文件内容不一致或相互抵触时，则以后发出的补充采购文件为准。</w:t>
      </w:r>
    </w:p>
    <w:p w14:paraId="6108CCE6">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14.5</w:t>
      </w:r>
      <w:r>
        <w:rPr>
          <w:color w:val="000000" w:themeColor="text1"/>
          <w:szCs w:val="21"/>
          <w:highlight w:val="none"/>
          <w14:textFill>
            <w14:solidFill>
              <w14:schemeClr w14:val="tx1"/>
            </w14:solidFill>
          </w14:textFill>
        </w:rPr>
        <w:t>响应单位在收到该补充采购文件后，应</w:t>
      </w:r>
      <w:r>
        <w:rPr>
          <w:rFonts w:hint="eastAsia"/>
          <w:color w:val="000000" w:themeColor="text1"/>
          <w:szCs w:val="21"/>
          <w:highlight w:val="none"/>
          <w14:textFill>
            <w14:solidFill>
              <w14:schemeClr w14:val="tx1"/>
            </w14:solidFill>
          </w14:textFill>
        </w:rPr>
        <w:t>当场签收或</w:t>
      </w:r>
      <w:r>
        <w:rPr>
          <w:color w:val="000000" w:themeColor="text1"/>
          <w:szCs w:val="21"/>
          <w:highlight w:val="none"/>
          <w14:textFill>
            <w14:solidFill>
              <w14:schemeClr w14:val="tx1"/>
            </w14:solidFill>
          </w14:textFill>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242" w:name="_Toc53949188"/>
      <w:bookmarkStart w:id="243" w:name="_Toc145499747"/>
      <w:bookmarkStart w:id="244" w:name="_Toc284135590"/>
      <w:bookmarkStart w:id="245" w:name="_Toc54281227"/>
      <w:bookmarkStart w:id="246" w:name="_Toc54280375"/>
      <w:bookmarkStart w:id="247" w:name="_Toc54280801"/>
      <w:bookmarkStart w:id="248" w:name="_Toc53918817"/>
      <w:bookmarkStart w:id="249" w:name="_Toc54279949"/>
      <w:bookmarkStart w:id="250" w:name="_Toc53948346"/>
      <w:bookmarkStart w:id="251" w:name="_Toc53948767"/>
      <w:bookmarkStart w:id="252" w:name="_Toc53936526"/>
      <w:bookmarkStart w:id="253" w:name="_Toc53939590"/>
      <w:bookmarkStart w:id="254" w:name="_Toc53945791"/>
      <w:r>
        <w:rPr>
          <w:rStyle w:val="46"/>
          <w:rFonts w:ascii="Times New Roman" w:hAnsi="宋体" w:eastAsia="宋体"/>
          <w:b/>
          <w:bCs w:val="0"/>
          <w:color w:val="000000" w:themeColor="text1"/>
          <w:sz w:val="28"/>
          <w:szCs w:val="28"/>
          <w:highlight w:val="none"/>
          <w14:textFill>
            <w14:solidFill>
              <w14:schemeClr w14:val="tx1"/>
            </w14:solidFill>
          </w14:textFill>
        </w:rPr>
        <w:t>第三章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689C3666">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55" w:name="_Toc53939591"/>
      <w:bookmarkStart w:id="256" w:name="_Toc54280376"/>
      <w:bookmarkStart w:id="257" w:name="_Toc53936527"/>
      <w:bookmarkStart w:id="258" w:name="_Toc54280802"/>
      <w:bookmarkStart w:id="259" w:name="_Toc53948347"/>
      <w:bookmarkStart w:id="260" w:name="_Toc53945792"/>
      <w:bookmarkStart w:id="261" w:name="_Toc54281228"/>
      <w:bookmarkStart w:id="262" w:name="_Toc53918818"/>
      <w:bookmarkStart w:id="263" w:name="_Toc54279950"/>
      <w:bookmarkStart w:id="264" w:name="_Toc53948768"/>
      <w:bookmarkStart w:id="265" w:name="_Toc53949189"/>
      <w:bookmarkStart w:id="266" w:name="_Toc14549974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15.响应文件的组成</w:t>
      </w:r>
      <w:bookmarkEnd w:id="255"/>
      <w:bookmarkEnd w:id="256"/>
      <w:bookmarkEnd w:id="257"/>
      <w:bookmarkEnd w:id="258"/>
      <w:bookmarkEnd w:id="259"/>
      <w:bookmarkEnd w:id="260"/>
      <w:bookmarkEnd w:id="261"/>
      <w:bookmarkEnd w:id="262"/>
      <w:bookmarkEnd w:id="263"/>
      <w:bookmarkEnd w:id="264"/>
      <w:bookmarkEnd w:id="26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及格式</w:t>
      </w:r>
      <w:bookmarkEnd w:id="266"/>
    </w:p>
    <w:p w14:paraId="4BDFCDB5">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15.1响应文件由第一</w:t>
      </w:r>
      <w:r>
        <w:rPr>
          <w:rFonts w:hint="eastAsia"/>
          <w:color w:val="000000" w:themeColor="text1"/>
          <w:szCs w:val="21"/>
          <w:highlight w:val="none"/>
          <w14:textFill>
            <w14:solidFill>
              <w14:schemeClr w14:val="tx1"/>
            </w14:solidFill>
          </w14:textFill>
        </w:rPr>
        <w:t>部分</w:t>
      </w:r>
      <w:r>
        <w:rPr>
          <w:color w:val="000000" w:themeColor="text1"/>
          <w:szCs w:val="21"/>
          <w:highlight w:val="none"/>
          <w14:textFill>
            <w14:solidFill>
              <w14:schemeClr w14:val="tx1"/>
            </w14:solidFill>
          </w14:textFill>
        </w:rPr>
        <w:t>《经济部分》、第二</w:t>
      </w:r>
      <w:r>
        <w:rPr>
          <w:rFonts w:hint="eastAsia"/>
          <w:color w:val="000000" w:themeColor="text1"/>
          <w:szCs w:val="21"/>
          <w:highlight w:val="none"/>
          <w14:textFill>
            <w14:solidFill>
              <w14:schemeClr w14:val="tx1"/>
            </w14:solidFill>
          </w14:textFill>
        </w:rPr>
        <w:t>部分</w:t>
      </w:r>
      <w:r>
        <w:rPr>
          <w:color w:val="000000" w:themeColor="text1"/>
          <w:szCs w:val="21"/>
          <w:highlight w:val="none"/>
          <w14:textFill>
            <w14:solidFill>
              <w14:schemeClr w14:val="tx1"/>
            </w14:solidFill>
          </w14:textFill>
        </w:rPr>
        <w:t>《技术部分》及第三</w:t>
      </w:r>
      <w:r>
        <w:rPr>
          <w:rFonts w:hint="eastAsia"/>
          <w:color w:val="000000" w:themeColor="text1"/>
          <w:szCs w:val="21"/>
          <w:highlight w:val="none"/>
          <w14:textFill>
            <w14:solidFill>
              <w14:schemeClr w14:val="tx1"/>
            </w14:solidFill>
          </w14:textFill>
        </w:rPr>
        <w:t>部</w:t>
      </w:r>
      <w:r>
        <w:rPr>
          <w:color w:val="000000" w:themeColor="text1"/>
          <w:szCs w:val="21"/>
          <w:highlight w:val="none"/>
          <w14:textFill>
            <w14:solidFill>
              <w14:schemeClr w14:val="tx1"/>
            </w14:solidFill>
          </w14:textFill>
        </w:rPr>
        <w:t>《商务部分》</w:t>
      </w:r>
      <w:r>
        <w:rPr>
          <w:rFonts w:hint="eastAsia"/>
          <w:color w:val="000000" w:themeColor="text1"/>
          <w:szCs w:val="21"/>
          <w:highlight w:val="none"/>
          <w14:textFill>
            <w14:solidFill>
              <w14:schemeClr w14:val="tx1"/>
            </w14:solidFill>
          </w14:textFill>
        </w:rPr>
        <w:t>分</w:t>
      </w:r>
      <w:r>
        <w:rPr>
          <w:color w:val="000000" w:themeColor="text1"/>
          <w:szCs w:val="21"/>
          <w:highlight w:val="none"/>
          <w14:textFill>
            <w14:solidFill>
              <w14:schemeClr w14:val="tx1"/>
            </w14:solidFill>
          </w14:textFill>
        </w:rPr>
        <w:t>三部分组成。</w:t>
      </w:r>
    </w:p>
    <w:p w14:paraId="63E36CBF">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15.2响应单位应毫无例外地使用采购文件中的规定格式编制响应文件</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表格可按同样格式扩展和复制</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；未有规定格式的，响应单位可自行编制。</w:t>
      </w:r>
    </w:p>
    <w:p w14:paraId="26CFCCF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一部分</w:t>
      </w:r>
      <w:r>
        <w:rPr>
          <w:rFonts w:hAnsi="宋体"/>
          <w:color w:val="000000" w:themeColor="text1"/>
          <w:szCs w:val="21"/>
          <w:highlight w:val="none"/>
          <w14:textFill>
            <w14:solidFill>
              <w14:schemeClr w14:val="tx1"/>
            </w14:solidFill>
          </w14:textFill>
        </w:rPr>
        <w:t>《经济部分》包括并不限于下列内容：</w:t>
      </w:r>
    </w:p>
    <w:p w14:paraId="0CF77AC0">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响应</w:t>
      </w:r>
      <w:r>
        <w:rPr>
          <w:rFonts w:hAnsi="宋体"/>
          <w:color w:val="000000" w:themeColor="text1"/>
          <w:szCs w:val="21"/>
          <w:highlight w:val="none"/>
          <w14:textFill>
            <w14:solidFill>
              <w14:schemeClr w14:val="tx1"/>
            </w14:solidFill>
          </w14:textFill>
        </w:rPr>
        <w:t>函</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0D2CC8C2">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法定代表人证明书或授权委托书</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0A1E6603">
      <w:pPr>
        <w:spacing w:line="360" w:lineRule="auto"/>
        <w:ind w:left="1035" w:leftChars="247" w:hanging="516" w:hangingChars="24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15.3.</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响应担保；</w:t>
      </w:r>
    </w:p>
    <w:p w14:paraId="4B3C490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总报价（</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62CA2D0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工程量清单计价表（</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012ECBE0">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.6</w:t>
      </w:r>
      <w:r>
        <w:rPr>
          <w:rFonts w:hint="eastAsia"/>
          <w:color w:val="000000" w:themeColor="text1"/>
          <w:szCs w:val="21"/>
          <w:highlight w:val="none"/>
          <w14:textFill>
            <w14:solidFill>
              <w14:schemeClr w14:val="tx1"/>
            </w14:solidFill>
          </w14:textFill>
        </w:rPr>
        <w:t>工程量清单综合单价分析表（</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。（如需）</w:t>
      </w:r>
    </w:p>
    <w:p w14:paraId="7B5011C9">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第</w:t>
      </w:r>
      <w:r>
        <w:rPr>
          <w:rFonts w:hint="eastAsia"/>
          <w:color w:val="000000" w:themeColor="text1"/>
          <w:szCs w:val="21"/>
          <w:highlight w:val="none"/>
          <w14:textFill>
            <w14:solidFill>
              <w14:schemeClr w14:val="tx1"/>
            </w14:solidFill>
          </w14:textFill>
        </w:rPr>
        <w:t>二部分</w:t>
      </w:r>
      <w:r>
        <w:rPr>
          <w:color w:val="000000" w:themeColor="text1"/>
          <w:szCs w:val="21"/>
          <w:highlight w:val="none"/>
          <w14:textFill>
            <w14:solidFill>
              <w14:schemeClr w14:val="tx1"/>
            </w14:solidFill>
          </w14:textFill>
        </w:rPr>
        <w:t>《技术部分》即施工组织设计，包括并不限于下列内容：</w:t>
      </w:r>
    </w:p>
    <w:p w14:paraId="49C73BD0">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Ansi="宋体"/>
          <w:color w:val="000000" w:themeColor="text1"/>
          <w:szCs w:val="21"/>
          <w:highlight w:val="none"/>
          <w14:textFill>
            <w14:solidFill>
              <w14:schemeClr w14:val="tx1"/>
            </w14:solidFill>
          </w14:textFill>
        </w:rPr>
        <w:t>主要施工方案；</w:t>
      </w:r>
    </w:p>
    <w:p w14:paraId="7B4E803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15.4.2</w:t>
      </w:r>
      <w:r>
        <w:rPr>
          <w:rFonts w:hAnsi="宋体"/>
          <w:color w:val="000000" w:themeColor="text1"/>
          <w:szCs w:val="21"/>
          <w:highlight w:val="none"/>
          <w14:textFill>
            <w14:solidFill>
              <w14:schemeClr w14:val="tx1"/>
            </w14:solidFill>
          </w14:textFill>
        </w:rPr>
        <w:t>进度计划及措施；</w:t>
      </w:r>
    </w:p>
    <w:p w14:paraId="0D9A90A9">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15.4.3</w:t>
      </w:r>
      <w:r>
        <w:rPr>
          <w:rFonts w:hAnsi="宋体"/>
          <w:color w:val="000000" w:themeColor="text1"/>
          <w:szCs w:val="21"/>
          <w:highlight w:val="none"/>
          <w14:textFill>
            <w14:solidFill>
              <w14:schemeClr w14:val="tx1"/>
            </w14:solidFill>
          </w14:textFill>
        </w:rPr>
        <w:t>质量保证及措施；</w:t>
      </w:r>
    </w:p>
    <w:p w14:paraId="7DAC5777">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15.4.4</w:t>
      </w:r>
      <w:r>
        <w:rPr>
          <w:rFonts w:hAnsi="宋体"/>
          <w:color w:val="000000" w:themeColor="text1"/>
          <w:szCs w:val="21"/>
          <w:highlight w:val="none"/>
          <w14:textFill>
            <w14:solidFill>
              <w14:schemeClr w14:val="tx1"/>
            </w14:solidFill>
          </w14:textFill>
        </w:rPr>
        <w:t>安全管理及措施；</w:t>
      </w:r>
    </w:p>
    <w:p w14:paraId="57A479A6">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15.4.5</w:t>
      </w:r>
      <w:r>
        <w:rPr>
          <w:rFonts w:hAnsi="宋体"/>
          <w:color w:val="000000" w:themeColor="text1"/>
          <w:szCs w:val="21"/>
          <w:highlight w:val="none"/>
          <w14:textFill>
            <w14:solidFill>
              <w14:schemeClr w14:val="tx1"/>
            </w14:solidFill>
          </w14:textFill>
        </w:rPr>
        <w:t>文明施工、环境保护及措施；</w:t>
      </w:r>
    </w:p>
    <w:p w14:paraId="5BDBB43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15.4.6</w:t>
      </w:r>
      <w:r>
        <w:rPr>
          <w:rFonts w:hAnsi="宋体"/>
          <w:color w:val="000000" w:themeColor="text1"/>
          <w:szCs w:val="21"/>
          <w:highlight w:val="none"/>
          <w14:textFill>
            <w14:solidFill>
              <w14:schemeClr w14:val="tx1"/>
            </w14:solidFill>
          </w14:textFill>
        </w:rPr>
        <w:t>消防、保卫、健康及措施；</w:t>
      </w:r>
    </w:p>
    <w:p w14:paraId="169E6752">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15.4.7</w:t>
      </w:r>
      <w:r>
        <w:rPr>
          <w:rFonts w:hAnsi="宋体"/>
          <w:color w:val="000000" w:themeColor="text1"/>
          <w:szCs w:val="21"/>
          <w:highlight w:val="none"/>
          <w14:textFill>
            <w14:solidFill>
              <w14:schemeClr w14:val="tx1"/>
            </w14:solidFill>
          </w14:textFill>
        </w:rPr>
        <w:t>机械设备配置及保障；</w:t>
      </w:r>
    </w:p>
    <w:p w14:paraId="55EE827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15.4.8</w:t>
      </w:r>
      <w:r>
        <w:rPr>
          <w:rFonts w:hAnsi="宋体"/>
          <w:color w:val="000000" w:themeColor="text1"/>
          <w:szCs w:val="21"/>
          <w:highlight w:val="none"/>
          <w14:textFill>
            <w14:solidFill>
              <w14:schemeClr w14:val="tx1"/>
            </w14:solidFill>
          </w14:textFill>
        </w:rPr>
        <w:t>劳动力、材料配置计划及保障；</w:t>
      </w:r>
    </w:p>
    <w:p w14:paraId="3A10DD1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w:t>
      </w:r>
      <w:r>
        <w:rPr>
          <w:rFonts w:hint="eastAsia"/>
          <w:color w:val="000000" w:themeColor="text1"/>
          <w:szCs w:val="21"/>
          <w:highlight w:val="none"/>
          <w14:textFill>
            <w14:solidFill>
              <w14:schemeClr w14:val="tx1"/>
            </w14:solidFill>
          </w14:textFill>
        </w:rPr>
        <w:t>9</w:t>
      </w:r>
      <w:r>
        <w:rPr>
          <w:rFonts w:hAnsi="宋体"/>
          <w:color w:val="000000" w:themeColor="text1"/>
          <w:szCs w:val="21"/>
          <w:highlight w:val="none"/>
          <w14:textFill>
            <w14:solidFill>
              <w14:schemeClr w14:val="tx1"/>
            </w14:solidFill>
          </w14:textFill>
        </w:rPr>
        <w:t>协调配合措施；</w:t>
      </w:r>
    </w:p>
    <w:p w14:paraId="33FF63FF">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0</w:t>
      </w:r>
      <w:r>
        <w:rPr>
          <w:rFonts w:hAnsi="宋体"/>
          <w:color w:val="000000" w:themeColor="text1"/>
          <w:szCs w:val="21"/>
          <w:highlight w:val="none"/>
          <w14:textFill>
            <w14:solidFill>
              <w14:schemeClr w14:val="tx1"/>
            </w14:solidFill>
          </w14:textFill>
        </w:rPr>
        <w:t>施工现场平面图；</w:t>
      </w:r>
      <w:r>
        <w:rPr>
          <w:rFonts w:hint="eastAsia" w:hAnsi="宋体"/>
          <w:color w:val="000000" w:themeColor="text1"/>
          <w:szCs w:val="21"/>
          <w:highlight w:val="none"/>
          <w14:textFill>
            <w14:solidFill>
              <w14:schemeClr w14:val="tx1"/>
            </w14:solidFill>
          </w14:textFill>
        </w:rPr>
        <w:t>（如需）</w:t>
      </w:r>
    </w:p>
    <w:p w14:paraId="67AC0BE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现场组织机构框图及职责；</w:t>
      </w:r>
    </w:p>
    <w:p w14:paraId="4E513D5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2</w:t>
      </w:r>
      <w:r>
        <w:rPr>
          <w:rFonts w:ascii="Arial" w:hAnsi="Arial" w:cs="Arial"/>
          <w:color w:val="000000" w:themeColor="text1"/>
          <w:highlight w:val="none"/>
          <w14:textFill>
            <w14:solidFill>
              <w14:schemeClr w14:val="tx1"/>
            </w14:solidFill>
          </w14:textFill>
        </w:rPr>
        <w:t>冬季和雨季施工方案</w:t>
      </w:r>
      <w:r>
        <w:rPr>
          <w:rFonts w:hint="eastAsia" w:ascii="Arial" w:hAnsi="Arial" w:cs="Arial"/>
          <w:color w:val="000000" w:themeColor="text1"/>
          <w:highlight w:val="none"/>
          <w14:textFill>
            <w14:solidFill>
              <w14:schemeClr w14:val="tx1"/>
            </w14:solidFill>
          </w14:textFill>
        </w:rPr>
        <w:t>；</w:t>
      </w:r>
    </w:p>
    <w:p w14:paraId="1DABE537">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3</w:t>
      </w:r>
      <w:r>
        <w:rPr>
          <w:rFonts w:hint="eastAsia"/>
          <w:color w:val="000000" w:themeColor="text1"/>
          <w:kern w:val="0"/>
          <w:highlight w:val="none"/>
          <w14:textFill>
            <w14:solidFill>
              <w14:schemeClr w14:val="tx1"/>
            </w14:solidFill>
          </w14:textFill>
        </w:rPr>
        <w:t>方案或设计优化的合理化建议；</w:t>
      </w:r>
    </w:p>
    <w:p w14:paraId="66852CF2">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三部分</w:t>
      </w:r>
      <w:r>
        <w:rPr>
          <w:rFonts w:hAnsi="宋体"/>
          <w:color w:val="000000" w:themeColor="text1"/>
          <w:szCs w:val="21"/>
          <w:highlight w:val="none"/>
          <w14:textFill>
            <w14:solidFill>
              <w14:schemeClr w14:val="tx1"/>
            </w14:solidFill>
          </w14:textFill>
        </w:rPr>
        <w:t>《商务部分》包括并不限于下列内容：</w:t>
      </w:r>
    </w:p>
    <w:p w14:paraId="1E1A2213">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15.5.1</w:t>
      </w:r>
      <w:r>
        <w:rPr>
          <w:rFonts w:hint="eastAsia" w:ascii="Arial" w:hAnsi="Arial"/>
          <w:color w:val="000000" w:themeColor="text1"/>
          <w:highlight w:val="none"/>
          <w14:textFill>
            <w14:solidFill>
              <w14:schemeClr w14:val="tx1"/>
            </w14:solidFill>
          </w14:textFill>
        </w:rPr>
        <w:t>企业营业执照复印件（加盖公章）；</w:t>
      </w:r>
    </w:p>
    <w:p w14:paraId="6B99E46D">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15.5.2</w:t>
      </w:r>
      <w:r>
        <w:rPr>
          <w:rFonts w:hint="eastAsia" w:ascii="Arial" w:hAnsi="Arial"/>
          <w:color w:val="000000" w:themeColor="text1"/>
          <w:highlight w:val="none"/>
          <w14:textFill>
            <w14:solidFill>
              <w14:schemeClr w14:val="tx1"/>
            </w14:solidFill>
          </w14:textFill>
        </w:rPr>
        <w:t>企业资质证书复印件（加盖公章）；</w:t>
      </w:r>
    </w:p>
    <w:p w14:paraId="09DD2C47">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15.5.3</w:t>
      </w:r>
      <w:r>
        <w:rPr>
          <w:rFonts w:hint="eastAsia" w:ascii="Arial" w:hAnsi="Arial"/>
          <w:color w:val="000000" w:themeColor="text1"/>
          <w:highlight w:val="none"/>
          <w14:textFill>
            <w14:solidFill>
              <w14:schemeClr w14:val="tx1"/>
            </w14:solidFill>
          </w14:textFill>
        </w:rPr>
        <w:t>安全生产许可证证书复印件（加盖公章）；</w:t>
      </w:r>
    </w:p>
    <w:p w14:paraId="04F84AE1">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拟投入本合同工程主要人员汇总表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445D5E39">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拟投入本合同工程主要人员简历表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4CF48B4B">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15.5.6</w:t>
      </w:r>
      <w:r>
        <w:rPr>
          <w:rFonts w:hint="eastAsia" w:ascii="Arial" w:hAnsi="Arial"/>
          <w:color w:val="000000" w:themeColor="text1"/>
          <w:highlight w:val="none"/>
          <w14:textFill>
            <w14:solidFill>
              <w14:schemeClr w14:val="tx1"/>
            </w14:solidFill>
          </w14:textFill>
        </w:rPr>
        <w:t>拟派项目负责人相关证件复印件（加盖公章）；</w:t>
      </w:r>
    </w:p>
    <w:p w14:paraId="5C90AD3D">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7</w:t>
      </w:r>
      <w:r>
        <w:rPr>
          <w:rFonts w:hAnsi="宋体"/>
          <w:color w:val="000000" w:themeColor="text1"/>
          <w:szCs w:val="21"/>
          <w:highlight w:val="none"/>
          <w14:textFill>
            <w14:solidFill>
              <w14:schemeClr w14:val="tx1"/>
            </w14:solidFill>
          </w14:textFill>
        </w:rPr>
        <w:t>拟投入本合同工程主要施工机械表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3552D3B4">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8</w:t>
      </w:r>
      <w:r>
        <w:rPr>
          <w:rFonts w:hAnsi="宋体"/>
          <w:color w:val="000000" w:themeColor="text1"/>
          <w:szCs w:val="21"/>
          <w:highlight w:val="none"/>
          <w14:textFill>
            <w14:solidFill>
              <w14:schemeClr w14:val="tx1"/>
            </w14:solidFill>
          </w14:textFill>
        </w:rPr>
        <w:t>近</w:t>
      </w:r>
      <w:r>
        <w:rPr>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年</w:t>
      </w:r>
      <w:r>
        <w:rPr>
          <w:rFonts w:hint="eastAsia" w:hAnsi="宋体"/>
          <w:color w:val="000000" w:themeColor="text1"/>
          <w:szCs w:val="21"/>
          <w:highlight w:val="none"/>
          <w14:textFill>
            <w14:solidFill>
              <w14:schemeClr w14:val="tx1"/>
            </w14:solidFill>
          </w14:textFill>
        </w:rPr>
        <w:t>内</w:t>
      </w:r>
      <w:r>
        <w:rPr>
          <w:rFonts w:hAnsi="宋体"/>
          <w:color w:val="000000" w:themeColor="text1"/>
          <w:szCs w:val="21"/>
          <w:highlight w:val="none"/>
          <w14:textFill>
            <w14:solidFill>
              <w14:schemeClr w14:val="tx1"/>
            </w14:solidFill>
          </w14:textFill>
        </w:rPr>
        <w:t>类似工程情况一览表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Arial" w:hAnsi="Arial"/>
          <w:color w:val="000000" w:themeColor="text1"/>
          <w:highlight w:val="none"/>
          <w14:textFill>
            <w14:solidFill>
              <w14:schemeClr w14:val="tx1"/>
            </w14:solidFill>
          </w14:textFill>
        </w:rPr>
        <w:t>上述业绩必须提供相应的证明文件，如合同主要章节等相关证明材料的复印件；</w:t>
      </w:r>
    </w:p>
    <w:p w14:paraId="4590725D">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15.5.9</w:t>
      </w:r>
      <w:r>
        <w:rPr>
          <w:rFonts w:hint="eastAsia" w:ascii="Arial" w:hAnsi="Arial"/>
          <w:bCs/>
          <w:color w:val="000000" w:themeColor="text1"/>
          <w:highlight w:val="none"/>
          <w14:textFill>
            <w14:solidFill>
              <w14:schemeClr w14:val="tx1"/>
            </w14:solidFill>
          </w14:textFill>
        </w:rPr>
        <w:t>响应单位的纳税资格的确认。</w:t>
      </w:r>
    </w:p>
    <w:p w14:paraId="518028AF">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67" w:name="_Toc145499749"/>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16.响应文件的形式和签署</w:t>
      </w:r>
      <w:bookmarkEnd w:id="267"/>
    </w:p>
    <w:p w14:paraId="3CA5A5AE">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16.1响应单位应按《响应单位须知前附表》第</w:t>
      </w: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项要求的形式和份数，编制和签署响应文件。</w:t>
      </w:r>
    </w:p>
    <w:p w14:paraId="39D1D176">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16.2</w:t>
      </w:r>
      <w:r>
        <w:rPr>
          <w:rFonts w:hAnsi="宋体"/>
          <w:color w:val="000000" w:themeColor="text1"/>
          <w:szCs w:val="21"/>
          <w:highlight w:val="none"/>
          <w14:textFill>
            <w14:solidFill>
              <w14:schemeClr w14:val="tx1"/>
            </w14:solidFill>
          </w14:textFill>
        </w:rPr>
        <w:t>响应文件封面的大小和形式见《响应单位须知前附表》第</w:t>
      </w:r>
      <w:r>
        <w:rPr>
          <w:rFonts w:hint="eastAsia"/>
          <w:color w:val="000000" w:themeColor="text1"/>
          <w:szCs w:val="21"/>
          <w:highlight w:val="none"/>
          <w14:textFill>
            <w14:solidFill>
              <w14:schemeClr w14:val="tx1"/>
            </w14:solidFill>
          </w14:textFill>
        </w:rPr>
        <w:t>9</w:t>
      </w:r>
      <w:r>
        <w:rPr>
          <w:rFonts w:hAnsi="宋体"/>
          <w:color w:val="000000" w:themeColor="text1"/>
          <w:szCs w:val="21"/>
          <w:highlight w:val="none"/>
          <w14:textFill>
            <w14:solidFill>
              <w14:schemeClr w14:val="tx1"/>
            </w14:solidFill>
          </w14:textFill>
        </w:rPr>
        <w:t>项的相应规定。</w:t>
      </w:r>
      <w:r>
        <w:rPr>
          <w:rFonts w:hint="eastAsia" w:hAnsi="宋体"/>
          <w:color w:val="000000" w:themeColor="text1"/>
          <w:szCs w:val="21"/>
          <w:highlight w:val="none"/>
          <w14:textFill>
            <w14:solidFill>
              <w14:schemeClr w14:val="tx1"/>
            </w14:solidFill>
          </w14:textFill>
        </w:rPr>
        <w:t>以最终提交采购响应流程所附响应文件扫描件版本为准</w:t>
      </w:r>
      <w:r>
        <w:rPr>
          <w:rFonts w:hAnsi="宋体"/>
          <w:color w:val="000000" w:themeColor="text1"/>
          <w:szCs w:val="21"/>
          <w:highlight w:val="none"/>
          <w14:textFill>
            <w14:solidFill>
              <w14:schemeClr w14:val="tx1"/>
            </w14:solidFill>
          </w14:textFill>
        </w:rPr>
        <w:t>。</w:t>
      </w:r>
    </w:p>
    <w:p w14:paraId="415D801F">
      <w:pPr>
        <w:spacing w:line="360" w:lineRule="auto"/>
        <w:ind w:left="516" w:leftChars="33" w:hanging="447" w:hangingChars="213"/>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16.3</w:t>
      </w:r>
      <w:r>
        <w:rPr>
          <w:rFonts w:hAnsi="宋体"/>
          <w:color w:val="000000" w:themeColor="text1"/>
          <w:szCs w:val="21"/>
          <w:highlight w:val="none"/>
          <w14:textFill>
            <w14:solidFill>
              <w14:schemeClr w14:val="tx1"/>
            </w14:solidFill>
          </w14:textFill>
        </w:rPr>
        <w:t>由响应单位按相应规定在封面和文本中加盖公章和进行签字</w:t>
      </w:r>
      <w:r>
        <w:rPr>
          <w:rFonts w:hint="eastAsia" w:hAnsi="宋体"/>
          <w:color w:val="000000" w:themeColor="text1"/>
          <w:szCs w:val="21"/>
          <w:highlight w:val="none"/>
          <w14:textFill>
            <w14:solidFill>
              <w14:schemeClr w14:val="tx1"/>
            </w14:solidFill>
          </w14:textFill>
        </w:rPr>
        <w:t>。</w:t>
      </w:r>
    </w:p>
    <w:p w14:paraId="3B09007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68" w:name="_Toc54279951"/>
      <w:bookmarkStart w:id="269" w:name="_Toc54280377"/>
      <w:bookmarkStart w:id="270" w:name="_Toc99075811"/>
      <w:bookmarkStart w:id="271" w:name="_Toc99076421"/>
      <w:bookmarkStart w:id="272" w:name="_Toc53936528"/>
      <w:bookmarkStart w:id="273" w:name="_Toc98988350"/>
      <w:bookmarkStart w:id="274" w:name="_Toc53918819"/>
      <w:bookmarkStart w:id="275" w:name="_Toc99075232"/>
      <w:bookmarkStart w:id="276" w:name="_Toc99114418"/>
      <w:bookmarkStart w:id="277" w:name="_Toc54280803"/>
      <w:bookmarkStart w:id="278" w:name="_Toc54281229"/>
      <w:bookmarkStart w:id="279" w:name="_Toc53939592"/>
      <w:bookmarkStart w:id="280" w:name="_Toc53949190"/>
      <w:bookmarkStart w:id="281" w:name="_Toc53948348"/>
      <w:bookmarkStart w:id="282" w:name="_Toc53945793"/>
      <w:bookmarkStart w:id="283" w:name="_Toc53948769"/>
      <w:bookmarkStart w:id="284" w:name="_Toc99076132"/>
      <w:bookmarkStart w:id="285" w:name="_Toc99114783"/>
      <w:bookmarkStart w:id="286" w:name="_Toc145499750"/>
      <w:bookmarkStart w:id="287" w:name="_Toc100928199"/>
      <w:bookmarkStart w:id="288" w:name="_Toc101986479"/>
      <w:bookmarkStart w:id="289" w:name="_Toc101074408"/>
      <w:bookmarkStart w:id="290" w:name="_Toc100928643"/>
      <w:bookmarkStart w:id="291" w:name="_Toc101075778"/>
      <w:bookmarkStart w:id="292" w:name="_Toc100928421"/>
      <w:bookmarkStart w:id="293" w:name="_Toc101074626"/>
      <w:bookmarkStart w:id="294" w:name="_Toc101064260"/>
      <w:bookmarkStart w:id="295" w:name="_Toc101598024"/>
      <w:bookmarkStart w:id="296" w:name="_Toc100508605"/>
      <w:bookmarkStart w:id="297" w:name="_Toc101076023"/>
      <w:bookmarkStart w:id="298" w:name="_Toc100511812"/>
      <w:bookmarkStart w:id="299" w:name="_Toc54280805"/>
      <w:bookmarkStart w:id="300" w:name="_Toc54280379"/>
      <w:bookmarkStart w:id="301" w:name="_Toc53945795"/>
      <w:bookmarkStart w:id="302" w:name="_Toc53936530"/>
      <w:bookmarkStart w:id="303" w:name="_Toc53948771"/>
      <w:bookmarkStart w:id="304" w:name="_Toc54281231"/>
      <w:bookmarkStart w:id="305" w:name="_Toc53949192"/>
      <w:bookmarkStart w:id="306" w:name="_Toc53918821"/>
      <w:bookmarkStart w:id="307" w:name="_Toc53948350"/>
      <w:bookmarkStart w:id="308" w:name="_Toc54279953"/>
      <w:bookmarkStart w:id="309" w:name="_Toc5393959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17.</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6B947C51">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17.1</w:t>
      </w:r>
      <w:r>
        <w:rPr>
          <w:rFonts w:hint="eastAsia"/>
          <w:color w:val="000000" w:themeColor="text1"/>
          <w:szCs w:val="21"/>
          <w:highlight w:val="none"/>
          <w14:textFill>
            <w14:solidFill>
              <w14:schemeClr w14:val="tx1"/>
            </w14:solidFill>
          </w14:textFill>
        </w:rPr>
        <w:t>报价说明</w:t>
      </w:r>
    </w:p>
    <w:p w14:paraId="3A722AC2">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为响应单位在其响应文件提出的各项支付金额的总和，应包括完成本采购工程的全部工作</w:t>
      </w:r>
      <w:r>
        <w:rPr>
          <w:rFonts w:hint="eastAsia"/>
          <w:color w:val="000000" w:themeColor="text1"/>
          <w:szCs w:val="21"/>
          <w:highlight w:val="none"/>
          <w14:textFill>
            <w14:solidFill>
              <w14:schemeClr w14:val="tx1"/>
            </w14:solidFill>
          </w14:textFill>
        </w:rPr>
        <w:t>并满足工期、质量要求的全部</w:t>
      </w:r>
      <w:r>
        <w:rPr>
          <w:color w:val="000000" w:themeColor="text1"/>
          <w:szCs w:val="21"/>
          <w:highlight w:val="none"/>
          <w14:textFill>
            <w14:solidFill>
              <w14:schemeClr w14:val="tx1"/>
            </w14:solidFill>
          </w14:textFill>
        </w:rPr>
        <w:t>费用和采购文件规定的全部暂估价。</w:t>
      </w:r>
    </w:p>
    <w:p w14:paraId="48DF2DB7">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17.1.2</w:t>
      </w:r>
      <w:r>
        <w:rPr>
          <w:rFonts w:hAnsi="宋体"/>
          <w:color w:val="000000" w:themeColor="text1"/>
          <w:szCs w:val="21"/>
          <w:highlight w:val="none"/>
          <w14:textFill>
            <w14:solidFill>
              <w14:schemeClr w14:val="tx1"/>
            </w14:solidFill>
          </w14:textFill>
        </w:rPr>
        <w:t>本采购文件中工程量清单</w:t>
      </w:r>
      <w:r>
        <w:rPr>
          <w:rFonts w:hint="eastAsia" w:hAnsi="宋体"/>
          <w:color w:val="000000" w:themeColor="text1"/>
          <w:szCs w:val="21"/>
          <w:highlight w:val="none"/>
          <w14:textFill>
            <w14:solidFill>
              <w14:schemeClr w14:val="tx1"/>
            </w14:solidFill>
          </w14:textFill>
        </w:rPr>
        <w:t>依据现行国家、行业规范标准，按照图纸和工程情况</w:t>
      </w:r>
      <w:r>
        <w:rPr>
          <w:rFonts w:hAnsi="宋体"/>
          <w:color w:val="000000" w:themeColor="text1"/>
          <w:szCs w:val="21"/>
          <w:highlight w:val="none"/>
          <w14:textFill>
            <w14:solidFill>
              <w14:schemeClr w14:val="tx1"/>
            </w14:solidFill>
          </w14:textFill>
        </w:rPr>
        <w:t>进行编制。响应单位可参照企业定额或</w:t>
      </w:r>
      <w:r>
        <w:rPr>
          <w:rFonts w:hAnsi="宋体"/>
          <w:color w:val="000000" w:themeColor="text1"/>
          <w:szCs w:val="21"/>
          <w:highlight w:val="none"/>
          <w14:textFill>
            <w14:solidFill>
              <w14:schemeClr w14:val="tx1"/>
            </w14:solidFill>
          </w14:textFill>
        </w:rPr>
        <w:t>《</w:t>
      </w:r>
      <w:r>
        <w:rPr>
          <w:rFonts w:hint="eastAsia" w:hAnsi="宋体"/>
          <w:color w:val="000000" w:themeColor="text1"/>
          <w:szCs w:val="21"/>
          <w:highlight w:val="none"/>
          <w:lang w:val="en-US" w:eastAsia="zh-CN"/>
          <w14:textFill>
            <w14:solidFill>
              <w14:schemeClr w14:val="tx1"/>
            </w14:solidFill>
          </w14:textFill>
        </w:rPr>
        <w:t>2018工程预算</w:t>
      </w:r>
      <w:r>
        <w:rPr>
          <w:rFonts w:hAnsi="宋体"/>
          <w:color w:val="000000" w:themeColor="text1"/>
          <w:szCs w:val="21"/>
          <w:highlight w:val="none"/>
          <w14:textFill>
            <w14:solidFill>
              <w14:schemeClr w14:val="tx1"/>
            </w14:solidFill>
          </w14:textFill>
        </w:rPr>
        <w:t>定额》</w:t>
      </w:r>
      <w:r>
        <w:rPr>
          <w:rFonts w:hint="eastAsia" w:hAnsi="宋体"/>
          <w:color w:val="000000" w:themeColor="text1"/>
          <w:szCs w:val="21"/>
          <w:highlight w:val="none"/>
          <w:lang w:val="en-US" w:eastAsia="zh-CN"/>
          <w14:textFill>
            <w14:solidFill>
              <w14:schemeClr w14:val="tx1"/>
            </w14:solidFill>
          </w14:textFill>
        </w:rPr>
        <w:t>及广西相关规定</w:t>
      </w:r>
      <w:r>
        <w:rPr>
          <w:rFonts w:hAnsi="宋体"/>
          <w:color w:val="000000" w:themeColor="text1"/>
          <w:szCs w:val="21"/>
          <w:highlight w:val="none"/>
          <w14:textFill>
            <w14:solidFill>
              <w14:schemeClr w14:val="tx1"/>
            </w14:solidFill>
          </w14:textFill>
        </w:rPr>
        <w:t>，在充分考虑市场竞争因素的前提下进行</w:t>
      </w:r>
      <w:r>
        <w:rPr>
          <w:rFonts w:hint="eastAsia" w:hAnsi="宋体"/>
          <w:color w:val="000000" w:themeColor="text1"/>
          <w:szCs w:val="21"/>
          <w:highlight w:val="none"/>
          <w14:textFill>
            <w14:solidFill>
              <w14:schemeClr w14:val="tx1"/>
            </w14:solidFill>
          </w14:textFill>
        </w:rPr>
        <w:t>报</w:t>
      </w:r>
      <w:r>
        <w:rPr>
          <w:rFonts w:hAnsi="宋体"/>
          <w:color w:val="000000" w:themeColor="text1"/>
          <w:szCs w:val="21"/>
          <w:highlight w:val="none"/>
          <w14:textFill>
            <w14:solidFill>
              <w14:schemeClr w14:val="tx1"/>
            </w14:solidFill>
          </w14:textFill>
        </w:rPr>
        <w:t>价。</w:t>
      </w:r>
    </w:p>
    <w:p w14:paraId="34E9AC22">
      <w:pPr>
        <w:spacing w:line="360" w:lineRule="auto"/>
        <w:ind w:left="1153" w:leftChars="247" w:hanging="634" w:hangingChars="302"/>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报价</w:t>
      </w:r>
    </w:p>
    <w:p w14:paraId="3FC4FAE0">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报价按固定综合单价报价。</w:t>
      </w:r>
    </w:p>
    <w:p w14:paraId="02D93AD2">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.2工程量清单部分，响应单位不能增加、更改、拆分、合并或重组工程量清单中的项目及内容，应按照采购文件提供的工程数量进行报价。采购人提供的分部分项工程量清单如有漏项或错项，可</w:t>
      </w:r>
      <w:r>
        <w:rPr>
          <w:rFonts w:hint="eastAsia"/>
          <w:color w:val="000000" w:themeColor="text1"/>
          <w:szCs w:val="21"/>
          <w:highlight w:val="none"/>
          <w14:textFill>
            <w14:solidFill>
              <w14:schemeClr w14:val="tx1"/>
            </w14:solidFill>
          </w14:textFill>
        </w:rPr>
        <w:t>以书面形式或电话联系告知采购人，</w:t>
      </w:r>
      <w:r>
        <w:rPr>
          <w:color w:val="000000" w:themeColor="text1"/>
          <w:szCs w:val="21"/>
          <w:highlight w:val="none"/>
          <w14:textFill>
            <w14:solidFill>
              <w14:schemeClr w14:val="tx1"/>
            </w14:solidFill>
          </w14:textFill>
        </w:rPr>
        <w:t>经</w:t>
      </w:r>
      <w:r>
        <w:rPr>
          <w:rFonts w:hint="eastAsia"/>
          <w:color w:val="000000" w:themeColor="text1"/>
          <w:szCs w:val="21"/>
          <w:highlight w:val="none"/>
          <w14:textFill>
            <w14:solidFill>
              <w14:schemeClr w14:val="tx1"/>
            </w14:solidFill>
          </w14:textFill>
        </w:rPr>
        <w:t>采购人</w:t>
      </w:r>
      <w:r>
        <w:rPr>
          <w:color w:val="000000" w:themeColor="text1"/>
          <w:szCs w:val="21"/>
          <w:highlight w:val="none"/>
          <w14:textFill>
            <w14:solidFill>
              <w14:schemeClr w14:val="tx1"/>
            </w14:solidFill>
          </w14:textFill>
        </w:rPr>
        <w:t>确认后进行</w:t>
      </w:r>
      <w:r>
        <w:rPr>
          <w:rFonts w:hint="eastAsia"/>
          <w:color w:val="000000" w:themeColor="text1"/>
          <w:szCs w:val="21"/>
          <w:highlight w:val="none"/>
          <w14:textFill>
            <w14:solidFill>
              <w14:schemeClr w14:val="tx1"/>
            </w14:solidFill>
          </w14:textFill>
        </w:rPr>
        <w:t>调整</w:t>
      </w:r>
      <w:r>
        <w:rPr>
          <w:color w:val="000000" w:themeColor="text1"/>
          <w:szCs w:val="21"/>
          <w:highlight w:val="none"/>
          <w14:textFill>
            <w14:solidFill>
              <w14:schemeClr w14:val="tx1"/>
            </w14:solidFill>
          </w14:textFill>
        </w:rPr>
        <w:t>。响应单位对工程量清单中有数量而没有填入单价或合价的项目，其费用应视为已包括在工程量清单的其它单价或合价中，将不再予以调整。</w:t>
      </w:r>
      <w:r>
        <w:rPr>
          <w:rFonts w:hint="eastAsia"/>
          <w:color w:val="000000" w:themeColor="text1"/>
          <w:szCs w:val="21"/>
          <w:highlight w:val="none"/>
          <w14:textFill>
            <w14:solidFill>
              <w14:schemeClr w14:val="tx1"/>
            </w14:solidFill>
          </w14:textFill>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响应单位</w:t>
      </w:r>
      <w:r>
        <w:rPr>
          <w:rFonts w:hint="eastAsia"/>
          <w:color w:val="000000" w:themeColor="text1"/>
          <w:szCs w:val="21"/>
          <w:highlight w:val="none"/>
          <w14:textFill>
            <w14:solidFill>
              <w14:schemeClr w14:val="tx1"/>
            </w14:solidFill>
          </w14:textFill>
        </w:rPr>
        <w:t>应充分考虑本工程特点及拟定的施工组织设计，计取相关</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费用（不含安全</w:t>
      </w:r>
      <w:r>
        <w:rPr>
          <w:color w:val="000000" w:themeColor="text1"/>
          <w:szCs w:val="21"/>
          <w:highlight w:val="none"/>
          <w14:textFill>
            <w14:solidFill>
              <w14:schemeClr w14:val="tx1"/>
            </w14:solidFill>
          </w14:textFill>
        </w:rPr>
        <w:t>防护、文明施工措施费</w:t>
      </w:r>
      <w:r>
        <w:rPr>
          <w:rFonts w:hint="eastAsia"/>
          <w:color w:val="000000" w:themeColor="text1"/>
          <w:szCs w:val="21"/>
          <w:highlight w:val="none"/>
          <w14:textFill>
            <w14:solidFill>
              <w14:schemeClr w14:val="tx1"/>
            </w14:solidFill>
          </w14:textFill>
        </w:rPr>
        <w:t>），并将该部分费用综合考虑到报价单价中，采购人对该部分费用不作单独列项，也不做任何调整。</w:t>
      </w:r>
    </w:p>
    <w:p w14:paraId="6AD2FB8E">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4采购文件如列有暂估价、计日工项目的，按采购清单要求计入总报价。</w:t>
      </w:r>
    </w:p>
    <w:p w14:paraId="3B097630">
      <w:pPr>
        <w:numPr>
          <w:ilvl w:val="0"/>
          <w:numId w:val="1"/>
        </w:numPr>
        <w:tabs>
          <w:tab w:val="left" w:pos="1890"/>
          <w:tab w:val="clear" w:pos="720"/>
        </w:tabs>
        <w:spacing w:line="360" w:lineRule="auto"/>
        <w:ind w:left="1890" w:hanging="840"/>
        <w:jc w:val="left"/>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暂估价的材料和工程设备的暂估单价中不包括与之对应的规费和税金。响应单位在报价时应按照</w:t>
      </w:r>
      <w:r>
        <w:rPr>
          <w:rFonts w:hint="eastAsia" w:hAnsi="宋体"/>
          <w:color w:val="000000" w:themeColor="text1"/>
          <w:szCs w:val="21"/>
          <w:highlight w:val="none"/>
          <w14:textFill>
            <w14:solidFill>
              <w14:schemeClr w14:val="tx1"/>
            </w14:solidFill>
          </w14:textFill>
        </w:rPr>
        <w:t>采购文件清单</w:t>
      </w:r>
      <w:r>
        <w:rPr>
          <w:rFonts w:hAnsi="宋体"/>
          <w:color w:val="000000" w:themeColor="text1"/>
          <w:szCs w:val="21"/>
          <w:highlight w:val="none"/>
          <w14:textFill>
            <w14:solidFill>
              <w14:schemeClr w14:val="tx1"/>
            </w14:solidFill>
          </w14:textFill>
        </w:rPr>
        <w:t>中给定的暂估单价计入分部分项工程量清单综合单价中。</w:t>
      </w:r>
    </w:p>
    <w:p w14:paraId="7507F629">
      <w:pPr>
        <w:numPr>
          <w:ilvl w:val="0"/>
          <w:numId w:val="1"/>
        </w:numPr>
        <w:tabs>
          <w:tab w:val="left" w:pos="1890"/>
          <w:tab w:val="clear" w:pos="720"/>
        </w:tabs>
        <w:spacing w:line="360" w:lineRule="auto"/>
        <w:ind w:left="1890" w:hanging="840"/>
        <w:jc w:val="left"/>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响应单位应按照</w:t>
      </w:r>
      <w:r>
        <w:rPr>
          <w:rFonts w:hint="eastAsia" w:hAnsi="宋体"/>
          <w:color w:val="000000" w:themeColor="text1"/>
          <w:szCs w:val="21"/>
          <w:highlight w:val="none"/>
          <w14:textFill>
            <w14:solidFill>
              <w14:schemeClr w14:val="tx1"/>
            </w14:solidFill>
          </w14:textFill>
        </w:rPr>
        <w:t>工程量清单</w:t>
      </w:r>
      <w:r>
        <w:rPr>
          <w:rFonts w:hAnsi="宋体"/>
          <w:color w:val="000000" w:themeColor="text1"/>
          <w:szCs w:val="21"/>
          <w:highlight w:val="none"/>
          <w14:textFill>
            <w14:solidFill>
              <w14:schemeClr w14:val="tx1"/>
            </w14:solidFill>
          </w14:textFill>
        </w:rPr>
        <w:t>中计日工的列项报出相应的综合单价，所报的计日工综合单价用于本合同下计日工项目的计价。</w:t>
      </w:r>
    </w:p>
    <w:p w14:paraId="4D7B8438">
      <w:pPr>
        <w:spacing w:line="360" w:lineRule="auto"/>
        <w:ind w:left="1140" w:leftChars="247" w:hanging="621" w:hangingChars="29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5如发生</w:t>
      </w:r>
      <w:r>
        <w:rPr>
          <w:color w:val="000000" w:themeColor="text1"/>
          <w:szCs w:val="21"/>
          <w:highlight w:val="none"/>
          <w14:textFill>
            <w14:solidFill>
              <w14:schemeClr w14:val="tx1"/>
            </w14:solidFill>
          </w14:textFill>
        </w:rPr>
        <w:t>甲供材料、</w:t>
      </w:r>
      <w:r>
        <w:rPr>
          <w:rFonts w:hint="eastAsia"/>
          <w:color w:val="000000" w:themeColor="text1"/>
          <w:szCs w:val="21"/>
          <w:highlight w:val="none"/>
          <w14:textFill>
            <w14:solidFill>
              <w14:schemeClr w14:val="tx1"/>
            </w14:solidFill>
          </w14:textFill>
        </w:rPr>
        <w:t>构件</w:t>
      </w:r>
      <w:r>
        <w:rPr>
          <w:color w:val="000000" w:themeColor="text1"/>
          <w:szCs w:val="2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情况，</w:t>
      </w:r>
      <w:r>
        <w:rPr>
          <w:color w:val="000000" w:themeColor="text1"/>
          <w:szCs w:val="21"/>
          <w:highlight w:val="none"/>
          <w14:textFill>
            <w14:solidFill>
              <w14:schemeClr w14:val="tx1"/>
            </w14:solidFill>
          </w14:textFill>
        </w:rPr>
        <w:t>甲供材料、</w:t>
      </w:r>
      <w:r>
        <w:rPr>
          <w:rFonts w:hint="eastAsia"/>
          <w:color w:val="000000" w:themeColor="text1"/>
          <w:szCs w:val="21"/>
          <w:highlight w:val="none"/>
          <w14:textFill>
            <w14:solidFill>
              <w14:schemeClr w14:val="tx1"/>
            </w14:solidFill>
          </w14:textFill>
        </w:rPr>
        <w:t>构件一般</w:t>
      </w:r>
      <w:r>
        <w:rPr>
          <w:color w:val="000000" w:themeColor="text1"/>
          <w:szCs w:val="21"/>
          <w:highlight w:val="none"/>
          <w14:textFill>
            <w14:solidFill>
              <w14:schemeClr w14:val="tx1"/>
            </w14:solidFill>
          </w14:textFill>
        </w:rPr>
        <w:t>为运抵施工现场落地，</w:t>
      </w:r>
      <w:r>
        <w:rPr>
          <w:rFonts w:hint="eastAsia"/>
          <w:color w:val="000000" w:themeColor="text1"/>
          <w:szCs w:val="21"/>
          <w:highlight w:val="none"/>
          <w14:textFill>
            <w14:solidFill>
              <w14:schemeClr w14:val="tx1"/>
            </w14:solidFill>
          </w14:textFill>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响应单位应根据第</w:t>
      </w:r>
      <w:r>
        <w:rPr>
          <w:rFonts w:hint="eastAsia"/>
          <w:color w:val="000000" w:themeColor="text1"/>
          <w:szCs w:val="21"/>
          <w:highlight w:val="none"/>
          <w14:textFill>
            <w14:solidFill>
              <w14:schemeClr w14:val="tx1"/>
            </w14:solidFill>
          </w14:textFill>
        </w:rPr>
        <w:t>三</w:t>
      </w:r>
      <w:r>
        <w:rPr>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中关于安全防护、文明施工措施</w:t>
      </w:r>
      <w:r>
        <w:rPr>
          <w:rFonts w:hint="eastAsia"/>
          <w:color w:val="000000" w:themeColor="text1"/>
          <w:szCs w:val="21"/>
          <w:highlight w:val="none"/>
          <w14:textFill>
            <w14:solidFill>
              <w14:schemeClr w14:val="tx1"/>
            </w14:solidFill>
          </w14:textFill>
        </w:rPr>
        <w:t>的要求</w:t>
      </w:r>
      <w:r>
        <w:rPr>
          <w:color w:val="000000" w:themeColor="text1"/>
          <w:szCs w:val="21"/>
          <w:highlight w:val="none"/>
          <w14:textFill>
            <w14:solidFill>
              <w14:schemeClr w14:val="tx1"/>
            </w14:solidFill>
          </w14:textFill>
        </w:rPr>
        <w:t>，结合自身的技术装备、管理水平计取安全防护、文明施工措施费</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包括环境保护、文明施工、安全施工、临时设施</w:t>
      </w:r>
      <w:r>
        <w:rPr>
          <w:rFonts w:hint="eastAsia"/>
          <w:color w:val="000000" w:themeColor="text1"/>
          <w:szCs w:val="21"/>
          <w:highlight w:val="none"/>
          <w14:textFill>
            <w14:solidFill>
              <w14:schemeClr w14:val="tx1"/>
            </w14:solidFill>
          </w14:textFill>
        </w:rPr>
        <w:t>和施工围挡共五项</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，并</w:t>
      </w:r>
      <w:r>
        <w:rPr>
          <w:rFonts w:hint="eastAsia"/>
          <w:color w:val="000000" w:themeColor="text1"/>
          <w:szCs w:val="21"/>
          <w:highlight w:val="none"/>
          <w14:textFill>
            <w14:solidFill>
              <w14:schemeClr w14:val="tx1"/>
            </w14:solidFill>
          </w14:textFill>
        </w:rPr>
        <w:t>将该部分费用采用固定合价形式单独列项，具体计量以安全部与合约部共同确定的方法为准。</w:t>
      </w:r>
    </w:p>
    <w:p w14:paraId="1E64E49B">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17.2.8</w:t>
      </w:r>
      <w:r>
        <w:rPr>
          <w:rFonts w:hAnsi="宋体"/>
          <w:bCs/>
          <w:color w:val="000000" w:themeColor="text1"/>
          <w:szCs w:val="21"/>
          <w:highlight w:val="none"/>
          <w14:textFill>
            <w14:solidFill>
              <w14:schemeClr w14:val="tx1"/>
            </w14:solidFill>
          </w14:textFill>
        </w:rPr>
        <w:t>规费应按国家的</w:t>
      </w:r>
      <w:r>
        <w:rPr>
          <w:rFonts w:hint="eastAsia" w:hAnsi="宋体"/>
          <w:bCs/>
          <w:color w:val="000000" w:themeColor="text1"/>
          <w:szCs w:val="21"/>
          <w:highlight w:val="none"/>
          <w14:textFill>
            <w14:solidFill>
              <w14:schemeClr w14:val="tx1"/>
            </w14:solidFill>
          </w14:textFill>
        </w:rPr>
        <w:t>相关</w:t>
      </w:r>
      <w:r>
        <w:rPr>
          <w:rFonts w:hAnsi="宋体"/>
          <w:bCs/>
          <w:color w:val="000000" w:themeColor="text1"/>
          <w:szCs w:val="21"/>
          <w:highlight w:val="none"/>
          <w14:textFill>
            <w14:solidFill>
              <w14:schemeClr w14:val="tx1"/>
            </w14:solidFill>
          </w14:textFill>
        </w:rPr>
        <w:t>规定计</w:t>
      </w:r>
      <w:r>
        <w:rPr>
          <w:rFonts w:hint="eastAsia" w:hAnsi="宋体"/>
          <w:bCs/>
          <w:color w:val="000000" w:themeColor="text1"/>
          <w:szCs w:val="21"/>
          <w:highlight w:val="none"/>
          <w14:textFill>
            <w14:solidFill>
              <w14:schemeClr w14:val="tx1"/>
            </w14:solidFill>
          </w14:textFill>
        </w:rPr>
        <w:t>取，</w:t>
      </w:r>
      <w:r>
        <w:rPr>
          <w:rFonts w:hint="eastAsia" w:hAnsi="宋体"/>
          <w:color w:val="000000" w:themeColor="text1"/>
          <w:szCs w:val="21"/>
          <w:highlight w:val="none"/>
          <w14:textFill>
            <w14:solidFill>
              <w14:schemeClr w14:val="tx1"/>
            </w14:solidFill>
          </w14:textFill>
        </w:rPr>
        <w:t>不</w:t>
      </w:r>
      <w:r>
        <w:rPr>
          <w:rFonts w:hAnsi="宋体"/>
          <w:color w:val="000000" w:themeColor="text1"/>
          <w:szCs w:val="21"/>
          <w:highlight w:val="none"/>
          <w14:textFill>
            <w14:solidFill>
              <w14:schemeClr w14:val="tx1"/>
            </w14:solidFill>
          </w14:textFill>
        </w:rPr>
        <w:t>单独列项</w:t>
      </w:r>
      <w:r>
        <w:rPr>
          <w:rFonts w:hint="eastAsia" w:hAnsi="宋体"/>
          <w:color w:val="000000" w:themeColor="text1"/>
          <w:szCs w:val="21"/>
          <w:highlight w:val="none"/>
          <w14:textFill>
            <w14:solidFill>
              <w14:schemeClr w14:val="tx1"/>
            </w14:solidFill>
          </w14:textFill>
        </w:rPr>
        <w:t>，综合考虑到报价单价中</w:t>
      </w:r>
      <w:r>
        <w:rPr>
          <w:rFonts w:hAnsi="宋体"/>
          <w:bCs/>
          <w:color w:val="000000" w:themeColor="text1"/>
          <w:szCs w:val="21"/>
          <w:highlight w:val="none"/>
          <w14:textFill>
            <w14:solidFill>
              <w14:schemeClr w14:val="tx1"/>
            </w14:solidFill>
          </w14:textFill>
        </w:rPr>
        <w:t>。</w:t>
      </w:r>
    </w:p>
    <w:p w14:paraId="458EA40C">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17.2.</w:t>
      </w:r>
      <w:r>
        <w:rPr>
          <w:rFonts w:hint="eastAsia"/>
          <w:color w:val="000000" w:themeColor="text1"/>
          <w:szCs w:val="21"/>
          <w:highlight w:val="none"/>
          <w14:textFill>
            <w14:solidFill>
              <w14:schemeClr w14:val="tx1"/>
            </w14:solidFill>
          </w14:textFill>
        </w:rPr>
        <w:t>9响应单位应根据项目所在地  相关文件规定、现行标准和合同文件关于农民工工伤保险的约定，计取农民工工伤保险费用。农民工工伤保险费用不单独列项，</w:t>
      </w:r>
      <w:r>
        <w:rPr>
          <w:rFonts w:hint="eastAsia" w:hAnsi="宋体"/>
          <w:color w:val="000000" w:themeColor="text1"/>
          <w:szCs w:val="21"/>
          <w:highlight w:val="none"/>
          <w14:textFill>
            <w14:solidFill>
              <w14:schemeClr w14:val="tx1"/>
            </w14:solidFill>
          </w14:textFill>
        </w:rPr>
        <w:t>综合考虑到报价单价中</w:t>
      </w:r>
      <w:r>
        <w:rPr>
          <w:rFonts w:hint="eastAsia"/>
          <w:color w:val="000000" w:themeColor="text1"/>
          <w:szCs w:val="21"/>
          <w:highlight w:val="none"/>
          <w14:textFill>
            <w14:solidFill>
              <w14:schemeClr w14:val="tx1"/>
            </w14:solidFill>
          </w14:textFill>
        </w:rPr>
        <w:t>。</w:t>
      </w:r>
    </w:p>
    <w:p w14:paraId="0C38497D">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17.2.10</w:t>
      </w:r>
      <w:r>
        <w:rPr>
          <w:rFonts w:hAnsi="宋体"/>
          <w:bCs/>
          <w:color w:val="000000" w:themeColor="text1"/>
          <w:szCs w:val="21"/>
          <w:highlight w:val="none"/>
          <w14:textFill>
            <w14:solidFill>
              <w14:schemeClr w14:val="tx1"/>
            </w14:solidFill>
          </w14:textFill>
        </w:rPr>
        <w:t>税金应按国家的</w:t>
      </w:r>
      <w:r>
        <w:rPr>
          <w:rFonts w:hint="eastAsia" w:hAnsi="宋体"/>
          <w:bCs/>
          <w:color w:val="000000" w:themeColor="text1"/>
          <w:szCs w:val="21"/>
          <w:highlight w:val="none"/>
          <w14:textFill>
            <w14:solidFill>
              <w14:schemeClr w14:val="tx1"/>
            </w14:solidFill>
          </w14:textFill>
        </w:rPr>
        <w:t>相关</w:t>
      </w:r>
      <w:r>
        <w:rPr>
          <w:rFonts w:hAnsi="宋体"/>
          <w:bCs/>
          <w:color w:val="000000" w:themeColor="text1"/>
          <w:szCs w:val="21"/>
          <w:highlight w:val="none"/>
          <w14:textFill>
            <w14:solidFill>
              <w14:schemeClr w14:val="tx1"/>
            </w14:solidFill>
          </w14:textFill>
        </w:rPr>
        <w:t>规定计</w:t>
      </w:r>
      <w:r>
        <w:rPr>
          <w:rFonts w:hint="eastAsia" w:hAnsi="宋体"/>
          <w:bCs/>
          <w:color w:val="000000" w:themeColor="text1"/>
          <w:szCs w:val="21"/>
          <w:highlight w:val="none"/>
          <w14:textFill>
            <w14:solidFill>
              <w14:schemeClr w14:val="tx1"/>
            </w14:solidFill>
          </w14:textFill>
        </w:rPr>
        <w:t>取，按照价税分离的形式</w:t>
      </w:r>
      <w:r>
        <w:rPr>
          <w:rFonts w:hAnsi="宋体"/>
          <w:color w:val="000000" w:themeColor="text1"/>
          <w:szCs w:val="21"/>
          <w:highlight w:val="none"/>
          <w14:textFill>
            <w14:solidFill>
              <w14:schemeClr w14:val="tx1"/>
            </w14:solidFill>
          </w14:textFill>
        </w:rPr>
        <w:t>单独列项</w:t>
      </w:r>
      <w:r>
        <w:rPr>
          <w:rFonts w:hint="eastAsia" w:hAnsi="宋体"/>
          <w:color w:val="000000" w:themeColor="text1"/>
          <w:szCs w:val="21"/>
          <w:highlight w:val="none"/>
          <w14:textFill>
            <w14:solidFill>
              <w14:schemeClr w14:val="tx1"/>
            </w14:solidFill>
          </w14:textFill>
        </w:rPr>
        <w:t>。</w:t>
      </w:r>
    </w:p>
    <w:p w14:paraId="6667EDD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10" w:name="_Toc145499751"/>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有效期</w:t>
      </w:r>
      <w:bookmarkEnd w:id="299"/>
      <w:bookmarkEnd w:id="300"/>
      <w:bookmarkEnd w:id="301"/>
      <w:bookmarkEnd w:id="302"/>
      <w:bookmarkEnd w:id="303"/>
      <w:bookmarkEnd w:id="304"/>
      <w:bookmarkEnd w:id="305"/>
      <w:bookmarkEnd w:id="306"/>
      <w:bookmarkEnd w:id="307"/>
      <w:bookmarkEnd w:id="308"/>
      <w:bookmarkEnd w:id="309"/>
      <w:bookmarkEnd w:id="310"/>
    </w:p>
    <w:p w14:paraId="3C1B479D">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.1响应有效期见《响应单位须知前附表》中第1</w:t>
      </w:r>
      <w:r>
        <w:rPr>
          <w:rFonts w:hint="eastAsia"/>
          <w:color w:val="000000" w:themeColor="text1"/>
          <w:szCs w:val="21"/>
          <w:highlight w:val="none"/>
          <w14:textFill>
            <w14:solidFill>
              <w14:schemeClr w14:val="tx1"/>
            </w14:solidFill>
          </w14:textFill>
        </w:rPr>
        <w:t>0</w:t>
      </w:r>
      <w:r>
        <w:rPr>
          <w:color w:val="000000" w:themeColor="text1"/>
          <w:szCs w:val="21"/>
          <w:highlight w:val="none"/>
          <w14:textFill>
            <w14:solidFill>
              <w14:schemeClr w14:val="tx1"/>
            </w14:solidFill>
          </w14:textFill>
        </w:rPr>
        <w:t>项的要求。</w:t>
      </w:r>
    </w:p>
    <w:p w14:paraId="7D971FF5">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.3响应单位可以拒绝这种要求，放弃其</w:t>
      </w:r>
      <w:r>
        <w:rPr>
          <w:rFonts w:hint="eastAsia"/>
          <w:color w:val="000000" w:themeColor="text1"/>
          <w:szCs w:val="21"/>
          <w:highlight w:val="none"/>
          <w14:textFill>
            <w14:solidFill>
              <w14:schemeClr w14:val="tx1"/>
            </w14:solidFill>
          </w14:textFill>
        </w:rPr>
        <w:t>采购响应</w:t>
      </w:r>
      <w:r>
        <w:rPr>
          <w:color w:val="000000" w:themeColor="text1"/>
          <w:szCs w:val="21"/>
          <w:highlight w:val="none"/>
          <w14:textFill>
            <w14:solidFill>
              <w14:schemeClr w14:val="tx1"/>
            </w14:solidFill>
          </w14:textFill>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11" w:name="_Toc54280806"/>
      <w:bookmarkStart w:id="312" w:name="_Toc54279954"/>
      <w:bookmarkStart w:id="313" w:name="_Toc145499752"/>
      <w:bookmarkStart w:id="314" w:name="_Toc53948351"/>
      <w:bookmarkStart w:id="315" w:name="_Toc54280380"/>
      <w:bookmarkStart w:id="316" w:name="_Toc53939595"/>
      <w:bookmarkStart w:id="317" w:name="_Toc53945796"/>
      <w:bookmarkStart w:id="318" w:name="_Toc53948772"/>
      <w:bookmarkStart w:id="319" w:name="_Toc54281232"/>
      <w:bookmarkStart w:id="320" w:name="_Toc53949193"/>
      <w:bookmarkStart w:id="321" w:name="_Toc53918822"/>
      <w:bookmarkStart w:id="322" w:name="_Toc53936531"/>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19.响应担保</w:t>
      </w:r>
      <w:bookmarkEnd w:id="311"/>
      <w:bookmarkEnd w:id="312"/>
      <w:bookmarkEnd w:id="313"/>
      <w:bookmarkEnd w:id="314"/>
      <w:bookmarkEnd w:id="315"/>
      <w:bookmarkEnd w:id="316"/>
      <w:bookmarkEnd w:id="317"/>
      <w:bookmarkEnd w:id="318"/>
      <w:bookmarkEnd w:id="319"/>
      <w:bookmarkEnd w:id="320"/>
      <w:bookmarkEnd w:id="321"/>
      <w:bookmarkEnd w:id="322"/>
    </w:p>
    <w:p w14:paraId="01A5269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19.1响应单位在送交响应文件时，应按《响应单位须知前附表》中第1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项</w:t>
      </w:r>
      <w:r>
        <w:rPr>
          <w:rFonts w:hint="eastAsia"/>
          <w:color w:val="000000" w:themeColor="text1"/>
          <w:szCs w:val="21"/>
          <w:highlight w:val="none"/>
          <w14:textFill>
            <w14:solidFill>
              <w14:schemeClr w14:val="tx1"/>
            </w14:solidFill>
          </w14:textFill>
        </w:rPr>
        <w:t>要求</w:t>
      </w:r>
      <w:r>
        <w:rPr>
          <w:color w:val="000000" w:themeColor="text1"/>
          <w:szCs w:val="21"/>
          <w:highlight w:val="none"/>
          <w14:textFill>
            <w14:solidFill>
              <w14:schemeClr w14:val="tx1"/>
            </w14:solidFill>
          </w14:textFill>
        </w:rPr>
        <w:t>提交响应担保，用于保护采购人免受因响应单位行为而蒙受的损失。</w:t>
      </w:r>
    </w:p>
    <w:p w14:paraId="37C6E6CB">
      <w:pPr>
        <w:spacing w:line="360" w:lineRule="auto"/>
        <w:ind w:firstLine="105" w:firstLineChars="5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19.2</w:t>
      </w:r>
      <w:r>
        <w:rPr>
          <w:rFonts w:hint="eastAsia"/>
          <w:b/>
          <w:bCs/>
          <w:color w:val="000000" w:themeColor="text1"/>
          <w:szCs w:val="21"/>
          <w:highlight w:val="none"/>
          <w:u w:val="single"/>
          <w14:textFill>
            <w14:solidFill>
              <w14:schemeClr w14:val="tx1"/>
            </w14:solidFill>
          </w14:textFill>
        </w:rPr>
        <w:t>响应单位未按采购文件要求提交足额有效的响应担保，其响应文件将被拒绝，作废标处理。</w:t>
      </w:r>
    </w:p>
    <w:p w14:paraId="6490D575">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响应担保在响应有效期满后</w:t>
      </w:r>
      <w:r>
        <w:rPr>
          <w:rFonts w:hint="eastAsia"/>
          <w:color w:val="000000" w:themeColor="text1"/>
          <w:szCs w:val="21"/>
          <w:highlight w:val="none"/>
          <w14:textFill>
            <w14:solidFill>
              <w14:schemeClr w14:val="tx1"/>
            </w14:solidFill>
          </w14:textFill>
        </w:rPr>
        <w:t>30</w:t>
      </w:r>
      <w:r>
        <w:rPr>
          <w:color w:val="000000" w:themeColor="text1"/>
          <w:szCs w:val="21"/>
          <w:highlight w:val="none"/>
          <w14:textFill>
            <w14:solidFill>
              <w14:schemeClr w14:val="tx1"/>
            </w14:solidFill>
          </w14:textFill>
        </w:rPr>
        <w:t xml:space="preserve">天内保持有效，采购人如果按规定延长了响应有效期，则响应担保的有效期也相应延长。 </w:t>
      </w:r>
    </w:p>
    <w:p w14:paraId="2359DB66">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未成交单位的响应保证金将在采购人</w:t>
      </w:r>
      <w:r>
        <w:rPr>
          <w:rFonts w:hint="eastAsia"/>
          <w:color w:val="000000" w:themeColor="text1"/>
          <w:szCs w:val="21"/>
          <w:highlight w:val="none"/>
          <w14:textFill>
            <w14:solidFill>
              <w14:schemeClr w14:val="tx1"/>
            </w14:solidFill>
          </w14:textFill>
        </w:rPr>
        <w:t>下发了成交单位的成交通知书</w:t>
      </w:r>
      <w:r>
        <w:rPr>
          <w:color w:val="000000" w:themeColor="text1"/>
          <w:szCs w:val="21"/>
          <w:highlight w:val="none"/>
          <w14:textFill>
            <w14:solidFill>
              <w14:schemeClr w14:val="tx1"/>
            </w14:solidFill>
          </w14:textFill>
        </w:rPr>
        <w:t>后</w:t>
      </w:r>
      <w:r>
        <w:rPr>
          <w:rFonts w:hint="eastAsia"/>
          <w:color w:val="000000" w:themeColor="text1"/>
          <w:szCs w:val="21"/>
          <w:highlight w:val="none"/>
          <w14:textFill>
            <w14:solidFill>
              <w14:schemeClr w14:val="tx1"/>
            </w14:solidFill>
          </w14:textFill>
        </w:rPr>
        <w:t>7个工作日</w:t>
      </w:r>
      <w:r>
        <w:rPr>
          <w:color w:val="000000" w:themeColor="text1"/>
          <w:szCs w:val="21"/>
          <w:highlight w:val="none"/>
          <w14:textFill>
            <w14:solidFill>
              <w14:schemeClr w14:val="tx1"/>
            </w14:solidFill>
          </w14:textFill>
        </w:rPr>
        <w:t xml:space="preserve">内予以退还，其期限不超过响应有效期满后30天。 </w:t>
      </w:r>
    </w:p>
    <w:p w14:paraId="49428F20">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成交单位的响应保证金，在与发包人签订合同协议书</w:t>
      </w:r>
      <w:r>
        <w:rPr>
          <w:rFonts w:hint="eastAsia"/>
          <w:color w:val="000000" w:themeColor="text1"/>
          <w:szCs w:val="21"/>
          <w:highlight w:val="none"/>
          <w14:textFill>
            <w14:solidFill>
              <w14:schemeClr w14:val="tx1"/>
            </w14:solidFill>
          </w14:textFill>
        </w:rPr>
        <w:t>后直接转为履约保证金</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采用银行保函时，须在签订合同协议书前办理完成。</w:t>
      </w:r>
    </w:p>
    <w:p w14:paraId="1979ABE0">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响应单位有如下情况之一，将被没收其响应担保</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 xml:space="preserve"> </w:t>
      </w:r>
    </w:p>
    <w:p w14:paraId="6BC35D68">
      <w:pPr>
        <w:spacing w:line="360" w:lineRule="auto"/>
        <w:rPr>
          <w:rStyle w:val="34"/>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w:t>
      </w:r>
      <w:r>
        <w:rPr>
          <w:rFonts w:hint="eastAsia"/>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t>.1在响应有效期内撤回响应文件；</w:t>
      </w:r>
    </w:p>
    <w:p w14:paraId="40E33EFD">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.2成交单位未能按《响应单位须知前附表》第</w:t>
      </w:r>
      <w:r>
        <w:rPr>
          <w:rFonts w:hint="eastAsia"/>
          <w:color w:val="000000" w:themeColor="text1"/>
          <w:szCs w:val="21"/>
          <w:highlight w:val="none"/>
          <w14:textFill>
            <w14:solidFill>
              <w14:schemeClr w14:val="tx1"/>
            </w14:solidFill>
          </w14:textFill>
        </w:rPr>
        <w:t>17项</w:t>
      </w:r>
      <w:r>
        <w:rPr>
          <w:color w:val="000000" w:themeColor="text1"/>
          <w:szCs w:val="21"/>
          <w:highlight w:val="none"/>
          <w14:textFill>
            <w14:solidFill>
              <w14:schemeClr w14:val="tx1"/>
            </w14:solidFill>
          </w14:textFill>
        </w:rPr>
        <w:t>的规定签订合同协议书。</w:t>
      </w:r>
    </w:p>
    <w:p w14:paraId="68F45270">
      <w:pPr>
        <w:pStyle w:val="53"/>
        <w:numPr>
          <w:ilvl w:val="0"/>
          <w:numId w:val="2"/>
        </w:numPr>
        <w:spacing w:before="120"/>
        <w:jc w:val="center"/>
        <w:rPr>
          <w:rStyle w:val="46"/>
          <w:rFonts w:hint="eastAsia" w:ascii="Times New Roman" w:hAnsi="宋体" w:eastAsia="宋体"/>
          <w:b/>
          <w:bCs w:val="0"/>
          <w:color w:val="000000" w:themeColor="text1"/>
          <w:sz w:val="28"/>
          <w:szCs w:val="28"/>
          <w:highlight w:val="none"/>
          <w14:textFill>
            <w14:solidFill>
              <w14:schemeClr w14:val="tx1"/>
            </w14:solidFill>
          </w14:textFill>
        </w:rPr>
      </w:pPr>
      <w:bookmarkStart w:id="323" w:name="_Toc53936533"/>
      <w:bookmarkStart w:id="324" w:name="_Toc54280382"/>
      <w:bookmarkStart w:id="325" w:name="_Toc53939597"/>
      <w:bookmarkStart w:id="326" w:name="_Toc53918824"/>
      <w:bookmarkStart w:id="327" w:name="_Toc53948774"/>
      <w:bookmarkStart w:id="328" w:name="_Toc54279956"/>
      <w:bookmarkStart w:id="329" w:name="_Toc53945798"/>
      <w:bookmarkStart w:id="330" w:name="_Toc53948353"/>
      <w:bookmarkStart w:id="331" w:name="_Toc53949195"/>
      <w:bookmarkStart w:id="332" w:name="_Toc54280808"/>
      <w:bookmarkStart w:id="333" w:name="_Toc54281234"/>
      <w:bookmarkStart w:id="334" w:name="_Toc145499753"/>
      <w:bookmarkStart w:id="335" w:name="_Toc284135591"/>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响应文件的递交</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000B8D6D">
      <w:pPr>
        <w:pStyle w:val="53"/>
        <w:spacing w:before="0" w:beforeLines="0" w:line="24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（成交后，采购人有权要求成交单位提供纸质版响应文件，成交单位应按要求制作提供）</w:t>
      </w:r>
    </w:p>
    <w:p w14:paraId="563D2FF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36" w:name="_Toc145499754"/>
      <w:bookmarkStart w:id="337" w:name="_Toc54280383"/>
      <w:bookmarkStart w:id="338" w:name="_Toc53939598"/>
      <w:bookmarkStart w:id="339" w:name="_Toc53948775"/>
      <w:bookmarkStart w:id="340" w:name="_Toc54281235"/>
      <w:bookmarkStart w:id="341" w:name="_Toc53949196"/>
      <w:bookmarkStart w:id="342" w:name="_Toc54279957"/>
      <w:bookmarkStart w:id="343" w:name="_Toc54280809"/>
      <w:bookmarkStart w:id="344" w:name="_Toc53945799"/>
      <w:bookmarkStart w:id="345" w:name="_Toc53948354"/>
      <w:bookmarkStart w:id="346" w:name="_Toc53936534"/>
      <w:bookmarkStart w:id="347" w:name="_Toc5391882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20.响应文件的密封与标记</w:t>
      </w:r>
      <w:bookmarkEnd w:id="336"/>
      <w:bookmarkEnd w:id="337"/>
      <w:bookmarkEnd w:id="338"/>
      <w:bookmarkEnd w:id="339"/>
      <w:bookmarkEnd w:id="340"/>
      <w:bookmarkEnd w:id="341"/>
      <w:bookmarkEnd w:id="342"/>
      <w:bookmarkEnd w:id="343"/>
      <w:bookmarkEnd w:id="344"/>
      <w:bookmarkEnd w:id="345"/>
      <w:bookmarkEnd w:id="346"/>
      <w:bookmarkEnd w:id="347"/>
    </w:p>
    <w:p w14:paraId="046503E0">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20.1响应文件均须左侧装订，装订须牢固不易拆散或换页，不得采用活页方式装订。</w:t>
      </w:r>
    </w:p>
    <w:p w14:paraId="325268E4">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20.2响应文件</w:t>
      </w:r>
      <w:r>
        <w:rPr>
          <w:rFonts w:hint="eastAsia"/>
          <w:color w:val="000000" w:themeColor="text1"/>
          <w:szCs w:val="21"/>
          <w:highlight w:val="none"/>
          <w14:textFill>
            <w14:solidFill>
              <w14:schemeClr w14:val="tx1"/>
            </w14:solidFill>
          </w14:textFill>
        </w:rPr>
        <w:t>应用密封袋（箱）进行包装，袋（箱）开口处应用密封条进行密封并在骑缝处加盖响应单位公章，密封条由响应单位自行制作。</w:t>
      </w:r>
      <w:r>
        <w:rPr>
          <w:color w:val="000000" w:themeColor="text1"/>
          <w:szCs w:val="21"/>
          <w:highlight w:val="none"/>
          <w14:textFill>
            <w14:solidFill>
              <w14:schemeClr w14:val="tx1"/>
            </w14:solidFill>
          </w14:textFill>
        </w:rPr>
        <w:t>未密封或密封不符合采购文件规定的响应文件将不予以签收。</w:t>
      </w:r>
    </w:p>
    <w:p w14:paraId="1E8EB55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20.3响应文件</w:t>
      </w:r>
      <w:r>
        <w:rPr>
          <w:rFonts w:hint="eastAsia"/>
          <w:color w:val="000000" w:themeColor="text1"/>
          <w:szCs w:val="21"/>
          <w:highlight w:val="none"/>
          <w14:textFill>
            <w14:solidFill>
              <w14:schemeClr w14:val="tx1"/>
            </w14:solidFill>
          </w14:textFill>
        </w:rPr>
        <w:t>正副本</w:t>
      </w:r>
      <w:r>
        <w:rPr>
          <w:color w:val="000000" w:themeColor="text1"/>
          <w:szCs w:val="21"/>
          <w:highlight w:val="none"/>
          <w14:textFill>
            <w14:solidFill>
              <w14:schemeClr w14:val="tx1"/>
            </w14:solidFill>
          </w14:textFill>
        </w:rPr>
        <w:t>和</w:t>
      </w:r>
      <w:r>
        <w:rPr>
          <w:rFonts w:hint="eastAsia"/>
          <w:color w:val="000000" w:themeColor="text1"/>
          <w:szCs w:val="21"/>
          <w:highlight w:val="none"/>
          <w14:textFill>
            <w14:solidFill>
              <w14:schemeClr w14:val="tx1"/>
            </w14:solidFill>
          </w14:textFill>
        </w:rPr>
        <w:t>U盘（</w:t>
      </w:r>
      <w:r>
        <w:rPr>
          <w:color w:val="000000" w:themeColor="text1"/>
          <w:szCs w:val="21"/>
          <w:highlight w:val="none"/>
          <w14:textFill>
            <w14:solidFill>
              <w14:schemeClr w14:val="tx1"/>
            </w14:solidFill>
          </w14:textFill>
        </w:rPr>
        <w:t>光盘</w:t>
      </w:r>
      <w:r>
        <w:rPr>
          <w:rFonts w:hint="eastAsia"/>
          <w:color w:val="000000" w:themeColor="text1"/>
          <w:szCs w:val="21"/>
          <w:highlight w:val="none"/>
          <w14:textFill>
            <w14:solidFill>
              <w14:schemeClr w14:val="tx1"/>
            </w14:solidFill>
          </w14:textFill>
        </w:rPr>
        <w:t>）可</w:t>
      </w:r>
      <w:r>
        <w:rPr>
          <w:color w:val="000000" w:themeColor="text1"/>
          <w:szCs w:val="21"/>
          <w:highlight w:val="none"/>
          <w14:textFill>
            <w14:solidFill>
              <w14:schemeClr w14:val="tx1"/>
            </w14:solidFill>
          </w14:textFill>
        </w:rPr>
        <w:t>一起</w:t>
      </w:r>
      <w:r>
        <w:rPr>
          <w:rFonts w:hint="eastAsia"/>
          <w:color w:val="000000" w:themeColor="text1"/>
          <w:szCs w:val="21"/>
          <w:highlight w:val="none"/>
          <w14:textFill>
            <w14:solidFill>
              <w14:schemeClr w14:val="tx1"/>
            </w14:solidFill>
          </w14:textFill>
        </w:rPr>
        <w:t>包装密封</w:t>
      </w:r>
      <w:r>
        <w:rPr>
          <w:color w:val="000000" w:themeColor="text1"/>
          <w:szCs w:val="21"/>
          <w:highlight w:val="none"/>
          <w14:textFill>
            <w14:solidFill>
              <w14:schemeClr w14:val="tx1"/>
            </w14:solidFill>
          </w14:textFill>
        </w:rPr>
        <w:t>。</w:t>
      </w:r>
    </w:p>
    <w:p w14:paraId="63D0960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48" w:name="_Toc145499755"/>
      <w:bookmarkStart w:id="349" w:name="_Toc53945800"/>
      <w:bookmarkStart w:id="350" w:name="_Toc53948776"/>
      <w:bookmarkStart w:id="351" w:name="_Toc54279958"/>
      <w:bookmarkStart w:id="352" w:name="_Toc53939599"/>
      <w:bookmarkStart w:id="353" w:name="_Toc54280810"/>
      <w:bookmarkStart w:id="354" w:name="_Toc54281236"/>
      <w:bookmarkStart w:id="355" w:name="_Toc53918826"/>
      <w:bookmarkStart w:id="356" w:name="_Toc54280384"/>
      <w:bookmarkStart w:id="357" w:name="_Toc53949197"/>
      <w:bookmarkStart w:id="358" w:name="_Toc53936535"/>
      <w:bookmarkStart w:id="359" w:name="_Toc5394835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.响应截止时间</w:t>
      </w:r>
      <w:bookmarkEnd w:id="348"/>
      <w:bookmarkEnd w:id="349"/>
      <w:bookmarkEnd w:id="350"/>
      <w:bookmarkEnd w:id="351"/>
      <w:bookmarkEnd w:id="352"/>
      <w:bookmarkEnd w:id="353"/>
      <w:bookmarkEnd w:id="354"/>
      <w:bookmarkEnd w:id="355"/>
      <w:bookmarkEnd w:id="356"/>
      <w:bookmarkEnd w:id="357"/>
      <w:bookmarkEnd w:id="358"/>
      <w:bookmarkEnd w:id="359"/>
    </w:p>
    <w:p w14:paraId="5417DA2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.1响应单位应按《响应单位须知前附表》第1</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项说明的时间和地址，或根据</w:t>
      </w:r>
      <w:r>
        <w:rPr>
          <w:rFonts w:hint="eastAsia"/>
          <w:color w:val="000000" w:themeColor="text1"/>
          <w:szCs w:val="21"/>
          <w:highlight w:val="none"/>
          <w14:textFill>
            <w14:solidFill>
              <w14:schemeClr w14:val="tx1"/>
            </w14:solidFill>
          </w14:textFill>
        </w:rPr>
        <w:t>本第</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条规定所推迟的截止时间递交响应文件。</w:t>
      </w:r>
    </w:p>
    <w:p w14:paraId="321863E1">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21.2</w:t>
      </w:r>
      <w:r>
        <w:rPr>
          <w:color w:val="000000" w:themeColor="text1"/>
          <w:highlight w:val="none"/>
          <w14:textFill>
            <w14:solidFill>
              <w14:schemeClr w14:val="tx1"/>
            </w14:solidFill>
          </w14:textFill>
        </w:rPr>
        <w:t>采购人在本《响应单位须知前附表》第</w:t>
      </w:r>
      <w:r>
        <w:rPr>
          <w:rFonts w:hint="eastAsia"/>
          <w:color w:val="000000" w:themeColor="text1"/>
          <w:highlight w:val="none"/>
          <w14:textFill>
            <w14:solidFill>
              <w14:schemeClr w14:val="tx1"/>
            </w14:solidFill>
          </w14:textFill>
        </w:rPr>
        <w:t>14项</w:t>
      </w:r>
      <w:r>
        <w:rPr>
          <w:color w:val="000000" w:themeColor="text1"/>
          <w:highlight w:val="none"/>
          <w14:textFill>
            <w14:solidFill>
              <w14:schemeClr w14:val="tx1"/>
            </w14:solidFill>
          </w14:textFill>
        </w:rPr>
        <w:t>规定的响应截止时间</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或根据</w:t>
      </w:r>
      <w:r>
        <w:rPr>
          <w:rFonts w:hint="eastAsia"/>
          <w:color w:val="000000" w:themeColor="text1"/>
          <w:highlight w:val="none"/>
          <w14:textFill>
            <w14:solidFill>
              <w14:schemeClr w14:val="tx1"/>
            </w14:solidFill>
          </w14:textFill>
        </w:rPr>
        <w:t>本第19</w:t>
      </w:r>
      <w:r>
        <w:rPr>
          <w:color w:val="000000" w:themeColor="text1"/>
          <w:highlight w:val="none"/>
          <w14:textFill>
            <w14:solidFill>
              <w14:schemeClr w14:val="tx1"/>
            </w14:solidFill>
          </w14:textFill>
        </w:rP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60" w:name="_Toc53939601"/>
      <w:bookmarkStart w:id="361" w:name="_Toc54279960"/>
      <w:bookmarkStart w:id="362" w:name="_Toc53918828"/>
      <w:bookmarkStart w:id="363" w:name="_Toc53949199"/>
      <w:bookmarkStart w:id="364" w:name="_Toc53948778"/>
      <w:bookmarkStart w:id="365" w:name="_Toc145499757"/>
      <w:bookmarkStart w:id="366" w:name="_Toc54280812"/>
      <w:bookmarkStart w:id="367" w:name="_Toc53945802"/>
      <w:bookmarkStart w:id="368" w:name="_Toc53948357"/>
      <w:bookmarkStart w:id="369" w:name="_Toc54281238"/>
      <w:bookmarkStart w:id="370" w:name="_Toc54280386"/>
      <w:bookmarkStart w:id="371" w:name="_Toc53936537"/>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22.响应文件的更改与撤回</w:t>
      </w:r>
      <w:bookmarkEnd w:id="360"/>
      <w:bookmarkEnd w:id="361"/>
      <w:bookmarkEnd w:id="362"/>
      <w:bookmarkEnd w:id="363"/>
      <w:bookmarkEnd w:id="364"/>
      <w:bookmarkEnd w:id="365"/>
      <w:bookmarkEnd w:id="366"/>
      <w:bookmarkEnd w:id="367"/>
      <w:bookmarkEnd w:id="368"/>
      <w:bookmarkEnd w:id="369"/>
      <w:bookmarkEnd w:id="370"/>
      <w:bookmarkEnd w:id="371"/>
    </w:p>
    <w:p w14:paraId="18DBBB6A">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22.1在响应文件递交截止时间之前，响应单位可以对已递交的响应文件进行修改或撤回。</w:t>
      </w:r>
      <w:r>
        <w:rPr>
          <w:rFonts w:hint="eastAsia"/>
          <w:color w:val="000000" w:themeColor="text1"/>
          <w:szCs w:val="21"/>
          <w:highlight w:val="none"/>
          <w14:textFill>
            <w14:solidFill>
              <w14:schemeClr w14:val="tx1"/>
            </w14:solidFill>
          </w14:textFill>
        </w:rPr>
        <w:t>线上完成递交文件的，不允许更改或撤回</w:t>
      </w:r>
      <w:r>
        <w:rPr>
          <w:color w:val="000000" w:themeColor="text1"/>
          <w:szCs w:val="21"/>
          <w:highlight w:val="none"/>
          <w14:textFill>
            <w14:solidFill>
              <w14:schemeClr w14:val="tx1"/>
            </w14:solidFill>
          </w14:textFill>
        </w:rPr>
        <w:t>。</w:t>
      </w:r>
    </w:p>
    <w:p w14:paraId="40B184F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372" w:name="_Toc53949200"/>
      <w:bookmarkStart w:id="373" w:name="_Toc53918829"/>
      <w:bookmarkStart w:id="374" w:name="_Toc54279961"/>
      <w:bookmarkStart w:id="375" w:name="_Toc53936538"/>
      <w:bookmarkStart w:id="376" w:name="_Toc54281239"/>
      <w:bookmarkStart w:id="377" w:name="_Toc54280813"/>
      <w:bookmarkStart w:id="378" w:name="_Toc284135592"/>
      <w:bookmarkStart w:id="379" w:name="_Toc53948779"/>
      <w:bookmarkStart w:id="380" w:name="_Toc53945803"/>
      <w:bookmarkStart w:id="381" w:name="_Toc53939602"/>
      <w:bookmarkStart w:id="382" w:name="_Toc53948358"/>
      <w:bookmarkStart w:id="383" w:name="_Toc145499758"/>
      <w:bookmarkStart w:id="384" w:name="_Toc54280387"/>
      <w:r>
        <w:rPr>
          <w:rStyle w:val="46"/>
          <w:rFonts w:ascii="Times New Roman" w:hAnsi="宋体" w:eastAsia="宋体"/>
          <w:b/>
          <w:bCs w:val="0"/>
          <w:color w:val="000000" w:themeColor="text1"/>
          <w:sz w:val="28"/>
          <w:szCs w:val="28"/>
          <w:highlight w:val="none"/>
          <w14:textFill>
            <w14:solidFill>
              <w14:schemeClr w14:val="tx1"/>
            </w14:solidFill>
          </w14:textFill>
        </w:rPr>
        <w:t>第五章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响应文件开启与</w:t>
      </w:r>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46"/>
          <w:rFonts w:hint="eastAsia" w:ascii="Times New Roman" w:hAnsi="宋体" w:eastAsia="宋体"/>
          <w:b/>
          <w:bCs w:val="0"/>
          <w:color w:val="000000" w:themeColor="text1"/>
          <w:sz w:val="28"/>
          <w:szCs w:val="28"/>
          <w:highlight w:val="none"/>
          <w14:textFill>
            <w14:solidFill>
              <w14:schemeClr w14:val="tx1"/>
            </w14:solidFill>
          </w14:textFill>
        </w:rPr>
        <w:t>评审</w:t>
      </w:r>
    </w:p>
    <w:p w14:paraId="546802B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85" w:name="_Toc53948359"/>
      <w:bookmarkStart w:id="386" w:name="_Toc53949201"/>
      <w:bookmarkStart w:id="387" w:name="_Toc54281240"/>
      <w:bookmarkStart w:id="388" w:name="_Toc54280388"/>
      <w:bookmarkStart w:id="389" w:name="_Toc53939603"/>
      <w:bookmarkStart w:id="390" w:name="_Toc53948780"/>
      <w:bookmarkStart w:id="391" w:name="_Toc145499759"/>
      <w:bookmarkStart w:id="392" w:name="_Toc54280814"/>
      <w:bookmarkStart w:id="393" w:name="_Toc53918830"/>
      <w:bookmarkStart w:id="394" w:name="_Toc54279962"/>
      <w:bookmarkStart w:id="395" w:name="_Toc53936539"/>
      <w:bookmarkStart w:id="396" w:name="_Toc5394580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23.开启响应文件</w:t>
      </w:r>
      <w:bookmarkEnd w:id="385"/>
      <w:bookmarkEnd w:id="386"/>
      <w:bookmarkEnd w:id="387"/>
      <w:bookmarkEnd w:id="388"/>
      <w:bookmarkEnd w:id="389"/>
      <w:bookmarkEnd w:id="390"/>
      <w:bookmarkEnd w:id="391"/>
      <w:bookmarkEnd w:id="392"/>
      <w:bookmarkEnd w:id="393"/>
      <w:bookmarkEnd w:id="394"/>
      <w:bookmarkEnd w:id="395"/>
      <w:bookmarkEnd w:id="396"/>
    </w:p>
    <w:p w14:paraId="353DB499">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23.1采购人将按《响应单位须知前附表》第1</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项规定的时间和</w:t>
      </w:r>
      <w:r>
        <w:rPr>
          <w:rFonts w:hint="eastAsia"/>
          <w:color w:val="000000" w:themeColor="text1"/>
          <w:szCs w:val="21"/>
          <w:highlight w:val="none"/>
          <w14:textFill>
            <w14:solidFill>
              <w14:schemeClr w14:val="tx1"/>
            </w14:solidFill>
          </w14:textFill>
        </w:rPr>
        <w:t>方式</w:t>
      </w:r>
      <w:r>
        <w:rPr>
          <w:color w:val="000000" w:themeColor="text1"/>
          <w:szCs w:val="21"/>
          <w:highlight w:val="none"/>
          <w14:textFill>
            <w14:solidFill>
              <w14:schemeClr w14:val="tx1"/>
            </w14:solidFill>
          </w14:textFill>
        </w:rPr>
        <w:t>，对所有按时递交并已签收的响应文件进行开启响应文件。响应文件有下列情形之一的，采购人不予受理：</w:t>
      </w:r>
    </w:p>
    <w:p w14:paraId="1B46244E">
      <w:pPr>
        <w:spacing w:line="360" w:lineRule="auto"/>
        <w:ind w:left="1044" w:leftChars="247" w:hanging="525" w:hangingChars="250"/>
        <w:rPr>
          <w:color w:val="000000" w:themeColor="text1"/>
          <w:szCs w:val="21"/>
          <w:highlight w:val="none"/>
          <w:u w:val="single"/>
          <w14:textFill>
            <w14:solidFill>
              <w14:schemeClr w14:val="tx1"/>
            </w14:solidFill>
          </w14:textFill>
        </w:rPr>
      </w:pPr>
      <w:r>
        <w:rPr>
          <w:color w:val="000000" w:themeColor="text1"/>
          <w:szCs w:val="21"/>
          <w:highlight w:val="none"/>
          <w:u w:val="single"/>
          <w14:textFill>
            <w14:solidFill>
              <w14:schemeClr w14:val="tx1"/>
            </w14:solidFill>
          </w14:textFill>
        </w:rPr>
        <w:t>23.1.1</w:t>
      </w:r>
      <w:r>
        <w:rPr>
          <w:rFonts w:hAnsi="宋体"/>
          <w:color w:val="000000" w:themeColor="text1"/>
          <w:szCs w:val="21"/>
          <w:highlight w:val="none"/>
          <w:u w:val="single"/>
          <w14:textFill>
            <w14:solidFill>
              <w14:schemeClr w14:val="tx1"/>
            </w14:solidFill>
          </w14:textFill>
        </w:rPr>
        <w:t>逾期</w:t>
      </w:r>
      <w:r>
        <w:rPr>
          <w:rFonts w:hint="eastAsia" w:hAnsi="宋体"/>
          <w:color w:val="000000" w:themeColor="text1"/>
          <w:szCs w:val="21"/>
          <w:highlight w:val="none"/>
          <w:u w:val="single"/>
          <w14:textFill>
            <w14:solidFill>
              <w14:schemeClr w14:val="tx1"/>
            </w14:solidFill>
          </w14:textFill>
        </w:rPr>
        <w:t>未完成响应</w:t>
      </w:r>
      <w:r>
        <w:rPr>
          <w:rFonts w:hAnsi="宋体"/>
          <w:color w:val="000000" w:themeColor="text1"/>
          <w:szCs w:val="21"/>
          <w:highlight w:val="none"/>
          <w:u w:val="single"/>
          <w14:textFill>
            <w14:solidFill>
              <w14:schemeClr w14:val="tx1"/>
            </w14:solidFill>
          </w14:textFill>
        </w:rPr>
        <w:t>的或者未</w:t>
      </w:r>
      <w:r>
        <w:rPr>
          <w:rFonts w:hint="eastAsia" w:hAnsi="宋体"/>
          <w:color w:val="000000" w:themeColor="text1"/>
          <w:szCs w:val="21"/>
          <w:highlight w:val="none"/>
          <w:u w:val="single"/>
          <w14:textFill>
            <w14:solidFill>
              <w14:schemeClr w14:val="tx1"/>
            </w14:solidFill>
          </w14:textFill>
        </w:rPr>
        <w:t>按要求递交</w:t>
      </w:r>
      <w:r>
        <w:rPr>
          <w:rFonts w:hAnsi="宋体"/>
          <w:color w:val="000000" w:themeColor="text1"/>
          <w:szCs w:val="21"/>
          <w:highlight w:val="none"/>
          <w:u w:val="single"/>
          <w14:textFill>
            <w14:solidFill>
              <w14:schemeClr w14:val="tx1"/>
            </w14:solidFill>
          </w14:textFill>
        </w:rPr>
        <w:t>的；</w:t>
      </w:r>
    </w:p>
    <w:p w14:paraId="6CEB8C31">
      <w:pPr>
        <w:spacing w:line="360" w:lineRule="auto"/>
        <w:ind w:left="1044" w:leftChars="247" w:hanging="525" w:hangingChars="250"/>
        <w:rPr>
          <w:color w:val="000000" w:themeColor="text1"/>
          <w:szCs w:val="21"/>
          <w:highlight w:val="none"/>
          <w:u w:val="single"/>
          <w14:textFill>
            <w14:solidFill>
              <w14:schemeClr w14:val="tx1"/>
            </w14:solidFill>
          </w14:textFill>
        </w:rPr>
      </w:pPr>
      <w:r>
        <w:rPr>
          <w:color w:val="000000" w:themeColor="text1"/>
          <w:szCs w:val="21"/>
          <w:highlight w:val="none"/>
          <w:u w:val="single"/>
          <w14:textFill>
            <w14:solidFill>
              <w14:schemeClr w14:val="tx1"/>
            </w14:solidFill>
          </w14:textFill>
        </w:rPr>
        <w:t>23.1.2</w:t>
      </w:r>
      <w:r>
        <w:rPr>
          <w:rFonts w:hAnsi="宋体"/>
          <w:color w:val="000000" w:themeColor="text1"/>
          <w:szCs w:val="21"/>
          <w:highlight w:val="none"/>
          <w:u w:val="single"/>
          <w14:textFill>
            <w14:solidFill>
              <w14:schemeClr w14:val="tx1"/>
            </w14:solidFill>
          </w14:textFill>
        </w:rPr>
        <w:t>未按采购文件要求</w:t>
      </w:r>
      <w:r>
        <w:rPr>
          <w:rFonts w:hint="eastAsia" w:hAnsi="宋体"/>
          <w:color w:val="000000" w:themeColor="text1"/>
          <w:szCs w:val="21"/>
          <w:highlight w:val="none"/>
          <w:u w:val="single"/>
          <w14:textFill>
            <w14:solidFill>
              <w14:schemeClr w14:val="tx1"/>
            </w14:solidFill>
          </w14:textFill>
        </w:rPr>
        <w:t>编制</w:t>
      </w:r>
      <w:r>
        <w:rPr>
          <w:rFonts w:hAnsi="宋体"/>
          <w:color w:val="000000" w:themeColor="text1"/>
          <w:szCs w:val="21"/>
          <w:highlight w:val="none"/>
          <w:u w:val="single"/>
          <w14:textFill>
            <w14:solidFill>
              <w14:schemeClr w14:val="tx1"/>
            </w14:solidFill>
          </w14:textFill>
        </w:rPr>
        <w:t>的。</w:t>
      </w:r>
    </w:p>
    <w:p w14:paraId="236E150F">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23.2</w:t>
      </w:r>
      <w:r>
        <w:rPr>
          <w:rFonts w:hint="eastAsia"/>
          <w:color w:val="000000" w:themeColor="text1"/>
          <w:szCs w:val="21"/>
          <w:highlight w:val="none"/>
          <w14:textFill>
            <w14:solidFill>
              <w14:schemeClr w14:val="tx1"/>
            </w14:solidFill>
          </w14:textFill>
        </w:rPr>
        <w:t>开启响应文件形式为非公开式开启响应文件，</w:t>
      </w:r>
      <w:r>
        <w:rPr>
          <w:color w:val="000000" w:themeColor="text1"/>
          <w:szCs w:val="21"/>
          <w:highlight w:val="none"/>
          <w14:textFill>
            <w14:solidFill>
              <w14:schemeClr w14:val="tx1"/>
            </w14:solidFill>
          </w14:textFill>
        </w:rPr>
        <w:t>由采购人</w:t>
      </w:r>
      <w:r>
        <w:rPr>
          <w:rFonts w:hint="eastAsia"/>
          <w:color w:val="000000" w:themeColor="text1"/>
          <w:szCs w:val="21"/>
          <w:highlight w:val="none"/>
          <w14:textFill>
            <w14:solidFill>
              <w14:schemeClr w14:val="tx1"/>
            </w14:solidFill>
          </w14:textFill>
        </w:rPr>
        <w:t>自行主持并</w:t>
      </w:r>
      <w:r>
        <w:rPr>
          <w:color w:val="000000" w:themeColor="text1"/>
          <w:szCs w:val="21"/>
          <w:highlight w:val="none"/>
          <w14:textFill>
            <w14:solidFill>
              <w14:schemeClr w14:val="tx1"/>
            </w14:solidFill>
          </w14:textFill>
        </w:rPr>
        <w:t>邀请有关部门参加</w:t>
      </w:r>
      <w:r>
        <w:rPr>
          <w:rFonts w:hint="eastAsia"/>
          <w:color w:val="000000" w:themeColor="text1"/>
          <w:szCs w:val="21"/>
          <w:highlight w:val="none"/>
          <w14:textFill>
            <w14:solidFill>
              <w14:schemeClr w14:val="tx1"/>
            </w14:solidFill>
          </w14:textFill>
        </w:rPr>
        <w:t>，响应单位不参加开启响应文件会</w:t>
      </w:r>
      <w:r>
        <w:rPr>
          <w:color w:val="000000" w:themeColor="text1"/>
          <w:szCs w:val="21"/>
          <w:highlight w:val="none"/>
          <w14:textFill>
            <w14:solidFill>
              <w14:schemeClr w14:val="tx1"/>
            </w14:solidFill>
          </w14:textFill>
        </w:rPr>
        <w:t>。</w:t>
      </w:r>
    </w:p>
    <w:p w14:paraId="6DEC098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w:t>
      </w:r>
      <w:r>
        <w:rPr>
          <w:rFonts w:hint="eastAsia"/>
          <w:color w:val="000000" w:themeColor="text1"/>
          <w:szCs w:val="21"/>
          <w:highlight w:val="none"/>
          <w:lang w:val="en-US" w:eastAsia="zh-CN"/>
          <w14:textFill>
            <w14:solidFill>
              <w14:schemeClr w14:val="tx1"/>
            </w14:solidFill>
          </w14:textFill>
        </w:rPr>
        <w:t>3</w:t>
      </w:r>
      <w:r>
        <w:rPr>
          <w:color w:val="000000" w:themeColor="text1"/>
          <w:szCs w:val="21"/>
          <w:highlight w:val="none"/>
          <w14:textFill>
            <w14:solidFill>
              <w14:schemeClr w14:val="tx1"/>
            </w14:solidFill>
          </w14:textFill>
        </w:rPr>
        <w:t>采购人应做好开启响应文件会议的记录并经</w:t>
      </w:r>
      <w:r>
        <w:rPr>
          <w:rFonts w:hint="eastAsia"/>
          <w:color w:val="000000" w:themeColor="text1"/>
          <w:szCs w:val="21"/>
          <w:highlight w:val="none"/>
          <w14:textFill>
            <w14:solidFill>
              <w14:schemeClr w14:val="tx1"/>
            </w14:solidFill>
          </w14:textFill>
        </w:rPr>
        <w:t>参会的</w:t>
      </w:r>
      <w:r>
        <w:rPr>
          <w:color w:val="000000" w:themeColor="text1"/>
          <w:szCs w:val="21"/>
          <w:highlight w:val="none"/>
          <w14:textFill>
            <w14:solidFill>
              <w14:schemeClr w14:val="tx1"/>
            </w14:solidFill>
          </w14:textFill>
        </w:rPr>
        <w:t>有关部门核查人签字后存档备查。</w:t>
      </w:r>
    </w:p>
    <w:p w14:paraId="133777A9">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97" w:name="_Toc101598037"/>
      <w:bookmarkStart w:id="398" w:name="_Toc100511826"/>
      <w:bookmarkStart w:id="399" w:name="_Toc101986492"/>
      <w:bookmarkStart w:id="400" w:name="_Toc100928212"/>
      <w:bookmarkStart w:id="401" w:name="_Toc101074639"/>
      <w:bookmarkStart w:id="402" w:name="_Toc101075791"/>
      <w:bookmarkStart w:id="403" w:name="_Toc101074421"/>
      <w:bookmarkStart w:id="404" w:name="_Toc100928434"/>
      <w:bookmarkStart w:id="405" w:name="_Toc145499762"/>
      <w:bookmarkStart w:id="406" w:name="_Toc101076036"/>
      <w:bookmarkStart w:id="407" w:name="_Toc100928656"/>
      <w:bookmarkStart w:id="408" w:name="_Toc101064273"/>
      <w:bookmarkStart w:id="409" w:name="_Toc100508619"/>
      <w:bookmarkStart w:id="410" w:name="_Toc99114796"/>
      <w:bookmarkStart w:id="411" w:name="_Toc99114431"/>
      <w:bookmarkStart w:id="412" w:name="_Toc99076145"/>
      <w:bookmarkStart w:id="413" w:name="_Toc99075824"/>
      <w:bookmarkStart w:id="414" w:name="_Toc98988363"/>
      <w:bookmarkStart w:id="415" w:name="_Toc99076434"/>
      <w:bookmarkStart w:id="416" w:name="_Toc9907524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24.</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评审、谈判、确定成交</w:t>
      </w:r>
    </w:p>
    <w:bookmarkEnd w:id="410"/>
    <w:bookmarkEnd w:id="411"/>
    <w:bookmarkEnd w:id="412"/>
    <w:bookmarkEnd w:id="413"/>
    <w:bookmarkEnd w:id="414"/>
    <w:bookmarkEnd w:id="415"/>
    <w:bookmarkEnd w:id="416"/>
    <w:p w14:paraId="51F65799">
      <w:pPr>
        <w:spacing w:line="360" w:lineRule="auto"/>
        <w:ind w:left="516" w:leftChars="33" w:hanging="447" w:hangingChars="213"/>
        <w:rPr>
          <w:color w:val="000000" w:themeColor="text1"/>
          <w:szCs w:val="21"/>
          <w:highlight w:val="none"/>
          <w14:textFill>
            <w14:solidFill>
              <w14:schemeClr w14:val="tx1"/>
            </w14:solidFill>
          </w14:textFill>
        </w:rPr>
      </w:pPr>
      <w:bookmarkStart w:id="417" w:name="_Toc53936542"/>
      <w:bookmarkStart w:id="418" w:name="_Toc99076435"/>
      <w:bookmarkStart w:id="419" w:name="_Toc53939606"/>
      <w:bookmarkStart w:id="420" w:name="_Toc53918833"/>
      <w:bookmarkStart w:id="421" w:name="_Toc53945807"/>
      <w:bookmarkStart w:id="422" w:name="_Toc99114797"/>
      <w:bookmarkStart w:id="423" w:name="_Toc54280391"/>
      <w:bookmarkStart w:id="424" w:name="_Toc99075246"/>
      <w:bookmarkStart w:id="425" w:name="_Toc98988364"/>
      <w:bookmarkStart w:id="426" w:name="_Toc53948362"/>
      <w:bookmarkStart w:id="427" w:name="_Toc99075825"/>
      <w:bookmarkStart w:id="428" w:name="_Toc54279965"/>
      <w:bookmarkStart w:id="429" w:name="_Toc53948783"/>
      <w:bookmarkStart w:id="430" w:name="_Toc99076146"/>
      <w:bookmarkStart w:id="431" w:name="_Toc54281243"/>
      <w:bookmarkStart w:id="432" w:name="_Toc53949204"/>
      <w:bookmarkStart w:id="433" w:name="_Toc54280817"/>
      <w:bookmarkStart w:id="434" w:name="_Toc99114432"/>
      <w:r>
        <w:rPr>
          <w:color w:val="000000" w:themeColor="text1"/>
          <w:szCs w:val="21"/>
          <w:highlight w:val="none"/>
          <w14:textFill>
            <w14:solidFill>
              <w14:schemeClr w14:val="tx1"/>
            </w14:solidFill>
          </w14:textFill>
        </w:rPr>
        <w:t>24.1评审方法采用</w:t>
      </w:r>
      <w:r>
        <w:rPr>
          <w:color w:val="000000" w:themeColor="text1"/>
          <w:szCs w:val="21"/>
          <w:highlight w:val="none"/>
          <w14:textFill>
            <w14:solidFill>
              <w14:schemeClr w14:val="tx1"/>
            </w14:solidFill>
          </w14:textFill>
        </w:rPr>
        <w:t>综合</w:t>
      </w:r>
      <w:r>
        <w:rPr>
          <w:rFonts w:hint="eastAsia"/>
          <w:color w:val="000000" w:themeColor="text1"/>
          <w:szCs w:val="21"/>
          <w:highlight w:val="none"/>
          <w14:textFill>
            <w14:solidFill>
              <w14:schemeClr w14:val="tx1"/>
            </w14:solidFill>
          </w14:textFill>
        </w:rPr>
        <w:t>评分</w:t>
      </w:r>
      <w:r>
        <w:rPr>
          <w:color w:val="000000" w:themeColor="text1"/>
          <w:szCs w:val="21"/>
          <w:highlight w:val="none"/>
          <w14:textFill>
            <w14:solidFill>
              <w14:schemeClr w14:val="tx1"/>
            </w14:solidFill>
          </w14:textFill>
        </w:rPr>
        <w:t>法</w:t>
      </w:r>
      <w:r>
        <w:rPr>
          <w:color w:val="000000" w:themeColor="text1"/>
          <w:szCs w:val="21"/>
          <w:highlight w:val="none"/>
          <w14:textFill>
            <w14:solidFill>
              <w14:schemeClr w14:val="tx1"/>
            </w14:solidFill>
          </w14:textFill>
        </w:rPr>
        <w:t>。评审程序和评审方法详见附件</w:t>
      </w:r>
      <w:r>
        <w:rPr>
          <w:rFonts w:hint="eastAsia"/>
          <w:color w:val="000000" w:themeColor="text1"/>
          <w:szCs w:val="21"/>
          <w:highlight w:val="none"/>
          <w14:textFill>
            <w14:solidFill>
              <w14:schemeClr w14:val="tx1"/>
            </w14:solidFill>
          </w14:textFill>
        </w:rPr>
        <w:t>一</w:t>
      </w:r>
      <w:r>
        <w:rPr>
          <w:color w:val="000000" w:themeColor="text1"/>
          <w:szCs w:val="21"/>
          <w:highlight w:val="none"/>
          <w14:textFill>
            <w14:solidFill>
              <w14:schemeClr w14:val="tx1"/>
            </w14:solidFill>
          </w14:textFill>
        </w:rPr>
        <w:t>。</w:t>
      </w:r>
    </w:p>
    <w:p w14:paraId="728B742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依据上评述</w:t>
      </w:r>
      <w:r>
        <w:rPr>
          <w:rFonts w:hint="eastAsia"/>
          <w:color w:val="000000" w:themeColor="text1"/>
          <w:szCs w:val="21"/>
          <w:highlight w:val="none"/>
          <w14:textFill>
            <w14:solidFill>
              <w14:schemeClr w14:val="tx1"/>
            </w14:solidFill>
          </w14:textFill>
        </w:rPr>
        <w:t>评审</w:t>
      </w:r>
      <w:r>
        <w:rPr>
          <w:color w:val="000000" w:themeColor="text1"/>
          <w:szCs w:val="21"/>
          <w:highlight w:val="none"/>
          <w14:textFill>
            <w14:solidFill>
              <w14:schemeClr w14:val="tx1"/>
            </w14:solidFill>
          </w14:textFill>
        </w:rPr>
        <w:t>方法，</w:t>
      </w:r>
      <w:r>
        <w:rPr>
          <w:rFonts w:hint="eastAsia"/>
          <w:color w:val="000000" w:themeColor="text1"/>
          <w:szCs w:val="21"/>
          <w:highlight w:val="none"/>
          <w14:textFill>
            <w14:solidFill>
              <w14:schemeClr w14:val="tx1"/>
            </w14:solidFill>
          </w14:textFill>
        </w:rPr>
        <w:t>采购人</w:t>
      </w:r>
      <w:r>
        <w:rPr>
          <w:color w:val="000000" w:themeColor="text1"/>
          <w:szCs w:val="21"/>
          <w:highlight w:val="none"/>
          <w14:textFill>
            <w14:solidFill>
              <w14:schemeClr w14:val="tx1"/>
            </w14:solidFill>
          </w14:textFill>
        </w:rPr>
        <w:t>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将对响应文件进行初步评审</w:t>
      </w:r>
      <w:r>
        <w:rPr>
          <w:rFonts w:hint="eastAsia"/>
          <w:color w:val="000000" w:themeColor="text1"/>
          <w:szCs w:val="21"/>
          <w:highlight w:val="none"/>
          <w14:textFill>
            <w14:solidFill>
              <w14:schemeClr w14:val="tx1"/>
            </w14:solidFill>
          </w14:textFill>
        </w:rPr>
        <w:t>，并要求响应单位对报价进行</w:t>
      </w:r>
      <w:r>
        <w:rPr>
          <w:color w:val="000000" w:themeColor="text1"/>
          <w:szCs w:val="21"/>
          <w:highlight w:val="none"/>
          <w14:textFill>
            <w14:solidFill>
              <w14:schemeClr w14:val="tx1"/>
            </w14:solidFill>
          </w14:textFill>
        </w:rPr>
        <w:t>澄清或补正</w:t>
      </w:r>
      <w:r>
        <w:rPr>
          <w:rFonts w:hint="eastAsia"/>
          <w:color w:val="000000" w:themeColor="text1"/>
          <w:szCs w:val="21"/>
          <w:highlight w:val="none"/>
          <w14:textFill>
            <w14:solidFill>
              <w14:schemeClr w14:val="tx1"/>
            </w14:solidFill>
          </w14:textFill>
        </w:rPr>
        <w:t>，经过采购人</w:t>
      </w:r>
      <w:r>
        <w:rPr>
          <w:color w:val="000000" w:themeColor="text1"/>
          <w:szCs w:val="21"/>
          <w:highlight w:val="none"/>
          <w14:textFill>
            <w14:solidFill>
              <w14:schemeClr w14:val="tx1"/>
            </w14:solidFill>
          </w14:textFill>
        </w:rPr>
        <w:t>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比较</w:t>
      </w:r>
      <w:r>
        <w:rPr>
          <w:rFonts w:hint="eastAsia"/>
          <w:color w:val="000000" w:themeColor="text1"/>
          <w:szCs w:val="21"/>
          <w:highlight w:val="none"/>
          <w14:textFill>
            <w14:solidFill>
              <w14:schemeClr w14:val="tx1"/>
            </w14:solidFill>
          </w14:textFill>
        </w:rPr>
        <w:t>分析</w:t>
      </w:r>
      <w:r>
        <w:rPr>
          <w:color w:val="000000" w:themeColor="text1"/>
          <w:szCs w:val="21"/>
          <w:highlight w:val="none"/>
          <w14:textFill>
            <w14:solidFill>
              <w14:schemeClr w14:val="tx1"/>
            </w14:solidFill>
          </w14:textFill>
        </w:rPr>
        <w:t>，进行综合评分，</w:t>
      </w:r>
      <w:r>
        <w:rPr>
          <w:rFonts w:hint="eastAsia"/>
          <w:color w:val="000000" w:themeColor="text1"/>
          <w:szCs w:val="21"/>
          <w:highlight w:val="none"/>
          <w14:textFill>
            <w14:solidFill>
              <w14:schemeClr w14:val="tx1"/>
            </w14:solidFill>
          </w14:textFill>
        </w:rPr>
        <w:t>并</w:t>
      </w:r>
      <w:r>
        <w:rPr>
          <w:color w:val="000000" w:themeColor="text1"/>
          <w:szCs w:val="21"/>
          <w:highlight w:val="none"/>
          <w14:textFill>
            <w14:solidFill>
              <w14:schemeClr w14:val="tx1"/>
            </w14:solidFill>
          </w14:textFill>
        </w:rPr>
        <w:t>推荐</w:t>
      </w:r>
      <w:r>
        <w:rPr>
          <w:rFonts w:hint="eastAsia"/>
          <w:color w:val="000000" w:themeColor="text1"/>
          <w:szCs w:val="21"/>
          <w:highlight w:val="none"/>
          <w14:textFill>
            <w14:solidFill>
              <w14:schemeClr w14:val="tx1"/>
            </w14:solidFill>
          </w14:textFill>
        </w:rPr>
        <w:t>出谈判</w:t>
      </w:r>
      <w:r>
        <w:rPr>
          <w:color w:val="000000" w:themeColor="text1"/>
          <w:szCs w:val="21"/>
          <w:highlight w:val="none"/>
          <w14:textFill>
            <w14:solidFill>
              <w14:schemeClr w14:val="tx1"/>
            </w14:solidFill>
          </w14:textFill>
        </w:rPr>
        <w:t>候选人</w:t>
      </w:r>
      <w:r>
        <w:rPr>
          <w:rFonts w:hint="eastAsia"/>
          <w:color w:val="000000" w:themeColor="text1"/>
          <w:szCs w:val="21"/>
          <w:highlight w:val="none"/>
          <w14:textFill>
            <w14:solidFill>
              <w14:schemeClr w14:val="tx1"/>
            </w14:solidFill>
          </w14:textFill>
        </w:rPr>
        <w:t>。</w:t>
      </w: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6AF4DC41">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3谈判采取现场或视频会议方式进行，</w:t>
      </w:r>
      <w:r>
        <w:rPr>
          <w:color w:val="000000" w:themeColor="text1"/>
          <w:szCs w:val="21"/>
          <w:highlight w:val="none"/>
          <w14:textFill>
            <w14:solidFill>
              <w14:schemeClr w14:val="tx1"/>
            </w14:solidFill>
          </w14:textFill>
        </w:rPr>
        <w:t>响应单位的法定代表人或其授权代理人应携带法定代表人证明</w:t>
      </w:r>
      <w:r>
        <w:rPr>
          <w:rFonts w:hint="eastAsia"/>
          <w:color w:val="000000" w:themeColor="text1"/>
          <w:szCs w:val="21"/>
          <w:highlight w:val="none"/>
          <w14:textFill>
            <w14:solidFill>
              <w14:schemeClr w14:val="tx1"/>
            </w14:solidFill>
          </w14:textFill>
        </w:rPr>
        <w:t>文件</w:t>
      </w:r>
      <w:r>
        <w:rPr>
          <w:color w:val="000000" w:themeColor="text1"/>
          <w:szCs w:val="21"/>
          <w:highlight w:val="none"/>
          <w14:textFill>
            <w14:solidFill>
              <w14:schemeClr w14:val="tx1"/>
            </w14:solidFill>
          </w14:textFill>
        </w:rPr>
        <w:t>或授权委托书和本人的身份证的原件与复印件各1份</w:t>
      </w:r>
      <w:r>
        <w:rPr>
          <w:rFonts w:hint="eastAsia"/>
          <w:color w:val="000000" w:themeColor="text1"/>
          <w:szCs w:val="21"/>
          <w:highlight w:val="none"/>
          <w14:textFill>
            <w14:solidFill>
              <w14:schemeClr w14:val="tx1"/>
            </w14:solidFill>
          </w14:textFill>
        </w:rPr>
        <w:t>准时参会</w:t>
      </w:r>
      <w:r>
        <w:rPr>
          <w:color w:val="000000" w:themeColor="text1"/>
          <w:szCs w:val="21"/>
          <w:highlight w:val="none"/>
          <w14:textFill>
            <w14:solidFill>
              <w14:schemeClr w14:val="tx1"/>
            </w14:solidFill>
          </w14:textFill>
        </w:rPr>
        <w:t>，并在</w:t>
      </w:r>
      <w:r>
        <w:rPr>
          <w:rFonts w:hint="eastAsia"/>
          <w:color w:val="000000" w:themeColor="text1"/>
          <w:szCs w:val="21"/>
          <w:highlight w:val="none"/>
          <w14:textFill>
            <w14:solidFill>
              <w14:schemeClr w14:val="tx1"/>
            </w14:solidFill>
          </w14:textFill>
        </w:rPr>
        <w:t>需确认的资料上签字；采取视频会议方式的，签字、盖章原件须邮寄到采购人指定地址</w:t>
      </w:r>
      <w:r>
        <w:rPr>
          <w:color w:val="000000" w:themeColor="text1"/>
          <w:szCs w:val="21"/>
          <w:highlight w:val="none"/>
          <w14:textFill>
            <w14:solidFill>
              <w14:schemeClr w14:val="tx1"/>
            </w14:solidFill>
          </w14:textFill>
        </w:rPr>
        <w:t>。</w:t>
      </w:r>
    </w:p>
    <w:p w14:paraId="3477A7B6">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24.</w:t>
      </w:r>
      <w:r>
        <w:rPr>
          <w:rFonts w:hint="eastAsia"/>
          <w:color w:val="000000" w:themeColor="text1"/>
          <w:szCs w:val="21"/>
          <w:highlight w:val="none"/>
          <w:lang w:val="en-US" w:eastAsia="zh-CN"/>
          <w14:textFill>
            <w14:solidFill>
              <w14:schemeClr w14:val="tx1"/>
            </w14:solidFill>
          </w14:textFill>
        </w:rPr>
        <w:t>4</w:t>
      </w:r>
      <w:r>
        <w:rPr>
          <w:color w:val="000000" w:themeColor="text1"/>
          <w:szCs w:val="21"/>
          <w:highlight w:val="none"/>
          <w14:textFill>
            <w14:solidFill>
              <w14:schemeClr w14:val="tx1"/>
            </w14:solidFill>
          </w14:textFill>
        </w:rPr>
        <w:t>采购人</w:t>
      </w:r>
      <w:r>
        <w:rPr>
          <w:rFonts w:hint="eastAsia"/>
          <w:color w:val="000000" w:themeColor="text1"/>
          <w:szCs w:val="21"/>
          <w:highlight w:val="none"/>
          <w14:textFill>
            <w14:solidFill>
              <w14:schemeClr w14:val="tx1"/>
            </w14:solidFill>
          </w14:textFill>
        </w:rPr>
        <w:t>评审小组</w:t>
      </w:r>
      <w:r>
        <w:rPr>
          <w:color w:val="000000" w:themeColor="text1"/>
          <w:szCs w:val="21"/>
          <w:highlight w:val="none"/>
          <w14:textFill>
            <w14:solidFill>
              <w14:schemeClr w14:val="tx1"/>
            </w14:solidFill>
          </w14:textFill>
        </w:rPr>
        <w:t>编制和提交评审报告，并将评审报告和</w:t>
      </w:r>
      <w:r>
        <w:rPr>
          <w:rFonts w:hint="eastAsia"/>
          <w:color w:val="000000" w:themeColor="text1"/>
          <w:szCs w:val="21"/>
          <w:highlight w:val="none"/>
          <w14:textFill>
            <w14:solidFill>
              <w14:schemeClr w14:val="tx1"/>
            </w14:solidFill>
          </w14:textFill>
        </w:rPr>
        <w:t>拟定成交</w:t>
      </w:r>
      <w:r>
        <w:rPr>
          <w:color w:val="000000" w:themeColor="text1"/>
          <w:szCs w:val="21"/>
          <w:highlight w:val="none"/>
          <w14:textFill>
            <w14:solidFill>
              <w14:schemeClr w14:val="tx1"/>
            </w14:solidFill>
          </w14:textFill>
        </w:rPr>
        <w:t>结果</w:t>
      </w:r>
      <w:r>
        <w:rPr>
          <w:rFonts w:hint="eastAsia"/>
          <w:color w:val="000000" w:themeColor="text1"/>
          <w:szCs w:val="21"/>
          <w:highlight w:val="none"/>
          <w14:textFill>
            <w14:solidFill>
              <w14:schemeClr w14:val="tx1"/>
            </w14:solidFill>
          </w14:textFill>
        </w:rPr>
        <w:t>上</w:t>
      </w:r>
      <w:r>
        <w:rPr>
          <w:color w:val="000000" w:themeColor="text1"/>
          <w:szCs w:val="21"/>
          <w:highlight w:val="none"/>
          <w14:textFill>
            <w14:solidFill>
              <w14:schemeClr w14:val="tx1"/>
            </w14:solidFill>
          </w14:textFill>
        </w:rPr>
        <w:t>报</w:t>
      </w:r>
      <w:r>
        <w:rPr>
          <w:rFonts w:hint="eastAsia"/>
          <w:color w:val="000000" w:themeColor="text1"/>
          <w:szCs w:val="21"/>
          <w:highlight w:val="none"/>
          <w14:textFill>
            <w14:solidFill>
              <w14:schemeClr w14:val="tx1"/>
            </w14:solidFill>
          </w14:textFill>
        </w:rPr>
        <w:t>主管领导审批确定成交结果</w:t>
      </w:r>
      <w:r>
        <w:rPr>
          <w:color w:val="000000" w:themeColor="text1"/>
          <w:szCs w:val="21"/>
          <w:highlight w:val="none"/>
          <w14:textFill>
            <w14:solidFill>
              <w14:schemeClr w14:val="tx1"/>
            </w14:solidFill>
          </w14:textFill>
        </w:rPr>
        <w:t>。</w:t>
      </w:r>
    </w:p>
    <w:p w14:paraId="6D69C915">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435" w:name="_Toc54280820"/>
      <w:bookmarkStart w:id="436" w:name="_Toc53945810"/>
      <w:bookmarkStart w:id="437" w:name="_Toc53936545"/>
      <w:bookmarkStart w:id="438" w:name="_Toc54279968"/>
      <w:bookmarkStart w:id="439" w:name="_Toc53949207"/>
      <w:bookmarkStart w:id="440" w:name="_Toc53918836"/>
      <w:bookmarkStart w:id="441" w:name="_Toc54281246"/>
      <w:bookmarkStart w:id="442" w:name="_Toc53939609"/>
      <w:bookmarkStart w:id="443" w:name="_Toc53948365"/>
      <w:bookmarkStart w:id="444" w:name="_Toc54280394"/>
      <w:bookmarkStart w:id="445" w:name="_Toc53948786"/>
      <w:bookmarkStart w:id="446" w:name="_Toc145499763"/>
      <w:bookmarkStart w:id="447" w:name="_Toc284135593"/>
      <w:r>
        <w:rPr>
          <w:rStyle w:val="46"/>
          <w:rFonts w:ascii="Times New Roman" w:hAnsi="宋体" w:eastAsia="宋体"/>
          <w:b/>
          <w:bCs w:val="0"/>
          <w:color w:val="000000" w:themeColor="text1"/>
          <w:sz w:val="28"/>
          <w:szCs w:val="28"/>
          <w:highlight w:val="none"/>
          <w14:textFill>
            <w14:solidFill>
              <w14:schemeClr w14:val="tx1"/>
            </w14:solidFill>
          </w14:textFill>
        </w:rPr>
        <w:t>第六章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合同的授予</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E540DE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48" w:name="_Toc53949208"/>
      <w:bookmarkStart w:id="449" w:name="_Toc99114436"/>
      <w:bookmarkStart w:id="450" w:name="_Toc101074423"/>
      <w:bookmarkStart w:id="451" w:name="_Toc54280395"/>
      <w:bookmarkStart w:id="452" w:name="_Toc100508622"/>
      <w:bookmarkStart w:id="453" w:name="_Toc99114801"/>
      <w:bookmarkStart w:id="454" w:name="_Toc53918837"/>
      <w:bookmarkStart w:id="455" w:name="_Toc53948366"/>
      <w:bookmarkStart w:id="456" w:name="_Toc54281247"/>
      <w:bookmarkStart w:id="457" w:name="_Toc99076150"/>
      <w:bookmarkStart w:id="458" w:name="_Toc53945811"/>
      <w:bookmarkStart w:id="459" w:name="_Toc100928436"/>
      <w:bookmarkStart w:id="460" w:name="_Toc99075829"/>
      <w:bookmarkStart w:id="461" w:name="_Toc101075793"/>
      <w:bookmarkStart w:id="462" w:name="_Toc101986494"/>
      <w:bookmarkStart w:id="463" w:name="_Toc99075250"/>
      <w:bookmarkStart w:id="464" w:name="_Toc101076038"/>
      <w:bookmarkStart w:id="465" w:name="_Toc98988368"/>
      <w:bookmarkStart w:id="466" w:name="_Toc54279969"/>
      <w:bookmarkStart w:id="467" w:name="_Toc54280821"/>
      <w:bookmarkStart w:id="468" w:name="_Toc100928658"/>
      <w:bookmarkStart w:id="469" w:name="_Toc53936546"/>
      <w:bookmarkStart w:id="470" w:name="_Toc53939610"/>
      <w:bookmarkStart w:id="471" w:name="_Toc101064275"/>
      <w:bookmarkStart w:id="472" w:name="_Toc100928214"/>
      <w:bookmarkStart w:id="473" w:name="_Toc145499764"/>
      <w:bookmarkStart w:id="474" w:name="_Toc53948787"/>
      <w:bookmarkStart w:id="475" w:name="_Toc101074641"/>
      <w:bookmarkStart w:id="476" w:name="_Toc101598039"/>
      <w:bookmarkStart w:id="477" w:name="_Toc100511829"/>
      <w:bookmarkStart w:id="478" w:name="_Toc99076439"/>
      <w:bookmarkStart w:id="479" w:name="_Toc53949210"/>
      <w:bookmarkStart w:id="480" w:name="_Toc54280397"/>
      <w:bookmarkStart w:id="481" w:name="_Toc53918839"/>
      <w:bookmarkStart w:id="482" w:name="_Toc54280823"/>
      <w:bookmarkStart w:id="483" w:name="_Toc53945813"/>
      <w:bookmarkStart w:id="484" w:name="_Toc54281249"/>
      <w:bookmarkStart w:id="485" w:name="_Toc53948789"/>
      <w:bookmarkStart w:id="486" w:name="_Toc53936548"/>
      <w:bookmarkStart w:id="487" w:name="_Toc53948368"/>
      <w:bookmarkStart w:id="488" w:name="_Toc54279971"/>
      <w:bookmarkStart w:id="489" w:name="_Toc5393961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25.成交通知书</w:t>
      </w:r>
    </w:p>
    <w:p w14:paraId="49A6710C">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25</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成交结果确定</w:t>
      </w:r>
      <w:r>
        <w:rPr>
          <w:color w:val="000000" w:themeColor="text1"/>
          <w:szCs w:val="21"/>
          <w:highlight w:val="none"/>
          <w14:textFill>
            <w14:solidFill>
              <w14:schemeClr w14:val="tx1"/>
            </w14:solidFill>
          </w14:textFill>
        </w:rPr>
        <w:t>后，采购人即向成交单位发出“成交通知书”，确认其</w:t>
      </w:r>
      <w:r>
        <w:rPr>
          <w:rFonts w:hint="eastAsia"/>
          <w:color w:val="000000" w:themeColor="text1"/>
          <w:szCs w:val="21"/>
          <w:highlight w:val="none"/>
          <w14:textFill>
            <w14:solidFill>
              <w14:schemeClr w14:val="tx1"/>
            </w14:solidFill>
          </w14:textFill>
        </w:rPr>
        <w:t>响应文件</w:t>
      </w:r>
      <w:r>
        <w:rPr>
          <w:color w:val="000000" w:themeColor="text1"/>
          <w:szCs w:val="21"/>
          <w:highlight w:val="none"/>
          <w14:textFill>
            <w14:solidFill>
              <w14:schemeClr w14:val="tx1"/>
            </w14:solidFill>
          </w14:textFill>
        </w:rPr>
        <w:t>已被接受，发出时间不超过响应有效期。</w:t>
      </w:r>
    </w:p>
    <w:p w14:paraId="114BA531">
      <w:pPr>
        <w:spacing w:line="360" w:lineRule="auto"/>
        <w:ind w:left="516" w:leftChars="33" w:hanging="447" w:hangingChars="213"/>
        <w:rPr>
          <w:bCs/>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25.2</w:t>
      </w:r>
      <w:r>
        <w:rPr>
          <w:color w:val="000000" w:themeColor="text1"/>
          <w:szCs w:val="21"/>
          <w:highlight w:val="none"/>
          <w14:textFill>
            <w14:solidFill>
              <w14:schemeClr w14:val="tx1"/>
            </w14:solidFill>
          </w14:textFill>
        </w:rPr>
        <w:t>采购人在发出成交通知书的同时</w:t>
      </w:r>
      <w:r>
        <w:rPr>
          <w:rFonts w:hint="eastAsia"/>
          <w:color w:val="000000" w:themeColor="text1"/>
          <w:szCs w:val="21"/>
          <w:highlight w:val="none"/>
          <w14:textFill>
            <w14:solidFill>
              <w14:schemeClr w14:val="tx1"/>
            </w14:solidFill>
          </w14:textFill>
        </w:rPr>
        <w:t>通知</w:t>
      </w:r>
      <w:r>
        <w:rPr>
          <w:color w:val="000000" w:themeColor="text1"/>
          <w:szCs w:val="21"/>
          <w:highlight w:val="none"/>
          <w14:textFill>
            <w14:solidFill>
              <w14:schemeClr w14:val="tx1"/>
            </w14:solidFill>
          </w14:textFill>
        </w:rPr>
        <w:t>所有未</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的响应单位</w:t>
      </w:r>
      <w:r>
        <w:rPr>
          <w:rFonts w:hint="eastAsia"/>
          <w:color w:val="000000" w:themeColor="text1"/>
          <w:szCs w:val="21"/>
          <w:highlight w:val="none"/>
          <w14:textFill>
            <w14:solidFill>
              <w14:schemeClr w14:val="tx1"/>
            </w14:solidFill>
          </w14:textFill>
        </w:rPr>
        <w:t>领回相应响应保证金或响应保函</w:t>
      </w:r>
      <w:r>
        <w:rPr>
          <w:color w:val="000000" w:themeColor="text1"/>
          <w:szCs w:val="21"/>
          <w:highlight w:val="none"/>
          <w14:textFill>
            <w14:solidFill>
              <w14:schemeClr w14:val="tx1"/>
            </w14:solidFill>
          </w14:textFill>
        </w:rPr>
        <w:t>。</w:t>
      </w:r>
    </w:p>
    <w:p w14:paraId="1E0CF56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26.</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合同授予的条件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22E8D5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color w:val="000000" w:themeColor="text1"/>
          <w:szCs w:val="21"/>
          <w:highlight w:val="none"/>
          <w14:textFill>
            <w14:solidFill>
              <w14:schemeClr w14:val="tx1"/>
            </w14:solidFill>
          </w14:textFill>
        </w:rPr>
        <w:t>应</w:t>
      </w:r>
      <w:r>
        <w:rPr>
          <w:color w:val="000000" w:themeColor="text1"/>
          <w:szCs w:val="21"/>
          <w:highlight w:val="none"/>
          <w14:textFill>
            <w14:solidFill>
              <w14:schemeClr w14:val="tx1"/>
            </w14:solidFill>
          </w14:textFill>
        </w:rPr>
        <w:t>重新</w:t>
      </w:r>
      <w:r>
        <w:rPr>
          <w:rFonts w:hint="eastAsia"/>
          <w:color w:val="000000" w:themeColor="text1"/>
          <w:szCs w:val="21"/>
          <w:highlight w:val="none"/>
          <w14:textFill>
            <w14:solidFill>
              <w14:schemeClr w14:val="tx1"/>
            </w14:solidFill>
          </w14:textFill>
        </w:rPr>
        <w:t>组织</w:t>
      </w:r>
      <w:r>
        <w:rPr>
          <w:color w:val="000000" w:themeColor="text1"/>
          <w:szCs w:val="21"/>
          <w:highlight w:val="none"/>
          <w14:textFill>
            <w14:solidFill>
              <w14:schemeClr w14:val="tx1"/>
            </w14:solidFill>
          </w14:textFill>
        </w:rPr>
        <w:t>采购。</w:t>
      </w:r>
    </w:p>
    <w:p w14:paraId="249DCE69">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26.3如拟成交单位存在不平衡报价，在合同签订前采购人可要求拟成交单位把单价调整至合理水平。</w:t>
      </w:r>
    </w:p>
    <w:bookmarkEnd w:id="479"/>
    <w:bookmarkEnd w:id="480"/>
    <w:bookmarkEnd w:id="481"/>
    <w:bookmarkEnd w:id="482"/>
    <w:bookmarkEnd w:id="483"/>
    <w:bookmarkEnd w:id="484"/>
    <w:bookmarkEnd w:id="485"/>
    <w:bookmarkEnd w:id="486"/>
    <w:bookmarkEnd w:id="487"/>
    <w:bookmarkEnd w:id="488"/>
    <w:bookmarkEnd w:id="489"/>
    <w:p w14:paraId="55044FA9">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90" w:name="_Toc53948790"/>
      <w:bookmarkStart w:id="491" w:name="_Toc53949211"/>
      <w:bookmarkStart w:id="492" w:name="_Toc54281250"/>
      <w:bookmarkStart w:id="493" w:name="_Toc53948369"/>
      <w:bookmarkStart w:id="494" w:name="_Toc54280824"/>
      <w:bookmarkStart w:id="495" w:name="_Toc53945814"/>
      <w:bookmarkStart w:id="496" w:name="_Toc54280398"/>
      <w:bookmarkStart w:id="497" w:name="_Toc53918840"/>
      <w:bookmarkStart w:id="498" w:name="_Toc53936549"/>
      <w:bookmarkStart w:id="499" w:name="_Toc53939613"/>
      <w:bookmarkStart w:id="500" w:name="_Toc54279972"/>
      <w:bookmarkStart w:id="501" w:name="_Toc145499766"/>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27</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490"/>
      <w:bookmarkEnd w:id="491"/>
      <w:bookmarkEnd w:id="492"/>
      <w:bookmarkEnd w:id="493"/>
      <w:bookmarkEnd w:id="494"/>
      <w:bookmarkEnd w:id="495"/>
      <w:bookmarkEnd w:id="496"/>
      <w:bookmarkEnd w:id="497"/>
      <w:bookmarkEnd w:id="498"/>
      <w:bookmarkEnd w:id="499"/>
      <w:bookmarkEnd w:id="50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履约担保</w:t>
      </w:r>
      <w:bookmarkEnd w:id="501"/>
    </w:p>
    <w:p w14:paraId="2170E51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27</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成交单位在签订合同协议书时，应按《响应单位须知前附表》第</w:t>
      </w:r>
      <w:r>
        <w:rPr>
          <w:rFonts w:hint="eastAsia"/>
          <w:color w:val="000000" w:themeColor="text1"/>
          <w:szCs w:val="21"/>
          <w:highlight w:val="none"/>
          <w14:textFill>
            <w14:solidFill>
              <w14:schemeClr w14:val="tx1"/>
            </w14:solidFill>
          </w14:textFill>
        </w:rPr>
        <w:t>17</w:t>
      </w:r>
      <w:r>
        <w:rPr>
          <w:rFonts w:hAnsi="宋体"/>
          <w:color w:val="000000" w:themeColor="text1"/>
          <w:szCs w:val="21"/>
          <w:highlight w:val="none"/>
          <w14:textFill>
            <w14:solidFill>
              <w14:schemeClr w14:val="tx1"/>
            </w14:solidFill>
          </w14:textFill>
        </w:rPr>
        <w:t>项规定，向采购人提交履约</w:t>
      </w:r>
      <w:r>
        <w:rPr>
          <w:rFonts w:hint="eastAsia" w:hAnsi="宋体"/>
          <w:color w:val="000000" w:themeColor="text1"/>
          <w:szCs w:val="21"/>
          <w:highlight w:val="none"/>
          <w14:textFill>
            <w14:solidFill>
              <w14:schemeClr w14:val="tx1"/>
            </w14:solidFill>
          </w14:textFill>
        </w:rPr>
        <w:t>担保</w:t>
      </w:r>
      <w:r>
        <w:rPr>
          <w:rFonts w:hAnsi="宋体"/>
          <w:color w:val="000000" w:themeColor="text1"/>
          <w:szCs w:val="21"/>
          <w:highlight w:val="none"/>
          <w14:textFill>
            <w14:solidFill>
              <w14:schemeClr w14:val="tx1"/>
            </w14:solidFill>
          </w14:textFill>
        </w:rPr>
        <w:t>。</w:t>
      </w:r>
    </w:p>
    <w:p w14:paraId="0312071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502" w:name="_Toc53918841"/>
      <w:bookmarkStart w:id="503" w:name="_Toc53949212"/>
      <w:bookmarkStart w:id="504" w:name="_Toc53936550"/>
      <w:bookmarkStart w:id="505" w:name="_Toc53948791"/>
      <w:bookmarkStart w:id="506" w:name="_Toc53945815"/>
      <w:bookmarkStart w:id="507" w:name="_Toc145499767"/>
      <w:bookmarkStart w:id="508" w:name="_Toc54280399"/>
      <w:bookmarkStart w:id="509" w:name="_Toc53939614"/>
      <w:bookmarkStart w:id="510" w:name="_Toc54280825"/>
      <w:bookmarkStart w:id="511" w:name="_Toc54279973"/>
      <w:bookmarkStart w:id="512" w:name="_Toc53948370"/>
      <w:bookmarkStart w:id="513" w:name="_Toc54281251"/>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.合同协议书的签署</w:t>
      </w:r>
      <w:bookmarkEnd w:id="502"/>
      <w:bookmarkEnd w:id="503"/>
      <w:bookmarkEnd w:id="504"/>
      <w:bookmarkEnd w:id="505"/>
      <w:bookmarkEnd w:id="506"/>
      <w:bookmarkEnd w:id="507"/>
      <w:bookmarkEnd w:id="508"/>
      <w:bookmarkEnd w:id="509"/>
      <w:bookmarkEnd w:id="510"/>
      <w:bookmarkEnd w:id="511"/>
      <w:bookmarkEnd w:id="512"/>
      <w:bookmarkEnd w:id="513"/>
    </w:p>
    <w:p w14:paraId="65A5CAE0">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成交单位应在《响应单位须知前附表》第</w:t>
      </w:r>
      <w:r>
        <w:rPr>
          <w:rFonts w:hint="eastAsia"/>
          <w:color w:val="000000" w:themeColor="text1"/>
          <w:szCs w:val="21"/>
          <w:highlight w:val="none"/>
          <w14:textFill>
            <w14:solidFill>
              <w14:schemeClr w14:val="tx1"/>
            </w14:solidFill>
          </w14:textFill>
        </w:rPr>
        <w:t>18</w:t>
      </w:r>
      <w:r>
        <w:rPr>
          <w:rFonts w:hAnsi="宋体"/>
          <w:color w:val="000000" w:themeColor="text1"/>
          <w:szCs w:val="21"/>
          <w:highlight w:val="none"/>
          <w14:textFill>
            <w14:solidFill>
              <w14:schemeClr w14:val="tx1"/>
            </w14:solidFill>
          </w14:textFill>
        </w:rPr>
        <w:t>项规定的时间内，与采购人签订合同协议书。</w:t>
      </w:r>
    </w:p>
    <w:p w14:paraId="2464D9F5">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合同协议书经签约双方法定代表人或其授权代理人签字并加盖公章后生效，但在合同协议书中约定合同生效</w:t>
      </w:r>
      <w:r>
        <w:rPr>
          <w:rFonts w:hint="eastAsia" w:hAnsi="宋体"/>
          <w:color w:val="000000" w:themeColor="text1"/>
          <w:szCs w:val="21"/>
          <w:highlight w:val="none"/>
          <w14:textFill>
            <w14:solidFill>
              <w14:schemeClr w14:val="tx1"/>
            </w14:solidFill>
          </w14:textFill>
        </w:rPr>
        <w:t>期限</w:t>
      </w:r>
      <w:r>
        <w:rPr>
          <w:rFonts w:hAnsi="宋体"/>
          <w:color w:val="000000" w:themeColor="text1"/>
          <w:szCs w:val="21"/>
          <w:highlight w:val="none"/>
          <w14:textFill>
            <w14:solidFill>
              <w14:schemeClr w14:val="tx1"/>
            </w14:solidFill>
          </w14:textFill>
        </w:rPr>
        <w:t>或条件的除外。</w:t>
      </w:r>
    </w:p>
    <w:p w14:paraId="4C0A49A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如果成交单位未能遵守本《响应单位须知前附表》</w:t>
      </w:r>
      <w:r>
        <w:rPr>
          <w:rFonts w:hint="eastAsia"/>
          <w:color w:val="000000" w:themeColor="text1"/>
          <w:szCs w:val="21"/>
          <w:highlight w:val="none"/>
          <w14:textFill>
            <w14:solidFill>
              <w14:schemeClr w14:val="tx1"/>
            </w14:solidFill>
          </w14:textFill>
        </w:rPr>
        <w:t>18项</w:t>
      </w:r>
      <w:r>
        <w:rPr>
          <w:rFonts w:hAnsi="宋体"/>
          <w:color w:val="000000" w:themeColor="text1"/>
          <w:szCs w:val="21"/>
          <w:highlight w:val="none"/>
          <w14:textFill>
            <w14:solidFill>
              <w14:schemeClr w14:val="tx1"/>
            </w14:solidFill>
          </w14:textFill>
        </w:rPr>
        <w:t>或</w:t>
      </w:r>
      <w:r>
        <w:rPr>
          <w:rFonts w:hint="eastAsia"/>
          <w:color w:val="000000" w:themeColor="text1"/>
          <w:szCs w:val="21"/>
          <w:highlight w:val="none"/>
          <w14:textFill>
            <w14:solidFill>
              <w14:schemeClr w14:val="tx1"/>
            </w14:solidFill>
          </w14:textFill>
        </w:rPr>
        <w:t>本章第27</w:t>
      </w:r>
      <w:r>
        <w:rPr>
          <w:rFonts w:hAnsi="宋体"/>
          <w:color w:val="000000" w:themeColor="text1"/>
          <w:szCs w:val="21"/>
          <w:highlight w:val="none"/>
          <w14:textFill>
            <w14:solidFill>
              <w14:schemeClr w14:val="tx1"/>
            </w14:solidFill>
          </w14:textFill>
        </w:rPr>
        <w:t>条的规定，采购人则可宣布其</w:t>
      </w:r>
      <w:r>
        <w:rPr>
          <w:rFonts w:hint="eastAsia" w:hAnsi="宋体"/>
          <w:color w:val="000000" w:themeColor="text1"/>
          <w:szCs w:val="21"/>
          <w:highlight w:val="none"/>
          <w14:textFill>
            <w14:solidFill>
              <w14:schemeClr w14:val="tx1"/>
            </w14:solidFill>
          </w14:textFill>
        </w:rPr>
        <w:t>成交结果</w:t>
      </w:r>
      <w:r>
        <w:rPr>
          <w:rFonts w:hAnsi="宋体"/>
          <w:color w:val="000000" w:themeColor="text1"/>
          <w:szCs w:val="21"/>
          <w:highlight w:val="none"/>
          <w14:textFill>
            <w14:solidFill>
              <w14:schemeClr w14:val="tx1"/>
            </w14:solidFill>
          </w14:textFill>
        </w:rPr>
        <w:t>无效，并没收其响应担保</w:t>
      </w:r>
      <w:r>
        <w:rPr>
          <w:rFonts w:hint="eastAsia" w:hAnsi="宋体"/>
          <w:color w:val="000000" w:themeColor="text1"/>
          <w:szCs w:val="21"/>
          <w:highlight w:val="none"/>
          <w14:textFill>
            <w14:solidFill>
              <w14:schemeClr w14:val="tx1"/>
            </w14:solidFill>
          </w14:textFill>
        </w:rPr>
        <w:t>金</w:t>
      </w:r>
      <w:r>
        <w:rPr>
          <w:rFonts w:hAnsi="宋体"/>
          <w:color w:val="000000" w:themeColor="text1"/>
          <w:szCs w:val="21"/>
          <w:highlight w:val="none"/>
          <w14:textFill>
            <w14:solidFill>
              <w14:schemeClr w14:val="tx1"/>
            </w14:solidFill>
          </w14:textFill>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514" w:name="_Toc54280827"/>
      <w:bookmarkStart w:id="515" w:name="_Toc53939615"/>
      <w:bookmarkStart w:id="516" w:name="_Toc145499768"/>
      <w:bookmarkStart w:id="517" w:name="_Toc54279975"/>
      <w:bookmarkStart w:id="518" w:name="_Toc54280401"/>
      <w:bookmarkStart w:id="519" w:name="_Toc53918842"/>
      <w:bookmarkStart w:id="520" w:name="_Toc53948792"/>
      <w:bookmarkStart w:id="521" w:name="_Toc53949213"/>
      <w:bookmarkStart w:id="522" w:name="_Toc54281253"/>
      <w:bookmarkStart w:id="523" w:name="_Toc53948371"/>
      <w:bookmarkStart w:id="524" w:name="_Toc53936551"/>
      <w:bookmarkStart w:id="525" w:name="_Toc53945816"/>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29</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.不正当竞争与纪律监督</w:t>
      </w:r>
      <w:bookmarkEnd w:id="514"/>
      <w:bookmarkEnd w:id="515"/>
      <w:bookmarkEnd w:id="516"/>
      <w:bookmarkEnd w:id="517"/>
      <w:bookmarkEnd w:id="518"/>
      <w:bookmarkEnd w:id="519"/>
      <w:bookmarkEnd w:id="520"/>
      <w:bookmarkEnd w:id="521"/>
      <w:bookmarkEnd w:id="522"/>
      <w:bookmarkEnd w:id="523"/>
      <w:bookmarkEnd w:id="524"/>
      <w:bookmarkEnd w:id="525"/>
    </w:p>
    <w:p w14:paraId="73EB749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29.1</w:t>
      </w:r>
      <w:r>
        <w:rPr>
          <w:rFonts w:hint="eastAsia"/>
          <w:color w:val="000000" w:themeColor="text1"/>
          <w:szCs w:val="21"/>
          <w:highlight w:val="none"/>
          <w14:textFill>
            <w14:solidFill>
              <w14:schemeClr w14:val="tx1"/>
            </w14:solidFill>
          </w14:textFill>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29.2</w:t>
      </w:r>
      <w:r>
        <w:rPr>
          <w:rFonts w:hint="eastAsia"/>
          <w:color w:val="000000" w:themeColor="text1"/>
          <w:szCs w:val="21"/>
          <w:highlight w:val="none"/>
          <w14:textFill>
            <w14:solidFill>
              <w14:schemeClr w14:val="tx1"/>
            </w14:solidFill>
          </w14:textFill>
        </w:rPr>
        <w:t>响应单位严禁使用非法手段查询采购底价或其他响应单位文件，泄漏响应文件、哄抬价格损害采购人利益。</w:t>
      </w:r>
    </w:p>
    <w:p w14:paraId="0E8F094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29.3</w:t>
      </w:r>
      <w:r>
        <w:rPr>
          <w:rFonts w:hint="eastAsia"/>
          <w:color w:val="000000" w:themeColor="text1"/>
          <w:szCs w:val="21"/>
          <w:highlight w:val="none"/>
          <w14:textFill>
            <w14:solidFill>
              <w14:schemeClr w14:val="tx1"/>
            </w14:solidFill>
          </w14:textFill>
        </w:rPr>
        <w:t>响应单位严禁利用非法手段骗取成交，伪造借用营业执照、企业资质证书、安全许可证等非法行为。</w:t>
      </w:r>
    </w:p>
    <w:p w14:paraId="20649927">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29</w:t>
      </w:r>
      <w:r>
        <w:rPr>
          <w:color w:val="000000" w:themeColor="text1"/>
          <w:szCs w:val="21"/>
          <w:highlight w:val="none"/>
          <w14:textFill>
            <w14:solidFill>
              <w14:schemeClr w14:val="tx1"/>
            </w14:solidFill>
          </w14:textFill>
        </w:rPr>
        <w:t>.4如发现响应单位有上述不正当竞争行为，将取消其</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资格或</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资格</w:t>
      </w:r>
      <w:r>
        <w:rPr>
          <w:rFonts w:hint="eastAsia"/>
          <w:color w:val="000000" w:themeColor="text1"/>
          <w:szCs w:val="21"/>
          <w:highlight w:val="none"/>
          <w14:textFill>
            <w14:solidFill>
              <w14:schemeClr w14:val="tx1"/>
            </w14:solidFill>
          </w14:textFill>
        </w:rPr>
        <w:t>，已进场开工的责令停工退场，赔偿公司的经济损失，列入中建路桥不合格协力队伍名录</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color w:val="000000" w:themeColor="text1"/>
          <w:sz w:val="28"/>
          <w:szCs w:val="28"/>
          <w:highlight w:val="none"/>
          <w14:textFill>
            <w14:solidFill>
              <w14:schemeClr w14:val="tx1"/>
            </w14:solidFill>
          </w14:textFill>
        </w:rPr>
      </w:pPr>
      <w:r>
        <w:rPr>
          <w:rStyle w:val="46"/>
          <w:rFonts w:ascii="Times New Roman" w:hAnsi="宋体" w:eastAsia="宋体"/>
          <w:b/>
          <w:bCs w:val="0"/>
          <w:color w:val="000000" w:themeColor="text1"/>
          <w:sz w:val="28"/>
          <w:szCs w:val="28"/>
          <w:highlight w:val="none"/>
          <w14:textFill>
            <w14:solidFill>
              <w14:schemeClr w14:val="tx1"/>
            </w14:solidFill>
          </w14:textFill>
        </w:rPr>
        <w:t>第</w:t>
      </w:r>
      <w:r>
        <w:rPr>
          <w:rStyle w:val="46"/>
          <w:rFonts w:hint="eastAsia" w:ascii="Times New Roman" w:hAnsi="宋体" w:eastAsia="宋体"/>
          <w:b/>
          <w:bCs w:val="0"/>
          <w:color w:val="000000" w:themeColor="text1"/>
          <w:sz w:val="28"/>
          <w:szCs w:val="28"/>
          <w:highlight w:val="none"/>
          <w14:textFill>
            <w14:solidFill>
              <w14:schemeClr w14:val="tx1"/>
            </w14:solidFill>
          </w14:textFill>
        </w:rPr>
        <w:t>七</w:t>
      </w:r>
      <w:r>
        <w:rPr>
          <w:rStyle w:val="46"/>
          <w:rFonts w:ascii="Times New Roman" w:hAnsi="宋体" w:eastAsia="宋体"/>
          <w:b/>
          <w:bCs w:val="0"/>
          <w:color w:val="000000" w:themeColor="text1"/>
          <w:sz w:val="28"/>
          <w:szCs w:val="28"/>
          <w:highlight w:val="none"/>
          <w14:textFill>
            <w14:solidFill>
              <w14:schemeClr w14:val="tx1"/>
            </w14:solidFill>
          </w14:textFill>
        </w:rPr>
        <w:t>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hint="eastAsia" w:ascii="Times New Roman" w:hAnsi="宋体" w:eastAsia="宋体"/>
          <w:b/>
          <w:bCs w:val="0"/>
          <w:color w:val="000000" w:themeColor="text1"/>
          <w:sz w:val="28"/>
          <w:szCs w:val="28"/>
          <w:highlight w:val="none"/>
          <w14:textFill>
            <w14:solidFill>
              <w14:schemeClr w14:val="tx1"/>
            </w14:solidFill>
          </w14:textFill>
        </w:rPr>
        <w:t>重新采购和不再采购</w:t>
      </w:r>
    </w:p>
    <w:p w14:paraId="1132350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30</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出现下列特殊情况之一，采购人可重新采购：</w:t>
      </w:r>
    </w:p>
    <w:p w14:paraId="4E298D49">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（1）响应截止时间止，递交响应文件的响应单位少于三个的；</w:t>
      </w:r>
    </w:p>
    <w:p w14:paraId="2B1DFC64">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（2）经评审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否决全部</w:t>
      </w:r>
      <w:r>
        <w:rPr>
          <w:rFonts w:hint="eastAsia"/>
          <w:color w:val="000000" w:themeColor="text1"/>
          <w:szCs w:val="21"/>
          <w:highlight w:val="none"/>
          <w14:textFill>
            <w14:solidFill>
              <w14:schemeClr w14:val="tx1"/>
            </w14:solidFill>
          </w14:textFill>
        </w:rPr>
        <w:t>响应单位</w:t>
      </w:r>
      <w:r>
        <w:rPr>
          <w:color w:val="000000" w:themeColor="text1"/>
          <w:szCs w:val="21"/>
          <w:highlight w:val="none"/>
          <w14:textFill>
            <w14:solidFill>
              <w14:schemeClr w14:val="tx1"/>
            </w14:solidFill>
          </w14:textFill>
        </w:rPr>
        <w:t>的；</w:t>
      </w:r>
    </w:p>
    <w:p w14:paraId="38685E1F">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推荐的</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候选人均</w:t>
      </w:r>
      <w:r>
        <w:rPr>
          <w:rFonts w:hint="eastAsia"/>
          <w:color w:val="000000" w:themeColor="text1"/>
          <w:szCs w:val="21"/>
          <w:highlight w:val="none"/>
          <w14:textFill>
            <w14:solidFill>
              <w14:schemeClr w14:val="tx1"/>
            </w14:solidFill>
          </w14:textFill>
        </w:rPr>
        <w:t>未能与采购人签订合同协议书的；</w:t>
      </w:r>
    </w:p>
    <w:p w14:paraId="16EFA448">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（4）超过半数的响应单位报价严重偏离成本价。</w:t>
      </w:r>
    </w:p>
    <w:p w14:paraId="027E098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31.不再采购</w:t>
      </w:r>
    </w:p>
    <w:p w14:paraId="3840D37E">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重新采购后响应单位仍出现30条中的情况，采购人可选择不再进行采购。</w:t>
      </w:r>
    </w:p>
    <w:p w14:paraId="29FE52E2">
      <w:pPr>
        <w:spacing w:line="360" w:lineRule="auto"/>
        <w:ind w:left="516" w:leftChars="33" w:hanging="447" w:hangingChars="213"/>
        <w:rPr>
          <w:color w:val="000000" w:themeColor="text1"/>
          <w:szCs w:val="21"/>
          <w:highlight w:val="none"/>
          <w14:textFill>
            <w14:solidFill>
              <w14:schemeClr w14:val="tx1"/>
            </w14:solidFill>
          </w14:textFill>
        </w:rPr>
      </w:pPr>
    </w:p>
    <w:p w14:paraId="1CBE64DF">
      <w:pPr>
        <w:spacing w:line="360" w:lineRule="auto"/>
        <w:ind w:left="516" w:leftChars="33" w:hanging="447" w:hangingChars="213"/>
        <w:rPr>
          <w:color w:val="000000" w:themeColor="text1"/>
          <w:szCs w:val="21"/>
          <w:highlight w:val="none"/>
          <w14:textFill>
            <w14:solidFill>
              <w14:schemeClr w14:val="tx1"/>
            </w14:solidFill>
          </w14:textFill>
        </w:rPr>
      </w:pPr>
    </w:p>
    <w:p w14:paraId="703DE020">
      <w:pPr>
        <w:spacing w:line="360" w:lineRule="auto"/>
        <w:ind w:left="516" w:leftChars="33" w:hanging="447" w:hangingChars="213"/>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126E0286">
      <w:pPr>
        <w:pStyle w:val="2"/>
        <w:rPr>
          <w:color w:val="000000" w:themeColor="text1"/>
          <w:highlight w:val="none"/>
          <w14:textFill>
            <w14:solidFill>
              <w14:schemeClr w14:val="tx1"/>
            </w14:solidFill>
          </w14:textFill>
        </w:rPr>
      </w:pPr>
      <w:bookmarkStart w:id="526" w:name="_Toc54291470"/>
      <w:bookmarkStart w:id="527" w:name="_Toc53946129"/>
      <w:bookmarkStart w:id="528" w:name="_Toc54280288"/>
      <w:bookmarkStart w:id="529" w:name="_Toc53949105"/>
      <w:bookmarkStart w:id="530" w:name="_Toc145499778"/>
      <w:bookmarkStart w:id="531" w:name="_Toc53948684"/>
      <w:bookmarkStart w:id="532" w:name="_Toc54278905"/>
      <w:bookmarkStart w:id="533" w:name="_Toc18407865"/>
      <w:bookmarkStart w:id="534" w:name="_Toc54281566"/>
      <w:bookmarkStart w:id="535" w:name="_Toc53949526"/>
      <w:bookmarkStart w:id="536" w:name="_Toc54280714"/>
      <w:bookmarkStart w:id="537" w:name="_Toc54281140"/>
      <w:bookmarkStart w:id="538" w:name="_Toc144872124"/>
      <w:r>
        <w:rPr>
          <w:rFonts w:hint="eastAsia"/>
          <w:color w:val="000000" w:themeColor="text1"/>
          <w:highlight w:val="none"/>
          <w14:textFill>
            <w14:solidFill>
              <w14:schemeClr w14:val="tx1"/>
            </w14:solidFill>
          </w14:textFill>
        </w:rPr>
        <w:t>第三篇  分包合同条款</w:t>
      </w:r>
    </w:p>
    <w:p w14:paraId="21637EA3">
      <w:pPr>
        <w:widowControl/>
        <w:jc w:val="center"/>
        <w:rPr>
          <w:color w:val="000000" w:themeColor="text1"/>
          <w:highlight w:val="none"/>
          <w14:textFill>
            <w14:solidFill>
              <w14:schemeClr w14:val="tx1"/>
            </w14:solidFill>
          </w14:textFill>
        </w:rPr>
      </w:pPr>
    </w:p>
    <w:p w14:paraId="0F74526B">
      <w:pPr>
        <w:kinsoku w:val="0"/>
        <w:ind w:left="158" w:leftChars="75"/>
        <w:jc w:val="center"/>
        <w:outlineLvl w:val="0"/>
        <w:rPr>
          <w:rFonts w:hint="eastAsia" w:ascii="宋体" w:hAnsi="宋体"/>
          <w:b/>
          <w:color w:val="000000" w:themeColor="text1"/>
          <w:sz w:val="32"/>
          <w:szCs w:val="32"/>
          <w:highlight w:val="none"/>
          <w:lang w:eastAsia="zh-CN"/>
          <w14:textFill>
            <w14:solidFill>
              <w14:schemeClr w14:val="tx1"/>
            </w14:solidFill>
          </w14:textFill>
        </w:rPr>
      </w:pPr>
      <w:bookmarkStart w:id="539" w:name="_Toc175764418"/>
      <w:bookmarkStart w:id="540" w:name="_Toc54281136"/>
      <w:bookmarkStart w:id="541" w:name="_Toc145426864"/>
      <w:bookmarkStart w:id="542" w:name="_Toc53948680"/>
      <w:bookmarkStart w:id="543" w:name="_Toc53939924"/>
      <w:bookmarkStart w:id="544" w:name="_Toc53949101"/>
      <w:bookmarkStart w:id="545" w:name="_Toc145499774"/>
      <w:bookmarkStart w:id="546" w:name="_Toc54281562"/>
      <w:bookmarkStart w:id="547" w:name="_Toc54280710"/>
      <w:bookmarkStart w:id="548" w:name="_Toc144872120"/>
      <w:bookmarkStart w:id="549" w:name="_Toc54291466"/>
      <w:bookmarkStart w:id="550" w:name="_Toc53949522"/>
      <w:bookmarkStart w:id="551" w:name="_Toc54280284"/>
      <w:bookmarkStart w:id="552" w:name="_Toc53946125"/>
      <w:bookmarkStart w:id="553" w:name="_Toc54278901"/>
      <w:r>
        <w:rPr>
          <w:rFonts w:hint="eastAsia" w:ascii="宋体" w:hAnsi="宋体"/>
          <w:b/>
          <w:color w:val="000000" w:themeColor="text1"/>
          <w:sz w:val="32"/>
          <w:szCs w:val="32"/>
          <w:highlight w:val="none"/>
          <w:lang w:eastAsia="zh-CN"/>
          <w14:textFill>
            <w14:solidFill>
              <w14:schemeClr w14:val="tx1"/>
            </w14:solidFill>
          </w14:textFill>
        </w:rPr>
        <w:t>第二部分 通用合同条款</w:t>
      </w:r>
      <w:bookmarkEnd w:id="539"/>
    </w:p>
    <w:p w14:paraId="0F74526C">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554" w:name="_Toc303538975"/>
      <w:bookmarkEnd w:id="554"/>
      <w:bookmarkStart w:id="555" w:name="_Toc303538973"/>
      <w:bookmarkEnd w:id="555"/>
      <w:bookmarkStart w:id="556" w:name="_Toc303538976"/>
      <w:bookmarkEnd w:id="556"/>
      <w:bookmarkStart w:id="557" w:name="_Toc303538972"/>
      <w:bookmarkEnd w:id="557"/>
      <w:bookmarkStart w:id="558" w:name="_Toc303538974"/>
      <w:bookmarkEnd w:id="558"/>
      <w:bookmarkStart w:id="559" w:name="_Toc32658"/>
      <w:bookmarkStart w:id="560" w:name="_Toc175764419"/>
      <w:bookmarkStart w:id="561" w:name="_Toc17620"/>
      <w:bookmarkStart w:id="562" w:name="_Toc26284"/>
      <w:bookmarkStart w:id="563" w:name="_Toc13130"/>
      <w:bookmarkStart w:id="564" w:name="_Toc2869"/>
      <w:bookmarkStart w:id="565" w:name="_Toc23392"/>
      <w:bookmarkStart w:id="566" w:name="_Toc29619"/>
      <w:bookmarkStart w:id="567" w:name="_Toc17580"/>
      <w:bookmarkStart w:id="568" w:name="_Toc11140"/>
      <w:bookmarkStart w:id="569" w:name="_Toc3750"/>
      <w:bookmarkStart w:id="570" w:name="_Toc101357415"/>
      <w:bookmarkStart w:id="571" w:name="_Toc10833"/>
      <w:bookmarkStart w:id="572" w:name="_Toc14272"/>
      <w:bookmarkStart w:id="573" w:name="_Toc15310"/>
      <w:bookmarkStart w:id="574" w:name="_Toc7886"/>
      <w:bookmarkStart w:id="575" w:name="_Toc101963482"/>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词语解释</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0F74526D">
      <w:pPr>
        <w:kinsoku w:val="0"/>
        <w:spacing w:after="0" w:line="360" w:lineRule="auto"/>
        <w:ind w:left="158" w:leftChars="75"/>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合同协议书、通用合同条款、专用合同条款中的下列词语应具有本款所赋予的含义：</w:t>
      </w:r>
    </w:p>
    <w:p w14:paraId="0F74526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总承包合同：指建设单位和甲方双方共同签署的施工总承包合同。</w:t>
      </w:r>
    </w:p>
    <w:p w14:paraId="0F74526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本分包合同：指甲方和乙方双方共同签署本分包工程的施工合同。</w:t>
      </w:r>
    </w:p>
    <w:p w14:paraId="0F74527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建设单位：是指在总承包合同中与甲方订立合同协议书的当事人及取得该当事人资格的合法继受人。</w:t>
      </w:r>
    </w:p>
    <w:p w14:paraId="0F74527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甲方：是指在总承包合同中与建设单位订立合同协议书的当事人及取得该当事人资格的合法继受人。</w:t>
      </w:r>
    </w:p>
    <w:p w14:paraId="0F74527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乙方：是指在本分包合同中与甲方订立合同协议书的当事人及取得该当事人资格的合法继受人。</w:t>
      </w:r>
    </w:p>
    <w:p w14:paraId="0F74527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监理单位：指建设单位聘请的整体工程的监理单位。</w:t>
      </w:r>
    </w:p>
    <w:p w14:paraId="0F74527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甲方项目经理：指甲方在本分包合同中指定的负责施工管理、履行总承包合同及本分包合同的代表。</w:t>
      </w:r>
    </w:p>
    <w:p w14:paraId="0F74527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乙方项目经理：指由乙方在本分包合同中指定的负责施工管理和履行合同的代表。</w:t>
      </w:r>
    </w:p>
    <w:p w14:paraId="0F74527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整体工程：指甲方与建设单位签订的总承包合同中约定由甲方负责实施、竣工和修补质量缺陷的有关工程。</w:t>
      </w:r>
    </w:p>
    <w:p w14:paraId="0F74527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本分包工程：指乙方按本分包合同约定负责实施、完工和修补质量缺陷的整体工程内的有关工程。</w:t>
      </w:r>
    </w:p>
    <w:p w14:paraId="0F74527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图纸：指包含在本分包合同中的工程图纸，以及由甲方按本分包合同约定提供的任何补充和修改的图纸，包括配套的说明。</w:t>
      </w:r>
    </w:p>
    <w:p w14:paraId="0F74527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日、天：除特别指明外，指日历天。合同中按天计算时间的，开始当天不计入，从次日开始计算。期限最后一天的截止时间为当天24:00。</w:t>
      </w:r>
    </w:p>
    <w:p w14:paraId="0F74527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缺陷责任期：是指甲方预留工程质量保证金以保证乙方履行第20.1条约定的缺陷责任的期限。</w:t>
      </w:r>
    </w:p>
    <w:p w14:paraId="0F74527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质量保修期：是指乙方按照合同第20.2条约定和法律规定对工程质量承担保修责任的期限。</w:t>
      </w:r>
    </w:p>
    <w:p w14:paraId="0F74527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实名制管理：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14:paraId="0F74527D">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576" w:name="_Toc15530"/>
      <w:bookmarkStart w:id="577" w:name="_Toc101963483"/>
      <w:bookmarkStart w:id="578" w:name="_Toc1668"/>
      <w:bookmarkStart w:id="579" w:name="_Toc29050"/>
      <w:bookmarkStart w:id="580" w:name="_Toc27924"/>
      <w:bookmarkStart w:id="581" w:name="_Toc25557"/>
      <w:bookmarkStart w:id="582" w:name="_Toc11909"/>
      <w:bookmarkStart w:id="583" w:name="_Toc25260"/>
      <w:bookmarkStart w:id="584" w:name="_Toc4355"/>
      <w:bookmarkStart w:id="585" w:name="_Toc175764420"/>
      <w:bookmarkStart w:id="586" w:name="_Toc31420"/>
      <w:bookmarkStart w:id="587" w:name="_Toc14170"/>
      <w:bookmarkStart w:id="588" w:name="_Toc13230"/>
      <w:bookmarkStart w:id="589" w:name="_Toc2269"/>
      <w:bookmarkStart w:id="590" w:name="_Toc9151"/>
      <w:bookmarkStart w:id="591" w:name="_Toc101357416"/>
      <w:bookmarkStart w:id="592" w:name="_Toc2313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适用法律法规</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0F74527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593" w:name="A2"/>
      <w:bookmarkEnd w:id="59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适用于合同的法律包括中华人民共和国正式颁布实施的法律、行政法规、部门规章，以及工程所在地的地方法规、自治条例、单行条例和地方政府规章。</w:t>
      </w:r>
    </w:p>
    <w:p w14:paraId="0F74527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如在合同有效期内，颁布新的法律法规或修订了原有法律法规，则此后继的法律法规将自动适用于本合同。</w:t>
      </w:r>
    </w:p>
    <w:p w14:paraId="0F745280">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594" w:name="_Toc101357417"/>
      <w:bookmarkStart w:id="595" w:name="_Toc175764421"/>
      <w:bookmarkStart w:id="596" w:name="_Toc101963484"/>
      <w:bookmarkStart w:id="597" w:name="_Toc19987"/>
      <w:bookmarkStart w:id="598" w:name="_Toc31847"/>
      <w:bookmarkStart w:id="599" w:name="_Toc22228"/>
      <w:bookmarkStart w:id="600" w:name="_Toc15005"/>
      <w:bookmarkStart w:id="601" w:name="_Toc24914"/>
      <w:bookmarkStart w:id="602" w:name="_Toc6632"/>
      <w:bookmarkStart w:id="603" w:name="_Toc9473"/>
      <w:bookmarkStart w:id="604" w:name="_Toc26613"/>
      <w:bookmarkStart w:id="605" w:name="_Toc8612"/>
      <w:bookmarkStart w:id="606" w:name="_Toc1257"/>
      <w:bookmarkStart w:id="607" w:name="_Toc9548"/>
      <w:bookmarkStart w:id="608" w:name="_Toc13199"/>
      <w:bookmarkStart w:id="609" w:name="_Toc18612"/>
      <w:bookmarkStart w:id="610" w:name="_Toc754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标准和规范</w:t>
      </w:r>
      <w:bookmarkEnd w:id="594"/>
      <w:bookmarkEnd w:id="595"/>
      <w:bookmarkEnd w:id="596"/>
    </w:p>
    <w:p w14:paraId="0F74528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0F74528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构成合同文件的任何内容与国家、行业和工程所在地市现行规范、规程和标准出现矛盾时，乙方应书面要求甲方予以澄清，除非甲方有特别指令，乙方应按其中要求最严格的标准执行。</w:t>
      </w:r>
    </w:p>
    <w:p w14:paraId="0F74528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除合同另有约定外，材料、施工工艺和本分包工程应按技术标准和要求以及国家、行业和工程所在地市现行规范、标准和规程最新版本执行。</w:t>
      </w:r>
    </w:p>
    <w:p w14:paraId="0F745284">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611" w:name="_Toc101357418"/>
      <w:bookmarkStart w:id="612" w:name="_Toc175764422"/>
      <w:bookmarkStart w:id="613" w:name="_Toc10196348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合同文件组成及解释顺序</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0F74528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除专用合同条款另有约定外，组成本合同的文件及优先解释顺序如下：</w:t>
      </w:r>
    </w:p>
    <w:p w14:paraId="0F745286">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合同协议书；</w:t>
      </w:r>
    </w:p>
    <w:p w14:paraId="0F745287">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中标通知书（如有）；</w:t>
      </w:r>
    </w:p>
    <w:p w14:paraId="0F745288">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专用合同条款及承诺书等合同附件；</w:t>
      </w:r>
    </w:p>
    <w:p w14:paraId="0F745289">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通用合同条款；</w:t>
      </w:r>
    </w:p>
    <w:p w14:paraId="0F74528A">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标准、规范及有关技术标准和要求；</w:t>
      </w:r>
    </w:p>
    <w:p w14:paraId="0F74528B">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施工图纸、施工组织设计或施工方案；</w:t>
      </w:r>
    </w:p>
    <w:p w14:paraId="0F74528C">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已标价的工程量清单；</w:t>
      </w:r>
    </w:p>
    <w:p w14:paraId="0F74528D">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往来资料及函件；</w:t>
      </w:r>
    </w:p>
    <w:p w14:paraId="0F74528E">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招标文件及补遗文件（如有）；</w:t>
      </w:r>
    </w:p>
    <w:p w14:paraId="0F74528F">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甲方现场管理制度及要求；</w:t>
      </w:r>
    </w:p>
    <w:p w14:paraId="0F745290">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投标文件及附件；</w:t>
      </w:r>
    </w:p>
    <w:p w14:paraId="0F745291">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与本合同有关的其他文件。</w:t>
      </w:r>
    </w:p>
    <w:p w14:paraId="0F74529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在合同订立及履行过程中形成的与合同有关的文件均为合同文件的组成部分。</w:t>
      </w:r>
    </w:p>
    <w:p w14:paraId="0F74529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上述各项合同文件中包括合同当事人就该项合同文件所做出的补充和修改，属于同一类型内容的文件应以最新签署的为准。</w:t>
      </w:r>
    </w:p>
    <w:p w14:paraId="0F74529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0F745295">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14" w:name="_Toc24518"/>
      <w:bookmarkStart w:id="615" w:name="_Toc2101"/>
      <w:bookmarkStart w:id="616" w:name="_Toc494"/>
      <w:bookmarkStart w:id="617" w:name="_Toc3330"/>
      <w:bookmarkStart w:id="618" w:name="_Toc32415"/>
      <w:bookmarkStart w:id="619" w:name="_Toc12825"/>
      <w:bookmarkStart w:id="620" w:name="_Toc23198"/>
      <w:bookmarkStart w:id="621" w:name="_Toc10197"/>
      <w:bookmarkStart w:id="622" w:name="_Toc101963486"/>
      <w:bookmarkStart w:id="623" w:name="_Toc5199"/>
      <w:bookmarkStart w:id="624" w:name="_Toc26319"/>
      <w:bookmarkStart w:id="625" w:name="_Toc10762"/>
      <w:bookmarkStart w:id="626" w:name="_Toc28671"/>
      <w:bookmarkStart w:id="627" w:name="_Toc24763"/>
      <w:bookmarkStart w:id="628" w:name="_Toc8737"/>
      <w:bookmarkStart w:id="629" w:name="_Toc101357419"/>
      <w:bookmarkStart w:id="630" w:name="_Toc17576442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甲方工作</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0F74529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负责将电源配送至一、二级电箱及线路装配</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29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甲方可以变更或撤销关于项目经理的委派，对于变更或撤销后原项目经理发出的指令或签字等往来文件，不作为甲方对乙方的确认或承诺。</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0F74529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负责编制施工组织设计，统一制定各项管理目标，组织编制年、季、月施工计划、物资需用量计划表，实施对工程质量、工期、安全生产、文明施工、计量、试验等工作的控制、监督、检查和验收。</w:t>
      </w:r>
    </w:p>
    <w:p w14:paraId="0F74529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0F74529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负责整个施工现场的管理工作，负责定期组织召开生产例会，协调乙方与现场其它分包商、施工工序之间的关系。</w:t>
      </w:r>
    </w:p>
    <w:p w14:paraId="0F74529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甲方认为乙方管理人员（包括乙方项目经理、现场负责人及其他管理人员）不能按照合同约定履行职责或义务的，可以要求乙方无条件进行撤换，并委派新的管理人员接替。</w:t>
      </w:r>
    </w:p>
    <w:p w14:paraId="0F74529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29D">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0F74529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0F74529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负责组织分部工程、本分包工程的交（竣）工验收工作。</w:t>
      </w:r>
    </w:p>
    <w:p w14:paraId="0F7452A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负责统一安排工程档案资料的收集、整理及交工验收。</w:t>
      </w:r>
    </w:p>
    <w:p w14:paraId="0F7452A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0F7452A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负责对农民工的进场安全教育，并积极组织相关考试，按照管理要求将教育情况、考试情况录入劳务实名制管理平台。</w:t>
      </w:r>
    </w:p>
    <w:p w14:paraId="0F7452A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0F7452A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负责核实乙方现场实际投入本工程项目（工序）的主要管理人员、技术人员的配备是否与合同约定相符，并对主要管理人员、技术人员的出勤状况进行考核。</w:t>
      </w:r>
    </w:p>
    <w:p w14:paraId="0F7452A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负责做好材料消耗数量管理，对乙方使用的材料消耗进行对比分析，按合同规定对乙方进行扣款。</w:t>
      </w:r>
    </w:p>
    <w:p w14:paraId="0F7452A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负责核实乙方现场实际投入本工程项目（工序）的主要机械设备的规格、数量、进退场时间是否与合同约定相符。</w:t>
      </w:r>
    </w:p>
    <w:p w14:paraId="0F7452A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做好机械设备管理工作，对乙方进场的机械设备进行验收并登记造册，监督乙方对租赁机械设备费用的及时支付。</w:t>
      </w:r>
    </w:p>
    <w:p w14:paraId="0F7452A8">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31" w:name="_Toc175764424"/>
      <w:bookmarkStart w:id="632" w:name="_Toc15331"/>
      <w:bookmarkStart w:id="633" w:name="_Toc26413"/>
      <w:bookmarkStart w:id="634" w:name="_Toc18862"/>
      <w:bookmarkStart w:id="635" w:name="_Toc15315"/>
      <w:bookmarkStart w:id="636" w:name="_Toc17585"/>
      <w:bookmarkStart w:id="637" w:name="_Toc15691"/>
      <w:bookmarkStart w:id="638" w:name="_Toc101357420"/>
      <w:bookmarkStart w:id="639" w:name="_Toc17055"/>
      <w:bookmarkStart w:id="640" w:name="_Toc8122"/>
      <w:bookmarkStart w:id="641" w:name="_Toc24013"/>
      <w:bookmarkStart w:id="642" w:name="_Toc4268"/>
      <w:bookmarkStart w:id="643" w:name="_Toc13995"/>
      <w:bookmarkStart w:id="644" w:name="_Toc22501"/>
      <w:bookmarkStart w:id="645" w:name="_Toc101963487"/>
      <w:bookmarkStart w:id="646" w:name="_Toc28386"/>
      <w:bookmarkStart w:id="647" w:name="_Toc732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乙方工作</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0F7452A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0F7452AA">
      <w:pPr>
        <w:numPr>
          <w:ilvl w:val="1"/>
          <w:numId w:val="3"/>
        </w:numPr>
        <w:kinsoku w:val="0"/>
        <w:spacing w:after="0" w:line="360" w:lineRule="auto"/>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0F7452A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0F7452A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0F7452A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0F7452A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0F7452A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0F7452B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0F7452B1">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技术交底（含技术交底图纸）与工程实际不符，如施工位置、地质、设计高程及技术交底图纸、技术交底所标明的设计数据、施工要求与实际不符；</w:t>
      </w:r>
    </w:p>
    <w:p w14:paraId="0F7452B2">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技术交底（含技术交底图纸）表示不明确或有遗漏、错误、图纸与文字说明不符，工程数量有误等；</w:t>
      </w:r>
    </w:p>
    <w:p w14:paraId="0F7452B3">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技术交底（含技术交底图纸）中的常识性错误。</w:t>
      </w:r>
    </w:p>
    <w:p w14:paraId="0F7452B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乙方承担复制、重新绘制、翻译、购买标准图纸的责任和费用，乙方负责按甲方要求，收集、整理、编制本分包工程的中间交工资料、竣工资料及竣工图,并在甲方规定的时间内提交。</w:t>
      </w:r>
    </w:p>
    <w:p w14:paraId="0F7452B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0F7452B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负责提供除本合同约定甲方提供资源和服务以外的所有实施本工程所必须的资源。负责随时接受建设单位、监理及甲方的监督检查和指导，并为其日常检查查验提供便利和安全条件。</w:t>
      </w:r>
    </w:p>
    <w:p w14:paraId="0F7452B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0F7452B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乙方应严格执行样板（首件制）制度，样板（首件制）验收合格后方可进行大面积施工。</w:t>
      </w:r>
    </w:p>
    <w:p w14:paraId="0F7452B9">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负责现场数据资料的编写。必须指定专人配合甲方进行本工程所须的一切试验检测工作（含第三方见证试验），配合甲方进行和完成承包工程所需的所有甲方、建设单位、有关政府部门/单位要求的各种试验工作。</w:t>
      </w:r>
    </w:p>
    <w:p w14:paraId="0F7452B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0F7452B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0F7452B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0F7452B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0F7452B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若分包施工涉及工程防渗漏问题，乙方必须采取防渗漏措施，并在施工方案中体现，经甲方审核后实施。若由于乙方分包施工过程管控不严而产生渗漏，由此产生的直接及间接损失均由乙方承担。</w:t>
      </w:r>
    </w:p>
    <w:p w14:paraId="0F7452B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0F7452C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0F7452C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甲方在最终施工时可能对图纸、技术方案、施工范围和内容，以及进度节点和施工顺序、其他施工条件进行调整，乙方应按甲方要求实施并如期交付，合同价款已考虑所有费用的差异。</w:t>
      </w:r>
    </w:p>
    <w:p w14:paraId="0F7452C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负责本分包工程档案资料的编制、整理、组卷并按照专用合同条款中的约定移交甲方。</w:t>
      </w:r>
    </w:p>
    <w:p w14:paraId="0F7452C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乙方有义务保管、维护施工范围现场临水、临电、临时消防设施，负责二级以下至施工工作面的配电，同时必须达到甲方的安全文明施工要求，其费用包含在合同单价之内。</w:t>
      </w:r>
    </w:p>
    <w:p w14:paraId="0F7452C4">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如果同一现场内有甲方分包的其它分包商，乙方应无条件为甲方的其它分包商提供合同中所约定的施工资源，其费用已包含在合同价款中，任何情况下均不得调整。</w:t>
      </w:r>
    </w:p>
    <w:p w14:paraId="0F7452C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0F7452C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0F7452C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0F7452C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0F7452C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乙方向甲方提供施工人员名单（外来人员需经当地项目建设行政主管部门外管处备案）及上岗证、操作人员100%持证上岗，特殊工种要100%持证上岗。</w:t>
      </w:r>
    </w:p>
    <w:p w14:paraId="0F7452C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乙方未经甲方的书面批准不得做出任何关于本工程宣传报道、竖立标牌、广告及单方面发表技术成果、专利等有关CI及知识产权方面的事宜。</w:t>
      </w:r>
    </w:p>
    <w:p w14:paraId="0F7452C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0F7452C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0F7452CD">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0F7452C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0F7452C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0F7452D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乙方进场后立即办理相关手续，如：暂住证、健康证等证件，乙方施工人员应持证上岗；劳动力进场后立即组织其进行入场的“三级教育”和法制教育，使职工做到安全生产，不违章、违纪、违法。</w:t>
      </w:r>
    </w:p>
    <w:p w14:paraId="0F7452D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0F7452D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0F7452D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天内，需将上述资料复印件加盖乙方公章后提交至甲方存档。乙方人员进退场费用、驻地只施工场地的通行费用由乙方承担，甲方不再另行支付费用。</w:t>
      </w:r>
    </w:p>
    <w:p w14:paraId="0F7452D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0F7452D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0F7452D6">
      <w:pPr>
        <w:numPr>
          <w:ilvl w:val="1"/>
          <w:numId w:val="3"/>
        </w:numPr>
        <w:kinsoku w:val="0"/>
        <w:spacing w:after="0" w:line="360" w:lineRule="auto"/>
        <w:jc w:val="both"/>
        <w:rPr>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0F7452D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乙方应严格遵守环保和文明施工的法律、法规和行业标准规定以及甲方的有关规定，积极开展环保、节能减排、水土保持等相关工作。</w:t>
      </w:r>
    </w:p>
    <w:p w14:paraId="0F7452D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0F7452D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实际施工过程中甲方可以根据实际施工情况增加或减少乙方的施工内容，乙方必须按照甲方的指令进行施工，确保现场施工进度，并且不得进行任何工期及费用的索赔。</w:t>
      </w:r>
    </w:p>
    <w:p w14:paraId="0F7452D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0F7452D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乙方不得书面、口头使用甲方企业及其项目部名称，对外进行经济活动。乙方在分包作业工地发生劳动、租赁、买卖等合同纠纷、债务、债权责任，一律由乙方履行和承担责任。</w:t>
      </w:r>
    </w:p>
    <w:p w14:paraId="0F7452DC">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48" w:name="_Toc9009"/>
      <w:bookmarkStart w:id="649" w:name="_Toc101963488"/>
      <w:bookmarkStart w:id="650" w:name="_Toc11195"/>
      <w:bookmarkStart w:id="651" w:name="_Toc8398"/>
      <w:bookmarkStart w:id="652" w:name="_Toc4863"/>
      <w:bookmarkStart w:id="653" w:name="_Toc10226"/>
      <w:bookmarkStart w:id="654" w:name="_Toc13570"/>
      <w:bookmarkStart w:id="655" w:name="_Toc21935"/>
      <w:bookmarkStart w:id="656" w:name="_Toc31633"/>
      <w:bookmarkStart w:id="657" w:name="_Toc101357421"/>
      <w:bookmarkStart w:id="658" w:name="_Toc19801"/>
      <w:bookmarkStart w:id="659" w:name="_Toc11492"/>
      <w:bookmarkStart w:id="660" w:name="_Toc30226"/>
      <w:bookmarkStart w:id="661" w:name="_Toc17634"/>
      <w:bookmarkStart w:id="662" w:name="_Toc175764425"/>
      <w:bookmarkStart w:id="663" w:name="_Toc7712"/>
      <w:bookmarkStart w:id="664" w:name="_Toc1913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技术质量要求</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0F7452DD">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0F7452DE">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质量标准的评定参考国家、地方或行业的质量检验评定标准，以总包方对业主的最终承诺为准</w:t>
      </w: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0F7452D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质量问题整改率：100%。由于乙方发生质量问题对甲方的利益或声誉造成损害时或乙方对质量问题整改不彻底或整改不及时，甲方按照专用条款23.7条约定扣除相应的违约金，工期不予顺延。</w:t>
      </w:r>
    </w:p>
    <w:p w14:paraId="0F7452E0">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甲方的过程质量监督检查和工程质量检验不应影响施工正常进行。如影响施工正常进行，且检查检验不合格时，影响正常施工造成的费用增加和（或）工期延误由乙方承担。</w:t>
      </w:r>
    </w:p>
    <w:p w14:paraId="0F7452E1">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工程具备隐蔽条件时先由乙方进行自检，并在隐蔽验收前以书面形式通知甲方验收。通知包括隐蔽的内容、验收时间和地点。甲方组织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w:t>
      </w: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0F7452E2">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0F7452E3">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0F7452E4">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65" w:name="_Toc834"/>
      <w:bookmarkStart w:id="666" w:name="_Toc28556"/>
      <w:bookmarkStart w:id="667" w:name="_Toc6878"/>
      <w:bookmarkStart w:id="668" w:name="_Toc25258"/>
      <w:bookmarkStart w:id="669" w:name="_Toc20395"/>
      <w:bookmarkStart w:id="670" w:name="_Toc9236"/>
      <w:bookmarkStart w:id="671" w:name="_Toc14890"/>
      <w:bookmarkStart w:id="672" w:name="_Toc3419"/>
      <w:bookmarkStart w:id="673" w:name="_Toc101963489"/>
      <w:bookmarkStart w:id="674" w:name="_Toc175764426"/>
      <w:bookmarkStart w:id="675" w:name="_Toc101357422"/>
      <w:bookmarkStart w:id="676" w:name="_Toc22854"/>
      <w:bookmarkStart w:id="677" w:name="_Toc21526"/>
      <w:bookmarkStart w:id="678" w:name="_Toc15900"/>
      <w:bookmarkStart w:id="679" w:name="_Toc22723"/>
      <w:bookmarkStart w:id="680" w:name="_Toc29241"/>
      <w:bookmarkStart w:id="681" w:name="_Toc2544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材料设备管理</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14:paraId="0F7452E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0F7452E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0F7452E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2E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对于甲方提供的材料，乙方因自行加工、委托加工等原因必须移出本合同劳动作业范围时，乙方需报甲方审批，甲方批准且双方共同盘点后实施。</w:t>
      </w:r>
    </w:p>
    <w:p w14:paraId="0F7452E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%的价格调拨给乙方，或由乙方承担甲方自行收回所使用的机械、人工等费用。</w:t>
      </w:r>
    </w:p>
    <w:p w14:paraId="0F7452E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除《甲供材料、机械设备明细表》中已列明由甲方提供的材料和大中型机械外，其余辅材和小型机具均由乙方自行提供。包括但不限于辅材、低值易耗品、小型机械等，不包括主要建筑材料、周转材料和大中型施工机械设备等，费用包含在合同综合单价中。</w:t>
      </w:r>
    </w:p>
    <w:p w14:paraId="0F7452EB">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应妥善保管和使用甲方提供给乙方使用的机械、设备、材料以及周转材料，并接受甲方对使用情况的监督检查。因乙方保管不善、未合理使用、违章操作等造成机械、设备、材料以及周转材料丢失或损毁的，乙方应予以赔偿，并承担因此造成其他损失。</w:t>
      </w:r>
    </w:p>
    <w:p w14:paraId="0F7452E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乙方采购提供的材料、设备在使用前应按甲方要求进行检验或试验，不合格者不得使用，检验或试验费用由乙方承担。</w:t>
      </w:r>
    </w:p>
    <w:p w14:paraId="0F7452E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0F7452E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甲方保留将任何材料作为指定供应的权利，及将任何分项工程另行分包的权利。</w:t>
      </w:r>
    </w:p>
    <w:p w14:paraId="0F7452E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0F7452F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对于由甲方供应的材料（《甲供材料、机械设备明细表》），乙方负责在本合同中约定的消耗量之内控制使用。如合同未明确损耗率，则默认双方认可材料损耗率为零。</w:t>
      </w:r>
    </w:p>
    <w:p w14:paraId="0F7452F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0F7452F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材料进场后的申报程序执行工程所在地地方标准，进场设备应符合工程所在地项目建设行政主管部门备案、安全规定，乙方租用设备要有主管部门要求的证件、手续。</w:t>
      </w:r>
    </w:p>
    <w:p w14:paraId="0F7452F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0F7452F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0F7452F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0F7452F6">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682" w:name="_Toc18280"/>
      <w:bookmarkStart w:id="683" w:name="_Toc31959"/>
      <w:bookmarkStart w:id="684" w:name="_Toc15892"/>
      <w:bookmarkStart w:id="685" w:name="_Toc11354"/>
      <w:bookmarkStart w:id="686" w:name="_Toc16298"/>
      <w:bookmarkStart w:id="687" w:name="_Toc10324"/>
      <w:bookmarkStart w:id="688" w:name="_Toc383"/>
      <w:bookmarkStart w:id="689" w:name="_Toc18064"/>
      <w:bookmarkStart w:id="690" w:name="_Toc17371"/>
      <w:bookmarkStart w:id="691" w:name="_Toc22411"/>
      <w:bookmarkStart w:id="692" w:name="_Toc13649"/>
      <w:bookmarkStart w:id="693" w:name="_Toc749"/>
      <w:bookmarkStart w:id="694" w:name="_Toc175764427"/>
      <w:bookmarkStart w:id="695" w:name="_Toc101357423"/>
      <w:bookmarkStart w:id="696" w:name="_Toc22544"/>
      <w:bookmarkStart w:id="697" w:name="_Toc5351"/>
      <w:bookmarkStart w:id="698" w:name="_Toc101963490"/>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安</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全</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文明施工</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管理</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0F7452F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本合同双方须共同遵守国家和地方有关安全管理、环境保护的法律、法规。乙方应严格按照《安全管理协议书》中安全和绿色施工标准组织施工。</w:t>
      </w:r>
    </w:p>
    <w:p w14:paraId="0F7452F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本合同签约合同总价中已包含安全文明施工措施费，且明确单列，乙方应保证做到专款专用。</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计提标准及使用方法见《中建路桥集团有限公司安全生产管理办法》。</w:t>
      </w:r>
    </w:p>
    <w:p w14:paraId="0F7452F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每月甲方对乙方的安全措施投入情况进行验收，验收合格后按照约定的计提比例予以支付，如现场安全投入不能满足甲方要求，则安全措施费不予支付。</w:t>
      </w:r>
    </w:p>
    <w:p w14:paraId="0F7452F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乙方必须缴纳安全风险抵押金5-10万元，具体金额按照专用合同条款约定执行，如施工过程中乙方更换安全人员，更换人员资历水平不得低于原投标人员，否则扣除安全风险抵押金。</w:t>
      </w:r>
    </w:p>
    <w:p w14:paraId="0F7452F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乙方应承担由于自身安全措施不力造成事故的责任和由此发生的费用，并承担政府主管部门因扬尘污染而给予责令停工等行政处罚所造成的误工、工期拖延造成的损失。</w:t>
      </w:r>
    </w:p>
    <w:p w14:paraId="0F7452F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0F7452F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专业承包单位应当根据所承担的分部分项工程的工程量和施工危险程度按要求配置专职安全生产管理人员。</w:t>
      </w:r>
    </w:p>
    <w:p w14:paraId="0F7452FE">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0F7452F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0F74530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按文明施工有关规定及甲方要求进行现场布置管理，做到工完场清，料具工具堆放整齐。安全帽应按照甲方要求统一颜色、标识，便于规范管理。</w:t>
      </w:r>
    </w:p>
    <w:p w14:paraId="0F74530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乙方在施工过程中必须遵守工程所在地有关消防、安全文明施工、环境管理等规定，办理相关手续，承担由此发生的费用。凡因违反政府有关规定所导致的责任，均由乙方承担。</w:t>
      </w:r>
    </w:p>
    <w:p w14:paraId="0F74530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0F74530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甲方认为乙方工作中安全措施不力或安全设施不足，可要求乙方限期改正，若仍不能满足安全要求，甲方可自行安排相关工作，所发生的费用由乙方承担。</w:t>
      </w:r>
    </w:p>
    <w:p w14:paraId="0F745304">
      <w:pPr>
        <w:numPr>
          <w:ilvl w:val="1"/>
          <w:numId w:val="3"/>
        </w:numPr>
        <w:kinsoku w:val="0"/>
        <w:spacing w:after="0" w:line="360" w:lineRule="auto"/>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0F745305">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699" w:name="_Toc101963491"/>
      <w:bookmarkStart w:id="700" w:name="_Toc175764428"/>
      <w:bookmarkStart w:id="701" w:name="_Toc101357424"/>
      <w:bookmarkStart w:id="702" w:name="_Toc9837"/>
      <w:bookmarkStart w:id="703" w:name="_Toc28305"/>
      <w:bookmarkStart w:id="704" w:name="_Toc22368"/>
      <w:bookmarkStart w:id="705" w:name="_Toc31132"/>
      <w:bookmarkStart w:id="706" w:name="_Toc12899"/>
      <w:bookmarkStart w:id="707" w:name="_Toc16982"/>
      <w:bookmarkStart w:id="708" w:name="_Toc8805"/>
      <w:bookmarkStart w:id="709" w:name="_Toc6154"/>
      <w:bookmarkStart w:id="710" w:name="_Toc6633"/>
      <w:bookmarkStart w:id="711" w:name="_Toc27395"/>
      <w:bookmarkStart w:id="712" w:name="_Toc32373"/>
      <w:bookmarkStart w:id="713" w:name="_Toc3343"/>
      <w:bookmarkStart w:id="714" w:name="_Toc2374"/>
      <w:bookmarkStart w:id="715" w:name="_Toc27577"/>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绿色施工、环境保护与职业健康管理</w:t>
      </w:r>
      <w:bookmarkEnd w:id="699"/>
      <w:bookmarkEnd w:id="700"/>
      <w:bookmarkEnd w:id="701"/>
    </w:p>
    <w:p w14:paraId="0F74530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6" w:name="_Toc101357426"/>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本合同双方应共同遵守国家和地方有关的环境保护、“双碳”目标的法律、法规，努力营造绿色低碳施工环境及建筑。</w:t>
      </w:r>
      <w:bookmarkEnd w:id="716"/>
    </w:p>
    <w:p w14:paraId="0F74530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7" w:name="_Toc10135742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乙方在整个施工作业过程中满足甲方制定并经国家权威部门认证的ISO9001、ISO14001和OHSA18001的要求，保证施工生产符合相关标准的要求。</w:t>
      </w:r>
      <w:bookmarkEnd w:id="71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乙方应定期对自有管理人员及劳务工人进行绿色施工法规、技术知识培训等，并接受相关单位的监督管理。</w:t>
      </w:r>
    </w:p>
    <w:p w14:paraId="0F74530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0F745309">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（1）乙方应当确保其所提供的材料、工程设备、施工设备和其他材料都是绿色环保产品，列入国家强制认证产品名录的，还应当是通过国家强制认证的产品；</w:t>
      </w:r>
    </w:p>
    <w:p w14:paraId="0F74530A">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（2）建筑余料应合理使用：施工现场建筑余料要合理利用，如混凝土用于制作路牙石，预制过梁等，钢筋制作马镫，定位筋等；</w:t>
      </w:r>
    </w:p>
    <w:p w14:paraId="0F74530B">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（3）板材、块材等下脚料和撒落混凝土及砂浆应科学利用：下脚料等分规格后合理进行利用；</w:t>
      </w:r>
    </w:p>
    <w:p w14:paraId="0F74530C">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（4）混凝土养护和砂浆搅拌用水应合理，应有节水措施：混凝土养护宜采用覆膜养护或喷雾养护等节水措施；</w:t>
      </w:r>
    </w:p>
    <w:p w14:paraId="0F74530D">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（5）管网和用水器具不应有渗漏：对管网及用水器具要定期进行检查维修；</w:t>
      </w:r>
    </w:p>
    <w:p w14:paraId="0F74530E">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（6）对施工现场的生产、生活、办公和主要耗能施工设备应设有节能的控制措施：主要耗能设备要有自动控制等相关控制措施，避免造成能源浪费；</w:t>
      </w:r>
    </w:p>
    <w:p w14:paraId="0F74530F">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（7）国家、行业、地方政府明令淘汰的施工设备、机具和产品不应使用：施工现场严禁使用国家命令淘汰的用能设备及生产工艺；</w:t>
      </w:r>
    </w:p>
    <w:p w14:paraId="0F745310">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（8）应采用节能型设施：现场临电设备、小型机具、照明灯具等应采用带有国家能源效率标示的产品；</w:t>
      </w:r>
    </w:p>
    <w:p w14:paraId="0F745311">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（9）临时用电应设置合理，管理制度应齐全并应落实到位：施工现场临时用电要规范，制定相关管理制度，有专人负责；</w:t>
      </w:r>
    </w:p>
    <w:p w14:paraId="0F745312">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（10）应采用能源利用效率高的施工机械设备：现场施工应选用功率与负载相匹配的施工机械设备；</w:t>
      </w:r>
    </w:p>
    <w:p w14:paraId="0F745313">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（11）施工机具资源应共享：合理进行施工平面布置，塔吊、加工厂等要充分考虑多区域共同利用；</w:t>
      </w:r>
    </w:p>
    <w:p w14:paraId="0F745314">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（12）应定期监控重点耗能设备的能源利用情况，并有记录：塔吊、施工电梯等重点耗能设备要单独安装电表；</w:t>
      </w:r>
    </w:p>
    <w:p w14:paraId="0F745315">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（13）建筑材料的选用应缩短运输距离，减少能源消耗：500km以内的建筑材料用量占施工使用的建筑材料总重量的70%以上；</w:t>
      </w:r>
    </w:p>
    <w:p w14:paraId="0F745316">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（14）应采用能耗少的施工工艺：改进施工工艺，节能降耗。如采用逆作法等，降低扬尘及噪音、减少材料消耗、避免使用大型设备能源；</w:t>
      </w:r>
    </w:p>
    <w:p w14:paraId="0F745317">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（15）应合理安排施工工序和施工进度：在既定施工目标条件下，做到均衡施工、流水施工。特别要避免突击赶工期造成的无序施工、人力物力财力浪费等现象；</w:t>
      </w:r>
    </w:p>
    <w:p w14:paraId="0F745318">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（16）乙方应在其施工环保措施计划中明确防止误用的保证措施，违背此项约定的责任和后果全部由乙方承担。</w:t>
      </w:r>
    </w:p>
    <w:p w14:paraId="0F74531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8" w:name="_Toc10135742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乙方在运输材料（包括废料）、机具过程中应执行工程所在地关于禁止车辆运输泄露、遗撒的规定。</w:t>
      </w:r>
    </w:p>
    <w:p w14:paraId="0F74531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9" w:name="_Toc101357430"/>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乙方必须采取有效措施，防止运输机械噪声超标或机械漏油污染环境。</w:t>
      </w:r>
      <w:bookmarkEnd w:id="719"/>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运输车辆要定期进行噪音检测。对于不符合要求的机械要及时采取必要的措施。车辆进入现场禁止鸣笛。</w:t>
      </w:r>
    </w:p>
    <w:p w14:paraId="0F74531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乙方应承担因其原因引起的环境污染侵权损害赔偿责任，因上述环境污染引起纠纷而导致分包作业暂停的，由此增加的费用和（或）延误的工期由乙方承担。</w:t>
      </w:r>
    </w:p>
    <w:p w14:paraId="0F74531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乙方进驻现场员工需接受10.2条约定的国家认证体系的教育培训并建立工人职业健康档案。</w:t>
      </w:r>
      <w:bookmarkEnd w:id="71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720" w:name="_Toc101357429"/>
    </w:p>
    <w:p w14:paraId="0F74531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720"/>
    <w:p w14:paraId="0F74531E">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21" w:name="_Toc101963492"/>
      <w:bookmarkStart w:id="722" w:name="_Toc175764429"/>
      <w:bookmarkStart w:id="723" w:name="_Toc10135743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工期</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21"/>
      <w:bookmarkEnd w:id="722"/>
      <w:bookmarkEnd w:id="723"/>
    </w:p>
    <w:p w14:paraId="0F74531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合同工期已经考虑下列因素，乙方承诺不因此类原因提出任何有关的工期和费用索赔：</w:t>
      </w:r>
    </w:p>
    <w:p w14:paraId="0F745320">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国家及地方政府规定的节假日或公休日；</w:t>
      </w:r>
    </w:p>
    <w:p w14:paraId="0F745321">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高考、中考期间政府对施工的限制；</w:t>
      </w:r>
    </w:p>
    <w:p w14:paraId="0F745322">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两会及其他政府会议；</w:t>
      </w:r>
    </w:p>
    <w:p w14:paraId="0F745323">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与其他施工工序间不可避免的交叉作业影响，配合施工的等待时间等对工期产生的影响；</w:t>
      </w:r>
    </w:p>
    <w:p w14:paraId="0F745324">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不利的气候条件（不可抗力除外）；</w:t>
      </w:r>
    </w:p>
    <w:p w14:paraId="0F745325">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施工噪音及夜间施工时间段造成的影响、空气污染预警、环保政策要求、扰民与民扰、城管管制、农忙；</w:t>
      </w:r>
    </w:p>
    <w:p w14:paraId="0F745326">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甲方及甲方上级单位、建设单位或政府职能部门的各类检查、奖项评比、各种层级的观摩；</w:t>
      </w:r>
    </w:p>
    <w:p w14:paraId="0F745327">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已充分研判和考虑地质风险；</w:t>
      </w:r>
    </w:p>
    <w:p w14:paraId="0F745328">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其它不利的条件（不可抗力除外）。</w:t>
      </w:r>
    </w:p>
    <w:p w14:paraId="0F74532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经甲方审批的《工程进度计划》作为考核分包工期的依据，乙方须无条件完全正确地执行。</w:t>
      </w:r>
    </w:p>
    <w:p w14:paraId="0F74532A">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0F74532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发生下列情况之一时,经甲方确认,工期可以顺延:</w:t>
      </w:r>
    </w:p>
    <w:p w14:paraId="0F74532C">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因不可抗力或甲方原因导致乙方不能正常施工，并按照签证签署经甲方项目经理、项目技术负责人、项目生产负责人、项目商务经理书面共同确认。</w:t>
      </w:r>
    </w:p>
    <w:p w14:paraId="0F74532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建设单位书面认可的工期延误。</w:t>
      </w:r>
    </w:p>
    <w:p w14:paraId="0F74532E">
      <w:pPr>
        <w:tabs>
          <w:tab w:val="left" w:pos="0"/>
        </w:tabs>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乙方须在以上情况发生后7天内，提出工期顺延要求的报告，并附上详细的证据资料，甲方在接到报告后</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天内予以签认、提出拒签理由或要求乙方补充资料。若乙方未在</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0F74532F">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乙方充分理解甲方在征拆或图纸不到位的情况下有可能出现所分包项目不能连续施工的情况，乙方承诺将按甲方要求顺延工期并不对此做任何费用增加及补偿的要求。</w:t>
      </w:r>
    </w:p>
    <w:p w14:paraId="0F74533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甲方根据合同约定工期及施工组织设计编制节点工期，乙方必须严格按照甲方制定的节点工期要求组织施工。</w:t>
      </w:r>
    </w:p>
    <w:p w14:paraId="0F74533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0F74533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当工程具备复工条件时，甲方向乙方发出复工通知后，乙方应按照复工通知的要求复工，乙方应当无条件复工，超过15天乙方仍未复工的，甲方可解除合同并要求乙方承担违约责任。</w:t>
      </w:r>
    </w:p>
    <w:p w14:paraId="0F74533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无法施工的剩余分包内容工程，乙方放弃主张可得利益等权利。</w:t>
      </w:r>
    </w:p>
    <w:p w14:paraId="0F745334">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24" w:name="_Toc101357432"/>
      <w:bookmarkStart w:id="725" w:name="_Toc175764430"/>
      <w:bookmarkStart w:id="726" w:name="_Toc101963493"/>
      <w:bookmarkStart w:id="727" w:name="_Toc4842"/>
      <w:bookmarkStart w:id="728" w:name="_Toc1769"/>
      <w:bookmarkStart w:id="729" w:name="_Toc17806"/>
      <w:bookmarkStart w:id="730" w:name="_Toc10639"/>
      <w:bookmarkStart w:id="731" w:name="_Toc12433"/>
      <w:bookmarkStart w:id="732" w:name="_Toc12536"/>
      <w:bookmarkStart w:id="733" w:name="_Toc30786"/>
      <w:bookmarkStart w:id="734" w:name="_Toc32027"/>
      <w:bookmarkStart w:id="735" w:name="_Toc23833"/>
      <w:bookmarkStart w:id="736" w:name="_Toc14657"/>
      <w:bookmarkStart w:id="737" w:name="_Toc26349"/>
      <w:bookmarkStart w:id="738" w:name="_Toc30939"/>
      <w:bookmarkStart w:id="739" w:name="_Toc6962"/>
      <w:bookmarkStart w:id="740" w:name="_Toc1996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试验和检验</w:t>
      </w:r>
      <w:bookmarkEnd w:id="724"/>
      <w:bookmarkEnd w:id="725"/>
      <w:bookmarkEnd w:id="726"/>
    </w:p>
    <w:p w14:paraId="0F74533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41" w:name="_Toc10135743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741"/>
    </w:p>
    <w:p w14:paraId="0F74533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42" w:name="_Toc101357434"/>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甲方未按合同约定派员参加试验和检验的，除甲方另有指示外，乙方可自行试验和检验，并应及时将试验和检验结果报送甲方，甲方应签字确认。</w:t>
      </w:r>
      <w:bookmarkEnd w:id="742"/>
    </w:p>
    <w:p w14:paraId="0F74533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43" w:name="_Toc10135743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743"/>
    </w:p>
    <w:p w14:paraId="0F745338">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44" w:name="_Toc101963494"/>
      <w:bookmarkStart w:id="745" w:name="_Toc101357436"/>
      <w:bookmarkStart w:id="746" w:name="_Toc17576443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合同价款与计量方式</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4"/>
      <w:bookmarkEnd w:id="745"/>
      <w:bookmarkEnd w:id="746"/>
    </w:p>
    <w:p w14:paraId="0F745339">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包括项目管理咨询公司、第三方实测实量机构</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）、监理单位、甲方的合理要求，并承担自身经营风险所可能发生的一切相关费用均已包含在合同价格之内。</w:t>
      </w:r>
    </w:p>
    <w:p w14:paraId="0F74533A">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下列三种确定合同价格的方式，在专用合同条款中约定采用其中一种：</w:t>
      </w:r>
    </w:p>
    <w:p w14:paraId="0F74533B">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color w:val="000000" w:themeColor="text1"/>
          <w:sz w:val="21"/>
          <w:szCs w:val="21"/>
          <w:highlight w:val="none"/>
          <w:lang w:eastAsia="zh-CN"/>
          <w14:textFill>
            <w14:solidFill>
              <w14:schemeClr w14:val="tx1"/>
            </w14:solidFill>
          </w14:textFill>
        </w:rPr>
        <w:t>相关部门各种手续办理及费用、与周边居民的协调工作、</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配合乙方或甲方另行分包的项目所需的配合服务费及配合照管费、疫情常态化防控发生的各种防疫费用、为完成本合同承包范围由甲方安排的其它工作等。合同价格包括的风险范围：</w:t>
      </w:r>
    </w:p>
    <w:p w14:paraId="0F74533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（1）措施费包干，除特别约定外不作调整；</w:t>
      </w:r>
    </w:p>
    <w:p w14:paraId="0F74533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（2）经过乙方标价的工程量清单（或乙方投标报价）各分项工程、各子目中的计算、价格错误及组价的漏项；</w:t>
      </w:r>
    </w:p>
    <w:p w14:paraId="0F74533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（3）乙方施工范围或施工工程量增加15%范围以内的情况或乙方施工范围或施工工程量减少的情况导致价格的变化；</w:t>
      </w:r>
    </w:p>
    <w:p w14:paraId="0F74533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（4）材料价格及人工价格上涨或下落；</w:t>
      </w:r>
    </w:p>
    <w:p w14:paraId="0F745340">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（5）国家法律、法规、政策的变化；</w:t>
      </w:r>
    </w:p>
    <w:p w14:paraId="0F745341">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（6）工程造价管理部门公布的各种价格调整；</w:t>
      </w:r>
    </w:p>
    <w:p w14:paraId="0F74534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（7）大面积与局部、小面积之间，普通部位与特殊部位之间的各种施工差异；</w:t>
      </w:r>
    </w:p>
    <w:p w14:paraId="0F74534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（8）任何情况下，乙方在投标前已勘察现场及熟悉施工图纸等，实际施工时不能以对现场或图纸不熟，或者以清单未描述或内容描述不全面等为由要求调整合同单价。</w:t>
      </w:r>
    </w:p>
    <w:p w14:paraId="0F745344">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总价合同：是指双方当事人约定以图纸、已标价工程量清单或预算书及有关条件进行合同价格计算、调整和确认的建设工程施工合同，在约定的风险范围内合同价格不再调整。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color w:val="000000" w:themeColor="text1"/>
          <w:sz w:val="21"/>
          <w:szCs w:val="21"/>
          <w:highlight w:val="none"/>
          <w:lang w:eastAsia="zh-CN"/>
          <w14:textFill>
            <w14:solidFill>
              <w14:schemeClr w14:val="tx1"/>
            </w14:solidFill>
          </w14:textFill>
        </w:rPr>
        <w:t>相关部门各种手续办理及费用、与周边居民的协调工作、</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配合乙方或甲方另行分包的项目所需的配合服务费及配合照管费、疫情常态化防控发生的各种防疫费用、为完成本合同承包范围由甲方安排的其它工作等。合同价格包括的风险范围：</w:t>
      </w:r>
    </w:p>
    <w:p w14:paraId="0F74534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（1）措施费包干，除特别约定外不作调整；</w:t>
      </w:r>
    </w:p>
    <w:p w14:paraId="0F745346">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（2）施工图纸、图集和相关规范所必须的全部施工内容；</w:t>
      </w:r>
    </w:p>
    <w:p w14:paraId="0F745347">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（3）当施工范围或施工图纸发生变化导致工程量增加15%以内或工程量减少的情况导致价格的变化；</w:t>
      </w:r>
    </w:p>
    <w:p w14:paraId="0F745348">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（4）合同清单中的计算、价格错误及组价的漏项；</w:t>
      </w:r>
    </w:p>
    <w:p w14:paraId="0F745349">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（5）材料价格及人工价格上涨或下落；</w:t>
      </w:r>
    </w:p>
    <w:p w14:paraId="0F74534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（6）国家法律、法规、政策的变化；</w:t>
      </w:r>
    </w:p>
    <w:p w14:paraId="0F74534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（7）工程造价管理部门公布的各种价格调整；</w:t>
      </w:r>
    </w:p>
    <w:p w14:paraId="0F74534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（8）大面积与局部、小面积之间，普通部位与特殊部位之间的各种施工差异；</w:t>
      </w:r>
    </w:p>
    <w:p w14:paraId="0F74534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（9）任何情况下，乙方在投标前已勘察现场及熟悉施工图纸等，实际施工时不能以对现场或图纸不熟，或者以清单未描述或内容描述不全面等为由要求调整合同总价。</w:t>
      </w:r>
    </w:p>
    <w:p w14:paraId="0F74534E">
      <w:pPr>
        <w:numPr>
          <w:ilvl w:val="2"/>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其他价格形式：是指除第 13.2.1、13.2.2 项以外的其他合同价格形式，具体约定见专用合同条款。</w:t>
      </w:r>
    </w:p>
    <w:p w14:paraId="0F74534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0F745350">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合同单价中存在一定的不平衡，由此导致的风险由乙方承担，乙方不得以低于成本、出现亏损等任何原因要求调高价款。</w:t>
      </w:r>
    </w:p>
    <w:p w14:paraId="0F745351">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合同价款综合考虑了以下各类因素，乙方不得有选择性施工作业；乙方不得以施工难度等因素为由调整合同价款，甲方不接受乙方就以下情况的费用索赔或额外补偿的要求。</w:t>
      </w:r>
    </w:p>
    <w:p w14:paraId="0F745352">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（1）实际</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工程量较合同清单工程量增加</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15%范围以内或减少的情况，单价不予调整；若</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实际</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工程量较合同清单工程量</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增加超过15%时，双方应就该清单项单价调减，并及时签订补充协议</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w:t>
      </w:r>
    </w:p>
    <w:p w14:paraId="0F745353">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（2）全部</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非标层高、局部超高及高层施工难度等因素；</w:t>
      </w:r>
    </w:p>
    <w:p w14:paraId="0F745354">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（3）全部或局部尺寸、形状、工艺等部分特殊性设计或异形构件等施工造成的工效降低；</w:t>
      </w:r>
    </w:p>
    <w:p w14:paraId="0F745355">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（3）机械覆盖范围外引起降效和人工倒运；</w:t>
      </w:r>
    </w:p>
    <w:p w14:paraId="0F745356">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747" w:name="_Hlk34494197"/>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w:t>
      </w:r>
      <w:bookmarkEnd w:id="747"/>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建设单位图纸原因、节假日、政府强制停工复工、各类</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检查观摩等</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所引起各项工作费用（如二次进出场、留守人员等）；</w:t>
      </w:r>
    </w:p>
    <w:p w14:paraId="0F745357">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（5）停水停电、待料、机械修理等停工费用；</w:t>
      </w:r>
    </w:p>
    <w:p w14:paraId="0F745358">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（6）甲方根据工程的进展及施工的需要调整了施工方案和工序而产生费用；</w:t>
      </w:r>
    </w:p>
    <w:p w14:paraId="0F745359">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（7）未经甲方允许，乙方在施工中擅自改变材料做法进行施工作业；</w:t>
      </w:r>
    </w:p>
    <w:p w14:paraId="0F74535A">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（8）乙方承包范围内任何零星用工、窝工、误工、赶工等费用；</w:t>
      </w:r>
    </w:p>
    <w:p w14:paraId="0F74535B">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（9）因市场变化导致人工、材料、机械价格变化或政府及行业主管部门红头文件的颁发而起的乙方的实际支出的增减；</w:t>
      </w:r>
    </w:p>
    <w:p w14:paraId="0F74535C">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（10）因天气、地形、地质、环保要求等条件变化对工程影响（如因雨雪、大气污染、扬尘管控）及采取的临时措施；</w:t>
      </w:r>
    </w:p>
    <w:p w14:paraId="0F74535D">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（11）乙方对招标文件、图纸情况、施工现场情况、生活区情况的理解偏差；</w:t>
      </w:r>
    </w:p>
    <w:p w14:paraId="0F74535E">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（12）按规范、方案、图纸要求必须完成的</w:t>
      </w:r>
      <w:bookmarkStart w:id="748" w:name="_Hlk34051356"/>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（包括图纸没有显示的）工作；</w:t>
      </w:r>
    </w:p>
    <w:bookmarkEnd w:id="748"/>
    <w:p w14:paraId="0F74535F">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（13）同前期工程衔接、处理完善前期遗留问题、接受现场基层条件所需的费用；</w:t>
      </w:r>
    </w:p>
    <w:p w14:paraId="0F745360">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749" w:name="_Hlk33982872"/>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（14）与其他分包单位的照管、配合及带来的工作量的全部费用；</w:t>
      </w:r>
    </w:p>
    <w:bookmarkEnd w:id="749"/>
    <w:p w14:paraId="0F745361">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（15）甲方基于项目需求所推行或要求使用的新技术、新工艺、新材料的费用；</w:t>
      </w:r>
    </w:p>
    <w:p w14:paraId="0F745362">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（16）本合同没有提到的但乙方为完成本工程工作所必然发生的工作所产生的费用；</w:t>
      </w:r>
    </w:p>
    <w:p w14:paraId="0F745363">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（17）非乙方原因停工30日以内造成的窝工；</w:t>
      </w:r>
    </w:p>
    <w:p w14:paraId="0F745364">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（18）因达到合同约定的创优标准所发生的费用；</w:t>
      </w:r>
    </w:p>
    <w:p w14:paraId="0F745365">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（19）其他在本合同中明确的因素。</w:t>
      </w:r>
    </w:p>
    <w:p w14:paraId="0F74536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0F74536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在合同执行期间，如遇国家增值税率调整，在不含税价格不变的情况下，按政策调整之日对本合同项下未完成部分执行最新规定。</w:t>
      </w:r>
    </w:p>
    <w:p w14:paraId="0F74536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本合同中约定的任何一项工作内容未履行或未完全履行，均应从合同价款中扣除相应费用。</w:t>
      </w:r>
    </w:p>
    <w:p w14:paraId="0F74536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计量方式</w:t>
      </w:r>
    </w:p>
    <w:p w14:paraId="0F74536A">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0F74536B">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本工程分部分项工程量清单中所列数量为暂定数量（固定总价合同除外），不作为乙方结算依据，乙方不得以清单中工程数量及项目发生变更要求调整清单单价，乙方结算按照上述计量原则进行计算。</w:t>
      </w:r>
    </w:p>
    <w:p w14:paraId="0F74536C">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本合同范围内工作内容不得发生任何零工、零星机械台班及技术措施费。甲方可以拒绝支付任何此类费用。</w:t>
      </w:r>
    </w:p>
    <w:p w14:paraId="0F74536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任何情况下（甲方原因除外）造成的返工、返修、超技术交底或设计图纸施工的工程数量不予计价。</w:t>
      </w:r>
    </w:p>
    <w:p w14:paraId="0F74536E">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开工前期，如在网电未接通的情况下需进行施工时,具体事宜在专用条款中约定，专用条款中没有约定的视为此项费用由乙方承担，已包含在分包单价中。</w:t>
      </w:r>
    </w:p>
    <w:p w14:paraId="0F74536F">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50" w:name="_Toc10179"/>
      <w:bookmarkStart w:id="751" w:name="_Toc24618"/>
      <w:bookmarkStart w:id="752" w:name="_Toc7970"/>
      <w:bookmarkStart w:id="753" w:name="_Toc10689"/>
      <w:bookmarkStart w:id="754" w:name="_Toc32406"/>
      <w:bookmarkStart w:id="755" w:name="_Toc175764432"/>
      <w:bookmarkStart w:id="756" w:name="_Toc101963495"/>
      <w:bookmarkStart w:id="757" w:name="_Toc101357437"/>
      <w:bookmarkStart w:id="758" w:name="_Toc29071"/>
      <w:bookmarkStart w:id="759" w:name="_Toc12172"/>
      <w:bookmarkStart w:id="760" w:name="_Toc19551"/>
      <w:bookmarkStart w:id="761" w:name="_Toc17450"/>
      <w:bookmarkStart w:id="762" w:name="_Toc27252"/>
      <w:bookmarkStart w:id="763" w:name="_Toc9587"/>
      <w:bookmarkStart w:id="764" w:name="_Toc20662"/>
      <w:bookmarkStart w:id="765" w:name="_Toc25862"/>
      <w:bookmarkStart w:id="766" w:name="_Toc2661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变更</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签证</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0F74537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如果甲方认为有必要对本分包工程或其中的任何部分的形式、质量、数量做出任何变更或调整，乙方应遵照执行，该指示包括来自建设单位、设计单位、监理单位的设计变更、洽商、指示等。</w:t>
      </w: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乙方因没有遵守此条款，引起的任何返工，其损失或工期延误都应由乙方承担。</w:t>
      </w:r>
    </w:p>
    <w:p w14:paraId="0F74537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上述变更指令发出后，双方应继续履行本合同。因变更而导致合同价款的增减及造成的工期影响，按本合同17.4.2条规定执行。</w:t>
      </w:r>
    </w:p>
    <w:p w14:paraId="0F74537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如果上述变更是因为乙方违约或自身原因造成甲方不得不发出变更指令，则任何此类变更后增加的费用均由乙方承担。</w:t>
      </w:r>
    </w:p>
    <w:p w14:paraId="0F74537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0F74537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0F74537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0F74537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现场变更签证管理规定：</w:t>
      </w:r>
    </w:p>
    <w:p w14:paraId="0F745377">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变更、工程量确定原则</w:t>
      </w:r>
    </w:p>
    <w:p w14:paraId="0F745378">
      <w:pPr>
        <w:tabs>
          <w:tab w:val="left" w:pos="0"/>
        </w:tabs>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（1）工程变更、签证单应按甲方要求填写，字迹清楚工整。</w:t>
      </w:r>
    </w:p>
    <w:p w14:paraId="0F745379">
      <w:pPr>
        <w:tabs>
          <w:tab w:val="left" w:pos="0"/>
        </w:tabs>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须由甲方项目部现场签证发起人员、商务人员及乙方三方进行现场验收核实，并经甲方项目经理、商务经理、项目技术负责人、项目生产负责人等共同签字且日期齐全。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对变更、签证事由和内容的描述须详尽，必要时应附上图示及工程量计算式。变更事由注明发生时间、地点和工作部位（层次、轴线编号、构件名称、桩号等）。</w:t>
      </w:r>
    </w:p>
    <w:p w14:paraId="0F74537A">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变更、签证单价确定原则</w:t>
      </w:r>
    </w:p>
    <w:p w14:paraId="0F74537B">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（1）如果取消某项工作，则该项工作的总额价不予支付；</w:t>
      </w:r>
    </w:p>
    <w:p w14:paraId="0F74537C">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（2）已标价工程量清单中有相同清单项的，按照已标价工程量清单单价认定；</w:t>
      </w:r>
    </w:p>
    <w:p w14:paraId="0F74537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（3）已标价工程量清单中无相同清单项，但有类似清单项的，于合同清单外工程的价格，可以参照已标价工程量清单中类似清单项单价认定；</w:t>
      </w:r>
    </w:p>
    <w:p w14:paraId="0F74537E">
      <w:pPr>
        <w:kinsoku w:val="0"/>
        <w:adjustRightInd w:val="0"/>
        <w:snapToGrid w:val="0"/>
        <w:spacing w:after="0" w:line="360" w:lineRule="auto"/>
        <w:ind w:firstLine="420" w:firstLineChars="200"/>
        <w:contextualSpacing/>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0F74537F">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（5）如果本工程的变更指示是因乙方过错、乙方违反合同或乙方责任造成的，则这种违约引起的任何额外费用应由乙方承担。</w:t>
      </w:r>
    </w:p>
    <w:p w14:paraId="0F745380">
      <w:pPr>
        <w:numPr>
          <w:ilvl w:val="2"/>
          <w:numId w:val="3"/>
        </w:numPr>
        <w:kinsoku w:val="0"/>
        <w:spacing w:after="0" w:line="360" w:lineRule="auto"/>
        <w:jc w:val="both"/>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无效变更、签证单：</w:t>
      </w:r>
    </w:p>
    <w:p w14:paraId="0F745381">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甲方项目经理、项目商务经理、项目技术负责人、项目生产负责人及经办人员签名不全或没有注明变更日期的变更、签证单；</w:t>
      </w:r>
    </w:p>
    <w:p w14:paraId="0F74538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（2）超过变更时效或竣工后突击补签的变更、签证单；</w:t>
      </w:r>
    </w:p>
    <w:p w14:paraId="0F74538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（3）非原件的变更、签证资料；</w:t>
      </w:r>
    </w:p>
    <w:p w14:paraId="0F74538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（4）内容不实、对事由的描述太简单以致无法核定工程量的变更、签证单；</w:t>
      </w:r>
    </w:p>
    <w:p w14:paraId="0F74538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（5）变更、签证内容包括在本合同单价范围内或者本合同工作范围内。</w:t>
      </w:r>
    </w:p>
    <w:p w14:paraId="0F745386">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0F745387">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67" w:name="_Toc23028"/>
      <w:bookmarkStart w:id="768" w:name="_Toc4391"/>
      <w:bookmarkStart w:id="769" w:name="_Toc4065"/>
      <w:bookmarkStart w:id="770" w:name="_Toc1051"/>
      <w:bookmarkStart w:id="771" w:name="_Toc21943"/>
      <w:bookmarkStart w:id="772" w:name="_Toc175764433"/>
      <w:bookmarkStart w:id="773" w:name="_Toc4788"/>
      <w:bookmarkStart w:id="774" w:name="_Toc20055"/>
      <w:bookmarkStart w:id="775" w:name="_Toc101963496"/>
      <w:bookmarkStart w:id="776" w:name="_Toc101357440"/>
      <w:bookmarkStart w:id="777" w:name="_Toc26886"/>
      <w:bookmarkStart w:id="778" w:name="_Toc24261"/>
      <w:bookmarkStart w:id="779" w:name="_Toc5904"/>
      <w:bookmarkStart w:id="780" w:name="_Toc14250"/>
      <w:bookmarkStart w:id="781" w:name="_Toc31015"/>
      <w:bookmarkStart w:id="782" w:name="_Toc30828"/>
      <w:bookmarkStart w:id="783" w:name="_Toc21135"/>
      <w:bookmarkStart w:id="784" w:name="_Toc9294"/>
      <w:bookmarkStart w:id="785" w:name="_Toc32733"/>
      <w:bookmarkStart w:id="786" w:name="_Toc11138"/>
      <w:bookmarkStart w:id="787" w:name="_Toc23683"/>
      <w:bookmarkStart w:id="788" w:name="_Toc22125"/>
      <w:bookmarkStart w:id="789" w:name="_Toc6616"/>
      <w:bookmarkStart w:id="790" w:name="_Toc23790"/>
      <w:bookmarkStart w:id="791" w:name="_Toc101357438"/>
      <w:bookmarkStart w:id="792" w:name="_Toc20120"/>
      <w:bookmarkStart w:id="793" w:name="_Toc28726"/>
      <w:bookmarkStart w:id="794" w:name="_Toc30193"/>
      <w:bookmarkStart w:id="795" w:name="_Toc28252"/>
      <w:bookmarkStart w:id="796" w:name="_Toc29236"/>
      <w:bookmarkStart w:id="797" w:name="_Toc11238"/>
      <w:bookmarkStart w:id="798" w:name="_Toc2717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工程款支付</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0F74538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甲方应按合同约定向乙方支付工程预付款。工程预付款的支付时间、预付额度、工程预付款的抵扣起始时间和方式见专用合同条款。</w:t>
      </w:r>
    </w:p>
    <w:p w14:paraId="0F74538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甲方应按专用合同条款约定的工程进度款付款周期、程序、支付比例或金额支付工程进度款。</w:t>
      </w:r>
    </w:p>
    <w:p w14:paraId="0F74538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0F74538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甲方按合同约定向乙方支付的进度款已足够支付全额工人工资，乙方在收到甲方进度款后应优先用于支付工人工资。</w:t>
      </w:r>
    </w:p>
    <w:p w14:paraId="0F74538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0F74538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可以</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从应付款项中直接扣除发票事项的损失，然后再支付剩余的款项给乙方。</w:t>
      </w:r>
    </w:p>
    <w:p w14:paraId="0F74538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0F74538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0F745390">
      <w:pPr>
        <w:numPr>
          <w:ilvl w:val="1"/>
          <w:numId w:val="3"/>
        </w:numPr>
        <w:kinsoku w:val="0"/>
        <w:spacing w:after="0" w:line="360" w:lineRule="auto"/>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乙方需自筹资金保证本工程按期完成</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；不以缓付、迟付工程款为由拒绝办理过程结算、竣工结算。</w:t>
      </w:r>
    </w:p>
    <w:p w14:paraId="0F745391">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99" w:name="_Toc175764434"/>
      <w:bookmarkStart w:id="800" w:name="_Toc101963497"/>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过程结算</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0F74539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乙方应按合同约定的时间和内容向甲方提交计量周期的已完成的工程量报告。乙方提交已完成的工程量报告的时间、内容和计量周期见专用合同条款。</w:t>
      </w:r>
    </w:p>
    <w:p w14:paraId="0F74539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乙方必须满足“月结月清”要求，每次过程结算内容必须包含图纸施工内容、及经相关人员签字确认的合同外签证变更索赔等所有乙方发生内容，超期补报视为无效。</w:t>
      </w:r>
    </w:p>
    <w:p w14:paraId="0F74539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0F74539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0F74539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过程结算审核必须经过甲方项目部、公司等各层级相关部门审核并签字后方可生效，仅甲方项目部项目经理签字的结算书不作为过程结算确认依据。</w:t>
      </w:r>
    </w:p>
    <w:p w14:paraId="0F745397">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01" w:name="_Toc101963498"/>
      <w:bookmarkStart w:id="802" w:name="_Toc14052"/>
      <w:bookmarkStart w:id="803" w:name="_Toc28888"/>
      <w:bookmarkStart w:id="804" w:name="_Toc9353"/>
      <w:bookmarkStart w:id="805" w:name="_Toc101357439"/>
      <w:bookmarkStart w:id="806" w:name="_Toc26755"/>
      <w:bookmarkStart w:id="807" w:name="_Toc27329"/>
      <w:bookmarkStart w:id="808" w:name="_Toc175764435"/>
      <w:bookmarkStart w:id="809" w:name="_Toc6494"/>
      <w:bookmarkStart w:id="810" w:name="_Toc26856"/>
      <w:bookmarkStart w:id="811" w:name="_Toc9893"/>
      <w:bookmarkStart w:id="812" w:name="_Toc20927"/>
      <w:bookmarkStart w:id="813" w:name="_Toc8694"/>
      <w:bookmarkStart w:id="814" w:name="_Toc4798"/>
      <w:bookmarkStart w:id="815" w:name="_Toc24796"/>
      <w:bookmarkStart w:id="816" w:name="_Toc27851"/>
      <w:bookmarkStart w:id="817" w:name="_Toc21709"/>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最终</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结算</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0F74539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0F74539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F74539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0F74539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最终结算价款根据合同价格形式，按照专用条款约定执行。</w:t>
      </w:r>
    </w:p>
    <w:p w14:paraId="0F74539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本分包工程可根据施工形象进度办理分阶段最终结算，办理原则和要求与上述最终结算条款约定一致。</w:t>
      </w:r>
    </w:p>
    <w:p w14:paraId="0F74539D">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18" w:name="_Toc175764436"/>
      <w:bookmarkStart w:id="819" w:name="_Toc101963499"/>
      <w:bookmarkStart w:id="820" w:name="_Toc101357441"/>
      <w:bookmarkStart w:id="821" w:name="_Toc2774"/>
      <w:bookmarkStart w:id="822" w:name="_Toc21233"/>
      <w:bookmarkStart w:id="823" w:name="_Toc12386"/>
      <w:bookmarkStart w:id="824" w:name="_Toc12374"/>
      <w:bookmarkStart w:id="825" w:name="_Toc25864"/>
      <w:bookmarkStart w:id="826" w:name="_Toc22036"/>
      <w:bookmarkStart w:id="827" w:name="_Toc40"/>
      <w:bookmarkStart w:id="828" w:name="_Toc16415"/>
      <w:bookmarkStart w:id="829" w:name="_Toc19831"/>
      <w:bookmarkStart w:id="830" w:name="_Toc1823"/>
      <w:bookmarkStart w:id="831" w:name="_Toc19855"/>
      <w:bookmarkStart w:id="832" w:name="_Toc29076"/>
      <w:bookmarkStart w:id="833" w:name="_Toc4750"/>
      <w:bookmarkStart w:id="834" w:name="_Toc3706"/>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完工验收</w:t>
      </w:r>
      <w:bookmarkEnd w:id="818"/>
      <w:bookmarkEnd w:id="819"/>
      <w:bookmarkEnd w:id="820"/>
    </w:p>
    <w:p w14:paraId="0F74539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甲方有作业规范要求的，乙方的分包作业还应当满足甲方的作业规范要求。甲方可以随时对乙方实施的分包作业进行监督检查。</w:t>
      </w:r>
    </w:p>
    <w:p w14:paraId="0F74539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本分包工程具备以下完工验收条件后，乙方方可向甲方提交完工验收申请报告：</w:t>
      </w:r>
    </w:p>
    <w:p w14:paraId="0F7453A0">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0F7453A1">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0F7453A2">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0F7453A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835" w:name="_Toc10135744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835"/>
      <w:bookmarkStart w:id="836" w:name="_Toc101357444"/>
    </w:p>
    <w:p w14:paraId="0F7453A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经验收合格的工程，实际完工日期为乙方按第 18.2 款提交完工验收申请报告或按该款重新提交完工验收申请报告的日期（以两者中时间在后者为准）。</w:t>
      </w:r>
      <w:bookmarkEnd w:id="836"/>
    </w:p>
    <w:p w14:paraId="0F7453A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837" w:name="_Toc10135744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0F7453A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分包作业经验收合格后，乙方应当按照甲方指示及时将该分包作业交付甲方，不得以双方存在争议为由拒绝将该分包作业交付甲方。</w:t>
      </w:r>
    </w:p>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7"/>
    <w:p w14:paraId="0F7453A7">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38" w:name="_Toc101366205"/>
      <w:bookmarkEnd w:id="838"/>
      <w:bookmarkStart w:id="839" w:name="_Toc101357447"/>
      <w:bookmarkStart w:id="840" w:name="_Toc24000"/>
      <w:bookmarkStart w:id="841" w:name="_Toc29742"/>
      <w:bookmarkStart w:id="842" w:name="_Toc15786"/>
      <w:bookmarkStart w:id="843" w:name="_Toc5861"/>
      <w:bookmarkStart w:id="844" w:name="_Toc28445"/>
      <w:bookmarkStart w:id="845" w:name="_Toc20068"/>
      <w:bookmarkStart w:id="846" w:name="_Toc101963501"/>
      <w:bookmarkStart w:id="847" w:name="_Toc3049"/>
      <w:bookmarkStart w:id="848" w:name="_Toc24385"/>
      <w:bookmarkStart w:id="849" w:name="_Toc230"/>
      <w:bookmarkStart w:id="850" w:name="_Toc16080"/>
      <w:bookmarkStart w:id="851" w:name="_Toc28979"/>
      <w:bookmarkStart w:id="852" w:name="_Toc15912"/>
      <w:bookmarkStart w:id="853" w:name="_Toc17265"/>
      <w:bookmarkStart w:id="854" w:name="_Toc16570"/>
      <w:bookmarkStart w:id="855" w:name="_Toc17576443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履约</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保证</w:t>
      </w:r>
      <w:bookmarkEnd w:id="855"/>
    </w:p>
    <w:p w14:paraId="0F7453A8">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0F7453A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0F7453A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0F7453AB">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kern w:val="10"/>
          <w:sz w:val="21"/>
          <w:szCs w:val="21"/>
          <w:highlight w:val="none"/>
          <w14:textFill>
            <w14:solidFill>
              <w14:schemeClr w14:val="tx1"/>
            </w14:solidFill>
          </w14:textFill>
        </w:rPr>
      </w:pPr>
      <w:bookmarkStart w:id="856" w:name="_Toc24258"/>
      <w:bookmarkStart w:id="857" w:name="_Toc11409"/>
      <w:bookmarkStart w:id="858" w:name="_Toc5026"/>
      <w:bookmarkStart w:id="859" w:name="_Toc29227"/>
      <w:bookmarkStart w:id="860" w:name="_Toc3211"/>
      <w:bookmarkStart w:id="861" w:name="_Toc23026"/>
      <w:bookmarkStart w:id="862" w:name="_Toc101357448"/>
      <w:bookmarkStart w:id="863" w:name="_Toc19980"/>
      <w:bookmarkStart w:id="864" w:name="_Toc28929"/>
      <w:bookmarkStart w:id="865" w:name="_Toc13752"/>
      <w:bookmarkStart w:id="866" w:name="_Toc15725"/>
      <w:bookmarkStart w:id="867" w:name="_Toc29175"/>
      <w:bookmarkStart w:id="868" w:name="_Toc19247"/>
      <w:bookmarkStart w:id="869" w:name="_Toc13622"/>
      <w:bookmarkStart w:id="870" w:name="_Toc175764438"/>
      <w:bookmarkStart w:id="871" w:name="_Toc32222"/>
      <w:bookmarkStart w:id="872" w:name="_Toc101963502"/>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缺陷责任与</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保修</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0F7453A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乙方应在缺陷责任期内对已交付使用的工程承担缺陷责任。缺陷责任期的起始时间和缺陷责任期的期限见专用合同条款。</w:t>
      </w:r>
    </w:p>
    <w:p w14:paraId="0F7453A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乙方应在质量保修期内对已交付使用的工程承担保修责任。质量保修期的起始时间和质量保修期的期限见专用合同条款。</w:t>
      </w:r>
    </w:p>
    <w:p w14:paraId="0F7453A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乙方在质量保修期内，按照有关法律、法规、规章的管理规定和双方约定，承担本分包工程质量保修责任。保修金在保修期满后30天内无息支付。</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乙方负责承包范围的保修工作，保修期及保修内容均按照甲方与总承包合同的相应规定执行，保修期满后，并不免除乙方的施工质量责任。</w:t>
      </w:r>
    </w:p>
    <w:p w14:paraId="0F7453A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t>质量保修责任</w:t>
      </w:r>
    </w:p>
    <w:p w14:paraId="0F7453B0">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0F7453B1">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发生紧急抢修事故时，乙方在接到事故通知后，应当立即到达事故现场抢修。</w:t>
      </w:r>
    </w:p>
    <w:p w14:paraId="0F7453B2">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的操作工艺、材料质量、施工质量存在的缺陷以及为修补该缺陷而需进行的剔凿和恢复以及其它相关工作，若乙方自身技术水平与资质不能胜任类似工作时，甲方可以指定其他施工队伍完成相关作业，全部费用由乙方承担。</w:t>
      </w:r>
    </w:p>
    <w:p w14:paraId="0F7453B3">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t>相关费用由乙方承担。</w:t>
      </w:r>
    </w:p>
    <w:p w14:paraId="0F7453B4">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质量问题保修完成后，由建设单位、使用方会同甲方组织验收，各方验收合格后当次保修即告结束。</w:t>
      </w:r>
    </w:p>
    <w:p w14:paraId="0F7453B5">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t>保修费用与赔偿责任</w:t>
      </w:r>
    </w:p>
    <w:p w14:paraId="0F7453B6">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保修费用由造成质量缺陷的责任方承担。</w:t>
      </w:r>
    </w:p>
    <w:p w14:paraId="0F7453B7">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如乙方施工质量缺陷、工艺缺陷、材料老化等缺陷与瑕疵给使用方、建设单位造成人员物资财产等直接损失以及其它间接损失均由乙方负责赔偿。</w:t>
      </w:r>
    </w:p>
    <w:p w14:paraId="0F7453B8">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为返修以及受它影响的相关联工作所需费用由乙方承担。</w:t>
      </w:r>
    </w:p>
    <w:p w14:paraId="0F7453B9">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因</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、使用方使用或保养不当造成质量问题，乙方应尽义务进行维修，维修费用则由甲方牵头，乙方配合，向责任方索要，但甲方没有追索此项债务的义务。</w:t>
      </w:r>
    </w:p>
    <w:p w14:paraId="0F7453BA">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若合同双方对本分包工程质量发生争议，则共同约请当地省市项目建设行政主管部门下属质量监督总站或其它权威机构进行鉴定。如果鉴定结论乙方质量不合格，则鉴定费用由乙方承担。</w:t>
      </w:r>
    </w:p>
    <w:p w14:paraId="0F7453B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保修金的返还：</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缺陷责任期</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满后</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在合同约定工作全部完成并验收合格后办理最终结算，结算手续完成后，以及按合同规定扣除应扣的款项后，甲方将余款一次性（无息）返还给乙方。</w:t>
      </w:r>
    </w:p>
    <w:p w14:paraId="0F7453BC">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保修金需扣除以下费用：</w:t>
      </w:r>
    </w:p>
    <w:p w14:paraId="0F7453BD">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甲方委托他人完成保修维修工作的费用；</w:t>
      </w:r>
    </w:p>
    <w:p w14:paraId="0F7453BE">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因乙方过失、责任而赔偿建设单位、使用方的相关损失；</w:t>
      </w:r>
    </w:p>
    <w:p w14:paraId="0F7453BF">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为返修以及其它与之相关联工作所需花费的费用（甲方代为支付时）；</w:t>
      </w:r>
    </w:p>
    <w:p w14:paraId="0F7453C0">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其它与保修维修有关的费用。</w:t>
      </w:r>
    </w:p>
    <w:p w14:paraId="0F7453C1">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保修金不计取任何利息。</w:t>
      </w:r>
    </w:p>
    <w:p w14:paraId="0F7453C2">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kern w:val="10"/>
          <w:sz w:val="21"/>
          <w:szCs w:val="21"/>
          <w:highlight w:val="none"/>
          <w14:textFill>
            <w14:solidFill>
              <w14:schemeClr w14:val="tx1"/>
            </w14:solidFill>
          </w14:textFill>
        </w:rPr>
      </w:pPr>
      <w:bookmarkStart w:id="873" w:name="_Toc21842"/>
      <w:bookmarkStart w:id="874" w:name="_Toc101357449"/>
      <w:bookmarkStart w:id="875" w:name="_Toc9403"/>
      <w:bookmarkStart w:id="876" w:name="_Toc28167"/>
      <w:bookmarkStart w:id="877" w:name="_Toc24745"/>
      <w:bookmarkStart w:id="878" w:name="_Toc175764439"/>
      <w:bookmarkStart w:id="879" w:name="_Toc28821"/>
      <w:bookmarkStart w:id="880" w:name="_Toc22219"/>
      <w:bookmarkStart w:id="881" w:name="_Toc1655"/>
      <w:bookmarkStart w:id="882" w:name="_Toc28472"/>
      <w:bookmarkStart w:id="883" w:name="_Toc2139"/>
      <w:bookmarkStart w:id="884" w:name="_Toc7709"/>
      <w:bookmarkStart w:id="885" w:name="_Toc4112"/>
      <w:bookmarkStart w:id="886" w:name="_Toc9963"/>
      <w:bookmarkStart w:id="887" w:name="_Toc15716"/>
      <w:bookmarkStart w:id="888" w:name="_Toc3537"/>
      <w:bookmarkStart w:id="889" w:name="_Toc10196350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保险</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14:paraId="0F7453C3">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甲方投保内容：施工人员意外伤害险。</w:t>
      </w:r>
    </w:p>
    <w:p w14:paraId="0F7453C4">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0F7453C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0F7453C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关于乙方雇佣的任何员工或其他人员的任何意外事故或伤害所引起的一切损失或法律补偿费，甲方均不负责任。乙方应使甲方免遭此类损失或补偿费，免遭此方面或与此相关的任何索赔、诉讼和费用。</w:t>
      </w:r>
    </w:p>
    <w:p w14:paraId="0F7453C7">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保险事故发生时，乙方有责任尽力采取必要的措施，控制事态扩散，防止或者减少损失。</w:t>
      </w:r>
    </w:p>
    <w:p w14:paraId="0F7453C8">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90" w:name="_Toc101963504"/>
      <w:bookmarkStart w:id="891" w:name="_Toc24208"/>
      <w:bookmarkStart w:id="892" w:name="_Toc22749"/>
      <w:bookmarkStart w:id="893" w:name="_Toc30407"/>
      <w:bookmarkStart w:id="894" w:name="_Toc27970"/>
      <w:bookmarkStart w:id="895" w:name="_Toc24439"/>
      <w:bookmarkStart w:id="896" w:name="_Toc16393"/>
      <w:bookmarkStart w:id="897" w:name="_Toc3767"/>
      <w:bookmarkStart w:id="898" w:name="_Toc101357450"/>
      <w:bookmarkStart w:id="899" w:name="_Toc12027"/>
      <w:bookmarkStart w:id="900" w:name="_Toc11014"/>
      <w:bookmarkStart w:id="901" w:name="_Toc17940"/>
      <w:bookmarkStart w:id="902" w:name="_Toc4173"/>
      <w:bookmarkStart w:id="903" w:name="_Toc20112"/>
      <w:bookmarkStart w:id="904" w:name="_Toc7811"/>
      <w:bookmarkStart w:id="905" w:name="_Toc1429"/>
      <w:bookmarkStart w:id="906" w:name="_Toc17576444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不可抗力</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14:paraId="0F7453C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本合同所定不可抗力是指合同当事人在签订合同时不可预见，在合同履行过程中不可避免且不能克服的自然灾害和社会性突发事件，包括但不限于地震、海啸、瘟疫、骚乱、戒严、暴动、战争等。</w:t>
      </w:r>
    </w:p>
    <w:p w14:paraId="0F7453C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不可抗力事件发生后，乙方应立即通知甲方，并在力所能及的条件下迅速采取措施，尽力减少损失，甲方应协助乙方采取措施。若因乙方未能尽力挽救，导致损失扩大的，由乙方承担全部责任。</w:t>
      </w:r>
    </w:p>
    <w:p w14:paraId="0F7453C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0F7453C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因不可抗力事件导致发生的下列费用由乙方承担：</w:t>
      </w:r>
    </w:p>
    <w:p w14:paraId="0F7453C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乙方人员伤亡。</w:t>
      </w:r>
    </w:p>
    <w:p w14:paraId="0F7453CE">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乙方机械设备和材料的损坏、停工等造成的损失；</w:t>
      </w:r>
    </w:p>
    <w:p w14:paraId="0F7453C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工程自身的损害、因工程损害导致第三人伤亡、工程清理维修费由乙方配合甲方与建设单位协商处理。</w:t>
      </w:r>
    </w:p>
    <w:p w14:paraId="0F7453D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在得到建设单位/监理对整体/分包工程的工期顺延许可后，分包工程延误的工期相应顺延。</w:t>
      </w:r>
    </w:p>
    <w:p w14:paraId="0F7453D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因本合同一方迟延履行合同后发生不可抗力的，不能免除迟延责任方的相应责任。</w:t>
      </w:r>
    </w:p>
    <w:p w14:paraId="0F7453D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因单次不可抗力导致合同无法履行连续超过</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90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天或累计超过</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120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天的，甲乙双方均有权解除合同。合同解除后，双方应就已完工程的计量、验收、估价以及结算与付款等善后事宜达成补充协议。</w:t>
      </w:r>
    </w:p>
    <w:p w14:paraId="0F7453D3">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07" w:name="_Toc21421"/>
      <w:bookmarkStart w:id="908" w:name="_Toc3544"/>
      <w:bookmarkStart w:id="909" w:name="_Toc11143"/>
      <w:bookmarkStart w:id="910" w:name="_Toc2523"/>
      <w:bookmarkStart w:id="911" w:name="_Toc636"/>
      <w:bookmarkStart w:id="912" w:name="_Toc12030"/>
      <w:bookmarkStart w:id="913" w:name="_Toc32288"/>
      <w:bookmarkStart w:id="914" w:name="_Toc24388"/>
      <w:bookmarkStart w:id="915" w:name="_Toc101963505"/>
      <w:bookmarkStart w:id="916" w:name="_Toc24540"/>
      <w:bookmarkStart w:id="917" w:name="_Toc16400"/>
      <w:bookmarkStart w:id="918" w:name="_Toc29858"/>
      <w:bookmarkStart w:id="919" w:name="_Toc21657"/>
      <w:bookmarkStart w:id="920" w:name="_Toc17882"/>
      <w:bookmarkStart w:id="921" w:name="_Toc175764441"/>
      <w:bookmarkStart w:id="922" w:name="_Toc101357451"/>
      <w:bookmarkStart w:id="923" w:name="_Toc1993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违约</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14:paraId="0F7453D4">
      <w:pPr>
        <w:numPr>
          <w:ilvl w:val="1"/>
          <w:numId w:val="3"/>
        </w:numPr>
        <w:kinsoku w:val="0"/>
        <w:spacing w:after="0" w:line="360" w:lineRule="auto"/>
        <w:jc w:val="both"/>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合同双方任何一方不能全面履行本合同条款，均属违约；违约所造成的损失、后果、责任，概由违约方承担。</w:t>
      </w:r>
    </w:p>
    <w:p w14:paraId="0F7453D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除非甲乙双方协商终止本合同，违约方承担前述违约责任、损失后仍需严格履行本合同。</w:t>
      </w:r>
    </w:p>
    <w:p w14:paraId="0F7453D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乙方对本合同承包范围内的分包作业向甲方负责，全部施工任务必须组织自有力量完成，严禁转包、挂靠和再分包</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否则一经发现</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，乙方无条件退场，并承担由此带来的退场费用及赔偿甲方相应损失，缴纳的履约保证金不予返还，并将乙方列入甲方不合格协力队伍名录，不得参与甲方组织的任何形式的招标项目。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0F7453D7">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 xml:space="preserve"> 如乙方出现以下违约行为，甲方可发出书面指令要求其立即纠正并承担违约所造成的损失：</w:t>
      </w:r>
    </w:p>
    <w:p w14:paraId="0F7453D8">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（1）在竣工之前，没有合理原因，完全搁置工程停止施工；</w:t>
      </w:r>
    </w:p>
    <w:p w14:paraId="0F7453D9">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（2）拒绝执行甲方要求其修补缺陷或更换不适用的材料和（或）物品等的书面通知；</w:t>
      </w:r>
    </w:p>
    <w:p w14:paraId="0F7453DA">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（3）未经甲方许可，乙方擅自将其承包的分包工程转包或再分包；</w:t>
      </w:r>
    </w:p>
    <w:p w14:paraId="0F7453DB">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（4）因乙方原因拖延工期，未能在约定的工期内或分段工期内完成分包工程或其中任何区段的工作；</w:t>
      </w:r>
    </w:p>
    <w:p w14:paraId="0F7453DC">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（5）因乙方原因工程质量达不到本分包合同约定的质量标准和质量目标；</w:t>
      </w:r>
    </w:p>
    <w:p w14:paraId="0F7453DD">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（6）合同中约定的其他违约行为。</w:t>
      </w:r>
    </w:p>
    <w:p w14:paraId="0F7453DE">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0F7453D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若因乙方违约引发纠纷或诉讼，导致甲方参与诉讼或承担连带责任的，甲方可按发生费用或产生损失的两倍向乙方要求赔偿，包括但不限于诉讼费、代理费、差旅费等。</w:t>
      </w:r>
    </w:p>
    <w:p w14:paraId="0F7453E0">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24" w:name="_Toc29483"/>
      <w:bookmarkStart w:id="925" w:name="_Toc10915"/>
      <w:bookmarkStart w:id="926" w:name="_Toc22303"/>
      <w:bookmarkStart w:id="927" w:name="_Toc175764442"/>
      <w:bookmarkStart w:id="928" w:name="_Toc5929"/>
      <w:bookmarkStart w:id="929" w:name="_Toc15409"/>
      <w:bookmarkStart w:id="930" w:name="_Toc101963506"/>
      <w:bookmarkStart w:id="931" w:name="_Toc1784"/>
      <w:bookmarkStart w:id="932" w:name="_Toc10565"/>
      <w:bookmarkStart w:id="933" w:name="_Toc27878"/>
      <w:bookmarkStart w:id="934" w:name="_Toc7104"/>
      <w:bookmarkStart w:id="935" w:name="_Toc101357452"/>
      <w:bookmarkStart w:id="936" w:name="_Toc14437"/>
      <w:bookmarkStart w:id="937" w:name="_Toc14525"/>
      <w:bookmarkStart w:id="938" w:name="_Toc24440"/>
      <w:bookmarkStart w:id="939" w:name="_Toc27114"/>
      <w:bookmarkStart w:id="940" w:name="_Toc177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争议解决</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0F7453E1">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双方发生争议时，可以通过协商解决。不愿通过协商或者协商不成，按专用合同条款约定的方式解决。</w:t>
      </w:r>
    </w:p>
    <w:p w14:paraId="0F7453E2">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41" w:name="_Toc19144"/>
      <w:bookmarkStart w:id="942" w:name="_Toc18320"/>
      <w:bookmarkStart w:id="943" w:name="_Toc5260"/>
      <w:bookmarkStart w:id="944" w:name="_Toc10150"/>
      <w:bookmarkStart w:id="945" w:name="_Toc7256"/>
      <w:bookmarkStart w:id="946" w:name="_Toc101963507"/>
      <w:bookmarkStart w:id="947" w:name="_Toc2614"/>
      <w:bookmarkStart w:id="948" w:name="_Toc10296"/>
      <w:bookmarkStart w:id="949" w:name="_Toc15940"/>
      <w:bookmarkStart w:id="950" w:name="_Toc16949"/>
      <w:bookmarkStart w:id="951" w:name="_Toc175764443"/>
      <w:bookmarkStart w:id="952" w:name="_Toc7711"/>
      <w:bookmarkStart w:id="953" w:name="_Toc101357453"/>
      <w:bookmarkStart w:id="954" w:name="_Toc10531"/>
      <w:bookmarkStart w:id="955" w:name="_Toc21888"/>
      <w:bookmarkStart w:id="956" w:name="_Toc6947"/>
      <w:bookmarkStart w:id="957" w:name="_Toc310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合同终止</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0F7453E3">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958" w:name="_Toc22366613"/>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在乙方交付齐全有效的技术资料，履行完保修职责，保修期结束，本合同即告终止</w:t>
      </w:r>
      <w:bookmarkEnd w:id="958"/>
      <w:bookmarkStart w:id="959" w:name="_Toc22366614"/>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3E4">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如乙方发生了本合同约定的违约行为，在接到甲方发出的书面指令后，违约行为仍未停止或再次发生的，甲方可选择行使如下权利：</w:t>
      </w:r>
    </w:p>
    <w:p w14:paraId="0F7453E5">
      <w:p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（1）以书面形式通知乙方解除本分包合同；</w:t>
      </w:r>
    </w:p>
    <w:p w14:paraId="0F7453E6">
      <w:p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（2）将分包工程中的部分内容交由其他单位完成，相关费用由甲方从分包工程价款中扣除，由此给甲方造成的额外成本由乙方承担。</w:t>
      </w:r>
    </w:p>
    <w:p w14:paraId="0F7453E7">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如果乙方发生破产、解散、关闭等已不能实际履行分包合同义务的情形，甲方可在通知乙方后，解除本分包合同。</w:t>
      </w:r>
    </w:p>
    <w:p w14:paraId="0F7453E8">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因不可抗力发生导致全部分包合同的履行成为不可能时，甲方、乙方均有权解除合同。</w:t>
      </w:r>
    </w:p>
    <w:p w14:paraId="0F7453E9">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不论基于何种原因而导致甲方与建设单位之间的合同解除时，甲乙双方间的合同都同时无条件予以解除</w:t>
      </w:r>
      <w:bookmarkEnd w:id="959"/>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0F7453E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0F7453EB">
      <w:pPr>
        <w:pStyle w:val="11"/>
        <w:kinsoku w:val="0"/>
        <w:rPr>
          <w:color w:val="000000" w:themeColor="text1"/>
          <w:highlight w:val="none"/>
          <w14:textFill>
            <w14:solidFill>
              <w14:schemeClr w14:val="tx1"/>
            </w14:solidFill>
          </w14:textFill>
        </w:rPr>
      </w:pPr>
    </w:p>
    <w:p w14:paraId="0F7453EC">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sectPr>
          <w:pgSz w:w="11906" w:h="16838"/>
          <w:pgMar w:top="1134" w:right="1134" w:bottom="1134" w:left="1134" w:header="851" w:footer="567" w:gutter="0"/>
          <w:cols w:space="720" w:num="1"/>
          <w:docGrid w:type="lines" w:linePitch="312" w:charSpace="0"/>
        </w:sectPr>
      </w:pPr>
    </w:p>
    <w:p w14:paraId="0F7453ED">
      <w:pPr>
        <w:kinsoku w:val="0"/>
        <w:spacing w:line="360" w:lineRule="auto"/>
        <w:ind w:left="158" w:leftChars="75"/>
        <w:jc w:val="center"/>
        <w:outlineLvl w:val="0"/>
        <w:rPr>
          <w:rFonts w:hint="eastAsia" w:ascii="宋体" w:hAnsi="宋体"/>
          <w:b/>
          <w:color w:val="000000" w:themeColor="text1"/>
          <w:sz w:val="32"/>
          <w:szCs w:val="32"/>
          <w:highlight w:val="none"/>
          <w:lang w:eastAsia="zh-CN"/>
          <w14:textFill>
            <w14:solidFill>
              <w14:schemeClr w14:val="tx1"/>
            </w14:solidFill>
          </w14:textFill>
        </w:rPr>
      </w:pPr>
      <w:bookmarkStart w:id="960" w:name="_Toc27110"/>
      <w:bookmarkStart w:id="961" w:name="_Toc18104"/>
      <w:bookmarkStart w:id="962" w:name="_Toc11775"/>
      <w:bookmarkStart w:id="963" w:name="_Toc5490"/>
      <w:bookmarkStart w:id="964" w:name="_Toc15486"/>
      <w:bookmarkStart w:id="965" w:name="_Toc3113"/>
      <w:bookmarkStart w:id="966" w:name="_Toc17855"/>
      <w:bookmarkStart w:id="967" w:name="_Toc17545"/>
      <w:bookmarkStart w:id="968" w:name="_Toc29769"/>
      <w:bookmarkStart w:id="969" w:name="_Toc101357454"/>
      <w:bookmarkStart w:id="970" w:name="_Toc4053"/>
      <w:bookmarkStart w:id="971" w:name="_Toc101963508"/>
      <w:bookmarkStart w:id="972" w:name="_Toc20138"/>
      <w:bookmarkStart w:id="973" w:name="_Toc32179"/>
      <w:bookmarkStart w:id="974" w:name="_Toc13270"/>
      <w:bookmarkStart w:id="975" w:name="_Toc175764444"/>
      <w:bookmarkStart w:id="976" w:name="_Toc19925"/>
      <w:bookmarkStart w:id="977" w:name="_Toc5434"/>
      <w:bookmarkStart w:id="978" w:name="_Toc5528"/>
      <w:bookmarkStart w:id="979" w:name="_Toc25841"/>
      <w:bookmarkStart w:id="980" w:name="_Toc13080"/>
      <w:r>
        <w:rPr>
          <w:rFonts w:hint="eastAsia" w:ascii="宋体" w:hAnsi="宋体"/>
          <w:b/>
          <w:color w:val="000000" w:themeColor="text1"/>
          <w:sz w:val="32"/>
          <w:szCs w:val="32"/>
          <w:highlight w:val="none"/>
          <w:lang w:eastAsia="zh-CN"/>
          <w14:textFill>
            <w14:solidFill>
              <w14:schemeClr w14:val="tx1"/>
            </w14:solidFill>
          </w14:textFill>
        </w:rPr>
        <w:t>第三部分 专用合同条款</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14:paraId="0F7453EF">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981" w:name="A3"/>
      <w:bookmarkEnd w:id="981"/>
      <w:bookmarkStart w:id="982" w:name="_Toc1640"/>
      <w:bookmarkStart w:id="983" w:name="_Toc31398"/>
      <w:bookmarkStart w:id="984" w:name="_Toc5201"/>
      <w:bookmarkStart w:id="985" w:name="_Toc20370"/>
      <w:bookmarkStart w:id="986" w:name="_Toc4138"/>
      <w:bookmarkStart w:id="987" w:name="_Toc12407"/>
      <w:bookmarkStart w:id="988" w:name="_Toc7247"/>
      <w:bookmarkStart w:id="989" w:name="_Toc24232"/>
      <w:bookmarkStart w:id="990" w:name="_Toc14356"/>
      <w:bookmarkStart w:id="991" w:name="_Toc24755"/>
      <w:bookmarkStart w:id="992" w:name="_Toc14288"/>
      <w:bookmarkStart w:id="993" w:name="_Toc175764445"/>
      <w:bookmarkStart w:id="994" w:name="_Toc101357455"/>
      <w:bookmarkStart w:id="995" w:name="_Toc16664"/>
      <w:bookmarkStart w:id="996" w:name="_Toc31761"/>
      <w:bookmarkStart w:id="997" w:name="_Toc16663"/>
      <w:bookmarkStart w:id="998" w:name="_Toc16194"/>
      <w:bookmarkStart w:id="999" w:name="_Toc10805"/>
      <w:bookmarkStart w:id="1000" w:name="_Toc101963509"/>
      <w:bookmarkStart w:id="1001" w:name="_Toc6416"/>
      <w:bookmarkStart w:id="1002" w:name="_Toc22656"/>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词语解释</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14:paraId="0F7453F0">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1">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003" w:name="_Toc18963"/>
      <w:bookmarkStart w:id="1004" w:name="_Toc101357456"/>
      <w:bookmarkStart w:id="1005" w:name="_Toc30537"/>
      <w:bookmarkStart w:id="1006" w:name="_Toc21059"/>
      <w:bookmarkStart w:id="1007" w:name="_Toc7851"/>
      <w:bookmarkStart w:id="1008" w:name="_Toc14912"/>
      <w:bookmarkStart w:id="1009" w:name="_Toc4045"/>
      <w:bookmarkStart w:id="1010" w:name="_Toc29334"/>
      <w:bookmarkStart w:id="1011" w:name="_Toc30330"/>
      <w:bookmarkStart w:id="1012" w:name="_Toc24088"/>
      <w:bookmarkStart w:id="1013" w:name="_Toc30074"/>
      <w:bookmarkStart w:id="1014" w:name="_Toc27250"/>
      <w:bookmarkStart w:id="1015" w:name="_Toc21218"/>
      <w:bookmarkStart w:id="1016" w:name="_Toc5390"/>
      <w:bookmarkStart w:id="1017" w:name="_Toc13233"/>
      <w:bookmarkStart w:id="1018" w:name="_Toc22681"/>
      <w:bookmarkStart w:id="1019" w:name="_Toc22270"/>
      <w:bookmarkStart w:id="1020" w:name="_Toc101963510"/>
      <w:bookmarkStart w:id="1021" w:name="_Toc18210"/>
      <w:bookmarkStart w:id="1022" w:name="_Toc28016"/>
      <w:bookmarkStart w:id="1023" w:name="_Toc175764446"/>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适用法律法规</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14:paraId="0F7453F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4">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需要明示的法律、行政法规</w:t>
      </w:r>
      <w:bookmarkStart w:id="1024" w:name="_Toc25376"/>
      <w:bookmarkStart w:id="1025" w:name="_Toc28440"/>
      <w:bookmarkStart w:id="1026" w:name="_Toc18335"/>
      <w:bookmarkStart w:id="1027" w:name="_Toc7367"/>
      <w:bookmarkStart w:id="1028" w:name="_Toc24425"/>
      <w:bookmarkStart w:id="1029" w:name="_Toc16344"/>
      <w:bookmarkStart w:id="1030" w:name="_Toc32731"/>
      <w:bookmarkStart w:id="1031" w:name="_Toc20084"/>
      <w:bookmarkStart w:id="1032" w:name="_Toc30885"/>
      <w:bookmarkStart w:id="1033" w:name="_Toc30676"/>
      <w:bookmarkStart w:id="1034" w:name="_Toc2946"/>
      <w:bookmarkStart w:id="1035" w:name="_Toc22040"/>
      <w:bookmarkStart w:id="1036" w:name="_Toc8353"/>
      <w:bookmarkStart w:id="1037" w:name="_Toc4409"/>
      <w:bookmarkStart w:id="1038" w:name="_Toc13013"/>
      <w:bookmarkStart w:id="1039" w:name="_Toc4654"/>
      <w:bookmarkStart w:id="1040" w:name="_Toc19069"/>
      <w:bookmarkStart w:id="1041" w:name="_Toc28737"/>
    </w:p>
    <w:p w14:paraId="0F7453F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6">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042" w:name="_Toc101963512"/>
      <w:bookmarkStart w:id="1043" w:name="_Toc175764448"/>
      <w:bookmarkStart w:id="1044" w:name="_Toc101357458"/>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合同文件组成及解释顺序</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0F7453F7">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8">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045" w:name="_Toc101357459"/>
      <w:bookmarkStart w:id="1046" w:name="_Toc6089"/>
      <w:bookmarkStart w:id="1047" w:name="_Toc29034"/>
      <w:bookmarkStart w:id="1048" w:name="_Toc4207"/>
      <w:bookmarkStart w:id="1049" w:name="_Toc101963513"/>
      <w:bookmarkStart w:id="1050" w:name="_Toc13464"/>
      <w:bookmarkStart w:id="1051" w:name="_Toc2127"/>
      <w:bookmarkStart w:id="1052" w:name="_Toc9407"/>
      <w:bookmarkStart w:id="1053" w:name="_Toc12286"/>
      <w:bookmarkStart w:id="1054" w:name="_Toc30159"/>
      <w:bookmarkStart w:id="1055" w:name="_Toc29551"/>
      <w:bookmarkStart w:id="1056" w:name="_Toc6303"/>
      <w:bookmarkStart w:id="1057" w:name="_Toc4639"/>
      <w:bookmarkStart w:id="1058" w:name="_Toc12550"/>
      <w:bookmarkStart w:id="1059" w:name="_Toc675"/>
      <w:bookmarkStart w:id="1060" w:name="_Toc26951"/>
      <w:bookmarkStart w:id="1061" w:name="_Toc175764449"/>
      <w:bookmarkStart w:id="1062" w:name="_Toc14134"/>
      <w:bookmarkStart w:id="1063" w:name="_Toc12596"/>
      <w:bookmarkStart w:id="1064" w:name="_Toc19399"/>
      <w:bookmarkStart w:id="1065" w:name="_Toc27367"/>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甲方工作</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0F7453FA">
      <w:pPr>
        <w:kinsoku w:val="0"/>
        <w:spacing w:after="0" w:line="360" w:lineRule="auto"/>
        <w:ind w:firstLine="420" w:firstLineChars="2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5.1</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负责将电源配送至【一/二】级电箱，</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不适用本合同。</w:t>
      </w:r>
    </w:p>
    <w:p w14:paraId="0F7453F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5.4</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甲方向乙方提供图纸的期限、数量：本分包合同签订后</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天内，甲方向乙方提供</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0F745400">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66" w:name="_Toc101366219"/>
      <w:bookmarkEnd w:id="1066"/>
      <w:bookmarkStart w:id="1067" w:name="_Toc101366221"/>
      <w:bookmarkEnd w:id="1067"/>
      <w:bookmarkStart w:id="1068" w:name="_Toc101366223"/>
      <w:bookmarkEnd w:id="1068"/>
      <w:bookmarkStart w:id="1069" w:name="_Toc101366225"/>
      <w:bookmarkEnd w:id="1069"/>
      <w:bookmarkStart w:id="1070" w:name="_Toc101366222"/>
      <w:bookmarkEnd w:id="1070"/>
      <w:bookmarkStart w:id="1071" w:name="_Toc101366226"/>
      <w:bookmarkEnd w:id="1071"/>
      <w:bookmarkStart w:id="1072" w:name="_Toc101366220"/>
      <w:bookmarkEnd w:id="1072"/>
      <w:bookmarkStart w:id="1073" w:name="_Toc101366224"/>
      <w:bookmarkEnd w:id="1073"/>
      <w:bookmarkStart w:id="1074" w:name="_Toc11907"/>
      <w:bookmarkStart w:id="1075" w:name="_Toc101357460"/>
      <w:bookmarkStart w:id="1076" w:name="_Toc11612"/>
      <w:bookmarkStart w:id="1077" w:name="_Toc22484"/>
      <w:bookmarkStart w:id="1078" w:name="_Toc27703"/>
      <w:bookmarkStart w:id="1079" w:name="_Toc15681"/>
      <w:bookmarkStart w:id="1080" w:name="_Toc30945"/>
      <w:bookmarkStart w:id="1081" w:name="_Toc101963514"/>
      <w:bookmarkStart w:id="1082" w:name="_Toc12823"/>
      <w:bookmarkStart w:id="1083" w:name="_Toc9845"/>
      <w:bookmarkStart w:id="1084" w:name="_Toc19642"/>
      <w:bookmarkStart w:id="1085" w:name="_Toc20567"/>
      <w:bookmarkStart w:id="1086" w:name="_Toc118"/>
      <w:bookmarkStart w:id="1087" w:name="_Toc21663"/>
      <w:bookmarkStart w:id="1088" w:name="_Toc175764450"/>
      <w:bookmarkStart w:id="1089" w:name="_Toc4573"/>
      <w:bookmarkStart w:id="1090" w:name="_Toc497"/>
      <w:bookmarkStart w:id="1091" w:name="_Toc3920"/>
      <w:bookmarkStart w:id="1092" w:name="_Toc11989"/>
      <w:bookmarkStart w:id="1093" w:name="_Toc31864"/>
      <w:bookmarkStart w:id="1094" w:name="_Toc16841"/>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乙方工作</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0F74540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6.1</w:t>
      </w:r>
      <w:r>
        <w:rPr>
          <w:rFonts w:hint="eastAsia" w:ascii="宋体" w:hAnsi="宋体"/>
          <w:color w:val="000000" w:themeColor="text1"/>
          <w:sz w:val="21"/>
          <w:szCs w:val="21"/>
          <w:highlight w:val="none"/>
          <w:lang w:eastAsia="zh-CN"/>
          <w14:textFill>
            <w14:solidFill>
              <w14:schemeClr w14:val="tx1"/>
            </w14:solidFill>
          </w14:textFill>
        </w:rPr>
        <w:t>为提高乙方诚信能力，建立黑名单制度，乙方明确本项目负责人：</w:t>
      </w:r>
      <w:r>
        <w:rPr>
          <w:rFonts w:hint="eastAsia" w:ascii="宋体" w:hAnsi="宋体"/>
          <w:color w:val="000000" w:themeColor="text1"/>
          <w:sz w:val="21"/>
          <w:szCs w:val="21"/>
          <w:highlight w:val="none"/>
          <w:u w:val="single"/>
          <w:lang w:eastAsia="zh-CN"/>
          <w14:textFill>
            <w14:solidFill>
              <w14:schemeClr w14:val="tx1"/>
            </w14:solidFill>
          </w14:textFill>
        </w:rPr>
        <w:t>（人名），身份证号：XXX XXX XXX XXX，施工队长：（人名），身份证号：XXX XXX XXX XXX，施工班组长：（人名），身份证号：XXX XXX XXX XXX。若施工期间乙方存在施工不力、严重违约、恶意讨薪等问题，乙方连同上述人员不得再参与甲方组织的分包招标工作。</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乙方没有得到甲方书面同意更换项目经理或其他主要管理人员的，每发生一次更换项目经理乙方承担人民币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元整的违约金，每发生一次更换项目其他主要管理人员承担人民币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0.5万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元整的违约金，并按照甲方要求限期纠正；甲方要求乙方更换项目经理或其他主要管理人员的，乙方应在</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7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日内按照甲方要求予以撤换，当乙方无正当理由拒绝更换时，乙方应承担人民币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元整的违约金。当乙方项目经理临时离开现场时应指定合适的替代人员，离开现场</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3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天及以上时，应书面通知甲方并获得甲方同意，否则每次乙方应承担人民币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元整的违约金；此类违约超过两次，甲方可要求更换项目经理。</w:t>
      </w:r>
    </w:p>
    <w:p w14:paraId="0F74540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6.2乙方使用电子邮箱处理与甲方的电子函件往来：</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.com</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468EA899">
      <w:pPr>
        <w:numPr>
          <w:ilvl w:val="1"/>
          <w:numId w:val="8"/>
        </w:numPr>
        <w:tabs>
          <w:tab w:val="left" w:pos="567"/>
        </w:tabs>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6.15本合同适用</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②</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条约定。</w:t>
      </w:r>
    </w:p>
    <w:p w14:paraId="0F74540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6.23</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本分包工程需要乙方提供的资料和档案形式、提供的份数、期限、标准以及其它相关要求：</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符合甲方资料相关要求</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06">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关于竣工文件的其他约定：</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符合甲方资料相关要求</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07">
      <w:pPr>
        <w:pStyle w:val="11"/>
        <w:ind w:firstLine="420"/>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6.36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本条款</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【不适用】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F745408">
      <w:p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6.38 乙方配置</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名劳资专员。</w:t>
      </w:r>
    </w:p>
    <w:p w14:paraId="0F74540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（1）姓名：</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，身份证号：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，联系地址：</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0B">
      <w:p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6.39若发现乙方未与劳务作业人员签订劳动用工合同或者签订劳动合同不真实，乙方承担</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万元/人次违约金并赔偿给因此给甲方造成的一切损失（包括但不限于诉讼费、律师费、行政处罚等），乙方同意甲方在工程进度款中扣除，甲方有权单方解除合同，乙方需按照签约合同价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%支付违约金。</w:t>
      </w:r>
    </w:p>
    <w:p w14:paraId="0F74540E">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6.49乙方应履行的其他义务：</w:t>
      </w:r>
    </w:p>
    <w:p w14:paraId="559DFE14">
      <w:pPr>
        <w:pStyle w:val="11"/>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分包方未经总包方许可，禁止擅自使用、拆改总包方现场的临时设施，由此发生的一切事故及损失均由分包方负责。</w:t>
      </w:r>
    </w:p>
    <w:p w14:paraId="292927A6">
      <w:pPr>
        <w:pStyle w:val="11"/>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如未在文中以文字形式明确列出、提及或约定的工作内容，但合理推断应属于分包方的工作，则此类工作应理解为分包方的潜在责任和义务，分包方应负责完成并自行承担相应的费用。</w:t>
      </w:r>
    </w:p>
    <w:p w14:paraId="1CD3D1DC">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在施工过程中若因分包自身原因破坏已完成的工程项目时，分包方需负责修复并承担所有费用及可能引起的一切经济损失。</w:t>
      </w:r>
    </w:p>
    <w:p w14:paraId="4D725518">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6.50 公司性质：本公司性质符合以下第 （2） 条之规定。</w:t>
      </w:r>
    </w:p>
    <w:p w14:paraId="5E8D6210">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（1）本公司符合《中小企业划型标准规定》（工信部联企业〔2011〕300 号）的划型标准中的微型、</w:t>
      </w:r>
    </w:p>
    <w:p w14:paraId="6D78291A">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小型、中型企业。[需提供：企业注册地政府主管部门（如工业和信息化局、中小企业服务中心、市场</w:t>
      </w:r>
    </w:p>
    <w:p w14:paraId="7FFB91A8">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监督管理局等）出具的“中小企业证明性材料”并加盖公章，非政府机构或企业自行提供的声明文件不予</w:t>
      </w:r>
    </w:p>
    <w:p w14:paraId="684F1170">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认可。材料内容应明确体现该企业符合国务院批准的中小企业划分标准，常见证明材料包括：《中小企业</w:t>
      </w:r>
    </w:p>
    <w:p w14:paraId="722591A2">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CSCEC</w:t>
      </w:r>
    </w:p>
    <w:p w14:paraId="1FA2581A">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声明函》（须由政府主管部门盖章确认）、政府官网公示的中小企业名录截图（需带有官方标识）等。]</w:t>
      </w:r>
    </w:p>
    <w:p w14:paraId="266DFD7C">
      <w:pPr>
        <w:pStyle w:val="11"/>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（2）本公司为非中小微型企业。</w:t>
      </w:r>
    </w:p>
    <w:p w14:paraId="0F74540F">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95" w:name="_Toc101366229"/>
      <w:bookmarkEnd w:id="1095"/>
      <w:bookmarkStart w:id="1096" w:name="_Toc101366228"/>
      <w:bookmarkEnd w:id="1096"/>
      <w:bookmarkStart w:id="1097" w:name="_Toc101366231"/>
      <w:bookmarkEnd w:id="1097"/>
      <w:bookmarkStart w:id="1098" w:name="_Toc101366230"/>
      <w:bookmarkEnd w:id="1098"/>
      <w:bookmarkStart w:id="1099" w:name="_Toc14452"/>
      <w:bookmarkStart w:id="1100" w:name="_Toc26576"/>
      <w:bookmarkStart w:id="1101" w:name="_Toc10615"/>
      <w:bookmarkStart w:id="1102" w:name="_Toc752"/>
      <w:bookmarkStart w:id="1103" w:name="_Toc29276"/>
      <w:bookmarkStart w:id="1104" w:name="_Toc3210"/>
      <w:bookmarkStart w:id="1105" w:name="_Toc15695"/>
      <w:bookmarkStart w:id="1106" w:name="_Toc10220"/>
      <w:bookmarkStart w:id="1107" w:name="_Toc3041"/>
      <w:bookmarkStart w:id="1108" w:name="_Toc101963515"/>
      <w:bookmarkStart w:id="1109" w:name="_Toc101357461"/>
      <w:bookmarkStart w:id="1110" w:name="_Toc23064"/>
      <w:bookmarkStart w:id="1111" w:name="_Toc32452"/>
      <w:bookmarkStart w:id="1112" w:name="_Toc556"/>
      <w:bookmarkStart w:id="1113" w:name="_Toc26129"/>
      <w:bookmarkStart w:id="1114" w:name="_Toc175764451"/>
      <w:bookmarkStart w:id="1115" w:name="_Toc4482"/>
      <w:bookmarkStart w:id="1116" w:name="_Toc25021"/>
      <w:bookmarkStart w:id="1117" w:name="_Toc9000"/>
      <w:bookmarkStart w:id="1118" w:name="_Toc1623"/>
      <w:bookmarkStart w:id="1119" w:name="_Toc54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技术质量要求</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14:paraId="23A9858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120" w:name="_Toc20514"/>
      <w:bookmarkStart w:id="1121" w:name="_Toc101963516"/>
      <w:bookmarkStart w:id="1122" w:name="_Toc19673"/>
      <w:bookmarkStart w:id="1123" w:name="_Toc19888"/>
      <w:bookmarkStart w:id="1124" w:name="_Toc7739"/>
      <w:bookmarkStart w:id="1125" w:name="_Toc14225"/>
      <w:bookmarkStart w:id="1126" w:name="_Toc31809"/>
      <w:bookmarkStart w:id="1127" w:name="_Toc101357462"/>
      <w:bookmarkStart w:id="1128" w:name="_Toc28201"/>
      <w:bookmarkStart w:id="1129" w:name="_Toc30440"/>
      <w:bookmarkStart w:id="1130" w:name="_Toc13749"/>
      <w:bookmarkStart w:id="1131" w:name="_Toc15624"/>
      <w:bookmarkStart w:id="1132" w:name="_Toc26939"/>
      <w:bookmarkStart w:id="1133" w:name="_Toc2819"/>
      <w:bookmarkStart w:id="1134" w:name="_Toc5405"/>
      <w:bookmarkStart w:id="1135" w:name="_Toc7540"/>
      <w:bookmarkStart w:id="1136" w:name="_Toc22673"/>
      <w:bookmarkStart w:id="1137" w:name="_Toc22750"/>
      <w:bookmarkStart w:id="1138" w:name="_Toc13402"/>
      <w:bookmarkStart w:id="1139" w:name="_Toc175764452"/>
      <w:bookmarkStart w:id="1140" w:name="_Toc2929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7.2 补充：质量违约金为分包结算总价中相应金额的 2 %。</w:t>
      </w:r>
    </w:p>
    <w:p w14:paraId="7601FD3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7.8 乙方在施工过程中必须充分考虑环境污染问题，如发生污染遭到相关部门处罚（如：现金处罚、停工等）由乙方承担责任，如需项目部协调，产生的费用全部由乙方承担，因此问题造成工程节点未完成，甲方可对乙方进行现金处罚，在计量支付中扣除。</w:t>
      </w:r>
    </w:p>
    <w:p w14:paraId="3CF806A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7.10 因施工质量或施工组织不力导致的施工工期延误所产生的一切损失均由乙方承担。</w:t>
      </w:r>
    </w:p>
    <w:p w14:paraId="2D48E2F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7.11 乙方应严格按照设计规范要求进行施工，严格控制好各施工环节。非甲方及外界原因造成的钢筋等的损耗及相关质量事故，全部由乙方承担，由此造成的相关损失也由乙方承担。</w:t>
      </w:r>
    </w:p>
    <w:p w14:paraId="4E49D28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7.12 乙方对所属施工人员进行施工技术交底，设专人负责工程质量自检，配合并服从就甲方现场管理人员的质量管理，负责对乙方提供的施工图纸数据进行复核，发现问题应及时上报甲方核实，无权擅自改变图纸设计，对因此产生的损失甲方不承担任何责任。</w:t>
      </w:r>
    </w:p>
    <w:p w14:paraId="0F745412">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材料设备管理</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14:paraId="0F745415">
      <w:pPr>
        <w:kinsoku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8.7对于由甲方供应的材料，乙方应限额领料，超出限额或损耗率控制目标的部分，甲方将按甲供材料价格表中材料单价加包装、运输费等乘以超出上述核定量之部分</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1.3倍</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在对乙方的进度款或结算款中扣除。</w:t>
      </w:r>
    </w:p>
    <w:p w14:paraId="0F745416">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41" w:name="_Toc11460"/>
      <w:bookmarkStart w:id="1142" w:name="_Toc7144"/>
      <w:bookmarkStart w:id="1143" w:name="_Toc10377"/>
      <w:bookmarkStart w:id="1144" w:name="_Toc175764453"/>
      <w:bookmarkStart w:id="1145" w:name="_Toc101963517"/>
      <w:bookmarkStart w:id="1146" w:name="_Toc6224"/>
      <w:bookmarkStart w:id="1147" w:name="_Toc101357463"/>
      <w:bookmarkStart w:id="1148" w:name="_Toc4835"/>
      <w:bookmarkStart w:id="1149" w:name="_Toc26565"/>
      <w:bookmarkStart w:id="1150" w:name="_Toc5704"/>
      <w:bookmarkStart w:id="1151" w:name="_Toc31479"/>
      <w:bookmarkStart w:id="1152" w:name="_Toc20197"/>
      <w:bookmarkStart w:id="1153" w:name="_Toc13688"/>
      <w:bookmarkStart w:id="1154" w:name="_Toc20670"/>
      <w:bookmarkStart w:id="1155" w:name="_Toc19535"/>
      <w:bookmarkStart w:id="1156" w:name="_Toc5223"/>
      <w:bookmarkStart w:id="1157" w:name="_Toc2732"/>
      <w:bookmarkStart w:id="1158" w:name="_Toc10950"/>
      <w:bookmarkStart w:id="1159" w:name="_Toc12658"/>
      <w:bookmarkStart w:id="1160" w:name="_Toc19791"/>
      <w:bookmarkStart w:id="1161" w:name="_Toc1004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安全文明施工管理</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0F745418">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9.4补充：乙方必须缴纳安全风险抵押金</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1"/>
          <w:szCs w:val="21"/>
          <w:highlight w:val="none"/>
          <w:u w:val="single"/>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万元。</w:t>
      </w:r>
    </w:p>
    <w:p w14:paraId="0F745419">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9.1</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2劳动防护用品（包括“三宝一器”：安全帽、安全带、安全网、漏电保护器）的购买、验收、发放、使用、更换和报废统一由</w:t>
      </w:r>
      <w:r>
        <w:rPr>
          <w:rFonts w:hint="eastAsia" w:asciiTheme="minorEastAsia" w:hAnsiTheme="minorEastAsia" w:eastAsiaTheme="minorEastAsia" w:cstheme="minorEastAsia"/>
          <w:b w:val="0"/>
          <w:bCs w:val="0"/>
          <w:color w:val="000000" w:themeColor="text1"/>
          <w:sz w:val="21"/>
          <w:szCs w:val="21"/>
          <w:highlight w:val="none"/>
          <w:u w:val="single"/>
          <w:lang w:eastAsia="zh-CN"/>
          <w14:textFill>
            <w14:solidFill>
              <w14:schemeClr w14:val="tx1"/>
            </w14:solidFill>
          </w14:textFill>
        </w:rPr>
        <w:t>甲方</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负责。费用由乙方承担，从本分包工程的结算中扣除，甲方代付代扣</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w:t>
      </w:r>
    </w:p>
    <w:p w14:paraId="1A4C4AFB">
      <w:pPr>
        <w:pStyle w:val="11"/>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 xml:space="preserve"> 9.13 乙方安全生产费用投入必须达到项目所在地、业主及甲方要求，并提供相应的发票、影响资料、签认单等支撑性资料，若安全生产费用投入未达到要求的投入金额，甲方有权在工程款支付时扣除不足部分的安全生产费用；</w:t>
      </w:r>
    </w:p>
    <w:p w14:paraId="12970F40">
      <w:pPr>
        <w:pStyle w:val="11"/>
        <w:ind w:firstLine="420" w:firstLineChars="200"/>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9.14 乙方须采取有效措施，防止机械噪声超标或机械漏油污染环境，对于不符合要求的机械应及时采取必要的措施；</w:t>
      </w:r>
    </w:p>
    <w:p w14:paraId="6E538CB9">
      <w:pPr>
        <w:pStyle w:val="11"/>
        <w:ind w:firstLine="420" w:firstLineChars="200"/>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9.15 分包方负责人按实际情况上报人员数量及身份证复印件（身份证复印件必须与本人相符）在我项目部登记备案，人员数量增减必须如实上报。若不如实上报和人员信息不相符，将对其进行 1000 元罚款。若没有登记和人员信息不符的人员出现安全事故由分包方承担一切责任。</w:t>
      </w:r>
    </w:p>
    <w:p w14:paraId="3A9C58ED">
      <w:pPr>
        <w:pStyle w:val="11"/>
        <w:ind w:firstLine="420" w:firstLineChars="200"/>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9.16 在施工场地涉及危险地区或需要安全防护措施施工时，乙方应提出安全防护措施，经甲方批准后实施，发生的相应费用由乙方承担。</w:t>
      </w:r>
    </w:p>
    <w:p w14:paraId="64DA843A">
      <w:pPr>
        <w:pStyle w:val="11"/>
        <w:ind w:firstLine="420" w:firstLineChars="200"/>
        <w:rPr>
          <w:rFonts w:hint="default"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9.17 乙方必须对其施工范围和相关场所以及所有施工人员、管理辅助人员、设备、财产及第三人的安全负一切责任，在施工及材料的采购、运输等过程中发生的一切人身伤残、死亡、财产损失、损害及意外事故均由乙方承担，如发生安全事故，甲方有权在乙方进度款或安全履约保证金内扣除相应资金用于安全事故处理。</w:t>
      </w:r>
    </w:p>
    <w:p w14:paraId="0F74541A">
      <w:pPr>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162" w:name="_Toc101357464"/>
      <w:bookmarkStart w:id="1163" w:name="_Toc175764454"/>
      <w:bookmarkStart w:id="1164" w:name="_Toc101963518"/>
      <w:bookmarkStart w:id="1165" w:name="_Toc17137"/>
      <w:bookmarkStart w:id="1166" w:name="_Toc21644"/>
      <w:bookmarkStart w:id="1167" w:name="_Toc4937"/>
      <w:bookmarkStart w:id="1168" w:name="_Toc29188"/>
      <w:bookmarkStart w:id="1169" w:name="_Toc2531"/>
      <w:bookmarkStart w:id="1170" w:name="_Toc25432"/>
      <w:bookmarkStart w:id="1171" w:name="_Toc14336"/>
      <w:bookmarkStart w:id="1172" w:name="_Toc370"/>
      <w:bookmarkStart w:id="1173" w:name="_Toc28699"/>
      <w:bookmarkStart w:id="1174" w:name="_Toc10348"/>
      <w:bookmarkStart w:id="1175" w:name="_Toc24192"/>
      <w:bookmarkStart w:id="1176" w:name="_Toc783"/>
      <w:bookmarkStart w:id="1177" w:name="_Toc28958"/>
      <w:bookmarkStart w:id="1178" w:name="_Toc26103"/>
      <w:bookmarkStart w:id="1179" w:name="_Toc496"/>
      <w:bookmarkStart w:id="1180" w:name="_Toc21567"/>
      <w:bookmarkStart w:id="1181" w:name="_Toc3250"/>
      <w:bookmarkStart w:id="1182" w:name="_Toc22179"/>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绿色施工、环境保护与职业健康管理</w:t>
      </w:r>
      <w:bookmarkEnd w:id="1162"/>
      <w:bookmarkEnd w:id="1163"/>
      <w:bookmarkEnd w:id="1164"/>
      <w:bookmarkStart w:id="1183" w:name="_Toc101357465"/>
    </w:p>
    <w:p w14:paraId="0F74541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bookmarkEnd w:id="1183"/>
    </w:p>
    <w:p w14:paraId="0F74541C">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184" w:name="_Toc101963519"/>
      <w:bookmarkStart w:id="1185" w:name="_Toc101357466"/>
      <w:bookmarkStart w:id="1186" w:name="_Toc17576445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工期</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4"/>
      <w:bookmarkEnd w:id="1185"/>
      <w:bookmarkEnd w:id="1186"/>
    </w:p>
    <w:p w14:paraId="0F74541E">
      <w:pPr>
        <w:pStyle w:val="28"/>
        <w:keepNext w:val="0"/>
        <w:keepLines w:val="0"/>
        <w:widowControl/>
        <w:suppressLineNumbers w:val="0"/>
        <w:ind w:firstLine="420" w:firstLineChars="200"/>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1187" w:name="_Toc2649"/>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11.6主要节点工期目标：</w:t>
      </w:r>
      <w:bookmarkEnd w:id="118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乙方进场后，按照现场实际施工进度计划制定施工节点并确定奖罚措施</w:t>
      </w:r>
    </w:p>
    <w:p w14:paraId="0F74543D">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88" w:name="_Toc101357467"/>
      <w:bookmarkStart w:id="1189" w:name="_Toc101963520"/>
      <w:bookmarkStart w:id="1190" w:name="_Toc175764456"/>
      <w:bookmarkStart w:id="1191" w:name="_Toc416"/>
      <w:bookmarkStart w:id="1192" w:name="_Toc17691"/>
      <w:bookmarkStart w:id="1193" w:name="_Toc16161"/>
      <w:bookmarkStart w:id="1194" w:name="_Toc23709"/>
      <w:bookmarkStart w:id="1195" w:name="_Toc6778"/>
      <w:bookmarkStart w:id="1196" w:name="_Toc15784"/>
      <w:bookmarkStart w:id="1197" w:name="_Toc15033"/>
      <w:bookmarkStart w:id="1198" w:name="_Toc9732"/>
      <w:bookmarkStart w:id="1199" w:name="_Toc9892"/>
      <w:bookmarkStart w:id="1200" w:name="_Toc31747"/>
      <w:bookmarkStart w:id="1201" w:name="_Toc13529"/>
      <w:bookmarkStart w:id="1202" w:name="_Toc2116"/>
      <w:bookmarkStart w:id="1203" w:name="_Toc20371"/>
      <w:bookmarkStart w:id="1204" w:name="_Toc15643"/>
      <w:bookmarkStart w:id="1205" w:name="_Toc4510"/>
      <w:bookmarkStart w:id="1206" w:name="_Toc14156"/>
      <w:bookmarkStart w:id="1207" w:name="_Toc12264"/>
      <w:bookmarkStart w:id="1208" w:name="_Toc19739"/>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试验和检验</w:t>
      </w:r>
      <w:bookmarkEnd w:id="1188"/>
      <w:bookmarkEnd w:id="1189"/>
      <w:bookmarkEnd w:id="1190"/>
    </w:p>
    <w:p w14:paraId="0F74543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209" w:name="_Toc10135746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bookmarkEnd w:id="1209"/>
    </w:p>
    <w:p w14:paraId="0F74543F">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10" w:name="_Toc101963521"/>
      <w:bookmarkStart w:id="1211" w:name="_Toc175764457"/>
      <w:bookmarkStart w:id="1212" w:name="_Toc10135746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合同价款与计量方式</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10"/>
      <w:bookmarkEnd w:id="1211"/>
      <w:bookmarkEnd w:id="1212"/>
    </w:p>
    <w:p w14:paraId="0A4A530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1213" w:name="_Toc21889"/>
      <w:bookmarkStart w:id="1214" w:name="_Toc3339"/>
      <w:bookmarkStart w:id="1215" w:name="_Toc10465"/>
      <w:bookmarkStart w:id="1216" w:name="_Toc15999"/>
      <w:bookmarkStart w:id="1217" w:name="_Toc18090"/>
      <w:bookmarkStart w:id="1218" w:name="_Toc2903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13.2本分包合同价格</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采用</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通用合同13.2.1条</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单价合同</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1"/>
          <w:szCs w:val="21"/>
          <w:highlight w:val="none"/>
          <w:u w:val="single"/>
          <w:lang w:eastAsia="zh-CN" w:bidi="ar-SA"/>
          <w14:textFill>
            <w14:solidFill>
              <w14:schemeClr w14:val="tx1"/>
            </w14:solidFill>
          </w14:textFill>
        </w:rPr>
        <w:t>形式</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bookmarkEnd w:id="1213"/>
      <w:bookmarkEnd w:id="1214"/>
      <w:bookmarkEnd w:id="1215"/>
      <w:bookmarkEnd w:id="1216"/>
      <w:bookmarkEnd w:id="1217"/>
      <w:bookmarkEnd w:id="1218"/>
    </w:p>
    <w:p w14:paraId="0F745459">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19" w:name="_Toc11994"/>
      <w:bookmarkStart w:id="1220" w:name="_Toc6228"/>
      <w:bookmarkStart w:id="1221" w:name="_Toc9193"/>
      <w:bookmarkStart w:id="1222" w:name="_Toc21360"/>
      <w:bookmarkStart w:id="1223" w:name="_Toc26062"/>
      <w:bookmarkStart w:id="1224" w:name="_Toc2347"/>
      <w:bookmarkStart w:id="1225" w:name="_Toc21879"/>
      <w:bookmarkStart w:id="1226" w:name="_Toc3437"/>
      <w:bookmarkStart w:id="1227" w:name="_Toc101963522"/>
      <w:bookmarkStart w:id="1228" w:name="_Toc7533"/>
      <w:bookmarkStart w:id="1229" w:name="_Toc15608"/>
      <w:bookmarkStart w:id="1230" w:name="_Toc6199"/>
      <w:bookmarkStart w:id="1231" w:name="_Toc8900"/>
      <w:bookmarkStart w:id="1232" w:name="_Toc438"/>
      <w:bookmarkStart w:id="1233" w:name="_Toc31545"/>
      <w:bookmarkStart w:id="1234" w:name="_Toc2913"/>
      <w:bookmarkStart w:id="1235" w:name="_Toc28009"/>
      <w:bookmarkStart w:id="1236" w:name="_Toc19921"/>
      <w:bookmarkStart w:id="1237" w:name="_Toc101357470"/>
      <w:bookmarkStart w:id="1238" w:name="_Toc6377"/>
      <w:bookmarkStart w:id="1239" w:name="_Toc17576445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变更</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签证</w:t>
      </w:r>
      <w:bookmarkEnd w:id="1239"/>
    </w:p>
    <w:p w14:paraId="0F74545A">
      <w:pPr>
        <w:kinsoku w:val="0"/>
        <w:spacing w:after="0" w:line="360" w:lineRule="auto"/>
        <w:ind w:firstLine="420" w:firstLineChars="200"/>
        <w:jc w:val="both"/>
        <w:rPr>
          <w:rFonts w:hint="eastAsia" w:ascii="宋体" w:hAnsi="宋体" w:cstheme="minorEastAsia"/>
          <w:color w:val="000000" w:themeColor="text1"/>
          <w:sz w:val="21"/>
          <w:szCs w:val="21"/>
          <w:highlight w:val="none"/>
          <w:lang w:eastAsia="zh-CN"/>
          <w14:textFill>
            <w14:solidFill>
              <w14:schemeClr w14:val="tx1"/>
            </w14:solidFill>
          </w14:textFill>
        </w:rPr>
      </w:pPr>
      <w:bookmarkStart w:id="1240" w:name="_Toc10576"/>
      <w:bookmarkStart w:id="1241" w:name="_Toc228"/>
      <w:bookmarkStart w:id="1242" w:name="_Toc1218"/>
      <w:bookmarkStart w:id="1243" w:name="_Toc9374"/>
      <w:bookmarkStart w:id="1244" w:name="_Toc5241"/>
      <w:bookmarkStart w:id="1245" w:name="_Toc10335"/>
      <w:r>
        <w:rPr>
          <w:rFonts w:hint="eastAsia" w:ascii="宋体" w:hAnsi="宋体" w:cstheme="minorEastAsia"/>
          <w:color w:val="000000" w:themeColor="text1"/>
          <w:sz w:val="21"/>
          <w:szCs w:val="21"/>
          <w:highlight w:val="none"/>
          <w:lang w:eastAsia="zh-CN"/>
          <w14:textFill>
            <w14:solidFill>
              <w14:schemeClr w14:val="tx1"/>
            </w14:solidFill>
          </w14:textFill>
        </w:rPr>
        <w:t>14.7.5增加：甲方授权本合同现场签证事项签署人员为：项目经理</w:t>
      </w:r>
      <w:r>
        <w:rPr>
          <w:rFonts w:hint="eastAsia" w:ascii="宋体" w:hAnsi="宋体" w:cstheme="minorEastAsia"/>
          <w:color w:val="000000" w:themeColor="text1"/>
          <w:sz w:val="21"/>
          <w:szCs w:val="21"/>
          <w:highlight w:val="none"/>
          <w:u w:val="single"/>
          <w:lang w:val="en-US" w:eastAsia="zh-CN"/>
          <w14:textFill>
            <w14:solidFill>
              <w14:schemeClr w14:val="tx1"/>
            </w14:solidFill>
          </w14:textFill>
        </w:rPr>
        <w:t>李浩然</w:t>
      </w:r>
      <w:r>
        <w:rPr>
          <w:rFonts w:hint="eastAsia" w:ascii="宋体" w:hAnsi="宋体" w:cstheme="minorEastAsia"/>
          <w:color w:val="000000" w:themeColor="text1"/>
          <w:sz w:val="21"/>
          <w:szCs w:val="21"/>
          <w:highlight w:val="none"/>
          <w:lang w:eastAsia="zh-CN"/>
          <w14:textFill>
            <w14:solidFill>
              <w14:schemeClr w14:val="tx1"/>
            </w14:solidFill>
          </w14:textFill>
        </w:rPr>
        <w:t>（人名）</w:t>
      </w:r>
      <w:r>
        <w:rPr>
          <w:rFonts w:hint="eastAsia" w:ascii="宋体" w:hAnsi="宋体" w:cstheme="minorEastAsia"/>
          <w:color w:val="000000" w:themeColor="text1"/>
          <w:sz w:val="21"/>
          <w:szCs w:val="21"/>
          <w:highlight w:val="none"/>
          <w:lang w:eastAsia="zh-CN"/>
          <w14:textFill>
            <w14:solidFill>
              <w14:schemeClr w14:val="tx1"/>
            </w14:solidFill>
          </w14:textFill>
        </w:rPr>
        <w:t>及分管项目签证负责人</w:t>
      </w:r>
      <w:r>
        <w:rPr>
          <w:rFonts w:hint="eastAsia" w:ascii="宋体" w:hAnsi="宋体" w:cstheme="minorEastAsia"/>
          <w:color w:val="000000" w:themeColor="text1"/>
          <w:sz w:val="21"/>
          <w:szCs w:val="21"/>
          <w:highlight w:val="none"/>
          <w:u w:val="single"/>
          <w:lang w:eastAsia="zh-CN"/>
          <w14:textFill>
            <w14:solidFill>
              <w14:schemeClr w14:val="tx1"/>
            </w14:solidFill>
          </w14:textFill>
        </w:rPr>
        <w:t>姜光辉</w:t>
      </w:r>
      <w:r>
        <w:rPr>
          <w:rFonts w:hint="eastAsia" w:ascii="宋体" w:hAnsi="宋体" w:cstheme="minorEastAsia"/>
          <w:color w:val="000000" w:themeColor="text1"/>
          <w:sz w:val="21"/>
          <w:szCs w:val="21"/>
          <w:highlight w:val="none"/>
          <w:lang w:eastAsia="zh-CN"/>
          <w14:textFill>
            <w14:solidFill>
              <w14:schemeClr w14:val="tx1"/>
            </w14:solidFill>
          </w14:textFill>
        </w:rPr>
        <w:t>（人名）</w:t>
      </w:r>
      <w:r>
        <w:rPr>
          <w:rFonts w:hint="eastAsia" w:ascii="宋体" w:hAnsi="宋体" w:cstheme="minorEastAsia"/>
          <w:color w:val="000000" w:themeColor="text1"/>
          <w:sz w:val="21"/>
          <w:szCs w:val="21"/>
          <w:highlight w:val="none"/>
          <w:lang w:eastAsia="zh-CN"/>
          <w14:textFill>
            <w14:solidFill>
              <w14:schemeClr w14:val="tx1"/>
            </w14:solidFill>
          </w14:textFill>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0F74545B">
      <w:pPr>
        <w:pStyle w:val="11"/>
        <w:spacing w:after="0" w:line="360" w:lineRule="auto"/>
        <w:ind w:firstLine="420"/>
        <w:jc w:val="both"/>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，仅作为签订分包合同、补充合同（协议）或现场签证的辅助性支撑资料，不能单独作为甲方对乙方结算及付款的依据。甲方项目部其他任何人员的任何形式的签字均不作为甲方结算及付款的依据。</w:t>
      </w:r>
    </w:p>
    <w:bookmarkEnd w:id="1240"/>
    <w:bookmarkEnd w:id="1241"/>
    <w:bookmarkEnd w:id="1242"/>
    <w:bookmarkEnd w:id="1243"/>
    <w:bookmarkEnd w:id="1244"/>
    <w:bookmarkEnd w:id="1245"/>
    <w:p w14:paraId="0F74545C">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46" w:name="_Toc6875"/>
      <w:bookmarkStart w:id="1247" w:name="_Toc11817"/>
      <w:bookmarkStart w:id="1248" w:name="_Toc31952"/>
      <w:bookmarkStart w:id="1249" w:name="_Toc15410"/>
      <w:bookmarkStart w:id="1250" w:name="_Toc20022"/>
      <w:bookmarkStart w:id="1251" w:name="_Toc8618"/>
      <w:bookmarkStart w:id="1252" w:name="_Toc9211"/>
      <w:bookmarkStart w:id="1253" w:name="_Toc28357"/>
      <w:bookmarkStart w:id="1254" w:name="_Toc101963523"/>
      <w:bookmarkStart w:id="1255" w:name="_Toc2547"/>
      <w:bookmarkStart w:id="1256" w:name="_Toc22366"/>
      <w:bookmarkStart w:id="1257" w:name="_Toc175764459"/>
      <w:bookmarkStart w:id="1258" w:name="_Toc8508"/>
      <w:bookmarkStart w:id="1259" w:name="_Toc14584"/>
      <w:bookmarkStart w:id="1260" w:name="_Toc28309"/>
      <w:bookmarkStart w:id="1261" w:name="_Toc10569"/>
      <w:bookmarkStart w:id="1262" w:name="_Toc101357473"/>
      <w:bookmarkStart w:id="1263" w:name="_Toc11499"/>
      <w:bookmarkStart w:id="1264" w:name="_Toc4604"/>
      <w:bookmarkStart w:id="1265" w:name="_Toc20034"/>
      <w:bookmarkStart w:id="1266" w:name="_Toc3916"/>
      <w:bookmarkStart w:id="1267" w:name="_Toc31997"/>
      <w:bookmarkStart w:id="1268" w:name="_Toc13268"/>
      <w:bookmarkStart w:id="1269" w:name="_Toc17252"/>
      <w:bookmarkStart w:id="1270" w:name="_Toc12415"/>
      <w:bookmarkStart w:id="1271" w:name="_Toc24145"/>
      <w:bookmarkStart w:id="1272" w:name="_Toc27949"/>
      <w:bookmarkStart w:id="1273" w:name="_Toc5210"/>
      <w:bookmarkStart w:id="1274" w:name="_Toc8585"/>
      <w:bookmarkStart w:id="1275" w:name="_Toc27504"/>
      <w:bookmarkStart w:id="1276" w:name="_Toc1084"/>
      <w:bookmarkStart w:id="1277" w:name="_Toc21651"/>
      <w:bookmarkStart w:id="1278" w:name="_Toc1067"/>
      <w:bookmarkStart w:id="1279" w:name="_Toc11858"/>
      <w:bookmarkStart w:id="1280" w:name="_Toc7740"/>
      <w:bookmarkStart w:id="1281" w:name="_Toc5433"/>
      <w:bookmarkStart w:id="1282" w:name="_Toc21029"/>
      <w:bookmarkStart w:id="1283" w:name="_Toc18734"/>
      <w:bookmarkStart w:id="1284" w:name="_Toc101357471"/>
      <w:bookmarkStart w:id="1285" w:name="_Toc2768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工程款支付</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14:paraId="0F74546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F052"/>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无工程预付款。</w:t>
      </w:r>
    </w:p>
    <w:p w14:paraId="0F74546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15.2工程进度款的付款周期、程序、支付比例</w:t>
      </w:r>
    </w:p>
    <w:p w14:paraId="0F745465">
      <w:pPr>
        <w:tabs>
          <w:tab w:val="left" w:pos="992"/>
        </w:tabs>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以下约定的支付情况，是在乙方已向甲方提供了按结算金额开具的建筑业增值税专用发票并经甲方完成发票认证和相应金额的财务收据前提下执行。</w:t>
      </w:r>
    </w:p>
    <w:p w14:paraId="71042317">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本工程按</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月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支付进度工程款，经甲方审核完成乙方报送过程结算书后1个月内，支付甲方审定的当期进度完成量的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80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乙方应及时提交农民工工资支付各项手续，并对真实性、完整性负责，确保农民工工资支付比例</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100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69">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分包最终结算经甲方审定后3个月内，支付至本分包工程最终结算额的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乙方应及时提交农民工工资支付各项手续，并对真实性、完整性负责，确保农民工工资支付比例100%。</w:t>
      </w:r>
    </w:p>
    <w:p w14:paraId="0AB378B9">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本分包工程完工验收合格</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并通车运营且分包</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最终结算经甲方审定后3个月内支付至本分包工程最终结算额的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97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％，剩余</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%为质量保证金，缺陷责任期满后，若无质量等扣款事项且乙方尽到保修义务的，甲方一次性无息付清工程尾款。乙方应在甲方支付至分包工程最终结算额的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97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％前，按分包最终结算提供全额发票（含保修金发票），否则甲方可暂不支付而无需承担延期支付责任。</w:t>
      </w:r>
    </w:p>
    <w:p w14:paraId="0F74546B">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甲乙双方一致同意对工程所有款项实施分账制支付，即，一部分是农民工工资，占结算价款比例的</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零星材料、辅材、小型机械费、管理费、利润和税金等除农民工工资外的全部费用）按合同约定支付到乙方指定账户。</w:t>
      </w:r>
    </w:p>
    <w:p w14:paraId="0F74546C">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接受甲方以现金或银行转账方式支付人工费部分，以电汇、转账、银行汇票、信用证、保理、供应链等形式支付非人工费部分，乙方须配合甲方完成相关支付手续。付款过程中产生的贴息费用及手续费由【乙方/甲方】承担。乙方委托专职收款人办理收款业务，收款人必须取得授权</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6D">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0F74546E">
      <w:pPr>
        <w:kinsoku w:val="0"/>
        <w:spacing w:after="0" w:line="360" w:lineRule="auto"/>
        <w:ind w:left="420" w:left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账户名：</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6F">
      <w:pPr>
        <w:kinsoku w:val="0"/>
        <w:spacing w:after="0" w:line="360" w:lineRule="auto"/>
        <w:ind w:left="420" w:left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开户行：</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70">
      <w:pPr>
        <w:kinsoku w:val="0"/>
        <w:spacing w:after="0" w:line="360" w:lineRule="auto"/>
        <w:ind w:left="420" w:left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账  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71">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p>
    <w:p w14:paraId="0F745472">
      <w:pPr>
        <w:numPr>
          <w:ilvl w:val="0"/>
          <w:numId w:val="9"/>
        </w:num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甲方拖欠线索受理联系人：</w:t>
      </w:r>
    </w:p>
    <w:p w14:paraId="0F745473">
      <w:pPr>
        <w:kinsoku w:val="0"/>
        <w:spacing w:after="0" w:line="360" w:lineRule="auto"/>
        <w:ind w:left="420" w:leftChars="200" w:firstLine="210" w:firstLineChars="1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项目部联系人：</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李浩然</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，联系电话：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13722889353</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w:t>
      </w:r>
    </w:p>
    <w:p w14:paraId="7771398F">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公司联系人：</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，联系电话：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75">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公司信访投诉电话：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p>
    <w:p w14:paraId="0F745476">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信访投诉邮箱：</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@qq.com</w:t>
      </w:r>
    </w:p>
    <w:p w14:paraId="0F745477">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云筑网中建系统账款投诉平台：https://ts.yzw.cn</w:t>
      </w:r>
    </w:p>
    <w:p w14:paraId="0F745478">
      <w:pPr>
        <w:kinsoku w:val="0"/>
        <w:spacing w:after="0"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15.3甲方代发乙方农民工工资的程序、支付比例：</w:t>
      </w:r>
    </w:p>
    <w:p w14:paraId="0F745479">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（1）支付周期：</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月度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7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（2）甲方优先代发乙方农民工工资，农民工工资代发完毕后，支付乙方当期其他工程款。</w:t>
      </w:r>
    </w:p>
    <w:p w14:paraId="0F74547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（3）甲方代发乙方农民工工资前，乙方应提供以下资料：</w:t>
      </w:r>
    </w:p>
    <w:p w14:paraId="0F74547C">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1）乙方与农民工签订的劳动合同。</w:t>
      </w:r>
    </w:p>
    <w:p w14:paraId="0F74547D">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2）农民工工资支付台账、考勤表，农民工工资支付台账以班组分类，必须农民工本人签字并按手印，提供农民工本人签字并按手印的影像资料。</w:t>
      </w:r>
    </w:p>
    <w:p w14:paraId="0F74547E">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3）乙方出具的《农民工当期工资支付完毕声明书》。</w:t>
      </w:r>
    </w:p>
    <w:p w14:paraId="0F74547F">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4）工人退场时需办理劳务工资结算单，对于已经结清工资的农民工，应在劳务结算单上签字确认工资结清承诺。</w:t>
      </w:r>
    </w:p>
    <w:p w14:paraId="0F745480">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5）乙方应向甲方出具农民工工资代发授权委托书。</w:t>
      </w:r>
    </w:p>
    <w:p w14:paraId="0F745481">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（4）甲方根据乙方编制的农民工工资支付台账，通过农民工工资专用账户直接将工资支付到农民工本人的银行账户，并向乙方提供代发工资凭证。</w:t>
      </w:r>
    </w:p>
    <w:p w14:paraId="0F74548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0F745483">
      <w:pPr>
        <w:pStyle w:val="11"/>
        <w:spacing w:after="0" w:line="360" w:lineRule="auto"/>
        <w:ind w:firstLine="420"/>
        <w:rPr>
          <w:rFonts w:hint="eastAsia" w:asciiTheme="minorEastAsia" w:hAnsiTheme="minorEastAsia" w:eastAsiaTheme="minorEastAsia" w:cstheme="minorEastAsia"/>
          <w:b/>
          <w:bCs/>
          <w:color w:val="000000" w:themeColor="text1"/>
          <w:kern w:val="10"/>
          <w:sz w:val="2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本条款</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【不适用】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F74548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15.10甲方付款前，乙方应按甲方财务要求提供合法的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增值税专用发票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，准确填写发票内容并提供发票真伪查询证明，发票备注栏应填写与总包合同一致的工程名称及工程地址（省市区）。</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乙方未能按甲方要求提供增值税专用发票，除扣除相应税金外，还应承担合同金额（含增值税）</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10%</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的违约金。</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乙方开具增值税发票后，次月必须在税务网进行抄税，未经甲方事先书面同意，乙方不得擅自将已向甲方开具的增值税发票作废。若乙方擅自作废发票，需向甲方承担作废发票金额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%的违约金并承担因擅自作废给甲方造成的所有责任及损失。</w:t>
      </w:r>
    </w:p>
    <w:p w14:paraId="0F745486">
      <w:p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15.11发票要求：</w:t>
      </w:r>
    </w:p>
    <w:p w14:paraId="0F745487">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甲方单位名称：</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w:t>
      </w:r>
    </w:p>
    <w:p w14:paraId="0F745488">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w:t>
      </w: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开户银行：</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9">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甲方银行账号：</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A">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地 址、电 话：</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B">
      <w:pPr>
        <w:kinsoku w:val="0"/>
        <w:spacing w:after="0" w:line="360" w:lineRule="auto"/>
        <w:ind w:left="158" w:leftChars="75" w:firstLine="840" w:firstLineChars="4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统一社会信用代码：</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15.12甲乙双方一致确认提供发票为主合同义务而非附随义务，如因乙方未及时开具发票，甲方可拒绝付款，并不承担逾期付款责任。</w:t>
      </w:r>
    </w:p>
    <w:p w14:paraId="0F74548E">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286" w:name="_Toc175764460"/>
      <w:bookmarkStart w:id="1287" w:name="_Toc10196352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过程结算</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14:paraId="0F74548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16.1乙方提交已完成的工程量报告的时间、内容、计量周期：</w:t>
      </w:r>
    </w:p>
    <w:p w14:paraId="0F745490">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（1）乙方提交已完成的工程量报告的时间：</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每月15日</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91">
      <w:pPr>
        <w:pStyle w:val="28"/>
        <w:keepNext w:val="0"/>
        <w:keepLines w:val="0"/>
        <w:widowControl/>
        <w:suppressLineNumbers w:val="0"/>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（2）乙方提交已完成的工程量报告的内容：</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上报上月至当月9日完际完成形象进度报表（包括合同外增项、变更、签证等）、相关计量资料及农民工工资支付明细表 。</w:t>
      </w:r>
    </w:p>
    <w:p w14:paraId="0F74549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（3）计量周期：</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月度计量</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9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16.6若乙方未能在本合同约定的时间内完成工程量核对确认工作，甲方可以暂停乙方过程结算及支付工作，直至完成合同内工程量核对确认并签订转固定总价补充协议。</w:t>
      </w:r>
    </w:p>
    <w:p w14:paraId="0F745495">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88" w:name="_Toc175764461"/>
      <w:bookmarkStart w:id="1289" w:name="_Toc9965"/>
      <w:bookmarkStart w:id="1290" w:name="_Toc9347"/>
      <w:bookmarkStart w:id="1291" w:name="_Toc13020"/>
      <w:bookmarkStart w:id="1292" w:name="_Toc12521"/>
      <w:bookmarkStart w:id="1293" w:name="_Toc8151"/>
      <w:bookmarkStart w:id="1294" w:name="_Toc24768"/>
      <w:bookmarkStart w:id="1295" w:name="_Toc16958"/>
      <w:bookmarkStart w:id="1296" w:name="_Toc9149"/>
      <w:bookmarkStart w:id="1297" w:name="_Toc11418"/>
      <w:bookmarkStart w:id="1298" w:name="_Toc32235"/>
      <w:bookmarkStart w:id="1299" w:name="_Toc5073"/>
      <w:bookmarkStart w:id="1300" w:name="_Toc101963525"/>
      <w:bookmarkStart w:id="1301" w:name="_Toc638"/>
      <w:bookmarkStart w:id="1302" w:name="_Toc101357472"/>
      <w:bookmarkStart w:id="1303" w:name="_Toc8237"/>
      <w:bookmarkStart w:id="1304" w:name="_Toc24445"/>
      <w:bookmarkStart w:id="1305" w:name="_Toc32123"/>
      <w:bookmarkStart w:id="1306" w:name="_Toc24071"/>
      <w:bookmarkStart w:id="1307" w:name="_Toc12928"/>
      <w:bookmarkStart w:id="1308" w:name="_Toc599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最终</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结算</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14:paraId="0F745497">
      <w:pPr>
        <w:tabs>
          <w:tab w:val="left" w:pos="425"/>
        </w:tabs>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17.1</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本分包工程完工验收合格后30天内，乙方向甲方提交结算报告，乙方提交的结算报告内容包含且不限于：</w:t>
      </w:r>
    </w:p>
    <w:p w14:paraId="0F745498">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（1）加盖乙方单位公章的工程结算书（含工程量计算书电子版）。</w:t>
      </w:r>
    </w:p>
    <w:p w14:paraId="0F745499">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（2）分包完工确认单（含工程量、签证、材料、费用等完工确认单）。</w:t>
      </w:r>
    </w:p>
    <w:p w14:paraId="0F74549A">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（3）派工资料、验收资料、设备启停通知等。</w:t>
      </w:r>
    </w:p>
    <w:p w14:paraId="0F74549B">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（4）乙方物资对账汇总表。</w:t>
      </w:r>
    </w:p>
    <w:p w14:paraId="0F74549C">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（5）经审批的变更洽商、现场签证等。</w:t>
      </w:r>
    </w:p>
    <w:p w14:paraId="0F74549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（6）会议纪要、备忘录、施工方案等相关资料。</w:t>
      </w:r>
    </w:p>
    <w:p w14:paraId="0F74549E">
      <w:pPr>
        <w:pStyle w:val="15"/>
        <w:kinsoku w:val="0"/>
        <w:spacing w:after="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（7）其他：</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p>
    <w:p w14:paraId="0F74549F">
      <w:pPr>
        <w:kinsoku w:val="0"/>
        <w:snapToGrid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17.3增加：若乙方所报结算价的审减率在5%-10%（含5%）的，乙方承担被审减额的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%的违约金，若审减率超过10%（含10%）的，乙方承担被审减额的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10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%的违约金，审减率在20%以上（含20%）的，乙方承担被审减额的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20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%的违约金，被审减额为乙方上报结算金额与经甲方审定盖章后的最终结算金额之差。</w:t>
      </w:r>
    </w:p>
    <w:p w14:paraId="0F7454A0">
      <w:pPr>
        <w:kinsoku w:val="0"/>
        <w:snapToGrid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17.4</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最终结算价款=根据13.9.1条计算的工程量×固定单价±变更洽商金额—扣款和罚款—违约金。</w:t>
      </w:r>
    </w:p>
    <w:p w14:paraId="0F7454A2">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17.4.1结算扣款、罚款和违约金包含且不限于以下内容：</w:t>
      </w:r>
    </w:p>
    <w:p w14:paraId="0F7454A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①包含在施工所需水、电费用。</w:t>
      </w:r>
    </w:p>
    <w:p w14:paraId="0F7454A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②地方各种政策性收费：按甲方实际代扣代缴为准。</w:t>
      </w:r>
    </w:p>
    <w:p w14:paraId="0F7454A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③乙方承担的各项罚款及违约金。</w:t>
      </w:r>
    </w:p>
    <w:p w14:paraId="0F7454A6">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④乙方施工的安防用品、工作服等，以实际领取数量及甲方采购价为准（如有）。</w:t>
      </w:r>
    </w:p>
    <w:p w14:paraId="0F7454A7">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⑤应由乙方分摊或甲方代为支付的垃圾清运、试验检测、安全文明等费用。</w:t>
      </w:r>
    </w:p>
    <w:p w14:paraId="0F7454A8">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⑥甲方根据合同应当扣除的其他款项。</w:t>
      </w:r>
    </w:p>
    <w:p w14:paraId="0F7454AA">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09" w:name="_Toc175764462"/>
      <w:bookmarkStart w:id="1310" w:name="_Toc101357474"/>
      <w:bookmarkStart w:id="1311" w:name="_Toc101963526"/>
      <w:bookmarkStart w:id="1312" w:name="_Toc15704"/>
      <w:bookmarkStart w:id="1313" w:name="_Toc21149"/>
      <w:bookmarkStart w:id="1314" w:name="_Toc31287"/>
      <w:bookmarkStart w:id="1315" w:name="_Toc31668"/>
      <w:bookmarkStart w:id="1316" w:name="_Toc28514"/>
      <w:bookmarkStart w:id="1317" w:name="_Toc2867"/>
      <w:bookmarkStart w:id="1318" w:name="_Toc8861"/>
      <w:bookmarkStart w:id="1319" w:name="_Toc29974"/>
      <w:bookmarkStart w:id="1320" w:name="_Toc22761"/>
      <w:bookmarkStart w:id="1321" w:name="_Toc4434"/>
      <w:bookmarkStart w:id="1322" w:name="_Toc19408"/>
      <w:bookmarkStart w:id="1323" w:name="_Toc8522"/>
      <w:bookmarkStart w:id="1324" w:name="_Toc25355"/>
      <w:bookmarkStart w:id="1325" w:name="_Toc16327"/>
      <w:bookmarkStart w:id="1326" w:name="_Toc577"/>
      <w:bookmarkStart w:id="1327" w:name="_Toc4720"/>
      <w:bookmarkStart w:id="1328" w:name="_Toc7572"/>
      <w:bookmarkStart w:id="1329" w:name="_Toc358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完工验收</w:t>
      </w:r>
      <w:bookmarkEnd w:id="1309"/>
      <w:bookmarkEnd w:id="1310"/>
      <w:bookmarkEnd w:id="1311"/>
    </w:p>
    <w:p w14:paraId="0F7454A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18.3补充：完工验收期限：</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3个月</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14:paraId="0F7454AD">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30" w:name="_Toc175764463"/>
      <w:bookmarkStart w:id="1331" w:name="_Toc5078"/>
      <w:bookmarkStart w:id="1332" w:name="_Toc28462"/>
      <w:bookmarkStart w:id="1333" w:name="_Toc27061"/>
      <w:bookmarkStart w:id="1334" w:name="_Toc21575"/>
      <w:bookmarkStart w:id="1335" w:name="_Toc10135"/>
      <w:bookmarkStart w:id="1336" w:name="_Toc28255"/>
      <w:bookmarkStart w:id="1337" w:name="_Toc1328"/>
      <w:bookmarkStart w:id="1338" w:name="_Toc14412"/>
      <w:bookmarkStart w:id="1339" w:name="_Toc21183"/>
      <w:bookmarkStart w:id="1340" w:name="_Toc31722"/>
      <w:bookmarkStart w:id="1341" w:name="_Toc3443"/>
      <w:bookmarkStart w:id="1342" w:name="_Toc6364"/>
      <w:bookmarkStart w:id="1343" w:name="_Toc14756"/>
      <w:bookmarkStart w:id="1344" w:name="_Toc10185"/>
      <w:bookmarkStart w:id="1345" w:name="_Toc101963528"/>
      <w:bookmarkStart w:id="1346" w:name="_Toc18993"/>
      <w:bookmarkStart w:id="1347" w:name="_Toc21044"/>
      <w:bookmarkStart w:id="1348" w:name="_Toc15602"/>
      <w:bookmarkStart w:id="1349" w:name="_Toc31165"/>
      <w:bookmarkStart w:id="1350" w:name="_Toc10135747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履约保</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证</w:t>
      </w:r>
      <w:bookmarkEnd w:id="1330"/>
    </w:p>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14:paraId="0F7454A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19.1</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乙方履约担保形式：</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不担保，</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F0A3"/>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独立、不可撤销、见索即付的银行保函，担保金额：¥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元（人民币大写：</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F0A3"/>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履约保证金，保证金额：¥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元（人民币大写：</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元）。（保函，与响应单位须知保持一致）</w:t>
      </w:r>
    </w:p>
    <w:p w14:paraId="0F7454B0">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51" w:name="_Toc25609"/>
      <w:bookmarkStart w:id="1352" w:name="_Toc2350"/>
      <w:bookmarkStart w:id="1353" w:name="_Toc20599"/>
      <w:bookmarkStart w:id="1354" w:name="_Toc13157"/>
      <w:bookmarkStart w:id="1355" w:name="_Toc21636"/>
      <w:bookmarkStart w:id="1356" w:name="_Toc15741"/>
      <w:bookmarkStart w:id="1357" w:name="_Toc101357478"/>
      <w:bookmarkStart w:id="1358" w:name="_Toc8344"/>
      <w:bookmarkStart w:id="1359" w:name="_Toc723"/>
      <w:bookmarkStart w:id="1360" w:name="_Toc101963529"/>
      <w:bookmarkStart w:id="1361" w:name="_Toc29281"/>
      <w:bookmarkStart w:id="1362" w:name="_Toc16322"/>
      <w:bookmarkStart w:id="1363" w:name="_Toc175764464"/>
      <w:bookmarkStart w:id="1364" w:name="_Toc15918"/>
      <w:bookmarkStart w:id="1365" w:name="_Toc669"/>
      <w:bookmarkStart w:id="1366" w:name="_Toc5256"/>
      <w:bookmarkStart w:id="1367" w:name="_Toc13500"/>
      <w:bookmarkStart w:id="1368" w:name="_Toc25332"/>
      <w:bookmarkStart w:id="1369" w:name="_Toc11440"/>
      <w:bookmarkStart w:id="1370" w:name="_Toc7929"/>
      <w:bookmarkStart w:id="1371" w:name="_Toc27527"/>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缺陷责任与</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保修</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14:paraId="150D529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20.1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缺陷责任期：</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24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个月，缺陷责任期自甲方整体工程交工验收合格并通车运营且总承包工程交接证书中载明的交接之日起计算。</w:t>
      </w:r>
    </w:p>
    <w:p w14:paraId="0F7454B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20.2质量保修期：</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年，质量保修期缺陷责任期自甲方整体工程交工验收合格并通车运营且总承包工程交接证书中载明的交接之日起计算。</w:t>
      </w:r>
    </w:p>
    <w:p w14:paraId="0F7454B4">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72" w:name="_Toc18145"/>
      <w:bookmarkStart w:id="1373" w:name="_Toc24423"/>
      <w:bookmarkStart w:id="1374" w:name="_Toc14158"/>
      <w:bookmarkStart w:id="1375" w:name="_Toc18693"/>
      <w:bookmarkStart w:id="1376" w:name="_Toc32301"/>
      <w:bookmarkStart w:id="1377" w:name="_Toc15560"/>
      <w:bookmarkStart w:id="1378" w:name="_Toc26482"/>
      <w:bookmarkStart w:id="1379" w:name="_Toc7605"/>
      <w:bookmarkStart w:id="1380" w:name="_Toc101357479"/>
      <w:bookmarkStart w:id="1381" w:name="_Toc24792"/>
      <w:bookmarkStart w:id="1382" w:name="_Toc24061"/>
      <w:bookmarkStart w:id="1383" w:name="_Toc6172"/>
      <w:bookmarkStart w:id="1384" w:name="_Toc175764465"/>
      <w:bookmarkStart w:id="1385" w:name="_Toc21668"/>
      <w:bookmarkStart w:id="1386" w:name="_Toc3596"/>
      <w:bookmarkStart w:id="1387" w:name="_Toc26076"/>
      <w:bookmarkStart w:id="1388" w:name="_Toc18945"/>
      <w:bookmarkStart w:id="1389" w:name="_Toc30242"/>
      <w:bookmarkStart w:id="1390" w:name="_Toc9484"/>
      <w:bookmarkStart w:id="1391" w:name="_Toc12525"/>
      <w:bookmarkStart w:id="1392" w:name="_Toc10196353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保险</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14:paraId="215B03F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bookmarkStart w:id="1393" w:name="_Toc20802"/>
      <w:bookmarkStart w:id="1394" w:name="_Toc3222"/>
      <w:bookmarkStart w:id="1395" w:name="_Toc16794"/>
      <w:bookmarkStart w:id="1396" w:name="_Toc22941"/>
      <w:bookmarkStart w:id="1397" w:name="_Toc15928"/>
      <w:bookmarkStart w:id="1398" w:name="_Toc7971"/>
      <w:bookmarkStart w:id="1399" w:name="_Toc101963531"/>
      <w:bookmarkStart w:id="1400" w:name="_Toc17268"/>
      <w:bookmarkStart w:id="1401" w:name="_Toc3384"/>
      <w:bookmarkStart w:id="1402" w:name="_Toc19476"/>
      <w:bookmarkStart w:id="1403" w:name="_Toc19013"/>
      <w:bookmarkStart w:id="1404" w:name="_Toc9356"/>
      <w:bookmarkStart w:id="1405" w:name="_Toc18600"/>
      <w:bookmarkStart w:id="1406" w:name="_Toc24557"/>
      <w:bookmarkStart w:id="1407" w:name="_Toc28353"/>
      <w:bookmarkStart w:id="1408" w:name="_Toc7215"/>
      <w:bookmarkStart w:id="1409" w:name="_Toc101357480"/>
      <w:bookmarkStart w:id="1410" w:name="_Toc634"/>
      <w:bookmarkStart w:id="1411" w:name="_Toc175764466"/>
      <w:bookmarkStart w:id="1412" w:name="_Toc13977"/>
      <w:bookmarkStart w:id="1413" w:name="_Toc2654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4B7">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不可抗力</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14:paraId="0F7454B8">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4B9">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14" w:name="_Toc21145"/>
      <w:bookmarkStart w:id="1415" w:name="_Toc30852"/>
      <w:bookmarkStart w:id="1416" w:name="_Toc101357481"/>
      <w:bookmarkStart w:id="1417" w:name="_Toc2628"/>
      <w:bookmarkStart w:id="1418" w:name="_Toc6999"/>
      <w:bookmarkStart w:id="1419" w:name="_Toc2889"/>
      <w:bookmarkStart w:id="1420" w:name="_Toc24784"/>
      <w:bookmarkStart w:id="1421" w:name="_Toc14862"/>
      <w:bookmarkStart w:id="1422" w:name="_Toc19605"/>
      <w:bookmarkStart w:id="1423" w:name="_Toc16901"/>
      <w:bookmarkStart w:id="1424" w:name="_Toc175764467"/>
      <w:bookmarkStart w:id="1425" w:name="_Toc101963532"/>
      <w:bookmarkStart w:id="1426" w:name="_Toc20420"/>
      <w:bookmarkStart w:id="1427" w:name="_Toc15121"/>
      <w:bookmarkStart w:id="1428" w:name="_Toc5749"/>
      <w:bookmarkStart w:id="1429" w:name="_Toc28990"/>
      <w:bookmarkStart w:id="1430" w:name="_Toc18426"/>
      <w:bookmarkStart w:id="1431" w:name="_Toc12979"/>
      <w:bookmarkStart w:id="1432" w:name="_Toc10662"/>
      <w:bookmarkStart w:id="1433" w:name="_Toc26578"/>
      <w:bookmarkStart w:id="1434" w:name="_Toc1140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违约</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0F7454B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1435" w:name="_Toc16290"/>
      <w:bookmarkStart w:id="1436" w:name="_Toc12743"/>
      <w:bookmarkStart w:id="1437" w:name="_Toc4860"/>
      <w:bookmarkStart w:id="1438" w:name="_Toc2136"/>
      <w:bookmarkStart w:id="1439" w:name="_Toc24887"/>
      <w:bookmarkStart w:id="1440" w:name="_Toc101963533"/>
      <w:bookmarkStart w:id="1441" w:name="_Toc13869"/>
      <w:bookmarkStart w:id="1442" w:name="_Toc22716"/>
      <w:bookmarkStart w:id="1443" w:name="_Toc4020"/>
      <w:bookmarkStart w:id="1444" w:name="_Toc31565"/>
      <w:bookmarkStart w:id="1445" w:name="_Toc23242"/>
      <w:bookmarkStart w:id="1446" w:name="_Toc30088"/>
      <w:bookmarkStart w:id="1447" w:name="_Toc8437"/>
      <w:bookmarkStart w:id="1448" w:name="_Toc30012"/>
      <w:bookmarkStart w:id="1449" w:name="_Toc27782"/>
      <w:bookmarkStart w:id="1450" w:name="_Toc5986"/>
      <w:bookmarkStart w:id="1451" w:name="_Toc16061"/>
      <w:bookmarkStart w:id="1452" w:name="_Toc25592"/>
      <w:bookmarkStart w:id="1453" w:name="_Toc4047"/>
      <w:bookmarkStart w:id="1454" w:name="_Toc101357482"/>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23.3乙方转包、挂靠和再分包的，甲方可以单方解除合同，且乙方应承担签约合同价</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20 %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的惩罚性违约金并赔偿甲方所有的损失（包括但不限于诉讼费、律师费、行政处罚等）</w:t>
      </w:r>
    </w:p>
    <w:p w14:paraId="0F7454B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 安全违约</w:t>
      </w:r>
    </w:p>
    <w:p w14:paraId="0F7454BE">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0F7454BF">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23.6.2由乙方原因发生的安全事故或</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由于乙方原因导致隐患与违章在各级各类监督检查过程中，</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给甲方造成</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信誉评价扣分</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、经济损失，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以及停止招投标等市场影响的，所有经济损失由乙方承担，并按甲方公司及项目安全管理规定进行处罚。</w:t>
      </w:r>
    </w:p>
    <w:p w14:paraId="0F7454C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0F7454C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23.6.4如乙方违反国家、地方、甲方及本合同关于安全文明施工的规定，但尚未造成生产安全事故，乙方应及时改正行为并赔偿相关方的损失，如未及时整改，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根据甲方公司及项目安全管理制度进行处罚。</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因乙方原因未达到本合同约定的安全文明施工标准时，乙方向甲方支付签约合同价</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%的违约金，并承担因此给甲方造成的全部损失。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安全文明工地建设参照当地主管部门的有关标准验收，用工等费用已包含在乙方报价中。</w:t>
      </w:r>
    </w:p>
    <w:p w14:paraId="0F7454C2">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23.6.5乙方必须接受相关方和甲方组织的安全、文明施工的检查，检查中的不合格项目、安全隐患必须在规定的时间内整改完成，否则将</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根据甲方公司及项目安全管理制度进行处罚，</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直至整改合格。</w:t>
      </w:r>
    </w:p>
    <w:p w14:paraId="0F7454C3">
      <w:pPr>
        <w:kinsoku w:val="0"/>
        <w:spacing w:after="0" w:line="360" w:lineRule="auto"/>
        <w:ind w:firstLine="420" w:firstLineChars="200"/>
        <w:jc w:val="both"/>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23.6.6</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乙方未按法规要求及合同承诺配备专职安全管理人员，乙方应限期整改，若乙方未能在限期内完成整改，每缺少1名专职安全管理人员，乙方向甲方支付</w:t>
      </w:r>
      <w:r>
        <w:rPr>
          <w:rFonts w:hint="eastAsia" w:asciiTheme="minorEastAsia" w:hAnsiTheme="minorEastAsia" w:eastAsiaTheme="minorEastAsia" w:cstheme="minorEastAsia"/>
          <w:b/>
          <w:color w:val="000000" w:themeColor="text1"/>
          <w:sz w:val="21"/>
          <w:szCs w:val="21"/>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u w:val="single"/>
          <w:lang w:eastAsia="zh-CN"/>
          <w14:textFill>
            <w14:solidFill>
              <w14:schemeClr w14:val="tx1"/>
            </w14:solidFill>
          </w14:textFill>
        </w:rPr>
        <w:t>0000</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元违约金。</w:t>
      </w:r>
    </w:p>
    <w:p w14:paraId="0F7454C4">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 质量违约</w:t>
      </w:r>
    </w:p>
    <w:p w14:paraId="0F7454C5">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23.7.1因乙方质量原因出现以下情形的，乙方须承担相应违约责任。</w:t>
      </w:r>
    </w:p>
    <w:p w14:paraId="0F7454C6">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（1）不按图施工，每次乙方向甲方支付违约金人民币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7">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（2）未进行隐蔽验收，验收不合格强行施工，每次乙方向甲方支付违约金人民币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8">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（3）施工质量不符合设计及规范要求，每次乙方向甲方支付违约金人民币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9">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（4）未进行条件验收，条件验收不合格继续施工，或发现质量问题隐患隐瞒不报、未经甲方允许自行处理的，每次乙方向甲方支付违约金人民币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5000-10000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A">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（5）成品防护不到位，施工后出现较大面积破损或污染，每处乙方向甲方支付违约金人民币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B">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元。如在施工过程中发现材料质量不合格，乙方除负责更换合格材料外，每次乙方向甲方支付违约金人民币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元，并承担因此给甲方造成的全部损失。</w:t>
      </w:r>
    </w:p>
    <w:p w14:paraId="0F7454CC">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24小时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内未进行整改或整改不合格的，甲方</w:t>
      </w:r>
      <w:r>
        <w:rPr>
          <w:rStyle w:val="38"/>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可以自行</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委托第三方完成，此部分费用由乙方承担并向甲方支付违约金人民币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D">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（8）如乙方未能按照约定履行维修义务，甲方可在乙方的质保金中扣除相关维修费用，并要求乙方承担维修费用</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的违约金，不足部分及因乙方拒绝维修导致额外的损失，甲方将继续向乙方追偿。</w:t>
      </w:r>
    </w:p>
    <w:p w14:paraId="0F7454CE">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（9）被建设单位、甲方公司及其上级单位质量检查通报排名倒数后两名的，乙方按照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3000～5000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元/次承担违约金。同一项目，被连续通报倒数后两名的，违约金加倍。</w:t>
      </w:r>
    </w:p>
    <w:p w14:paraId="0F7454CF">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（10）被建设单位投诉到甲方公司及其上级单位主管部门的，乙方按照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10000～50000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元/次承担违约金。同一项目，半年期内连续被投诉，违约金加倍。</w:t>
      </w:r>
    </w:p>
    <w:p w14:paraId="0F7454D0">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（11）被新闻媒体曝光的，乙方按照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20000～100000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w:t>
      </w:r>
    </w:p>
    <w:p w14:paraId="0F7454D1">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（12）被政府主管部门行政处罚的，乙方除按处罚金额交款外，另外按照罚款金额的</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两倍</w:t>
      </w:r>
      <w:r>
        <w:rPr>
          <w:rFonts w:hint="eastAsia" w:asciiTheme="minorEastAsia" w:hAnsiTheme="minorEastAsia" w:eastAsiaTheme="minorEastAsia"/>
          <w:color w:val="000000" w:themeColor="text1"/>
          <w:sz w:val="21"/>
          <w:szCs w:val="21"/>
          <w:highlight w:val="none"/>
          <w14:textFill>
            <w14:solidFill>
              <w14:schemeClr w14:val="tx1"/>
            </w14:solidFill>
          </w14:textFill>
        </w:rPr>
        <w:t>承担违约金。</w:t>
      </w:r>
    </w:p>
    <w:p w14:paraId="0F7454D2">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（13）被政府主管部门责令停工、限制投标以及降低资质的，乙方按照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100000～500000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w:t>
      </w:r>
    </w:p>
    <w:p w14:paraId="0F7454D3">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（14）被国家、地方政府建设主管部门在执法检查中典型通报，违反国家强制性标准，或质量较差造成恶劣影响的，乙方按照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100000～500000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w:t>
      </w:r>
    </w:p>
    <w:p w14:paraId="0F7454D4">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23.7.2发生质量事故的，乙方按照下述承担违约责任。</w:t>
      </w:r>
    </w:p>
    <w:p w14:paraId="0F7454D5">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（1）特别重大质量事故直接责任人应依法追究其刑事责任及民事责任。乙方按照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500000～1000000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6">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重大质量事故的</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直接责任人应依法追究其刑事责任及民事责任。乙方按照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100000～200000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7">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（3）较大质量事故的直接责任人应依法追究其民事责任，因事故造成人员死亡时应依法追究其刑事责任。乙方按照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50000～200000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8">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（4）一般质量事故的直接责任人违约金额度不应低于事故直接经济损失的5%，亦不应低于100000元。乙方按照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10000～50000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9">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23.7.3乙方必须接受相关部门和甲方组织的工程质量检查，检查中发现的不合格项目必须在规定的整改时间内完成。</w:t>
      </w:r>
    </w:p>
    <w:p w14:paraId="0F7454DA">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23.7.4因乙方原因造成本工程质量达不到合同约定质量标准和创优目标的，甲方可采取不办理结算、不支付工程款，乙方承担合同价款10%的违约金，甲方可选择解除合同，乙方承担因此造成的一切经济损失。</w:t>
      </w:r>
    </w:p>
    <w:p w14:paraId="0F7454DB">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上述罚款行为视为乙方的违约行为，罚款视为乙方应支付的违约金，23.7.1和23.7.2条款所涉及违约事项由同一行为导致的或发生多项违约行为的，</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违约金累加计算</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，甲方可选择在过程结算中扣除，也可在最终结算时扣除。</w:t>
      </w:r>
    </w:p>
    <w:p w14:paraId="0F7454D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23.8工期违约</w:t>
      </w:r>
    </w:p>
    <w:p w14:paraId="0F7454D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23.8.1乙方工期节点延误，每延误一天，乙方支付</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 xml:space="preserve">1000 </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误期违约赔偿金，最高赔偿金不超过合同价款的</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0F7454DE">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23.8.2如因非甲方原因导致本工程不能按合同约定完工交付，每延期一天乙方向甲方支付违约金</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10000</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，延期违约金最高不得超过合同价款的</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20</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，并赔偿因工期延误造成的连带损失。</w:t>
      </w:r>
    </w:p>
    <w:p w14:paraId="0F7454DF">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23.8.3在施工过程中，若乙方擅自停工，视为乙方违约，除承担停工给甲方造成的损失外，另承担</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1000</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元/天</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的违约金，停工超过</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天，甲方可单方解除合同，乙方需向甲方承担本合同签约合同价3%的违约金。</w:t>
      </w:r>
    </w:p>
    <w:p w14:paraId="0F7454E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23.9环保违约</w:t>
      </w:r>
    </w:p>
    <w:p w14:paraId="0F7454E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23.9.1乙方未按要求开展生态环保、节能减排、水土保持等工作，导致施工现场存在大气、水土、固体废弃物等方面的生态环保隐患的，每发生一起支付违约金人民币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5000-20000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2">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23.9.2因乙方管理不当，致使甲方被属地政府单位或其他国家行政单位进行公示或处以罚款的，乙方需承担甲方全部经济损失，且每发生一起支付违约金人民币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50000-100000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3">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23.10用工违约</w:t>
      </w:r>
    </w:p>
    <w:p w14:paraId="0F7454E4">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23.10.1如经查实乙方未依法办理劳动用工、社会保险手续的，按乙方违约处理，每出现一例，乙方需支付违约金人民币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5">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3倍</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支付违约金；如甲方先行垫付，甲方有权从欠付乙方工程款或保证金中直接扣除。</w:t>
      </w:r>
    </w:p>
    <w:p w14:paraId="0F7454E6">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23.10.3特殊工种未持证上岗每查实一人次，乙方应支付违约金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元/人次</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，该人不得从事本工种。</w:t>
      </w:r>
    </w:p>
    <w:p w14:paraId="0F7454E7">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23.10.4项目安全管理人员未持证上岗，乙方应支付违约金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w:t>
      </w:r>
    </w:p>
    <w:p w14:paraId="0F7454E8">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23.11其他违约</w:t>
      </w:r>
    </w:p>
    <w:p w14:paraId="0F7454E9">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23.11.1配备的主要安全管理人员擅离岗位，每次支付违约金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A">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23.11.2未按甲方安全质量通报要求及时上报整改情况，每次支付违约金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20000-50000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人民币。</w:t>
      </w:r>
    </w:p>
    <w:p w14:paraId="0F7454EB">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23.11.3因乙方自身原因而导致甲方经济损失或使得</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建设单位</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0F7454EC">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23.11.4若乙方及乙方的供货商、员工、下游工人、其他相关方因聚众闹事、恶意讨薪等造成被媒体曝光或政府相关部门通报等负面影响，乙方应承担合同额10%的违约金，且甲方可选择解除合同。</w:t>
      </w:r>
    </w:p>
    <w:p w14:paraId="0F7454E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乙方与第三人的债务纠纷、诉讼、仲裁纠纷，导致甲方被追索或成为协助义务人，冻结了甲方的账户或造成甲方其他损失的，乙方应承担因此对甲方造成的所有损失并按签约合同价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%或</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100000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元/次进行赔偿。同时甲方可以解除合同，解除合同通知书达到乙方时，本合同及其补充协议解除。</w:t>
      </w:r>
    </w:p>
    <w:p w14:paraId="0F7454E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23.11.6</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%向甲方支付违约金，逾期支付并应承担违约付款责任，同时债权转让不发生法律效力。</w:t>
      </w:r>
    </w:p>
    <w:p w14:paraId="0F7454E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23.11.7如乙方泄露或者在本合同以外使用该商业秘密、技术秘密等保密信息，应向甲方支付签约合同价</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%的违约金，并赔偿甲方因此遭受的全部损失。</w:t>
      </w:r>
    </w:p>
    <w:p w14:paraId="0F7454F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23.11.8如因乙方原因导致中建集团、中建路桥或其他下属公司、甲方及甲方关联公司或项目部名誉受损的，除应按签约合同价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3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%/次支付违约金外，还应赔偿甲方因此而遭受的全部损失，以及甲方为恢复名誉而支付的差旅费、诉讼费、律师费等，并应在事件发生后</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24小时</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内通过具有全国影响力的主流媒体公开向甲方道歉并澄清相关事实。</w:t>
      </w:r>
    </w:p>
    <w:p w14:paraId="0F7454F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23.11.9如乙方发生以下不良行为：发生法律诉讼、恶意讨薪、恶意拖欠农民工工资、组织人员恶意“上访”、闹访，围堵政府、甲方单位、项目部的；以讨要农民工工资为由，制造事端或者恶意举报、投诉、诋毁甲方的；以拖欠农民工工资为由，讨要工程款或无据抬高结算额等严重违约、严重不服从监督管理的，乙方应承担合同额10%的违约金，且甲方可选择解除合同，解除合同通知书达到乙方时，本合同及其补充协议解除。同时录入甲方不合格劳务分包商名录，禁入甲方所有工程项目。</w:t>
      </w:r>
    </w:p>
    <w:p w14:paraId="0F7454F2">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23.11.10乙方因自身原因在合同约定工作未完成前主动退场或因不能满足合同要求而被勒令退场时，甲方将扣除乙方所完工程金额的</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作为违约金，从结算金额中予以扣除。</w:t>
      </w:r>
    </w:p>
    <w:p w14:paraId="0F7454F3">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55" w:name="_Toc17576446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争议解决</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14:paraId="0F7454F5">
      <w:pPr>
        <w:pStyle w:val="11"/>
        <w:kinsoku w:val="0"/>
        <w:spacing w:after="0" w:line="360" w:lineRule="auto"/>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0F7454F6">
      <w:pPr>
        <w:pStyle w:val="11"/>
        <w:kinsoku w:val="0"/>
        <w:spacing w:after="0" w:line="360" w:lineRule="auto"/>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0F7454F7">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24.2双方和解不成且已超过和解期限的，可向石家庄仲裁委员会申请仲裁，并自行承担本方发生的律师费、差旅费、保函费等相关费用。</w:t>
      </w:r>
    </w:p>
    <w:p w14:paraId="760BACE6">
      <w:pPr>
        <w:keepNext w:val="0"/>
        <w:keepLines w:val="0"/>
        <w:widowControl/>
        <w:suppressLineNumbers w:val="0"/>
        <w:jc w:val="left"/>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 xml:space="preserve">24.3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本合同中涉及合同、文件、律师函（不含诉讼司法文书）的送达地址或邮箱及法律后果作如下约定： </w:t>
      </w:r>
    </w:p>
    <w:p w14:paraId="3EFC85E4">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）甲方确认其有效的送达地址为：</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422F72F7">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联系人及电话：</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32330150">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邮箱：</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@qq.com</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4E117F4C">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）乙方确认其有效的送达地址为： </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6D1D1BB5">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联系人及电话：</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667E9498">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邮箱：</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@qq.com</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568277CD">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如资料邮寄至其他地址，视为未送达。 </w:t>
      </w:r>
    </w:p>
    <w:p w14:paraId="444C61FA">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乙方因提供的送达地址或邮箱不准确、变更后未及时书面告知甲方、其指定的接收人拒绝签收等原因，导 </w:t>
      </w:r>
    </w:p>
    <w:p w14:paraId="6C786613">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致法律文书未能被其实际接收的，视为对乙方送达成功：邮寄送达的，以文件退回之日视为送达之日；直 </w:t>
      </w:r>
    </w:p>
    <w:p w14:paraId="7CFBFE1B">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接送达的，送达人当场在送达回证上记明情况之日视为送达之日。</w:t>
      </w:r>
    </w:p>
    <w:p w14:paraId="2D98470B">
      <w:pPr>
        <w:rPr>
          <w:color w:val="000000" w:themeColor="text1"/>
          <w:highlight w:val="none"/>
          <w14:textFill>
            <w14:solidFill>
              <w14:schemeClr w14:val="tx1"/>
            </w14:solidFill>
          </w14:textFill>
        </w:rPr>
      </w:pPr>
    </w:p>
    <w:p w14:paraId="0F7454F8">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56" w:name="_Toc175764469"/>
      <w:bookmarkStart w:id="1457" w:name="_Toc31281"/>
      <w:bookmarkStart w:id="1458" w:name="_Toc24283"/>
      <w:bookmarkStart w:id="1459" w:name="_Toc16065"/>
      <w:bookmarkStart w:id="1460" w:name="_Toc7440"/>
      <w:bookmarkStart w:id="1461" w:name="_Toc5739"/>
      <w:bookmarkStart w:id="1462" w:name="_Toc26863"/>
      <w:bookmarkStart w:id="1463" w:name="_Toc1486"/>
      <w:bookmarkStart w:id="1464" w:name="_Toc26894"/>
      <w:bookmarkStart w:id="1465" w:name="_Toc18492"/>
      <w:bookmarkStart w:id="1466" w:name="_Toc101963534"/>
      <w:bookmarkStart w:id="1467" w:name="_Toc22869"/>
      <w:bookmarkStart w:id="1468" w:name="_Toc17384"/>
      <w:bookmarkStart w:id="1469" w:name="_Toc25119"/>
      <w:bookmarkStart w:id="1470" w:name="_Toc11232"/>
      <w:bookmarkStart w:id="1471" w:name="_Toc27023"/>
      <w:bookmarkStart w:id="1472" w:name="_Toc29653"/>
      <w:bookmarkStart w:id="1473" w:name="_Toc4879"/>
      <w:bookmarkStart w:id="1474" w:name="_Toc10401"/>
      <w:bookmarkStart w:id="1475" w:name="_Toc23370"/>
      <w:bookmarkStart w:id="1476" w:name="_Toc10135748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合同终止</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14:paraId="0F7454FA">
      <w:pPr>
        <w:pStyle w:val="11"/>
        <w:kinsoku w:val="0"/>
        <w:spacing w:after="0" w:line="360" w:lineRule="auto"/>
        <w:ind w:firstLine="420" w:firstLineChars="200"/>
        <w:jc w:val="both"/>
        <w:rPr>
          <w:color w:val="000000" w:themeColor="text1"/>
          <w:kern w:val="10"/>
          <w:highlight w:val="none"/>
          <w14:textFill>
            <w14:solidFill>
              <w14:schemeClr w14:val="tx1"/>
            </w14:solidFill>
          </w14:textFill>
        </w:rPr>
      </w:pPr>
      <w:r>
        <w:rPr>
          <w:rFonts w:hint="eastAsia"/>
          <w:color w:val="000000" w:themeColor="text1"/>
          <w:highlight w:val="none"/>
          <w14:textFill>
            <w14:solidFill>
              <w14:schemeClr w14:val="tx1"/>
            </w14:solidFill>
          </w14:textFill>
        </w:rPr>
        <w:t>25.7如因本合同约定的合同解除情形发生，甲方和乙方应具有以下权利和责任：</w:t>
      </w:r>
    </w:p>
    <w:p w14:paraId="0F7454FB">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（1）甲方可雇佣其他单位进行并完成分包工程。</w:t>
      </w:r>
    </w:p>
    <w:p w14:paraId="0F7454F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（2）分包合同解除后</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天内，经甲方同意，乙方可将用于本分包工程的任何材料、设备和其它物品的采购供货协议和租赁协议等转让给甲方或乙方的继任者。</w:t>
      </w:r>
    </w:p>
    <w:p w14:paraId="0F7454F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（3）乙方应妥善做好已完工程和已购材料、设备、建筑施工图纸和全部相关资料的保护和移交工作。</w:t>
      </w:r>
    </w:p>
    <w:p w14:paraId="0F7454FE">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0F7454FF">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（5）分包合同解除后</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日内，乙方自身的劳务人员或其劳务分包的全体人员应退场，未撤场人员发生的费用均由乙方承担。</w:t>
      </w:r>
    </w:p>
    <w:p w14:paraId="0F74550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（6）乙方应补偿甲方因分包合同解除给甲方带来的任何损失和损害。</w:t>
      </w:r>
    </w:p>
    <w:p w14:paraId="0F74550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（7）分包合同解除后</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0F745502">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77" w:name="_Toc4980"/>
      <w:bookmarkStart w:id="1478" w:name="_Toc6031"/>
      <w:bookmarkStart w:id="1479" w:name="_Toc28952"/>
      <w:bookmarkStart w:id="1480" w:name="_Toc16676"/>
      <w:bookmarkStart w:id="1481" w:name="_Toc31549"/>
      <w:bookmarkStart w:id="1482" w:name="_Toc6396"/>
      <w:bookmarkStart w:id="1483" w:name="_Toc8410"/>
      <w:bookmarkStart w:id="1484" w:name="_Toc26100"/>
      <w:bookmarkStart w:id="1485" w:name="_Toc101357484"/>
      <w:bookmarkStart w:id="1486" w:name="_Toc31576"/>
      <w:bookmarkStart w:id="1487" w:name="_Toc20289"/>
      <w:bookmarkStart w:id="1488" w:name="_Toc16417"/>
      <w:bookmarkStart w:id="1489" w:name="_Toc27942"/>
      <w:bookmarkStart w:id="1490" w:name="_Toc2158"/>
      <w:bookmarkStart w:id="1491" w:name="_Toc10738"/>
      <w:bookmarkStart w:id="1492" w:name="_Toc6048"/>
      <w:bookmarkStart w:id="1493" w:name="_Toc24167"/>
      <w:bookmarkStart w:id="1494" w:name="_Toc101963535"/>
      <w:bookmarkStart w:id="1495" w:name="_Toc175764470"/>
      <w:bookmarkStart w:id="1496" w:name="_Toc21424"/>
      <w:bookmarkStart w:id="1497" w:name="_Toc2489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合同附件</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0F745503">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498" w:name="_Toc175764471"/>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附件1.工程量清单</w:t>
      </w:r>
      <w:bookmarkEnd w:id="1498"/>
    </w:p>
    <w:p w14:paraId="0F745504">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499" w:name="_Toc175764472"/>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附件2.甲供材料、机械设备明细表</w:t>
      </w:r>
      <w:bookmarkEnd w:id="1499"/>
    </w:p>
    <w:p w14:paraId="0F745505">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0" w:name="_Toc17576447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附件3.拟投入本合同工程主要人员汇总表</w:t>
      </w:r>
      <w:bookmarkEnd w:id="1500"/>
    </w:p>
    <w:p w14:paraId="0F745506">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1" w:name="_Toc175764474"/>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附件4.拟进场机械设备一览表</w:t>
      </w:r>
      <w:bookmarkEnd w:id="1501"/>
    </w:p>
    <w:p w14:paraId="0F745507">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2" w:name="_Toc17576447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附件5.安全管理协议书</w:t>
      </w:r>
      <w:bookmarkEnd w:id="1502"/>
    </w:p>
    <w:p w14:paraId="0F745508">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3" w:name="_Toc175764476"/>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附件6.廉政合同</w:t>
      </w:r>
      <w:bookmarkEnd w:id="1503"/>
    </w:p>
    <w:p w14:paraId="0F745509">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4" w:name="_Toc17576447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附件7.履约授权管理协议</w:t>
      </w:r>
      <w:bookmarkEnd w:id="1504"/>
    </w:p>
    <w:p w14:paraId="0F74550A">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5" w:name="_Toc17576447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附件8.工程项目施工质量管理协议书</w:t>
      </w:r>
      <w:bookmarkEnd w:id="1505"/>
    </w:p>
    <w:p w14:paraId="0F74550B">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6" w:name="_Toc175764479"/>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附件9.质量保修书</w:t>
      </w:r>
      <w:bookmarkEnd w:id="1506"/>
    </w:p>
    <w:p w14:paraId="0F74550C">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7" w:name="_Toc175764480"/>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附件10.农民工工资管理协议</w:t>
      </w:r>
      <w:bookmarkEnd w:id="1507"/>
    </w:p>
    <w:p w14:paraId="0F74550D">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8" w:name="_Toc175764481"/>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附件11.项目部合规权限告知书</w:t>
      </w:r>
      <w:bookmarkEnd w:id="1508"/>
    </w:p>
    <w:p w14:paraId="0F74550E">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9" w:name="_Toc175764482"/>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附件12.授权委托书（分包方）</w:t>
      </w:r>
      <w:bookmarkEnd w:id="1509"/>
    </w:p>
    <w:p w14:paraId="0F74550F">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0" w:name="_Toc17576448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附件13.农民工工资代发授权委托书</w:t>
      </w:r>
      <w:bookmarkEnd w:id="1510"/>
    </w:p>
    <w:p w14:paraId="0F745510">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1" w:name="_Toc175764484"/>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附件14.农民工当期工资支付完毕声明书</w:t>
      </w:r>
      <w:bookmarkEnd w:id="1511"/>
    </w:p>
    <w:p w14:paraId="0F745511">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2" w:name="_Toc17576448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附件15.违约金扣款通知单</w:t>
      </w:r>
      <w:bookmarkEnd w:id="1512"/>
    </w:p>
    <w:p w14:paraId="270505B1">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3" w:name="_Toc175764486"/>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附件16.签证工作内容记录单</w:t>
      </w:r>
      <w:bookmarkEnd w:id="1513"/>
    </w:p>
    <w:p w14:paraId="3E046D6B">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instrText xml:space="preserve"> HYPERLINK \l "_Toc175764486" </w:instrTex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.临时用电安全管理协议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end"/>
      </w:r>
    </w:p>
    <w:p w14:paraId="3D89392D">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instrText xml:space="preserve"> HYPERLINK \l "_Toc175764486" </w:instrTex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.消防安全管理协议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end"/>
      </w:r>
    </w:p>
    <w:p w14:paraId="329DB456">
      <w:pPr>
        <w:spacing w:line="360" w:lineRule="auto"/>
        <w:ind w:firstLine="420" w:firstLineChars="200"/>
        <w:jc w:val="left"/>
        <w:rPr>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instrText xml:space="preserve"> HYPERLINK \l "_Toc175764486" </w:instrTex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.保密义务告知</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end"/>
      </w:r>
    </w:p>
    <w:p w14:paraId="730BF077">
      <w:pPr>
        <w:spacing w:line="360" w:lineRule="auto"/>
        <w:ind w:firstLine="562" w:firstLineChars="200"/>
        <w:jc w:val="center"/>
        <w:rPr>
          <w:b/>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14:paraId="3033C78C">
      <w:pPr>
        <w:pStyle w:val="2"/>
        <w:rPr>
          <w:color w:val="000000" w:themeColor="text1"/>
          <w:highlight w:val="none"/>
          <w14:textFill>
            <w14:solidFill>
              <w14:schemeClr w14:val="tx1"/>
            </w14:solidFill>
          </w14:textFill>
        </w:rPr>
      </w:pPr>
      <w:bookmarkStart w:id="1514" w:name="_Toc144872174"/>
      <w:bookmarkStart w:id="1515" w:name="_Toc54280338"/>
      <w:bookmarkStart w:id="1516" w:name="_Toc54281190"/>
      <w:bookmarkStart w:id="1517" w:name="_Toc53949154"/>
      <w:bookmarkStart w:id="1518" w:name="_Toc54278955"/>
      <w:bookmarkStart w:id="1519" w:name="_Toc53946178"/>
      <w:bookmarkStart w:id="1520" w:name="_Toc145426866"/>
      <w:bookmarkStart w:id="1521" w:name="_Toc54280764"/>
      <w:bookmarkStart w:id="1522" w:name="_Toc53948733"/>
      <w:bookmarkStart w:id="1523" w:name="_Toc284135616"/>
      <w:bookmarkStart w:id="1524" w:name="_Toc54291520"/>
      <w:bookmarkStart w:id="1525" w:name="_Toc53949575"/>
      <w:bookmarkStart w:id="1526" w:name="_Toc54281616"/>
      <w:bookmarkStart w:id="1527" w:name="_Toc145499828"/>
      <w:bookmarkStart w:id="1528" w:name="_Toc18209292"/>
      <w:bookmarkStart w:id="1529" w:name="_Toc16353853"/>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四</w:t>
      </w:r>
      <w:r>
        <w:rPr>
          <w:color w:val="000000" w:themeColor="text1"/>
          <w:highlight w:val="none"/>
          <w14:textFill>
            <w14:solidFill>
              <w14:schemeClr w14:val="tx1"/>
            </w14:solidFill>
          </w14:textFill>
        </w:rPr>
        <w:t>篇  图纸</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3A162A1F">
      <w:pPr>
        <w:jc w:val="center"/>
        <w:rPr>
          <w:color w:val="000000" w:themeColor="text1"/>
          <w:highlight w:val="none"/>
          <w14:textFill>
            <w14:solidFill>
              <w14:schemeClr w14:val="tx1"/>
            </w14:solidFill>
          </w14:textFill>
        </w:rPr>
      </w:pPr>
    </w:p>
    <w:p w14:paraId="7F5ACA50">
      <w:pPr>
        <w:jc w:val="center"/>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图纸目录</w:t>
      </w:r>
    </w:p>
    <w:p w14:paraId="59106435">
      <w:pPr>
        <w:rPr>
          <w:color w:val="000000" w:themeColor="text1"/>
          <w:highlight w:val="none"/>
          <w14:textFill>
            <w14:solidFill>
              <w14:schemeClr w14:val="tx1"/>
            </w14:solidFill>
          </w14:textFill>
        </w:rPr>
      </w:pPr>
    </w:p>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6510" w:type="dxa"/>
            <w:vAlign w:val="center"/>
          </w:tcPr>
          <w:p w14:paraId="2FEAB9E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图纸名称</w:t>
            </w:r>
          </w:p>
        </w:tc>
        <w:tc>
          <w:tcPr>
            <w:tcW w:w="1365" w:type="dxa"/>
            <w:vAlign w:val="center"/>
          </w:tcPr>
          <w:p w14:paraId="5AEB4F33">
            <w:pPr>
              <w:jc w:val="center"/>
              <w:rPr>
                <w:color w:val="000000" w:themeColor="text1"/>
                <w:szCs w:val="21"/>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5DE762FC">
            <w:pPr>
              <w:jc w:val="left"/>
              <w:rPr>
                <w:color w:val="000000" w:themeColor="text1"/>
                <w:szCs w:val="21"/>
                <w:highlight w:val="none"/>
                <w14:textFill>
                  <w14:solidFill>
                    <w14:schemeClr w14:val="tx1"/>
                  </w14:solidFill>
                </w14:textFill>
              </w:rPr>
            </w:pPr>
          </w:p>
        </w:tc>
        <w:tc>
          <w:tcPr>
            <w:tcW w:w="1365" w:type="dxa"/>
            <w:vAlign w:val="center"/>
          </w:tcPr>
          <w:p w14:paraId="10CD4F11">
            <w:pPr>
              <w:jc w:val="center"/>
              <w:rPr>
                <w:color w:val="000000" w:themeColor="text1"/>
                <w:szCs w:val="21"/>
                <w:highlight w:val="none"/>
                <w14:textFill>
                  <w14:solidFill>
                    <w14:schemeClr w14:val="tx1"/>
                  </w14:solidFill>
                </w14:textFill>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5A40A89B">
            <w:pPr>
              <w:jc w:val="left"/>
              <w:rPr>
                <w:color w:val="000000" w:themeColor="text1"/>
                <w:szCs w:val="21"/>
                <w:highlight w:val="none"/>
                <w14:textFill>
                  <w14:solidFill>
                    <w14:schemeClr w14:val="tx1"/>
                  </w14:solidFill>
                </w14:textFill>
              </w:rPr>
            </w:pPr>
          </w:p>
        </w:tc>
        <w:tc>
          <w:tcPr>
            <w:tcW w:w="1365" w:type="dxa"/>
            <w:vAlign w:val="center"/>
          </w:tcPr>
          <w:p w14:paraId="7D91341F">
            <w:pPr>
              <w:jc w:val="center"/>
              <w:rPr>
                <w:color w:val="000000" w:themeColor="text1"/>
                <w:szCs w:val="21"/>
                <w:highlight w:val="none"/>
                <w14:textFill>
                  <w14:solidFill>
                    <w14:schemeClr w14:val="tx1"/>
                  </w14:solidFill>
                </w14:textFill>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42BC78F8">
            <w:pPr>
              <w:jc w:val="left"/>
              <w:rPr>
                <w:color w:val="000000" w:themeColor="text1"/>
                <w:szCs w:val="21"/>
                <w:highlight w:val="none"/>
                <w14:textFill>
                  <w14:solidFill>
                    <w14:schemeClr w14:val="tx1"/>
                  </w14:solidFill>
                </w14:textFill>
              </w:rPr>
            </w:pPr>
          </w:p>
        </w:tc>
        <w:tc>
          <w:tcPr>
            <w:tcW w:w="1365" w:type="dxa"/>
            <w:vAlign w:val="center"/>
          </w:tcPr>
          <w:p w14:paraId="53799D95">
            <w:pPr>
              <w:jc w:val="center"/>
              <w:rPr>
                <w:color w:val="000000" w:themeColor="text1"/>
                <w:szCs w:val="21"/>
                <w:highlight w:val="none"/>
                <w14:textFill>
                  <w14:solidFill>
                    <w14:schemeClr w14:val="tx1"/>
                  </w14:solidFill>
                </w14:textFill>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7BEBE3CD">
            <w:pPr>
              <w:jc w:val="left"/>
              <w:rPr>
                <w:color w:val="000000" w:themeColor="text1"/>
                <w:szCs w:val="21"/>
                <w:highlight w:val="none"/>
                <w14:textFill>
                  <w14:solidFill>
                    <w14:schemeClr w14:val="tx1"/>
                  </w14:solidFill>
                </w14:textFill>
              </w:rPr>
            </w:pPr>
          </w:p>
        </w:tc>
        <w:tc>
          <w:tcPr>
            <w:tcW w:w="1365" w:type="dxa"/>
            <w:vAlign w:val="center"/>
          </w:tcPr>
          <w:p w14:paraId="238F27CF">
            <w:pPr>
              <w:jc w:val="center"/>
              <w:rPr>
                <w:color w:val="000000" w:themeColor="text1"/>
                <w:szCs w:val="21"/>
                <w:highlight w:val="none"/>
                <w14:textFill>
                  <w14:solidFill>
                    <w14:schemeClr w14:val="tx1"/>
                  </w14:solidFill>
                </w14:textFill>
              </w:rPr>
            </w:pPr>
          </w:p>
        </w:tc>
      </w:tr>
    </w:tbl>
    <w:p w14:paraId="2FAB05EE">
      <w:pPr>
        <w:spacing w:line="360" w:lineRule="auto"/>
        <w:rPr>
          <w:rFonts w:hint="eastAsia" w:ascii="宋体" w:hAnsi="宋体" w:cs="宋体"/>
          <w:b/>
          <w:bCs/>
          <w:color w:val="000000" w:themeColor="text1"/>
          <w:kern w:val="0"/>
          <w:sz w:val="22"/>
          <w:szCs w:val="22"/>
          <w:highlight w:val="none"/>
          <w14:textFill>
            <w14:solidFill>
              <w14:schemeClr w14:val="tx1"/>
            </w14:solidFill>
          </w14:textFill>
        </w:rPr>
      </w:pPr>
    </w:p>
    <w:p w14:paraId="4F0F4078">
      <w:pPr>
        <w:spacing w:line="360" w:lineRule="auto"/>
        <w:rPr>
          <w:color w:val="000000" w:themeColor="text1"/>
          <w:highlight w:val="none"/>
          <w14:textFill>
            <w14:solidFill>
              <w14:schemeClr w14:val="tx1"/>
            </w14:solidFill>
          </w14:textFill>
        </w:rPr>
      </w:pPr>
    </w:p>
    <w:p w14:paraId="109EB26A">
      <w:pPr>
        <w:spacing w:line="360" w:lineRule="auto"/>
        <w:rPr>
          <w:color w:val="000000" w:themeColor="text1"/>
          <w:highlight w:val="none"/>
          <w14:textFill>
            <w14:solidFill>
              <w14:schemeClr w14:val="tx1"/>
            </w14:solidFill>
          </w14:textFill>
        </w:rPr>
        <w:sectPr>
          <w:headerReference r:id="rId9" w:type="default"/>
          <w:pgSz w:w="11907" w:h="16840"/>
          <w:pgMar w:top="1417" w:right="1701" w:bottom="1417" w:left="1701" w:header="850" w:footer="1134" w:gutter="0"/>
          <w:pgNumType w:fmt="decimal"/>
          <w:cols w:space="0" w:num="1"/>
          <w:rtlGutter w:val="0"/>
          <w:docGrid w:linePitch="312" w:charSpace="0"/>
        </w:sectPr>
      </w:pPr>
    </w:p>
    <w:p w14:paraId="1FD461BB">
      <w:pPr>
        <w:pStyle w:val="2"/>
        <w:rPr>
          <w:color w:val="000000" w:themeColor="text1"/>
          <w:highlight w:val="none"/>
          <w14:textFill>
            <w14:solidFill>
              <w14:schemeClr w14:val="tx1"/>
            </w14:solidFill>
          </w14:textFill>
        </w:rPr>
      </w:pPr>
      <w:bookmarkStart w:id="1530" w:name="_Toc284135617"/>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五</w:t>
      </w:r>
      <w:r>
        <w:rPr>
          <w:color w:val="000000" w:themeColor="text1"/>
          <w:highlight w:val="none"/>
          <w14:textFill>
            <w14:solidFill>
              <w14:schemeClr w14:val="tx1"/>
            </w14:solidFill>
          </w14:textFill>
        </w:rPr>
        <w:t>篇  工程量清单</w:t>
      </w:r>
      <w:bookmarkEnd w:id="1530"/>
    </w:p>
    <w:p w14:paraId="31B5F5BC">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bookmarkStart w:id="1531" w:name="_Toc54280323"/>
      <w:bookmarkStart w:id="1532" w:name="_Toc20578214"/>
      <w:bookmarkStart w:id="1533" w:name="_Toc54281601"/>
      <w:bookmarkStart w:id="1534" w:name="_Toc53949560"/>
      <w:bookmarkStart w:id="1535" w:name="_Toc284135618"/>
      <w:bookmarkStart w:id="1536" w:name="_Toc53949139"/>
      <w:bookmarkStart w:id="1537" w:name="_Toc53946163"/>
      <w:bookmarkStart w:id="1538" w:name="_Toc54278940"/>
      <w:bookmarkStart w:id="1539" w:name="_Toc54291505"/>
      <w:bookmarkStart w:id="1540" w:name="_Toc53948718"/>
      <w:bookmarkStart w:id="1541" w:name="_Toc54280749"/>
      <w:bookmarkStart w:id="1542" w:name="_Toc54281175"/>
      <w:bookmarkStart w:id="1543" w:name="_Toc144872159"/>
      <w:bookmarkStart w:id="1544" w:name="_Toc145499813"/>
      <w:r>
        <w:rPr>
          <w:rStyle w:val="46"/>
          <w:rFonts w:ascii="Times New Roman" w:hAnsi="Times New Roman" w:eastAsia="宋体"/>
          <w:b/>
          <w:bCs w:val="0"/>
          <w:color w:val="000000" w:themeColor="text1"/>
          <w:sz w:val="32"/>
          <w:highlight w:val="none"/>
          <w14:textFill>
            <w14:solidFill>
              <w14:schemeClr w14:val="tx1"/>
            </w14:solidFill>
          </w14:textFill>
        </w:rPr>
        <w:t>第一章  工程量清单一般要求</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14:paraId="2CA10CFB">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545" w:name="_Toc53949561"/>
      <w:bookmarkStart w:id="1546" w:name="_Toc53949140"/>
      <w:bookmarkStart w:id="1547" w:name="_Toc144872160"/>
      <w:bookmarkStart w:id="1548" w:name="_Toc53916580"/>
      <w:bookmarkStart w:id="1549" w:name="_Toc53939961"/>
      <w:bookmarkStart w:id="1550" w:name="_Toc53919178"/>
      <w:bookmarkStart w:id="1551" w:name="_Toc54281176"/>
      <w:bookmarkStart w:id="1552" w:name="_Toc54280750"/>
      <w:bookmarkStart w:id="1553" w:name="_Toc54280324"/>
      <w:bookmarkStart w:id="1554" w:name="_Toc54281602"/>
      <w:bookmarkStart w:id="1555" w:name="_Toc53948719"/>
      <w:bookmarkStart w:id="1556" w:name="_Toc54278941"/>
      <w:bookmarkStart w:id="1557" w:name="_Toc20578215"/>
      <w:bookmarkStart w:id="1558" w:name="_Toc54291506"/>
      <w:bookmarkStart w:id="1559" w:name="_Toc53936890"/>
      <w:bookmarkStart w:id="1560" w:name="_Toc53946164"/>
      <w:bookmarkStart w:id="1561" w:name="_Toc145499814"/>
      <w:r>
        <w:rPr>
          <w:rStyle w:val="46"/>
          <w:rFonts w:ascii="Times New Roman" w:hAnsi="Times New Roman" w:eastAsia="宋体" w:cs="Times New Roman"/>
          <w:b/>
          <w:bCs w:val="0"/>
          <w:color w:val="000000" w:themeColor="text1"/>
          <w:szCs w:val="24"/>
          <w:highlight w:val="none"/>
          <w14:textFill>
            <w14:solidFill>
              <w14:schemeClr w14:val="tx1"/>
            </w14:solidFill>
          </w14:textFill>
        </w:rPr>
        <w:t>1.设置范围</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14:paraId="397BD14D">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1.1工程量清单</w:t>
      </w:r>
      <w:r>
        <w:rPr>
          <w:rFonts w:hint="eastAsia"/>
          <w:color w:val="000000" w:themeColor="text1"/>
          <w:szCs w:val="21"/>
          <w:highlight w:val="none"/>
          <w14:textFill>
            <w14:solidFill>
              <w14:schemeClr w14:val="tx1"/>
            </w14:solidFill>
          </w14:textFill>
        </w:rPr>
        <w:t>依据现行国家、行业规范标准，按照图纸和工程情况进行编制</w:t>
      </w:r>
      <w:r>
        <w:rPr>
          <w:color w:val="000000" w:themeColor="text1"/>
          <w:szCs w:val="21"/>
          <w:highlight w:val="none"/>
          <w14:textFill>
            <w14:solidFill>
              <w14:schemeClr w14:val="tx1"/>
            </w14:solidFill>
          </w14:textFill>
        </w:rPr>
        <w:t>。</w:t>
      </w:r>
    </w:p>
    <w:p w14:paraId="5E1941D3">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本合同分部分项工程量清单各细目所报单价除非合同另有规定，均应包括了为实施和完成合同工程所需的</w:t>
      </w:r>
      <w:r>
        <w:rPr>
          <w:rFonts w:hint="eastAsia"/>
          <w:color w:val="000000" w:themeColor="text1"/>
          <w:szCs w:val="21"/>
          <w:highlight w:val="none"/>
          <w14:textFill>
            <w14:solidFill>
              <w14:schemeClr w14:val="tx1"/>
            </w14:solidFill>
          </w14:textFill>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1.3</w:t>
      </w:r>
      <w:r>
        <w:rPr>
          <w:color w:val="000000" w:themeColor="text1"/>
          <w:szCs w:val="21"/>
          <w:highlight w:val="none"/>
          <w14:textFill>
            <w14:solidFill>
              <w14:schemeClr w14:val="tx1"/>
            </w14:solidFill>
          </w14:textFill>
        </w:rPr>
        <w:t>安全防护、文明施工措施费</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包括环境保护、文明施工、安全施工、临时设施</w:t>
      </w:r>
      <w:r>
        <w:rPr>
          <w:rFonts w:hint="eastAsia"/>
          <w:color w:val="000000" w:themeColor="text1"/>
          <w:szCs w:val="21"/>
          <w:highlight w:val="none"/>
          <w14:textFill>
            <w14:solidFill>
              <w14:schemeClr w14:val="tx1"/>
            </w14:solidFill>
          </w14:textFill>
        </w:rPr>
        <w:t>和施工围挡共五项</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）是乙方根据施工情况投入到本工程的安全生产、环保及文明施工费用，以完成工作量的</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1.5</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562" w:name="_Toc53949142"/>
      <w:bookmarkStart w:id="1563" w:name="_Toc54281604"/>
      <w:bookmarkStart w:id="1564" w:name="_Toc54281178"/>
      <w:bookmarkStart w:id="1565" w:name="_Toc53946166"/>
      <w:bookmarkStart w:id="1566" w:name="_Toc54280752"/>
      <w:bookmarkStart w:id="1567" w:name="_Toc53919180"/>
      <w:bookmarkStart w:id="1568" w:name="_Toc53916582"/>
      <w:bookmarkStart w:id="1569" w:name="_Toc54280326"/>
      <w:bookmarkStart w:id="1570" w:name="_Toc144872162"/>
      <w:bookmarkStart w:id="1571" w:name="_Toc53936892"/>
      <w:bookmarkStart w:id="1572" w:name="_Toc53949563"/>
      <w:bookmarkStart w:id="1573" w:name="_Toc20578217"/>
      <w:bookmarkStart w:id="1574" w:name="_Toc53939963"/>
      <w:bookmarkStart w:id="1575" w:name="_Toc145499816"/>
      <w:bookmarkStart w:id="1576" w:name="_Toc53948721"/>
      <w:bookmarkStart w:id="1577" w:name="_Toc54278943"/>
      <w:bookmarkStart w:id="1578" w:name="_Toc54291508"/>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2</w:t>
      </w:r>
      <w:r>
        <w:rPr>
          <w:rStyle w:val="46"/>
          <w:rFonts w:ascii="Times New Roman" w:hAnsi="Times New Roman" w:eastAsia="宋体" w:cs="Times New Roman"/>
          <w:b/>
          <w:bCs w:val="0"/>
          <w:color w:val="000000" w:themeColor="text1"/>
          <w:szCs w:val="24"/>
          <w:highlight w:val="none"/>
          <w14:textFill>
            <w14:solidFill>
              <w14:schemeClr w14:val="tx1"/>
            </w14:solidFill>
          </w14:textFill>
        </w:rPr>
        <w:t>.工程量的确定</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3B9FA71C">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2.1工程量清单中所列工程数量</w:t>
      </w:r>
      <w:r>
        <w:rPr>
          <w:rFonts w:hint="eastAsia"/>
          <w:color w:val="000000" w:themeColor="text1"/>
          <w:szCs w:val="21"/>
          <w:highlight w:val="none"/>
          <w14:textFill>
            <w14:solidFill>
              <w14:schemeClr w14:val="tx1"/>
            </w14:solidFill>
          </w14:textFill>
        </w:rPr>
        <w:t>为暂估量</w:t>
      </w:r>
      <w:r>
        <w:rPr>
          <w:color w:val="000000" w:themeColor="text1"/>
          <w:szCs w:val="21"/>
          <w:highlight w:val="none"/>
          <w14:textFill>
            <w14:solidFill>
              <w14:schemeClr w14:val="tx1"/>
            </w14:solidFill>
          </w14:textFill>
        </w:rPr>
        <w:t>，仅作为</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的共同基础，不作为最终结算与支付的依据。</w:t>
      </w:r>
    </w:p>
    <w:p w14:paraId="76DAB6B5">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.2实际支付应</w:t>
      </w:r>
      <w:r>
        <w:rPr>
          <w:rFonts w:hint="eastAsia"/>
          <w:color w:val="000000" w:themeColor="text1"/>
          <w:szCs w:val="21"/>
          <w:highlight w:val="none"/>
          <w14:textFill>
            <w14:solidFill>
              <w14:schemeClr w14:val="tx1"/>
            </w14:solidFill>
          </w14:textFill>
        </w:rPr>
        <w:t>以</w:t>
      </w:r>
      <w:r>
        <w:rPr>
          <w:color w:val="000000" w:themeColor="text1"/>
          <w:szCs w:val="21"/>
          <w:highlight w:val="none"/>
          <w14:textFill>
            <w14:solidFill>
              <w14:schemeClr w14:val="tx1"/>
            </w14:solidFill>
          </w14:textFill>
        </w:rPr>
        <w:t>承包人实际完成的工程量，按合同约定的计量方法和计量规则，经</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人认可或同意为准。</w:t>
      </w:r>
    </w:p>
    <w:p w14:paraId="3FA04048">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579" w:name="_Toc53949564"/>
      <w:bookmarkStart w:id="1580" w:name="_Toc54281605"/>
      <w:bookmarkStart w:id="1581" w:name="_Toc144872163"/>
      <w:bookmarkStart w:id="1582" w:name="_Toc145499817"/>
      <w:bookmarkStart w:id="1583" w:name="_Toc53939964"/>
      <w:bookmarkStart w:id="1584" w:name="_Toc54291509"/>
      <w:bookmarkStart w:id="1585" w:name="_Toc54280327"/>
      <w:bookmarkStart w:id="1586" w:name="_Toc53946167"/>
      <w:bookmarkStart w:id="1587" w:name="_Toc53948722"/>
      <w:bookmarkStart w:id="1588" w:name="_Toc53919181"/>
      <w:bookmarkStart w:id="1589" w:name="_Toc53936893"/>
      <w:bookmarkStart w:id="1590" w:name="_Toc53949143"/>
      <w:bookmarkStart w:id="1591" w:name="_Toc53916583"/>
      <w:bookmarkStart w:id="1592" w:name="_Toc20578218"/>
      <w:bookmarkStart w:id="1593" w:name="_Toc54281179"/>
      <w:bookmarkStart w:id="1594" w:name="_Toc54280753"/>
      <w:bookmarkStart w:id="1595" w:name="_Toc54278944"/>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3</w:t>
      </w:r>
      <w:r>
        <w:rPr>
          <w:rStyle w:val="46"/>
          <w:rFonts w:ascii="Times New Roman" w:hAnsi="Times New Roman" w:eastAsia="宋体" w:cs="Times New Roman"/>
          <w:b/>
          <w:bCs w:val="0"/>
          <w:color w:val="000000" w:themeColor="text1"/>
          <w:szCs w:val="24"/>
          <w:highlight w:val="none"/>
          <w14:textFill>
            <w14:solidFill>
              <w14:schemeClr w14:val="tx1"/>
            </w14:solidFill>
          </w14:textFill>
        </w:rPr>
        <w:t>.计量规则</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14:paraId="01CECDD2">
      <w:pPr>
        <w:spacing w:line="360" w:lineRule="auto"/>
        <w:ind w:left="735" w:leftChars="200" w:hanging="315" w:hangingChars="150"/>
        <w:rPr>
          <w:color w:val="000000" w:themeColor="text1"/>
          <w:szCs w:val="21"/>
          <w:highlight w:val="none"/>
          <w14:textFill>
            <w14:solidFill>
              <w14:schemeClr w14:val="tx1"/>
            </w14:solidFill>
          </w14:textFill>
        </w:rPr>
      </w:pPr>
      <w:bookmarkStart w:id="1596" w:name="_Toc38359629"/>
      <w:bookmarkStart w:id="1597" w:name="_Toc41820523"/>
      <w:bookmarkStart w:id="1598" w:name="_Toc53919182"/>
      <w:bookmarkStart w:id="1599" w:name="_Toc53939965"/>
      <w:bookmarkStart w:id="1600" w:name="_Toc53936894"/>
      <w:bookmarkStart w:id="1601" w:name="_Toc53916584"/>
      <w:bookmarkStart w:id="1602" w:name="_Toc20578219"/>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.1计量工作应按合同条款约定的程序进行，所计量的分部分项工程质量必须达到合同约定及国家现行规范要求。</w:t>
      </w:r>
    </w:p>
    <w:p w14:paraId="75BAA596">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.2各工程项目中已包括的所有材料</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包括钢筋搭接</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及工作损耗均不单独计量</w:t>
      </w:r>
      <w:r>
        <w:rPr>
          <w:rFonts w:hint="eastAsia"/>
          <w:color w:val="000000" w:themeColor="text1"/>
          <w:szCs w:val="21"/>
          <w:highlight w:val="none"/>
          <w14:textFill>
            <w14:solidFill>
              <w14:schemeClr w14:val="tx1"/>
            </w14:solidFill>
          </w14:textFill>
        </w:rPr>
        <w:t>，应综合考虑在报价的单价中</w:t>
      </w:r>
      <w:r>
        <w:rPr>
          <w:color w:val="000000" w:themeColor="text1"/>
          <w:szCs w:val="21"/>
          <w:highlight w:val="none"/>
          <w14:textFill>
            <w14:solidFill>
              <w14:schemeClr w14:val="tx1"/>
            </w14:solidFill>
          </w14:textFill>
        </w:rPr>
        <w:t>。</w:t>
      </w:r>
    </w:p>
    <w:bookmarkEnd w:id="1596"/>
    <w:bookmarkEnd w:id="1597"/>
    <w:p w14:paraId="146F637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603" w:name="_Toc145499818"/>
      <w:bookmarkStart w:id="1604" w:name="_Toc144872164"/>
      <w:bookmarkStart w:id="1605" w:name="_Toc54281606"/>
      <w:bookmarkStart w:id="1606" w:name="_Toc54280754"/>
      <w:bookmarkStart w:id="1607" w:name="_Toc53949565"/>
      <w:bookmarkStart w:id="1608" w:name="_Toc53946168"/>
      <w:bookmarkStart w:id="1609" w:name="_Toc54278945"/>
      <w:bookmarkStart w:id="1610" w:name="_Toc54280328"/>
      <w:bookmarkStart w:id="1611" w:name="_Toc53948723"/>
      <w:bookmarkStart w:id="1612" w:name="_Toc54281180"/>
      <w:bookmarkStart w:id="1613" w:name="_Toc53949144"/>
      <w:bookmarkStart w:id="1614" w:name="_Toc54291510"/>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4</w:t>
      </w:r>
      <w:r>
        <w:rPr>
          <w:rStyle w:val="46"/>
          <w:rFonts w:ascii="Times New Roman" w:hAnsi="Times New Roman" w:eastAsia="宋体" w:cs="Times New Roman"/>
          <w:b/>
          <w:bCs w:val="0"/>
          <w:color w:val="000000" w:themeColor="text1"/>
          <w:szCs w:val="24"/>
          <w:highlight w:val="none"/>
          <w14:textFill>
            <w14:solidFill>
              <w14:schemeClr w14:val="tx1"/>
            </w14:solidFill>
          </w14:textFill>
        </w:rPr>
        <w:t>.计量精度</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14:paraId="4CA0F692">
      <w:pPr>
        <w:spacing w:line="360" w:lineRule="auto"/>
        <w:ind w:left="735" w:leftChars="200" w:hanging="315" w:hangingChars="150"/>
        <w:rPr>
          <w:color w:val="000000" w:themeColor="text1"/>
          <w:szCs w:val="21"/>
          <w:highlight w:val="none"/>
          <w14:textFill>
            <w14:solidFill>
              <w14:schemeClr w14:val="tx1"/>
            </w14:solidFill>
          </w14:textFill>
        </w:rPr>
      </w:pPr>
      <w:bookmarkStart w:id="1615" w:name="_Toc284135619"/>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单价精确到人民币“分”。</w:t>
      </w:r>
    </w:p>
    <w:p w14:paraId="49775B0B">
      <w:pPr>
        <w:spacing w:line="360" w:lineRule="auto"/>
        <w:ind w:left="735" w:leftChars="200" w:hanging="315" w:hangingChars="150"/>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4.2工程量精确到两位小数。</w:t>
      </w:r>
    </w:p>
    <w:p w14:paraId="14672FBC">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3</w:t>
      </w:r>
      <w:r>
        <w:rPr>
          <w:color w:val="000000" w:themeColor="text1"/>
          <w:szCs w:val="21"/>
          <w:highlight w:val="none"/>
          <w14:textFill>
            <w14:solidFill>
              <w14:schemeClr w14:val="tx1"/>
            </w14:solidFill>
          </w14:textFill>
        </w:rPr>
        <w:t>合价</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工程数量与单价的乘积</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精确到人民币“元”。</w:t>
      </w:r>
    </w:p>
    <w:p w14:paraId="10814965">
      <w:pPr>
        <w:pStyle w:val="3"/>
        <w:spacing w:before="240" w:beforeLines="100" w:after="120" w:afterLines="50" w:line="360" w:lineRule="auto"/>
        <w:jc w:val="center"/>
        <w:rPr>
          <w:rStyle w:val="46"/>
          <w:rFonts w:ascii="Times New Roman" w:hAnsi="Times New Roman" w:eastAsia="宋体"/>
          <w:b/>
          <w:bCs/>
          <w:color w:val="000000" w:themeColor="text1"/>
          <w:sz w:val="28"/>
          <w:szCs w:val="28"/>
          <w:highlight w:val="none"/>
          <w14:textFill>
            <w14:solidFill>
              <w14:schemeClr w14:val="tx1"/>
            </w14:solidFill>
          </w14:textFill>
        </w:rPr>
        <w:sectPr>
          <w:headerReference r:id="rId10" w:type="default"/>
          <w:pgSz w:w="11907" w:h="16840"/>
          <w:pgMar w:top="1417" w:right="1701" w:bottom="1417" w:left="1701" w:header="850" w:footer="1134" w:gutter="0"/>
          <w:pgNumType w:fmt="decimal"/>
          <w:cols w:space="0" w:num="1"/>
          <w:rtlGutter w:val="0"/>
          <w:docGrid w:linePitch="312" w:charSpace="0"/>
        </w:sectPr>
      </w:pPr>
    </w:p>
    <w:p w14:paraId="3E477CAE">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二</w:t>
      </w:r>
      <w:r>
        <w:rPr>
          <w:rStyle w:val="46"/>
          <w:rFonts w:ascii="Times New Roman" w:hAnsi="Times New Roman" w:eastAsia="宋体"/>
          <w:b/>
          <w:bCs w:val="0"/>
          <w:color w:val="000000" w:themeColor="text1"/>
          <w:sz w:val="32"/>
          <w:highlight w:val="none"/>
          <w14:textFill>
            <w14:solidFill>
              <w14:schemeClr w14:val="tx1"/>
            </w14:solidFill>
          </w14:textFill>
        </w:rPr>
        <w:t>章  工程量清单</w:t>
      </w:r>
      <w:bookmarkEnd w:id="1615"/>
    </w:p>
    <w:p w14:paraId="5786E75E">
      <w:pPr>
        <w:pStyle w:val="3"/>
        <w:spacing w:before="240" w:beforeLines="100" w:after="120" w:afterLines="50" w:line="360" w:lineRule="auto"/>
        <w:rPr>
          <w:rStyle w:val="46"/>
          <w:rFonts w:ascii="Times New Roman" w:hAnsi="Times New Roman" w:eastAsia="宋体"/>
          <w:b w:val="0"/>
          <w:bCs w:val="0"/>
          <w:color w:val="000000" w:themeColor="text1"/>
          <w:szCs w:val="24"/>
          <w:highlight w:val="none"/>
          <w14:textFill>
            <w14:solidFill>
              <w14:schemeClr w14:val="tx1"/>
            </w14:solidFill>
          </w14:textFill>
        </w:rPr>
      </w:pPr>
      <w:bookmarkStart w:id="1616" w:name="OLE_LINK3"/>
      <w:r>
        <w:rPr>
          <w:rStyle w:val="46"/>
          <w:rFonts w:hint="eastAsia" w:ascii="Times New Roman" w:hAnsi="Times New Roman" w:eastAsia="宋体"/>
          <w:b/>
          <w:bCs w:val="0"/>
          <w:color w:val="000000" w:themeColor="text1"/>
          <w:szCs w:val="24"/>
          <w:highlight w:val="none"/>
          <w14:textFill>
            <w14:solidFill>
              <w14:schemeClr w14:val="tx1"/>
            </w14:solidFill>
          </w14:textFill>
        </w:rPr>
        <w:t>5</w:t>
      </w:r>
      <w:r>
        <w:rPr>
          <w:rStyle w:val="46"/>
          <w:rFonts w:ascii="Times New Roman" w:hAnsi="Times New Roman" w:eastAsia="宋体"/>
          <w:b/>
          <w:bCs w:val="0"/>
          <w:color w:val="000000" w:themeColor="text1"/>
          <w:szCs w:val="24"/>
          <w:highlight w:val="none"/>
          <w14:textFill>
            <w14:solidFill>
              <w14:schemeClr w14:val="tx1"/>
            </w14:solidFill>
          </w14:textFill>
        </w:rPr>
        <w:t>.工程量清单</w:t>
      </w:r>
      <w:r>
        <w:rPr>
          <w:rStyle w:val="46"/>
          <w:rFonts w:hint="eastAsia" w:ascii="Times New Roman" w:hAnsi="Times New Roman" w:eastAsia="宋体"/>
          <w:b w:val="0"/>
          <w:bCs w:val="0"/>
          <w:color w:val="000000" w:themeColor="text1"/>
          <w:szCs w:val="24"/>
          <w:highlight w:val="none"/>
          <w14:textFill>
            <w14:solidFill>
              <w14:schemeClr w14:val="tx1"/>
            </w14:solidFill>
          </w14:textFill>
        </w:rPr>
        <w:t>（必须为excel格式）</w:t>
      </w:r>
    </w:p>
    <w:p w14:paraId="6D66D7EA">
      <w:pPr>
        <w:spacing w:line="360" w:lineRule="auto"/>
        <w:ind w:left="422" w:hanging="422" w:hangingChars="15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XX工程量清单</w:t>
      </w:r>
    </w:p>
    <w:p w14:paraId="1D7612E3">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工程名称：</w:t>
      </w:r>
    </w:p>
    <w:bookmarkEnd w:id="1616"/>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3"/>
        <w:gridCol w:w="536"/>
        <w:gridCol w:w="591"/>
        <w:gridCol w:w="536"/>
        <w:gridCol w:w="403"/>
        <w:gridCol w:w="403"/>
        <w:gridCol w:w="591"/>
        <w:gridCol w:w="778"/>
        <w:gridCol w:w="403"/>
        <w:gridCol w:w="403"/>
        <w:gridCol w:w="778"/>
        <w:gridCol w:w="778"/>
        <w:gridCol w:w="591"/>
        <w:gridCol w:w="591"/>
        <w:gridCol w:w="710"/>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序号</w:t>
            </w:r>
          </w:p>
        </w:tc>
        <w:tc>
          <w:tcPr>
            <w:tcW w:w="365" w:type="pct"/>
            <w:vMerge w:val="restart"/>
            <w:vAlign w:val="center"/>
          </w:tcPr>
          <w:p w14:paraId="2796321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清单项目</w:t>
            </w:r>
          </w:p>
        </w:tc>
        <w:tc>
          <w:tcPr>
            <w:tcW w:w="470" w:type="pct"/>
            <w:vMerge w:val="restart"/>
            <w:vAlign w:val="center"/>
          </w:tcPr>
          <w:p w14:paraId="480CCE0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项目特征（按需填写）</w:t>
            </w:r>
          </w:p>
        </w:tc>
        <w:tc>
          <w:tcPr>
            <w:tcW w:w="472" w:type="pct"/>
            <w:vMerge w:val="restart"/>
            <w:vAlign w:val="center"/>
          </w:tcPr>
          <w:p w14:paraId="2E481644">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工作内容</w:t>
            </w:r>
          </w:p>
        </w:tc>
        <w:tc>
          <w:tcPr>
            <w:tcW w:w="280" w:type="pct"/>
            <w:vMerge w:val="restart"/>
            <w:vAlign w:val="center"/>
          </w:tcPr>
          <w:p w14:paraId="1E8B0BFE">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工程量计算规则</w:t>
            </w:r>
          </w:p>
        </w:tc>
        <w:tc>
          <w:tcPr>
            <w:tcW w:w="233" w:type="pct"/>
            <w:vMerge w:val="restart"/>
            <w:vAlign w:val="center"/>
          </w:tcPr>
          <w:p w14:paraId="5757C83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计量单位</w:t>
            </w:r>
          </w:p>
        </w:tc>
        <w:tc>
          <w:tcPr>
            <w:tcW w:w="277" w:type="pct"/>
            <w:vMerge w:val="restart"/>
            <w:vAlign w:val="center"/>
          </w:tcPr>
          <w:p w14:paraId="5DA8E7FB">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工程量</w:t>
            </w:r>
          </w:p>
          <w:p w14:paraId="33D867A5">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（暂估）</w:t>
            </w:r>
          </w:p>
        </w:tc>
        <w:tc>
          <w:tcPr>
            <w:tcW w:w="778" w:type="pct"/>
            <w:gridSpan w:val="3"/>
            <w:vAlign w:val="center"/>
          </w:tcPr>
          <w:p w14:paraId="100CE82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单价</w:t>
            </w:r>
          </w:p>
        </w:tc>
        <w:tc>
          <w:tcPr>
            <w:tcW w:w="299" w:type="pct"/>
            <w:vMerge w:val="restart"/>
            <w:vAlign w:val="center"/>
          </w:tcPr>
          <w:p w14:paraId="5A32F76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不含增值税合价</w:t>
            </w:r>
          </w:p>
          <w:p w14:paraId="704954EC">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314" w:type="pct"/>
            <w:vMerge w:val="restart"/>
            <w:vAlign w:val="center"/>
          </w:tcPr>
          <w:p w14:paraId="484BD845">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含增值税合价</w:t>
            </w:r>
          </w:p>
          <w:p w14:paraId="20B4B6B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431" w:type="pct"/>
            <w:vMerge w:val="restart"/>
            <w:vAlign w:val="center"/>
          </w:tcPr>
          <w:p w14:paraId="4FD1862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其中人工费单价（含税）</w:t>
            </w:r>
          </w:p>
        </w:tc>
        <w:tc>
          <w:tcPr>
            <w:tcW w:w="431" w:type="pct"/>
            <w:vMerge w:val="restart"/>
            <w:vAlign w:val="center"/>
          </w:tcPr>
          <w:p w14:paraId="34148EE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其中人工费合价（含税）</w:t>
            </w:r>
          </w:p>
        </w:tc>
        <w:tc>
          <w:tcPr>
            <w:tcW w:w="458" w:type="pct"/>
            <w:vMerge w:val="restart"/>
            <w:vAlign w:val="center"/>
          </w:tcPr>
          <w:p w14:paraId="13BB6D7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color w:val="000000" w:themeColor="text1"/>
                <w:szCs w:val="21"/>
                <w:highlight w:val="none"/>
                <w14:textFill>
                  <w14:solidFill>
                    <w14:schemeClr w14:val="tx1"/>
                  </w14:solidFill>
                </w14:textFill>
              </w:rPr>
            </w:pPr>
          </w:p>
        </w:tc>
        <w:tc>
          <w:tcPr>
            <w:tcW w:w="365" w:type="pct"/>
            <w:vMerge w:val="continue"/>
            <w:vAlign w:val="center"/>
          </w:tcPr>
          <w:p w14:paraId="3E262353">
            <w:pPr>
              <w:jc w:val="center"/>
              <w:rPr>
                <w:color w:val="000000" w:themeColor="text1"/>
                <w:szCs w:val="21"/>
                <w:highlight w:val="none"/>
                <w14:textFill>
                  <w14:solidFill>
                    <w14:schemeClr w14:val="tx1"/>
                  </w14:solidFill>
                </w14:textFill>
              </w:rPr>
            </w:pPr>
          </w:p>
        </w:tc>
        <w:tc>
          <w:tcPr>
            <w:tcW w:w="470" w:type="pct"/>
            <w:vMerge w:val="continue"/>
            <w:vAlign w:val="center"/>
          </w:tcPr>
          <w:p w14:paraId="5825EA49">
            <w:pPr>
              <w:jc w:val="center"/>
              <w:rPr>
                <w:color w:val="000000" w:themeColor="text1"/>
                <w:szCs w:val="21"/>
                <w:highlight w:val="none"/>
                <w14:textFill>
                  <w14:solidFill>
                    <w14:schemeClr w14:val="tx1"/>
                  </w14:solidFill>
                </w14:textFill>
              </w:rPr>
            </w:pPr>
          </w:p>
        </w:tc>
        <w:tc>
          <w:tcPr>
            <w:tcW w:w="472" w:type="pct"/>
            <w:vMerge w:val="continue"/>
            <w:vAlign w:val="center"/>
          </w:tcPr>
          <w:p w14:paraId="4199E922">
            <w:pPr>
              <w:jc w:val="center"/>
              <w:rPr>
                <w:color w:val="000000" w:themeColor="text1"/>
                <w:szCs w:val="21"/>
                <w:highlight w:val="none"/>
                <w14:textFill>
                  <w14:solidFill>
                    <w14:schemeClr w14:val="tx1"/>
                  </w14:solidFill>
                </w14:textFill>
              </w:rPr>
            </w:pPr>
          </w:p>
        </w:tc>
        <w:tc>
          <w:tcPr>
            <w:tcW w:w="280" w:type="pct"/>
            <w:vMerge w:val="continue"/>
          </w:tcPr>
          <w:p w14:paraId="4891856F">
            <w:pPr>
              <w:jc w:val="center"/>
              <w:rPr>
                <w:color w:val="000000" w:themeColor="text1"/>
                <w:szCs w:val="21"/>
                <w:highlight w:val="none"/>
                <w14:textFill>
                  <w14:solidFill>
                    <w14:schemeClr w14:val="tx1"/>
                  </w14:solidFill>
                </w14:textFill>
              </w:rPr>
            </w:pPr>
          </w:p>
        </w:tc>
        <w:tc>
          <w:tcPr>
            <w:tcW w:w="233" w:type="pct"/>
            <w:vMerge w:val="continue"/>
            <w:vAlign w:val="center"/>
          </w:tcPr>
          <w:p w14:paraId="11B8C320">
            <w:pPr>
              <w:jc w:val="center"/>
              <w:rPr>
                <w:color w:val="000000" w:themeColor="text1"/>
                <w:szCs w:val="21"/>
                <w:highlight w:val="none"/>
                <w14:textFill>
                  <w14:solidFill>
                    <w14:schemeClr w14:val="tx1"/>
                  </w14:solidFill>
                </w14:textFill>
              </w:rPr>
            </w:pPr>
          </w:p>
        </w:tc>
        <w:tc>
          <w:tcPr>
            <w:tcW w:w="277" w:type="pct"/>
            <w:vMerge w:val="continue"/>
            <w:vAlign w:val="center"/>
          </w:tcPr>
          <w:p w14:paraId="78226742">
            <w:pPr>
              <w:jc w:val="center"/>
              <w:rPr>
                <w:color w:val="000000" w:themeColor="text1"/>
                <w:szCs w:val="21"/>
                <w:highlight w:val="none"/>
                <w14:textFill>
                  <w14:solidFill>
                    <w14:schemeClr w14:val="tx1"/>
                  </w14:solidFill>
                </w14:textFill>
              </w:rPr>
            </w:pPr>
          </w:p>
        </w:tc>
        <w:tc>
          <w:tcPr>
            <w:tcW w:w="333" w:type="pct"/>
            <w:vAlign w:val="center"/>
          </w:tcPr>
          <w:p w14:paraId="5AE03780">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不含增值税单价</w:t>
            </w:r>
          </w:p>
          <w:p w14:paraId="66BE125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212" w:type="pct"/>
            <w:vAlign w:val="center"/>
          </w:tcPr>
          <w:p w14:paraId="24D1D86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增值税</w:t>
            </w:r>
          </w:p>
        </w:tc>
        <w:tc>
          <w:tcPr>
            <w:tcW w:w="233" w:type="pct"/>
            <w:vAlign w:val="center"/>
          </w:tcPr>
          <w:p w14:paraId="21682151">
            <w:pPr>
              <w:widowControl/>
              <w:jc w:val="left"/>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合计</w:t>
            </w:r>
          </w:p>
        </w:tc>
        <w:tc>
          <w:tcPr>
            <w:tcW w:w="299" w:type="pct"/>
            <w:vMerge w:val="continue"/>
            <w:vAlign w:val="center"/>
          </w:tcPr>
          <w:p w14:paraId="32D2ECDB">
            <w:pPr>
              <w:jc w:val="center"/>
              <w:rPr>
                <w:color w:val="000000" w:themeColor="text1"/>
                <w:szCs w:val="21"/>
                <w:highlight w:val="none"/>
                <w14:textFill>
                  <w14:solidFill>
                    <w14:schemeClr w14:val="tx1"/>
                  </w14:solidFill>
                </w14:textFill>
              </w:rPr>
            </w:pPr>
          </w:p>
        </w:tc>
        <w:tc>
          <w:tcPr>
            <w:tcW w:w="314" w:type="pct"/>
            <w:vMerge w:val="continue"/>
            <w:vAlign w:val="center"/>
          </w:tcPr>
          <w:p w14:paraId="60D54B86">
            <w:pPr>
              <w:jc w:val="center"/>
              <w:rPr>
                <w:color w:val="000000" w:themeColor="text1"/>
                <w:szCs w:val="21"/>
                <w:highlight w:val="none"/>
                <w14:textFill>
                  <w14:solidFill>
                    <w14:schemeClr w14:val="tx1"/>
                  </w14:solidFill>
                </w14:textFill>
              </w:rPr>
            </w:pPr>
          </w:p>
        </w:tc>
        <w:tc>
          <w:tcPr>
            <w:tcW w:w="431" w:type="pct"/>
            <w:vMerge w:val="continue"/>
            <w:vAlign w:val="center"/>
          </w:tcPr>
          <w:p w14:paraId="71BF35D5">
            <w:pPr>
              <w:jc w:val="center"/>
              <w:rPr>
                <w:color w:val="000000" w:themeColor="text1"/>
                <w:szCs w:val="21"/>
                <w:highlight w:val="none"/>
                <w14:textFill>
                  <w14:solidFill>
                    <w14:schemeClr w14:val="tx1"/>
                  </w14:solidFill>
                </w14:textFill>
              </w:rPr>
            </w:pPr>
          </w:p>
        </w:tc>
        <w:tc>
          <w:tcPr>
            <w:tcW w:w="431" w:type="pct"/>
            <w:vMerge w:val="continue"/>
          </w:tcPr>
          <w:p w14:paraId="4F812AA2">
            <w:pPr>
              <w:jc w:val="center"/>
              <w:rPr>
                <w:color w:val="000000" w:themeColor="text1"/>
                <w:szCs w:val="21"/>
                <w:highlight w:val="none"/>
                <w14:textFill>
                  <w14:solidFill>
                    <w14:schemeClr w14:val="tx1"/>
                  </w14:solidFill>
                </w14:textFill>
              </w:rPr>
            </w:pPr>
          </w:p>
        </w:tc>
        <w:tc>
          <w:tcPr>
            <w:tcW w:w="458" w:type="pct"/>
            <w:vMerge w:val="continue"/>
            <w:vAlign w:val="center"/>
          </w:tcPr>
          <w:p w14:paraId="294D653D">
            <w:pPr>
              <w:jc w:val="center"/>
              <w:rPr>
                <w:color w:val="000000" w:themeColor="text1"/>
                <w:szCs w:val="21"/>
                <w:highlight w:val="none"/>
                <w14:textFill>
                  <w14:solidFill>
                    <w14:schemeClr w14:val="tx1"/>
                  </w14:solidFill>
                </w14:textFill>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color w:val="000000" w:themeColor="text1"/>
                <w:szCs w:val="21"/>
                <w:highlight w:val="none"/>
                <w14:textFill>
                  <w14:solidFill>
                    <w14:schemeClr w14:val="tx1"/>
                  </w14:solidFill>
                </w14:textFill>
              </w:rPr>
            </w:pPr>
          </w:p>
        </w:tc>
        <w:tc>
          <w:tcPr>
            <w:tcW w:w="365" w:type="pct"/>
            <w:vAlign w:val="center"/>
          </w:tcPr>
          <w:p w14:paraId="2DD017F4">
            <w:pPr>
              <w:jc w:val="center"/>
              <w:rPr>
                <w:color w:val="000000" w:themeColor="text1"/>
                <w:szCs w:val="21"/>
                <w:highlight w:val="none"/>
                <w14:textFill>
                  <w14:solidFill>
                    <w14:schemeClr w14:val="tx1"/>
                  </w14:solidFill>
                </w14:textFill>
              </w:rPr>
            </w:pPr>
          </w:p>
        </w:tc>
        <w:tc>
          <w:tcPr>
            <w:tcW w:w="470" w:type="pct"/>
          </w:tcPr>
          <w:p w14:paraId="2333B2C0">
            <w:pPr>
              <w:jc w:val="center"/>
              <w:rPr>
                <w:color w:val="000000" w:themeColor="text1"/>
                <w:szCs w:val="21"/>
                <w:highlight w:val="none"/>
                <w14:textFill>
                  <w14:solidFill>
                    <w14:schemeClr w14:val="tx1"/>
                  </w14:solidFill>
                </w14:textFill>
              </w:rPr>
            </w:pPr>
          </w:p>
        </w:tc>
        <w:tc>
          <w:tcPr>
            <w:tcW w:w="472" w:type="pct"/>
            <w:vAlign w:val="center"/>
          </w:tcPr>
          <w:p w14:paraId="115D31B1">
            <w:pPr>
              <w:jc w:val="center"/>
              <w:rPr>
                <w:color w:val="000000" w:themeColor="text1"/>
                <w:szCs w:val="21"/>
                <w:highlight w:val="none"/>
                <w14:textFill>
                  <w14:solidFill>
                    <w14:schemeClr w14:val="tx1"/>
                  </w14:solidFill>
                </w14:textFill>
              </w:rPr>
            </w:pPr>
          </w:p>
        </w:tc>
        <w:tc>
          <w:tcPr>
            <w:tcW w:w="280" w:type="pct"/>
          </w:tcPr>
          <w:p w14:paraId="3F4800C8">
            <w:pPr>
              <w:jc w:val="center"/>
              <w:rPr>
                <w:color w:val="000000" w:themeColor="text1"/>
                <w:szCs w:val="21"/>
                <w:highlight w:val="none"/>
                <w14:textFill>
                  <w14:solidFill>
                    <w14:schemeClr w14:val="tx1"/>
                  </w14:solidFill>
                </w14:textFill>
              </w:rPr>
            </w:pPr>
          </w:p>
        </w:tc>
        <w:tc>
          <w:tcPr>
            <w:tcW w:w="233" w:type="pct"/>
            <w:vAlign w:val="center"/>
          </w:tcPr>
          <w:p w14:paraId="4852DC50">
            <w:pPr>
              <w:jc w:val="center"/>
              <w:rPr>
                <w:color w:val="000000" w:themeColor="text1"/>
                <w:szCs w:val="21"/>
                <w:highlight w:val="none"/>
                <w14:textFill>
                  <w14:solidFill>
                    <w14:schemeClr w14:val="tx1"/>
                  </w14:solidFill>
                </w14:textFill>
              </w:rPr>
            </w:pPr>
          </w:p>
        </w:tc>
        <w:tc>
          <w:tcPr>
            <w:tcW w:w="277" w:type="pct"/>
            <w:vAlign w:val="center"/>
          </w:tcPr>
          <w:p w14:paraId="2DDAB2DE">
            <w:pPr>
              <w:jc w:val="center"/>
              <w:rPr>
                <w:color w:val="000000" w:themeColor="text1"/>
                <w:szCs w:val="21"/>
                <w:highlight w:val="none"/>
                <w14:textFill>
                  <w14:solidFill>
                    <w14:schemeClr w14:val="tx1"/>
                  </w14:solidFill>
                </w14:textFill>
              </w:rPr>
            </w:pPr>
          </w:p>
        </w:tc>
        <w:tc>
          <w:tcPr>
            <w:tcW w:w="333" w:type="pct"/>
            <w:vAlign w:val="center"/>
          </w:tcPr>
          <w:p w14:paraId="3A0CC544">
            <w:pPr>
              <w:jc w:val="center"/>
              <w:rPr>
                <w:color w:val="000000" w:themeColor="text1"/>
                <w:szCs w:val="21"/>
                <w:highlight w:val="none"/>
                <w14:textFill>
                  <w14:solidFill>
                    <w14:schemeClr w14:val="tx1"/>
                  </w14:solidFill>
                </w14:textFill>
              </w:rPr>
            </w:pPr>
          </w:p>
        </w:tc>
        <w:tc>
          <w:tcPr>
            <w:tcW w:w="212" w:type="pct"/>
            <w:vAlign w:val="center"/>
          </w:tcPr>
          <w:p w14:paraId="16F89AA5">
            <w:pPr>
              <w:jc w:val="center"/>
              <w:rPr>
                <w:color w:val="000000" w:themeColor="text1"/>
                <w:szCs w:val="21"/>
                <w:highlight w:val="none"/>
                <w14:textFill>
                  <w14:solidFill>
                    <w14:schemeClr w14:val="tx1"/>
                  </w14:solidFill>
                </w14:textFill>
              </w:rPr>
            </w:pPr>
          </w:p>
        </w:tc>
        <w:tc>
          <w:tcPr>
            <w:tcW w:w="233" w:type="pct"/>
            <w:vAlign w:val="center"/>
          </w:tcPr>
          <w:p w14:paraId="5A5176B8">
            <w:pPr>
              <w:jc w:val="center"/>
              <w:rPr>
                <w:color w:val="000000" w:themeColor="text1"/>
                <w:szCs w:val="21"/>
                <w:highlight w:val="none"/>
                <w14:textFill>
                  <w14:solidFill>
                    <w14:schemeClr w14:val="tx1"/>
                  </w14:solidFill>
                </w14:textFill>
              </w:rPr>
            </w:pPr>
          </w:p>
        </w:tc>
        <w:tc>
          <w:tcPr>
            <w:tcW w:w="299" w:type="pct"/>
            <w:vAlign w:val="center"/>
          </w:tcPr>
          <w:p w14:paraId="02445554">
            <w:pPr>
              <w:jc w:val="center"/>
              <w:rPr>
                <w:color w:val="000000" w:themeColor="text1"/>
                <w:szCs w:val="21"/>
                <w:highlight w:val="none"/>
                <w14:textFill>
                  <w14:solidFill>
                    <w14:schemeClr w14:val="tx1"/>
                  </w14:solidFill>
                </w14:textFill>
              </w:rPr>
            </w:pPr>
          </w:p>
        </w:tc>
        <w:tc>
          <w:tcPr>
            <w:tcW w:w="314" w:type="pct"/>
            <w:vAlign w:val="center"/>
          </w:tcPr>
          <w:p w14:paraId="128A1AE3">
            <w:pPr>
              <w:jc w:val="center"/>
              <w:rPr>
                <w:color w:val="000000" w:themeColor="text1"/>
                <w:szCs w:val="21"/>
                <w:highlight w:val="none"/>
                <w14:textFill>
                  <w14:solidFill>
                    <w14:schemeClr w14:val="tx1"/>
                  </w14:solidFill>
                </w14:textFill>
              </w:rPr>
            </w:pPr>
          </w:p>
        </w:tc>
        <w:tc>
          <w:tcPr>
            <w:tcW w:w="431" w:type="pct"/>
          </w:tcPr>
          <w:p w14:paraId="57361FC0">
            <w:pPr>
              <w:jc w:val="center"/>
              <w:rPr>
                <w:color w:val="000000" w:themeColor="text1"/>
                <w:szCs w:val="21"/>
                <w:highlight w:val="none"/>
                <w14:textFill>
                  <w14:solidFill>
                    <w14:schemeClr w14:val="tx1"/>
                  </w14:solidFill>
                </w14:textFill>
              </w:rPr>
            </w:pPr>
          </w:p>
        </w:tc>
        <w:tc>
          <w:tcPr>
            <w:tcW w:w="431" w:type="pct"/>
          </w:tcPr>
          <w:p w14:paraId="526CFCD0">
            <w:pPr>
              <w:jc w:val="center"/>
              <w:rPr>
                <w:color w:val="000000" w:themeColor="text1"/>
                <w:szCs w:val="21"/>
                <w:highlight w:val="none"/>
                <w14:textFill>
                  <w14:solidFill>
                    <w14:schemeClr w14:val="tx1"/>
                  </w14:solidFill>
                </w14:textFill>
              </w:rPr>
            </w:pPr>
          </w:p>
        </w:tc>
        <w:tc>
          <w:tcPr>
            <w:tcW w:w="458" w:type="pct"/>
            <w:vAlign w:val="center"/>
          </w:tcPr>
          <w:p w14:paraId="3A2B9F44">
            <w:pPr>
              <w:jc w:val="center"/>
              <w:rPr>
                <w:color w:val="000000" w:themeColor="text1"/>
                <w:szCs w:val="21"/>
                <w:highlight w:val="none"/>
                <w14:textFill>
                  <w14:solidFill>
                    <w14:schemeClr w14:val="tx1"/>
                  </w14:solidFill>
                </w14:textFill>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jc w:val="center"/>
        </w:trPr>
        <w:tc>
          <w:tcPr>
            <w:tcW w:w="193" w:type="pct"/>
            <w:vAlign w:val="center"/>
          </w:tcPr>
          <w:p w14:paraId="5C1E4784">
            <w:pPr>
              <w:jc w:val="center"/>
              <w:rPr>
                <w:color w:val="000000" w:themeColor="text1"/>
                <w:szCs w:val="21"/>
                <w:highlight w:val="none"/>
                <w14:textFill>
                  <w14:solidFill>
                    <w14:schemeClr w14:val="tx1"/>
                  </w14:solidFill>
                </w14:textFill>
              </w:rPr>
            </w:pPr>
          </w:p>
        </w:tc>
        <w:tc>
          <w:tcPr>
            <w:tcW w:w="365" w:type="pct"/>
            <w:vAlign w:val="center"/>
          </w:tcPr>
          <w:p w14:paraId="10AA8020">
            <w:pPr>
              <w:jc w:val="center"/>
              <w:rPr>
                <w:color w:val="000000" w:themeColor="text1"/>
                <w:szCs w:val="21"/>
                <w:highlight w:val="none"/>
                <w14:textFill>
                  <w14:solidFill>
                    <w14:schemeClr w14:val="tx1"/>
                  </w14:solidFill>
                </w14:textFill>
              </w:rPr>
            </w:pPr>
          </w:p>
        </w:tc>
        <w:tc>
          <w:tcPr>
            <w:tcW w:w="470" w:type="pct"/>
          </w:tcPr>
          <w:p w14:paraId="7802180C">
            <w:pPr>
              <w:jc w:val="center"/>
              <w:rPr>
                <w:color w:val="000000" w:themeColor="text1"/>
                <w:szCs w:val="21"/>
                <w:highlight w:val="none"/>
                <w14:textFill>
                  <w14:solidFill>
                    <w14:schemeClr w14:val="tx1"/>
                  </w14:solidFill>
                </w14:textFill>
              </w:rPr>
            </w:pPr>
          </w:p>
        </w:tc>
        <w:tc>
          <w:tcPr>
            <w:tcW w:w="472" w:type="pct"/>
            <w:vAlign w:val="center"/>
          </w:tcPr>
          <w:p w14:paraId="03618F0E">
            <w:pPr>
              <w:jc w:val="center"/>
              <w:rPr>
                <w:color w:val="000000" w:themeColor="text1"/>
                <w:szCs w:val="21"/>
                <w:highlight w:val="none"/>
                <w14:textFill>
                  <w14:solidFill>
                    <w14:schemeClr w14:val="tx1"/>
                  </w14:solidFill>
                </w14:textFill>
              </w:rPr>
            </w:pPr>
          </w:p>
        </w:tc>
        <w:tc>
          <w:tcPr>
            <w:tcW w:w="280" w:type="pct"/>
          </w:tcPr>
          <w:p w14:paraId="50B9C7F4">
            <w:pPr>
              <w:jc w:val="center"/>
              <w:rPr>
                <w:color w:val="000000" w:themeColor="text1"/>
                <w:szCs w:val="21"/>
                <w:highlight w:val="none"/>
                <w14:textFill>
                  <w14:solidFill>
                    <w14:schemeClr w14:val="tx1"/>
                  </w14:solidFill>
                </w14:textFill>
              </w:rPr>
            </w:pPr>
          </w:p>
        </w:tc>
        <w:tc>
          <w:tcPr>
            <w:tcW w:w="233" w:type="pct"/>
            <w:vAlign w:val="center"/>
          </w:tcPr>
          <w:p w14:paraId="0238BA81">
            <w:pPr>
              <w:jc w:val="center"/>
              <w:rPr>
                <w:color w:val="000000" w:themeColor="text1"/>
                <w:szCs w:val="21"/>
                <w:highlight w:val="none"/>
                <w14:textFill>
                  <w14:solidFill>
                    <w14:schemeClr w14:val="tx1"/>
                  </w14:solidFill>
                </w14:textFill>
              </w:rPr>
            </w:pPr>
          </w:p>
        </w:tc>
        <w:tc>
          <w:tcPr>
            <w:tcW w:w="277" w:type="pct"/>
            <w:vAlign w:val="center"/>
          </w:tcPr>
          <w:p w14:paraId="555798B1">
            <w:pPr>
              <w:jc w:val="center"/>
              <w:rPr>
                <w:color w:val="000000" w:themeColor="text1"/>
                <w:szCs w:val="21"/>
                <w:highlight w:val="none"/>
                <w14:textFill>
                  <w14:solidFill>
                    <w14:schemeClr w14:val="tx1"/>
                  </w14:solidFill>
                </w14:textFill>
              </w:rPr>
            </w:pPr>
          </w:p>
        </w:tc>
        <w:tc>
          <w:tcPr>
            <w:tcW w:w="333" w:type="pct"/>
            <w:vAlign w:val="center"/>
          </w:tcPr>
          <w:p w14:paraId="1C899021">
            <w:pPr>
              <w:jc w:val="center"/>
              <w:rPr>
                <w:color w:val="000000" w:themeColor="text1"/>
                <w:szCs w:val="21"/>
                <w:highlight w:val="none"/>
                <w14:textFill>
                  <w14:solidFill>
                    <w14:schemeClr w14:val="tx1"/>
                  </w14:solidFill>
                </w14:textFill>
              </w:rPr>
            </w:pPr>
          </w:p>
        </w:tc>
        <w:tc>
          <w:tcPr>
            <w:tcW w:w="212" w:type="pct"/>
            <w:vAlign w:val="center"/>
          </w:tcPr>
          <w:p w14:paraId="646AF397">
            <w:pPr>
              <w:jc w:val="center"/>
              <w:rPr>
                <w:color w:val="000000" w:themeColor="text1"/>
                <w:szCs w:val="21"/>
                <w:highlight w:val="none"/>
                <w14:textFill>
                  <w14:solidFill>
                    <w14:schemeClr w14:val="tx1"/>
                  </w14:solidFill>
                </w14:textFill>
              </w:rPr>
            </w:pPr>
          </w:p>
        </w:tc>
        <w:tc>
          <w:tcPr>
            <w:tcW w:w="233" w:type="pct"/>
            <w:vAlign w:val="center"/>
          </w:tcPr>
          <w:p w14:paraId="760FCB22">
            <w:pPr>
              <w:jc w:val="center"/>
              <w:rPr>
                <w:color w:val="000000" w:themeColor="text1"/>
                <w:szCs w:val="21"/>
                <w:highlight w:val="none"/>
                <w14:textFill>
                  <w14:solidFill>
                    <w14:schemeClr w14:val="tx1"/>
                  </w14:solidFill>
                </w14:textFill>
              </w:rPr>
            </w:pPr>
          </w:p>
        </w:tc>
        <w:tc>
          <w:tcPr>
            <w:tcW w:w="299" w:type="pct"/>
            <w:vAlign w:val="center"/>
          </w:tcPr>
          <w:p w14:paraId="56F0CB0A">
            <w:pPr>
              <w:jc w:val="center"/>
              <w:rPr>
                <w:color w:val="000000" w:themeColor="text1"/>
                <w:szCs w:val="21"/>
                <w:highlight w:val="none"/>
                <w14:textFill>
                  <w14:solidFill>
                    <w14:schemeClr w14:val="tx1"/>
                  </w14:solidFill>
                </w14:textFill>
              </w:rPr>
            </w:pPr>
          </w:p>
        </w:tc>
        <w:tc>
          <w:tcPr>
            <w:tcW w:w="314" w:type="pct"/>
            <w:vAlign w:val="center"/>
          </w:tcPr>
          <w:p w14:paraId="6EAA29DA">
            <w:pPr>
              <w:jc w:val="center"/>
              <w:rPr>
                <w:color w:val="000000" w:themeColor="text1"/>
                <w:szCs w:val="21"/>
                <w:highlight w:val="none"/>
                <w14:textFill>
                  <w14:solidFill>
                    <w14:schemeClr w14:val="tx1"/>
                  </w14:solidFill>
                </w14:textFill>
              </w:rPr>
            </w:pPr>
          </w:p>
        </w:tc>
        <w:tc>
          <w:tcPr>
            <w:tcW w:w="431" w:type="pct"/>
          </w:tcPr>
          <w:p w14:paraId="11148DA1">
            <w:pPr>
              <w:jc w:val="center"/>
              <w:rPr>
                <w:color w:val="000000" w:themeColor="text1"/>
                <w:szCs w:val="21"/>
                <w:highlight w:val="none"/>
                <w14:textFill>
                  <w14:solidFill>
                    <w14:schemeClr w14:val="tx1"/>
                  </w14:solidFill>
                </w14:textFill>
              </w:rPr>
            </w:pPr>
          </w:p>
        </w:tc>
        <w:tc>
          <w:tcPr>
            <w:tcW w:w="431" w:type="pct"/>
          </w:tcPr>
          <w:p w14:paraId="5C8A0FA9">
            <w:pPr>
              <w:jc w:val="center"/>
              <w:rPr>
                <w:color w:val="000000" w:themeColor="text1"/>
                <w:szCs w:val="21"/>
                <w:highlight w:val="none"/>
                <w14:textFill>
                  <w14:solidFill>
                    <w14:schemeClr w14:val="tx1"/>
                  </w14:solidFill>
                </w14:textFill>
              </w:rPr>
            </w:pPr>
          </w:p>
        </w:tc>
        <w:tc>
          <w:tcPr>
            <w:tcW w:w="458" w:type="pct"/>
            <w:vAlign w:val="center"/>
          </w:tcPr>
          <w:p w14:paraId="3787ACBF">
            <w:pPr>
              <w:jc w:val="center"/>
              <w:rPr>
                <w:color w:val="000000" w:themeColor="text1"/>
                <w:szCs w:val="21"/>
                <w:highlight w:val="none"/>
                <w14:textFill>
                  <w14:solidFill>
                    <w14:schemeClr w14:val="tx1"/>
                  </w14:solidFill>
                </w14:textFill>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color w:val="000000" w:themeColor="text1"/>
                <w:szCs w:val="21"/>
                <w:highlight w:val="none"/>
                <w14:textFill>
                  <w14:solidFill>
                    <w14:schemeClr w14:val="tx1"/>
                  </w14:solidFill>
                </w14:textFill>
              </w:rPr>
            </w:pPr>
          </w:p>
        </w:tc>
        <w:tc>
          <w:tcPr>
            <w:tcW w:w="365" w:type="pct"/>
            <w:vAlign w:val="center"/>
          </w:tcPr>
          <w:p w14:paraId="693E8EA2">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安全防护、文明施工措施费</w:t>
            </w:r>
          </w:p>
        </w:tc>
        <w:tc>
          <w:tcPr>
            <w:tcW w:w="470" w:type="pct"/>
          </w:tcPr>
          <w:p w14:paraId="1FF2C24F">
            <w:pPr>
              <w:jc w:val="center"/>
              <w:rPr>
                <w:color w:val="000000" w:themeColor="text1"/>
                <w:sz w:val="18"/>
                <w:szCs w:val="18"/>
                <w:highlight w:val="none"/>
                <w14:textFill>
                  <w14:solidFill>
                    <w14:schemeClr w14:val="tx1"/>
                  </w14:solidFill>
                </w14:textFill>
              </w:rPr>
            </w:pPr>
          </w:p>
        </w:tc>
        <w:tc>
          <w:tcPr>
            <w:tcW w:w="472" w:type="pct"/>
            <w:vAlign w:val="center"/>
          </w:tcPr>
          <w:p w14:paraId="3F1501ED">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环境保护、文明施工、安全施工、临时设施</w:t>
            </w:r>
            <w:r>
              <w:rPr>
                <w:rFonts w:hint="eastAsia"/>
                <w:color w:val="000000" w:themeColor="text1"/>
                <w:sz w:val="18"/>
                <w:szCs w:val="18"/>
                <w:highlight w:val="none"/>
                <w14:textFill>
                  <w14:solidFill>
                    <w14:schemeClr w14:val="tx1"/>
                  </w14:solidFill>
                </w14:textFill>
              </w:rPr>
              <w:t>和施工围挡</w:t>
            </w:r>
          </w:p>
        </w:tc>
        <w:tc>
          <w:tcPr>
            <w:tcW w:w="280" w:type="pct"/>
          </w:tcPr>
          <w:p w14:paraId="23F7C7E7">
            <w:pPr>
              <w:jc w:val="center"/>
              <w:rPr>
                <w:color w:val="000000" w:themeColor="text1"/>
                <w:szCs w:val="21"/>
                <w:highlight w:val="none"/>
                <w14:textFill>
                  <w14:solidFill>
                    <w14:schemeClr w14:val="tx1"/>
                  </w14:solidFill>
                </w14:textFill>
              </w:rPr>
            </w:pPr>
          </w:p>
        </w:tc>
        <w:tc>
          <w:tcPr>
            <w:tcW w:w="233" w:type="pct"/>
            <w:vAlign w:val="center"/>
          </w:tcPr>
          <w:p w14:paraId="73BCA47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总额</w:t>
            </w:r>
          </w:p>
        </w:tc>
        <w:tc>
          <w:tcPr>
            <w:tcW w:w="277" w:type="pct"/>
            <w:vAlign w:val="center"/>
          </w:tcPr>
          <w:p w14:paraId="26FF126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33" w:type="pct"/>
            <w:vAlign w:val="center"/>
          </w:tcPr>
          <w:p w14:paraId="22719585">
            <w:pPr>
              <w:jc w:val="center"/>
              <w:rPr>
                <w:color w:val="000000" w:themeColor="text1"/>
                <w:szCs w:val="21"/>
                <w:highlight w:val="none"/>
                <w14:textFill>
                  <w14:solidFill>
                    <w14:schemeClr w14:val="tx1"/>
                  </w14:solidFill>
                </w14:textFill>
              </w:rPr>
            </w:pPr>
          </w:p>
        </w:tc>
        <w:tc>
          <w:tcPr>
            <w:tcW w:w="212" w:type="pct"/>
            <w:vAlign w:val="center"/>
          </w:tcPr>
          <w:p w14:paraId="7A81C736">
            <w:pPr>
              <w:jc w:val="center"/>
              <w:rPr>
                <w:color w:val="000000" w:themeColor="text1"/>
                <w:szCs w:val="21"/>
                <w:highlight w:val="none"/>
                <w14:textFill>
                  <w14:solidFill>
                    <w14:schemeClr w14:val="tx1"/>
                  </w14:solidFill>
                </w14:textFill>
              </w:rPr>
            </w:pPr>
          </w:p>
        </w:tc>
        <w:tc>
          <w:tcPr>
            <w:tcW w:w="233" w:type="pct"/>
            <w:vAlign w:val="center"/>
          </w:tcPr>
          <w:p w14:paraId="5FC44FC9">
            <w:pPr>
              <w:jc w:val="center"/>
              <w:rPr>
                <w:color w:val="000000" w:themeColor="text1"/>
                <w:szCs w:val="21"/>
                <w:highlight w:val="none"/>
                <w14:textFill>
                  <w14:solidFill>
                    <w14:schemeClr w14:val="tx1"/>
                  </w14:solidFill>
                </w14:textFill>
              </w:rPr>
            </w:pPr>
          </w:p>
        </w:tc>
        <w:tc>
          <w:tcPr>
            <w:tcW w:w="299" w:type="pct"/>
            <w:vAlign w:val="center"/>
          </w:tcPr>
          <w:p w14:paraId="0935C4E3">
            <w:pPr>
              <w:jc w:val="center"/>
              <w:rPr>
                <w:color w:val="000000" w:themeColor="text1"/>
                <w:szCs w:val="21"/>
                <w:highlight w:val="none"/>
                <w14:textFill>
                  <w14:solidFill>
                    <w14:schemeClr w14:val="tx1"/>
                  </w14:solidFill>
                </w14:textFill>
              </w:rPr>
            </w:pPr>
          </w:p>
        </w:tc>
        <w:tc>
          <w:tcPr>
            <w:tcW w:w="314" w:type="pct"/>
            <w:vAlign w:val="center"/>
          </w:tcPr>
          <w:p w14:paraId="6ECEFD65">
            <w:pPr>
              <w:jc w:val="center"/>
              <w:rPr>
                <w:color w:val="000000" w:themeColor="text1"/>
                <w:szCs w:val="21"/>
                <w:highlight w:val="none"/>
                <w14:textFill>
                  <w14:solidFill>
                    <w14:schemeClr w14:val="tx1"/>
                  </w14:solidFill>
                </w14:textFill>
              </w:rPr>
            </w:pPr>
          </w:p>
        </w:tc>
        <w:tc>
          <w:tcPr>
            <w:tcW w:w="431" w:type="pct"/>
          </w:tcPr>
          <w:p w14:paraId="15DC1018">
            <w:pPr>
              <w:jc w:val="center"/>
              <w:rPr>
                <w:color w:val="000000" w:themeColor="text1"/>
                <w:szCs w:val="21"/>
                <w:highlight w:val="none"/>
                <w14:textFill>
                  <w14:solidFill>
                    <w14:schemeClr w14:val="tx1"/>
                  </w14:solidFill>
                </w14:textFill>
              </w:rPr>
            </w:pPr>
          </w:p>
        </w:tc>
        <w:tc>
          <w:tcPr>
            <w:tcW w:w="431" w:type="pct"/>
          </w:tcPr>
          <w:p w14:paraId="36621AB2">
            <w:pPr>
              <w:jc w:val="center"/>
              <w:rPr>
                <w:color w:val="000000" w:themeColor="text1"/>
                <w:szCs w:val="21"/>
                <w:highlight w:val="none"/>
                <w14:textFill>
                  <w14:solidFill>
                    <w14:schemeClr w14:val="tx1"/>
                  </w14:solidFill>
                </w14:textFill>
              </w:rPr>
            </w:pPr>
          </w:p>
        </w:tc>
        <w:tc>
          <w:tcPr>
            <w:tcW w:w="458" w:type="pct"/>
            <w:vAlign w:val="center"/>
          </w:tcPr>
          <w:p w14:paraId="6CA6FE6C">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以完成工作量的</w:t>
            </w:r>
            <w:r>
              <w:rPr>
                <w:rFonts w:hint="eastAsia"/>
                <w:color w:val="000000" w:themeColor="text1"/>
                <w:sz w:val="18"/>
                <w:szCs w:val="18"/>
                <w:highlight w:val="none"/>
                <w:u w:val="single"/>
                <w:lang w:val="en-US" w:eastAsia="zh-CN"/>
                <w14:textFill>
                  <w14:solidFill>
                    <w14:schemeClr w14:val="tx1"/>
                  </w14:solidFill>
                </w14:textFill>
              </w:rPr>
              <w:t>1.5</w:t>
            </w:r>
            <w:r>
              <w:rPr>
                <w:rFonts w:hint="eastAsia"/>
                <w:color w:val="000000" w:themeColor="text1"/>
                <w:sz w:val="18"/>
                <w:szCs w:val="18"/>
                <w:highlight w:val="none"/>
                <w:u w:val="single"/>
                <w14:textFill>
                  <w14:solidFill>
                    <w14:schemeClr w14:val="tx1"/>
                  </w14:solidFill>
                </w14:textFill>
              </w:rPr>
              <w:t xml:space="preserve">  </w:t>
            </w:r>
            <w:r>
              <w:rPr>
                <w:rFonts w:hint="eastAsia"/>
                <w:color w:val="000000" w:themeColor="text1"/>
                <w:sz w:val="18"/>
                <w:szCs w:val="18"/>
                <w:highlight w:val="none"/>
                <w14:textFill>
                  <w14:solidFill>
                    <w14:schemeClr w14:val="tx1"/>
                  </w14:solidFill>
                </w14:textFill>
              </w:rPr>
              <w:t>%作为最高限计算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color w:val="000000" w:themeColor="text1"/>
                <w:szCs w:val="21"/>
                <w:highlight w:val="none"/>
                <w14:textFill>
                  <w14:solidFill>
                    <w14:schemeClr w14:val="tx1"/>
                  </w14:solidFill>
                </w14:textFill>
              </w:rPr>
            </w:pPr>
          </w:p>
        </w:tc>
        <w:tc>
          <w:tcPr>
            <w:tcW w:w="365" w:type="pct"/>
          </w:tcPr>
          <w:p w14:paraId="4A777E02">
            <w:pPr>
              <w:jc w:val="center"/>
              <w:rPr>
                <w:b/>
                <w:color w:val="000000" w:themeColor="text1"/>
                <w:szCs w:val="21"/>
                <w:highlight w:val="none"/>
                <w14:textFill>
                  <w14:solidFill>
                    <w14:schemeClr w14:val="tx1"/>
                  </w14:solidFill>
                </w14:textFill>
              </w:rPr>
            </w:pPr>
          </w:p>
        </w:tc>
        <w:tc>
          <w:tcPr>
            <w:tcW w:w="941" w:type="pct"/>
            <w:gridSpan w:val="2"/>
            <w:vAlign w:val="center"/>
          </w:tcPr>
          <w:p w14:paraId="6529F70E">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不含增值税造价</w:t>
            </w:r>
          </w:p>
        </w:tc>
        <w:tc>
          <w:tcPr>
            <w:tcW w:w="280" w:type="pct"/>
            <w:vAlign w:val="center"/>
          </w:tcPr>
          <w:p w14:paraId="15F7B63F">
            <w:pPr>
              <w:jc w:val="center"/>
              <w:rPr>
                <w:b/>
                <w:color w:val="000000" w:themeColor="text1"/>
                <w:szCs w:val="21"/>
                <w:highlight w:val="none"/>
                <w14:textFill>
                  <w14:solidFill>
                    <w14:schemeClr w14:val="tx1"/>
                  </w14:solidFill>
                </w14:textFill>
              </w:rPr>
            </w:pPr>
          </w:p>
        </w:tc>
        <w:tc>
          <w:tcPr>
            <w:tcW w:w="233" w:type="pct"/>
            <w:vAlign w:val="center"/>
          </w:tcPr>
          <w:p w14:paraId="5B17406A">
            <w:pPr>
              <w:jc w:val="center"/>
              <w:rPr>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68" w:type="pct"/>
            <w:gridSpan w:val="6"/>
            <w:vAlign w:val="center"/>
          </w:tcPr>
          <w:p w14:paraId="260EFED2">
            <w:pPr>
              <w:jc w:val="center"/>
              <w:rPr>
                <w:color w:val="000000" w:themeColor="text1"/>
                <w:szCs w:val="21"/>
                <w:highlight w:val="none"/>
                <w14:textFill>
                  <w14:solidFill>
                    <w14:schemeClr w14:val="tx1"/>
                  </w14:solidFill>
                </w14:textFill>
              </w:rPr>
            </w:pPr>
          </w:p>
        </w:tc>
        <w:tc>
          <w:tcPr>
            <w:tcW w:w="1320" w:type="pct"/>
            <w:gridSpan w:val="3"/>
            <w:vAlign w:val="center"/>
          </w:tcPr>
          <w:p w14:paraId="28528FBD">
            <w:pPr>
              <w:jc w:val="center"/>
              <w:rPr>
                <w:color w:val="000000" w:themeColor="text1"/>
                <w:szCs w:val="21"/>
                <w:highlight w:val="none"/>
                <w14:textFill>
                  <w14:solidFill>
                    <w14:schemeClr w14:val="tx1"/>
                  </w14:solidFill>
                </w14:textFill>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93" w:type="pct"/>
            <w:vAlign w:val="center"/>
          </w:tcPr>
          <w:p w14:paraId="5FCF0807">
            <w:pPr>
              <w:jc w:val="center"/>
              <w:rPr>
                <w:color w:val="000000" w:themeColor="text1"/>
                <w:szCs w:val="21"/>
                <w:highlight w:val="none"/>
                <w14:textFill>
                  <w14:solidFill>
                    <w14:schemeClr w14:val="tx1"/>
                  </w14:solidFill>
                </w14:textFill>
              </w:rPr>
            </w:pPr>
          </w:p>
        </w:tc>
        <w:tc>
          <w:tcPr>
            <w:tcW w:w="365" w:type="pct"/>
          </w:tcPr>
          <w:p w14:paraId="2473E58A">
            <w:pPr>
              <w:jc w:val="center"/>
              <w:rPr>
                <w:b/>
                <w:color w:val="000000" w:themeColor="text1"/>
                <w:szCs w:val="21"/>
                <w:highlight w:val="none"/>
                <w14:textFill>
                  <w14:solidFill>
                    <w14:schemeClr w14:val="tx1"/>
                  </w14:solidFill>
                </w14:textFill>
              </w:rPr>
            </w:pPr>
          </w:p>
        </w:tc>
        <w:tc>
          <w:tcPr>
            <w:tcW w:w="941" w:type="pct"/>
            <w:gridSpan w:val="2"/>
            <w:vAlign w:val="center"/>
          </w:tcPr>
          <w:p w14:paraId="0D39A651">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增值税</w:t>
            </w:r>
          </w:p>
        </w:tc>
        <w:tc>
          <w:tcPr>
            <w:tcW w:w="280" w:type="pct"/>
            <w:vAlign w:val="center"/>
          </w:tcPr>
          <w:p w14:paraId="77AE3A54">
            <w:pPr>
              <w:jc w:val="center"/>
              <w:rPr>
                <w:b/>
                <w:color w:val="000000" w:themeColor="text1"/>
                <w:szCs w:val="21"/>
                <w:highlight w:val="none"/>
                <w14:textFill>
                  <w14:solidFill>
                    <w14:schemeClr w14:val="tx1"/>
                  </w14:solidFill>
                </w14:textFill>
              </w:rPr>
            </w:pPr>
          </w:p>
        </w:tc>
        <w:tc>
          <w:tcPr>
            <w:tcW w:w="233" w:type="pct"/>
            <w:vAlign w:val="center"/>
          </w:tcPr>
          <w:p w14:paraId="72009E9A">
            <w:pPr>
              <w:jc w:val="center"/>
              <w:rPr>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70" w:type="pct"/>
            <w:gridSpan w:val="6"/>
            <w:vAlign w:val="center"/>
          </w:tcPr>
          <w:p w14:paraId="1CD15DFA">
            <w:pPr>
              <w:jc w:val="center"/>
              <w:rPr>
                <w:color w:val="000000" w:themeColor="text1"/>
                <w:szCs w:val="21"/>
                <w:highlight w:val="none"/>
                <w14:textFill>
                  <w14:solidFill>
                    <w14:schemeClr w14:val="tx1"/>
                  </w14:solidFill>
                </w14:textFill>
              </w:rPr>
            </w:pPr>
          </w:p>
        </w:tc>
        <w:tc>
          <w:tcPr>
            <w:tcW w:w="1318" w:type="pct"/>
            <w:gridSpan w:val="3"/>
            <w:vAlign w:val="center"/>
          </w:tcPr>
          <w:p w14:paraId="270F062E">
            <w:pPr>
              <w:jc w:val="center"/>
              <w:rPr>
                <w:color w:val="000000" w:themeColor="text1"/>
                <w:szCs w:val="21"/>
                <w:highlight w:val="none"/>
                <w14:textFill>
                  <w14:solidFill>
                    <w14:schemeClr w14:val="tx1"/>
                  </w14:solidFill>
                </w14:textFill>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w:t>
            </w:r>
          </w:p>
        </w:tc>
        <w:tc>
          <w:tcPr>
            <w:tcW w:w="365" w:type="pct"/>
          </w:tcPr>
          <w:p w14:paraId="1E4E4F2F">
            <w:pPr>
              <w:jc w:val="center"/>
              <w:rPr>
                <w:b/>
                <w:color w:val="000000" w:themeColor="text1"/>
                <w:szCs w:val="21"/>
                <w:highlight w:val="none"/>
                <w14:textFill>
                  <w14:solidFill>
                    <w14:schemeClr w14:val="tx1"/>
                  </w14:solidFill>
                </w14:textFill>
              </w:rPr>
            </w:pPr>
          </w:p>
        </w:tc>
        <w:tc>
          <w:tcPr>
            <w:tcW w:w="941" w:type="pct"/>
            <w:gridSpan w:val="2"/>
            <w:vAlign w:val="center"/>
          </w:tcPr>
          <w:p w14:paraId="3D4084BB">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合计</w:t>
            </w:r>
          </w:p>
        </w:tc>
        <w:tc>
          <w:tcPr>
            <w:tcW w:w="280" w:type="pct"/>
            <w:vAlign w:val="center"/>
          </w:tcPr>
          <w:p w14:paraId="6F30DEC9">
            <w:pPr>
              <w:jc w:val="center"/>
              <w:rPr>
                <w:b/>
                <w:color w:val="000000" w:themeColor="text1"/>
                <w:szCs w:val="21"/>
                <w:highlight w:val="none"/>
                <w14:textFill>
                  <w14:solidFill>
                    <w14:schemeClr w14:val="tx1"/>
                  </w14:solidFill>
                </w14:textFill>
              </w:rPr>
            </w:pPr>
          </w:p>
        </w:tc>
        <w:tc>
          <w:tcPr>
            <w:tcW w:w="233" w:type="pct"/>
            <w:vAlign w:val="center"/>
          </w:tcPr>
          <w:p w14:paraId="40DFB197">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70" w:type="pct"/>
            <w:gridSpan w:val="6"/>
            <w:vAlign w:val="center"/>
          </w:tcPr>
          <w:p w14:paraId="60ACCF56">
            <w:pPr>
              <w:jc w:val="center"/>
              <w:rPr>
                <w:b/>
                <w:color w:val="000000" w:themeColor="text1"/>
                <w:szCs w:val="21"/>
                <w:highlight w:val="none"/>
                <w14:textFill>
                  <w14:solidFill>
                    <w14:schemeClr w14:val="tx1"/>
                  </w14:solidFill>
                </w14:textFill>
              </w:rPr>
            </w:pPr>
          </w:p>
        </w:tc>
        <w:tc>
          <w:tcPr>
            <w:tcW w:w="1318" w:type="pct"/>
            <w:gridSpan w:val="3"/>
            <w:vAlign w:val="center"/>
          </w:tcPr>
          <w:p w14:paraId="609AFC25">
            <w:pPr>
              <w:jc w:val="center"/>
              <w:rPr>
                <w:b/>
                <w:color w:val="000000" w:themeColor="text1"/>
                <w:szCs w:val="21"/>
                <w:highlight w:val="none"/>
                <w14:textFill>
                  <w14:solidFill>
                    <w14:schemeClr w14:val="tx1"/>
                  </w14:solidFill>
                </w14:textFill>
              </w:rPr>
            </w:pPr>
          </w:p>
        </w:tc>
      </w:tr>
    </w:tbl>
    <w:p w14:paraId="75AE26C2">
      <w:pPr>
        <w:spacing w:line="360" w:lineRule="auto"/>
        <w:rPr>
          <w:color w:val="000000" w:themeColor="text1"/>
          <w:szCs w:val="21"/>
          <w:highlight w:val="none"/>
          <w14:textFill>
            <w14:solidFill>
              <w14:schemeClr w14:val="tx1"/>
            </w14:solidFill>
          </w14:textFill>
        </w:rPr>
      </w:pPr>
    </w:p>
    <w:p w14:paraId="391B408B">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bookmarkStart w:id="1617" w:name="_Toc284135594"/>
    </w:p>
    <w:p w14:paraId="05B23554">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6.综合单价分析表</w:t>
      </w:r>
    </w:p>
    <w:p w14:paraId="20B49842">
      <w:pPr>
        <w:spacing w:line="360" w:lineRule="auto"/>
        <w:ind w:left="842" w:leftChars="200" w:hanging="422" w:hangingChars="150"/>
        <w:jc w:val="center"/>
        <w:rPr>
          <w:b/>
          <w:bCs/>
          <w:color w:val="000000" w:themeColor="text1"/>
          <w:sz w:val="28"/>
          <w:szCs w:val="28"/>
          <w:highlight w:val="none"/>
          <w14:textFill>
            <w14:solidFill>
              <w14:schemeClr w14:val="tx1"/>
            </w14:solidFill>
          </w14:textFill>
        </w:rPr>
      </w:pPr>
    </w:p>
    <w:p w14:paraId="4B41CD0E">
      <w:pPr>
        <w:spacing w:line="360" w:lineRule="auto"/>
        <w:ind w:left="842" w:leftChars="200" w:hanging="422" w:hangingChars="15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XX不含增值税综合单价分析表</w:t>
      </w:r>
    </w:p>
    <w:p w14:paraId="36646AF4">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17"/>
        <w:gridCol w:w="829"/>
        <w:gridCol w:w="829"/>
        <w:gridCol w:w="829"/>
        <w:gridCol w:w="1104"/>
        <w:gridCol w:w="787"/>
        <w:gridCol w:w="931"/>
        <w:gridCol w:w="935"/>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序号</w:t>
            </w:r>
          </w:p>
        </w:tc>
        <w:tc>
          <w:tcPr>
            <w:tcW w:w="834" w:type="pct"/>
            <w:vMerge w:val="restart"/>
            <w:vAlign w:val="center"/>
          </w:tcPr>
          <w:p w14:paraId="3B9AE261">
            <w:pPr>
              <w:jc w:val="center"/>
              <w:rPr>
                <w:b/>
                <w:bCs/>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清单项目</w:t>
            </w:r>
          </w:p>
        </w:tc>
        <w:tc>
          <w:tcPr>
            <w:tcW w:w="3675" w:type="pct"/>
            <w:gridSpan w:val="7"/>
            <w:vAlign w:val="center"/>
          </w:tcPr>
          <w:p w14:paraId="3FEB6C98">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color w:val="000000" w:themeColor="text1"/>
                <w:szCs w:val="21"/>
                <w:highlight w:val="none"/>
                <w14:textFill>
                  <w14:solidFill>
                    <w14:schemeClr w14:val="tx1"/>
                  </w14:solidFill>
                </w14:textFill>
              </w:rPr>
            </w:pPr>
          </w:p>
        </w:tc>
        <w:tc>
          <w:tcPr>
            <w:tcW w:w="834" w:type="pct"/>
            <w:vMerge w:val="continue"/>
            <w:vAlign w:val="center"/>
          </w:tcPr>
          <w:p w14:paraId="41656062">
            <w:pPr>
              <w:jc w:val="center"/>
              <w:rPr>
                <w:bCs/>
                <w:color w:val="000000" w:themeColor="text1"/>
                <w:szCs w:val="21"/>
                <w:highlight w:val="none"/>
                <w14:textFill>
                  <w14:solidFill>
                    <w14:schemeClr w14:val="tx1"/>
                  </w14:solidFill>
                </w14:textFill>
              </w:rPr>
            </w:pPr>
          </w:p>
        </w:tc>
        <w:tc>
          <w:tcPr>
            <w:tcW w:w="488" w:type="pct"/>
            <w:vAlign w:val="center"/>
          </w:tcPr>
          <w:p w14:paraId="692F62D8">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人工</w:t>
            </w:r>
          </w:p>
        </w:tc>
        <w:tc>
          <w:tcPr>
            <w:tcW w:w="488" w:type="pct"/>
            <w:vAlign w:val="center"/>
          </w:tcPr>
          <w:p w14:paraId="59EFF11A">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材料</w:t>
            </w:r>
          </w:p>
        </w:tc>
        <w:tc>
          <w:tcPr>
            <w:tcW w:w="488" w:type="pct"/>
            <w:vAlign w:val="center"/>
          </w:tcPr>
          <w:p w14:paraId="65015D37">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机械</w:t>
            </w:r>
          </w:p>
        </w:tc>
        <w:tc>
          <w:tcPr>
            <w:tcW w:w="650" w:type="pct"/>
            <w:vAlign w:val="center"/>
          </w:tcPr>
          <w:p w14:paraId="006200F8">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管理费</w:t>
            </w:r>
          </w:p>
        </w:tc>
        <w:tc>
          <w:tcPr>
            <w:tcW w:w="463" w:type="pct"/>
            <w:vAlign w:val="center"/>
          </w:tcPr>
          <w:p w14:paraId="4ACBD27B">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利润</w:t>
            </w:r>
          </w:p>
        </w:tc>
        <w:tc>
          <w:tcPr>
            <w:tcW w:w="548" w:type="pct"/>
            <w:vAlign w:val="center"/>
          </w:tcPr>
          <w:p w14:paraId="08568EDB">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规费</w:t>
            </w:r>
          </w:p>
        </w:tc>
        <w:tc>
          <w:tcPr>
            <w:tcW w:w="550" w:type="pct"/>
            <w:vAlign w:val="center"/>
          </w:tcPr>
          <w:p w14:paraId="7BB32512">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color w:val="000000" w:themeColor="text1"/>
                <w:szCs w:val="21"/>
                <w:highlight w:val="none"/>
                <w14:textFill>
                  <w14:solidFill>
                    <w14:schemeClr w14:val="tx1"/>
                  </w14:solidFill>
                </w14:textFill>
              </w:rPr>
            </w:pPr>
          </w:p>
        </w:tc>
        <w:tc>
          <w:tcPr>
            <w:tcW w:w="834" w:type="pct"/>
            <w:vAlign w:val="center"/>
          </w:tcPr>
          <w:p w14:paraId="1C28C5F3">
            <w:pPr>
              <w:jc w:val="center"/>
              <w:rPr>
                <w:bCs/>
                <w:color w:val="000000" w:themeColor="text1"/>
                <w:szCs w:val="21"/>
                <w:highlight w:val="none"/>
                <w14:textFill>
                  <w14:solidFill>
                    <w14:schemeClr w14:val="tx1"/>
                  </w14:solidFill>
                </w14:textFill>
              </w:rPr>
            </w:pPr>
          </w:p>
        </w:tc>
        <w:tc>
          <w:tcPr>
            <w:tcW w:w="488" w:type="pct"/>
            <w:vAlign w:val="center"/>
          </w:tcPr>
          <w:p w14:paraId="633EBB7D">
            <w:pPr>
              <w:jc w:val="center"/>
              <w:rPr>
                <w:bCs/>
                <w:color w:val="000000" w:themeColor="text1"/>
                <w:szCs w:val="21"/>
                <w:highlight w:val="none"/>
                <w14:textFill>
                  <w14:solidFill>
                    <w14:schemeClr w14:val="tx1"/>
                  </w14:solidFill>
                </w14:textFill>
              </w:rPr>
            </w:pPr>
          </w:p>
        </w:tc>
        <w:tc>
          <w:tcPr>
            <w:tcW w:w="488" w:type="pct"/>
            <w:vAlign w:val="center"/>
          </w:tcPr>
          <w:p w14:paraId="78AB9DCC">
            <w:pPr>
              <w:jc w:val="center"/>
              <w:rPr>
                <w:bCs/>
                <w:color w:val="000000" w:themeColor="text1"/>
                <w:szCs w:val="21"/>
                <w:highlight w:val="none"/>
                <w14:textFill>
                  <w14:solidFill>
                    <w14:schemeClr w14:val="tx1"/>
                  </w14:solidFill>
                </w14:textFill>
              </w:rPr>
            </w:pPr>
          </w:p>
        </w:tc>
        <w:tc>
          <w:tcPr>
            <w:tcW w:w="488" w:type="pct"/>
            <w:vAlign w:val="center"/>
          </w:tcPr>
          <w:p w14:paraId="6AD190D2">
            <w:pPr>
              <w:jc w:val="center"/>
              <w:rPr>
                <w:bCs/>
                <w:color w:val="000000" w:themeColor="text1"/>
                <w:szCs w:val="21"/>
                <w:highlight w:val="none"/>
                <w14:textFill>
                  <w14:solidFill>
                    <w14:schemeClr w14:val="tx1"/>
                  </w14:solidFill>
                </w14:textFill>
              </w:rPr>
            </w:pPr>
          </w:p>
        </w:tc>
        <w:tc>
          <w:tcPr>
            <w:tcW w:w="650" w:type="pct"/>
            <w:vAlign w:val="center"/>
          </w:tcPr>
          <w:p w14:paraId="04ADAFEB">
            <w:pPr>
              <w:jc w:val="center"/>
              <w:rPr>
                <w:bCs/>
                <w:color w:val="000000" w:themeColor="text1"/>
                <w:szCs w:val="21"/>
                <w:highlight w:val="none"/>
                <w14:textFill>
                  <w14:solidFill>
                    <w14:schemeClr w14:val="tx1"/>
                  </w14:solidFill>
                </w14:textFill>
              </w:rPr>
            </w:pPr>
          </w:p>
        </w:tc>
        <w:tc>
          <w:tcPr>
            <w:tcW w:w="463" w:type="pct"/>
            <w:vAlign w:val="center"/>
          </w:tcPr>
          <w:p w14:paraId="164285F1">
            <w:pPr>
              <w:jc w:val="center"/>
              <w:rPr>
                <w:bCs/>
                <w:color w:val="000000" w:themeColor="text1"/>
                <w:szCs w:val="21"/>
                <w:highlight w:val="none"/>
                <w14:textFill>
                  <w14:solidFill>
                    <w14:schemeClr w14:val="tx1"/>
                  </w14:solidFill>
                </w14:textFill>
              </w:rPr>
            </w:pPr>
          </w:p>
        </w:tc>
        <w:tc>
          <w:tcPr>
            <w:tcW w:w="548" w:type="pct"/>
            <w:vAlign w:val="center"/>
          </w:tcPr>
          <w:p w14:paraId="1119318A">
            <w:pPr>
              <w:jc w:val="center"/>
              <w:rPr>
                <w:bCs/>
                <w:color w:val="000000" w:themeColor="text1"/>
                <w:szCs w:val="21"/>
                <w:highlight w:val="none"/>
                <w14:textFill>
                  <w14:solidFill>
                    <w14:schemeClr w14:val="tx1"/>
                  </w14:solidFill>
                </w14:textFill>
              </w:rPr>
            </w:pPr>
          </w:p>
        </w:tc>
        <w:tc>
          <w:tcPr>
            <w:tcW w:w="550" w:type="pct"/>
            <w:vAlign w:val="center"/>
          </w:tcPr>
          <w:p w14:paraId="0E8E3D73">
            <w:pPr>
              <w:jc w:val="center"/>
              <w:rPr>
                <w:bCs/>
                <w:color w:val="000000" w:themeColor="text1"/>
                <w:szCs w:val="21"/>
                <w:highlight w:val="none"/>
                <w14:textFill>
                  <w14:solidFill>
                    <w14:schemeClr w14:val="tx1"/>
                  </w14:solidFill>
                </w14:textFill>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color w:val="000000" w:themeColor="text1"/>
                <w:szCs w:val="21"/>
                <w:highlight w:val="none"/>
                <w14:textFill>
                  <w14:solidFill>
                    <w14:schemeClr w14:val="tx1"/>
                  </w14:solidFill>
                </w14:textFill>
              </w:rPr>
            </w:pPr>
          </w:p>
        </w:tc>
        <w:tc>
          <w:tcPr>
            <w:tcW w:w="834" w:type="pct"/>
            <w:vAlign w:val="center"/>
          </w:tcPr>
          <w:p w14:paraId="7AF80CCB">
            <w:pPr>
              <w:jc w:val="center"/>
              <w:rPr>
                <w:bCs/>
                <w:color w:val="000000" w:themeColor="text1"/>
                <w:szCs w:val="21"/>
                <w:highlight w:val="none"/>
                <w14:textFill>
                  <w14:solidFill>
                    <w14:schemeClr w14:val="tx1"/>
                  </w14:solidFill>
                </w14:textFill>
              </w:rPr>
            </w:pPr>
          </w:p>
        </w:tc>
        <w:tc>
          <w:tcPr>
            <w:tcW w:w="488" w:type="pct"/>
            <w:vAlign w:val="center"/>
          </w:tcPr>
          <w:p w14:paraId="190FCA20">
            <w:pPr>
              <w:jc w:val="center"/>
              <w:rPr>
                <w:bCs/>
                <w:color w:val="000000" w:themeColor="text1"/>
                <w:szCs w:val="21"/>
                <w:highlight w:val="none"/>
                <w14:textFill>
                  <w14:solidFill>
                    <w14:schemeClr w14:val="tx1"/>
                  </w14:solidFill>
                </w14:textFill>
              </w:rPr>
            </w:pPr>
          </w:p>
        </w:tc>
        <w:tc>
          <w:tcPr>
            <w:tcW w:w="488" w:type="pct"/>
            <w:vAlign w:val="center"/>
          </w:tcPr>
          <w:p w14:paraId="0DC9E334">
            <w:pPr>
              <w:jc w:val="center"/>
              <w:rPr>
                <w:bCs/>
                <w:color w:val="000000" w:themeColor="text1"/>
                <w:szCs w:val="21"/>
                <w:highlight w:val="none"/>
                <w14:textFill>
                  <w14:solidFill>
                    <w14:schemeClr w14:val="tx1"/>
                  </w14:solidFill>
                </w14:textFill>
              </w:rPr>
            </w:pPr>
          </w:p>
        </w:tc>
        <w:tc>
          <w:tcPr>
            <w:tcW w:w="488" w:type="pct"/>
            <w:vAlign w:val="center"/>
          </w:tcPr>
          <w:p w14:paraId="151DF080">
            <w:pPr>
              <w:jc w:val="center"/>
              <w:rPr>
                <w:bCs/>
                <w:color w:val="000000" w:themeColor="text1"/>
                <w:szCs w:val="21"/>
                <w:highlight w:val="none"/>
                <w14:textFill>
                  <w14:solidFill>
                    <w14:schemeClr w14:val="tx1"/>
                  </w14:solidFill>
                </w14:textFill>
              </w:rPr>
            </w:pPr>
          </w:p>
        </w:tc>
        <w:tc>
          <w:tcPr>
            <w:tcW w:w="650" w:type="pct"/>
            <w:vAlign w:val="center"/>
          </w:tcPr>
          <w:p w14:paraId="38A0113A">
            <w:pPr>
              <w:jc w:val="center"/>
              <w:rPr>
                <w:bCs/>
                <w:color w:val="000000" w:themeColor="text1"/>
                <w:szCs w:val="21"/>
                <w:highlight w:val="none"/>
                <w14:textFill>
                  <w14:solidFill>
                    <w14:schemeClr w14:val="tx1"/>
                  </w14:solidFill>
                </w14:textFill>
              </w:rPr>
            </w:pPr>
          </w:p>
        </w:tc>
        <w:tc>
          <w:tcPr>
            <w:tcW w:w="463" w:type="pct"/>
            <w:vAlign w:val="center"/>
          </w:tcPr>
          <w:p w14:paraId="6FC1B6C8">
            <w:pPr>
              <w:jc w:val="center"/>
              <w:rPr>
                <w:bCs/>
                <w:color w:val="000000" w:themeColor="text1"/>
                <w:szCs w:val="21"/>
                <w:highlight w:val="none"/>
                <w14:textFill>
                  <w14:solidFill>
                    <w14:schemeClr w14:val="tx1"/>
                  </w14:solidFill>
                </w14:textFill>
              </w:rPr>
            </w:pPr>
          </w:p>
        </w:tc>
        <w:tc>
          <w:tcPr>
            <w:tcW w:w="548" w:type="pct"/>
            <w:vAlign w:val="center"/>
          </w:tcPr>
          <w:p w14:paraId="758E1941">
            <w:pPr>
              <w:jc w:val="center"/>
              <w:rPr>
                <w:bCs/>
                <w:color w:val="000000" w:themeColor="text1"/>
                <w:szCs w:val="21"/>
                <w:highlight w:val="none"/>
                <w14:textFill>
                  <w14:solidFill>
                    <w14:schemeClr w14:val="tx1"/>
                  </w14:solidFill>
                </w14:textFill>
              </w:rPr>
            </w:pPr>
          </w:p>
        </w:tc>
        <w:tc>
          <w:tcPr>
            <w:tcW w:w="550" w:type="pct"/>
            <w:vAlign w:val="center"/>
          </w:tcPr>
          <w:p w14:paraId="676BC387">
            <w:pPr>
              <w:jc w:val="center"/>
              <w:rPr>
                <w:bCs/>
                <w:color w:val="000000" w:themeColor="text1"/>
                <w:szCs w:val="21"/>
                <w:highlight w:val="none"/>
                <w14:textFill>
                  <w14:solidFill>
                    <w14:schemeClr w14:val="tx1"/>
                  </w14:solidFill>
                </w14:textFill>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color w:val="000000" w:themeColor="text1"/>
                <w:szCs w:val="21"/>
                <w:highlight w:val="none"/>
                <w14:textFill>
                  <w14:solidFill>
                    <w14:schemeClr w14:val="tx1"/>
                  </w14:solidFill>
                </w14:textFill>
              </w:rPr>
            </w:pPr>
          </w:p>
        </w:tc>
        <w:tc>
          <w:tcPr>
            <w:tcW w:w="834" w:type="pct"/>
            <w:vAlign w:val="center"/>
          </w:tcPr>
          <w:p w14:paraId="73B52235">
            <w:pPr>
              <w:jc w:val="center"/>
              <w:rPr>
                <w:bCs/>
                <w:color w:val="000000" w:themeColor="text1"/>
                <w:szCs w:val="21"/>
                <w:highlight w:val="none"/>
                <w14:textFill>
                  <w14:solidFill>
                    <w14:schemeClr w14:val="tx1"/>
                  </w14:solidFill>
                </w14:textFill>
              </w:rPr>
            </w:pPr>
          </w:p>
        </w:tc>
        <w:tc>
          <w:tcPr>
            <w:tcW w:w="488" w:type="pct"/>
            <w:vAlign w:val="center"/>
          </w:tcPr>
          <w:p w14:paraId="06EE3342">
            <w:pPr>
              <w:jc w:val="center"/>
              <w:rPr>
                <w:bCs/>
                <w:color w:val="000000" w:themeColor="text1"/>
                <w:szCs w:val="21"/>
                <w:highlight w:val="none"/>
                <w14:textFill>
                  <w14:solidFill>
                    <w14:schemeClr w14:val="tx1"/>
                  </w14:solidFill>
                </w14:textFill>
              </w:rPr>
            </w:pPr>
          </w:p>
        </w:tc>
        <w:tc>
          <w:tcPr>
            <w:tcW w:w="488" w:type="pct"/>
            <w:vAlign w:val="center"/>
          </w:tcPr>
          <w:p w14:paraId="7B3122F2">
            <w:pPr>
              <w:jc w:val="center"/>
              <w:rPr>
                <w:bCs/>
                <w:color w:val="000000" w:themeColor="text1"/>
                <w:szCs w:val="21"/>
                <w:highlight w:val="none"/>
                <w14:textFill>
                  <w14:solidFill>
                    <w14:schemeClr w14:val="tx1"/>
                  </w14:solidFill>
                </w14:textFill>
              </w:rPr>
            </w:pPr>
          </w:p>
        </w:tc>
        <w:tc>
          <w:tcPr>
            <w:tcW w:w="488" w:type="pct"/>
            <w:vAlign w:val="center"/>
          </w:tcPr>
          <w:p w14:paraId="2716920E">
            <w:pPr>
              <w:jc w:val="center"/>
              <w:rPr>
                <w:bCs/>
                <w:color w:val="000000" w:themeColor="text1"/>
                <w:szCs w:val="21"/>
                <w:highlight w:val="none"/>
                <w14:textFill>
                  <w14:solidFill>
                    <w14:schemeClr w14:val="tx1"/>
                  </w14:solidFill>
                </w14:textFill>
              </w:rPr>
            </w:pPr>
          </w:p>
        </w:tc>
        <w:tc>
          <w:tcPr>
            <w:tcW w:w="650" w:type="pct"/>
            <w:vAlign w:val="center"/>
          </w:tcPr>
          <w:p w14:paraId="27EDEB8B">
            <w:pPr>
              <w:jc w:val="center"/>
              <w:rPr>
                <w:bCs/>
                <w:color w:val="000000" w:themeColor="text1"/>
                <w:szCs w:val="21"/>
                <w:highlight w:val="none"/>
                <w14:textFill>
                  <w14:solidFill>
                    <w14:schemeClr w14:val="tx1"/>
                  </w14:solidFill>
                </w14:textFill>
              </w:rPr>
            </w:pPr>
          </w:p>
        </w:tc>
        <w:tc>
          <w:tcPr>
            <w:tcW w:w="463" w:type="pct"/>
            <w:vAlign w:val="center"/>
          </w:tcPr>
          <w:p w14:paraId="6D71FFC5">
            <w:pPr>
              <w:jc w:val="center"/>
              <w:rPr>
                <w:bCs/>
                <w:color w:val="000000" w:themeColor="text1"/>
                <w:szCs w:val="21"/>
                <w:highlight w:val="none"/>
                <w14:textFill>
                  <w14:solidFill>
                    <w14:schemeClr w14:val="tx1"/>
                  </w14:solidFill>
                </w14:textFill>
              </w:rPr>
            </w:pPr>
          </w:p>
        </w:tc>
        <w:tc>
          <w:tcPr>
            <w:tcW w:w="548" w:type="pct"/>
            <w:vAlign w:val="center"/>
          </w:tcPr>
          <w:p w14:paraId="496E2552">
            <w:pPr>
              <w:jc w:val="center"/>
              <w:rPr>
                <w:bCs/>
                <w:color w:val="000000" w:themeColor="text1"/>
                <w:szCs w:val="21"/>
                <w:highlight w:val="none"/>
                <w14:textFill>
                  <w14:solidFill>
                    <w14:schemeClr w14:val="tx1"/>
                  </w14:solidFill>
                </w14:textFill>
              </w:rPr>
            </w:pPr>
          </w:p>
        </w:tc>
        <w:tc>
          <w:tcPr>
            <w:tcW w:w="550" w:type="pct"/>
            <w:vAlign w:val="center"/>
          </w:tcPr>
          <w:p w14:paraId="219AA544">
            <w:pPr>
              <w:jc w:val="center"/>
              <w:rPr>
                <w:bCs/>
                <w:color w:val="000000" w:themeColor="text1"/>
                <w:szCs w:val="21"/>
                <w:highlight w:val="none"/>
                <w14:textFill>
                  <w14:solidFill>
                    <w14:schemeClr w14:val="tx1"/>
                  </w14:solidFill>
                </w14:textFill>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 w:type="pct"/>
            <w:vAlign w:val="center"/>
          </w:tcPr>
          <w:p w14:paraId="021CF004">
            <w:pPr>
              <w:jc w:val="center"/>
              <w:rPr>
                <w:bCs/>
                <w:color w:val="000000" w:themeColor="text1"/>
                <w:szCs w:val="21"/>
                <w:highlight w:val="none"/>
                <w14:textFill>
                  <w14:solidFill>
                    <w14:schemeClr w14:val="tx1"/>
                  </w14:solidFill>
                </w14:textFill>
              </w:rPr>
            </w:pPr>
          </w:p>
        </w:tc>
        <w:tc>
          <w:tcPr>
            <w:tcW w:w="834" w:type="pct"/>
            <w:vAlign w:val="center"/>
          </w:tcPr>
          <w:p w14:paraId="2B3077C3">
            <w:pPr>
              <w:jc w:val="center"/>
              <w:rPr>
                <w:bCs/>
                <w:color w:val="000000" w:themeColor="text1"/>
                <w:szCs w:val="21"/>
                <w:highlight w:val="none"/>
                <w14:textFill>
                  <w14:solidFill>
                    <w14:schemeClr w14:val="tx1"/>
                  </w14:solidFill>
                </w14:textFill>
              </w:rPr>
            </w:pPr>
          </w:p>
        </w:tc>
        <w:tc>
          <w:tcPr>
            <w:tcW w:w="488" w:type="pct"/>
            <w:vAlign w:val="center"/>
          </w:tcPr>
          <w:p w14:paraId="7D6F310E">
            <w:pPr>
              <w:jc w:val="center"/>
              <w:rPr>
                <w:bCs/>
                <w:color w:val="000000" w:themeColor="text1"/>
                <w:szCs w:val="21"/>
                <w:highlight w:val="none"/>
                <w14:textFill>
                  <w14:solidFill>
                    <w14:schemeClr w14:val="tx1"/>
                  </w14:solidFill>
                </w14:textFill>
              </w:rPr>
            </w:pPr>
          </w:p>
        </w:tc>
        <w:tc>
          <w:tcPr>
            <w:tcW w:w="488" w:type="pct"/>
            <w:vAlign w:val="center"/>
          </w:tcPr>
          <w:p w14:paraId="2DB9E64A">
            <w:pPr>
              <w:jc w:val="center"/>
              <w:rPr>
                <w:bCs/>
                <w:color w:val="000000" w:themeColor="text1"/>
                <w:szCs w:val="21"/>
                <w:highlight w:val="none"/>
                <w14:textFill>
                  <w14:solidFill>
                    <w14:schemeClr w14:val="tx1"/>
                  </w14:solidFill>
                </w14:textFill>
              </w:rPr>
            </w:pPr>
          </w:p>
        </w:tc>
        <w:tc>
          <w:tcPr>
            <w:tcW w:w="488" w:type="pct"/>
            <w:vAlign w:val="center"/>
          </w:tcPr>
          <w:p w14:paraId="4FC476A1">
            <w:pPr>
              <w:jc w:val="center"/>
              <w:rPr>
                <w:bCs/>
                <w:color w:val="000000" w:themeColor="text1"/>
                <w:szCs w:val="21"/>
                <w:highlight w:val="none"/>
                <w14:textFill>
                  <w14:solidFill>
                    <w14:schemeClr w14:val="tx1"/>
                  </w14:solidFill>
                </w14:textFill>
              </w:rPr>
            </w:pPr>
          </w:p>
        </w:tc>
        <w:tc>
          <w:tcPr>
            <w:tcW w:w="650" w:type="pct"/>
            <w:vAlign w:val="center"/>
          </w:tcPr>
          <w:p w14:paraId="3F07DED9">
            <w:pPr>
              <w:jc w:val="center"/>
              <w:rPr>
                <w:bCs/>
                <w:color w:val="000000" w:themeColor="text1"/>
                <w:szCs w:val="21"/>
                <w:highlight w:val="none"/>
                <w14:textFill>
                  <w14:solidFill>
                    <w14:schemeClr w14:val="tx1"/>
                  </w14:solidFill>
                </w14:textFill>
              </w:rPr>
            </w:pPr>
          </w:p>
        </w:tc>
        <w:tc>
          <w:tcPr>
            <w:tcW w:w="463" w:type="pct"/>
            <w:vAlign w:val="center"/>
          </w:tcPr>
          <w:p w14:paraId="2BFCF4F0">
            <w:pPr>
              <w:jc w:val="center"/>
              <w:rPr>
                <w:bCs/>
                <w:color w:val="000000" w:themeColor="text1"/>
                <w:szCs w:val="21"/>
                <w:highlight w:val="none"/>
                <w14:textFill>
                  <w14:solidFill>
                    <w14:schemeClr w14:val="tx1"/>
                  </w14:solidFill>
                </w14:textFill>
              </w:rPr>
            </w:pPr>
          </w:p>
        </w:tc>
        <w:tc>
          <w:tcPr>
            <w:tcW w:w="548" w:type="pct"/>
            <w:vAlign w:val="center"/>
          </w:tcPr>
          <w:p w14:paraId="224D6751">
            <w:pPr>
              <w:jc w:val="center"/>
              <w:rPr>
                <w:bCs/>
                <w:color w:val="000000" w:themeColor="text1"/>
                <w:szCs w:val="21"/>
                <w:highlight w:val="none"/>
                <w14:textFill>
                  <w14:solidFill>
                    <w14:schemeClr w14:val="tx1"/>
                  </w14:solidFill>
                </w14:textFill>
              </w:rPr>
            </w:pPr>
          </w:p>
        </w:tc>
        <w:tc>
          <w:tcPr>
            <w:tcW w:w="550" w:type="pct"/>
            <w:vAlign w:val="center"/>
          </w:tcPr>
          <w:p w14:paraId="0E8156E3">
            <w:pPr>
              <w:jc w:val="center"/>
              <w:rPr>
                <w:bCs/>
                <w:color w:val="000000" w:themeColor="text1"/>
                <w:szCs w:val="21"/>
                <w:highlight w:val="none"/>
                <w14:textFill>
                  <w14:solidFill>
                    <w14:schemeClr w14:val="tx1"/>
                  </w14:solidFill>
                </w14:textFill>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color w:val="000000" w:themeColor="text1"/>
                <w:szCs w:val="21"/>
                <w:highlight w:val="none"/>
                <w14:textFill>
                  <w14:solidFill>
                    <w14:schemeClr w14:val="tx1"/>
                  </w14:solidFill>
                </w14:textFill>
              </w:rPr>
            </w:pPr>
          </w:p>
        </w:tc>
        <w:tc>
          <w:tcPr>
            <w:tcW w:w="834" w:type="pct"/>
            <w:vAlign w:val="center"/>
          </w:tcPr>
          <w:p w14:paraId="5B0CB5E3">
            <w:pPr>
              <w:jc w:val="center"/>
              <w:rPr>
                <w:bCs/>
                <w:color w:val="000000" w:themeColor="text1"/>
                <w:szCs w:val="21"/>
                <w:highlight w:val="none"/>
                <w14:textFill>
                  <w14:solidFill>
                    <w14:schemeClr w14:val="tx1"/>
                  </w14:solidFill>
                </w14:textFill>
              </w:rPr>
            </w:pPr>
          </w:p>
        </w:tc>
        <w:tc>
          <w:tcPr>
            <w:tcW w:w="488" w:type="pct"/>
            <w:vAlign w:val="center"/>
          </w:tcPr>
          <w:p w14:paraId="11AA9C9C">
            <w:pPr>
              <w:jc w:val="center"/>
              <w:rPr>
                <w:bCs/>
                <w:color w:val="000000" w:themeColor="text1"/>
                <w:szCs w:val="21"/>
                <w:highlight w:val="none"/>
                <w14:textFill>
                  <w14:solidFill>
                    <w14:schemeClr w14:val="tx1"/>
                  </w14:solidFill>
                </w14:textFill>
              </w:rPr>
            </w:pPr>
          </w:p>
        </w:tc>
        <w:tc>
          <w:tcPr>
            <w:tcW w:w="488" w:type="pct"/>
            <w:vAlign w:val="center"/>
          </w:tcPr>
          <w:p w14:paraId="5946C9AA">
            <w:pPr>
              <w:jc w:val="center"/>
              <w:rPr>
                <w:bCs/>
                <w:color w:val="000000" w:themeColor="text1"/>
                <w:szCs w:val="21"/>
                <w:highlight w:val="none"/>
                <w14:textFill>
                  <w14:solidFill>
                    <w14:schemeClr w14:val="tx1"/>
                  </w14:solidFill>
                </w14:textFill>
              </w:rPr>
            </w:pPr>
          </w:p>
        </w:tc>
        <w:tc>
          <w:tcPr>
            <w:tcW w:w="488" w:type="pct"/>
            <w:vAlign w:val="center"/>
          </w:tcPr>
          <w:p w14:paraId="0BB3530E">
            <w:pPr>
              <w:jc w:val="center"/>
              <w:rPr>
                <w:bCs/>
                <w:color w:val="000000" w:themeColor="text1"/>
                <w:szCs w:val="21"/>
                <w:highlight w:val="none"/>
                <w14:textFill>
                  <w14:solidFill>
                    <w14:schemeClr w14:val="tx1"/>
                  </w14:solidFill>
                </w14:textFill>
              </w:rPr>
            </w:pPr>
          </w:p>
        </w:tc>
        <w:tc>
          <w:tcPr>
            <w:tcW w:w="650" w:type="pct"/>
            <w:vAlign w:val="center"/>
          </w:tcPr>
          <w:p w14:paraId="798600D2">
            <w:pPr>
              <w:jc w:val="center"/>
              <w:rPr>
                <w:bCs/>
                <w:color w:val="000000" w:themeColor="text1"/>
                <w:szCs w:val="21"/>
                <w:highlight w:val="none"/>
                <w14:textFill>
                  <w14:solidFill>
                    <w14:schemeClr w14:val="tx1"/>
                  </w14:solidFill>
                </w14:textFill>
              </w:rPr>
            </w:pPr>
          </w:p>
        </w:tc>
        <w:tc>
          <w:tcPr>
            <w:tcW w:w="463" w:type="pct"/>
            <w:vAlign w:val="center"/>
          </w:tcPr>
          <w:p w14:paraId="24DA7618">
            <w:pPr>
              <w:jc w:val="center"/>
              <w:rPr>
                <w:bCs/>
                <w:color w:val="000000" w:themeColor="text1"/>
                <w:szCs w:val="21"/>
                <w:highlight w:val="none"/>
                <w14:textFill>
                  <w14:solidFill>
                    <w14:schemeClr w14:val="tx1"/>
                  </w14:solidFill>
                </w14:textFill>
              </w:rPr>
            </w:pPr>
          </w:p>
        </w:tc>
        <w:tc>
          <w:tcPr>
            <w:tcW w:w="548" w:type="pct"/>
            <w:vAlign w:val="center"/>
          </w:tcPr>
          <w:p w14:paraId="6BF14FA8">
            <w:pPr>
              <w:jc w:val="center"/>
              <w:rPr>
                <w:bCs/>
                <w:color w:val="000000" w:themeColor="text1"/>
                <w:szCs w:val="21"/>
                <w:highlight w:val="none"/>
                <w14:textFill>
                  <w14:solidFill>
                    <w14:schemeClr w14:val="tx1"/>
                  </w14:solidFill>
                </w14:textFill>
              </w:rPr>
            </w:pPr>
          </w:p>
        </w:tc>
        <w:tc>
          <w:tcPr>
            <w:tcW w:w="550" w:type="pct"/>
            <w:vAlign w:val="center"/>
          </w:tcPr>
          <w:p w14:paraId="2389D12D">
            <w:pPr>
              <w:jc w:val="center"/>
              <w:rPr>
                <w:bCs/>
                <w:color w:val="000000" w:themeColor="text1"/>
                <w:szCs w:val="21"/>
                <w:highlight w:val="none"/>
                <w14:textFill>
                  <w14:solidFill>
                    <w14:schemeClr w14:val="tx1"/>
                  </w14:solidFill>
                </w14:textFill>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color w:val="000000" w:themeColor="text1"/>
                <w:szCs w:val="21"/>
                <w:highlight w:val="none"/>
                <w14:textFill>
                  <w14:solidFill>
                    <w14:schemeClr w14:val="tx1"/>
                  </w14:solidFill>
                </w14:textFill>
              </w:rPr>
            </w:pPr>
          </w:p>
        </w:tc>
        <w:tc>
          <w:tcPr>
            <w:tcW w:w="834" w:type="pct"/>
            <w:vAlign w:val="center"/>
          </w:tcPr>
          <w:p w14:paraId="262357F3">
            <w:pPr>
              <w:jc w:val="center"/>
              <w:rPr>
                <w:bCs/>
                <w:color w:val="000000" w:themeColor="text1"/>
                <w:szCs w:val="21"/>
                <w:highlight w:val="none"/>
                <w14:textFill>
                  <w14:solidFill>
                    <w14:schemeClr w14:val="tx1"/>
                  </w14:solidFill>
                </w14:textFill>
              </w:rPr>
            </w:pPr>
          </w:p>
        </w:tc>
        <w:tc>
          <w:tcPr>
            <w:tcW w:w="488" w:type="pct"/>
            <w:vAlign w:val="center"/>
          </w:tcPr>
          <w:p w14:paraId="34F1CABD">
            <w:pPr>
              <w:jc w:val="center"/>
              <w:rPr>
                <w:bCs/>
                <w:color w:val="000000" w:themeColor="text1"/>
                <w:szCs w:val="21"/>
                <w:highlight w:val="none"/>
                <w14:textFill>
                  <w14:solidFill>
                    <w14:schemeClr w14:val="tx1"/>
                  </w14:solidFill>
                </w14:textFill>
              </w:rPr>
            </w:pPr>
          </w:p>
        </w:tc>
        <w:tc>
          <w:tcPr>
            <w:tcW w:w="488" w:type="pct"/>
            <w:vAlign w:val="center"/>
          </w:tcPr>
          <w:p w14:paraId="3AFB76BF">
            <w:pPr>
              <w:jc w:val="center"/>
              <w:rPr>
                <w:bCs/>
                <w:color w:val="000000" w:themeColor="text1"/>
                <w:szCs w:val="21"/>
                <w:highlight w:val="none"/>
                <w14:textFill>
                  <w14:solidFill>
                    <w14:schemeClr w14:val="tx1"/>
                  </w14:solidFill>
                </w14:textFill>
              </w:rPr>
            </w:pPr>
          </w:p>
        </w:tc>
        <w:tc>
          <w:tcPr>
            <w:tcW w:w="488" w:type="pct"/>
            <w:vAlign w:val="center"/>
          </w:tcPr>
          <w:p w14:paraId="5C075F2B">
            <w:pPr>
              <w:jc w:val="center"/>
              <w:rPr>
                <w:bCs/>
                <w:color w:val="000000" w:themeColor="text1"/>
                <w:szCs w:val="21"/>
                <w:highlight w:val="none"/>
                <w14:textFill>
                  <w14:solidFill>
                    <w14:schemeClr w14:val="tx1"/>
                  </w14:solidFill>
                </w14:textFill>
              </w:rPr>
            </w:pPr>
          </w:p>
        </w:tc>
        <w:tc>
          <w:tcPr>
            <w:tcW w:w="650" w:type="pct"/>
            <w:vAlign w:val="center"/>
          </w:tcPr>
          <w:p w14:paraId="21DAD009">
            <w:pPr>
              <w:jc w:val="center"/>
              <w:rPr>
                <w:bCs/>
                <w:color w:val="000000" w:themeColor="text1"/>
                <w:szCs w:val="21"/>
                <w:highlight w:val="none"/>
                <w14:textFill>
                  <w14:solidFill>
                    <w14:schemeClr w14:val="tx1"/>
                  </w14:solidFill>
                </w14:textFill>
              </w:rPr>
            </w:pPr>
          </w:p>
        </w:tc>
        <w:tc>
          <w:tcPr>
            <w:tcW w:w="463" w:type="pct"/>
            <w:vAlign w:val="center"/>
          </w:tcPr>
          <w:p w14:paraId="626BB3D2">
            <w:pPr>
              <w:jc w:val="center"/>
              <w:rPr>
                <w:bCs/>
                <w:color w:val="000000" w:themeColor="text1"/>
                <w:szCs w:val="21"/>
                <w:highlight w:val="none"/>
                <w14:textFill>
                  <w14:solidFill>
                    <w14:schemeClr w14:val="tx1"/>
                  </w14:solidFill>
                </w14:textFill>
              </w:rPr>
            </w:pPr>
          </w:p>
        </w:tc>
        <w:tc>
          <w:tcPr>
            <w:tcW w:w="548" w:type="pct"/>
            <w:vAlign w:val="center"/>
          </w:tcPr>
          <w:p w14:paraId="58DE753A">
            <w:pPr>
              <w:jc w:val="center"/>
              <w:rPr>
                <w:bCs/>
                <w:color w:val="000000" w:themeColor="text1"/>
                <w:szCs w:val="21"/>
                <w:highlight w:val="none"/>
                <w14:textFill>
                  <w14:solidFill>
                    <w14:schemeClr w14:val="tx1"/>
                  </w14:solidFill>
                </w14:textFill>
              </w:rPr>
            </w:pPr>
          </w:p>
        </w:tc>
        <w:tc>
          <w:tcPr>
            <w:tcW w:w="550" w:type="pct"/>
            <w:vAlign w:val="center"/>
          </w:tcPr>
          <w:p w14:paraId="69440829">
            <w:pPr>
              <w:jc w:val="center"/>
              <w:rPr>
                <w:bCs/>
                <w:color w:val="000000" w:themeColor="text1"/>
                <w:szCs w:val="21"/>
                <w:highlight w:val="none"/>
                <w14:textFill>
                  <w14:solidFill>
                    <w14:schemeClr w14:val="tx1"/>
                  </w14:solidFill>
                </w14:textFill>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color w:val="000000" w:themeColor="text1"/>
                <w:szCs w:val="21"/>
                <w:highlight w:val="none"/>
                <w14:textFill>
                  <w14:solidFill>
                    <w14:schemeClr w14:val="tx1"/>
                  </w14:solidFill>
                </w14:textFill>
              </w:rPr>
            </w:pPr>
          </w:p>
        </w:tc>
        <w:tc>
          <w:tcPr>
            <w:tcW w:w="834" w:type="pct"/>
            <w:vAlign w:val="center"/>
          </w:tcPr>
          <w:p w14:paraId="25F2D517">
            <w:pPr>
              <w:jc w:val="center"/>
              <w:rPr>
                <w:bCs/>
                <w:color w:val="000000" w:themeColor="text1"/>
                <w:szCs w:val="21"/>
                <w:highlight w:val="none"/>
                <w14:textFill>
                  <w14:solidFill>
                    <w14:schemeClr w14:val="tx1"/>
                  </w14:solidFill>
                </w14:textFill>
              </w:rPr>
            </w:pPr>
          </w:p>
        </w:tc>
        <w:tc>
          <w:tcPr>
            <w:tcW w:w="488" w:type="pct"/>
            <w:vAlign w:val="center"/>
          </w:tcPr>
          <w:p w14:paraId="6FE59657">
            <w:pPr>
              <w:jc w:val="center"/>
              <w:rPr>
                <w:bCs/>
                <w:color w:val="000000" w:themeColor="text1"/>
                <w:szCs w:val="21"/>
                <w:highlight w:val="none"/>
                <w14:textFill>
                  <w14:solidFill>
                    <w14:schemeClr w14:val="tx1"/>
                  </w14:solidFill>
                </w14:textFill>
              </w:rPr>
            </w:pPr>
          </w:p>
        </w:tc>
        <w:tc>
          <w:tcPr>
            <w:tcW w:w="488" w:type="pct"/>
            <w:vAlign w:val="center"/>
          </w:tcPr>
          <w:p w14:paraId="55C57047">
            <w:pPr>
              <w:jc w:val="center"/>
              <w:rPr>
                <w:bCs/>
                <w:color w:val="000000" w:themeColor="text1"/>
                <w:szCs w:val="21"/>
                <w:highlight w:val="none"/>
                <w14:textFill>
                  <w14:solidFill>
                    <w14:schemeClr w14:val="tx1"/>
                  </w14:solidFill>
                </w14:textFill>
              </w:rPr>
            </w:pPr>
          </w:p>
        </w:tc>
        <w:tc>
          <w:tcPr>
            <w:tcW w:w="488" w:type="pct"/>
            <w:vAlign w:val="center"/>
          </w:tcPr>
          <w:p w14:paraId="12714A8F">
            <w:pPr>
              <w:jc w:val="center"/>
              <w:rPr>
                <w:bCs/>
                <w:color w:val="000000" w:themeColor="text1"/>
                <w:szCs w:val="21"/>
                <w:highlight w:val="none"/>
                <w14:textFill>
                  <w14:solidFill>
                    <w14:schemeClr w14:val="tx1"/>
                  </w14:solidFill>
                </w14:textFill>
              </w:rPr>
            </w:pPr>
          </w:p>
        </w:tc>
        <w:tc>
          <w:tcPr>
            <w:tcW w:w="650" w:type="pct"/>
            <w:vAlign w:val="center"/>
          </w:tcPr>
          <w:p w14:paraId="1F45FF9B">
            <w:pPr>
              <w:jc w:val="center"/>
              <w:rPr>
                <w:bCs/>
                <w:color w:val="000000" w:themeColor="text1"/>
                <w:szCs w:val="21"/>
                <w:highlight w:val="none"/>
                <w14:textFill>
                  <w14:solidFill>
                    <w14:schemeClr w14:val="tx1"/>
                  </w14:solidFill>
                </w14:textFill>
              </w:rPr>
            </w:pPr>
          </w:p>
        </w:tc>
        <w:tc>
          <w:tcPr>
            <w:tcW w:w="463" w:type="pct"/>
            <w:vAlign w:val="center"/>
          </w:tcPr>
          <w:p w14:paraId="5B6BA4DD">
            <w:pPr>
              <w:jc w:val="center"/>
              <w:rPr>
                <w:bCs/>
                <w:color w:val="000000" w:themeColor="text1"/>
                <w:szCs w:val="21"/>
                <w:highlight w:val="none"/>
                <w14:textFill>
                  <w14:solidFill>
                    <w14:schemeClr w14:val="tx1"/>
                  </w14:solidFill>
                </w14:textFill>
              </w:rPr>
            </w:pPr>
          </w:p>
        </w:tc>
        <w:tc>
          <w:tcPr>
            <w:tcW w:w="548" w:type="pct"/>
            <w:vAlign w:val="center"/>
          </w:tcPr>
          <w:p w14:paraId="4BA09E08">
            <w:pPr>
              <w:jc w:val="center"/>
              <w:rPr>
                <w:bCs/>
                <w:color w:val="000000" w:themeColor="text1"/>
                <w:szCs w:val="21"/>
                <w:highlight w:val="none"/>
                <w14:textFill>
                  <w14:solidFill>
                    <w14:schemeClr w14:val="tx1"/>
                  </w14:solidFill>
                </w14:textFill>
              </w:rPr>
            </w:pPr>
          </w:p>
        </w:tc>
        <w:tc>
          <w:tcPr>
            <w:tcW w:w="550" w:type="pct"/>
            <w:vAlign w:val="center"/>
          </w:tcPr>
          <w:p w14:paraId="6BDB7A63">
            <w:pPr>
              <w:jc w:val="center"/>
              <w:rPr>
                <w:bCs/>
                <w:color w:val="000000" w:themeColor="text1"/>
                <w:szCs w:val="21"/>
                <w:highlight w:val="none"/>
                <w14:textFill>
                  <w14:solidFill>
                    <w14:schemeClr w14:val="tx1"/>
                  </w14:solidFill>
                </w14:textFill>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 w:type="pct"/>
            <w:vAlign w:val="center"/>
          </w:tcPr>
          <w:p w14:paraId="5067D8B0">
            <w:pPr>
              <w:jc w:val="center"/>
              <w:rPr>
                <w:bCs/>
                <w:color w:val="000000" w:themeColor="text1"/>
                <w:szCs w:val="21"/>
                <w:highlight w:val="none"/>
                <w14:textFill>
                  <w14:solidFill>
                    <w14:schemeClr w14:val="tx1"/>
                  </w14:solidFill>
                </w14:textFill>
              </w:rPr>
            </w:pPr>
          </w:p>
        </w:tc>
        <w:tc>
          <w:tcPr>
            <w:tcW w:w="834" w:type="pct"/>
            <w:vAlign w:val="center"/>
          </w:tcPr>
          <w:p w14:paraId="3AF0A603">
            <w:pPr>
              <w:jc w:val="center"/>
              <w:rPr>
                <w:bCs/>
                <w:color w:val="000000" w:themeColor="text1"/>
                <w:szCs w:val="21"/>
                <w:highlight w:val="none"/>
                <w14:textFill>
                  <w14:solidFill>
                    <w14:schemeClr w14:val="tx1"/>
                  </w14:solidFill>
                </w14:textFill>
              </w:rPr>
            </w:pPr>
          </w:p>
        </w:tc>
        <w:tc>
          <w:tcPr>
            <w:tcW w:w="488" w:type="pct"/>
            <w:vAlign w:val="center"/>
          </w:tcPr>
          <w:p w14:paraId="3D1DA545">
            <w:pPr>
              <w:jc w:val="center"/>
              <w:rPr>
                <w:bCs/>
                <w:color w:val="000000" w:themeColor="text1"/>
                <w:szCs w:val="21"/>
                <w:highlight w:val="none"/>
                <w14:textFill>
                  <w14:solidFill>
                    <w14:schemeClr w14:val="tx1"/>
                  </w14:solidFill>
                </w14:textFill>
              </w:rPr>
            </w:pPr>
          </w:p>
        </w:tc>
        <w:tc>
          <w:tcPr>
            <w:tcW w:w="488" w:type="pct"/>
            <w:vAlign w:val="center"/>
          </w:tcPr>
          <w:p w14:paraId="355A1C49">
            <w:pPr>
              <w:jc w:val="center"/>
              <w:rPr>
                <w:bCs/>
                <w:color w:val="000000" w:themeColor="text1"/>
                <w:szCs w:val="21"/>
                <w:highlight w:val="none"/>
                <w14:textFill>
                  <w14:solidFill>
                    <w14:schemeClr w14:val="tx1"/>
                  </w14:solidFill>
                </w14:textFill>
              </w:rPr>
            </w:pPr>
          </w:p>
        </w:tc>
        <w:tc>
          <w:tcPr>
            <w:tcW w:w="488" w:type="pct"/>
            <w:vAlign w:val="center"/>
          </w:tcPr>
          <w:p w14:paraId="5CFBFCA7">
            <w:pPr>
              <w:jc w:val="center"/>
              <w:rPr>
                <w:bCs/>
                <w:color w:val="000000" w:themeColor="text1"/>
                <w:szCs w:val="21"/>
                <w:highlight w:val="none"/>
                <w14:textFill>
                  <w14:solidFill>
                    <w14:schemeClr w14:val="tx1"/>
                  </w14:solidFill>
                </w14:textFill>
              </w:rPr>
            </w:pPr>
          </w:p>
        </w:tc>
        <w:tc>
          <w:tcPr>
            <w:tcW w:w="650" w:type="pct"/>
            <w:vAlign w:val="center"/>
          </w:tcPr>
          <w:p w14:paraId="4A186E3B">
            <w:pPr>
              <w:jc w:val="center"/>
              <w:rPr>
                <w:bCs/>
                <w:color w:val="000000" w:themeColor="text1"/>
                <w:szCs w:val="21"/>
                <w:highlight w:val="none"/>
                <w14:textFill>
                  <w14:solidFill>
                    <w14:schemeClr w14:val="tx1"/>
                  </w14:solidFill>
                </w14:textFill>
              </w:rPr>
            </w:pPr>
          </w:p>
        </w:tc>
        <w:tc>
          <w:tcPr>
            <w:tcW w:w="463" w:type="pct"/>
            <w:vAlign w:val="center"/>
          </w:tcPr>
          <w:p w14:paraId="2649A5ED">
            <w:pPr>
              <w:jc w:val="center"/>
              <w:rPr>
                <w:bCs/>
                <w:color w:val="000000" w:themeColor="text1"/>
                <w:szCs w:val="21"/>
                <w:highlight w:val="none"/>
                <w14:textFill>
                  <w14:solidFill>
                    <w14:schemeClr w14:val="tx1"/>
                  </w14:solidFill>
                </w14:textFill>
              </w:rPr>
            </w:pPr>
          </w:p>
        </w:tc>
        <w:tc>
          <w:tcPr>
            <w:tcW w:w="548" w:type="pct"/>
            <w:vAlign w:val="center"/>
          </w:tcPr>
          <w:p w14:paraId="726F3C6D">
            <w:pPr>
              <w:jc w:val="center"/>
              <w:rPr>
                <w:bCs/>
                <w:color w:val="000000" w:themeColor="text1"/>
                <w:szCs w:val="21"/>
                <w:highlight w:val="none"/>
                <w14:textFill>
                  <w14:solidFill>
                    <w14:schemeClr w14:val="tx1"/>
                  </w14:solidFill>
                </w14:textFill>
              </w:rPr>
            </w:pPr>
          </w:p>
        </w:tc>
        <w:tc>
          <w:tcPr>
            <w:tcW w:w="550" w:type="pct"/>
            <w:vAlign w:val="center"/>
          </w:tcPr>
          <w:p w14:paraId="306E1ECE">
            <w:pPr>
              <w:jc w:val="center"/>
              <w:rPr>
                <w:bCs/>
                <w:color w:val="000000" w:themeColor="text1"/>
                <w:szCs w:val="21"/>
                <w:highlight w:val="none"/>
                <w14:textFill>
                  <w14:solidFill>
                    <w14:schemeClr w14:val="tx1"/>
                  </w14:solidFill>
                </w14:textFill>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color w:val="000000" w:themeColor="text1"/>
                <w:szCs w:val="21"/>
                <w:highlight w:val="none"/>
                <w14:textFill>
                  <w14:solidFill>
                    <w14:schemeClr w14:val="tx1"/>
                  </w14:solidFill>
                </w14:textFill>
              </w:rPr>
            </w:pPr>
          </w:p>
        </w:tc>
        <w:tc>
          <w:tcPr>
            <w:tcW w:w="834" w:type="pct"/>
            <w:vAlign w:val="center"/>
          </w:tcPr>
          <w:p w14:paraId="350CEE63">
            <w:pPr>
              <w:jc w:val="center"/>
              <w:rPr>
                <w:bCs/>
                <w:color w:val="000000" w:themeColor="text1"/>
                <w:szCs w:val="21"/>
                <w:highlight w:val="none"/>
                <w14:textFill>
                  <w14:solidFill>
                    <w14:schemeClr w14:val="tx1"/>
                  </w14:solidFill>
                </w14:textFill>
              </w:rPr>
            </w:pPr>
          </w:p>
        </w:tc>
        <w:tc>
          <w:tcPr>
            <w:tcW w:w="488" w:type="pct"/>
            <w:vAlign w:val="center"/>
          </w:tcPr>
          <w:p w14:paraId="4C220B81">
            <w:pPr>
              <w:jc w:val="center"/>
              <w:rPr>
                <w:bCs/>
                <w:color w:val="000000" w:themeColor="text1"/>
                <w:szCs w:val="21"/>
                <w:highlight w:val="none"/>
                <w14:textFill>
                  <w14:solidFill>
                    <w14:schemeClr w14:val="tx1"/>
                  </w14:solidFill>
                </w14:textFill>
              </w:rPr>
            </w:pPr>
          </w:p>
        </w:tc>
        <w:tc>
          <w:tcPr>
            <w:tcW w:w="488" w:type="pct"/>
            <w:vAlign w:val="center"/>
          </w:tcPr>
          <w:p w14:paraId="51202EE7">
            <w:pPr>
              <w:jc w:val="center"/>
              <w:rPr>
                <w:bCs/>
                <w:color w:val="000000" w:themeColor="text1"/>
                <w:szCs w:val="21"/>
                <w:highlight w:val="none"/>
                <w14:textFill>
                  <w14:solidFill>
                    <w14:schemeClr w14:val="tx1"/>
                  </w14:solidFill>
                </w14:textFill>
              </w:rPr>
            </w:pPr>
          </w:p>
        </w:tc>
        <w:tc>
          <w:tcPr>
            <w:tcW w:w="488" w:type="pct"/>
            <w:vAlign w:val="center"/>
          </w:tcPr>
          <w:p w14:paraId="5AB421FE">
            <w:pPr>
              <w:jc w:val="center"/>
              <w:rPr>
                <w:bCs/>
                <w:color w:val="000000" w:themeColor="text1"/>
                <w:szCs w:val="21"/>
                <w:highlight w:val="none"/>
                <w14:textFill>
                  <w14:solidFill>
                    <w14:schemeClr w14:val="tx1"/>
                  </w14:solidFill>
                </w14:textFill>
              </w:rPr>
            </w:pPr>
          </w:p>
        </w:tc>
        <w:tc>
          <w:tcPr>
            <w:tcW w:w="650" w:type="pct"/>
            <w:vAlign w:val="center"/>
          </w:tcPr>
          <w:p w14:paraId="4B88F174">
            <w:pPr>
              <w:jc w:val="center"/>
              <w:rPr>
                <w:bCs/>
                <w:color w:val="000000" w:themeColor="text1"/>
                <w:szCs w:val="21"/>
                <w:highlight w:val="none"/>
                <w14:textFill>
                  <w14:solidFill>
                    <w14:schemeClr w14:val="tx1"/>
                  </w14:solidFill>
                </w14:textFill>
              </w:rPr>
            </w:pPr>
          </w:p>
        </w:tc>
        <w:tc>
          <w:tcPr>
            <w:tcW w:w="463" w:type="pct"/>
            <w:vAlign w:val="center"/>
          </w:tcPr>
          <w:p w14:paraId="5FA3C35C">
            <w:pPr>
              <w:jc w:val="center"/>
              <w:rPr>
                <w:bCs/>
                <w:color w:val="000000" w:themeColor="text1"/>
                <w:szCs w:val="21"/>
                <w:highlight w:val="none"/>
                <w14:textFill>
                  <w14:solidFill>
                    <w14:schemeClr w14:val="tx1"/>
                  </w14:solidFill>
                </w14:textFill>
              </w:rPr>
            </w:pPr>
          </w:p>
        </w:tc>
        <w:tc>
          <w:tcPr>
            <w:tcW w:w="548" w:type="pct"/>
            <w:vAlign w:val="center"/>
          </w:tcPr>
          <w:p w14:paraId="288A808E">
            <w:pPr>
              <w:jc w:val="center"/>
              <w:rPr>
                <w:bCs/>
                <w:color w:val="000000" w:themeColor="text1"/>
                <w:szCs w:val="21"/>
                <w:highlight w:val="none"/>
                <w14:textFill>
                  <w14:solidFill>
                    <w14:schemeClr w14:val="tx1"/>
                  </w14:solidFill>
                </w14:textFill>
              </w:rPr>
            </w:pPr>
          </w:p>
        </w:tc>
        <w:tc>
          <w:tcPr>
            <w:tcW w:w="550" w:type="pct"/>
            <w:vAlign w:val="center"/>
          </w:tcPr>
          <w:p w14:paraId="6472A325">
            <w:pPr>
              <w:jc w:val="center"/>
              <w:rPr>
                <w:bCs/>
                <w:color w:val="000000" w:themeColor="text1"/>
                <w:szCs w:val="21"/>
                <w:highlight w:val="none"/>
                <w14:textFill>
                  <w14:solidFill>
                    <w14:schemeClr w14:val="tx1"/>
                  </w14:solidFill>
                </w14:textFill>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color w:val="000000" w:themeColor="text1"/>
                <w:szCs w:val="21"/>
                <w:highlight w:val="none"/>
                <w14:textFill>
                  <w14:solidFill>
                    <w14:schemeClr w14:val="tx1"/>
                  </w14:solidFill>
                </w14:textFill>
              </w:rPr>
            </w:pPr>
          </w:p>
        </w:tc>
        <w:tc>
          <w:tcPr>
            <w:tcW w:w="834" w:type="pct"/>
            <w:vAlign w:val="center"/>
          </w:tcPr>
          <w:p w14:paraId="4F39BF64">
            <w:pPr>
              <w:jc w:val="center"/>
              <w:rPr>
                <w:bCs/>
                <w:color w:val="000000" w:themeColor="text1"/>
                <w:szCs w:val="21"/>
                <w:highlight w:val="none"/>
                <w14:textFill>
                  <w14:solidFill>
                    <w14:schemeClr w14:val="tx1"/>
                  </w14:solidFill>
                </w14:textFill>
              </w:rPr>
            </w:pPr>
          </w:p>
        </w:tc>
        <w:tc>
          <w:tcPr>
            <w:tcW w:w="488" w:type="pct"/>
            <w:vAlign w:val="center"/>
          </w:tcPr>
          <w:p w14:paraId="75704D2C">
            <w:pPr>
              <w:jc w:val="center"/>
              <w:rPr>
                <w:bCs/>
                <w:color w:val="000000" w:themeColor="text1"/>
                <w:szCs w:val="21"/>
                <w:highlight w:val="none"/>
                <w14:textFill>
                  <w14:solidFill>
                    <w14:schemeClr w14:val="tx1"/>
                  </w14:solidFill>
                </w14:textFill>
              </w:rPr>
            </w:pPr>
          </w:p>
        </w:tc>
        <w:tc>
          <w:tcPr>
            <w:tcW w:w="488" w:type="pct"/>
            <w:vAlign w:val="center"/>
          </w:tcPr>
          <w:p w14:paraId="704D75C3">
            <w:pPr>
              <w:jc w:val="center"/>
              <w:rPr>
                <w:bCs/>
                <w:color w:val="000000" w:themeColor="text1"/>
                <w:szCs w:val="21"/>
                <w:highlight w:val="none"/>
                <w14:textFill>
                  <w14:solidFill>
                    <w14:schemeClr w14:val="tx1"/>
                  </w14:solidFill>
                </w14:textFill>
              </w:rPr>
            </w:pPr>
          </w:p>
        </w:tc>
        <w:tc>
          <w:tcPr>
            <w:tcW w:w="488" w:type="pct"/>
            <w:vAlign w:val="center"/>
          </w:tcPr>
          <w:p w14:paraId="66AB9F84">
            <w:pPr>
              <w:jc w:val="center"/>
              <w:rPr>
                <w:bCs/>
                <w:color w:val="000000" w:themeColor="text1"/>
                <w:szCs w:val="21"/>
                <w:highlight w:val="none"/>
                <w14:textFill>
                  <w14:solidFill>
                    <w14:schemeClr w14:val="tx1"/>
                  </w14:solidFill>
                </w14:textFill>
              </w:rPr>
            </w:pPr>
          </w:p>
        </w:tc>
        <w:tc>
          <w:tcPr>
            <w:tcW w:w="650" w:type="pct"/>
            <w:vAlign w:val="center"/>
          </w:tcPr>
          <w:p w14:paraId="61137786">
            <w:pPr>
              <w:jc w:val="center"/>
              <w:rPr>
                <w:bCs/>
                <w:color w:val="000000" w:themeColor="text1"/>
                <w:szCs w:val="21"/>
                <w:highlight w:val="none"/>
                <w14:textFill>
                  <w14:solidFill>
                    <w14:schemeClr w14:val="tx1"/>
                  </w14:solidFill>
                </w14:textFill>
              </w:rPr>
            </w:pPr>
          </w:p>
        </w:tc>
        <w:tc>
          <w:tcPr>
            <w:tcW w:w="463" w:type="pct"/>
            <w:vAlign w:val="center"/>
          </w:tcPr>
          <w:p w14:paraId="42DD3116">
            <w:pPr>
              <w:jc w:val="center"/>
              <w:rPr>
                <w:bCs/>
                <w:color w:val="000000" w:themeColor="text1"/>
                <w:szCs w:val="21"/>
                <w:highlight w:val="none"/>
                <w14:textFill>
                  <w14:solidFill>
                    <w14:schemeClr w14:val="tx1"/>
                  </w14:solidFill>
                </w14:textFill>
              </w:rPr>
            </w:pPr>
          </w:p>
        </w:tc>
        <w:tc>
          <w:tcPr>
            <w:tcW w:w="548" w:type="pct"/>
            <w:vAlign w:val="center"/>
          </w:tcPr>
          <w:p w14:paraId="3AB0F7ED">
            <w:pPr>
              <w:jc w:val="center"/>
              <w:rPr>
                <w:bCs/>
                <w:color w:val="000000" w:themeColor="text1"/>
                <w:szCs w:val="21"/>
                <w:highlight w:val="none"/>
                <w14:textFill>
                  <w14:solidFill>
                    <w14:schemeClr w14:val="tx1"/>
                  </w14:solidFill>
                </w14:textFill>
              </w:rPr>
            </w:pPr>
          </w:p>
        </w:tc>
        <w:tc>
          <w:tcPr>
            <w:tcW w:w="550" w:type="pct"/>
            <w:vAlign w:val="center"/>
          </w:tcPr>
          <w:p w14:paraId="32241E42">
            <w:pPr>
              <w:jc w:val="center"/>
              <w:rPr>
                <w:bCs/>
                <w:color w:val="000000" w:themeColor="text1"/>
                <w:szCs w:val="21"/>
                <w:highlight w:val="none"/>
                <w14:textFill>
                  <w14:solidFill>
                    <w14:schemeClr w14:val="tx1"/>
                  </w14:solidFill>
                </w14:textFill>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color w:val="000000" w:themeColor="text1"/>
                <w:szCs w:val="21"/>
                <w:highlight w:val="none"/>
                <w14:textFill>
                  <w14:solidFill>
                    <w14:schemeClr w14:val="tx1"/>
                  </w14:solidFill>
                </w14:textFill>
              </w:rPr>
            </w:pPr>
          </w:p>
        </w:tc>
        <w:tc>
          <w:tcPr>
            <w:tcW w:w="834" w:type="pct"/>
            <w:vAlign w:val="center"/>
          </w:tcPr>
          <w:p w14:paraId="3C5776AF">
            <w:pPr>
              <w:jc w:val="center"/>
              <w:rPr>
                <w:bCs/>
                <w:color w:val="000000" w:themeColor="text1"/>
                <w:szCs w:val="21"/>
                <w:highlight w:val="none"/>
                <w14:textFill>
                  <w14:solidFill>
                    <w14:schemeClr w14:val="tx1"/>
                  </w14:solidFill>
                </w14:textFill>
              </w:rPr>
            </w:pPr>
          </w:p>
        </w:tc>
        <w:tc>
          <w:tcPr>
            <w:tcW w:w="488" w:type="pct"/>
            <w:vAlign w:val="center"/>
          </w:tcPr>
          <w:p w14:paraId="0270F5D7">
            <w:pPr>
              <w:jc w:val="center"/>
              <w:rPr>
                <w:bCs/>
                <w:color w:val="000000" w:themeColor="text1"/>
                <w:szCs w:val="21"/>
                <w:highlight w:val="none"/>
                <w14:textFill>
                  <w14:solidFill>
                    <w14:schemeClr w14:val="tx1"/>
                  </w14:solidFill>
                </w14:textFill>
              </w:rPr>
            </w:pPr>
          </w:p>
        </w:tc>
        <w:tc>
          <w:tcPr>
            <w:tcW w:w="488" w:type="pct"/>
            <w:vAlign w:val="center"/>
          </w:tcPr>
          <w:p w14:paraId="4293D98D">
            <w:pPr>
              <w:jc w:val="center"/>
              <w:rPr>
                <w:bCs/>
                <w:color w:val="000000" w:themeColor="text1"/>
                <w:szCs w:val="21"/>
                <w:highlight w:val="none"/>
                <w14:textFill>
                  <w14:solidFill>
                    <w14:schemeClr w14:val="tx1"/>
                  </w14:solidFill>
                </w14:textFill>
              </w:rPr>
            </w:pPr>
          </w:p>
        </w:tc>
        <w:tc>
          <w:tcPr>
            <w:tcW w:w="488" w:type="pct"/>
            <w:vAlign w:val="center"/>
          </w:tcPr>
          <w:p w14:paraId="3D0DC2A7">
            <w:pPr>
              <w:jc w:val="center"/>
              <w:rPr>
                <w:bCs/>
                <w:color w:val="000000" w:themeColor="text1"/>
                <w:szCs w:val="21"/>
                <w:highlight w:val="none"/>
                <w14:textFill>
                  <w14:solidFill>
                    <w14:schemeClr w14:val="tx1"/>
                  </w14:solidFill>
                </w14:textFill>
              </w:rPr>
            </w:pPr>
          </w:p>
        </w:tc>
        <w:tc>
          <w:tcPr>
            <w:tcW w:w="650" w:type="pct"/>
            <w:vAlign w:val="center"/>
          </w:tcPr>
          <w:p w14:paraId="53F155A3">
            <w:pPr>
              <w:jc w:val="center"/>
              <w:rPr>
                <w:bCs/>
                <w:color w:val="000000" w:themeColor="text1"/>
                <w:szCs w:val="21"/>
                <w:highlight w:val="none"/>
                <w14:textFill>
                  <w14:solidFill>
                    <w14:schemeClr w14:val="tx1"/>
                  </w14:solidFill>
                </w14:textFill>
              </w:rPr>
            </w:pPr>
          </w:p>
        </w:tc>
        <w:tc>
          <w:tcPr>
            <w:tcW w:w="463" w:type="pct"/>
            <w:vAlign w:val="center"/>
          </w:tcPr>
          <w:p w14:paraId="6C6F274D">
            <w:pPr>
              <w:jc w:val="center"/>
              <w:rPr>
                <w:bCs/>
                <w:color w:val="000000" w:themeColor="text1"/>
                <w:szCs w:val="21"/>
                <w:highlight w:val="none"/>
                <w14:textFill>
                  <w14:solidFill>
                    <w14:schemeClr w14:val="tx1"/>
                  </w14:solidFill>
                </w14:textFill>
              </w:rPr>
            </w:pPr>
          </w:p>
        </w:tc>
        <w:tc>
          <w:tcPr>
            <w:tcW w:w="548" w:type="pct"/>
            <w:vAlign w:val="center"/>
          </w:tcPr>
          <w:p w14:paraId="7F43B40C">
            <w:pPr>
              <w:jc w:val="center"/>
              <w:rPr>
                <w:bCs/>
                <w:color w:val="000000" w:themeColor="text1"/>
                <w:szCs w:val="21"/>
                <w:highlight w:val="none"/>
                <w14:textFill>
                  <w14:solidFill>
                    <w14:schemeClr w14:val="tx1"/>
                  </w14:solidFill>
                </w14:textFill>
              </w:rPr>
            </w:pPr>
          </w:p>
        </w:tc>
        <w:tc>
          <w:tcPr>
            <w:tcW w:w="550" w:type="pct"/>
            <w:vAlign w:val="center"/>
          </w:tcPr>
          <w:p w14:paraId="635F32F5">
            <w:pPr>
              <w:jc w:val="center"/>
              <w:rPr>
                <w:bCs/>
                <w:color w:val="000000" w:themeColor="text1"/>
                <w:szCs w:val="21"/>
                <w:highlight w:val="none"/>
                <w14:textFill>
                  <w14:solidFill>
                    <w14:schemeClr w14:val="tx1"/>
                  </w14:solidFill>
                </w14:textFill>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color w:val="000000" w:themeColor="text1"/>
                <w:szCs w:val="21"/>
                <w:highlight w:val="none"/>
                <w14:textFill>
                  <w14:solidFill>
                    <w14:schemeClr w14:val="tx1"/>
                  </w14:solidFill>
                </w14:textFill>
              </w:rPr>
            </w:pPr>
          </w:p>
        </w:tc>
        <w:tc>
          <w:tcPr>
            <w:tcW w:w="834" w:type="pct"/>
            <w:vAlign w:val="center"/>
          </w:tcPr>
          <w:p w14:paraId="437A1ECB">
            <w:pPr>
              <w:jc w:val="center"/>
              <w:rPr>
                <w:bCs/>
                <w:color w:val="000000" w:themeColor="text1"/>
                <w:szCs w:val="21"/>
                <w:highlight w:val="none"/>
                <w14:textFill>
                  <w14:solidFill>
                    <w14:schemeClr w14:val="tx1"/>
                  </w14:solidFill>
                </w14:textFill>
              </w:rPr>
            </w:pPr>
          </w:p>
        </w:tc>
        <w:tc>
          <w:tcPr>
            <w:tcW w:w="488" w:type="pct"/>
            <w:vAlign w:val="center"/>
          </w:tcPr>
          <w:p w14:paraId="3EFC2059">
            <w:pPr>
              <w:jc w:val="center"/>
              <w:rPr>
                <w:bCs/>
                <w:color w:val="000000" w:themeColor="text1"/>
                <w:szCs w:val="21"/>
                <w:highlight w:val="none"/>
                <w14:textFill>
                  <w14:solidFill>
                    <w14:schemeClr w14:val="tx1"/>
                  </w14:solidFill>
                </w14:textFill>
              </w:rPr>
            </w:pPr>
          </w:p>
        </w:tc>
        <w:tc>
          <w:tcPr>
            <w:tcW w:w="488" w:type="pct"/>
            <w:vAlign w:val="center"/>
          </w:tcPr>
          <w:p w14:paraId="6971BE90">
            <w:pPr>
              <w:jc w:val="center"/>
              <w:rPr>
                <w:bCs/>
                <w:color w:val="000000" w:themeColor="text1"/>
                <w:szCs w:val="21"/>
                <w:highlight w:val="none"/>
                <w14:textFill>
                  <w14:solidFill>
                    <w14:schemeClr w14:val="tx1"/>
                  </w14:solidFill>
                </w14:textFill>
              </w:rPr>
            </w:pPr>
          </w:p>
        </w:tc>
        <w:tc>
          <w:tcPr>
            <w:tcW w:w="488" w:type="pct"/>
            <w:vAlign w:val="center"/>
          </w:tcPr>
          <w:p w14:paraId="4BA8780C">
            <w:pPr>
              <w:jc w:val="center"/>
              <w:rPr>
                <w:bCs/>
                <w:color w:val="000000" w:themeColor="text1"/>
                <w:szCs w:val="21"/>
                <w:highlight w:val="none"/>
                <w14:textFill>
                  <w14:solidFill>
                    <w14:schemeClr w14:val="tx1"/>
                  </w14:solidFill>
                </w14:textFill>
              </w:rPr>
            </w:pPr>
          </w:p>
        </w:tc>
        <w:tc>
          <w:tcPr>
            <w:tcW w:w="650" w:type="pct"/>
            <w:vAlign w:val="center"/>
          </w:tcPr>
          <w:p w14:paraId="1912471E">
            <w:pPr>
              <w:jc w:val="center"/>
              <w:rPr>
                <w:bCs/>
                <w:color w:val="000000" w:themeColor="text1"/>
                <w:szCs w:val="21"/>
                <w:highlight w:val="none"/>
                <w14:textFill>
                  <w14:solidFill>
                    <w14:schemeClr w14:val="tx1"/>
                  </w14:solidFill>
                </w14:textFill>
              </w:rPr>
            </w:pPr>
          </w:p>
        </w:tc>
        <w:tc>
          <w:tcPr>
            <w:tcW w:w="463" w:type="pct"/>
            <w:vAlign w:val="center"/>
          </w:tcPr>
          <w:p w14:paraId="6D3F0CCF">
            <w:pPr>
              <w:jc w:val="center"/>
              <w:rPr>
                <w:bCs/>
                <w:color w:val="000000" w:themeColor="text1"/>
                <w:szCs w:val="21"/>
                <w:highlight w:val="none"/>
                <w14:textFill>
                  <w14:solidFill>
                    <w14:schemeClr w14:val="tx1"/>
                  </w14:solidFill>
                </w14:textFill>
              </w:rPr>
            </w:pPr>
          </w:p>
        </w:tc>
        <w:tc>
          <w:tcPr>
            <w:tcW w:w="548" w:type="pct"/>
            <w:vAlign w:val="center"/>
          </w:tcPr>
          <w:p w14:paraId="26DB42E8">
            <w:pPr>
              <w:jc w:val="center"/>
              <w:rPr>
                <w:bCs/>
                <w:color w:val="000000" w:themeColor="text1"/>
                <w:szCs w:val="21"/>
                <w:highlight w:val="none"/>
                <w14:textFill>
                  <w14:solidFill>
                    <w14:schemeClr w14:val="tx1"/>
                  </w14:solidFill>
                </w14:textFill>
              </w:rPr>
            </w:pPr>
          </w:p>
        </w:tc>
        <w:tc>
          <w:tcPr>
            <w:tcW w:w="550" w:type="pct"/>
            <w:vAlign w:val="center"/>
          </w:tcPr>
          <w:p w14:paraId="44A292BA">
            <w:pPr>
              <w:jc w:val="center"/>
              <w:rPr>
                <w:bCs/>
                <w:color w:val="000000" w:themeColor="text1"/>
                <w:szCs w:val="21"/>
                <w:highlight w:val="none"/>
                <w14:textFill>
                  <w14:solidFill>
                    <w14:schemeClr w14:val="tx1"/>
                  </w14:solidFill>
                </w14:textFill>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color w:val="000000" w:themeColor="text1"/>
                <w:szCs w:val="21"/>
                <w:highlight w:val="none"/>
                <w14:textFill>
                  <w14:solidFill>
                    <w14:schemeClr w14:val="tx1"/>
                  </w14:solidFill>
                </w14:textFill>
              </w:rPr>
            </w:pPr>
          </w:p>
        </w:tc>
        <w:tc>
          <w:tcPr>
            <w:tcW w:w="834" w:type="pct"/>
            <w:vAlign w:val="center"/>
          </w:tcPr>
          <w:p w14:paraId="1C48DD9C">
            <w:pPr>
              <w:jc w:val="center"/>
              <w:rPr>
                <w:bCs/>
                <w:color w:val="000000" w:themeColor="text1"/>
                <w:szCs w:val="21"/>
                <w:highlight w:val="none"/>
                <w14:textFill>
                  <w14:solidFill>
                    <w14:schemeClr w14:val="tx1"/>
                  </w14:solidFill>
                </w14:textFill>
              </w:rPr>
            </w:pPr>
          </w:p>
        </w:tc>
        <w:tc>
          <w:tcPr>
            <w:tcW w:w="488" w:type="pct"/>
            <w:vAlign w:val="center"/>
          </w:tcPr>
          <w:p w14:paraId="326A6671">
            <w:pPr>
              <w:jc w:val="center"/>
              <w:rPr>
                <w:bCs/>
                <w:color w:val="000000" w:themeColor="text1"/>
                <w:szCs w:val="21"/>
                <w:highlight w:val="none"/>
                <w14:textFill>
                  <w14:solidFill>
                    <w14:schemeClr w14:val="tx1"/>
                  </w14:solidFill>
                </w14:textFill>
              </w:rPr>
            </w:pPr>
          </w:p>
        </w:tc>
        <w:tc>
          <w:tcPr>
            <w:tcW w:w="488" w:type="pct"/>
            <w:vAlign w:val="center"/>
          </w:tcPr>
          <w:p w14:paraId="36E8BC71">
            <w:pPr>
              <w:jc w:val="center"/>
              <w:rPr>
                <w:bCs/>
                <w:color w:val="000000" w:themeColor="text1"/>
                <w:szCs w:val="21"/>
                <w:highlight w:val="none"/>
                <w14:textFill>
                  <w14:solidFill>
                    <w14:schemeClr w14:val="tx1"/>
                  </w14:solidFill>
                </w14:textFill>
              </w:rPr>
            </w:pPr>
          </w:p>
        </w:tc>
        <w:tc>
          <w:tcPr>
            <w:tcW w:w="488" w:type="pct"/>
            <w:vAlign w:val="center"/>
          </w:tcPr>
          <w:p w14:paraId="19920828">
            <w:pPr>
              <w:jc w:val="center"/>
              <w:rPr>
                <w:bCs/>
                <w:color w:val="000000" w:themeColor="text1"/>
                <w:szCs w:val="21"/>
                <w:highlight w:val="none"/>
                <w14:textFill>
                  <w14:solidFill>
                    <w14:schemeClr w14:val="tx1"/>
                  </w14:solidFill>
                </w14:textFill>
              </w:rPr>
            </w:pPr>
          </w:p>
        </w:tc>
        <w:tc>
          <w:tcPr>
            <w:tcW w:w="650" w:type="pct"/>
            <w:vAlign w:val="center"/>
          </w:tcPr>
          <w:p w14:paraId="124F967D">
            <w:pPr>
              <w:jc w:val="center"/>
              <w:rPr>
                <w:bCs/>
                <w:color w:val="000000" w:themeColor="text1"/>
                <w:szCs w:val="21"/>
                <w:highlight w:val="none"/>
                <w14:textFill>
                  <w14:solidFill>
                    <w14:schemeClr w14:val="tx1"/>
                  </w14:solidFill>
                </w14:textFill>
              </w:rPr>
            </w:pPr>
          </w:p>
        </w:tc>
        <w:tc>
          <w:tcPr>
            <w:tcW w:w="463" w:type="pct"/>
            <w:vAlign w:val="center"/>
          </w:tcPr>
          <w:p w14:paraId="124CF67B">
            <w:pPr>
              <w:jc w:val="center"/>
              <w:rPr>
                <w:bCs/>
                <w:color w:val="000000" w:themeColor="text1"/>
                <w:szCs w:val="21"/>
                <w:highlight w:val="none"/>
                <w14:textFill>
                  <w14:solidFill>
                    <w14:schemeClr w14:val="tx1"/>
                  </w14:solidFill>
                </w14:textFill>
              </w:rPr>
            </w:pPr>
          </w:p>
        </w:tc>
        <w:tc>
          <w:tcPr>
            <w:tcW w:w="548" w:type="pct"/>
            <w:vAlign w:val="center"/>
          </w:tcPr>
          <w:p w14:paraId="2D988196">
            <w:pPr>
              <w:jc w:val="center"/>
              <w:rPr>
                <w:bCs/>
                <w:color w:val="000000" w:themeColor="text1"/>
                <w:szCs w:val="21"/>
                <w:highlight w:val="none"/>
                <w14:textFill>
                  <w14:solidFill>
                    <w14:schemeClr w14:val="tx1"/>
                  </w14:solidFill>
                </w14:textFill>
              </w:rPr>
            </w:pPr>
          </w:p>
        </w:tc>
        <w:tc>
          <w:tcPr>
            <w:tcW w:w="550" w:type="pct"/>
            <w:vAlign w:val="center"/>
          </w:tcPr>
          <w:p w14:paraId="4EB0141C">
            <w:pPr>
              <w:jc w:val="center"/>
              <w:rPr>
                <w:bCs/>
                <w:color w:val="000000" w:themeColor="text1"/>
                <w:szCs w:val="21"/>
                <w:highlight w:val="none"/>
                <w14:textFill>
                  <w14:solidFill>
                    <w14:schemeClr w14:val="tx1"/>
                  </w14:solidFill>
                </w14:textFill>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color w:val="000000" w:themeColor="text1"/>
                <w:szCs w:val="21"/>
                <w:highlight w:val="none"/>
                <w14:textFill>
                  <w14:solidFill>
                    <w14:schemeClr w14:val="tx1"/>
                  </w14:solidFill>
                </w14:textFill>
              </w:rPr>
            </w:pPr>
          </w:p>
        </w:tc>
        <w:tc>
          <w:tcPr>
            <w:tcW w:w="834" w:type="pct"/>
            <w:vAlign w:val="center"/>
          </w:tcPr>
          <w:p w14:paraId="24F56B2F">
            <w:pPr>
              <w:jc w:val="center"/>
              <w:rPr>
                <w:bCs/>
                <w:color w:val="000000" w:themeColor="text1"/>
                <w:szCs w:val="21"/>
                <w:highlight w:val="none"/>
                <w14:textFill>
                  <w14:solidFill>
                    <w14:schemeClr w14:val="tx1"/>
                  </w14:solidFill>
                </w14:textFill>
              </w:rPr>
            </w:pPr>
          </w:p>
        </w:tc>
        <w:tc>
          <w:tcPr>
            <w:tcW w:w="488" w:type="pct"/>
            <w:vAlign w:val="center"/>
          </w:tcPr>
          <w:p w14:paraId="761DAE2E">
            <w:pPr>
              <w:jc w:val="center"/>
              <w:rPr>
                <w:bCs/>
                <w:color w:val="000000" w:themeColor="text1"/>
                <w:szCs w:val="21"/>
                <w:highlight w:val="none"/>
                <w14:textFill>
                  <w14:solidFill>
                    <w14:schemeClr w14:val="tx1"/>
                  </w14:solidFill>
                </w14:textFill>
              </w:rPr>
            </w:pPr>
          </w:p>
        </w:tc>
        <w:tc>
          <w:tcPr>
            <w:tcW w:w="488" w:type="pct"/>
            <w:vAlign w:val="center"/>
          </w:tcPr>
          <w:p w14:paraId="6BB01F2F">
            <w:pPr>
              <w:jc w:val="center"/>
              <w:rPr>
                <w:bCs/>
                <w:color w:val="000000" w:themeColor="text1"/>
                <w:szCs w:val="21"/>
                <w:highlight w:val="none"/>
                <w14:textFill>
                  <w14:solidFill>
                    <w14:schemeClr w14:val="tx1"/>
                  </w14:solidFill>
                </w14:textFill>
              </w:rPr>
            </w:pPr>
          </w:p>
        </w:tc>
        <w:tc>
          <w:tcPr>
            <w:tcW w:w="488" w:type="pct"/>
            <w:vAlign w:val="center"/>
          </w:tcPr>
          <w:p w14:paraId="5EA92D4E">
            <w:pPr>
              <w:jc w:val="center"/>
              <w:rPr>
                <w:bCs/>
                <w:color w:val="000000" w:themeColor="text1"/>
                <w:szCs w:val="21"/>
                <w:highlight w:val="none"/>
                <w14:textFill>
                  <w14:solidFill>
                    <w14:schemeClr w14:val="tx1"/>
                  </w14:solidFill>
                </w14:textFill>
              </w:rPr>
            </w:pPr>
          </w:p>
        </w:tc>
        <w:tc>
          <w:tcPr>
            <w:tcW w:w="650" w:type="pct"/>
            <w:vAlign w:val="center"/>
          </w:tcPr>
          <w:p w14:paraId="1B3C0472">
            <w:pPr>
              <w:jc w:val="center"/>
              <w:rPr>
                <w:bCs/>
                <w:color w:val="000000" w:themeColor="text1"/>
                <w:szCs w:val="21"/>
                <w:highlight w:val="none"/>
                <w14:textFill>
                  <w14:solidFill>
                    <w14:schemeClr w14:val="tx1"/>
                  </w14:solidFill>
                </w14:textFill>
              </w:rPr>
            </w:pPr>
          </w:p>
        </w:tc>
        <w:tc>
          <w:tcPr>
            <w:tcW w:w="463" w:type="pct"/>
            <w:vAlign w:val="center"/>
          </w:tcPr>
          <w:p w14:paraId="68834D99">
            <w:pPr>
              <w:jc w:val="center"/>
              <w:rPr>
                <w:bCs/>
                <w:color w:val="000000" w:themeColor="text1"/>
                <w:szCs w:val="21"/>
                <w:highlight w:val="none"/>
                <w14:textFill>
                  <w14:solidFill>
                    <w14:schemeClr w14:val="tx1"/>
                  </w14:solidFill>
                </w14:textFill>
              </w:rPr>
            </w:pPr>
          </w:p>
        </w:tc>
        <w:tc>
          <w:tcPr>
            <w:tcW w:w="548" w:type="pct"/>
            <w:vAlign w:val="center"/>
          </w:tcPr>
          <w:p w14:paraId="1044CBAA">
            <w:pPr>
              <w:jc w:val="center"/>
              <w:rPr>
                <w:bCs/>
                <w:color w:val="000000" w:themeColor="text1"/>
                <w:szCs w:val="21"/>
                <w:highlight w:val="none"/>
                <w14:textFill>
                  <w14:solidFill>
                    <w14:schemeClr w14:val="tx1"/>
                  </w14:solidFill>
                </w14:textFill>
              </w:rPr>
            </w:pPr>
          </w:p>
        </w:tc>
        <w:tc>
          <w:tcPr>
            <w:tcW w:w="550" w:type="pct"/>
            <w:vAlign w:val="center"/>
          </w:tcPr>
          <w:p w14:paraId="3A45ED82">
            <w:pPr>
              <w:jc w:val="center"/>
              <w:rPr>
                <w:bCs/>
                <w:color w:val="000000" w:themeColor="text1"/>
                <w:szCs w:val="21"/>
                <w:highlight w:val="none"/>
                <w14:textFill>
                  <w14:solidFill>
                    <w14:schemeClr w14:val="tx1"/>
                  </w14:solidFill>
                </w14:textFill>
              </w:rPr>
            </w:pPr>
          </w:p>
        </w:tc>
      </w:tr>
    </w:tbl>
    <w:p w14:paraId="75945C1F">
      <w:pPr>
        <w:spacing w:line="360" w:lineRule="auto"/>
        <w:ind w:left="735" w:leftChars="200" w:hanging="315" w:hangingChars="150"/>
        <w:rPr>
          <w:bCs/>
          <w:color w:val="000000" w:themeColor="text1"/>
          <w:szCs w:val="21"/>
          <w:highlight w:val="none"/>
          <w14:textFill>
            <w14:solidFill>
              <w14:schemeClr w14:val="tx1"/>
            </w14:solidFill>
          </w14:textFill>
        </w:rPr>
      </w:pPr>
    </w:p>
    <w:bookmarkEnd w:id="1617"/>
    <w:p w14:paraId="579F0C38">
      <w:pPr>
        <w:spacing w:line="360" w:lineRule="auto"/>
        <w:ind w:left="735" w:leftChars="200" w:hanging="315" w:hangingChars="150"/>
        <w:rPr>
          <w:bCs/>
          <w:color w:val="000000" w:themeColor="text1"/>
          <w:szCs w:val="21"/>
          <w:highlight w:val="none"/>
          <w14:textFill>
            <w14:solidFill>
              <w14:schemeClr w14:val="tx1"/>
            </w14:solidFill>
          </w14:textFill>
        </w:rPr>
      </w:pPr>
    </w:p>
    <w:p w14:paraId="7D06B0DB">
      <w:pPr>
        <w:spacing w:line="360" w:lineRule="auto"/>
        <w:ind w:left="735" w:leftChars="200" w:hanging="315" w:hangingChars="150"/>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7.</w:t>
      </w:r>
      <w:r>
        <w:rPr>
          <w:color w:val="000000" w:themeColor="text1"/>
          <w:sz w:val="21"/>
          <w:szCs w:val="21"/>
          <w:highlight w:val="none"/>
          <w14:textFill>
            <w14:solidFill>
              <w14:schemeClr w14:val="tx1"/>
            </w14:solidFill>
          </w14:textFill>
        </w:rPr>
        <w:t xml:space="preserve"> </w:t>
      </w:r>
      <w:r>
        <w:rPr>
          <w:rStyle w:val="46"/>
          <w:rFonts w:ascii="Times New Roman" w:hAnsi="Times New Roman" w:eastAsia="宋体" w:cs="Times New Roman"/>
          <w:b/>
          <w:bCs w:val="0"/>
          <w:color w:val="000000" w:themeColor="text1"/>
          <w:szCs w:val="24"/>
          <w:highlight w:val="none"/>
          <w14:textFill>
            <w14:solidFill>
              <w14:schemeClr w14:val="tx1"/>
            </w14:solidFill>
          </w14:textFill>
        </w:rPr>
        <w:t>甲供材料、构件</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、设备</w:t>
      </w:r>
      <w:r>
        <w:rPr>
          <w:rStyle w:val="46"/>
          <w:rFonts w:ascii="Times New Roman" w:hAnsi="Times New Roman" w:eastAsia="宋体" w:cs="Times New Roman"/>
          <w:b/>
          <w:bCs w:val="0"/>
          <w:color w:val="000000" w:themeColor="text1"/>
          <w:szCs w:val="24"/>
          <w:highlight w:val="none"/>
          <w14:textFill>
            <w14:solidFill>
              <w14:schemeClr w14:val="tx1"/>
            </w14:solidFill>
          </w14:textFill>
        </w:rPr>
        <w:t>清单</w:t>
      </w:r>
    </w:p>
    <w:p w14:paraId="526B069F">
      <w:pPr>
        <w:spacing w:line="360" w:lineRule="auto"/>
        <w:jc w:val="center"/>
        <w:rPr>
          <w:b/>
          <w:color w:val="000000" w:themeColor="text1"/>
          <w:szCs w:val="21"/>
          <w:highlight w:val="none"/>
          <w14:textFill>
            <w14:solidFill>
              <w14:schemeClr w14:val="tx1"/>
            </w14:solidFill>
          </w14:textFill>
        </w:rPr>
      </w:pPr>
    </w:p>
    <w:p w14:paraId="6EE9DE38">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甲供材料、构件</w:t>
      </w:r>
      <w:r>
        <w:rPr>
          <w:rFonts w:hint="eastAsia"/>
          <w:b/>
          <w:color w:val="000000" w:themeColor="text1"/>
          <w:sz w:val="28"/>
          <w:szCs w:val="28"/>
          <w:highlight w:val="none"/>
          <w14:textFill>
            <w14:solidFill>
              <w14:schemeClr w14:val="tx1"/>
            </w14:solidFill>
          </w14:textFill>
        </w:rPr>
        <w:t>、设备</w:t>
      </w:r>
      <w:r>
        <w:rPr>
          <w:b/>
          <w:color w:val="000000" w:themeColor="text1"/>
          <w:sz w:val="28"/>
          <w:szCs w:val="28"/>
          <w:highlight w:val="none"/>
          <w14:textFill>
            <w14:solidFill>
              <w14:schemeClr w14:val="tx1"/>
            </w14:solidFill>
          </w14:textFill>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902"/>
        <w:gridCol w:w="1709"/>
        <w:gridCol w:w="810"/>
        <w:gridCol w:w="1703"/>
        <w:gridCol w:w="1576"/>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7" w:type="pct"/>
            <w:vAlign w:val="center"/>
          </w:tcPr>
          <w:p w14:paraId="1CFF1018">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序号</w:t>
            </w:r>
          </w:p>
        </w:tc>
        <w:tc>
          <w:tcPr>
            <w:tcW w:w="1122" w:type="pct"/>
            <w:vAlign w:val="center"/>
          </w:tcPr>
          <w:p w14:paraId="0019250A">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材料名称</w:t>
            </w:r>
          </w:p>
        </w:tc>
        <w:tc>
          <w:tcPr>
            <w:tcW w:w="1008" w:type="pct"/>
            <w:noWrap/>
            <w:vAlign w:val="center"/>
          </w:tcPr>
          <w:p w14:paraId="5FAEAC93">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规格</w:t>
            </w:r>
            <w:r>
              <w:rPr>
                <w:b/>
                <w:color w:val="000000" w:themeColor="text1"/>
                <w:kern w:val="0"/>
                <w:szCs w:val="21"/>
                <w:highlight w:val="none"/>
                <w14:textFill>
                  <w14:solidFill>
                    <w14:schemeClr w14:val="tx1"/>
                  </w14:solidFill>
                </w14:textFill>
              </w:rPr>
              <w:t xml:space="preserve"> / </w:t>
            </w:r>
            <w:r>
              <w:rPr>
                <w:rFonts w:hAnsi="宋体"/>
                <w:b/>
                <w:color w:val="000000" w:themeColor="text1"/>
                <w:kern w:val="0"/>
                <w:szCs w:val="21"/>
                <w:highlight w:val="none"/>
                <w14:textFill>
                  <w14:solidFill>
                    <w14:schemeClr w14:val="tx1"/>
                  </w14:solidFill>
                </w14:textFill>
              </w:rPr>
              <w:t>型号</w:t>
            </w:r>
          </w:p>
        </w:tc>
        <w:tc>
          <w:tcPr>
            <w:tcW w:w="478" w:type="pct"/>
            <w:noWrap/>
            <w:vAlign w:val="center"/>
          </w:tcPr>
          <w:p w14:paraId="4B1F693B">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单位</w:t>
            </w:r>
          </w:p>
        </w:tc>
        <w:tc>
          <w:tcPr>
            <w:tcW w:w="1004" w:type="pct"/>
            <w:vAlign w:val="center"/>
          </w:tcPr>
          <w:p w14:paraId="0F14DE25">
            <w:pPr>
              <w:widowControl/>
              <w:rPr>
                <w:b/>
                <w:color w:val="000000" w:themeColor="text1"/>
                <w:kern w:val="0"/>
                <w:szCs w:val="21"/>
                <w:highlight w:val="none"/>
                <w14:textFill>
                  <w14:solidFill>
                    <w14:schemeClr w14:val="tx1"/>
                  </w14:solidFill>
                </w14:textFill>
              </w:rPr>
            </w:pPr>
            <w:r>
              <w:rPr>
                <w:rFonts w:hint="eastAsia" w:hAnsi="宋体"/>
                <w:b/>
                <w:color w:val="000000" w:themeColor="text1"/>
                <w:kern w:val="0"/>
                <w:szCs w:val="21"/>
                <w:highlight w:val="none"/>
                <w14:textFill>
                  <w14:solidFill>
                    <w14:schemeClr w14:val="tx1"/>
                  </w14:solidFill>
                </w14:textFill>
              </w:rPr>
              <w:t>暂定</w:t>
            </w:r>
            <w:r>
              <w:rPr>
                <w:rFonts w:hAnsi="宋体"/>
                <w:b/>
                <w:color w:val="000000" w:themeColor="text1"/>
                <w:kern w:val="0"/>
                <w:szCs w:val="21"/>
                <w:highlight w:val="none"/>
                <w14:textFill>
                  <w14:solidFill>
                    <w14:schemeClr w14:val="tx1"/>
                  </w14:solidFill>
                </w14:textFill>
              </w:rPr>
              <w:t>单价（元）</w:t>
            </w:r>
          </w:p>
        </w:tc>
        <w:tc>
          <w:tcPr>
            <w:tcW w:w="929" w:type="pct"/>
            <w:noWrap/>
            <w:vAlign w:val="center"/>
          </w:tcPr>
          <w:p w14:paraId="2E9ADF86">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shd w:val="clear" w:color="auto" w:fill="auto"/>
            <w:vAlign w:val="center"/>
          </w:tcPr>
          <w:p w14:paraId="26FB0042">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c>
          <w:tcPr>
            <w:tcW w:w="1122" w:type="pct"/>
            <w:shd w:val="clear" w:color="auto" w:fill="auto"/>
            <w:vAlign w:val="center"/>
          </w:tcPr>
          <w:p w14:paraId="0645BD98">
            <w:pPr>
              <w:widowControl/>
              <w:jc w:val="cente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t>改性沥青</w:t>
            </w:r>
          </w:p>
        </w:tc>
        <w:tc>
          <w:tcPr>
            <w:tcW w:w="1008" w:type="pct"/>
            <w:shd w:val="clear" w:color="auto" w:fill="auto"/>
            <w:noWrap/>
            <w:vAlign w:val="center"/>
          </w:tcPr>
          <w:p w14:paraId="3C872CFC">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478" w:type="pct"/>
            <w:shd w:val="clear" w:color="auto" w:fill="auto"/>
            <w:noWrap/>
            <w:vAlign w:val="center"/>
          </w:tcPr>
          <w:p w14:paraId="28D5A54D">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1004" w:type="pct"/>
            <w:shd w:val="clear" w:color="auto" w:fill="auto"/>
            <w:vAlign w:val="center"/>
          </w:tcPr>
          <w:p w14:paraId="27334813">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929" w:type="pct"/>
            <w:shd w:val="clear" w:color="auto" w:fill="auto"/>
            <w:noWrap/>
            <w:vAlign w:val="center"/>
          </w:tcPr>
          <w:p w14:paraId="7560D738">
            <w:pPr>
              <w:widowControl/>
              <w:jc w:val="cente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2B332145">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1122" w:type="pct"/>
            <w:vAlign w:val="center"/>
          </w:tcPr>
          <w:p w14:paraId="639017A6">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9E8355D">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478" w:type="pct"/>
            <w:noWrap/>
            <w:vAlign w:val="center"/>
          </w:tcPr>
          <w:p w14:paraId="4C540681">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1004" w:type="pct"/>
            <w:vAlign w:val="center"/>
          </w:tcPr>
          <w:p w14:paraId="4E8A54E9">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929" w:type="pct"/>
            <w:noWrap/>
            <w:vAlign w:val="center"/>
          </w:tcPr>
          <w:p w14:paraId="2BE84484">
            <w:pPr>
              <w:widowControl/>
              <w:jc w:val="center"/>
              <w:rPr>
                <w:color w:val="000000" w:themeColor="text1"/>
                <w:kern w:val="0"/>
                <w:szCs w:val="21"/>
                <w:highlight w:val="none"/>
                <w14:textFill>
                  <w14:solidFill>
                    <w14:schemeClr w14:val="tx1"/>
                  </w14:solidFill>
                </w14:textFill>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8A91606">
            <w:pPr>
              <w:widowControl/>
              <w:jc w:val="center"/>
              <w:rPr>
                <w:color w:val="000000" w:themeColor="text1"/>
                <w:kern w:val="0"/>
                <w:szCs w:val="21"/>
                <w:highlight w:val="none"/>
                <w14:textFill>
                  <w14:solidFill>
                    <w14:schemeClr w14:val="tx1"/>
                  </w14:solidFill>
                </w14:textFill>
              </w:rPr>
            </w:pPr>
          </w:p>
        </w:tc>
        <w:tc>
          <w:tcPr>
            <w:tcW w:w="1122" w:type="pct"/>
            <w:vAlign w:val="center"/>
          </w:tcPr>
          <w:p w14:paraId="09BEEB47">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7C54C972">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5BC125A1">
            <w:pPr>
              <w:widowControl/>
              <w:jc w:val="center"/>
              <w:rPr>
                <w:color w:val="000000" w:themeColor="text1"/>
                <w:kern w:val="0"/>
                <w:szCs w:val="21"/>
                <w:highlight w:val="none"/>
                <w14:textFill>
                  <w14:solidFill>
                    <w14:schemeClr w14:val="tx1"/>
                  </w14:solidFill>
                </w14:textFill>
              </w:rPr>
            </w:pPr>
          </w:p>
        </w:tc>
        <w:tc>
          <w:tcPr>
            <w:tcW w:w="1004" w:type="pct"/>
            <w:vAlign w:val="center"/>
          </w:tcPr>
          <w:p w14:paraId="1BCD7E36">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56FA699">
            <w:pPr>
              <w:widowControl/>
              <w:jc w:val="center"/>
              <w:rPr>
                <w:color w:val="000000" w:themeColor="text1"/>
                <w:kern w:val="0"/>
                <w:szCs w:val="21"/>
                <w:highlight w:val="none"/>
                <w14:textFill>
                  <w14:solidFill>
                    <w14:schemeClr w14:val="tx1"/>
                  </w14:solidFill>
                </w14:textFill>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0264E758">
            <w:pPr>
              <w:widowControl/>
              <w:jc w:val="center"/>
              <w:rPr>
                <w:color w:val="000000" w:themeColor="text1"/>
                <w:kern w:val="0"/>
                <w:szCs w:val="21"/>
                <w:highlight w:val="none"/>
                <w14:textFill>
                  <w14:solidFill>
                    <w14:schemeClr w14:val="tx1"/>
                  </w14:solidFill>
                </w14:textFill>
              </w:rPr>
            </w:pPr>
          </w:p>
        </w:tc>
        <w:tc>
          <w:tcPr>
            <w:tcW w:w="1122" w:type="pct"/>
            <w:vAlign w:val="center"/>
          </w:tcPr>
          <w:p w14:paraId="740BBB43">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11BDE3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25280174">
            <w:pPr>
              <w:widowControl/>
              <w:jc w:val="center"/>
              <w:rPr>
                <w:color w:val="000000" w:themeColor="text1"/>
                <w:kern w:val="0"/>
                <w:szCs w:val="21"/>
                <w:highlight w:val="none"/>
                <w14:textFill>
                  <w14:solidFill>
                    <w14:schemeClr w14:val="tx1"/>
                  </w14:solidFill>
                </w14:textFill>
              </w:rPr>
            </w:pPr>
          </w:p>
        </w:tc>
        <w:tc>
          <w:tcPr>
            <w:tcW w:w="1004" w:type="pct"/>
            <w:vAlign w:val="center"/>
          </w:tcPr>
          <w:p w14:paraId="0ACC7817">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127CB21">
            <w:pPr>
              <w:widowControl/>
              <w:jc w:val="center"/>
              <w:rPr>
                <w:color w:val="000000" w:themeColor="text1"/>
                <w:kern w:val="0"/>
                <w:szCs w:val="21"/>
                <w:highlight w:val="none"/>
                <w14:textFill>
                  <w14:solidFill>
                    <w14:schemeClr w14:val="tx1"/>
                  </w14:solidFill>
                </w14:textFill>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7" w:type="pct"/>
            <w:vAlign w:val="center"/>
          </w:tcPr>
          <w:p w14:paraId="35EC45AB">
            <w:pPr>
              <w:widowControl/>
              <w:jc w:val="center"/>
              <w:rPr>
                <w:color w:val="000000" w:themeColor="text1"/>
                <w:kern w:val="0"/>
                <w:szCs w:val="21"/>
                <w:highlight w:val="none"/>
                <w14:textFill>
                  <w14:solidFill>
                    <w14:schemeClr w14:val="tx1"/>
                  </w14:solidFill>
                </w14:textFill>
              </w:rPr>
            </w:pPr>
          </w:p>
        </w:tc>
        <w:tc>
          <w:tcPr>
            <w:tcW w:w="1122" w:type="pct"/>
            <w:vAlign w:val="center"/>
          </w:tcPr>
          <w:p w14:paraId="443984D1">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6DA91BA4">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B965AFE">
            <w:pPr>
              <w:widowControl/>
              <w:jc w:val="center"/>
              <w:rPr>
                <w:color w:val="000000" w:themeColor="text1"/>
                <w:kern w:val="0"/>
                <w:szCs w:val="21"/>
                <w:highlight w:val="none"/>
                <w14:textFill>
                  <w14:solidFill>
                    <w14:schemeClr w14:val="tx1"/>
                  </w14:solidFill>
                </w14:textFill>
              </w:rPr>
            </w:pPr>
          </w:p>
        </w:tc>
        <w:tc>
          <w:tcPr>
            <w:tcW w:w="1004" w:type="pct"/>
            <w:vAlign w:val="center"/>
          </w:tcPr>
          <w:p w14:paraId="222D71DB">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44759F26">
            <w:pPr>
              <w:widowControl/>
              <w:jc w:val="center"/>
              <w:rPr>
                <w:color w:val="000000" w:themeColor="text1"/>
                <w:kern w:val="0"/>
                <w:szCs w:val="21"/>
                <w:highlight w:val="none"/>
                <w14:textFill>
                  <w14:solidFill>
                    <w14:schemeClr w14:val="tx1"/>
                  </w14:solidFill>
                </w14:textFill>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6CE3DCE">
            <w:pPr>
              <w:widowControl/>
              <w:jc w:val="center"/>
              <w:rPr>
                <w:color w:val="000000" w:themeColor="text1"/>
                <w:kern w:val="0"/>
                <w:szCs w:val="21"/>
                <w:highlight w:val="none"/>
                <w14:textFill>
                  <w14:solidFill>
                    <w14:schemeClr w14:val="tx1"/>
                  </w14:solidFill>
                </w14:textFill>
              </w:rPr>
            </w:pPr>
          </w:p>
        </w:tc>
        <w:tc>
          <w:tcPr>
            <w:tcW w:w="1122" w:type="pct"/>
            <w:vAlign w:val="center"/>
          </w:tcPr>
          <w:p w14:paraId="1125F143">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77A5609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E787FF7">
            <w:pPr>
              <w:widowControl/>
              <w:jc w:val="center"/>
              <w:rPr>
                <w:color w:val="000000" w:themeColor="text1"/>
                <w:kern w:val="0"/>
                <w:szCs w:val="21"/>
                <w:highlight w:val="none"/>
                <w14:textFill>
                  <w14:solidFill>
                    <w14:schemeClr w14:val="tx1"/>
                  </w14:solidFill>
                </w14:textFill>
              </w:rPr>
            </w:pPr>
          </w:p>
        </w:tc>
        <w:tc>
          <w:tcPr>
            <w:tcW w:w="1004" w:type="pct"/>
            <w:vAlign w:val="center"/>
          </w:tcPr>
          <w:p w14:paraId="0FD1F63C">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4E00490">
            <w:pPr>
              <w:widowControl/>
              <w:jc w:val="center"/>
              <w:rPr>
                <w:color w:val="000000" w:themeColor="text1"/>
                <w:kern w:val="0"/>
                <w:szCs w:val="21"/>
                <w:highlight w:val="none"/>
                <w14:textFill>
                  <w14:solidFill>
                    <w14:schemeClr w14:val="tx1"/>
                  </w14:solidFill>
                </w14:textFill>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7" w:type="pct"/>
            <w:vAlign w:val="center"/>
          </w:tcPr>
          <w:p w14:paraId="3EEC1278">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8D6AF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94DA315">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22762131">
            <w:pPr>
              <w:widowControl/>
              <w:jc w:val="center"/>
              <w:rPr>
                <w:color w:val="000000" w:themeColor="text1"/>
                <w:kern w:val="0"/>
                <w:szCs w:val="21"/>
                <w:highlight w:val="none"/>
                <w14:textFill>
                  <w14:solidFill>
                    <w14:schemeClr w14:val="tx1"/>
                  </w14:solidFill>
                </w14:textFill>
              </w:rPr>
            </w:pPr>
          </w:p>
        </w:tc>
        <w:tc>
          <w:tcPr>
            <w:tcW w:w="1004" w:type="pct"/>
            <w:vAlign w:val="center"/>
          </w:tcPr>
          <w:p w14:paraId="28E41B7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51FFAC4B">
            <w:pPr>
              <w:widowControl/>
              <w:jc w:val="center"/>
              <w:rPr>
                <w:color w:val="000000" w:themeColor="text1"/>
                <w:kern w:val="0"/>
                <w:szCs w:val="21"/>
                <w:highlight w:val="none"/>
                <w14:textFill>
                  <w14:solidFill>
                    <w14:schemeClr w14:val="tx1"/>
                  </w14:solidFill>
                </w14:textFill>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D9438F5">
            <w:pPr>
              <w:widowControl/>
              <w:jc w:val="center"/>
              <w:rPr>
                <w:color w:val="000000" w:themeColor="text1"/>
                <w:kern w:val="0"/>
                <w:szCs w:val="21"/>
                <w:highlight w:val="none"/>
                <w14:textFill>
                  <w14:solidFill>
                    <w14:schemeClr w14:val="tx1"/>
                  </w14:solidFill>
                </w14:textFill>
              </w:rPr>
            </w:pPr>
          </w:p>
        </w:tc>
        <w:tc>
          <w:tcPr>
            <w:tcW w:w="1122" w:type="pct"/>
            <w:vAlign w:val="center"/>
          </w:tcPr>
          <w:p w14:paraId="3A59FBE0">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920975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625BC691">
            <w:pPr>
              <w:widowControl/>
              <w:jc w:val="center"/>
              <w:rPr>
                <w:color w:val="000000" w:themeColor="text1"/>
                <w:kern w:val="0"/>
                <w:szCs w:val="21"/>
                <w:highlight w:val="none"/>
                <w14:textFill>
                  <w14:solidFill>
                    <w14:schemeClr w14:val="tx1"/>
                  </w14:solidFill>
                </w14:textFill>
              </w:rPr>
            </w:pPr>
          </w:p>
        </w:tc>
        <w:tc>
          <w:tcPr>
            <w:tcW w:w="1004" w:type="pct"/>
            <w:vAlign w:val="center"/>
          </w:tcPr>
          <w:p w14:paraId="75DD8536">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4E4C4EF8">
            <w:pPr>
              <w:widowControl/>
              <w:jc w:val="center"/>
              <w:rPr>
                <w:color w:val="000000" w:themeColor="text1"/>
                <w:kern w:val="0"/>
                <w:szCs w:val="21"/>
                <w:highlight w:val="none"/>
                <w14:textFill>
                  <w14:solidFill>
                    <w14:schemeClr w14:val="tx1"/>
                  </w14:solidFill>
                </w14:textFill>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B04EF38">
            <w:pPr>
              <w:widowControl/>
              <w:jc w:val="center"/>
              <w:rPr>
                <w:color w:val="000000" w:themeColor="text1"/>
                <w:kern w:val="0"/>
                <w:szCs w:val="21"/>
                <w:highlight w:val="none"/>
                <w14:textFill>
                  <w14:solidFill>
                    <w14:schemeClr w14:val="tx1"/>
                  </w14:solidFill>
                </w14:textFill>
              </w:rPr>
            </w:pPr>
          </w:p>
        </w:tc>
        <w:tc>
          <w:tcPr>
            <w:tcW w:w="1122" w:type="pct"/>
            <w:vAlign w:val="center"/>
          </w:tcPr>
          <w:p w14:paraId="375A1588">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15F8C25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3439B4F">
            <w:pPr>
              <w:widowControl/>
              <w:jc w:val="center"/>
              <w:rPr>
                <w:color w:val="000000" w:themeColor="text1"/>
                <w:kern w:val="0"/>
                <w:szCs w:val="21"/>
                <w:highlight w:val="none"/>
                <w14:textFill>
                  <w14:solidFill>
                    <w14:schemeClr w14:val="tx1"/>
                  </w14:solidFill>
                </w14:textFill>
              </w:rPr>
            </w:pPr>
          </w:p>
        </w:tc>
        <w:tc>
          <w:tcPr>
            <w:tcW w:w="1004" w:type="pct"/>
            <w:vAlign w:val="center"/>
          </w:tcPr>
          <w:p w14:paraId="53A9DF2B">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6E35AAD">
            <w:pPr>
              <w:widowControl/>
              <w:jc w:val="center"/>
              <w:rPr>
                <w:color w:val="000000" w:themeColor="text1"/>
                <w:kern w:val="0"/>
                <w:szCs w:val="21"/>
                <w:highlight w:val="none"/>
                <w14:textFill>
                  <w14:solidFill>
                    <w14:schemeClr w14:val="tx1"/>
                  </w14:solidFill>
                </w14:textFill>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518C29FF">
            <w:pPr>
              <w:widowControl/>
              <w:jc w:val="center"/>
              <w:rPr>
                <w:b/>
                <w:bCs/>
                <w:color w:val="000000" w:themeColor="text1"/>
                <w:kern w:val="0"/>
                <w:szCs w:val="21"/>
                <w:highlight w:val="none"/>
                <w14:textFill>
                  <w14:solidFill>
                    <w14:schemeClr w14:val="tx1"/>
                  </w14:solidFill>
                </w14:textFill>
              </w:rPr>
            </w:pPr>
          </w:p>
        </w:tc>
        <w:tc>
          <w:tcPr>
            <w:tcW w:w="1122" w:type="pct"/>
            <w:vAlign w:val="center"/>
          </w:tcPr>
          <w:p w14:paraId="09340165">
            <w:pPr>
              <w:widowControl/>
              <w:jc w:val="center"/>
              <w:rPr>
                <w:b/>
                <w:bCs/>
                <w:color w:val="000000" w:themeColor="text1"/>
                <w:kern w:val="0"/>
                <w:szCs w:val="21"/>
                <w:highlight w:val="none"/>
                <w14:textFill>
                  <w14:solidFill>
                    <w14:schemeClr w14:val="tx1"/>
                  </w14:solidFill>
                </w14:textFill>
              </w:rPr>
            </w:pPr>
          </w:p>
        </w:tc>
        <w:tc>
          <w:tcPr>
            <w:tcW w:w="1008" w:type="pct"/>
            <w:noWrap/>
            <w:vAlign w:val="center"/>
          </w:tcPr>
          <w:p w14:paraId="2B26266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719D2047">
            <w:pPr>
              <w:widowControl/>
              <w:jc w:val="center"/>
              <w:rPr>
                <w:color w:val="000000" w:themeColor="text1"/>
                <w:kern w:val="0"/>
                <w:szCs w:val="21"/>
                <w:highlight w:val="none"/>
                <w14:textFill>
                  <w14:solidFill>
                    <w14:schemeClr w14:val="tx1"/>
                  </w14:solidFill>
                </w14:textFill>
              </w:rPr>
            </w:pPr>
          </w:p>
        </w:tc>
        <w:tc>
          <w:tcPr>
            <w:tcW w:w="1004" w:type="pct"/>
            <w:vAlign w:val="center"/>
          </w:tcPr>
          <w:p w14:paraId="33EC2739">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5A9910C">
            <w:pPr>
              <w:widowControl/>
              <w:jc w:val="center"/>
              <w:rPr>
                <w:color w:val="000000" w:themeColor="text1"/>
                <w:kern w:val="0"/>
                <w:szCs w:val="21"/>
                <w:highlight w:val="none"/>
                <w14:textFill>
                  <w14:solidFill>
                    <w14:schemeClr w14:val="tx1"/>
                  </w14:solidFill>
                </w14:textFill>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7" w:type="pct"/>
            <w:vAlign w:val="center"/>
          </w:tcPr>
          <w:p w14:paraId="69E4E39B">
            <w:pPr>
              <w:widowControl/>
              <w:jc w:val="center"/>
              <w:rPr>
                <w:color w:val="000000" w:themeColor="text1"/>
                <w:kern w:val="0"/>
                <w:szCs w:val="21"/>
                <w:highlight w:val="none"/>
                <w14:textFill>
                  <w14:solidFill>
                    <w14:schemeClr w14:val="tx1"/>
                  </w14:solidFill>
                </w14:textFill>
              </w:rPr>
            </w:pPr>
          </w:p>
        </w:tc>
        <w:tc>
          <w:tcPr>
            <w:tcW w:w="1122" w:type="pct"/>
            <w:vAlign w:val="center"/>
          </w:tcPr>
          <w:p w14:paraId="0CFCAD65">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5494A760">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65E5E3BE">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3F5ED002">
            <w:pPr>
              <w:widowControl/>
              <w:jc w:val="center"/>
              <w:rPr>
                <w:color w:val="000000" w:themeColor="text1"/>
                <w:kern w:val="0"/>
                <w:szCs w:val="21"/>
                <w:highlight w:val="none"/>
                <w14:textFill>
                  <w14:solidFill>
                    <w14:schemeClr w14:val="tx1"/>
                  </w14:solidFill>
                </w14:textFill>
              </w:rPr>
            </w:pPr>
          </w:p>
        </w:tc>
        <w:tc>
          <w:tcPr>
            <w:tcW w:w="929" w:type="pct"/>
            <w:vAlign w:val="center"/>
          </w:tcPr>
          <w:p w14:paraId="335EAA5A">
            <w:pPr>
              <w:widowControl/>
              <w:jc w:val="center"/>
              <w:rPr>
                <w:color w:val="000000" w:themeColor="text1"/>
                <w:kern w:val="0"/>
                <w:szCs w:val="21"/>
                <w:highlight w:val="none"/>
                <w14:textFill>
                  <w14:solidFill>
                    <w14:schemeClr w14:val="tx1"/>
                  </w14:solidFill>
                </w14:textFill>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C54858A">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940363">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6529102">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4891BB5D">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19CDC8A0">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696583A">
            <w:pPr>
              <w:widowControl/>
              <w:jc w:val="center"/>
              <w:rPr>
                <w:color w:val="000000" w:themeColor="text1"/>
                <w:kern w:val="0"/>
                <w:szCs w:val="21"/>
                <w:highlight w:val="none"/>
                <w14:textFill>
                  <w14:solidFill>
                    <w14:schemeClr w14:val="tx1"/>
                  </w14:solidFill>
                </w14:textFill>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296EEF5">
            <w:pPr>
              <w:widowControl/>
              <w:jc w:val="center"/>
              <w:rPr>
                <w:color w:val="000000" w:themeColor="text1"/>
                <w:kern w:val="0"/>
                <w:szCs w:val="21"/>
                <w:highlight w:val="none"/>
                <w14:textFill>
                  <w14:solidFill>
                    <w14:schemeClr w14:val="tx1"/>
                  </w14:solidFill>
                </w14:textFill>
              </w:rPr>
            </w:pPr>
          </w:p>
        </w:tc>
        <w:tc>
          <w:tcPr>
            <w:tcW w:w="1122" w:type="pct"/>
            <w:vAlign w:val="center"/>
          </w:tcPr>
          <w:p w14:paraId="235A2EB5">
            <w:pPr>
              <w:widowControl/>
              <w:jc w:val="center"/>
              <w:rPr>
                <w:color w:val="000000" w:themeColor="text1"/>
                <w:kern w:val="0"/>
                <w:szCs w:val="21"/>
                <w:highlight w:val="none"/>
                <w14:textFill>
                  <w14:solidFill>
                    <w14:schemeClr w14:val="tx1"/>
                  </w14:solidFill>
                </w14:textFill>
              </w:rPr>
            </w:pPr>
          </w:p>
        </w:tc>
        <w:tc>
          <w:tcPr>
            <w:tcW w:w="1008" w:type="pct"/>
            <w:vAlign w:val="center"/>
          </w:tcPr>
          <w:p w14:paraId="55BE996A">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C10522D">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92D3394">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620AD8E">
            <w:pPr>
              <w:widowControl/>
              <w:jc w:val="center"/>
              <w:rPr>
                <w:color w:val="000000" w:themeColor="text1"/>
                <w:kern w:val="0"/>
                <w:szCs w:val="21"/>
                <w:highlight w:val="none"/>
                <w14:textFill>
                  <w14:solidFill>
                    <w14:schemeClr w14:val="tx1"/>
                  </w14:solidFill>
                </w14:textFill>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02EAC86C">
            <w:pPr>
              <w:widowControl/>
              <w:jc w:val="center"/>
              <w:rPr>
                <w:color w:val="000000" w:themeColor="text1"/>
                <w:kern w:val="0"/>
                <w:szCs w:val="21"/>
                <w:highlight w:val="none"/>
                <w14:textFill>
                  <w14:solidFill>
                    <w14:schemeClr w14:val="tx1"/>
                  </w14:solidFill>
                </w14:textFill>
              </w:rPr>
            </w:pPr>
          </w:p>
        </w:tc>
        <w:tc>
          <w:tcPr>
            <w:tcW w:w="1122" w:type="pct"/>
            <w:vAlign w:val="center"/>
          </w:tcPr>
          <w:p w14:paraId="04178060">
            <w:pPr>
              <w:widowControl/>
              <w:jc w:val="center"/>
              <w:rPr>
                <w:color w:val="000000" w:themeColor="text1"/>
                <w:kern w:val="0"/>
                <w:szCs w:val="21"/>
                <w:highlight w:val="none"/>
                <w14:textFill>
                  <w14:solidFill>
                    <w14:schemeClr w14:val="tx1"/>
                  </w14:solidFill>
                </w14:textFill>
              </w:rPr>
            </w:pPr>
          </w:p>
        </w:tc>
        <w:tc>
          <w:tcPr>
            <w:tcW w:w="1008" w:type="pct"/>
            <w:vAlign w:val="center"/>
          </w:tcPr>
          <w:p w14:paraId="14A48BA4">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78DD5DC">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752017E">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5010398B">
            <w:pPr>
              <w:widowControl/>
              <w:jc w:val="center"/>
              <w:rPr>
                <w:color w:val="000000" w:themeColor="text1"/>
                <w:kern w:val="0"/>
                <w:szCs w:val="21"/>
                <w:highlight w:val="none"/>
                <w14:textFill>
                  <w14:solidFill>
                    <w14:schemeClr w14:val="tx1"/>
                  </w14:solidFill>
                </w14:textFill>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7" w:type="pct"/>
            <w:vAlign w:val="center"/>
          </w:tcPr>
          <w:p w14:paraId="54AB0406">
            <w:pPr>
              <w:widowControl/>
              <w:jc w:val="center"/>
              <w:rPr>
                <w:color w:val="000000" w:themeColor="text1"/>
                <w:kern w:val="0"/>
                <w:szCs w:val="21"/>
                <w:highlight w:val="none"/>
                <w14:textFill>
                  <w14:solidFill>
                    <w14:schemeClr w14:val="tx1"/>
                  </w14:solidFill>
                </w14:textFill>
              </w:rPr>
            </w:pPr>
          </w:p>
        </w:tc>
        <w:tc>
          <w:tcPr>
            <w:tcW w:w="1122" w:type="pct"/>
            <w:vAlign w:val="center"/>
          </w:tcPr>
          <w:p w14:paraId="3FC644B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344778A6">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34EC536B">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94904EA">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14E6511">
            <w:pPr>
              <w:widowControl/>
              <w:jc w:val="center"/>
              <w:rPr>
                <w:color w:val="000000" w:themeColor="text1"/>
                <w:kern w:val="0"/>
                <w:szCs w:val="21"/>
                <w:highlight w:val="none"/>
                <w14:textFill>
                  <w14:solidFill>
                    <w14:schemeClr w14:val="tx1"/>
                  </w14:solidFill>
                </w14:textFill>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2A1E8F2E">
            <w:pPr>
              <w:widowControl/>
              <w:jc w:val="center"/>
              <w:rPr>
                <w:color w:val="000000" w:themeColor="text1"/>
                <w:kern w:val="0"/>
                <w:szCs w:val="21"/>
                <w:highlight w:val="none"/>
                <w14:textFill>
                  <w14:solidFill>
                    <w14:schemeClr w14:val="tx1"/>
                  </w14:solidFill>
                </w14:textFill>
              </w:rPr>
            </w:pPr>
          </w:p>
        </w:tc>
        <w:tc>
          <w:tcPr>
            <w:tcW w:w="1122" w:type="pct"/>
            <w:vAlign w:val="center"/>
          </w:tcPr>
          <w:p w14:paraId="71679EA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F3EE07C">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A36D149">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4407A800">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74C4D09A">
            <w:pPr>
              <w:widowControl/>
              <w:jc w:val="center"/>
              <w:rPr>
                <w:color w:val="000000" w:themeColor="text1"/>
                <w:kern w:val="0"/>
                <w:szCs w:val="21"/>
                <w:highlight w:val="none"/>
                <w14:textFill>
                  <w14:solidFill>
                    <w14:schemeClr w14:val="tx1"/>
                  </w14:solidFill>
                </w14:textFill>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E4B76D4">
            <w:pPr>
              <w:widowControl/>
              <w:jc w:val="center"/>
              <w:rPr>
                <w:color w:val="000000" w:themeColor="text1"/>
                <w:kern w:val="0"/>
                <w:szCs w:val="21"/>
                <w:highlight w:val="none"/>
                <w14:textFill>
                  <w14:solidFill>
                    <w14:schemeClr w14:val="tx1"/>
                  </w14:solidFill>
                </w14:textFill>
              </w:rPr>
            </w:pPr>
          </w:p>
        </w:tc>
        <w:tc>
          <w:tcPr>
            <w:tcW w:w="1122" w:type="pct"/>
            <w:vAlign w:val="center"/>
          </w:tcPr>
          <w:p w14:paraId="301A8E2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5CCB18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8C2904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7B26F67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20CB5123">
            <w:pPr>
              <w:widowControl/>
              <w:jc w:val="center"/>
              <w:rPr>
                <w:rFonts w:hint="eastAsia" w:hAnsi="宋体"/>
                <w:color w:val="000000" w:themeColor="text1"/>
                <w:kern w:val="0"/>
                <w:szCs w:val="21"/>
                <w:highlight w:val="none"/>
                <w14:textFill>
                  <w14:solidFill>
                    <w14:schemeClr w14:val="tx1"/>
                  </w14:solidFill>
                </w14:textFill>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628131F">
            <w:pPr>
              <w:widowControl/>
              <w:jc w:val="center"/>
              <w:rPr>
                <w:color w:val="000000" w:themeColor="text1"/>
                <w:kern w:val="0"/>
                <w:szCs w:val="21"/>
                <w:highlight w:val="none"/>
                <w14:textFill>
                  <w14:solidFill>
                    <w14:schemeClr w14:val="tx1"/>
                  </w14:solidFill>
                </w14:textFill>
              </w:rPr>
            </w:pPr>
          </w:p>
        </w:tc>
        <w:tc>
          <w:tcPr>
            <w:tcW w:w="1122" w:type="pct"/>
            <w:vAlign w:val="center"/>
          </w:tcPr>
          <w:p w14:paraId="2A7289EB">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721C74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35E7A107">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12194B09">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F60424D">
            <w:pPr>
              <w:widowControl/>
              <w:jc w:val="center"/>
              <w:rPr>
                <w:rFonts w:hint="eastAsia" w:hAnsi="宋体"/>
                <w:color w:val="000000" w:themeColor="text1"/>
                <w:kern w:val="0"/>
                <w:szCs w:val="21"/>
                <w:highlight w:val="none"/>
                <w14:textFill>
                  <w14:solidFill>
                    <w14:schemeClr w14:val="tx1"/>
                  </w14:solidFill>
                </w14:textFill>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5834EA9D">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1974C9">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48A1FE2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99F6A9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43CA15E7">
            <w:pPr>
              <w:widowControl/>
              <w:jc w:val="center"/>
              <w:rPr>
                <w:color w:val="000000" w:themeColor="text1"/>
                <w:kern w:val="0"/>
                <w:szCs w:val="21"/>
                <w:highlight w:val="none"/>
                <w14:textFill>
                  <w14:solidFill>
                    <w14:schemeClr w14:val="tx1"/>
                  </w14:solidFill>
                </w14:textFill>
              </w:rPr>
            </w:pPr>
          </w:p>
        </w:tc>
        <w:tc>
          <w:tcPr>
            <w:tcW w:w="929" w:type="pct"/>
            <w:vAlign w:val="center"/>
          </w:tcPr>
          <w:p w14:paraId="3AB704FA">
            <w:pPr>
              <w:widowControl/>
              <w:jc w:val="center"/>
              <w:rPr>
                <w:rFonts w:hint="eastAsia" w:hAnsi="宋体"/>
                <w:color w:val="000000" w:themeColor="text1"/>
                <w:kern w:val="0"/>
                <w:szCs w:val="21"/>
                <w:highlight w:val="none"/>
                <w14:textFill>
                  <w14:solidFill>
                    <w14:schemeClr w14:val="tx1"/>
                  </w14:solidFill>
                </w14:textFill>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7" w:type="pct"/>
            <w:vAlign w:val="center"/>
          </w:tcPr>
          <w:p w14:paraId="26FF0410">
            <w:pPr>
              <w:widowControl/>
              <w:jc w:val="center"/>
              <w:rPr>
                <w:color w:val="000000" w:themeColor="text1"/>
                <w:kern w:val="0"/>
                <w:szCs w:val="21"/>
                <w:highlight w:val="none"/>
                <w14:textFill>
                  <w14:solidFill>
                    <w14:schemeClr w14:val="tx1"/>
                  </w14:solidFill>
                </w14:textFill>
              </w:rPr>
            </w:pPr>
          </w:p>
        </w:tc>
        <w:tc>
          <w:tcPr>
            <w:tcW w:w="1122" w:type="pct"/>
            <w:vAlign w:val="center"/>
          </w:tcPr>
          <w:p w14:paraId="204B91DC">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E2779AB">
            <w:pPr>
              <w:widowControl/>
              <w:jc w:val="left"/>
              <w:rPr>
                <w:color w:val="000000" w:themeColor="text1"/>
                <w:kern w:val="0"/>
                <w:szCs w:val="21"/>
                <w:highlight w:val="none"/>
                <w14:textFill>
                  <w14:solidFill>
                    <w14:schemeClr w14:val="tx1"/>
                  </w14:solidFill>
                </w14:textFill>
              </w:rPr>
            </w:pPr>
          </w:p>
        </w:tc>
        <w:tc>
          <w:tcPr>
            <w:tcW w:w="478" w:type="pct"/>
            <w:noWrap/>
            <w:vAlign w:val="center"/>
          </w:tcPr>
          <w:p w14:paraId="1B73594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3335EA6A">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66EBF9F">
            <w:pPr>
              <w:widowControl/>
              <w:jc w:val="center"/>
              <w:rPr>
                <w:color w:val="000000" w:themeColor="text1"/>
                <w:kern w:val="0"/>
                <w:szCs w:val="21"/>
                <w:highlight w:val="none"/>
                <w14:textFill>
                  <w14:solidFill>
                    <w14:schemeClr w14:val="tx1"/>
                  </w14:solidFill>
                </w14:textFill>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7" w:type="pct"/>
            <w:vAlign w:val="center"/>
          </w:tcPr>
          <w:p w14:paraId="6963BDE4">
            <w:pPr>
              <w:widowControl/>
              <w:jc w:val="center"/>
              <w:rPr>
                <w:color w:val="000000" w:themeColor="text1"/>
                <w:kern w:val="0"/>
                <w:szCs w:val="21"/>
                <w:highlight w:val="none"/>
                <w14:textFill>
                  <w14:solidFill>
                    <w14:schemeClr w14:val="tx1"/>
                  </w14:solidFill>
                </w14:textFill>
              </w:rPr>
            </w:pPr>
          </w:p>
        </w:tc>
        <w:tc>
          <w:tcPr>
            <w:tcW w:w="1122" w:type="pct"/>
            <w:vAlign w:val="center"/>
          </w:tcPr>
          <w:p w14:paraId="3278CEC9">
            <w:pPr>
              <w:widowControl/>
              <w:jc w:val="center"/>
              <w:rPr>
                <w:rFonts w:hint="eastAsia" w:hAnsi="宋体"/>
                <w:color w:val="000000" w:themeColor="text1"/>
                <w:kern w:val="0"/>
                <w:szCs w:val="21"/>
                <w:highlight w:val="none"/>
                <w14:textFill>
                  <w14:solidFill>
                    <w14:schemeClr w14:val="tx1"/>
                  </w14:solidFill>
                </w14:textFill>
              </w:rPr>
            </w:pPr>
          </w:p>
        </w:tc>
        <w:tc>
          <w:tcPr>
            <w:tcW w:w="1008" w:type="pct"/>
            <w:noWrap/>
            <w:vAlign w:val="center"/>
          </w:tcPr>
          <w:p w14:paraId="5FA1D1A1">
            <w:pPr>
              <w:widowControl/>
              <w:jc w:val="left"/>
              <w:rPr>
                <w:rFonts w:hint="eastAsia" w:hAnsi="宋体"/>
                <w:color w:val="000000" w:themeColor="text1"/>
                <w:kern w:val="0"/>
                <w:szCs w:val="21"/>
                <w:highlight w:val="none"/>
                <w14:textFill>
                  <w14:solidFill>
                    <w14:schemeClr w14:val="tx1"/>
                  </w14:solidFill>
                </w14:textFill>
              </w:rPr>
            </w:pPr>
          </w:p>
        </w:tc>
        <w:tc>
          <w:tcPr>
            <w:tcW w:w="478" w:type="pct"/>
            <w:noWrap/>
            <w:vAlign w:val="center"/>
          </w:tcPr>
          <w:p w14:paraId="5DF3FAC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73E9B18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74DBD66">
            <w:pPr>
              <w:widowControl/>
              <w:jc w:val="center"/>
              <w:rPr>
                <w:rFonts w:hint="eastAsia" w:hAnsi="宋体"/>
                <w:color w:val="000000" w:themeColor="text1"/>
                <w:kern w:val="0"/>
                <w:szCs w:val="21"/>
                <w:highlight w:val="none"/>
                <w14:textFill>
                  <w14:solidFill>
                    <w14:schemeClr w14:val="tx1"/>
                  </w14:solidFill>
                </w14:textFill>
              </w:rPr>
            </w:pPr>
          </w:p>
        </w:tc>
      </w:tr>
    </w:tbl>
    <w:p w14:paraId="60103A21">
      <w:pPr>
        <w:spacing w:line="360" w:lineRule="auto"/>
        <w:rPr>
          <w:rFonts w:hint="eastAsia" w:hAnsi="宋体"/>
          <w:color w:val="000000" w:themeColor="text1"/>
          <w:kern w:val="0"/>
          <w:szCs w:val="21"/>
          <w:highlight w:val="none"/>
          <w14:textFill>
            <w14:solidFill>
              <w14:schemeClr w14:val="tx1"/>
            </w14:solidFill>
          </w14:textFill>
        </w:rPr>
      </w:pPr>
    </w:p>
    <w:p w14:paraId="7B452B55">
      <w:pPr>
        <w:spacing w:line="360" w:lineRule="auto"/>
        <w:rPr>
          <w:rFonts w:hint="eastAsia" w:hAnsi="宋体"/>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备注：1、甲供材料均为主材，不包含相关的辅材；甲供材料的价格不应计入综合单价；</w:t>
      </w:r>
    </w:p>
    <w:p w14:paraId="279C57D0">
      <w:pPr>
        <w:spacing w:line="360" w:lineRule="auto"/>
        <w:ind w:left="945" w:leftChars="300" w:hanging="315" w:hangingChars="150"/>
        <w:rPr>
          <w:color w:val="000000" w:themeColor="text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2、响应单位应在报价中充分考虑甲供材料、构件、设备的工地保管费、辅材、损耗等相关费用。</w:t>
      </w:r>
    </w:p>
    <w:p w14:paraId="33E18AD3">
      <w:pPr>
        <w:pStyle w:val="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618" w:name="_Toc54281191"/>
      <w:bookmarkStart w:id="1619" w:name="_Toc145499829"/>
      <w:bookmarkStart w:id="1620" w:name="_Toc54278956"/>
      <w:bookmarkStart w:id="1621" w:name="_Toc54281617"/>
      <w:bookmarkStart w:id="1622" w:name="_Toc144872175"/>
      <w:bookmarkStart w:id="1623" w:name="_Toc53946179"/>
      <w:bookmarkStart w:id="1624" w:name="_Toc53948734"/>
      <w:bookmarkStart w:id="1625" w:name="_Toc54291521"/>
      <w:bookmarkStart w:id="1626" w:name="_Toc54280765"/>
      <w:bookmarkStart w:id="1627" w:name="_Toc53949155"/>
      <w:bookmarkStart w:id="1628" w:name="_Toc145426867"/>
      <w:bookmarkStart w:id="1629" w:name="_Toc53949576"/>
      <w:bookmarkStart w:id="1630" w:name="_Toc54280339"/>
      <w:bookmarkStart w:id="1631" w:name="_Toc284135620"/>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六</w:t>
      </w:r>
      <w:r>
        <w:rPr>
          <w:color w:val="000000" w:themeColor="text1"/>
          <w:highlight w:val="none"/>
          <w14:textFill>
            <w14:solidFill>
              <w14:schemeClr w14:val="tx1"/>
            </w14:solidFill>
          </w14:textFill>
        </w:rPr>
        <w:t xml:space="preserve">篇  </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r>
        <w:rPr>
          <w:color w:val="000000" w:themeColor="text1"/>
          <w:highlight w:val="none"/>
          <w14:textFill>
            <w14:solidFill>
              <w14:schemeClr w14:val="tx1"/>
            </w14:solidFill>
          </w14:textFill>
        </w:rPr>
        <w:t>响应文件格式</w:t>
      </w:r>
      <w:bookmarkEnd w:id="1631"/>
    </w:p>
    <w:p w14:paraId="6E978655">
      <w:pPr>
        <w:tabs>
          <w:tab w:val="left" w:pos="180"/>
        </w:tabs>
        <w:spacing w:line="600" w:lineRule="auto"/>
        <w:ind w:right="695" w:rightChars="331"/>
        <w:rPr>
          <w:rFonts w:hint="eastAsia" w:hAnsi="宋体"/>
          <w:b/>
          <w:color w:val="000000" w:themeColor="text1"/>
          <w:sz w:val="44"/>
          <w:szCs w:val="44"/>
          <w:highlight w:val="none"/>
          <w:u w:val="single"/>
          <w14:textFill>
            <w14:solidFill>
              <w14:schemeClr w14:val="tx1"/>
            </w14:solidFill>
          </w14:textFill>
        </w:rPr>
      </w:pPr>
    </w:p>
    <w:p w14:paraId="36824963">
      <w:pPr>
        <w:jc w:val="center"/>
        <w:rPr>
          <w:rFonts w:hint="eastAsia" w:hAnsi="宋体"/>
          <w:b/>
          <w:color w:val="000000" w:themeColor="text1"/>
          <w:sz w:val="48"/>
          <w:szCs w:val="48"/>
          <w:highlight w:val="none"/>
          <w14:textFill>
            <w14:solidFill>
              <w14:schemeClr w14:val="tx1"/>
            </w14:solidFill>
          </w14:textFill>
        </w:rPr>
      </w:pPr>
      <w:r>
        <w:rPr>
          <w:rFonts w:hint="eastAsia" w:hAnsi="宋体"/>
          <w:b/>
          <w:color w:val="000000" w:themeColor="text1"/>
          <w:sz w:val="48"/>
          <w:szCs w:val="48"/>
          <w:highlight w:val="none"/>
          <w:lang w:eastAsia="zh-CN"/>
          <w14:textFill>
            <w14:solidFill>
              <w14:schemeClr w14:val="tx1"/>
            </w14:solidFill>
          </w14:textFill>
        </w:rPr>
        <w:t>广西</w:t>
      </w:r>
      <w:r>
        <w:rPr>
          <w:rFonts w:hint="eastAsia" w:hAnsi="宋体"/>
          <w:b/>
          <w:color w:val="000000" w:themeColor="text1"/>
          <w:sz w:val="48"/>
          <w:szCs w:val="48"/>
          <w:highlight w:val="none"/>
          <w:lang w:val="en-US" w:eastAsia="zh-CN"/>
          <w14:textFill>
            <w14:solidFill>
              <w14:schemeClr w14:val="tx1"/>
            </w14:solidFill>
          </w14:textFill>
        </w:rPr>
        <w:t>桂林项目</w:t>
      </w:r>
      <w:r>
        <w:rPr>
          <w:rFonts w:hint="eastAsia" w:hAnsi="宋体"/>
          <w:b/>
          <w:color w:val="000000" w:themeColor="text1"/>
          <w:sz w:val="48"/>
          <w:szCs w:val="48"/>
          <w:highlight w:val="none"/>
          <w14:textFill>
            <w14:solidFill>
              <w14:schemeClr w14:val="tx1"/>
            </w14:solidFill>
          </w14:textFill>
        </w:rPr>
        <w:t>路面封层撒布施工劳务分包工程</w:t>
      </w:r>
    </w:p>
    <w:p w14:paraId="39EE447D">
      <w:pPr>
        <w:jc w:val="center"/>
        <w:rPr>
          <w:rFonts w:hint="eastAsia" w:hAnsi="宋体"/>
          <w:b/>
          <w:color w:val="000000" w:themeColor="text1"/>
          <w:sz w:val="48"/>
          <w:szCs w:val="48"/>
          <w:highlight w:val="none"/>
          <w14:textFill>
            <w14:solidFill>
              <w14:schemeClr w14:val="tx1"/>
            </w14:solidFill>
          </w14:textFill>
        </w:rPr>
      </w:pPr>
    </w:p>
    <w:p w14:paraId="1A49D37B">
      <w:pPr>
        <w:jc w:val="center"/>
        <w:rPr>
          <w:rFonts w:hint="eastAsia" w:hAnsi="宋体"/>
          <w:b/>
          <w:color w:val="000000" w:themeColor="text1"/>
          <w:sz w:val="48"/>
          <w:szCs w:val="48"/>
          <w:highlight w:val="none"/>
          <w14:textFill>
            <w14:solidFill>
              <w14:schemeClr w14:val="tx1"/>
            </w14:solidFill>
          </w14:textFill>
        </w:rPr>
      </w:pPr>
    </w:p>
    <w:p w14:paraId="3F463D32">
      <w:pPr>
        <w:jc w:val="center"/>
        <w:rPr>
          <w:rFonts w:hint="eastAsia" w:hAnsi="宋体"/>
          <w:b/>
          <w:color w:val="000000" w:themeColor="text1"/>
          <w:sz w:val="72"/>
          <w:highlight w:val="none"/>
          <w14:textFill>
            <w14:solidFill>
              <w14:schemeClr w14:val="tx1"/>
            </w14:solidFill>
          </w14:textFill>
        </w:rPr>
      </w:pPr>
      <w:r>
        <w:rPr>
          <w:rFonts w:hint="eastAsia" w:hAnsi="宋体"/>
          <w:b/>
          <w:color w:val="000000" w:themeColor="text1"/>
          <w:sz w:val="72"/>
          <w:highlight w:val="none"/>
          <w14:textFill>
            <w14:solidFill>
              <w14:schemeClr w14:val="tx1"/>
            </w14:solidFill>
          </w14:textFill>
        </w:rPr>
        <w:t>响应文件</w:t>
      </w:r>
    </w:p>
    <w:p w14:paraId="04A68607">
      <w:pPr>
        <w:jc w:val="center"/>
        <w:rPr>
          <w:b/>
          <w:color w:val="000000" w:themeColor="text1"/>
          <w:sz w:val="36"/>
          <w:szCs w:val="36"/>
          <w:highlight w:val="none"/>
          <w14:textFill>
            <w14:solidFill>
              <w14:schemeClr w14:val="tx1"/>
            </w14:solidFill>
          </w14:textFill>
        </w:rPr>
      </w:pPr>
    </w:p>
    <w:p w14:paraId="03706C60">
      <w:pPr>
        <w:jc w:val="center"/>
        <w:rPr>
          <w:b/>
          <w:color w:val="000000" w:themeColor="text1"/>
          <w:sz w:val="36"/>
          <w:szCs w:val="36"/>
          <w:highlight w:val="none"/>
          <w14:textFill>
            <w14:solidFill>
              <w14:schemeClr w14:val="tx1"/>
            </w14:solidFill>
          </w14:textFill>
        </w:rPr>
      </w:pPr>
    </w:p>
    <w:p w14:paraId="0AFA4A56">
      <w:pPr>
        <w:jc w:val="center"/>
        <w:rPr>
          <w:b/>
          <w:color w:val="000000" w:themeColor="text1"/>
          <w:sz w:val="36"/>
          <w:szCs w:val="36"/>
          <w:highlight w:val="none"/>
          <w14:textFill>
            <w14:solidFill>
              <w14:schemeClr w14:val="tx1"/>
            </w14:solidFill>
          </w14:textFill>
        </w:rPr>
      </w:pPr>
    </w:p>
    <w:p w14:paraId="3F028635">
      <w:pPr>
        <w:jc w:val="center"/>
        <w:rPr>
          <w:b/>
          <w:color w:val="000000" w:themeColor="text1"/>
          <w:sz w:val="36"/>
          <w:szCs w:val="36"/>
          <w:highlight w:val="none"/>
          <w14:textFill>
            <w14:solidFill>
              <w14:schemeClr w14:val="tx1"/>
            </w14:solidFill>
          </w14:textFill>
        </w:rPr>
      </w:pPr>
    </w:p>
    <w:p w14:paraId="5EE3653C">
      <w:pPr>
        <w:jc w:val="center"/>
        <w:rPr>
          <w:b/>
          <w:color w:val="000000" w:themeColor="text1"/>
          <w:sz w:val="36"/>
          <w:szCs w:val="36"/>
          <w:highlight w:val="none"/>
          <w14:textFill>
            <w14:solidFill>
              <w14:schemeClr w14:val="tx1"/>
            </w14:solidFill>
          </w14:textFill>
        </w:rPr>
      </w:pPr>
    </w:p>
    <w:p w14:paraId="54AFA1A9">
      <w:pPr>
        <w:jc w:val="center"/>
        <w:rPr>
          <w:b/>
          <w:color w:val="000000" w:themeColor="text1"/>
          <w:sz w:val="36"/>
          <w:szCs w:val="36"/>
          <w:highlight w:val="none"/>
          <w14:textFill>
            <w14:solidFill>
              <w14:schemeClr w14:val="tx1"/>
            </w14:solidFill>
          </w14:textFill>
        </w:rPr>
      </w:pPr>
    </w:p>
    <w:p w14:paraId="70D9BBB0">
      <w:pPr>
        <w:jc w:val="center"/>
        <w:rPr>
          <w:color w:val="000000" w:themeColor="text1"/>
          <w:sz w:val="48"/>
          <w:highlight w:val="none"/>
          <w14:textFill>
            <w14:solidFill>
              <w14:schemeClr w14:val="tx1"/>
            </w14:solidFill>
          </w14:textFill>
        </w:rPr>
      </w:pPr>
    </w:p>
    <w:p w14:paraId="6C025355">
      <w:pPr>
        <w:rPr>
          <w:color w:val="000000" w:themeColor="text1"/>
          <w:sz w:val="48"/>
          <w:highlight w:val="none"/>
          <w14:textFill>
            <w14:solidFill>
              <w14:schemeClr w14:val="tx1"/>
            </w14:solidFill>
          </w14:textFill>
        </w:rPr>
      </w:pPr>
    </w:p>
    <w:p w14:paraId="3043E295">
      <w:pPr>
        <w:jc w:val="center"/>
        <w:rPr>
          <w:color w:val="000000" w:themeColor="text1"/>
          <w:sz w:val="48"/>
          <w:highlight w:val="none"/>
          <w14:textFill>
            <w14:solidFill>
              <w14:schemeClr w14:val="tx1"/>
            </w14:solidFill>
          </w14:textFill>
        </w:rPr>
      </w:pPr>
    </w:p>
    <w:p w14:paraId="37584DF7">
      <w:pPr>
        <w:jc w:val="center"/>
        <w:rPr>
          <w:color w:val="000000" w:themeColor="text1"/>
          <w:sz w:val="48"/>
          <w:highlight w:val="none"/>
          <w14:textFill>
            <w14:solidFill>
              <w14:schemeClr w14:val="tx1"/>
            </w14:solidFill>
          </w14:textFill>
        </w:rPr>
      </w:pPr>
    </w:p>
    <w:p w14:paraId="51B3BC6B">
      <w:pPr>
        <w:jc w:val="center"/>
        <w:rPr>
          <w:color w:val="000000" w:themeColor="text1"/>
          <w:sz w:val="48"/>
          <w:highlight w:val="none"/>
          <w14:textFill>
            <w14:solidFill>
              <w14:schemeClr w14:val="tx1"/>
            </w14:solidFill>
          </w14:textFill>
        </w:rPr>
      </w:pPr>
    </w:p>
    <w:p w14:paraId="77503DD8">
      <w:pPr>
        <w:spacing w:line="360" w:lineRule="auto"/>
        <w:ind w:right="27" w:rightChars="13" w:firstLine="2168" w:firstLineChars="600"/>
        <w:jc w:val="left"/>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响应单位：</w:t>
      </w:r>
      <w:r>
        <w:rPr>
          <w:rFonts w:hint="eastAsia"/>
          <w:b/>
          <w:color w:val="000000" w:themeColor="text1"/>
          <w:sz w:val="36"/>
          <w:szCs w:val="36"/>
          <w:highlight w:val="none"/>
          <w:u w:val="single"/>
          <w14:textFill>
            <w14:solidFill>
              <w14:schemeClr w14:val="tx1"/>
            </w14:solidFill>
          </w14:textFill>
        </w:rPr>
        <w:t xml:space="preserve">             </w:t>
      </w:r>
    </w:p>
    <w:p w14:paraId="5C6173AA">
      <w:pPr>
        <w:spacing w:line="360" w:lineRule="auto"/>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2026年X月X日</w:t>
      </w:r>
    </w:p>
    <w:p w14:paraId="219F25B0">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bookmarkStart w:id="1632" w:name="_Toc284135622"/>
      <w:bookmarkStart w:id="1633" w:name="_Toc55300202"/>
      <w:bookmarkStart w:id="1634" w:name="_Toc64308101"/>
      <w:bookmarkStart w:id="1635" w:name="_Toc54967406"/>
      <w:bookmarkStart w:id="1636" w:name="_Toc64302453"/>
      <w:bookmarkStart w:id="1637" w:name="_Toc64302912"/>
      <w:bookmarkStart w:id="1638" w:name="_Toc54968740"/>
      <w:bookmarkStart w:id="1639" w:name="_Toc64302399"/>
      <w:bookmarkStart w:id="1640" w:name="_Toc284135621"/>
      <w:bookmarkStart w:id="1641" w:name="_Toc55082672"/>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一</w:t>
      </w:r>
      <w:r>
        <w:rPr>
          <w:rStyle w:val="46"/>
          <w:rFonts w:ascii="Times New Roman" w:hAnsi="Times New Roman" w:eastAsia="宋体"/>
          <w:b/>
          <w:bCs w:val="0"/>
          <w:color w:val="000000" w:themeColor="text1"/>
          <w:sz w:val="32"/>
          <w:highlight w:val="none"/>
          <w14:textFill>
            <w14:solidFill>
              <w14:schemeClr w14:val="tx1"/>
            </w14:solidFill>
          </w14:textFill>
        </w:rPr>
        <w:t>章 经济部分格式</w:t>
      </w:r>
      <w:bookmarkEnd w:id="1632"/>
    </w:p>
    <w:p w14:paraId="71759E1C">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642" w:name="_Toc54280767"/>
      <w:bookmarkStart w:id="1643" w:name="_Toc54281193"/>
      <w:bookmarkStart w:id="1644" w:name="_Toc145499831"/>
      <w:bookmarkStart w:id="1645" w:name="_Toc53948736"/>
      <w:bookmarkStart w:id="1646" w:name="_Toc54281619"/>
      <w:bookmarkStart w:id="1647" w:name="_Toc54278958"/>
      <w:bookmarkStart w:id="1648" w:name="_Toc54280341"/>
      <w:bookmarkStart w:id="1649" w:name="_Toc144872177"/>
      <w:bookmarkStart w:id="1650" w:name="_Toc53949157"/>
      <w:bookmarkStart w:id="1651" w:name="_Toc54291523"/>
      <w:bookmarkStart w:id="1652" w:name="_Toc53949578"/>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w:t>
      </w:r>
      <w:r>
        <w:rPr>
          <w:rStyle w:val="46"/>
          <w:rFonts w:ascii="Times New Roman" w:hAnsi="Times New Roman" w:eastAsia="宋体" w:cs="Times New Roman"/>
          <w:b/>
          <w:bCs w:val="0"/>
          <w:color w:val="000000" w:themeColor="text1"/>
          <w:szCs w:val="24"/>
          <w:highlight w:val="none"/>
          <w14:textFill>
            <w14:solidFill>
              <w14:schemeClr w14:val="tx1"/>
            </w14:solidFill>
          </w14:textFill>
        </w:rPr>
        <w:t>函</w:t>
      </w:r>
      <w:bookmarkEnd w:id="1642"/>
      <w:bookmarkEnd w:id="1643"/>
      <w:bookmarkEnd w:id="1644"/>
      <w:bookmarkEnd w:id="1645"/>
      <w:bookmarkEnd w:id="1646"/>
      <w:bookmarkEnd w:id="1647"/>
      <w:bookmarkEnd w:id="1648"/>
      <w:bookmarkEnd w:id="1649"/>
      <w:bookmarkEnd w:id="1650"/>
      <w:bookmarkEnd w:id="1651"/>
      <w:bookmarkEnd w:id="1652"/>
    </w:p>
    <w:p w14:paraId="483F9BD2">
      <w:pPr>
        <w:spacing w:line="360" w:lineRule="auto"/>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 xml:space="preserve">响   应   </w:t>
      </w:r>
      <w:r>
        <w:rPr>
          <w:b/>
          <w:color w:val="000000" w:themeColor="text1"/>
          <w:sz w:val="28"/>
          <w:szCs w:val="28"/>
          <w:highlight w:val="none"/>
          <w14:textFill>
            <w14:solidFill>
              <w14:schemeClr w14:val="tx1"/>
            </w14:solidFill>
          </w14:textFill>
        </w:rPr>
        <w:t>函</w:t>
      </w:r>
    </w:p>
    <w:p w14:paraId="4B49A6AC">
      <w:pPr>
        <w:spacing w:line="360" w:lineRule="auto"/>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中建路桥集团有限公司</w:t>
      </w:r>
    </w:p>
    <w:p w14:paraId="638BF717">
      <w:pPr>
        <w:widowControl/>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1.在研究了贵公司提供的采购文件(含补充采购文件第</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号)和考察工程现场后，我们愿意按人民币(大写)</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元(</w:t>
      </w:r>
      <w:r>
        <w:rPr>
          <w:color w:val="000000" w:themeColor="text1"/>
          <w:kern w:val="0"/>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元)的总报价，遵照采购文件的要求承担本合同全部工程的实施、完成及其缺陷修复工作。</w:t>
      </w:r>
    </w:p>
    <w:p w14:paraId="0B9308B2">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.如果贵公司接受我们的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，我们将保证在接到</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人的开工通知后，按其要求开工，并在</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日历天的工期内完成本合同工程，达到合同规定的要求。该工期从</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人发布的开工通知中写明的开工日期算起。</w:t>
      </w:r>
    </w:p>
    <w:p w14:paraId="22C15840">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.如果贵公司接受我们的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，我们将保证按贵公司认可的条件，</w:t>
      </w:r>
      <w:r>
        <w:rPr>
          <w:rFonts w:hint="eastAsia"/>
          <w:color w:val="000000" w:themeColor="text1"/>
          <w:szCs w:val="21"/>
          <w:highlight w:val="none"/>
          <w14:textFill>
            <w14:solidFill>
              <w14:schemeClr w14:val="tx1"/>
            </w14:solidFill>
          </w14:textFill>
        </w:rPr>
        <w:t>按采购文件</w:t>
      </w:r>
      <w:r>
        <w:rPr>
          <w:color w:val="000000" w:themeColor="text1"/>
          <w:szCs w:val="21"/>
          <w:highlight w:val="none"/>
          <w14:textFill>
            <w14:solidFill>
              <w14:schemeClr w14:val="tx1"/>
            </w14:solidFill>
          </w14:textFill>
        </w:rPr>
        <w:t>写明的金额提交履约担保。</w:t>
      </w:r>
    </w:p>
    <w:p w14:paraId="6E6362F1">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.我们同意在从规定的开启响应文件之日起</w:t>
      </w:r>
      <w:r>
        <w:rPr>
          <w:rFonts w:hint="eastAsia"/>
          <w:color w:val="000000" w:themeColor="text1"/>
          <w:szCs w:val="21"/>
          <w:highlight w:val="none"/>
          <w:u w:val="single"/>
          <w:lang w:val="en-US" w:eastAsia="zh-CN"/>
          <w14:textFill>
            <w14:solidFill>
              <w14:schemeClr w14:val="tx1"/>
            </w14:solidFill>
          </w14:textFill>
        </w:rPr>
        <w:t>90</w:t>
      </w:r>
      <w:r>
        <w:rPr>
          <w:color w:val="000000" w:themeColor="text1"/>
          <w:szCs w:val="21"/>
          <w:highlight w:val="none"/>
          <w14:textFill>
            <w14:solidFill>
              <w14:schemeClr w14:val="tx1"/>
            </w14:solidFill>
          </w14:textFill>
        </w:rPr>
        <w:t>天的响应有效期内严格遵守本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函的各项承诺。在此期限届满之前，本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函始终将对我方具有约束力，并随时接受</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w:t>
      </w:r>
    </w:p>
    <w:p w14:paraId="75D7B3A1">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.在合同协议书正式签署生效之前，本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函连同贵公司的成交通知书将构成贵我双方共同遵守的文件，对双方具有约束力。</w:t>
      </w:r>
    </w:p>
    <w:p w14:paraId="6F131FE5">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.我们理解，贵公司不一定接受最低</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或其他任何</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。同时也理解，贵公司不负担我们的任何</w:t>
      </w:r>
      <w:r>
        <w:rPr>
          <w:rFonts w:hint="eastAsia"/>
          <w:color w:val="000000" w:themeColor="text1"/>
          <w:szCs w:val="21"/>
          <w:highlight w:val="none"/>
          <w14:textFill>
            <w14:solidFill>
              <w14:schemeClr w14:val="tx1"/>
            </w14:solidFill>
          </w14:textFill>
        </w:rPr>
        <w:t>采购响应</w:t>
      </w:r>
      <w:r>
        <w:rPr>
          <w:color w:val="000000" w:themeColor="text1"/>
          <w:szCs w:val="21"/>
          <w:highlight w:val="none"/>
          <w14:textFill>
            <w14:solidFill>
              <w14:schemeClr w14:val="tx1"/>
            </w14:solidFill>
          </w14:textFill>
        </w:rPr>
        <w:t>费用。</w:t>
      </w:r>
    </w:p>
    <w:p w14:paraId="4BBB907F">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.随同本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函，我们出具金额为人民币</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万元的响应担保。如果我们在响应有效期内撤回响应文件或在接到</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通知后的30天内未能或拒绝签订合同协议书；或未能提交履约担保，贵公司有权没收响应担保，另选</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单位。</w:t>
      </w:r>
    </w:p>
    <w:p w14:paraId="75A33F29">
      <w:pPr>
        <w:spacing w:line="360" w:lineRule="auto"/>
        <w:ind w:firstLine="420" w:firstLineChars="200"/>
        <w:rPr>
          <w:color w:val="000000" w:themeColor="text1"/>
          <w:szCs w:val="21"/>
          <w:highlight w:val="none"/>
          <w14:textFill>
            <w14:solidFill>
              <w14:schemeClr w14:val="tx1"/>
            </w14:solidFill>
          </w14:textFill>
        </w:rPr>
      </w:pPr>
    </w:p>
    <w:p w14:paraId="12BAFEBC">
      <w:pPr>
        <w:spacing w:line="360" w:lineRule="auto"/>
        <w:ind w:firstLine="420" w:firstLineChars="200"/>
        <w:rPr>
          <w:color w:val="000000" w:themeColor="text1"/>
          <w:szCs w:val="21"/>
          <w:highlight w:val="none"/>
          <w14:textFill>
            <w14:solidFill>
              <w14:schemeClr w14:val="tx1"/>
            </w14:solidFill>
          </w14:textFill>
        </w:rPr>
      </w:pPr>
    </w:p>
    <w:p w14:paraId="2ACB2912">
      <w:pPr>
        <w:spacing w:line="360" w:lineRule="auto"/>
        <w:ind w:firstLine="420" w:firstLineChars="200"/>
        <w:rPr>
          <w:color w:val="000000" w:themeColor="text1"/>
          <w:szCs w:val="21"/>
          <w:highlight w:val="none"/>
          <w14:textFill>
            <w14:solidFill>
              <w14:schemeClr w14:val="tx1"/>
            </w14:solidFill>
          </w14:textFill>
        </w:rPr>
      </w:pPr>
    </w:p>
    <w:p w14:paraId="4EF368E9">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响应单位地址：</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响应单位</w:t>
      </w:r>
      <w:r>
        <w:rPr>
          <w:color w:val="000000" w:themeColor="text1"/>
          <w:szCs w:val="21"/>
          <w:highlight w:val="none"/>
          <w:u w:val="single"/>
          <w14:textFill>
            <w14:solidFill>
              <w14:schemeClr w14:val="tx1"/>
            </w14:solidFill>
          </w14:textFill>
        </w:rPr>
        <w:t>(全称)       (盖章)</w:t>
      </w:r>
    </w:p>
    <w:p w14:paraId="6B0C968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邮政编码：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法定代表人或其授权的代理人</w:t>
      </w:r>
    </w:p>
    <w:p w14:paraId="5CF77163">
      <w:pPr>
        <w:spacing w:line="360" w:lineRule="auto"/>
        <w:ind w:firstLine="420" w:firstLineChars="200"/>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 xml:space="preserve">电    话：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color w:val="000000" w:themeColor="text1"/>
          <w:szCs w:val="21"/>
          <w:highlight w:val="none"/>
          <w:u w:val="single"/>
          <w14:textFill>
            <w14:solidFill>
              <w14:schemeClr w14:val="tx1"/>
            </w14:solidFill>
          </w14:textFill>
        </w:rPr>
        <w:t>(职务)  (姓名) (签字)</w:t>
      </w:r>
    </w:p>
    <w:p w14:paraId="1BC5D39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传    真：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日期：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w:t>
      </w:r>
    </w:p>
    <w:p w14:paraId="0F52D532">
      <w:pPr>
        <w:pStyle w:val="53"/>
        <w:spacing w:before="120"/>
        <w:rPr>
          <w:rStyle w:val="46"/>
          <w:rFonts w:ascii="Times New Roman" w:hAnsi="Times New Roman" w:eastAsia="宋体" w:cs="Times New Roman"/>
          <w:b w:val="0"/>
          <w:bCs w:val="0"/>
          <w:color w:val="000000" w:themeColor="text1"/>
          <w:szCs w:val="24"/>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653" w:name="_Toc53948739"/>
      <w:bookmarkStart w:id="1654" w:name="_Toc53949160"/>
      <w:bookmarkStart w:id="1655" w:name="_Toc54280770"/>
      <w:bookmarkStart w:id="1656" w:name="_Toc53949581"/>
      <w:bookmarkStart w:id="1657" w:name="_Toc54291526"/>
      <w:bookmarkStart w:id="1658" w:name="_Toc54281622"/>
      <w:bookmarkStart w:id="1659" w:name="_Toc54278961"/>
      <w:bookmarkStart w:id="1660" w:name="_Toc54280344"/>
      <w:bookmarkStart w:id="1661" w:name="_Toc54281196"/>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格式2  法定代表人证明书</w:t>
      </w:r>
    </w:p>
    <w:p w14:paraId="77C99F60">
      <w:pPr>
        <w:adjustRightInd w:val="0"/>
        <w:snapToGrid w:val="0"/>
        <w:spacing w:before="120" w:beforeLines="50" w:line="360" w:lineRule="auto"/>
        <w:jc w:val="center"/>
        <w:outlineLvl w:val="4"/>
        <w:rPr>
          <w:rFonts w:hint="eastAsia" w:ascii="宋体" w:hAnsi="宋体" w:cs="黑体"/>
          <w:b/>
          <w:color w:val="000000" w:themeColor="text1"/>
          <w:sz w:val="28"/>
          <w:szCs w:val="28"/>
          <w:highlight w:val="none"/>
          <w14:textFill>
            <w14:solidFill>
              <w14:schemeClr w14:val="tx1"/>
            </w14:solidFill>
          </w14:textFill>
        </w:rPr>
      </w:pPr>
      <w:r>
        <w:rPr>
          <w:rFonts w:hint="eastAsia" w:ascii="宋体" w:hAnsi="宋体" w:cs="黑体"/>
          <w:b/>
          <w:color w:val="000000" w:themeColor="text1"/>
          <w:sz w:val="28"/>
          <w:szCs w:val="28"/>
          <w:highlight w:val="none"/>
          <w14:textFill>
            <w14:solidFill>
              <w14:schemeClr w14:val="tx1"/>
            </w14:solidFill>
          </w14:textFill>
        </w:rPr>
        <w:t>法定代表人身份证明</w:t>
      </w:r>
    </w:p>
    <w:p w14:paraId="0CF41945">
      <w:pPr>
        <w:rPr>
          <w:rFonts w:ascii="宋体"/>
          <w:color w:val="000000" w:themeColor="text1"/>
          <w:sz w:val="24"/>
          <w:highlight w:val="none"/>
          <w14:textFill>
            <w14:solidFill>
              <w14:schemeClr w14:val="tx1"/>
            </w14:solidFill>
          </w14:textFill>
        </w:rPr>
      </w:pPr>
    </w:p>
    <w:p w14:paraId="0B7A150E">
      <w:pPr>
        <w:rPr>
          <w:rFonts w:ascii="宋体"/>
          <w:color w:val="000000" w:themeColor="text1"/>
          <w:sz w:val="24"/>
          <w:highlight w:val="none"/>
          <w14:textFill>
            <w14:solidFill>
              <w14:schemeClr w14:val="tx1"/>
            </w14:solidFill>
          </w14:textFill>
        </w:rPr>
      </w:pPr>
    </w:p>
    <w:p w14:paraId="65867B46">
      <w:pPr>
        <w:spacing w:before="240" w:beforeLines="100" w:after="240" w:afterLines="100" w:line="360" w:lineRule="auto"/>
        <w:jc w:val="center"/>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法定代表人身份证明</w:t>
      </w:r>
    </w:p>
    <w:p w14:paraId="73340751">
      <w:pPr>
        <w:spacing w:after="120" w:afterLines="50" w:line="4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响应单位名称：</w:t>
      </w:r>
      <w:r>
        <w:rPr>
          <w:rFonts w:hint="eastAsia" w:ascii="宋体" w:hAnsi="宋体"/>
          <w:color w:val="000000" w:themeColor="text1"/>
          <w:sz w:val="24"/>
          <w:highlight w:val="none"/>
          <w:u w:val="single"/>
          <w14:textFill>
            <w14:solidFill>
              <w14:schemeClr w14:val="tx1"/>
            </w14:solidFill>
          </w14:textFill>
        </w:rPr>
        <w:t xml:space="preserve">                                   </w:t>
      </w:r>
    </w:p>
    <w:p w14:paraId="2E0994EE">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单位性质：</w:t>
      </w:r>
      <w:r>
        <w:rPr>
          <w:rFonts w:hint="eastAsia" w:ascii="宋体" w:hAnsi="宋体"/>
          <w:color w:val="000000" w:themeColor="text1"/>
          <w:sz w:val="24"/>
          <w:highlight w:val="none"/>
          <w:u w:val="single"/>
          <w14:textFill>
            <w14:solidFill>
              <w14:schemeClr w14:val="tx1"/>
            </w14:solidFill>
          </w14:textFill>
        </w:rPr>
        <w:t xml:space="preserve">                                     </w:t>
      </w:r>
    </w:p>
    <w:p w14:paraId="40A33485">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p>
    <w:p w14:paraId="5022A5C9">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成立时间：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C3EF732">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经营期限：</w:t>
      </w:r>
      <w:r>
        <w:rPr>
          <w:rFonts w:hint="eastAsia" w:ascii="宋体" w:hAnsi="宋体"/>
          <w:color w:val="000000" w:themeColor="text1"/>
          <w:sz w:val="24"/>
          <w:highlight w:val="none"/>
          <w:u w:val="single"/>
          <w14:textFill>
            <w14:solidFill>
              <w14:schemeClr w14:val="tx1"/>
            </w14:solidFill>
          </w14:textFill>
        </w:rPr>
        <w:t xml:space="preserve">                                     </w:t>
      </w:r>
    </w:p>
    <w:p w14:paraId="769E1792">
      <w:pPr>
        <w:snapToGrid w:val="0"/>
        <w:spacing w:after="120" w:afterLines="50"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姓名：</w:t>
      </w:r>
      <w:r>
        <w:rPr>
          <w:rFonts w:hint="eastAsia" w:ascii="宋体" w:hAnsi="宋体"/>
          <w:color w:val="000000" w:themeColor="text1"/>
          <w:sz w:val="24"/>
          <w:highlight w:val="none"/>
          <w:u w:val="single"/>
          <w14:textFill>
            <w14:solidFill>
              <w14:schemeClr w14:val="tx1"/>
            </w14:solidFill>
          </w14:textFill>
        </w:rPr>
        <w:t xml:space="preserve"> （法定代表人签字）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（响应单位名称）</w:t>
      </w:r>
      <w:r>
        <w:rPr>
          <w:rFonts w:hint="eastAsia" w:ascii="宋体" w:hAnsi="宋体"/>
          <w:color w:val="000000" w:themeColor="text1"/>
          <w:sz w:val="24"/>
          <w:highlight w:val="none"/>
          <w14:textFill>
            <w14:solidFill>
              <w14:schemeClr w14:val="tx1"/>
            </w14:solidFill>
          </w14:textFill>
        </w:rPr>
        <w:t>的法定代表人。</w:t>
      </w:r>
    </w:p>
    <w:p w14:paraId="29FB3726">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257F7111">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附：法定代表人身份证复印件</w:t>
      </w:r>
    </w:p>
    <w:p w14:paraId="25215EDC">
      <w:pPr>
        <w:spacing w:before="720" w:after="120" w:afterLines="50" w:line="360" w:lineRule="exact"/>
        <w:ind w:firstLine="3828" w:firstLineChars="159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（全称）（盖章）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0C40F4EB">
      <w:pPr>
        <w:spacing w:line="800" w:lineRule="exact"/>
        <w:ind w:firstLine="3828" w:firstLineChars="159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期：</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日</w:t>
      </w:r>
    </w:p>
    <w:p w14:paraId="33008A6D">
      <w:pPr>
        <w:tabs>
          <w:tab w:val="left" w:pos="4680"/>
        </w:tabs>
        <w:spacing w:after="120" w:afterLines="50" w:line="360" w:lineRule="auto"/>
        <w:ind w:firstLine="480" w:firstLineChars="200"/>
        <w:rPr>
          <w:rFonts w:hint="eastAsia" w:ascii="宋体" w:hAnsi="宋体"/>
          <w:color w:val="000000" w:themeColor="text1"/>
          <w:sz w:val="24"/>
          <w:highlight w:val="none"/>
          <w14:textFill>
            <w14:solidFill>
              <w14:schemeClr w14:val="tx1"/>
            </w14:solidFill>
          </w14:textFill>
        </w:rPr>
      </w:pPr>
    </w:p>
    <w:p w14:paraId="36CB5423">
      <w:pPr>
        <w:adjustRightInd w:val="0"/>
        <w:snapToGrid w:val="0"/>
        <w:spacing w:line="420" w:lineRule="exact"/>
        <w:rPr>
          <w:color w:val="000000" w:themeColor="text1"/>
          <w:szCs w:val="21"/>
          <w:highlight w:val="none"/>
          <w14:textFill>
            <w14:solidFill>
              <w14:schemeClr w14:val="tx1"/>
            </w14:solidFill>
          </w14:textFill>
        </w:rPr>
      </w:pPr>
    </w:p>
    <w:p w14:paraId="316782B4">
      <w:pPr>
        <w:spacing w:line="420" w:lineRule="exact"/>
        <w:rPr>
          <w:color w:val="000000" w:themeColor="text1"/>
          <w:szCs w:val="21"/>
          <w:highlight w:val="none"/>
          <w14:textFill>
            <w14:solidFill>
              <w14:schemeClr w14:val="tx1"/>
            </w14:solidFill>
          </w14:textFill>
        </w:rPr>
      </w:pPr>
    </w:p>
    <w:p w14:paraId="6B0E11DF">
      <w:pPr>
        <w:rPr>
          <w:rFonts w:ascii="宋体"/>
          <w:color w:val="000000" w:themeColor="text1"/>
          <w:sz w:val="24"/>
          <w:highlight w:val="none"/>
          <w14:textFill>
            <w14:solidFill>
              <w14:schemeClr w14:val="tx1"/>
            </w14:solidFill>
          </w14:textFill>
        </w:rPr>
      </w:pPr>
    </w:p>
    <w:p w14:paraId="15D09A17">
      <w:pPr>
        <w:spacing w:line="360" w:lineRule="auto"/>
        <w:rPr>
          <w:rFonts w:hint="eastAsia" w:ascii="宋体" w:hAnsi="宋体"/>
          <w:color w:val="000000" w:themeColor="text1"/>
          <w:szCs w:val="21"/>
          <w:highlight w:val="none"/>
          <w14:textFill>
            <w14:solidFill>
              <w14:schemeClr w14:val="tx1"/>
            </w14:solidFill>
          </w14:textFill>
        </w:rPr>
      </w:pPr>
    </w:p>
    <w:p w14:paraId="7EB4246A">
      <w:pPr>
        <w:spacing w:line="360" w:lineRule="auto"/>
        <w:rPr>
          <w:rFonts w:hint="eastAsia" w:ascii="宋体" w:hAnsi="宋体"/>
          <w:color w:val="000000" w:themeColor="text1"/>
          <w:szCs w:val="21"/>
          <w:highlight w:val="none"/>
          <w14:textFill>
            <w14:solidFill>
              <w14:schemeClr w14:val="tx1"/>
            </w14:solidFill>
          </w14:textFill>
        </w:rPr>
      </w:pPr>
    </w:p>
    <w:p w14:paraId="5FE60253">
      <w:pPr>
        <w:spacing w:line="360" w:lineRule="auto"/>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注：1、法定代表人的签字必须是亲笔签名，不得使用印章、签名章或其他电子制版签名。</w:t>
      </w:r>
    </w:p>
    <w:p w14:paraId="15F401E5">
      <w:pPr>
        <w:spacing w:line="360" w:lineRule="auto"/>
        <w:ind w:firstLine="360" w:firstLineChars="200"/>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2、响应单位还需提供法定代表人的身份证复印件。</w:t>
      </w:r>
    </w:p>
    <w:p w14:paraId="4CF97C91">
      <w:pPr>
        <w:rPr>
          <w:color w:val="000000" w:themeColor="text1"/>
          <w:highlight w:val="none"/>
          <w14:textFill>
            <w14:solidFill>
              <w14:schemeClr w14:val="tx1"/>
            </w14:solidFill>
          </w14:textFill>
        </w:rPr>
      </w:pPr>
    </w:p>
    <w:p w14:paraId="1A2CA05E">
      <w:pPr>
        <w:rPr>
          <w:color w:val="000000" w:themeColor="text1"/>
          <w:highlight w:val="none"/>
          <w14:textFill>
            <w14:solidFill>
              <w14:schemeClr w14:val="tx1"/>
            </w14:solidFill>
          </w14:textFill>
        </w:rPr>
      </w:pPr>
    </w:p>
    <w:p w14:paraId="3D10F9E2">
      <w:pPr>
        <w:rPr>
          <w:color w:val="000000" w:themeColor="text1"/>
          <w:highlight w:val="none"/>
          <w14:textFill>
            <w14:solidFill>
              <w14:schemeClr w14:val="tx1"/>
            </w14:solidFill>
          </w14:textFill>
        </w:rPr>
      </w:pPr>
    </w:p>
    <w:p w14:paraId="4F4F34BC">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3</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授权委托书</w:t>
      </w:r>
      <w:bookmarkEnd w:id="1653"/>
      <w:bookmarkEnd w:id="1654"/>
      <w:bookmarkEnd w:id="1655"/>
      <w:bookmarkEnd w:id="1656"/>
      <w:bookmarkEnd w:id="1657"/>
      <w:bookmarkEnd w:id="1658"/>
      <w:bookmarkEnd w:id="1659"/>
      <w:bookmarkEnd w:id="1660"/>
      <w:bookmarkEnd w:id="1661"/>
    </w:p>
    <w:p w14:paraId="2CA6DDC6">
      <w:pPr>
        <w:adjustRightInd w:val="0"/>
        <w:spacing w:line="360" w:lineRule="auto"/>
        <w:rPr>
          <w:color w:val="000000" w:themeColor="text1"/>
          <w:sz w:val="24"/>
          <w:highlight w:val="none"/>
          <w14:textFill>
            <w14:solidFill>
              <w14:schemeClr w14:val="tx1"/>
            </w14:solidFill>
          </w14:textFill>
        </w:rPr>
      </w:pPr>
    </w:p>
    <w:p w14:paraId="1896C7BA">
      <w:pPr>
        <w:spacing w:line="360" w:lineRule="auto"/>
        <w:jc w:val="center"/>
        <w:rPr>
          <w:b/>
          <w:color w:val="000000" w:themeColor="text1"/>
          <w:sz w:val="28"/>
          <w:szCs w:val="28"/>
          <w:highlight w:val="none"/>
          <w14:textFill>
            <w14:solidFill>
              <w14:schemeClr w14:val="tx1"/>
            </w14:solidFill>
          </w14:textFill>
        </w:rPr>
      </w:pPr>
      <w:bookmarkStart w:id="1662" w:name="_Toc18209295"/>
      <w:r>
        <w:rPr>
          <w:b/>
          <w:color w:val="000000" w:themeColor="text1"/>
          <w:sz w:val="28"/>
          <w:szCs w:val="28"/>
          <w:highlight w:val="none"/>
          <w14:textFill>
            <w14:solidFill>
              <w14:schemeClr w14:val="tx1"/>
            </w14:solidFill>
          </w14:textFill>
        </w:rPr>
        <w:t>授权委托书</w:t>
      </w:r>
      <w:bookmarkEnd w:id="1662"/>
    </w:p>
    <w:p w14:paraId="6B78F964">
      <w:pPr>
        <w:spacing w:line="360" w:lineRule="auto"/>
        <w:ind w:firstLine="480"/>
        <w:rPr>
          <w:color w:val="000000" w:themeColor="text1"/>
          <w:sz w:val="24"/>
          <w:highlight w:val="none"/>
          <w14:textFill>
            <w14:solidFill>
              <w14:schemeClr w14:val="tx1"/>
            </w14:solidFill>
          </w14:textFill>
        </w:rPr>
      </w:pPr>
    </w:p>
    <w:p w14:paraId="1B0474D4">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中建路桥集团有限公司</w:t>
      </w:r>
    </w:p>
    <w:p w14:paraId="1502BA77">
      <w:pPr>
        <w:spacing w:line="360" w:lineRule="auto"/>
        <w:ind w:firstLine="480"/>
        <w:rPr>
          <w:color w:val="000000" w:themeColor="text1"/>
          <w:szCs w:val="21"/>
          <w:highlight w:val="none"/>
          <w14:textFill>
            <w14:solidFill>
              <w14:schemeClr w14:val="tx1"/>
            </w14:solidFill>
          </w14:textFill>
        </w:rPr>
      </w:pPr>
    </w:p>
    <w:p w14:paraId="24B82BB8">
      <w:pPr>
        <w:spacing w:line="360" w:lineRule="auto"/>
        <w:ind w:firstLine="525"/>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本授权书宣告：  </w:t>
      </w:r>
      <w:r>
        <w:rPr>
          <w:color w:val="000000" w:themeColor="text1"/>
          <w:szCs w:val="21"/>
          <w:highlight w:val="none"/>
          <w:u w:val="single"/>
          <w14:textFill>
            <w14:solidFill>
              <w14:schemeClr w14:val="tx1"/>
            </w14:solidFill>
          </w14:textFill>
        </w:rPr>
        <w:t>(响应单位全称)  (职务)  (姓名)</w:t>
      </w:r>
      <w:r>
        <w:rPr>
          <w:color w:val="000000" w:themeColor="text1"/>
          <w:szCs w:val="21"/>
          <w:highlight w:val="none"/>
          <w14:textFill>
            <w14:solidFill>
              <w14:schemeClr w14:val="tx1"/>
            </w14:solidFill>
          </w14:textFill>
        </w:rPr>
        <w:t xml:space="preserve">合法地代表本单位，授权 </w:t>
      </w:r>
      <w:r>
        <w:rPr>
          <w:color w:val="000000" w:themeColor="text1"/>
          <w:szCs w:val="21"/>
          <w:highlight w:val="none"/>
          <w:u w:val="single"/>
          <w14:textFill>
            <w14:solidFill>
              <w14:schemeClr w14:val="tx1"/>
            </w14:solidFill>
          </w14:textFill>
        </w:rPr>
        <w:t xml:space="preserve">(响应单位全称)   </w:t>
      </w:r>
      <w:r>
        <w:rPr>
          <w:color w:val="000000" w:themeColor="text1"/>
          <w:szCs w:val="21"/>
          <w:highlight w:val="none"/>
          <w14:textFill>
            <w14:solidFill>
              <w14:schemeClr w14:val="tx1"/>
            </w14:solidFill>
          </w14:textFill>
        </w:rPr>
        <w:t>的</w:t>
      </w:r>
      <w:r>
        <w:rPr>
          <w:color w:val="000000" w:themeColor="text1"/>
          <w:szCs w:val="21"/>
          <w:highlight w:val="none"/>
          <w:u w:val="single"/>
          <w14:textFill>
            <w14:solidFill>
              <w14:schemeClr w14:val="tx1"/>
            </w14:solidFill>
          </w14:textFill>
        </w:rPr>
        <w:t xml:space="preserve">  (职务) (姓名)</w:t>
      </w:r>
      <w:r>
        <w:rPr>
          <w:color w:val="000000" w:themeColor="text1"/>
          <w:szCs w:val="21"/>
          <w:highlight w:val="none"/>
          <w14:textFill>
            <w14:solidFill>
              <w14:schemeClr w14:val="tx1"/>
            </w14:solidFill>
          </w14:textFill>
        </w:rPr>
        <w:t>为我单位代理人，该代理人有权在</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项目    分包工程</w:t>
      </w:r>
      <w:r>
        <w:rPr>
          <w:color w:val="000000" w:themeColor="text1"/>
          <w:szCs w:val="21"/>
          <w:highlight w:val="none"/>
          <w14:textFill>
            <w14:solidFill>
              <w14:schemeClr w14:val="tx1"/>
            </w14:solidFill>
          </w14:textFill>
        </w:rPr>
        <w:t>施工</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活动中，以我单位的名义签署</w:t>
      </w:r>
      <w:r>
        <w:rPr>
          <w:rFonts w:hint="eastAsia"/>
          <w:color w:val="000000" w:themeColor="text1"/>
          <w:szCs w:val="21"/>
          <w:highlight w:val="none"/>
          <w14:textFill>
            <w14:solidFill>
              <w14:schemeClr w14:val="tx1"/>
            </w14:solidFill>
          </w14:textFill>
        </w:rPr>
        <w:t>、澄清确认、递交、撤回、修改响应</w:t>
      </w:r>
      <w:r>
        <w:rPr>
          <w:color w:val="000000" w:themeColor="text1"/>
          <w:szCs w:val="21"/>
          <w:highlight w:val="none"/>
          <w14:textFill>
            <w14:solidFill>
              <w14:schemeClr w14:val="tx1"/>
            </w14:solidFill>
          </w14:textFill>
        </w:rPr>
        <w:t>函和响应文件、与采购人协商、谈判、签订合同协议书以及执行一切与此有关的事项</w:t>
      </w:r>
      <w:r>
        <w:rPr>
          <w:rFonts w:hint="eastAsia"/>
          <w:color w:val="000000" w:themeColor="text1"/>
          <w:szCs w:val="21"/>
          <w:highlight w:val="none"/>
          <w14:textFill>
            <w14:solidFill>
              <w14:schemeClr w14:val="tx1"/>
            </w14:solidFill>
          </w14:textFill>
        </w:rPr>
        <w:t>，其法律后果由我方承担</w:t>
      </w:r>
      <w:r>
        <w:rPr>
          <w:color w:val="000000" w:themeColor="text1"/>
          <w:szCs w:val="21"/>
          <w:highlight w:val="none"/>
          <w14:textFill>
            <w14:solidFill>
              <w14:schemeClr w14:val="tx1"/>
            </w14:solidFill>
          </w14:textFill>
        </w:rPr>
        <w:t>。</w:t>
      </w:r>
    </w:p>
    <w:p w14:paraId="4871E612">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委托期限：自本委托书签署之日起至响应有效期期满。</w:t>
      </w:r>
    </w:p>
    <w:p w14:paraId="54940B2B">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代理人无转委托权。</w:t>
      </w:r>
    </w:p>
    <w:p w14:paraId="4E7D472A">
      <w:pPr>
        <w:spacing w:line="360" w:lineRule="auto"/>
        <w:jc w:val="left"/>
        <w:rPr>
          <w:color w:val="000000" w:themeColor="text1"/>
          <w:szCs w:val="21"/>
          <w:highlight w:val="none"/>
          <w14:textFill>
            <w14:solidFill>
              <w14:schemeClr w14:val="tx1"/>
            </w14:solidFill>
          </w14:textFill>
        </w:rPr>
      </w:pPr>
    </w:p>
    <w:p w14:paraId="371FE83B">
      <w:pPr>
        <w:spacing w:line="360" w:lineRule="auto"/>
        <w:jc w:val="left"/>
        <w:rPr>
          <w:color w:val="000000" w:themeColor="text1"/>
          <w:szCs w:val="21"/>
          <w:highlight w:val="none"/>
          <w14:textFill>
            <w14:solidFill>
              <w14:schemeClr w14:val="tx1"/>
            </w14:solidFill>
          </w14:textFill>
        </w:rPr>
      </w:pPr>
    </w:p>
    <w:p w14:paraId="5E1CEE55">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w:t>
      </w:r>
      <w:r>
        <w:rPr>
          <w:color w:val="000000" w:themeColor="text1"/>
          <w:szCs w:val="21"/>
          <w:highlight w:val="none"/>
          <w:u w:val="single"/>
          <w14:textFill>
            <w14:solidFill>
              <w14:schemeClr w14:val="tx1"/>
            </w14:solidFill>
          </w14:textFill>
        </w:rPr>
        <w:t xml:space="preserve">                     (盖章)</w:t>
      </w:r>
    </w:p>
    <w:p w14:paraId="16F016FC">
      <w:pPr>
        <w:spacing w:line="360" w:lineRule="auto"/>
        <w:ind w:firstLine="3150" w:firstLineChars="1500"/>
        <w:jc w:val="left"/>
        <w:rPr>
          <w:color w:val="000000" w:themeColor="text1"/>
          <w:szCs w:val="21"/>
          <w:highlight w:val="none"/>
          <w14:textFill>
            <w14:solidFill>
              <w14:schemeClr w14:val="tx1"/>
            </w14:solidFill>
          </w14:textFill>
        </w:rPr>
      </w:pPr>
    </w:p>
    <w:p w14:paraId="13AE8ECD">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授权人：</w:t>
      </w:r>
      <w:r>
        <w:rPr>
          <w:color w:val="000000" w:themeColor="text1"/>
          <w:szCs w:val="21"/>
          <w:highlight w:val="none"/>
          <w:u w:val="single"/>
          <w14:textFill>
            <w14:solidFill>
              <w14:schemeClr w14:val="tx1"/>
            </w14:solidFill>
          </w14:textFill>
        </w:rPr>
        <w:t xml:space="preserve">                     (签字)</w:t>
      </w:r>
    </w:p>
    <w:p w14:paraId="2AA90C5D">
      <w:pPr>
        <w:spacing w:line="360" w:lineRule="auto"/>
        <w:ind w:firstLine="3150" w:firstLineChars="1500"/>
        <w:jc w:val="left"/>
        <w:rPr>
          <w:color w:val="000000" w:themeColor="text1"/>
          <w:szCs w:val="21"/>
          <w:highlight w:val="none"/>
          <w14:textFill>
            <w14:solidFill>
              <w14:schemeClr w14:val="tx1"/>
            </w14:solidFill>
          </w14:textFill>
        </w:rPr>
      </w:pPr>
    </w:p>
    <w:p w14:paraId="324C26F9">
      <w:pPr>
        <w:spacing w:line="360" w:lineRule="auto"/>
        <w:ind w:firstLine="3150" w:firstLineChars="1500"/>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授权代理人：</w:t>
      </w:r>
      <w:r>
        <w:rPr>
          <w:color w:val="000000" w:themeColor="text1"/>
          <w:szCs w:val="21"/>
          <w:highlight w:val="none"/>
          <w:u w:val="single"/>
          <w14:textFill>
            <w14:solidFill>
              <w14:schemeClr w14:val="tx1"/>
            </w14:solidFill>
          </w14:textFill>
        </w:rPr>
        <w:t xml:space="preserve">                 (签字)</w:t>
      </w:r>
    </w:p>
    <w:p w14:paraId="2E7FFA78">
      <w:pPr>
        <w:spacing w:line="360" w:lineRule="auto"/>
        <w:ind w:firstLine="3150" w:firstLineChars="1500"/>
        <w:jc w:val="left"/>
        <w:rPr>
          <w:color w:val="000000" w:themeColor="text1"/>
          <w:szCs w:val="21"/>
          <w:highlight w:val="none"/>
          <w14:textFill>
            <w14:solidFill>
              <w14:schemeClr w14:val="tx1"/>
            </w14:solidFill>
          </w14:textFill>
        </w:rPr>
      </w:pPr>
    </w:p>
    <w:p w14:paraId="7EB8A987">
      <w:pPr>
        <w:spacing w:line="360" w:lineRule="auto"/>
        <w:ind w:firstLine="3150" w:firstLineChars="150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授权委托人身份证号：</w:t>
      </w:r>
      <w:r>
        <w:rPr>
          <w:rFonts w:hint="eastAsia"/>
          <w:color w:val="000000" w:themeColor="text1"/>
          <w:szCs w:val="21"/>
          <w:highlight w:val="none"/>
          <w:u w:val="single"/>
          <w14:textFill>
            <w14:solidFill>
              <w14:schemeClr w14:val="tx1"/>
            </w14:solidFill>
          </w14:textFill>
        </w:rPr>
        <w:t xml:space="preserve">                        </w:t>
      </w:r>
    </w:p>
    <w:p w14:paraId="0D4C9B61">
      <w:pPr>
        <w:spacing w:line="360" w:lineRule="auto"/>
        <w:ind w:firstLine="3150" w:firstLineChars="1500"/>
        <w:jc w:val="left"/>
        <w:rPr>
          <w:color w:val="000000" w:themeColor="text1"/>
          <w:szCs w:val="21"/>
          <w:highlight w:val="none"/>
          <w14:textFill>
            <w14:solidFill>
              <w14:schemeClr w14:val="tx1"/>
            </w14:solidFill>
          </w14:textFill>
        </w:rPr>
      </w:pPr>
    </w:p>
    <w:p w14:paraId="4EF18B1D">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日　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年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w:t>
      </w:r>
    </w:p>
    <w:p w14:paraId="2372BE30">
      <w:pPr>
        <w:spacing w:line="360" w:lineRule="auto"/>
        <w:jc w:val="left"/>
        <w:rPr>
          <w:color w:val="000000" w:themeColor="text1"/>
          <w:szCs w:val="21"/>
          <w:highlight w:val="none"/>
          <w14:textFill>
            <w14:solidFill>
              <w14:schemeClr w14:val="tx1"/>
            </w14:solidFill>
          </w14:textFill>
        </w:rPr>
      </w:pPr>
    </w:p>
    <w:p w14:paraId="03F70B70">
      <w:pPr>
        <w:spacing w:line="360" w:lineRule="auto"/>
        <w:jc w:val="left"/>
        <w:rPr>
          <w:color w:val="000000" w:themeColor="text1"/>
          <w:szCs w:val="21"/>
          <w:highlight w:val="none"/>
          <w14:textFill>
            <w14:solidFill>
              <w14:schemeClr w14:val="tx1"/>
            </w14:solidFill>
          </w14:textFill>
        </w:rPr>
      </w:pPr>
    </w:p>
    <w:p w14:paraId="377E6C8E">
      <w:pPr>
        <w:spacing w:line="360" w:lineRule="auto"/>
        <w:jc w:val="left"/>
        <w:rPr>
          <w:color w:val="000000" w:themeColor="text1"/>
          <w:szCs w:val="21"/>
          <w:highlight w:val="none"/>
          <w14:textFill>
            <w14:solidFill>
              <w14:schemeClr w14:val="tx1"/>
            </w14:solidFill>
          </w14:textFill>
        </w:rPr>
      </w:pPr>
    </w:p>
    <w:p w14:paraId="08174527">
      <w:pPr>
        <w:spacing w:line="360" w:lineRule="auto"/>
        <w:jc w:val="left"/>
        <w:rPr>
          <w:color w:val="000000" w:themeColor="text1"/>
          <w:szCs w:val="21"/>
          <w:highlight w:val="none"/>
          <w14:textFill>
            <w14:solidFill>
              <w14:schemeClr w14:val="tx1"/>
            </w14:solidFill>
          </w14:textFill>
        </w:rPr>
      </w:pPr>
    </w:p>
    <w:p w14:paraId="7FC49A2B">
      <w:pPr>
        <w:spacing w:line="360" w:lineRule="auto"/>
        <w:jc w:val="left"/>
        <w:rPr>
          <w:color w:val="000000" w:themeColor="text1"/>
          <w:szCs w:val="21"/>
          <w:highlight w:val="none"/>
          <w14:textFill>
            <w14:solidFill>
              <w14:schemeClr w14:val="tx1"/>
            </w14:solidFill>
          </w14:textFill>
        </w:rPr>
      </w:pPr>
    </w:p>
    <w:p w14:paraId="345B5BE2">
      <w:pPr>
        <w:spacing w:line="360" w:lineRule="auto"/>
        <w:jc w:val="left"/>
        <w:rPr>
          <w:color w:val="000000" w:themeColor="text1"/>
          <w:szCs w:val="21"/>
          <w:highlight w:val="none"/>
          <w14:textFill>
            <w14:solidFill>
              <w14:schemeClr w14:val="tx1"/>
            </w14:solidFill>
          </w14:textFill>
        </w:rPr>
      </w:pPr>
    </w:p>
    <w:p w14:paraId="2FE0B51C">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注：后附法定代表人身份证复印件及委托代理人身份证复印件（须在同一页）。</w:t>
      </w:r>
    </w:p>
    <w:p w14:paraId="5A90BC00">
      <w:pPr>
        <w:spacing w:line="360" w:lineRule="auto"/>
        <w:jc w:val="left"/>
        <w:rPr>
          <w:color w:val="000000" w:themeColor="text1"/>
          <w:szCs w:val="21"/>
          <w:highlight w:val="none"/>
          <w14:textFill>
            <w14:solidFill>
              <w14:schemeClr w14:val="tx1"/>
            </w14:solidFill>
          </w14:textFill>
        </w:rPr>
      </w:pPr>
    </w:p>
    <w:p w14:paraId="6CD2555F">
      <w:pPr>
        <w:spacing w:line="360" w:lineRule="auto"/>
        <w:jc w:val="left"/>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4</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响应担保</w:t>
      </w:r>
    </w:p>
    <w:p w14:paraId="6BF976C7">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若采用现金或支票，响应单位应在此提供汇款凭证的复印件。</w:t>
      </w:r>
    </w:p>
    <w:p w14:paraId="5C4EAA20">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如采用银行保函，银行保函复印件装订在响应文件中。</w:t>
      </w:r>
    </w:p>
    <w:p w14:paraId="50E174F3">
      <w:pPr>
        <w:spacing w:line="360" w:lineRule="auto"/>
        <w:jc w:val="left"/>
        <w:rPr>
          <w:color w:val="000000" w:themeColor="text1"/>
          <w:szCs w:val="21"/>
          <w:highlight w:val="none"/>
          <w14:textFill>
            <w14:solidFill>
              <w14:schemeClr w14:val="tx1"/>
            </w14:solidFill>
          </w14:textFill>
        </w:rPr>
      </w:pPr>
    </w:p>
    <w:p w14:paraId="74507A9F">
      <w:pPr>
        <w:spacing w:line="360" w:lineRule="auto"/>
        <w:jc w:val="left"/>
        <w:rPr>
          <w:color w:val="000000" w:themeColor="text1"/>
          <w:szCs w:val="21"/>
          <w:highlight w:val="none"/>
          <w14:textFill>
            <w14:solidFill>
              <w14:schemeClr w14:val="tx1"/>
            </w14:solidFill>
          </w14:textFill>
        </w:rPr>
      </w:pPr>
    </w:p>
    <w:p w14:paraId="4E7D18A0">
      <w:pPr>
        <w:spacing w:line="360" w:lineRule="auto"/>
        <w:jc w:val="left"/>
        <w:rPr>
          <w:color w:val="000000" w:themeColor="text1"/>
          <w:szCs w:val="21"/>
          <w:highlight w:val="none"/>
          <w14:textFill>
            <w14:solidFill>
              <w14:schemeClr w14:val="tx1"/>
            </w14:solidFill>
          </w14:textFill>
        </w:rPr>
      </w:pPr>
    </w:p>
    <w:p w14:paraId="5183A239">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5</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总报价</w:t>
      </w:r>
    </w:p>
    <w:p w14:paraId="26139739">
      <w:pPr>
        <w:spacing w:line="360" w:lineRule="auto"/>
        <w:jc w:val="center"/>
        <w:rPr>
          <w:b/>
          <w:color w:val="000000" w:themeColor="text1"/>
          <w:spacing w:val="80"/>
          <w:sz w:val="36"/>
          <w:szCs w:val="32"/>
          <w:highlight w:val="none"/>
          <w14:textFill>
            <w14:solidFill>
              <w14:schemeClr w14:val="tx1"/>
            </w14:solidFill>
          </w14:textFill>
        </w:rPr>
      </w:pPr>
      <w:r>
        <w:rPr>
          <w:b/>
          <w:color w:val="000000" w:themeColor="text1"/>
          <w:spacing w:val="80"/>
          <w:sz w:val="36"/>
          <w:szCs w:val="32"/>
          <w:highlight w:val="none"/>
          <w14:textFill>
            <w14:solidFill>
              <w14:schemeClr w14:val="tx1"/>
            </w14:solidFill>
          </w14:textFill>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w:t>
            </w:r>
          </w:p>
        </w:tc>
        <w:tc>
          <w:tcPr>
            <w:tcW w:w="481" w:type="dxa"/>
            <w:vAlign w:val="bottom"/>
          </w:tcPr>
          <w:p w14:paraId="2381D0B2">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color w:val="000000" w:themeColor="text1"/>
                <w:sz w:val="24"/>
                <w:highlight w:val="none"/>
                <w14:textFill>
                  <w14:solidFill>
                    <w14:schemeClr w14:val="tx1"/>
                  </w14:solidFill>
                </w14:textFill>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工程名称</w:t>
            </w:r>
          </w:p>
        </w:tc>
        <w:tc>
          <w:tcPr>
            <w:tcW w:w="481" w:type="dxa"/>
            <w:vAlign w:val="bottom"/>
          </w:tcPr>
          <w:p w14:paraId="132A3F76">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color w:val="000000" w:themeColor="text1"/>
                <w:sz w:val="24"/>
                <w:highlight w:val="none"/>
                <w14:textFill>
                  <w14:solidFill>
                    <w14:schemeClr w14:val="tx1"/>
                  </w14:solidFill>
                </w14:textFill>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color w:val="000000" w:themeColor="text1"/>
                <w:sz w:val="24"/>
                <w:highlight w:val="none"/>
                <w14:textFill>
                  <w14:solidFill>
                    <w14:schemeClr w14:val="tx1"/>
                  </w14:solidFill>
                </w14:textFill>
              </w:rPr>
            </w:pPr>
          </w:p>
          <w:p w14:paraId="1DEB4BC2">
            <w:pPr>
              <w:spacing w:line="360" w:lineRule="auto"/>
              <w:jc w:val="distribute"/>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不含增值税</w:t>
            </w:r>
          </w:p>
          <w:p w14:paraId="66C61E33">
            <w:pPr>
              <w:spacing w:line="360" w:lineRule="auto"/>
              <w:jc w:val="distribute"/>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总报价</w:t>
            </w:r>
          </w:p>
        </w:tc>
        <w:tc>
          <w:tcPr>
            <w:tcW w:w="1280" w:type="dxa"/>
            <w:gridSpan w:val="2"/>
            <w:vAlign w:val="bottom"/>
          </w:tcPr>
          <w:p w14:paraId="59818ABA">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color w:val="000000" w:themeColor="text1"/>
                <w:sz w:val="24"/>
                <w:highlight w:val="none"/>
                <w14:textFill>
                  <w14:solidFill>
                    <w14:schemeClr w14:val="tx1"/>
                  </w14:solidFill>
                </w14:textFill>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color w:val="000000" w:themeColor="text1"/>
                <w:sz w:val="24"/>
                <w:highlight w:val="none"/>
                <w14:textFill>
                  <w14:solidFill>
                    <w14:schemeClr w14:val="tx1"/>
                  </w14:solidFill>
                </w14:textFill>
              </w:rPr>
            </w:pPr>
          </w:p>
        </w:tc>
        <w:tc>
          <w:tcPr>
            <w:tcW w:w="1280" w:type="dxa"/>
            <w:gridSpan w:val="2"/>
            <w:vAlign w:val="bottom"/>
          </w:tcPr>
          <w:p w14:paraId="0EC7CE5E">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color w:val="000000" w:themeColor="text1"/>
                <w:sz w:val="24"/>
                <w:highlight w:val="none"/>
                <w14:textFill>
                  <w14:solidFill>
                    <w14:schemeClr w14:val="tx1"/>
                  </w14:solidFill>
                </w14:textFill>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总报价</w:t>
            </w:r>
          </w:p>
        </w:tc>
        <w:tc>
          <w:tcPr>
            <w:tcW w:w="1280" w:type="dxa"/>
            <w:gridSpan w:val="2"/>
            <w:vAlign w:val="bottom"/>
          </w:tcPr>
          <w:p w14:paraId="6593CC07">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color w:val="000000" w:themeColor="text1"/>
                <w:sz w:val="24"/>
                <w:highlight w:val="none"/>
                <w14:textFill>
                  <w14:solidFill>
                    <w14:schemeClr w14:val="tx1"/>
                  </w14:solidFill>
                </w14:textFill>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color w:val="000000" w:themeColor="text1"/>
                <w:sz w:val="24"/>
                <w:highlight w:val="none"/>
                <w14:textFill>
                  <w14:solidFill>
                    <w14:schemeClr w14:val="tx1"/>
                  </w14:solidFill>
                </w14:textFill>
              </w:rPr>
            </w:pPr>
          </w:p>
        </w:tc>
        <w:tc>
          <w:tcPr>
            <w:tcW w:w="1280" w:type="dxa"/>
            <w:gridSpan w:val="2"/>
            <w:vAlign w:val="bottom"/>
          </w:tcPr>
          <w:p w14:paraId="2B2B9755">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color w:val="000000" w:themeColor="text1"/>
                <w:sz w:val="24"/>
                <w:highlight w:val="none"/>
                <w14:textFill>
                  <w14:solidFill>
                    <w14:schemeClr w14:val="tx1"/>
                  </w14:solidFill>
                </w14:textFill>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响应单位</w:t>
            </w:r>
          </w:p>
        </w:tc>
        <w:tc>
          <w:tcPr>
            <w:tcW w:w="481" w:type="dxa"/>
            <w:vAlign w:val="bottom"/>
          </w:tcPr>
          <w:p w14:paraId="79659708">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color w:val="000000" w:themeColor="text1"/>
                <w:sz w:val="24"/>
                <w:highlight w:val="none"/>
                <w14:textFill>
                  <w14:solidFill>
                    <w14:schemeClr w14:val="tx1"/>
                  </w14:solidFill>
                </w14:textFill>
              </w:rPr>
            </w:pPr>
          </w:p>
        </w:tc>
        <w:tc>
          <w:tcPr>
            <w:tcW w:w="2148" w:type="dxa"/>
            <w:vAlign w:val="bottom"/>
          </w:tcPr>
          <w:p w14:paraId="0260D8A6">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法定代表人</w:t>
            </w:r>
          </w:p>
        </w:tc>
        <w:tc>
          <w:tcPr>
            <w:tcW w:w="481" w:type="dxa"/>
            <w:vAlign w:val="bottom"/>
          </w:tcPr>
          <w:p w14:paraId="029E6C85">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color w:val="000000" w:themeColor="text1"/>
                <w:sz w:val="24"/>
                <w:highlight w:val="none"/>
                <w14:textFill>
                  <w14:solidFill>
                    <w14:schemeClr w14:val="tx1"/>
                  </w14:solidFill>
                </w14:textFill>
              </w:rPr>
            </w:pPr>
          </w:p>
        </w:tc>
        <w:tc>
          <w:tcPr>
            <w:tcW w:w="2148" w:type="dxa"/>
            <w:vAlign w:val="bottom"/>
          </w:tcPr>
          <w:p w14:paraId="633EC69F">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编制时间</w:t>
            </w:r>
          </w:p>
        </w:tc>
        <w:tc>
          <w:tcPr>
            <w:tcW w:w="481" w:type="dxa"/>
            <w:vAlign w:val="bottom"/>
          </w:tcPr>
          <w:p w14:paraId="05EA9023">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color w:val="000000" w:themeColor="text1"/>
                <w:sz w:val="24"/>
                <w:highlight w:val="none"/>
                <w14:textFill>
                  <w14:solidFill>
                    <w14:schemeClr w14:val="tx1"/>
                  </w14:solidFill>
                </w14:textFill>
              </w:rPr>
            </w:pPr>
          </w:p>
        </w:tc>
        <w:tc>
          <w:tcPr>
            <w:tcW w:w="2148" w:type="dxa"/>
            <w:vAlign w:val="bottom"/>
          </w:tcPr>
          <w:p w14:paraId="5A81D4AC">
            <w:pPr>
              <w:spacing w:line="360" w:lineRule="auto"/>
              <w:jc w:val="center"/>
              <w:rPr>
                <w:rFonts w:hint="eastAsia" w:ascii="宋体" w:hAnsi="宋体"/>
                <w:color w:val="000000" w:themeColor="text1"/>
                <w:sz w:val="24"/>
                <w:highlight w:val="none"/>
                <w14:textFill>
                  <w14:solidFill>
                    <w14:schemeClr w14:val="tx1"/>
                  </w14:solidFill>
                </w14:textFill>
              </w:rPr>
            </w:pPr>
          </w:p>
        </w:tc>
      </w:tr>
    </w:tbl>
    <w:p w14:paraId="4AEA2397">
      <w:pPr>
        <w:rPr>
          <w:rStyle w:val="46"/>
          <w:rFonts w:ascii="Times New Roman" w:hAnsi="Times New Roman" w:eastAsia="宋体"/>
          <w:b w:val="0"/>
          <w:color w:val="000000" w:themeColor="text1"/>
          <w:highlight w:val="none"/>
          <w14:textFill>
            <w14:solidFill>
              <w14:schemeClr w14:val="tx1"/>
            </w14:solidFill>
          </w14:textFill>
        </w:rPr>
      </w:pPr>
    </w:p>
    <w:p w14:paraId="60863C11">
      <w:pPr>
        <w:rPr>
          <w:rStyle w:val="46"/>
          <w:rFonts w:ascii="Times New Roman" w:hAnsi="Times New Roman" w:eastAsia="宋体"/>
          <w:b w:val="0"/>
          <w:color w:val="000000" w:themeColor="text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6</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工程量清单报价格式见第五篇第二章相应格式</w:t>
      </w:r>
    </w:p>
    <w:p w14:paraId="31B67A7D">
      <w:pPr>
        <w:rPr>
          <w:color w:val="000000" w:themeColor="text1"/>
          <w:highlight w:val="none"/>
          <w14:textFill>
            <w14:solidFill>
              <w14:schemeClr w14:val="tx1"/>
            </w14:solidFill>
          </w14:textFill>
        </w:rPr>
      </w:pPr>
    </w:p>
    <w:p w14:paraId="4085E3A7">
      <w:pPr>
        <w:rPr>
          <w:color w:val="000000" w:themeColor="text1"/>
          <w:highlight w:val="none"/>
          <w14:textFill>
            <w14:solidFill>
              <w14:schemeClr w14:val="tx1"/>
            </w14:solidFill>
          </w14:textFill>
        </w:rPr>
      </w:pPr>
    </w:p>
    <w:p w14:paraId="6B7B5A21">
      <w:pPr>
        <w:rPr>
          <w:rStyle w:val="46"/>
          <w:rFonts w:ascii="Times New Roman" w:hAnsi="Times New Roman" w:eastAsia="宋体"/>
          <w:color w:val="000000" w:themeColor="text1"/>
          <w:sz w:val="28"/>
          <w:szCs w:val="28"/>
          <w:highlight w:val="none"/>
          <w14:textFill>
            <w14:solidFill>
              <w14:schemeClr w14:val="tx1"/>
            </w14:solidFill>
          </w14:textFill>
        </w:rPr>
      </w:pPr>
      <w:r>
        <w:rPr>
          <w:rStyle w:val="46"/>
          <w:rFonts w:hint="eastAsia" w:ascii="Times New Roman" w:hAnsi="Times New Roman" w:eastAsia="宋体"/>
          <w:color w:val="000000" w:themeColor="text1"/>
          <w:sz w:val="28"/>
          <w:szCs w:val="28"/>
          <w:highlight w:val="none"/>
          <w14:textFill>
            <w14:solidFill>
              <w14:schemeClr w14:val="tx1"/>
            </w14:solidFill>
          </w14:textFill>
        </w:rPr>
        <w:t>报价格式见第五篇第二章相应格式</w:t>
      </w:r>
    </w:p>
    <w:p w14:paraId="763D835E">
      <w:pPr>
        <w:rPr>
          <w:color w:val="000000" w:themeColor="text1"/>
          <w:highlight w:val="none"/>
          <w14:textFill>
            <w14:solidFill>
              <w14:schemeClr w14:val="tx1"/>
            </w14:solidFill>
          </w14:textFill>
        </w:rPr>
      </w:pPr>
    </w:p>
    <w:p w14:paraId="30E5B632">
      <w:pPr>
        <w:rPr>
          <w:color w:val="000000" w:themeColor="text1"/>
          <w:highlight w:val="none"/>
          <w14:textFill>
            <w14:solidFill>
              <w14:schemeClr w14:val="tx1"/>
            </w14:solidFill>
          </w14:textFill>
        </w:rPr>
      </w:pPr>
    </w:p>
    <w:p w14:paraId="778B582E">
      <w:pPr>
        <w:rPr>
          <w:color w:val="000000" w:themeColor="text1"/>
          <w:highlight w:val="none"/>
          <w14:textFill>
            <w14:solidFill>
              <w14:schemeClr w14:val="tx1"/>
            </w14:solidFill>
          </w14:textFill>
        </w:rPr>
      </w:pPr>
    </w:p>
    <w:p w14:paraId="37C2C982">
      <w:pPr>
        <w:rPr>
          <w:color w:val="000000" w:themeColor="text1"/>
          <w:highlight w:val="none"/>
          <w14:textFill>
            <w14:solidFill>
              <w14:schemeClr w14:val="tx1"/>
            </w14:solidFill>
          </w14:textFill>
        </w:rPr>
      </w:pPr>
    </w:p>
    <w:p w14:paraId="46B9502D">
      <w:pPr>
        <w:rPr>
          <w:color w:val="000000" w:themeColor="text1"/>
          <w:highlight w:val="none"/>
          <w14:textFill>
            <w14:solidFill>
              <w14:schemeClr w14:val="tx1"/>
            </w14:solidFill>
          </w14:textFill>
        </w:rPr>
      </w:pPr>
    </w:p>
    <w:p w14:paraId="4E45A0EB">
      <w:pPr>
        <w:rPr>
          <w:color w:val="000000" w:themeColor="text1"/>
          <w:highlight w:val="none"/>
          <w14:textFill>
            <w14:solidFill>
              <w14:schemeClr w14:val="tx1"/>
            </w14:solidFill>
          </w14:textFill>
        </w:rPr>
      </w:pPr>
    </w:p>
    <w:p w14:paraId="603B37A7">
      <w:pPr>
        <w:rPr>
          <w:color w:val="000000" w:themeColor="text1"/>
          <w:highlight w:val="none"/>
          <w14:textFill>
            <w14:solidFill>
              <w14:schemeClr w14:val="tx1"/>
            </w14:solidFill>
          </w14:textFill>
        </w:rPr>
      </w:pPr>
    </w:p>
    <w:p w14:paraId="5AD2EB2A">
      <w:pPr>
        <w:rPr>
          <w:color w:val="000000" w:themeColor="text1"/>
          <w:highlight w:val="none"/>
          <w14:textFill>
            <w14:solidFill>
              <w14:schemeClr w14:val="tx1"/>
            </w14:solidFill>
          </w14:textFill>
        </w:rPr>
      </w:pPr>
    </w:p>
    <w:p w14:paraId="6894A0DE">
      <w:pPr>
        <w:rPr>
          <w:color w:val="000000" w:themeColor="text1"/>
          <w:highlight w:val="none"/>
          <w14:textFill>
            <w14:solidFill>
              <w14:schemeClr w14:val="tx1"/>
            </w14:solidFill>
          </w14:textFill>
        </w:rPr>
      </w:pPr>
    </w:p>
    <w:p w14:paraId="1E341ADA">
      <w:pPr>
        <w:pStyle w:val="3"/>
        <w:spacing w:before="240" w:beforeLines="100" w:after="120" w:afterLines="50" w:line="360" w:lineRule="auto"/>
        <w:jc w:val="center"/>
        <w:rPr>
          <w:rStyle w:val="46"/>
          <w:rFonts w:ascii="Times New Roman" w:hAnsi="Times New Roman" w:eastAsia="宋体"/>
          <w:b/>
          <w:bCs/>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二</w:t>
      </w:r>
      <w:r>
        <w:rPr>
          <w:rStyle w:val="46"/>
          <w:rFonts w:ascii="Times New Roman" w:hAnsi="Times New Roman" w:eastAsia="宋体"/>
          <w:b/>
          <w:bCs w:val="0"/>
          <w:color w:val="000000" w:themeColor="text1"/>
          <w:sz w:val="32"/>
          <w:highlight w:val="none"/>
          <w14:textFill>
            <w14:solidFill>
              <w14:schemeClr w14:val="tx1"/>
            </w14:solidFill>
          </w14:textFill>
        </w:rPr>
        <w:t xml:space="preserve">章 </w:t>
      </w:r>
      <w:r>
        <w:rPr>
          <w:rStyle w:val="46"/>
          <w:rFonts w:hint="eastAsia" w:ascii="Times New Roman" w:hAnsi="Times New Roman" w:eastAsia="宋体"/>
          <w:b/>
          <w:bCs w:val="0"/>
          <w:color w:val="000000" w:themeColor="text1"/>
          <w:sz w:val="32"/>
          <w:highlight w:val="none"/>
          <w14:textFill>
            <w14:solidFill>
              <w14:schemeClr w14:val="tx1"/>
            </w14:solidFill>
          </w14:textFill>
        </w:rPr>
        <w:t>商务</w:t>
      </w:r>
      <w:r>
        <w:rPr>
          <w:rStyle w:val="46"/>
          <w:rFonts w:ascii="Times New Roman" w:hAnsi="Times New Roman" w:eastAsia="宋体"/>
          <w:b/>
          <w:bCs w:val="0"/>
          <w:color w:val="000000" w:themeColor="text1"/>
          <w:sz w:val="32"/>
          <w:highlight w:val="none"/>
          <w14:textFill>
            <w14:solidFill>
              <w14:schemeClr w14:val="tx1"/>
            </w14:solidFill>
          </w14:textFill>
        </w:rPr>
        <w:t>部分</w:t>
      </w:r>
      <w:bookmarkEnd w:id="1633"/>
      <w:bookmarkEnd w:id="1634"/>
      <w:bookmarkEnd w:id="1635"/>
      <w:bookmarkEnd w:id="1636"/>
      <w:bookmarkEnd w:id="1637"/>
      <w:bookmarkEnd w:id="1638"/>
      <w:bookmarkEnd w:id="1639"/>
      <w:r>
        <w:rPr>
          <w:rStyle w:val="46"/>
          <w:rFonts w:ascii="Times New Roman" w:hAnsi="Times New Roman" w:eastAsia="宋体"/>
          <w:b/>
          <w:bCs w:val="0"/>
          <w:color w:val="000000" w:themeColor="text1"/>
          <w:sz w:val="32"/>
          <w:highlight w:val="none"/>
          <w14:textFill>
            <w14:solidFill>
              <w14:schemeClr w14:val="tx1"/>
            </w14:solidFill>
          </w14:textFill>
        </w:rPr>
        <w:t>格式</w:t>
      </w:r>
      <w:bookmarkEnd w:id="1640"/>
    </w:p>
    <w:p w14:paraId="675AA5F3">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7</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拟投入本工程主要施工机械表</w:t>
      </w:r>
    </w:p>
    <w:p w14:paraId="1B9D43CE">
      <w:pPr>
        <w:spacing w:line="360" w:lineRule="auto"/>
        <w:jc w:val="center"/>
        <w:rPr>
          <w:color w:val="000000" w:themeColor="text1"/>
          <w:sz w:val="32"/>
          <w:szCs w:val="32"/>
          <w:highlight w:val="none"/>
          <w14:textFill>
            <w14:solidFill>
              <w14:schemeClr w14:val="tx1"/>
            </w14:solidFill>
          </w14:textFill>
        </w:rPr>
      </w:pPr>
      <w:bookmarkStart w:id="1663" w:name="_Toc18407870"/>
    </w:p>
    <w:p w14:paraId="7B3EF838">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拟投入本工程主要施工机械表</w:t>
      </w:r>
      <w:bookmarkEnd w:id="1663"/>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序号</w:t>
            </w:r>
          </w:p>
        </w:tc>
        <w:tc>
          <w:tcPr>
            <w:tcW w:w="1013" w:type="dxa"/>
            <w:vMerge w:val="restart"/>
            <w:vAlign w:val="center"/>
          </w:tcPr>
          <w:p w14:paraId="67E61D0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机械</w:t>
            </w:r>
            <w:r>
              <w:rPr>
                <w:color w:val="000000" w:themeColor="text1"/>
                <w:kern w:val="0"/>
                <w:szCs w:val="21"/>
                <w:highlight w:val="none"/>
                <w14:textFill>
                  <w14:solidFill>
                    <w14:schemeClr w14:val="tx1"/>
                  </w14:solidFill>
                </w14:textFill>
              </w:rPr>
              <w:br w:type="textWrapping"/>
            </w:r>
            <w:r>
              <w:rPr>
                <w:color w:val="000000" w:themeColor="text1"/>
                <w:kern w:val="0"/>
                <w:szCs w:val="21"/>
                <w:highlight w:val="none"/>
                <w14:textFill>
                  <w14:solidFill>
                    <w14:schemeClr w14:val="tx1"/>
                  </w14:solidFill>
                </w14:textFill>
              </w:rPr>
              <w:t>名称</w:t>
            </w:r>
          </w:p>
        </w:tc>
        <w:tc>
          <w:tcPr>
            <w:tcW w:w="1071" w:type="dxa"/>
            <w:vMerge w:val="restart"/>
            <w:vAlign w:val="center"/>
          </w:tcPr>
          <w:p w14:paraId="01F38263">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规格</w:t>
            </w:r>
            <w:r>
              <w:rPr>
                <w:color w:val="000000" w:themeColor="text1"/>
                <w:kern w:val="0"/>
                <w:szCs w:val="21"/>
                <w:highlight w:val="none"/>
                <w14:textFill>
                  <w14:solidFill>
                    <w14:schemeClr w14:val="tx1"/>
                  </w14:solidFill>
                </w14:textFill>
              </w:rPr>
              <w:br w:type="textWrapping"/>
            </w:r>
            <w:r>
              <w:rPr>
                <w:color w:val="000000" w:themeColor="text1"/>
                <w:kern w:val="0"/>
                <w:szCs w:val="21"/>
                <w:highlight w:val="none"/>
                <w14:textFill>
                  <w14:solidFill>
                    <w14:schemeClr w14:val="tx1"/>
                  </w14:solidFill>
                </w14:textFill>
              </w:rPr>
              <w:t>型号</w:t>
            </w:r>
          </w:p>
        </w:tc>
        <w:tc>
          <w:tcPr>
            <w:tcW w:w="1359" w:type="dxa"/>
            <w:vMerge w:val="restart"/>
            <w:vAlign w:val="center"/>
          </w:tcPr>
          <w:p w14:paraId="75DDCD54">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额定功率(Kw)或容量(m3)或吨位(t)</w:t>
            </w:r>
          </w:p>
        </w:tc>
        <w:tc>
          <w:tcPr>
            <w:tcW w:w="947" w:type="dxa"/>
            <w:vMerge w:val="restart"/>
            <w:vAlign w:val="center"/>
          </w:tcPr>
          <w:p w14:paraId="591B06A7">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厂牌及出厂时间</w:t>
            </w:r>
          </w:p>
        </w:tc>
        <w:tc>
          <w:tcPr>
            <w:tcW w:w="2967" w:type="dxa"/>
            <w:gridSpan w:val="4"/>
            <w:vAlign w:val="center"/>
          </w:tcPr>
          <w:p w14:paraId="7CDB1E3D">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数量(台)</w:t>
            </w:r>
          </w:p>
        </w:tc>
        <w:tc>
          <w:tcPr>
            <w:tcW w:w="851" w:type="dxa"/>
            <w:vMerge w:val="restart"/>
            <w:vAlign w:val="center"/>
          </w:tcPr>
          <w:p w14:paraId="7D2407BD">
            <w:pPr>
              <w:adjustRightIn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新旧</w:t>
            </w:r>
            <w:r>
              <w:rPr>
                <w:color w:val="000000" w:themeColor="text1"/>
                <w:kern w:val="0"/>
                <w:szCs w:val="21"/>
                <w:highlight w:val="none"/>
                <w14:textFill>
                  <w14:solidFill>
                    <w14:schemeClr w14:val="tx1"/>
                  </w14:solidFill>
                </w14:textFill>
              </w:rPr>
              <w:t>程度</w:t>
            </w:r>
            <w:r>
              <w:rPr>
                <w:color w:val="000000" w:themeColor="text1"/>
                <w:szCs w:val="21"/>
                <w:highlight w:val="none"/>
                <w14:textFill>
                  <w14:solidFill>
                    <w14:schemeClr w14:val="tx1"/>
                  </w14:solidFill>
                </w14:textFill>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color w:val="000000" w:themeColor="text1"/>
                <w:kern w:val="0"/>
                <w:szCs w:val="21"/>
                <w:highlight w:val="none"/>
                <w14:textFill>
                  <w14:solidFill>
                    <w14:schemeClr w14:val="tx1"/>
                  </w14:solidFill>
                </w14:textFill>
              </w:rPr>
            </w:pPr>
          </w:p>
        </w:tc>
        <w:tc>
          <w:tcPr>
            <w:tcW w:w="1013" w:type="dxa"/>
            <w:vMerge w:val="continue"/>
            <w:vAlign w:val="center"/>
          </w:tcPr>
          <w:p w14:paraId="63350030">
            <w:pPr>
              <w:adjustRightInd w:val="0"/>
              <w:jc w:val="center"/>
              <w:rPr>
                <w:color w:val="000000" w:themeColor="text1"/>
                <w:kern w:val="0"/>
                <w:szCs w:val="21"/>
                <w:highlight w:val="none"/>
                <w14:textFill>
                  <w14:solidFill>
                    <w14:schemeClr w14:val="tx1"/>
                  </w14:solidFill>
                </w14:textFill>
              </w:rPr>
            </w:pPr>
          </w:p>
        </w:tc>
        <w:tc>
          <w:tcPr>
            <w:tcW w:w="1071" w:type="dxa"/>
            <w:vMerge w:val="continue"/>
            <w:vAlign w:val="center"/>
          </w:tcPr>
          <w:p w14:paraId="0355279A">
            <w:pPr>
              <w:adjustRightInd w:val="0"/>
              <w:jc w:val="center"/>
              <w:rPr>
                <w:color w:val="000000" w:themeColor="text1"/>
                <w:kern w:val="0"/>
                <w:szCs w:val="21"/>
                <w:highlight w:val="none"/>
                <w14:textFill>
                  <w14:solidFill>
                    <w14:schemeClr w14:val="tx1"/>
                  </w14:solidFill>
                </w14:textFill>
              </w:rPr>
            </w:pPr>
          </w:p>
        </w:tc>
        <w:tc>
          <w:tcPr>
            <w:tcW w:w="1359" w:type="dxa"/>
            <w:vMerge w:val="continue"/>
            <w:vAlign w:val="center"/>
          </w:tcPr>
          <w:p w14:paraId="74DD0394">
            <w:pPr>
              <w:adjustRightInd w:val="0"/>
              <w:jc w:val="center"/>
              <w:rPr>
                <w:color w:val="000000" w:themeColor="text1"/>
                <w:kern w:val="0"/>
                <w:szCs w:val="21"/>
                <w:highlight w:val="none"/>
                <w14:textFill>
                  <w14:solidFill>
                    <w14:schemeClr w14:val="tx1"/>
                  </w14:solidFill>
                </w14:textFill>
              </w:rPr>
            </w:pPr>
          </w:p>
        </w:tc>
        <w:tc>
          <w:tcPr>
            <w:tcW w:w="947" w:type="dxa"/>
            <w:vMerge w:val="continue"/>
            <w:vAlign w:val="center"/>
          </w:tcPr>
          <w:p w14:paraId="5DDF2D4B">
            <w:pPr>
              <w:adjustRightInd w:val="0"/>
              <w:jc w:val="center"/>
              <w:rPr>
                <w:color w:val="000000" w:themeColor="text1"/>
                <w:kern w:val="0"/>
                <w:szCs w:val="21"/>
                <w:highlight w:val="none"/>
                <w14:textFill>
                  <w14:solidFill>
                    <w14:schemeClr w14:val="tx1"/>
                  </w14:solidFill>
                </w14:textFill>
              </w:rPr>
            </w:pPr>
          </w:p>
        </w:tc>
        <w:tc>
          <w:tcPr>
            <w:tcW w:w="756" w:type="dxa"/>
            <w:vMerge w:val="restart"/>
            <w:vAlign w:val="center"/>
          </w:tcPr>
          <w:p w14:paraId="55D96FA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小计</w:t>
            </w:r>
          </w:p>
        </w:tc>
        <w:tc>
          <w:tcPr>
            <w:tcW w:w="2211" w:type="dxa"/>
            <w:gridSpan w:val="3"/>
            <w:vAlign w:val="center"/>
          </w:tcPr>
          <w:p w14:paraId="119C8E71">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其中</w:t>
            </w:r>
          </w:p>
        </w:tc>
        <w:tc>
          <w:tcPr>
            <w:tcW w:w="851" w:type="dxa"/>
            <w:vMerge w:val="continue"/>
            <w:vAlign w:val="center"/>
          </w:tcPr>
          <w:p w14:paraId="3E1150CE">
            <w:pPr>
              <w:adjustRightInd w:val="0"/>
              <w:spacing w:line="360" w:lineRule="auto"/>
              <w:jc w:val="center"/>
              <w:rPr>
                <w:color w:val="000000" w:themeColor="text1"/>
                <w:szCs w:val="21"/>
                <w:highlight w:val="none"/>
                <w14:textFill>
                  <w14:solidFill>
                    <w14:schemeClr w14:val="tx1"/>
                  </w14:solidFill>
                </w14:textFill>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color w:val="000000" w:themeColor="text1"/>
                <w:kern w:val="0"/>
                <w:szCs w:val="21"/>
                <w:highlight w:val="none"/>
                <w14:textFill>
                  <w14:solidFill>
                    <w14:schemeClr w14:val="tx1"/>
                  </w14:solidFill>
                </w14:textFill>
              </w:rPr>
            </w:pPr>
          </w:p>
        </w:tc>
        <w:tc>
          <w:tcPr>
            <w:tcW w:w="1013" w:type="dxa"/>
            <w:vMerge w:val="continue"/>
            <w:vAlign w:val="center"/>
          </w:tcPr>
          <w:p w14:paraId="18874FF0">
            <w:pPr>
              <w:adjustRightInd w:val="0"/>
              <w:jc w:val="center"/>
              <w:rPr>
                <w:color w:val="000000" w:themeColor="text1"/>
                <w:kern w:val="0"/>
                <w:szCs w:val="21"/>
                <w:highlight w:val="none"/>
                <w14:textFill>
                  <w14:solidFill>
                    <w14:schemeClr w14:val="tx1"/>
                  </w14:solidFill>
                </w14:textFill>
              </w:rPr>
            </w:pPr>
          </w:p>
        </w:tc>
        <w:tc>
          <w:tcPr>
            <w:tcW w:w="1071" w:type="dxa"/>
            <w:vMerge w:val="continue"/>
            <w:vAlign w:val="center"/>
          </w:tcPr>
          <w:p w14:paraId="1A125978">
            <w:pPr>
              <w:adjustRightInd w:val="0"/>
              <w:jc w:val="center"/>
              <w:rPr>
                <w:color w:val="000000" w:themeColor="text1"/>
                <w:kern w:val="0"/>
                <w:szCs w:val="21"/>
                <w:highlight w:val="none"/>
                <w14:textFill>
                  <w14:solidFill>
                    <w14:schemeClr w14:val="tx1"/>
                  </w14:solidFill>
                </w14:textFill>
              </w:rPr>
            </w:pPr>
          </w:p>
        </w:tc>
        <w:tc>
          <w:tcPr>
            <w:tcW w:w="1359" w:type="dxa"/>
            <w:vMerge w:val="continue"/>
            <w:vAlign w:val="center"/>
          </w:tcPr>
          <w:p w14:paraId="4CFF1BAC">
            <w:pPr>
              <w:adjustRightInd w:val="0"/>
              <w:jc w:val="center"/>
              <w:rPr>
                <w:color w:val="000000" w:themeColor="text1"/>
                <w:kern w:val="0"/>
                <w:szCs w:val="21"/>
                <w:highlight w:val="none"/>
                <w14:textFill>
                  <w14:solidFill>
                    <w14:schemeClr w14:val="tx1"/>
                  </w14:solidFill>
                </w14:textFill>
              </w:rPr>
            </w:pPr>
          </w:p>
        </w:tc>
        <w:tc>
          <w:tcPr>
            <w:tcW w:w="947" w:type="dxa"/>
            <w:vMerge w:val="continue"/>
            <w:vAlign w:val="center"/>
          </w:tcPr>
          <w:p w14:paraId="71D56F78">
            <w:pPr>
              <w:adjustRightInd w:val="0"/>
              <w:jc w:val="center"/>
              <w:rPr>
                <w:color w:val="000000" w:themeColor="text1"/>
                <w:kern w:val="0"/>
                <w:szCs w:val="21"/>
                <w:highlight w:val="none"/>
                <w14:textFill>
                  <w14:solidFill>
                    <w14:schemeClr w14:val="tx1"/>
                  </w14:solidFill>
                </w14:textFill>
              </w:rPr>
            </w:pPr>
          </w:p>
        </w:tc>
        <w:tc>
          <w:tcPr>
            <w:tcW w:w="756" w:type="dxa"/>
            <w:vMerge w:val="continue"/>
            <w:vAlign w:val="center"/>
          </w:tcPr>
          <w:p w14:paraId="24225491">
            <w:pPr>
              <w:adjustRightInd w:val="0"/>
              <w:jc w:val="center"/>
              <w:rPr>
                <w:color w:val="000000" w:themeColor="text1"/>
                <w:kern w:val="0"/>
                <w:szCs w:val="21"/>
                <w:highlight w:val="none"/>
                <w14:textFill>
                  <w14:solidFill>
                    <w14:schemeClr w14:val="tx1"/>
                  </w14:solidFill>
                </w14:textFill>
              </w:rPr>
            </w:pPr>
          </w:p>
        </w:tc>
        <w:tc>
          <w:tcPr>
            <w:tcW w:w="754" w:type="dxa"/>
            <w:vAlign w:val="center"/>
          </w:tcPr>
          <w:p w14:paraId="54130FD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自有</w:t>
            </w:r>
          </w:p>
        </w:tc>
        <w:tc>
          <w:tcPr>
            <w:tcW w:w="702" w:type="dxa"/>
            <w:vAlign w:val="center"/>
          </w:tcPr>
          <w:p w14:paraId="7A52E0A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新购</w:t>
            </w:r>
          </w:p>
        </w:tc>
        <w:tc>
          <w:tcPr>
            <w:tcW w:w="755" w:type="dxa"/>
            <w:vAlign w:val="center"/>
          </w:tcPr>
          <w:p w14:paraId="5880453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租赁</w:t>
            </w:r>
          </w:p>
        </w:tc>
        <w:tc>
          <w:tcPr>
            <w:tcW w:w="851" w:type="dxa"/>
            <w:vMerge w:val="continue"/>
            <w:vAlign w:val="center"/>
          </w:tcPr>
          <w:p w14:paraId="4BEB7EBB">
            <w:pPr>
              <w:adjustRightInd w:val="0"/>
              <w:spacing w:line="360" w:lineRule="auto"/>
              <w:jc w:val="center"/>
              <w:rPr>
                <w:color w:val="000000" w:themeColor="text1"/>
                <w:szCs w:val="21"/>
                <w:highlight w:val="none"/>
                <w14:textFill>
                  <w14:solidFill>
                    <w14:schemeClr w14:val="tx1"/>
                  </w14:solidFill>
                </w14:textFill>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1014EB6D">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0D986887">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AEEB1CD">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2227C623">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AE8FD2F">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0745F76D">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2231D41C">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6CA302E5">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44B30B65">
            <w:pPr>
              <w:adjustRightInd w:val="0"/>
              <w:spacing w:line="360" w:lineRule="auto"/>
              <w:jc w:val="center"/>
              <w:rPr>
                <w:color w:val="000000" w:themeColor="text1"/>
                <w:szCs w:val="21"/>
                <w:highlight w:val="none"/>
                <w14:textFill>
                  <w14:solidFill>
                    <w14:schemeClr w14:val="tx1"/>
                  </w14:solidFill>
                </w14:textFill>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1D18C677">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A828F6E">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5DC564BF">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78B6E1E7">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1B05580D">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370FAB63">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6F2EC56F">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705936AC">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29934E5C">
            <w:pPr>
              <w:adjustRightInd w:val="0"/>
              <w:spacing w:line="360" w:lineRule="auto"/>
              <w:jc w:val="center"/>
              <w:rPr>
                <w:color w:val="000000" w:themeColor="text1"/>
                <w:szCs w:val="21"/>
                <w:highlight w:val="none"/>
                <w14:textFill>
                  <w14:solidFill>
                    <w14:schemeClr w14:val="tx1"/>
                  </w14:solidFill>
                </w14:textFill>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138C082">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193DEEB4">
            <w:pPr>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7FB410F">
            <w:pPr>
              <w:spacing w:line="360" w:lineRule="auto"/>
              <w:jc w:val="center"/>
              <w:rPr>
                <w:color w:val="000000" w:themeColor="text1"/>
                <w:szCs w:val="21"/>
                <w:highlight w:val="none"/>
                <w14:textFill>
                  <w14:solidFill>
                    <w14:schemeClr w14:val="tx1"/>
                  </w14:solidFill>
                </w14:textFill>
              </w:rPr>
            </w:pPr>
          </w:p>
        </w:tc>
        <w:tc>
          <w:tcPr>
            <w:tcW w:w="947" w:type="dxa"/>
            <w:vAlign w:val="center"/>
          </w:tcPr>
          <w:p w14:paraId="7CFBDC33">
            <w:pPr>
              <w:spacing w:line="360" w:lineRule="auto"/>
              <w:jc w:val="center"/>
              <w:rPr>
                <w:color w:val="000000" w:themeColor="text1"/>
                <w:szCs w:val="21"/>
                <w:highlight w:val="none"/>
                <w14:textFill>
                  <w14:solidFill>
                    <w14:schemeClr w14:val="tx1"/>
                  </w14:solidFill>
                </w14:textFill>
              </w:rPr>
            </w:pPr>
          </w:p>
        </w:tc>
        <w:tc>
          <w:tcPr>
            <w:tcW w:w="756" w:type="dxa"/>
            <w:vAlign w:val="center"/>
          </w:tcPr>
          <w:p w14:paraId="653B8530">
            <w:pPr>
              <w:spacing w:line="360" w:lineRule="auto"/>
              <w:jc w:val="center"/>
              <w:rPr>
                <w:color w:val="000000" w:themeColor="text1"/>
                <w:szCs w:val="21"/>
                <w:highlight w:val="none"/>
                <w14:textFill>
                  <w14:solidFill>
                    <w14:schemeClr w14:val="tx1"/>
                  </w14:solidFill>
                </w14:textFill>
              </w:rPr>
            </w:pPr>
          </w:p>
        </w:tc>
        <w:tc>
          <w:tcPr>
            <w:tcW w:w="754" w:type="dxa"/>
            <w:vAlign w:val="center"/>
          </w:tcPr>
          <w:p w14:paraId="37717B99">
            <w:pPr>
              <w:spacing w:line="360" w:lineRule="auto"/>
              <w:jc w:val="center"/>
              <w:rPr>
                <w:color w:val="000000" w:themeColor="text1"/>
                <w:szCs w:val="21"/>
                <w:highlight w:val="none"/>
                <w14:textFill>
                  <w14:solidFill>
                    <w14:schemeClr w14:val="tx1"/>
                  </w14:solidFill>
                </w14:textFill>
              </w:rPr>
            </w:pPr>
          </w:p>
        </w:tc>
        <w:tc>
          <w:tcPr>
            <w:tcW w:w="702" w:type="dxa"/>
            <w:vAlign w:val="center"/>
          </w:tcPr>
          <w:p w14:paraId="179F6B69">
            <w:pPr>
              <w:spacing w:line="360" w:lineRule="auto"/>
              <w:jc w:val="center"/>
              <w:rPr>
                <w:color w:val="000000" w:themeColor="text1"/>
                <w:szCs w:val="21"/>
                <w:highlight w:val="none"/>
                <w14:textFill>
                  <w14:solidFill>
                    <w14:schemeClr w14:val="tx1"/>
                  </w14:solidFill>
                </w14:textFill>
              </w:rPr>
            </w:pPr>
          </w:p>
        </w:tc>
        <w:tc>
          <w:tcPr>
            <w:tcW w:w="755" w:type="dxa"/>
            <w:vAlign w:val="center"/>
          </w:tcPr>
          <w:p w14:paraId="59E851EA">
            <w:pPr>
              <w:spacing w:line="360" w:lineRule="auto"/>
              <w:jc w:val="center"/>
              <w:rPr>
                <w:color w:val="000000" w:themeColor="text1"/>
                <w:szCs w:val="21"/>
                <w:highlight w:val="none"/>
                <w14:textFill>
                  <w14:solidFill>
                    <w14:schemeClr w14:val="tx1"/>
                  </w14:solidFill>
                </w14:textFill>
              </w:rPr>
            </w:pPr>
          </w:p>
        </w:tc>
        <w:tc>
          <w:tcPr>
            <w:tcW w:w="851" w:type="dxa"/>
            <w:vAlign w:val="center"/>
          </w:tcPr>
          <w:p w14:paraId="409B75BE">
            <w:pPr>
              <w:spacing w:line="360" w:lineRule="auto"/>
              <w:jc w:val="center"/>
              <w:rPr>
                <w:color w:val="000000" w:themeColor="text1"/>
                <w:szCs w:val="21"/>
                <w:highlight w:val="none"/>
                <w14:textFill>
                  <w14:solidFill>
                    <w14:schemeClr w14:val="tx1"/>
                  </w14:solidFill>
                </w14:textFill>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DA37BBE">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73CF021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78FEC91">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17736A25">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41BBBD65">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A5DAF1F">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57141386">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383DDEA9">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3893D136">
            <w:pPr>
              <w:adjustRightInd w:val="0"/>
              <w:spacing w:line="360" w:lineRule="auto"/>
              <w:jc w:val="center"/>
              <w:rPr>
                <w:color w:val="000000" w:themeColor="text1"/>
                <w:szCs w:val="21"/>
                <w:highlight w:val="none"/>
                <w14:textFill>
                  <w14:solidFill>
                    <w14:schemeClr w14:val="tx1"/>
                  </w14:solidFill>
                </w14:textFill>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7F7EC64B">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3D8A2FB8">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9558513">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0DF24EF">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B98C88D">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F52C05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04AA5C12">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69ADF6E">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4E7A3DFA">
            <w:pPr>
              <w:adjustRightInd w:val="0"/>
              <w:spacing w:line="360" w:lineRule="auto"/>
              <w:jc w:val="center"/>
              <w:rPr>
                <w:color w:val="000000" w:themeColor="text1"/>
                <w:szCs w:val="21"/>
                <w:highlight w:val="none"/>
                <w14:textFill>
                  <w14:solidFill>
                    <w14:schemeClr w14:val="tx1"/>
                  </w14:solidFill>
                </w14:textFill>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42FF704">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F241AF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072B264A">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1D688CF9">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4EF4E6C0">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244539B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0EC47694">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2205D5B9">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54E4D866">
            <w:pPr>
              <w:adjustRightInd w:val="0"/>
              <w:spacing w:line="360" w:lineRule="auto"/>
              <w:jc w:val="center"/>
              <w:rPr>
                <w:color w:val="000000" w:themeColor="text1"/>
                <w:szCs w:val="21"/>
                <w:highlight w:val="none"/>
                <w14:textFill>
                  <w14:solidFill>
                    <w14:schemeClr w14:val="tx1"/>
                  </w14:solidFill>
                </w14:textFill>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5233C503">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2719F15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94C43A4">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DCBA46C">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386FA5C4">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2E3724A6">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1485C2FB">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6A95E66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13B41738">
            <w:pPr>
              <w:adjustRightInd w:val="0"/>
              <w:spacing w:line="360" w:lineRule="auto"/>
              <w:jc w:val="center"/>
              <w:rPr>
                <w:color w:val="000000" w:themeColor="text1"/>
                <w:szCs w:val="21"/>
                <w:highlight w:val="none"/>
                <w14:textFill>
                  <w14:solidFill>
                    <w14:schemeClr w14:val="tx1"/>
                  </w14:solidFill>
                </w14:textFill>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7F400858">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68D229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F74AFD4">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3A8A41F7">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5117493">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69B20F0E">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6EF87C40">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4DC3A03B">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4E6D05F">
            <w:pPr>
              <w:adjustRightInd w:val="0"/>
              <w:spacing w:line="360" w:lineRule="auto"/>
              <w:jc w:val="center"/>
              <w:rPr>
                <w:color w:val="000000" w:themeColor="text1"/>
                <w:szCs w:val="21"/>
                <w:highlight w:val="none"/>
                <w14:textFill>
                  <w14:solidFill>
                    <w14:schemeClr w14:val="tx1"/>
                  </w14:solidFill>
                </w14:textFill>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3F4C3F89">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6B2E3A6A">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783F7EE">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4CCB5661">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2FBD96D0">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174F7FA8">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5FE11E8E">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5A5E1536">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6609A79">
            <w:pPr>
              <w:adjustRightInd w:val="0"/>
              <w:spacing w:line="360" w:lineRule="auto"/>
              <w:jc w:val="center"/>
              <w:rPr>
                <w:color w:val="000000" w:themeColor="text1"/>
                <w:szCs w:val="21"/>
                <w:highlight w:val="none"/>
                <w14:textFill>
                  <w14:solidFill>
                    <w14:schemeClr w14:val="tx1"/>
                  </w14:solidFill>
                </w14:textFill>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5BD00594">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672F7B3">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13956E50">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6B5B632">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41B92C6">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10DAA461">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2EE0C6AD">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00329F7C">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311D1A36">
            <w:pPr>
              <w:adjustRightInd w:val="0"/>
              <w:spacing w:line="360" w:lineRule="auto"/>
              <w:jc w:val="center"/>
              <w:rPr>
                <w:color w:val="000000" w:themeColor="text1"/>
                <w:szCs w:val="21"/>
                <w:highlight w:val="none"/>
                <w14:textFill>
                  <w14:solidFill>
                    <w14:schemeClr w14:val="tx1"/>
                  </w14:solidFill>
                </w14:textFill>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4CC67421">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7461F06D">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C5168A7">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0A28AD9B">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5598CC2E">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61DDD561">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164FCDD2">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0E97B42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CE60A5C">
            <w:pPr>
              <w:adjustRightInd w:val="0"/>
              <w:spacing w:line="360" w:lineRule="auto"/>
              <w:jc w:val="center"/>
              <w:rPr>
                <w:color w:val="000000" w:themeColor="text1"/>
                <w:szCs w:val="21"/>
                <w:highlight w:val="none"/>
                <w14:textFill>
                  <w14:solidFill>
                    <w14:schemeClr w14:val="tx1"/>
                  </w14:solidFill>
                </w14:textFill>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36BEE51A">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467D60F">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E8BDF75">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47085575">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25C34E0F">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0966625">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34D98B55">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8C3195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0FAEFF50">
            <w:pPr>
              <w:adjustRightInd w:val="0"/>
              <w:spacing w:line="360" w:lineRule="auto"/>
              <w:jc w:val="center"/>
              <w:rPr>
                <w:color w:val="000000" w:themeColor="text1"/>
                <w:szCs w:val="21"/>
                <w:highlight w:val="none"/>
                <w14:textFill>
                  <w14:solidFill>
                    <w14:schemeClr w14:val="tx1"/>
                  </w14:solidFill>
                </w14:textFill>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667E73A0">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1C26BBDC">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1501AEA2">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7C9529CE">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0171C371">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0463866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79286B78">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EAFD390">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5A54045E">
            <w:pPr>
              <w:adjustRightInd w:val="0"/>
              <w:spacing w:line="360" w:lineRule="auto"/>
              <w:jc w:val="center"/>
              <w:rPr>
                <w:color w:val="000000" w:themeColor="text1"/>
                <w:szCs w:val="21"/>
                <w:highlight w:val="none"/>
                <w14:textFill>
                  <w14:solidFill>
                    <w14:schemeClr w14:val="tx1"/>
                  </w14:solidFill>
                </w14:textFill>
              </w:rPr>
            </w:pPr>
          </w:p>
        </w:tc>
      </w:tr>
    </w:tbl>
    <w:p w14:paraId="62F34BFC">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注：新购和租赁为响应单位计划在本工程中新购或租赁的数量。</w:t>
      </w:r>
      <w:bookmarkEnd w:id="1528"/>
      <w:bookmarkEnd w:id="1529"/>
      <w:bookmarkEnd w:id="1641"/>
      <w:bookmarkStart w:id="1664" w:name="_Toc54280348"/>
      <w:bookmarkStart w:id="1665" w:name="_Toc54281200"/>
      <w:bookmarkStart w:id="1666" w:name="_Toc53949163"/>
      <w:bookmarkStart w:id="1667" w:name="_Toc145499835"/>
      <w:bookmarkStart w:id="1668" w:name="_Toc54278965"/>
      <w:bookmarkStart w:id="1669" w:name="_Toc54280774"/>
      <w:bookmarkStart w:id="1670" w:name="_Toc54291530"/>
      <w:bookmarkStart w:id="1671" w:name="_Toc54281626"/>
      <w:bookmarkStart w:id="1672" w:name="_Toc53949584"/>
      <w:bookmarkStart w:id="1673" w:name="_Toc144872182"/>
      <w:bookmarkStart w:id="1674" w:name="_Toc53948742"/>
    </w:p>
    <w:p w14:paraId="2AB6EFF2">
      <w:pPr>
        <w:spacing w:line="360" w:lineRule="auto"/>
        <w:rPr>
          <w:color w:val="000000" w:themeColor="text1"/>
          <w:szCs w:val="21"/>
          <w:highlight w:val="none"/>
          <w14:textFill>
            <w14:solidFill>
              <w14:schemeClr w14:val="tx1"/>
            </w14:solidFill>
          </w14:textFill>
        </w:rPr>
      </w:pPr>
    </w:p>
    <w:p w14:paraId="471FD1E2">
      <w:pPr>
        <w:spacing w:line="360" w:lineRule="auto"/>
        <w:rPr>
          <w:rStyle w:val="46"/>
          <w:rFonts w:ascii="Times New Roman" w:hAnsi="Times New Roman" w:eastAsia="宋体"/>
          <w:b w:val="0"/>
          <w:bCs w:val="0"/>
          <w:color w:val="000000" w:themeColor="text1"/>
          <w:sz w:val="21"/>
          <w:szCs w:val="21"/>
          <w:highlight w:val="none"/>
          <w14:textFill>
            <w14:solidFill>
              <w14:schemeClr w14:val="tx1"/>
            </w14:solidFill>
          </w14:textFill>
        </w:rPr>
      </w:pPr>
    </w:p>
    <w:bookmarkEnd w:id="1664"/>
    <w:bookmarkEnd w:id="1665"/>
    <w:bookmarkEnd w:id="1666"/>
    <w:bookmarkEnd w:id="1667"/>
    <w:bookmarkEnd w:id="1668"/>
    <w:bookmarkEnd w:id="1669"/>
    <w:bookmarkEnd w:id="1670"/>
    <w:bookmarkEnd w:id="1671"/>
    <w:bookmarkEnd w:id="1672"/>
    <w:bookmarkEnd w:id="1673"/>
    <w:bookmarkEnd w:id="1674"/>
    <w:p w14:paraId="2392EF87">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bookmarkStart w:id="1675" w:name="_Toc53948743"/>
      <w:bookmarkStart w:id="1676" w:name="_Toc53949585"/>
      <w:bookmarkStart w:id="1677" w:name="_Toc54281627"/>
      <w:bookmarkStart w:id="1678" w:name="_Toc54280775"/>
      <w:bookmarkStart w:id="1679" w:name="_Toc54291531"/>
      <w:bookmarkStart w:id="1680" w:name="_Toc144872183"/>
      <w:bookmarkStart w:id="1681" w:name="_Toc53949164"/>
      <w:bookmarkStart w:id="1682" w:name="_Toc145499836"/>
      <w:bookmarkStart w:id="1683" w:name="_Toc54278966"/>
      <w:bookmarkStart w:id="1684" w:name="_Toc54281201"/>
      <w:bookmarkStart w:id="1685" w:name="_Toc54280349"/>
      <w:bookmarkStart w:id="1686" w:name="_Toc18407868"/>
    </w:p>
    <w:p w14:paraId="2E53A67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 xml:space="preserve">8 </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拟投入本合同工程主要人员汇总表</w:t>
      </w:r>
      <w:bookmarkEnd w:id="1675"/>
      <w:bookmarkEnd w:id="1676"/>
      <w:bookmarkEnd w:id="1677"/>
      <w:bookmarkEnd w:id="1678"/>
      <w:bookmarkEnd w:id="1679"/>
      <w:bookmarkEnd w:id="1680"/>
      <w:bookmarkEnd w:id="1681"/>
      <w:bookmarkEnd w:id="1682"/>
      <w:bookmarkEnd w:id="1683"/>
      <w:bookmarkEnd w:id="1684"/>
      <w:bookmarkEnd w:id="1685"/>
    </w:p>
    <w:p w14:paraId="5A25A3D4">
      <w:pPr>
        <w:spacing w:line="360" w:lineRule="auto"/>
        <w:jc w:val="center"/>
        <w:rPr>
          <w:color w:val="000000" w:themeColor="text1"/>
          <w:sz w:val="32"/>
          <w:szCs w:val="32"/>
          <w:highlight w:val="none"/>
          <w14:textFill>
            <w14:solidFill>
              <w14:schemeClr w14:val="tx1"/>
            </w14:solidFill>
          </w14:textFill>
        </w:rPr>
      </w:pPr>
    </w:p>
    <w:p w14:paraId="710AE73C">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拟投入本合同工程主要人员汇总表</w:t>
      </w:r>
      <w:bookmarkEnd w:id="1686"/>
    </w:p>
    <w:p w14:paraId="4A55E63A">
      <w:pPr>
        <w:adjustRightIn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85" w:hRule="atLeast"/>
          <w:jc w:val="center"/>
        </w:trPr>
        <w:tc>
          <w:tcPr>
            <w:tcW w:w="352" w:type="pct"/>
            <w:vAlign w:val="center"/>
          </w:tcPr>
          <w:p w14:paraId="5C6E1B9B">
            <w:pPr>
              <w:ind w:right="-63" w:rightChars="-30"/>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序号</w:t>
            </w:r>
          </w:p>
        </w:tc>
        <w:tc>
          <w:tcPr>
            <w:tcW w:w="728" w:type="pct"/>
            <w:vAlign w:val="center"/>
          </w:tcPr>
          <w:p w14:paraId="0725EFAA">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姓名</w:t>
            </w:r>
          </w:p>
        </w:tc>
        <w:tc>
          <w:tcPr>
            <w:tcW w:w="597" w:type="pct"/>
            <w:vAlign w:val="center"/>
          </w:tcPr>
          <w:p w14:paraId="556804E1">
            <w:pPr>
              <w:ind w:left="-87" w:leftChars="-47" w:right="-107" w:rightChars="-51" w:hanging="12" w:hangingChars="7"/>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年龄</w:t>
            </w:r>
          </w:p>
        </w:tc>
        <w:tc>
          <w:tcPr>
            <w:tcW w:w="668" w:type="pct"/>
            <w:vAlign w:val="center"/>
          </w:tcPr>
          <w:p w14:paraId="12900774">
            <w:pPr>
              <w:ind w:left="-126" w:leftChars="-60" w:right="-105" w:rightChars="-50"/>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性别</w:t>
            </w:r>
          </w:p>
        </w:tc>
        <w:tc>
          <w:tcPr>
            <w:tcW w:w="482" w:type="pct"/>
            <w:vAlign w:val="center"/>
          </w:tcPr>
          <w:p w14:paraId="3A7AAD34">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学历</w:t>
            </w:r>
          </w:p>
        </w:tc>
        <w:tc>
          <w:tcPr>
            <w:tcW w:w="809" w:type="pct"/>
            <w:vAlign w:val="center"/>
          </w:tcPr>
          <w:p w14:paraId="0F538959">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主要施工履历</w:t>
            </w:r>
          </w:p>
        </w:tc>
        <w:tc>
          <w:tcPr>
            <w:tcW w:w="641" w:type="pct"/>
            <w:vAlign w:val="center"/>
          </w:tcPr>
          <w:p w14:paraId="12C8CC90">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相关</w:t>
            </w:r>
            <w:r>
              <w:rPr>
                <w:color w:val="000000" w:themeColor="text1"/>
                <w:sz w:val="18"/>
                <w:szCs w:val="18"/>
                <w:highlight w:val="none"/>
                <w14:textFill>
                  <w14:solidFill>
                    <w14:schemeClr w14:val="tx1"/>
                  </w14:solidFill>
                </w14:textFill>
              </w:rPr>
              <w:t>证书</w:t>
            </w:r>
          </w:p>
        </w:tc>
        <w:tc>
          <w:tcPr>
            <w:tcW w:w="724" w:type="pct"/>
            <w:vAlign w:val="center"/>
          </w:tcPr>
          <w:p w14:paraId="3C5C70C0">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拟在本项目</w:t>
            </w:r>
          </w:p>
          <w:p w14:paraId="415E57AE">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color w:val="000000" w:themeColor="text1"/>
                <w:sz w:val="18"/>
                <w:szCs w:val="18"/>
                <w:highlight w:val="none"/>
                <w14:textFill>
                  <w14:solidFill>
                    <w14:schemeClr w14:val="tx1"/>
                  </w14:solidFill>
                </w14:textFill>
              </w:rPr>
            </w:pPr>
          </w:p>
        </w:tc>
        <w:tc>
          <w:tcPr>
            <w:tcW w:w="728" w:type="pct"/>
            <w:vAlign w:val="center"/>
          </w:tcPr>
          <w:p w14:paraId="5CD99772">
            <w:pPr>
              <w:jc w:val="center"/>
              <w:rPr>
                <w:color w:val="000000" w:themeColor="text1"/>
                <w:sz w:val="18"/>
                <w:szCs w:val="18"/>
                <w:highlight w:val="none"/>
                <w14:textFill>
                  <w14:solidFill>
                    <w14:schemeClr w14:val="tx1"/>
                  </w14:solidFill>
                </w14:textFill>
              </w:rPr>
            </w:pPr>
          </w:p>
        </w:tc>
        <w:tc>
          <w:tcPr>
            <w:tcW w:w="597" w:type="pct"/>
            <w:vAlign w:val="center"/>
          </w:tcPr>
          <w:p w14:paraId="2293E5D4">
            <w:pPr>
              <w:jc w:val="center"/>
              <w:rPr>
                <w:color w:val="000000" w:themeColor="text1"/>
                <w:sz w:val="18"/>
                <w:szCs w:val="18"/>
                <w:highlight w:val="none"/>
                <w14:textFill>
                  <w14:solidFill>
                    <w14:schemeClr w14:val="tx1"/>
                  </w14:solidFill>
                </w14:textFill>
              </w:rPr>
            </w:pPr>
          </w:p>
        </w:tc>
        <w:tc>
          <w:tcPr>
            <w:tcW w:w="668" w:type="pct"/>
            <w:vAlign w:val="center"/>
          </w:tcPr>
          <w:p w14:paraId="1EE4C1B2">
            <w:pPr>
              <w:jc w:val="center"/>
              <w:rPr>
                <w:color w:val="000000" w:themeColor="text1"/>
                <w:sz w:val="18"/>
                <w:szCs w:val="18"/>
                <w:highlight w:val="none"/>
                <w14:textFill>
                  <w14:solidFill>
                    <w14:schemeClr w14:val="tx1"/>
                  </w14:solidFill>
                </w14:textFill>
              </w:rPr>
            </w:pPr>
          </w:p>
        </w:tc>
        <w:tc>
          <w:tcPr>
            <w:tcW w:w="482" w:type="pct"/>
            <w:vAlign w:val="center"/>
          </w:tcPr>
          <w:p w14:paraId="48E78EAC">
            <w:pPr>
              <w:jc w:val="center"/>
              <w:rPr>
                <w:color w:val="000000" w:themeColor="text1"/>
                <w:sz w:val="18"/>
                <w:szCs w:val="18"/>
                <w:highlight w:val="none"/>
                <w14:textFill>
                  <w14:solidFill>
                    <w14:schemeClr w14:val="tx1"/>
                  </w14:solidFill>
                </w14:textFill>
              </w:rPr>
            </w:pPr>
          </w:p>
        </w:tc>
        <w:tc>
          <w:tcPr>
            <w:tcW w:w="809" w:type="pct"/>
            <w:vAlign w:val="center"/>
          </w:tcPr>
          <w:p w14:paraId="7659417C">
            <w:pPr>
              <w:jc w:val="center"/>
              <w:rPr>
                <w:color w:val="000000" w:themeColor="text1"/>
                <w:sz w:val="18"/>
                <w:szCs w:val="18"/>
                <w:highlight w:val="none"/>
                <w14:textFill>
                  <w14:solidFill>
                    <w14:schemeClr w14:val="tx1"/>
                  </w14:solidFill>
                </w14:textFill>
              </w:rPr>
            </w:pPr>
          </w:p>
        </w:tc>
        <w:tc>
          <w:tcPr>
            <w:tcW w:w="641" w:type="pct"/>
            <w:vAlign w:val="center"/>
          </w:tcPr>
          <w:p w14:paraId="59322C8E">
            <w:pPr>
              <w:jc w:val="center"/>
              <w:rPr>
                <w:color w:val="000000" w:themeColor="text1"/>
                <w:sz w:val="18"/>
                <w:szCs w:val="18"/>
                <w:highlight w:val="none"/>
                <w14:textFill>
                  <w14:solidFill>
                    <w14:schemeClr w14:val="tx1"/>
                  </w14:solidFill>
                </w14:textFill>
              </w:rPr>
            </w:pPr>
          </w:p>
        </w:tc>
        <w:tc>
          <w:tcPr>
            <w:tcW w:w="724" w:type="pct"/>
            <w:vAlign w:val="center"/>
          </w:tcPr>
          <w:p w14:paraId="74E41CD3">
            <w:pPr>
              <w:jc w:val="center"/>
              <w:rPr>
                <w:color w:val="000000" w:themeColor="text1"/>
                <w:sz w:val="18"/>
                <w:szCs w:val="18"/>
                <w:highlight w:val="none"/>
                <w14:textFill>
                  <w14:solidFill>
                    <w14:schemeClr w14:val="tx1"/>
                  </w14:solidFill>
                </w14:textFill>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color w:val="000000" w:themeColor="text1"/>
                <w:sz w:val="18"/>
                <w:szCs w:val="18"/>
                <w:highlight w:val="none"/>
                <w14:textFill>
                  <w14:solidFill>
                    <w14:schemeClr w14:val="tx1"/>
                  </w14:solidFill>
                </w14:textFill>
              </w:rPr>
            </w:pPr>
          </w:p>
        </w:tc>
        <w:tc>
          <w:tcPr>
            <w:tcW w:w="728" w:type="pct"/>
            <w:vAlign w:val="center"/>
          </w:tcPr>
          <w:p w14:paraId="181934ED">
            <w:pPr>
              <w:jc w:val="center"/>
              <w:rPr>
                <w:color w:val="000000" w:themeColor="text1"/>
                <w:sz w:val="18"/>
                <w:szCs w:val="18"/>
                <w:highlight w:val="none"/>
                <w14:textFill>
                  <w14:solidFill>
                    <w14:schemeClr w14:val="tx1"/>
                  </w14:solidFill>
                </w14:textFill>
              </w:rPr>
            </w:pPr>
          </w:p>
        </w:tc>
        <w:tc>
          <w:tcPr>
            <w:tcW w:w="597" w:type="pct"/>
            <w:vAlign w:val="center"/>
          </w:tcPr>
          <w:p w14:paraId="1A102864">
            <w:pPr>
              <w:jc w:val="center"/>
              <w:rPr>
                <w:color w:val="000000" w:themeColor="text1"/>
                <w:sz w:val="18"/>
                <w:szCs w:val="18"/>
                <w:highlight w:val="none"/>
                <w14:textFill>
                  <w14:solidFill>
                    <w14:schemeClr w14:val="tx1"/>
                  </w14:solidFill>
                </w14:textFill>
              </w:rPr>
            </w:pPr>
          </w:p>
        </w:tc>
        <w:tc>
          <w:tcPr>
            <w:tcW w:w="668" w:type="pct"/>
            <w:vAlign w:val="center"/>
          </w:tcPr>
          <w:p w14:paraId="78EA31F5">
            <w:pPr>
              <w:jc w:val="center"/>
              <w:rPr>
                <w:color w:val="000000" w:themeColor="text1"/>
                <w:sz w:val="18"/>
                <w:szCs w:val="18"/>
                <w:highlight w:val="none"/>
                <w14:textFill>
                  <w14:solidFill>
                    <w14:schemeClr w14:val="tx1"/>
                  </w14:solidFill>
                </w14:textFill>
              </w:rPr>
            </w:pPr>
          </w:p>
        </w:tc>
        <w:tc>
          <w:tcPr>
            <w:tcW w:w="482" w:type="pct"/>
            <w:vAlign w:val="center"/>
          </w:tcPr>
          <w:p w14:paraId="4B8B7598">
            <w:pPr>
              <w:jc w:val="center"/>
              <w:rPr>
                <w:color w:val="000000" w:themeColor="text1"/>
                <w:sz w:val="18"/>
                <w:szCs w:val="18"/>
                <w:highlight w:val="none"/>
                <w14:textFill>
                  <w14:solidFill>
                    <w14:schemeClr w14:val="tx1"/>
                  </w14:solidFill>
                </w14:textFill>
              </w:rPr>
            </w:pPr>
          </w:p>
        </w:tc>
        <w:tc>
          <w:tcPr>
            <w:tcW w:w="809" w:type="pct"/>
            <w:vAlign w:val="center"/>
          </w:tcPr>
          <w:p w14:paraId="402B3025">
            <w:pPr>
              <w:jc w:val="center"/>
              <w:rPr>
                <w:color w:val="000000" w:themeColor="text1"/>
                <w:sz w:val="18"/>
                <w:szCs w:val="18"/>
                <w:highlight w:val="none"/>
                <w14:textFill>
                  <w14:solidFill>
                    <w14:schemeClr w14:val="tx1"/>
                  </w14:solidFill>
                </w14:textFill>
              </w:rPr>
            </w:pPr>
          </w:p>
        </w:tc>
        <w:tc>
          <w:tcPr>
            <w:tcW w:w="641" w:type="pct"/>
            <w:vAlign w:val="center"/>
          </w:tcPr>
          <w:p w14:paraId="53E2D2CF">
            <w:pPr>
              <w:jc w:val="center"/>
              <w:rPr>
                <w:color w:val="000000" w:themeColor="text1"/>
                <w:sz w:val="18"/>
                <w:szCs w:val="18"/>
                <w:highlight w:val="none"/>
                <w14:textFill>
                  <w14:solidFill>
                    <w14:schemeClr w14:val="tx1"/>
                  </w14:solidFill>
                </w14:textFill>
              </w:rPr>
            </w:pPr>
          </w:p>
        </w:tc>
        <w:tc>
          <w:tcPr>
            <w:tcW w:w="724" w:type="pct"/>
            <w:vAlign w:val="center"/>
          </w:tcPr>
          <w:p w14:paraId="3FBE2119">
            <w:pPr>
              <w:jc w:val="center"/>
              <w:rPr>
                <w:color w:val="000000" w:themeColor="text1"/>
                <w:sz w:val="18"/>
                <w:szCs w:val="18"/>
                <w:highlight w:val="none"/>
                <w14:textFill>
                  <w14:solidFill>
                    <w14:schemeClr w14:val="tx1"/>
                  </w14:solidFill>
                </w14:textFill>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color w:val="000000" w:themeColor="text1"/>
                <w:sz w:val="18"/>
                <w:szCs w:val="18"/>
                <w:highlight w:val="none"/>
                <w14:textFill>
                  <w14:solidFill>
                    <w14:schemeClr w14:val="tx1"/>
                  </w14:solidFill>
                </w14:textFill>
              </w:rPr>
            </w:pPr>
          </w:p>
        </w:tc>
        <w:tc>
          <w:tcPr>
            <w:tcW w:w="728" w:type="pct"/>
            <w:vAlign w:val="center"/>
          </w:tcPr>
          <w:p w14:paraId="1298A361">
            <w:pPr>
              <w:jc w:val="center"/>
              <w:rPr>
                <w:color w:val="000000" w:themeColor="text1"/>
                <w:sz w:val="18"/>
                <w:szCs w:val="18"/>
                <w:highlight w:val="none"/>
                <w14:textFill>
                  <w14:solidFill>
                    <w14:schemeClr w14:val="tx1"/>
                  </w14:solidFill>
                </w14:textFill>
              </w:rPr>
            </w:pPr>
          </w:p>
        </w:tc>
        <w:tc>
          <w:tcPr>
            <w:tcW w:w="597" w:type="pct"/>
            <w:vAlign w:val="center"/>
          </w:tcPr>
          <w:p w14:paraId="04C088B3">
            <w:pPr>
              <w:jc w:val="center"/>
              <w:rPr>
                <w:color w:val="000000" w:themeColor="text1"/>
                <w:sz w:val="18"/>
                <w:szCs w:val="18"/>
                <w:highlight w:val="none"/>
                <w14:textFill>
                  <w14:solidFill>
                    <w14:schemeClr w14:val="tx1"/>
                  </w14:solidFill>
                </w14:textFill>
              </w:rPr>
            </w:pPr>
          </w:p>
        </w:tc>
        <w:tc>
          <w:tcPr>
            <w:tcW w:w="668" w:type="pct"/>
            <w:vAlign w:val="center"/>
          </w:tcPr>
          <w:p w14:paraId="6948E0F0">
            <w:pPr>
              <w:jc w:val="center"/>
              <w:rPr>
                <w:color w:val="000000" w:themeColor="text1"/>
                <w:sz w:val="18"/>
                <w:szCs w:val="18"/>
                <w:highlight w:val="none"/>
                <w14:textFill>
                  <w14:solidFill>
                    <w14:schemeClr w14:val="tx1"/>
                  </w14:solidFill>
                </w14:textFill>
              </w:rPr>
            </w:pPr>
          </w:p>
        </w:tc>
        <w:tc>
          <w:tcPr>
            <w:tcW w:w="482" w:type="pct"/>
            <w:vAlign w:val="center"/>
          </w:tcPr>
          <w:p w14:paraId="2BEA53F2">
            <w:pPr>
              <w:jc w:val="center"/>
              <w:rPr>
                <w:color w:val="000000" w:themeColor="text1"/>
                <w:sz w:val="18"/>
                <w:szCs w:val="18"/>
                <w:highlight w:val="none"/>
                <w14:textFill>
                  <w14:solidFill>
                    <w14:schemeClr w14:val="tx1"/>
                  </w14:solidFill>
                </w14:textFill>
              </w:rPr>
            </w:pPr>
          </w:p>
        </w:tc>
        <w:tc>
          <w:tcPr>
            <w:tcW w:w="809" w:type="pct"/>
            <w:vAlign w:val="center"/>
          </w:tcPr>
          <w:p w14:paraId="57A32EF3">
            <w:pPr>
              <w:jc w:val="center"/>
              <w:rPr>
                <w:color w:val="000000" w:themeColor="text1"/>
                <w:sz w:val="18"/>
                <w:szCs w:val="18"/>
                <w:highlight w:val="none"/>
                <w14:textFill>
                  <w14:solidFill>
                    <w14:schemeClr w14:val="tx1"/>
                  </w14:solidFill>
                </w14:textFill>
              </w:rPr>
            </w:pPr>
          </w:p>
        </w:tc>
        <w:tc>
          <w:tcPr>
            <w:tcW w:w="641" w:type="pct"/>
            <w:vAlign w:val="center"/>
          </w:tcPr>
          <w:p w14:paraId="2A4CF76C">
            <w:pPr>
              <w:jc w:val="center"/>
              <w:rPr>
                <w:color w:val="000000" w:themeColor="text1"/>
                <w:sz w:val="18"/>
                <w:szCs w:val="18"/>
                <w:highlight w:val="none"/>
                <w14:textFill>
                  <w14:solidFill>
                    <w14:schemeClr w14:val="tx1"/>
                  </w14:solidFill>
                </w14:textFill>
              </w:rPr>
            </w:pPr>
          </w:p>
        </w:tc>
        <w:tc>
          <w:tcPr>
            <w:tcW w:w="724" w:type="pct"/>
            <w:vAlign w:val="center"/>
          </w:tcPr>
          <w:p w14:paraId="65BCA739">
            <w:pPr>
              <w:jc w:val="center"/>
              <w:rPr>
                <w:color w:val="000000" w:themeColor="text1"/>
                <w:sz w:val="18"/>
                <w:szCs w:val="18"/>
                <w:highlight w:val="none"/>
                <w14:textFill>
                  <w14:solidFill>
                    <w14:schemeClr w14:val="tx1"/>
                  </w14:solidFill>
                </w14:textFill>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color w:val="000000" w:themeColor="text1"/>
                <w:sz w:val="18"/>
                <w:szCs w:val="18"/>
                <w:highlight w:val="none"/>
                <w14:textFill>
                  <w14:solidFill>
                    <w14:schemeClr w14:val="tx1"/>
                  </w14:solidFill>
                </w14:textFill>
              </w:rPr>
            </w:pPr>
          </w:p>
        </w:tc>
        <w:tc>
          <w:tcPr>
            <w:tcW w:w="728" w:type="pct"/>
            <w:vAlign w:val="center"/>
          </w:tcPr>
          <w:p w14:paraId="55F049E8">
            <w:pPr>
              <w:jc w:val="center"/>
              <w:rPr>
                <w:color w:val="000000" w:themeColor="text1"/>
                <w:sz w:val="18"/>
                <w:szCs w:val="18"/>
                <w:highlight w:val="none"/>
                <w14:textFill>
                  <w14:solidFill>
                    <w14:schemeClr w14:val="tx1"/>
                  </w14:solidFill>
                </w14:textFill>
              </w:rPr>
            </w:pPr>
          </w:p>
        </w:tc>
        <w:tc>
          <w:tcPr>
            <w:tcW w:w="597" w:type="pct"/>
            <w:vAlign w:val="center"/>
          </w:tcPr>
          <w:p w14:paraId="7E502225">
            <w:pPr>
              <w:jc w:val="center"/>
              <w:rPr>
                <w:color w:val="000000" w:themeColor="text1"/>
                <w:sz w:val="18"/>
                <w:szCs w:val="18"/>
                <w:highlight w:val="none"/>
                <w14:textFill>
                  <w14:solidFill>
                    <w14:schemeClr w14:val="tx1"/>
                  </w14:solidFill>
                </w14:textFill>
              </w:rPr>
            </w:pPr>
          </w:p>
        </w:tc>
        <w:tc>
          <w:tcPr>
            <w:tcW w:w="668" w:type="pct"/>
            <w:vAlign w:val="center"/>
          </w:tcPr>
          <w:p w14:paraId="633ACF9D">
            <w:pPr>
              <w:jc w:val="center"/>
              <w:rPr>
                <w:color w:val="000000" w:themeColor="text1"/>
                <w:sz w:val="18"/>
                <w:szCs w:val="18"/>
                <w:highlight w:val="none"/>
                <w14:textFill>
                  <w14:solidFill>
                    <w14:schemeClr w14:val="tx1"/>
                  </w14:solidFill>
                </w14:textFill>
              </w:rPr>
            </w:pPr>
          </w:p>
        </w:tc>
        <w:tc>
          <w:tcPr>
            <w:tcW w:w="482" w:type="pct"/>
            <w:vAlign w:val="center"/>
          </w:tcPr>
          <w:p w14:paraId="623BA2B5">
            <w:pPr>
              <w:jc w:val="center"/>
              <w:rPr>
                <w:color w:val="000000" w:themeColor="text1"/>
                <w:sz w:val="18"/>
                <w:szCs w:val="18"/>
                <w:highlight w:val="none"/>
                <w14:textFill>
                  <w14:solidFill>
                    <w14:schemeClr w14:val="tx1"/>
                  </w14:solidFill>
                </w14:textFill>
              </w:rPr>
            </w:pPr>
          </w:p>
        </w:tc>
        <w:tc>
          <w:tcPr>
            <w:tcW w:w="809" w:type="pct"/>
            <w:vAlign w:val="center"/>
          </w:tcPr>
          <w:p w14:paraId="24DDF071">
            <w:pPr>
              <w:jc w:val="center"/>
              <w:rPr>
                <w:color w:val="000000" w:themeColor="text1"/>
                <w:sz w:val="18"/>
                <w:szCs w:val="18"/>
                <w:highlight w:val="none"/>
                <w14:textFill>
                  <w14:solidFill>
                    <w14:schemeClr w14:val="tx1"/>
                  </w14:solidFill>
                </w14:textFill>
              </w:rPr>
            </w:pPr>
          </w:p>
        </w:tc>
        <w:tc>
          <w:tcPr>
            <w:tcW w:w="641" w:type="pct"/>
            <w:vAlign w:val="center"/>
          </w:tcPr>
          <w:p w14:paraId="715DEE19">
            <w:pPr>
              <w:jc w:val="center"/>
              <w:rPr>
                <w:color w:val="000000" w:themeColor="text1"/>
                <w:sz w:val="18"/>
                <w:szCs w:val="18"/>
                <w:highlight w:val="none"/>
                <w14:textFill>
                  <w14:solidFill>
                    <w14:schemeClr w14:val="tx1"/>
                  </w14:solidFill>
                </w14:textFill>
              </w:rPr>
            </w:pPr>
          </w:p>
        </w:tc>
        <w:tc>
          <w:tcPr>
            <w:tcW w:w="724" w:type="pct"/>
            <w:vAlign w:val="center"/>
          </w:tcPr>
          <w:p w14:paraId="3B842720">
            <w:pPr>
              <w:jc w:val="center"/>
              <w:rPr>
                <w:color w:val="000000" w:themeColor="text1"/>
                <w:sz w:val="18"/>
                <w:szCs w:val="18"/>
                <w:highlight w:val="none"/>
                <w14:textFill>
                  <w14:solidFill>
                    <w14:schemeClr w14:val="tx1"/>
                  </w14:solidFill>
                </w14:textFill>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color w:val="000000" w:themeColor="text1"/>
                <w:sz w:val="18"/>
                <w:szCs w:val="18"/>
                <w:highlight w:val="none"/>
                <w14:textFill>
                  <w14:solidFill>
                    <w14:schemeClr w14:val="tx1"/>
                  </w14:solidFill>
                </w14:textFill>
              </w:rPr>
            </w:pPr>
          </w:p>
        </w:tc>
        <w:tc>
          <w:tcPr>
            <w:tcW w:w="728" w:type="pct"/>
            <w:vAlign w:val="center"/>
          </w:tcPr>
          <w:p w14:paraId="0DC3EB7D">
            <w:pPr>
              <w:jc w:val="center"/>
              <w:rPr>
                <w:color w:val="000000" w:themeColor="text1"/>
                <w:sz w:val="18"/>
                <w:szCs w:val="18"/>
                <w:highlight w:val="none"/>
                <w14:textFill>
                  <w14:solidFill>
                    <w14:schemeClr w14:val="tx1"/>
                  </w14:solidFill>
                </w14:textFill>
              </w:rPr>
            </w:pPr>
          </w:p>
        </w:tc>
        <w:tc>
          <w:tcPr>
            <w:tcW w:w="597" w:type="pct"/>
            <w:vAlign w:val="center"/>
          </w:tcPr>
          <w:p w14:paraId="302DCE09">
            <w:pPr>
              <w:jc w:val="center"/>
              <w:rPr>
                <w:color w:val="000000" w:themeColor="text1"/>
                <w:sz w:val="18"/>
                <w:szCs w:val="18"/>
                <w:highlight w:val="none"/>
                <w14:textFill>
                  <w14:solidFill>
                    <w14:schemeClr w14:val="tx1"/>
                  </w14:solidFill>
                </w14:textFill>
              </w:rPr>
            </w:pPr>
          </w:p>
        </w:tc>
        <w:tc>
          <w:tcPr>
            <w:tcW w:w="668" w:type="pct"/>
            <w:vAlign w:val="center"/>
          </w:tcPr>
          <w:p w14:paraId="68460EE0">
            <w:pPr>
              <w:jc w:val="center"/>
              <w:rPr>
                <w:color w:val="000000" w:themeColor="text1"/>
                <w:sz w:val="18"/>
                <w:szCs w:val="18"/>
                <w:highlight w:val="none"/>
                <w14:textFill>
                  <w14:solidFill>
                    <w14:schemeClr w14:val="tx1"/>
                  </w14:solidFill>
                </w14:textFill>
              </w:rPr>
            </w:pPr>
          </w:p>
        </w:tc>
        <w:tc>
          <w:tcPr>
            <w:tcW w:w="482" w:type="pct"/>
            <w:vAlign w:val="center"/>
          </w:tcPr>
          <w:p w14:paraId="62B59EE2">
            <w:pPr>
              <w:jc w:val="center"/>
              <w:rPr>
                <w:color w:val="000000" w:themeColor="text1"/>
                <w:sz w:val="18"/>
                <w:szCs w:val="18"/>
                <w:highlight w:val="none"/>
                <w14:textFill>
                  <w14:solidFill>
                    <w14:schemeClr w14:val="tx1"/>
                  </w14:solidFill>
                </w14:textFill>
              </w:rPr>
            </w:pPr>
          </w:p>
        </w:tc>
        <w:tc>
          <w:tcPr>
            <w:tcW w:w="809" w:type="pct"/>
            <w:vAlign w:val="center"/>
          </w:tcPr>
          <w:p w14:paraId="6C9D3970">
            <w:pPr>
              <w:jc w:val="center"/>
              <w:rPr>
                <w:color w:val="000000" w:themeColor="text1"/>
                <w:sz w:val="18"/>
                <w:szCs w:val="18"/>
                <w:highlight w:val="none"/>
                <w14:textFill>
                  <w14:solidFill>
                    <w14:schemeClr w14:val="tx1"/>
                  </w14:solidFill>
                </w14:textFill>
              </w:rPr>
            </w:pPr>
          </w:p>
        </w:tc>
        <w:tc>
          <w:tcPr>
            <w:tcW w:w="641" w:type="pct"/>
            <w:vAlign w:val="center"/>
          </w:tcPr>
          <w:p w14:paraId="66B168C2">
            <w:pPr>
              <w:jc w:val="center"/>
              <w:rPr>
                <w:color w:val="000000" w:themeColor="text1"/>
                <w:sz w:val="18"/>
                <w:szCs w:val="18"/>
                <w:highlight w:val="none"/>
                <w14:textFill>
                  <w14:solidFill>
                    <w14:schemeClr w14:val="tx1"/>
                  </w14:solidFill>
                </w14:textFill>
              </w:rPr>
            </w:pPr>
          </w:p>
        </w:tc>
        <w:tc>
          <w:tcPr>
            <w:tcW w:w="724" w:type="pct"/>
            <w:vAlign w:val="center"/>
          </w:tcPr>
          <w:p w14:paraId="3F0CCA0C">
            <w:pPr>
              <w:jc w:val="center"/>
              <w:rPr>
                <w:color w:val="000000" w:themeColor="text1"/>
                <w:sz w:val="18"/>
                <w:szCs w:val="18"/>
                <w:highlight w:val="none"/>
                <w14:textFill>
                  <w14:solidFill>
                    <w14:schemeClr w14:val="tx1"/>
                  </w14:solidFill>
                </w14:textFill>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color w:val="000000" w:themeColor="text1"/>
                <w:sz w:val="18"/>
                <w:szCs w:val="18"/>
                <w:highlight w:val="none"/>
                <w14:textFill>
                  <w14:solidFill>
                    <w14:schemeClr w14:val="tx1"/>
                  </w14:solidFill>
                </w14:textFill>
              </w:rPr>
            </w:pPr>
          </w:p>
        </w:tc>
        <w:tc>
          <w:tcPr>
            <w:tcW w:w="728" w:type="pct"/>
            <w:vAlign w:val="center"/>
          </w:tcPr>
          <w:p w14:paraId="2581E3FD">
            <w:pPr>
              <w:jc w:val="center"/>
              <w:rPr>
                <w:color w:val="000000" w:themeColor="text1"/>
                <w:sz w:val="18"/>
                <w:szCs w:val="18"/>
                <w:highlight w:val="none"/>
                <w14:textFill>
                  <w14:solidFill>
                    <w14:schemeClr w14:val="tx1"/>
                  </w14:solidFill>
                </w14:textFill>
              </w:rPr>
            </w:pPr>
          </w:p>
        </w:tc>
        <w:tc>
          <w:tcPr>
            <w:tcW w:w="597" w:type="pct"/>
            <w:vAlign w:val="center"/>
          </w:tcPr>
          <w:p w14:paraId="031414D7">
            <w:pPr>
              <w:jc w:val="center"/>
              <w:rPr>
                <w:color w:val="000000" w:themeColor="text1"/>
                <w:sz w:val="18"/>
                <w:szCs w:val="18"/>
                <w:highlight w:val="none"/>
                <w14:textFill>
                  <w14:solidFill>
                    <w14:schemeClr w14:val="tx1"/>
                  </w14:solidFill>
                </w14:textFill>
              </w:rPr>
            </w:pPr>
          </w:p>
        </w:tc>
        <w:tc>
          <w:tcPr>
            <w:tcW w:w="668" w:type="pct"/>
            <w:vAlign w:val="center"/>
          </w:tcPr>
          <w:p w14:paraId="34702ADD">
            <w:pPr>
              <w:jc w:val="center"/>
              <w:rPr>
                <w:color w:val="000000" w:themeColor="text1"/>
                <w:sz w:val="18"/>
                <w:szCs w:val="18"/>
                <w:highlight w:val="none"/>
                <w14:textFill>
                  <w14:solidFill>
                    <w14:schemeClr w14:val="tx1"/>
                  </w14:solidFill>
                </w14:textFill>
              </w:rPr>
            </w:pPr>
          </w:p>
        </w:tc>
        <w:tc>
          <w:tcPr>
            <w:tcW w:w="482" w:type="pct"/>
            <w:vAlign w:val="center"/>
          </w:tcPr>
          <w:p w14:paraId="4E2920F3">
            <w:pPr>
              <w:jc w:val="center"/>
              <w:rPr>
                <w:color w:val="000000" w:themeColor="text1"/>
                <w:sz w:val="18"/>
                <w:szCs w:val="18"/>
                <w:highlight w:val="none"/>
                <w14:textFill>
                  <w14:solidFill>
                    <w14:schemeClr w14:val="tx1"/>
                  </w14:solidFill>
                </w14:textFill>
              </w:rPr>
            </w:pPr>
          </w:p>
        </w:tc>
        <w:tc>
          <w:tcPr>
            <w:tcW w:w="809" w:type="pct"/>
            <w:vAlign w:val="center"/>
          </w:tcPr>
          <w:p w14:paraId="1AE1F1C2">
            <w:pPr>
              <w:jc w:val="center"/>
              <w:rPr>
                <w:color w:val="000000" w:themeColor="text1"/>
                <w:sz w:val="18"/>
                <w:szCs w:val="18"/>
                <w:highlight w:val="none"/>
                <w14:textFill>
                  <w14:solidFill>
                    <w14:schemeClr w14:val="tx1"/>
                  </w14:solidFill>
                </w14:textFill>
              </w:rPr>
            </w:pPr>
          </w:p>
        </w:tc>
        <w:tc>
          <w:tcPr>
            <w:tcW w:w="641" w:type="pct"/>
            <w:vAlign w:val="center"/>
          </w:tcPr>
          <w:p w14:paraId="69044D08">
            <w:pPr>
              <w:jc w:val="center"/>
              <w:rPr>
                <w:color w:val="000000" w:themeColor="text1"/>
                <w:sz w:val="18"/>
                <w:szCs w:val="18"/>
                <w:highlight w:val="none"/>
                <w14:textFill>
                  <w14:solidFill>
                    <w14:schemeClr w14:val="tx1"/>
                  </w14:solidFill>
                </w14:textFill>
              </w:rPr>
            </w:pPr>
          </w:p>
        </w:tc>
        <w:tc>
          <w:tcPr>
            <w:tcW w:w="724" w:type="pct"/>
            <w:vAlign w:val="center"/>
          </w:tcPr>
          <w:p w14:paraId="650C1687">
            <w:pPr>
              <w:jc w:val="center"/>
              <w:rPr>
                <w:color w:val="000000" w:themeColor="text1"/>
                <w:sz w:val="18"/>
                <w:szCs w:val="18"/>
                <w:highlight w:val="none"/>
                <w14:textFill>
                  <w14:solidFill>
                    <w14:schemeClr w14:val="tx1"/>
                  </w14:solidFill>
                </w14:textFill>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color w:val="000000" w:themeColor="text1"/>
                <w:sz w:val="18"/>
                <w:szCs w:val="18"/>
                <w:highlight w:val="none"/>
                <w14:textFill>
                  <w14:solidFill>
                    <w14:schemeClr w14:val="tx1"/>
                  </w14:solidFill>
                </w14:textFill>
              </w:rPr>
            </w:pPr>
          </w:p>
        </w:tc>
        <w:tc>
          <w:tcPr>
            <w:tcW w:w="728" w:type="pct"/>
            <w:vAlign w:val="center"/>
          </w:tcPr>
          <w:p w14:paraId="4719BDC0">
            <w:pPr>
              <w:jc w:val="center"/>
              <w:rPr>
                <w:color w:val="000000" w:themeColor="text1"/>
                <w:sz w:val="18"/>
                <w:szCs w:val="18"/>
                <w:highlight w:val="none"/>
                <w14:textFill>
                  <w14:solidFill>
                    <w14:schemeClr w14:val="tx1"/>
                  </w14:solidFill>
                </w14:textFill>
              </w:rPr>
            </w:pPr>
          </w:p>
        </w:tc>
        <w:tc>
          <w:tcPr>
            <w:tcW w:w="597" w:type="pct"/>
            <w:vAlign w:val="center"/>
          </w:tcPr>
          <w:p w14:paraId="41914B49">
            <w:pPr>
              <w:jc w:val="center"/>
              <w:rPr>
                <w:color w:val="000000" w:themeColor="text1"/>
                <w:sz w:val="18"/>
                <w:szCs w:val="18"/>
                <w:highlight w:val="none"/>
                <w14:textFill>
                  <w14:solidFill>
                    <w14:schemeClr w14:val="tx1"/>
                  </w14:solidFill>
                </w14:textFill>
              </w:rPr>
            </w:pPr>
          </w:p>
        </w:tc>
        <w:tc>
          <w:tcPr>
            <w:tcW w:w="668" w:type="pct"/>
            <w:vAlign w:val="center"/>
          </w:tcPr>
          <w:p w14:paraId="7E0215DE">
            <w:pPr>
              <w:jc w:val="center"/>
              <w:rPr>
                <w:color w:val="000000" w:themeColor="text1"/>
                <w:sz w:val="18"/>
                <w:szCs w:val="18"/>
                <w:highlight w:val="none"/>
                <w14:textFill>
                  <w14:solidFill>
                    <w14:schemeClr w14:val="tx1"/>
                  </w14:solidFill>
                </w14:textFill>
              </w:rPr>
            </w:pPr>
          </w:p>
        </w:tc>
        <w:tc>
          <w:tcPr>
            <w:tcW w:w="482" w:type="pct"/>
            <w:vAlign w:val="center"/>
          </w:tcPr>
          <w:p w14:paraId="310DEA7F">
            <w:pPr>
              <w:jc w:val="center"/>
              <w:rPr>
                <w:color w:val="000000" w:themeColor="text1"/>
                <w:sz w:val="18"/>
                <w:szCs w:val="18"/>
                <w:highlight w:val="none"/>
                <w14:textFill>
                  <w14:solidFill>
                    <w14:schemeClr w14:val="tx1"/>
                  </w14:solidFill>
                </w14:textFill>
              </w:rPr>
            </w:pPr>
          </w:p>
        </w:tc>
        <w:tc>
          <w:tcPr>
            <w:tcW w:w="809" w:type="pct"/>
            <w:vAlign w:val="center"/>
          </w:tcPr>
          <w:p w14:paraId="7DE9E5EC">
            <w:pPr>
              <w:jc w:val="center"/>
              <w:rPr>
                <w:color w:val="000000" w:themeColor="text1"/>
                <w:sz w:val="18"/>
                <w:szCs w:val="18"/>
                <w:highlight w:val="none"/>
                <w14:textFill>
                  <w14:solidFill>
                    <w14:schemeClr w14:val="tx1"/>
                  </w14:solidFill>
                </w14:textFill>
              </w:rPr>
            </w:pPr>
          </w:p>
        </w:tc>
        <w:tc>
          <w:tcPr>
            <w:tcW w:w="641" w:type="pct"/>
            <w:vAlign w:val="center"/>
          </w:tcPr>
          <w:p w14:paraId="11267C22">
            <w:pPr>
              <w:jc w:val="center"/>
              <w:rPr>
                <w:color w:val="000000" w:themeColor="text1"/>
                <w:sz w:val="18"/>
                <w:szCs w:val="18"/>
                <w:highlight w:val="none"/>
                <w14:textFill>
                  <w14:solidFill>
                    <w14:schemeClr w14:val="tx1"/>
                  </w14:solidFill>
                </w14:textFill>
              </w:rPr>
            </w:pPr>
          </w:p>
        </w:tc>
        <w:tc>
          <w:tcPr>
            <w:tcW w:w="724" w:type="pct"/>
            <w:vAlign w:val="center"/>
          </w:tcPr>
          <w:p w14:paraId="0C74DF53">
            <w:pPr>
              <w:jc w:val="center"/>
              <w:rPr>
                <w:color w:val="000000" w:themeColor="text1"/>
                <w:sz w:val="18"/>
                <w:szCs w:val="18"/>
                <w:highlight w:val="none"/>
                <w14:textFill>
                  <w14:solidFill>
                    <w14:schemeClr w14:val="tx1"/>
                  </w14:solidFill>
                </w14:textFill>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color w:val="000000" w:themeColor="text1"/>
                <w:sz w:val="18"/>
                <w:szCs w:val="18"/>
                <w:highlight w:val="none"/>
                <w14:textFill>
                  <w14:solidFill>
                    <w14:schemeClr w14:val="tx1"/>
                  </w14:solidFill>
                </w14:textFill>
              </w:rPr>
            </w:pPr>
          </w:p>
        </w:tc>
        <w:tc>
          <w:tcPr>
            <w:tcW w:w="728" w:type="pct"/>
            <w:vAlign w:val="center"/>
          </w:tcPr>
          <w:p w14:paraId="7A9E6717">
            <w:pPr>
              <w:jc w:val="center"/>
              <w:rPr>
                <w:color w:val="000000" w:themeColor="text1"/>
                <w:sz w:val="18"/>
                <w:szCs w:val="18"/>
                <w:highlight w:val="none"/>
                <w14:textFill>
                  <w14:solidFill>
                    <w14:schemeClr w14:val="tx1"/>
                  </w14:solidFill>
                </w14:textFill>
              </w:rPr>
            </w:pPr>
          </w:p>
        </w:tc>
        <w:tc>
          <w:tcPr>
            <w:tcW w:w="597" w:type="pct"/>
            <w:vAlign w:val="center"/>
          </w:tcPr>
          <w:p w14:paraId="29E5CF8C">
            <w:pPr>
              <w:jc w:val="center"/>
              <w:rPr>
                <w:color w:val="000000" w:themeColor="text1"/>
                <w:sz w:val="18"/>
                <w:szCs w:val="18"/>
                <w:highlight w:val="none"/>
                <w14:textFill>
                  <w14:solidFill>
                    <w14:schemeClr w14:val="tx1"/>
                  </w14:solidFill>
                </w14:textFill>
              </w:rPr>
            </w:pPr>
          </w:p>
        </w:tc>
        <w:tc>
          <w:tcPr>
            <w:tcW w:w="668" w:type="pct"/>
            <w:vAlign w:val="center"/>
          </w:tcPr>
          <w:p w14:paraId="705800CD">
            <w:pPr>
              <w:jc w:val="center"/>
              <w:rPr>
                <w:color w:val="000000" w:themeColor="text1"/>
                <w:sz w:val="18"/>
                <w:szCs w:val="18"/>
                <w:highlight w:val="none"/>
                <w14:textFill>
                  <w14:solidFill>
                    <w14:schemeClr w14:val="tx1"/>
                  </w14:solidFill>
                </w14:textFill>
              </w:rPr>
            </w:pPr>
          </w:p>
        </w:tc>
        <w:tc>
          <w:tcPr>
            <w:tcW w:w="482" w:type="pct"/>
            <w:vAlign w:val="center"/>
          </w:tcPr>
          <w:p w14:paraId="7B23BB98">
            <w:pPr>
              <w:jc w:val="center"/>
              <w:rPr>
                <w:color w:val="000000" w:themeColor="text1"/>
                <w:sz w:val="18"/>
                <w:szCs w:val="18"/>
                <w:highlight w:val="none"/>
                <w14:textFill>
                  <w14:solidFill>
                    <w14:schemeClr w14:val="tx1"/>
                  </w14:solidFill>
                </w14:textFill>
              </w:rPr>
            </w:pPr>
          </w:p>
        </w:tc>
        <w:tc>
          <w:tcPr>
            <w:tcW w:w="809" w:type="pct"/>
            <w:vAlign w:val="center"/>
          </w:tcPr>
          <w:p w14:paraId="24E0B1A1">
            <w:pPr>
              <w:jc w:val="center"/>
              <w:rPr>
                <w:color w:val="000000" w:themeColor="text1"/>
                <w:sz w:val="18"/>
                <w:szCs w:val="18"/>
                <w:highlight w:val="none"/>
                <w14:textFill>
                  <w14:solidFill>
                    <w14:schemeClr w14:val="tx1"/>
                  </w14:solidFill>
                </w14:textFill>
              </w:rPr>
            </w:pPr>
          </w:p>
        </w:tc>
        <w:tc>
          <w:tcPr>
            <w:tcW w:w="641" w:type="pct"/>
            <w:vAlign w:val="center"/>
          </w:tcPr>
          <w:p w14:paraId="5B0B2742">
            <w:pPr>
              <w:jc w:val="center"/>
              <w:rPr>
                <w:color w:val="000000" w:themeColor="text1"/>
                <w:sz w:val="18"/>
                <w:szCs w:val="18"/>
                <w:highlight w:val="none"/>
                <w14:textFill>
                  <w14:solidFill>
                    <w14:schemeClr w14:val="tx1"/>
                  </w14:solidFill>
                </w14:textFill>
              </w:rPr>
            </w:pPr>
          </w:p>
        </w:tc>
        <w:tc>
          <w:tcPr>
            <w:tcW w:w="724" w:type="pct"/>
            <w:vAlign w:val="center"/>
          </w:tcPr>
          <w:p w14:paraId="55EDEA8A">
            <w:pPr>
              <w:jc w:val="center"/>
              <w:rPr>
                <w:color w:val="000000" w:themeColor="text1"/>
                <w:sz w:val="18"/>
                <w:szCs w:val="18"/>
                <w:highlight w:val="none"/>
                <w14:textFill>
                  <w14:solidFill>
                    <w14:schemeClr w14:val="tx1"/>
                  </w14:solidFill>
                </w14:textFill>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color w:val="000000" w:themeColor="text1"/>
                <w:sz w:val="18"/>
                <w:szCs w:val="18"/>
                <w:highlight w:val="none"/>
                <w14:textFill>
                  <w14:solidFill>
                    <w14:schemeClr w14:val="tx1"/>
                  </w14:solidFill>
                </w14:textFill>
              </w:rPr>
            </w:pPr>
          </w:p>
        </w:tc>
        <w:tc>
          <w:tcPr>
            <w:tcW w:w="728" w:type="pct"/>
            <w:vAlign w:val="center"/>
          </w:tcPr>
          <w:p w14:paraId="5DD44458">
            <w:pPr>
              <w:jc w:val="center"/>
              <w:rPr>
                <w:color w:val="000000" w:themeColor="text1"/>
                <w:sz w:val="18"/>
                <w:szCs w:val="18"/>
                <w:highlight w:val="none"/>
                <w14:textFill>
                  <w14:solidFill>
                    <w14:schemeClr w14:val="tx1"/>
                  </w14:solidFill>
                </w14:textFill>
              </w:rPr>
            </w:pPr>
          </w:p>
        </w:tc>
        <w:tc>
          <w:tcPr>
            <w:tcW w:w="597" w:type="pct"/>
            <w:vAlign w:val="center"/>
          </w:tcPr>
          <w:p w14:paraId="334ED1D1">
            <w:pPr>
              <w:jc w:val="center"/>
              <w:rPr>
                <w:color w:val="000000" w:themeColor="text1"/>
                <w:sz w:val="18"/>
                <w:szCs w:val="18"/>
                <w:highlight w:val="none"/>
                <w14:textFill>
                  <w14:solidFill>
                    <w14:schemeClr w14:val="tx1"/>
                  </w14:solidFill>
                </w14:textFill>
              </w:rPr>
            </w:pPr>
          </w:p>
        </w:tc>
        <w:tc>
          <w:tcPr>
            <w:tcW w:w="668" w:type="pct"/>
            <w:vAlign w:val="center"/>
          </w:tcPr>
          <w:p w14:paraId="71D3FD57">
            <w:pPr>
              <w:jc w:val="center"/>
              <w:rPr>
                <w:color w:val="000000" w:themeColor="text1"/>
                <w:sz w:val="18"/>
                <w:szCs w:val="18"/>
                <w:highlight w:val="none"/>
                <w14:textFill>
                  <w14:solidFill>
                    <w14:schemeClr w14:val="tx1"/>
                  </w14:solidFill>
                </w14:textFill>
              </w:rPr>
            </w:pPr>
          </w:p>
        </w:tc>
        <w:tc>
          <w:tcPr>
            <w:tcW w:w="482" w:type="pct"/>
            <w:vAlign w:val="center"/>
          </w:tcPr>
          <w:p w14:paraId="6CAAD835">
            <w:pPr>
              <w:jc w:val="center"/>
              <w:rPr>
                <w:color w:val="000000" w:themeColor="text1"/>
                <w:sz w:val="18"/>
                <w:szCs w:val="18"/>
                <w:highlight w:val="none"/>
                <w14:textFill>
                  <w14:solidFill>
                    <w14:schemeClr w14:val="tx1"/>
                  </w14:solidFill>
                </w14:textFill>
              </w:rPr>
            </w:pPr>
          </w:p>
        </w:tc>
        <w:tc>
          <w:tcPr>
            <w:tcW w:w="809" w:type="pct"/>
            <w:vAlign w:val="center"/>
          </w:tcPr>
          <w:p w14:paraId="71354EC7">
            <w:pPr>
              <w:jc w:val="center"/>
              <w:rPr>
                <w:color w:val="000000" w:themeColor="text1"/>
                <w:sz w:val="18"/>
                <w:szCs w:val="18"/>
                <w:highlight w:val="none"/>
                <w14:textFill>
                  <w14:solidFill>
                    <w14:schemeClr w14:val="tx1"/>
                  </w14:solidFill>
                </w14:textFill>
              </w:rPr>
            </w:pPr>
          </w:p>
        </w:tc>
        <w:tc>
          <w:tcPr>
            <w:tcW w:w="641" w:type="pct"/>
            <w:vAlign w:val="center"/>
          </w:tcPr>
          <w:p w14:paraId="251C2D4B">
            <w:pPr>
              <w:jc w:val="center"/>
              <w:rPr>
                <w:color w:val="000000" w:themeColor="text1"/>
                <w:sz w:val="18"/>
                <w:szCs w:val="18"/>
                <w:highlight w:val="none"/>
                <w14:textFill>
                  <w14:solidFill>
                    <w14:schemeClr w14:val="tx1"/>
                  </w14:solidFill>
                </w14:textFill>
              </w:rPr>
            </w:pPr>
          </w:p>
        </w:tc>
        <w:tc>
          <w:tcPr>
            <w:tcW w:w="724" w:type="pct"/>
            <w:vAlign w:val="center"/>
          </w:tcPr>
          <w:p w14:paraId="4502599B">
            <w:pPr>
              <w:jc w:val="center"/>
              <w:rPr>
                <w:color w:val="000000" w:themeColor="text1"/>
                <w:sz w:val="18"/>
                <w:szCs w:val="18"/>
                <w:highlight w:val="none"/>
                <w14:textFill>
                  <w14:solidFill>
                    <w14:schemeClr w14:val="tx1"/>
                  </w14:solidFill>
                </w14:textFill>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color w:val="000000" w:themeColor="text1"/>
                <w:sz w:val="18"/>
                <w:szCs w:val="18"/>
                <w:highlight w:val="none"/>
                <w14:textFill>
                  <w14:solidFill>
                    <w14:schemeClr w14:val="tx1"/>
                  </w14:solidFill>
                </w14:textFill>
              </w:rPr>
            </w:pPr>
          </w:p>
        </w:tc>
        <w:tc>
          <w:tcPr>
            <w:tcW w:w="728" w:type="pct"/>
            <w:vAlign w:val="center"/>
          </w:tcPr>
          <w:p w14:paraId="237E9F34">
            <w:pPr>
              <w:jc w:val="center"/>
              <w:rPr>
                <w:color w:val="000000" w:themeColor="text1"/>
                <w:sz w:val="18"/>
                <w:szCs w:val="18"/>
                <w:highlight w:val="none"/>
                <w14:textFill>
                  <w14:solidFill>
                    <w14:schemeClr w14:val="tx1"/>
                  </w14:solidFill>
                </w14:textFill>
              </w:rPr>
            </w:pPr>
          </w:p>
        </w:tc>
        <w:tc>
          <w:tcPr>
            <w:tcW w:w="597" w:type="pct"/>
            <w:vAlign w:val="center"/>
          </w:tcPr>
          <w:p w14:paraId="4BAE47F6">
            <w:pPr>
              <w:jc w:val="center"/>
              <w:rPr>
                <w:color w:val="000000" w:themeColor="text1"/>
                <w:sz w:val="18"/>
                <w:szCs w:val="18"/>
                <w:highlight w:val="none"/>
                <w14:textFill>
                  <w14:solidFill>
                    <w14:schemeClr w14:val="tx1"/>
                  </w14:solidFill>
                </w14:textFill>
              </w:rPr>
            </w:pPr>
          </w:p>
        </w:tc>
        <w:tc>
          <w:tcPr>
            <w:tcW w:w="668" w:type="pct"/>
            <w:vAlign w:val="center"/>
          </w:tcPr>
          <w:p w14:paraId="780B7970">
            <w:pPr>
              <w:jc w:val="center"/>
              <w:rPr>
                <w:color w:val="000000" w:themeColor="text1"/>
                <w:sz w:val="18"/>
                <w:szCs w:val="18"/>
                <w:highlight w:val="none"/>
                <w14:textFill>
                  <w14:solidFill>
                    <w14:schemeClr w14:val="tx1"/>
                  </w14:solidFill>
                </w14:textFill>
              </w:rPr>
            </w:pPr>
          </w:p>
        </w:tc>
        <w:tc>
          <w:tcPr>
            <w:tcW w:w="482" w:type="pct"/>
            <w:vAlign w:val="center"/>
          </w:tcPr>
          <w:p w14:paraId="6B3EAC0E">
            <w:pPr>
              <w:jc w:val="center"/>
              <w:rPr>
                <w:color w:val="000000" w:themeColor="text1"/>
                <w:sz w:val="18"/>
                <w:szCs w:val="18"/>
                <w:highlight w:val="none"/>
                <w14:textFill>
                  <w14:solidFill>
                    <w14:schemeClr w14:val="tx1"/>
                  </w14:solidFill>
                </w14:textFill>
              </w:rPr>
            </w:pPr>
          </w:p>
        </w:tc>
        <w:tc>
          <w:tcPr>
            <w:tcW w:w="809" w:type="pct"/>
            <w:vAlign w:val="center"/>
          </w:tcPr>
          <w:p w14:paraId="5E5B845A">
            <w:pPr>
              <w:jc w:val="center"/>
              <w:rPr>
                <w:color w:val="000000" w:themeColor="text1"/>
                <w:sz w:val="18"/>
                <w:szCs w:val="18"/>
                <w:highlight w:val="none"/>
                <w14:textFill>
                  <w14:solidFill>
                    <w14:schemeClr w14:val="tx1"/>
                  </w14:solidFill>
                </w14:textFill>
              </w:rPr>
            </w:pPr>
          </w:p>
        </w:tc>
        <w:tc>
          <w:tcPr>
            <w:tcW w:w="641" w:type="pct"/>
            <w:vAlign w:val="center"/>
          </w:tcPr>
          <w:p w14:paraId="77F166DB">
            <w:pPr>
              <w:jc w:val="center"/>
              <w:rPr>
                <w:color w:val="000000" w:themeColor="text1"/>
                <w:sz w:val="18"/>
                <w:szCs w:val="18"/>
                <w:highlight w:val="none"/>
                <w14:textFill>
                  <w14:solidFill>
                    <w14:schemeClr w14:val="tx1"/>
                  </w14:solidFill>
                </w14:textFill>
              </w:rPr>
            </w:pPr>
          </w:p>
        </w:tc>
        <w:tc>
          <w:tcPr>
            <w:tcW w:w="724" w:type="pct"/>
            <w:vAlign w:val="center"/>
          </w:tcPr>
          <w:p w14:paraId="0303CA8F">
            <w:pPr>
              <w:jc w:val="center"/>
              <w:rPr>
                <w:color w:val="000000" w:themeColor="text1"/>
                <w:sz w:val="18"/>
                <w:szCs w:val="18"/>
                <w:highlight w:val="none"/>
                <w14:textFill>
                  <w14:solidFill>
                    <w14:schemeClr w14:val="tx1"/>
                  </w14:solidFill>
                </w14:textFill>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color w:val="000000" w:themeColor="text1"/>
                <w:sz w:val="18"/>
                <w:szCs w:val="18"/>
                <w:highlight w:val="none"/>
                <w14:textFill>
                  <w14:solidFill>
                    <w14:schemeClr w14:val="tx1"/>
                  </w14:solidFill>
                </w14:textFill>
              </w:rPr>
            </w:pPr>
          </w:p>
        </w:tc>
        <w:tc>
          <w:tcPr>
            <w:tcW w:w="728" w:type="pct"/>
            <w:vAlign w:val="center"/>
          </w:tcPr>
          <w:p w14:paraId="586D6007">
            <w:pPr>
              <w:jc w:val="center"/>
              <w:rPr>
                <w:color w:val="000000" w:themeColor="text1"/>
                <w:sz w:val="18"/>
                <w:szCs w:val="18"/>
                <w:highlight w:val="none"/>
                <w14:textFill>
                  <w14:solidFill>
                    <w14:schemeClr w14:val="tx1"/>
                  </w14:solidFill>
                </w14:textFill>
              </w:rPr>
            </w:pPr>
          </w:p>
        </w:tc>
        <w:tc>
          <w:tcPr>
            <w:tcW w:w="597" w:type="pct"/>
            <w:vAlign w:val="center"/>
          </w:tcPr>
          <w:p w14:paraId="7709D4C4">
            <w:pPr>
              <w:jc w:val="center"/>
              <w:rPr>
                <w:color w:val="000000" w:themeColor="text1"/>
                <w:sz w:val="18"/>
                <w:szCs w:val="18"/>
                <w:highlight w:val="none"/>
                <w14:textFill>
                  <w14:solidFill>
                    <w14:schemeClr w14:val="tx1"/>
                  </w14:solidFill>
                </w14:textFill>
              </w:rPr>
            </w:pPr>
          </w:p>
        </w:tc>
        <w:tc>
          <w:tcPr>
            <w:tcW w:w="668" w:type="pct"/>
            <w:vAlign w:val="center"/>
          </w:tcPr>
          <w:p w14:paraId="4F345671">
            <w:pPr>
              <w:jc w:val="center"/>
              <w:rPr>
                <w:color w:val="000000" w:themeColor="text1"/>
                <w:sz w:val="18"/>
                <w:szCs w:val="18"/>
                <w:highlight w:val="none"/>
                <w14:textFill>
                  <w14:solidFill>
                    <w14:schemeClr w14:val="tx1"/>
                  </w14:solidFill>
                </w14:textFill>
              </w:rPr>
            </w:pPr>
          </w:p>
        </w:tc>
        <w:tc>
          <w:tcPr>
            <w:tcW w:w="482" w:type="pct"/>
            <w:vAlign w:val="center"/>
          </w:tcPr>
          <w:p w14:paraId="25E514FA">
            <w:pPr>
              <w:jc w:val="center"/>
              <w:rPr>
                <w:color w:val="000000" w:themeColor="text1"/>
                <w:sz w:val="18"/>
                <w:szCs w:val="18"/>
                <w:highlight w:val="none"/>
                <w14:textFill>
                  <w14:solidFill>
                    <w14:schemeClr w14:val="tx1"/>
                  </w14:solidFill>
                </w14:textFill>
              </w:rPr>
            </w:pPr>
          </w:p>
        </w:tc>
        <w:tc>
          <w:tcPr>
            <w:tcW w:w="809" w:type="pct"/>
            <w:vAlign w:val="center"/>
          </w:tcPr>
          <w:p w14:paraId="6062922F">
            <w:pPr>
              <w:jc w:val="center"/>
              <w:rPr>
                <w:color w:val="000000" w:themeColor="text1"/>
                <w:sz w:val="18"/>
                <w:szCs w:val="18"/>
                <w:highlight w:val="none"/>
                <w14:textFill>
                  <w14:solidFill>
                    <w14:schemeClr w14:val="tx1"/>
                  </w14:solidFill>
                </w14:textFill>
              </w:rPr>
            </w:pPr>
          </w:p>
        </w:tc>
        <w:tc>
          <w:tcPr>
            <w:tcW w:w="641" w:type="pct"/>
            <w:vAlign w:val="center"/>
          </w:tcPr>
          <w:p w14:paraId="408F0D56">
            <w:pPr>
              <w:jc w:val="center"/>
              <w:rPr>
                <w:color w:val="000000" w:themeColor="text1"/>
                <w:sz w:val="18"/>
                <w:szCs w:val="18"/>
                <w:highlight w:val="none"/>
                <w14:textFill>
                  <w14:solidFill>
                    <w14:schemeClr w14:val="tx1"/>
                  </w14:solidFill>
                </w14:textFill>
              </w:rPr>
            </w:pPr>
          </w:p>
        </w:tc>
        <w:tc>
          <w:tcPr>
            <w:tcW w:w="724" w:type="pct"/>
            <w:vAlign w:val="center"/>
          </w:tcPr>
          <w:p w14:paraId="4AFF642C">
            <w:pPr>
              <w:jc w:val="center"/>
              <w:rPr>
                <w:color w:val="000000" w:themeColor="text1"/>
                <w:sz w:val="18"/>
                <w:szCs w:val="18"/>
                <w:highlight w:val="none"/>
                <w14:textFill>
                  <w14:solidFill>
                    <w14:schemeClr w14:val="tx1"/>
                  </w14:solidFill>
                </w14:textFill>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color w:val="000000" w:themeColor="text1"/>
                <w:sz w:val="18"/>
                <w:szCs w:val="18"/>
                <w:highlight w:val="none"/>
                <w14:textFill>
                  <w14:solidFill>
                    <w14:schemeClr w14:val="tx1"/>
                  </w14:solidFill>
                </w14:textFill>
              </w:rPr>
            </w:pPr>
          </w:p>
        </w:tc>
        <w:tc>
          <w:tcPr>
            <w:tcW w:w="728" w:type="pct"/>
            <w:vAlign w:val="center"/>
          </w:tcPr>
          <w:p w14:paraId="1C7B118D">
            <w:pPr>
              <w:jc w:val="center"/>
              <w:rPr>
                <w:color w:val="000000" w:themeColor="text1"/>
                <w:sz w:val="18"/>
                <w:szCs w:val="18"/>
                <w:highlight w:val="none"/>
                <w14:textFill>
                  <w14:solidFill>
                    <w14:schemeClr w14:val="tx1"/>
                  </w14:solidFill>
                </w14:textFill>
              </w:rPr>
            </w:pPr>
          </w:p>
        </w:tc>
        <w:tc>
          <w:tcPr>
            <w:tcW w:w="597" w:type="pct"/>
            <w:vAlign w:val="center"/>
          </w:tcPr>
          <w:p w14:paraId="385D17A7">
            <w:pPr>
              <w:jc w:val="center"/>
              <w:rPr>
                <w:color w:val="000000" w:themeColor="text1"/>
                <w:sz w:val="18"/>
                <w:szCs w:val="18"/>
                <w:highlight w:val="none"/>
                <w14:textFill>
                  <w14:solidFill>
                    <w14:schemeClr w14:val="tx1"/>
                  </w14:solidFill>
                </w14:textFill>
              </w:rPr>
            </w:pPr>
          </w:p>
        </w:tc>
        <w:tc>
          <w:tcPr>
            <w:tcW w:w="668" w:type="pct"/>
            <w:vAlign w:val="center"/>
          </w:tcPr>
          <w:p w14:paraId="66613BCE">
            <w:pPr>
              <w:jc w:val="center"/>
              <w:rPr>
                <w:color w:val="000000" w:themeColor="text1"/>
                <w:sz w:val="18"/>
                <w:szCs w:val="18"/>
                <w:highlight w:val="none"/>
                <w14:textFill>
                  <w14:solidFill>
                    <w14:schemeClr w14:val="tx1"/>
                  </w14:solidFill>
                </w14:textFill>
              </w:rPr>
            </w:pPr>
          </w:p>
        </w:tc>
        <w:tc>
          <w:tcPr>
            <w:tcW w:w="482" w:type="pct"/>
            <w:vAlign w:val="center"/>
          </w:tcPr>
          <w:p w14:paraId="3B403B62">
            <w:pPr>
              <w:jc w:val="center"/>
              <w:rPr>
                <w:color w:val="000000" w:themeColor="text1"/>
                <w:sz w:val="18"/>
                <w:szCs w:val="18"/>
                <w:highlight w:val="none"/>
                <w14:textFill>
                  <w14:solidFill>
                    <w14:schemeClr w14:val="tx1"/>
                  </w14:solidFill>
                </w14:textFill>
              </w:rPr>
            </w:pPr>
          </w:p>
        </w:tc>
        <w:tc>
          <w:tcPr>
            <w:tcW w:w="809" w:type="pct"/>
            <w:vAlign w:val="center"/>
          </w:tcPr>
          <w:p w14:paraId="2A32E782">
            <w:pPr>
              <w:jc w:val="center"/>
              <w:rPr>
                <w:color w:val="000000" w:themeColor="text1"/>
                <w:sz w:val="18"/>
                <w:szCs w:val="18"/>
                <w:highlight w:val="none"/>
                <w14:textFill>
                  <w14:solidFill>
                    <w14:schemeClr w14:val="tx1"/>
                  </w14:solidFill>
                </w14:textFill>
              </w:rPr>
            </w:pPr>
          </w:p>
        </w:tc>
        <w:tc>
          <w:tcPr>
            <w:tcW w:w="641" w:type="pct"/>
            <w:vAlign w:val="center"/>
          </w:tcPr>
          <w:p w14:paraId="7DE835F2">
            <w:pPr>
              <w:jc w:val="center"/>
              <w:rPr>
                <w:color w:val="000000" w:themeColor="text1"/>
                <w:sz w:val="18"/>
                <w:szCs w:val="18"/>
                <w:highlight w:val="none"/>
                <w14:textFill>
                  <w14:solidFill>
                    <w14:schemeClr w14:val="tx1"/>
                  </w14:solidFill>
                </w14:textFill>
              </w:rPr>
            </w:pPr>
          </w:p>
        </w:tc>
        <w:tc>
          <w:tcPr>
            <w:tcW w:w="724" w:type="pct"/>
            <w:vAlign w:val="center"/>
          </w:tcPr>
          <w:p w14:paraId="506A8F4E">
            <w:pPr>
              <w:jc w:val="center"/>
              <w:rPr>
                <w:color w:val="000000" w:themeColor="text1"/>
                <w:sz w:val="18"/>
                <w:szCs w:val="18"/>
                <w:highlight w:val="none"/>
                <w14:textFill>
                  <w14:solidFill>
                    <w14:schemeClr w14:val="tx1"/>
                  </w14:solidFill>
                </w14:textFill>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color w:val="000000" w:themeColor="text1"/>
                <w:sz w:val="18"/>
                <w:szCs w:val="18"/>
                <w:highlight w:val="none"/>
                <w14:textFill>
                  <w14:solidFill>
                    <w14:schemeClr w14:val="tx1"/>
                  </w14:solidFill>
                </w14:textFill>
              </w:rPr>
            </w:pPr>
          </w:p>
        </w:tc>
        <w:tc>
          <w:tcPr>
            <w:tcW w:w="728" w:type="pct"/>
            <w:vAlign w:val="center"/>
          </w:tcPr>
          <w:p w14:paraId="6ECC4AA7">
            <w:pPr>
              <w:jc w:val="center"/>
              <w:rPr>
                <w:color w:val="000000" w:themeColor="text1"/>
                <w:sz w:val="18"/>
                <w:szCs w:val="18"/>
                <w:highlight w:val="none"/>
                <w14:textFill>
                  <w14:solidFill>
                    <w14:schemeClr w14:val="tx1"/>
                  </w14:solidFill>
                </w14:textFill>
              </w:rPr>
            </w:pPr>
          </w:p>
        </w:tc>
        <w:tc>
          <w:tcPr>
            <w:tcW w:w="597" w:type="pct"/>
            <w:vAlign w:val="center"/>
          </w:tcPr>
          <w:p w14:paraId="2E58C894">
            <w:pPr>
              <w:jc w:val="center"/>
              <w:rPr>
                <w:color w:val="000000" w:themeColor="text1"/>
                <w:sz w:val="18"/>
                <w:szCs w:val="18"/>
                <w:highlight w:val="none"/>
                <w14:textFill>
                  <w14:solidFill>
                    <w14:schemeClr w14:val="tx1"/>
                  </w14:solidFill>
                </w14:textFill>
              </w:rPr>
            </w:pPr>
          </w:p>
        </w:tc>
        <w:tc>
          <w:tcPr>
            <w:tcW w:w="668" w:type="pct"/>
            <w:vAlign w:val="center"/>
          </w:tcPr>
          <w:p w14:paraId="1F139C6D">
            <w:pPr>
              <w:jc w:val="center"/>
              <w:rPr>
                <w:color w:val="000000" w:themeColor="text1"/>
                <w:sz w:val="18"/>
                <w:szCs w:val="18"/>
                <w:highlight w:val="none"/>
                <w14:textFill>
                  <w14:solidFill>
                    <w14:schemeClr w14:val="tx1"/>
                  </w14:solidFill>
                </w14:textFill>
              </w:rPr>
            </w:pPr>
          </w:p>
        </w:tc>
        <w:tc>
          <w:tcPr>
            <w:tcW w:w="482" w:type="pct"/>
            <w:vAlign w:val="center"/>
          </w:tcPr>
          <w:p w14:paraId="4E64C016">
            <w:pPr>
              <w:jc w:val="center"/>
              <w:rPr>
                <w:color w:val="000000" w:themeColor="text1"/>
                <w:sz w:val="18"/>
                <w:szCs w:val="18"/>
                <w:highlight w:val="none"/>
                <w14:textFill>
                  <w14:solidFill>
                    <w14:schemeClr w14:val="tx1"/>
                  </w14:solidFill>
                </w14:textFill>
              </w:rPr>
            </w:pPr>
          </w:p>
        </w:tc>
        <w:tc>
          <w:tcPr>
            <w:tcW w:w="809" w:type="pct"/>
            <w:vAlign w:val="center"/>
          </w:tcPr>
          <w:p w14:paraId="0A29F891">
            <w:pPr>
              <w:jc w:val="center"/>
              <w:rPr>
                <w:color w:val="000000" w:themeColor="text1"/>
                <w:sz w:val="18"/>
                <w:szCs w:val="18"/>
                <w:highlight w:val="none"/>
                <w14:textFill>
                  <w14:solidFill>
                    <w14:schemeClr w14:val="tx1"/>
                  </w14:solidFill>
                </w14:textFill>
              </w:rPr>
            </w:pPr>
          </w:p>
        </w:tc>
        <w:tc>
          <w:tcPr>
            <w:tcW w:w="641" w:type="pct"/>
            <w:vAlign w:val="center"/>
          </w:tcPr>
          <w:p w14:paraId="07318DB9">
            <w:pPr>
              <w:jc w:val="center"/>
              <w:rPr>
                <w:color w:val="000000" w:themeColor="text1"/>
                <w:sz w:val="18"/>
                <w:szCs w:val="18"/>
                <w:highlight w:val="none"/>
                <w14:textFill>
                  <w14:solidFill>
                    <w14:schemeClr w14:val="tx1"/>
                  </w14:solidFill>
                </w14:textFill>
              </w:rPr>
            </w:pPr>
          </w:p>
        </w:tc>
        <w:tc>
          <w:tcPr>
            <w:tcW w:w="724" w:type="pct"/>
            <w:vAlign w:val="center"/>
          </w:tcPr>
          <w:p w14:paraId="1316AAC8">
            <w:pPr>
              <w:jc w:val="center"/>
              <w:rPr>
                <w:color w:val="000000" w:themeColor="text1"/>
                <w:sz w:val="18"/>
                <w:szCs w:val="18"/>
                <w:highlight w:val="none"/>
                <w14:textFill>
                  <w14:solidFill>
                    <w14:schemeClr w14:val="tx1"/>
                  </w14:solidFill>
                </w14:textFill>
              </w:rPr>
            </w:pPr>
          </w:p>
        </w:tc>
      </w:tr>
    </w:tbl>
    <w:p w14:paraId="5E33F6D7">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注：主要人员指项目负责人、技术、生产、商务、质量、安全、物资、设备等负责人。</w:t>
      </w:r>
    </w:p>
    <w:p w14:paraId="0A917DCF">
      <w:pPr>
        <w:spacing w:line="360" w:lineRule="auto"/>
        <w:rPr>
          <w:color w:val="000000" w:themeColor="text1"/>
          <w:szCs w:val="21"/>
          <w:highlight w:val="none"/>
          <w14:textFill>
            <w14:solidFill>
              <w14:schemeClr w14:val="tx1"/>
            </w14:solidFill>
          </w14:textFill>
        </w:rPr>
      </w:pPr>
    </w:p>
    <w:p w14:paraId="0A9430AA">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721BA1A7">
      <w:pPr>
        <w:spacing w:line="360" w:lineRule="auto"/>
        <w:rPr>
          <w:color w:val="000000" w:themeColor="text1"/>
          <w:szCs w:val="21"/>
          <w:highlight w:val="none"/>
          <w14:textFill>
            <w14:solidFill>
              <w14:schemeClr w14:val="tx1"/>
            </w14:solidFill>
          </w14:textFill>
        </w:rPr>
      </w:pPr>
    </w:p>
    <w:p w14:paraId="291570D7">
      <w:pPr>
        <w:spacing w:line="360" w:lineRule="auto"/>
        <w:rPr>
          <w:color w:val="000000" w:themeColor="text1"/>
          <w:szCs w:val="21"/>
          <w:highlight w:val="none"/>
          <w14:textFill>
            <w14:solidFill>
              <w14:schemeClr w14:val="tx1"/>
            </w14:solidFill>
          </w14:textFill>
        </w:rPr>
      </w:pPr>
    </w:p>
    <w:p w14:paraId="7AF9EA21">
      <w:pPr>
        <w:spacing w:line="360" w:lineRule="auto"/>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9</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拟投入本合同工程主要人员简历表</w:t>
      </w:r>
    </w:p>
    <w:p w14:paraId="3FFADD58">
      <w:pPr>
        <w:jc w:val="center"/>
        <w:rPr>
          <w:b/>
          <w:bCs/>
          <w:color w:val="000000" w:themeColor="text1"/>
          <w:sz w:val="28"/>
          <w:szCs w:val="28"/>
          <w:highlight w:val="none"/>
          <w14:textFill>
            <w14:solidFill>
              <w14:schemeClr w14:val="tx1"/>
            </w14:solidFill>
          </w14:textFill>
        </w:rPr>
      </w:pPr>
      <w:r>
        <w:rPr>
          <w:b/>
          <w:bCs/>
          <w:color w:val="000000" w:themeColor="text1"/>
          <w:sz w:val="28"/>
          <w:szCs w:val="28"/>
          <w:highlight w:val="none"/>
          <w14:textFill>
            <w14:solidFill>
              <w14:schemeClr w14:val="tx1"/>
            </w14:solidFill>
          </w14:textFill>
        </w:rPr>
        <w:t>拟投入本合同工程主要人员简历表</w:t>
      </w:r>
    </w:p>
    <w:p w14:paraId="160A513D">
      <w:pPr>
        <w:rPr>
          <w:color w:val="000000" w:themeColor="text1"/>
          <w:highlight w:val="none"/>
          <w14:textFill>
            <w14:solidFill>
              <w14:schemeClr w14:val="tx1"/>
            </w14:solidFill>
          </w14:textFill>
        </w:rPr>
      </w:pPr>
    </w:p>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姓名</w:t>
            </w:r>
          </w:p>
        </w:tc>
        <w:tc>
          <w:tcPr>
            <w:tcW w:w="1525" w:type="dxa"/>
            <w:gridSpan w:val="3"/>
            <w:vAlign w:val="center"/>
          </w:tcPr>
          <w:p w14:paraId="0ABCB4B3">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074" w:type="dxa"/>
            <w:gridSpan w:val="2"/>
            <w:vAlign w:val="center"/>
          </w:tcPr>
          <w:p w14:paraId="046CFD6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年龄</w:t>
            </w:r>
          </w:p>
        </w:tc>
        <w:tc>
          <w:tcPr>
            <w:tcW w:w="1399" w:type="dxa"/>
          </w:tcPr>
          <w:p w14:paraId="644187F1">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05" w:type="dxa"/>
            <w:gridSpan w:val="2"/>
          </w:tcPr>
          <w:p w14:paraId="4109259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专业</w:t>
            </w:r>
          </w:p>
        </w:tc>
        <w:tc>
          <w:tcPr>
            <w:tcW w:w="1691" w:type="dxa"/>
            <w:gridSpan w:val="2"/>
          </w:tcPr>
          <w:p w14:paraId="16F48B38">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职称</w:t>
            </w:r>
          </w:p>
        </w:tc>
        <w:tc>
          <w:tcPr>
            <w:tcW w:w="1525" w:type="dxa"/>
            <w:gridSpan w:val="3"/>
            <w:vAlign w:val="center"/>
          </w:tcPr>
          <w:p w14:paraId="6270E5C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074" w:type="dxa"/>
            <w:gridSpan w:val="2"/>
            <w:vAlign w:val="center"/>
          </w:tcPr>
          <w:p w14:paraId="202B719D">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公司单位职务</w:t>
            </w:r>
          </w:p>
        </w:tc>
        <w:tc>
          <w:tcPr>
            <w:tcW w:w="1399" w:type="dxa"/>
          </w:tcPr>
          <w:p w14:paraId="3DB24C9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05" w:type="dxa"/>
            <w:gridSpan w:val="2"/>
          </w:tcPr>
          <w:p w14:paraId="7C31B57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拟在本</w:t>
            </w:r>
          </w:p>
          <w:p w14:paraId="1A0B8A4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工程担任职务</w:t>
            </w:r>
          </w:p>
        </w:tc>
        <w:tc>
          <w:tcPr>
            <w:tcW w:w="1691" w:type="dxa"/>
            <w:gridSpan w:val="2"/>
          </w:tcPr>
          <w:p w14:paraId="47C54706">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____年～_____年</w:t>
            </w:r>
          </w:p>
        </w:tc>
        <w:tc>
          <w:tcPr>
            <w:tcW w:w="4288" w:type="dxa"/>
            <w:gridSpan w:val="5"/>
            <w:vAlign w:val="center"/>
          </w:tcPr>
          <w:p w14:paraId="7E6A4BEE">
            <w:pPr>
              <w:pStyle w:val="84"/>
              <w:widowControl/>
              <w:wordWrap w:val="0"/>
              <w:adjustRightInd/>
              <w:snapToGrid/>
              <w:spacing w:line="380" w:lineRule="exact"/>
              <w:textAlignment w:val="bottom"/>
              <w:rPr>
                <w:color w:val="000000" w:themeColor="text1"/>
                <w:spacing w:val="0"/>
                <w:kern w:val="2"/>
                <w:szCs w:val="21"/>
                <w:highlight w:val="none"/>
                <w14:textFill>
                  <w14:solidFill>
                    <w14:schemeClr w14:val="tx1"/>
                  </w14:solidFill>
                </w14:textFill>
              </w:rPr>
            </w:pPr>
            <w:r>
              <w:rPr>
                <w:color w:val="000000" w:themeColor="text1"/>
                <w:spacing w:val="0"/>
                <w:kern w:val="2"/>
                <w:szCs w:val="21"/>
                <w:highlight w:val="none"/>
                <w14:textFill>
                  <w14:solidFill>
                    <w14:schemeClr w14:val="tx1"/>
                  </w14:solidFill>
                </w14:textFill>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color w:val="000000" w:themeColor="text1"/>
                <w:spacing w:val="0"/>
                <w:kern w:val="2"/>
                <w:szCs w:val="21"/>
                <w:highlight w:val="none"/>
                <w14:textFill>
                  <w14:solidFill>
                    <w14:schemeClr w14:val="tx1"/>
                  </w14:solidFill>
                </w14:textFill>
              </w:rPr>
            </w:pPr>
            <w:r>
              <w:rPr>
                <w:color w:val="000000" w:themeColor="text1"/>
                <w:spacing w:val="0"/>
                <w:kern w:val="2"/>
                <w:szCs w:val="21"/>
                <w:highlight w:val="none"/>
                <w14:textFill>
                  <w14:solidFill>
                    <w14:schemeClr w14:val="tx1"/>
                  </w14:solidFill>
                </w14:textFill>
              </w:rPr>
              <w:t>担任何职</w:t>
            </w:r>
          </w:p>
        </w:tc>
        <w:tc>
          <w:tcPr>
            <w:tcW w:w="1300" w:type="dxa"/>
            <w:vAlign w:val="center"/>
          </w:tcPr>
          <w:p w14:paraId="623AAF3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7726B670">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331EBB0">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4D2B824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49F9B2A8">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0B47B778">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5956214D">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68AF763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E57774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6C886B7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032B1AA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7A9C8A4">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378304D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6538FE4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568119C1">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31C5E106">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获奖情况</w:t>
            </w:r>
          </w:p>
        </w:tc>
        <w:tc>
          <w:tcPr>
            <w:tcW w:w="5230" w:type="dxa"/>
            <w:gridSpan w:val="6"/>
          </w:tcPr>
          <w:p w14:paraId="545A82CA">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项目名称</w:t>
            </w:r>
          </w:p>
        </w:tc>
        <w:tc>
          <w:tcPr>
            <w:tcW w:w="5230" w:type="dxa"/>
            <w:gridSpan w:val="6"/>
            <w:vAlign w:val="center"/>
          </w:tcPr>
          <w:p w14:paraId="33C76F8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2337" w:type="dxa"/>
            <w:gridSpan w:val="3"/>
            <w:vAlign w:val="center"/>
          </w:tcPr>
          <w:p w14:paraId="206F9531">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担任职位</w:t>
            </w:r>
          </w:p>
        </w:tc>
        <w:tc>
          <w:tcPr>
            <w:tcW w:w="5230" w:type="dxa"/>
            <w:gridSpan w:val="6"/>
            <w:vAlign w:val="center"/>
          </w:tcPr>
          <w:p w14:paraId="73BB4E8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2337" w:type="dxa"/>
            <w:gridSpan w:val="3"/>
            <w:vAlign w:val="center"/>
          </w:tcPr>
          <w:p w14:paraId="092F9D9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备注</w:t>
            </w:r>
          </w:p>
        </w:tc>
        <w:tc>
          <w:tcPr>
            <w:tcW w:w="5230" w:type="dxa"/>
            <w:gridSpan w:val="6"/>
          </w:tcPr>
          <w:p w14:paraId="6B779B5D">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p w14:paraId="66903A0A">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bl>
    <w:p w14:paraId="5D355D9B">
      <w:pPr>
        <w:spacing w:line="360" w:lineRule="auto"/>
        <w:rPr>
          <w:color w:val="000000" w:themeColor="text1"/>
          <w:szCs w:val="21"/>
          <w:highlight w:val="none"/>
          <w14:textFill>
            <w14:solidFill>
              <w14:schemeClr w14:val="tx1"/>
            </w14:solidFill>
          </w14:textFill>
        </w:rPr>
      </w:pPr>
    </w:p>
    <w:p w14:paraId="6354DB0C">
      <w:pPr>
        <w:spacing w:line="440" w:lineRule="exact"/>
        <w:ind w:right="-40" w:rightChars="-19" w:firstLine="420" w:firstLineChars="200"/>
        <w:rPr>
          <w:rFonts w:hint="eastAsia"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w:t>
      </w:r>
      <w:r>
        <w:rPr>
          <w:rFonts w:hint="eastAsia" w:ascii="宋体" w:hAnsi="宋体"/>
          <w:color w:val="000000" w:themeColor="text1"/>
          <w:szCs w:val="21"/>
          <w:highlight w:val="none"/>
          <w14:textFill>
            <w14:solidFill>
              <w14:schemeClr w14:val="tx1"/>
            </w14:solidFill>
          </w14:textFill>
        </w:rPr>
        <w:t>本表后应附拟投入本工程人员的身份证、职称资格证书、等其他相关证书的复印件。</w:t>
      </w:r>
    </w:p>
    <w:p w14:paraId="49645019">
      <w:pPr>
        <w:spacing w:line="360" w:lineRule="auto"/>
        <w:rPr>
          <w:color w:val="000000" w:themeColor="text1"/>
          <w:szCs w:val="21"/>
          <w:highlight w:val="none"/>
          <w14:textFill>
            <w14:solidFill>
              <w14:schemeClr w14:val="tx1"/>
            </w14:solidFill>
          </w14:textFill>
        </w:rPr>
      </w:pPr>
    </w:p>
    <w:p w14:paraId="2861A8C6">
      <w:pPr>
        <w:spacing w:line="360" w:lineRule="auto"/>
        <w:rPr>
          <w:color w:val="000000" w:themeColor="text1"/>
          <w:szCs w:val="21"/>
          <w:highlight w:val="none"/>
          <w14:textFill>
            <w14:solidFill>
              <w14:schemeClr w14:val="tx1"/>
            </w14:solidFill>
          </w14:textFill>
        </w:rPr>
      </w:pPr>
    </w:p>
    <w:p w14:paraId="2A975574">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0  近5年</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内</w:t>
      </w:r>
      <w:r>
        <w:rPr>
          <w:rStyle w:val="46"/>
          <w:rFonts w:ascii="Times New Roman" w:hAnsi="Times New Roman" w:eastAsia="宋体" w:cs="Times New Roman"/>
          <w:b/>
          <w:bCs w:val="0"/>
          <w:color w:val="000000" w:themeColor="text1"/>
          <w:szCs w:val="24"/>
          <w:highlight w:val="none"/>
          <w14:textFill>
            <w14:solidFill>
              <w14:schemeClr w14:val="tx1"/>
            </w14:solidFill>
          </w14:textFill>
        </w:rPr>
        <w:t>类似工程情况一览表</w:t>
      </w:r>
    </w:p>
    <w:p w14:paraId="2FF947CE">
      <w:pPr>
        <w:spacing w:line="360" w:lineRule="auto"/>
        <w:jc w:val="center"/>
        <w:rPr>
          <w:color w:val="000000" w:themeColor="text1"/>
          <w:highlight w:val="none"/>
          <w14:textFill>
            <w14:solidFill>
              <w14:schemeClr w14:val="tx1"/>
            </w14:solidFill>
          </w14:textFill>
        </w:rPr>
      </w:pPr>
    </w:p>
    <w:p w14:paraId="09447CC9">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近5年</w:t>
      </w:r>
      <w:r>
        <w:rPr>
          <w:rFonts w:hint="eastAsia"/>
          <w:b/>
          <w:color w:val="000000" w:themeColor="text1"/>
          <w:sz w:val="28"/>
          <w:szCs w:val="28"/>
          <w:highlight w:val="none"/>
          <w14:textFill>
            <w14:solidFill>
              <w14:schemeClr w14:val="tx1"/>
            </w14:solidFill>
          </w14:textFill>
        </w:rPr>
        <w:t>内</w:t>
      </w:r>
      <w:r>
        <w:rPr>
          <w:b/>
          <w:color w:val="000000" w:themeColor="text1"/>
          <w:sz w:val="28"/>
          <w:szCs w:val="28"/>
          <w:highlight w:val="none"/>
          <w14:textFill>
            <w14:solidFill>
              <w14:schemeClr w14:val="tx1"/>
            </w14:solidFill>
          </w14:textFill>
        </w:rPr>
        <w:t>类似工程情况一览表</w:t>
      </w:r>
    </w:p>
    <w:p w14:paraId="2373E16B">
      <w:pPr>
        <w:adjustRightInd w:val="0"/>
        <w:spacing w:line="360" w:lineRule="auto"/>
        <w:rPr>
          <w:color w:val="000000" w:themeColor="text1"/>
          <w:sz w:val="32"/>
          <w:szCs w:val="32"/>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工程名称</w:t>
            </w:r>
          </w:p>
          <w:p w14:paraId="7F8D2352">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指标</w:t>
            </w:r>
          </w:p>
        </w:tc>
        <w:tc>
          <w:tcPr>
            <w:tcW w:w="1390" w:type="dxa"/>
            <w:vAlign w:val="center"/>
          </w:tcPr>
          <w:p w14:paraId="649103FD">
            <w:pPr>
              <w:jc w:val="center"/>
              <w:rPr>
                <w:color w:val="000000" w:themeColor="text1"/>
                <w:szCs w:val="21"/>
                <w:highlight w:val="none"/>
                <w14:textFill>
                  <w14:solidFill>
                    <w14:schemeClr w14:val="tx1"/>
                  </w14:solidFill>
                </w14:textFill>
              </w:rPr>
            </w:pPr>
          </w:p>
        </w:tc>
        <w:tc>
          <w:tcPr>
            <w:tcW w:w="1391" w:type="dxa"/>
            <w:vAlign w:val="center"/>
          </w:tcPr>
          <w:p w14:paraId="2A52DCD9">
            <w:pPr>
              <w:jc w:val="center"/>
              <w:rPr>
                <w:color w:val="000000" w:themeColor="text1"/>
                <w:szCs w:val="21"/>
                <w:highlight w:val="none"/>
                <w14:textFill>
                  <w14:solidFill>
                    <w14:schemeClr w14:val="tx1"/>
                  </w14:solidFill>
                </w14:textFill>
              </w:rPr>
            </w:pPr>
          </w:p>
        </w:tc>
        <w:tc>
          <w:tcPr>
            <w:tcW w:w="1390" w:type="dxa"/>
            <w:vAlign w:val="center"/>
          </w:tcPr>
          <w:p w14:paraId="47EF45CD">
            <w:pPr>
              <w:jc w:val="center"/>
              <w:rPr>
                <w:color w:val="000000" w:themeColor="text1"/>
                <w:szCs w:val="21"/>
                <w:highlight w:val="none"/>
                <w14:textFill>
                  <w14:solidFill>
                    <w14:schemeClr w14:val="tx1"/>
                  </w14:solidFill>
                </w14:textFill>
              </w:rPr>
            </w:pPr>
          </w:p>
        </w:tc>
        <w:tc>
          <w:tcPr>
            <w:tcW w:w="1391" w:type="dxa"/>
            <w:vAlign w:val="center"/>
          </w:tcPr>
          <w:p w14:paraId="4155A290">
            <w:pPr>
              <w:jc w:val="center"/>
              <w:rPr>
                <w:color w:val="000000" w:themeColor="text1"/>
                <w:szCs w:val="21"/>
                <w:highlight w:val="none"/>
                <w14:textFill>
                  <w14:solidFill>
                    <w14:schemeClr w14:val="tx1"/>
                  </w14:solidFill>
                </w14:textFill>
              </w:rPr>
            </w:pPr>
          </w:p>
        </w:tc>
        <w:tc>
          <w:tcPr>
            <w:tcW w:w="1391" w:type="dxa"/>
            <w:vAlign w:val="center"/>
          </w:tcPr>
          <w:p w14:paraId="0D4A4708">
            <w:pPr>
              <w:jc w:val="center"/>
              <w:rPr>
                <w:color w:val="000000" w:themeColor="text1"/>
                <w:szCs w:val="21"/>
                <w:highlight w:val="none"/>
                <w14:textFill>
                  <w14:solidFill>
                    <w14:schemeClr w14:val="tx1"/>
                  </w14:solidFill>
                </w14:textFill>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 同 段</w:t>
            </w:r>
          </w:p>
        </w:tc>
        <w:tc>
          <w:tcPr>
            <w:tcW w:w="1390" w:type="dxa"/>
            <w:vAlign w:val="center"/>
          </w:tcPr>
          <w:p w14:paraId="3BAB6979">
            <w:pPr>
              <w:jc w:val="center"/>
              <w:rPr>
                <w:color w:val="000000" w:themeColor="text1"/>
                <w:szCs w:val="21"/>
                <w:highlight w:val="none"/>
                <w14:textFill>
                  <w14:solidFill>
                    <w14:schemeClr w14:val="tx1"/>
                  </w14:solidFill>
                </w14:textFill>
              </w:rPr>
            </w:pPr>
          </w:p>
        </w:tc>
        <w:tc>
          <w:tcPr>
            <w:tcW w:w="1391" w:type="dxa"/>
            <w:vAlign w:val="center"/>
          </w:tcPr>
          <w:p w14:paraId="39FA08BF">
            <w:pPr>
              <w:jc w:val="center"/>
              <w:rPr>
                <w:color w:val="000000" w:themeColor="text1"/>
                <w:szCs w:val="21"/>
                <w:highlight w:val="none"/>
                <w14:textFill>
                  <w14:solidFill>
                    <w14:schemeClr w14:val="tx1"/>
                  </w14:solidFill>
                </w14:textFill>
              </w:rPr>
            </w:pPr>
          </w:p>
        </w:tc>
        <w:tc>
          <w:tcPr>
            <w:tcW w:w="1390" w:type="dxa"/>
            <w:vAlign w:val="center"/>
          </w:tcPr>
          <w:p w14:paraId="482E4D4B">
            <w:pPr>
              <w:jc w:val="center"/>
              <w:rPr>
                <w:color w:val="000000" w:themeColor="text1"/>
                <w:szCs w:val="21"/>
                <w:highlight w:val="none"/>
                <w14:textFill>
                  <w14:solidFill>
                    <w14:schemeClr w14:val="tx1"/>
                  </w14:solidFill>
                </w14:textFill>
              </w:rPr>
            </w:pPr>
          </w:p>
        </w:tc>
        <w:tc>
          <w:tcPr>
            <w:tcW w:w="1391" w:type="dxa"/>
            <w:vAlign w:val="center"/>
          </w:tcPr>
          <w:p w14:paraId="33582225">
            <w:pPr>
              <w:jc w:val="center"/>
              <w:rPr>
                <w:color w:val="000000" w:themeColor="text1"/>
                <w:szCs w:val="21"/>
                <w:highlight w:val="none"/>
                <w14:textFill>
                  <w14:solidFill>
                    <w14:schemeClr w14:val="tx1"/>
                  </w14:solidFill>
                </w14:textFill>
              </w:rPr>
            </w:pPr>
          </w:p>
        </w:tc>
        <w:tc>
          <w:tcPr>
            <w:tcW w:w="1391" w:type="dxa"/>
            <w:vAlign w:val="center"/>
          </w:tcPr>
          <w:p w14:paraId="5722AE7F">
            <w:pPr>
              <w:jc w:val="center"/>
              <w:rPr>
                <w:color w:val="000000" w:themeColor="text1"/>
                <w:szCs w:val="21"/>
                <w:highlight w:val="none"/>
                <w14:textFill>
                  <w14:solidFill>
                    <w14:schemeClr w14:val="tx1"/>
                  </w14:solidFill>
                </w14:textFill>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建设地点</w:t>
            </w:r>
          </w:p>
        </w:tc>
        <w:tc>
          <w:tcPr>
            <w:tcW w:w="1390" w:type="dxa"/>
            <w:vAlign w:val="center"/>
          </w:tcPr>
          <w:p w14:paraId="54DD0A96">
            <w:pPr>
              <w:jc w:val="center"/>
              <w:rPr>
                <w:color w:val="000000" w:themeColor="text1"/>
                <w:szCs w:val="21"/>
                <w:highlight w:val="none"/>
                <w14:textFill>
                  <w14:solidFill>
                    <w14:schemeClr w14:val="tx1"/>
                  </w14:solidFill>
                </w14:textFill>
              </w:rPr>
            </w:pPr>
          </w:p>
        </w:tc>
        <w:tc>
          <w:tcPr>
            <w:tcW w:w="1391" w:type="dxa"/>
            <w:vAlign w:val="center"/>
          </w:tcPr>
          <w:p w14:paraId="3EEBFDD3">
            <w:pPr>
              <w:jc w:val="center"/>
              <w:rPr>
                <w:color w:val="000000" w:themeColor="text1"/>
                <w:szCs w:val="21"/>
                <w:highlight w:val="none"/>
                <w14:textFill>
                  <w14:solidFill>
                    <w14:schemeClr w14:val="tx1"/>
                  </w14:solidFill>
                </w14:textFill>
              </w:rPr>
            </w:pPr>
          </w:p>
        </w:tc>
        <w:tc>
          <w:tcPr>
            <w:tcW w:w="1390" w:type="dxa"/>
            <w:vAlign w:val="center"/>
          </w:tcPr>
          <w:p w14:paraId="7E755F9D">
            <w:pPr>
              <w:jc w:val="center"/>
              <w:rPr>
                <w:color w:val="000000" w:themeColor="text1"/>
                <w:szCs w:val="21"/>
                <w:highlight w:val="none"/>
                <w14:textFill>
                  <w14:solidFill>
                    <w14:schemeClr w14:val="tx1"/>
                  </w14:solidFill>
                </w14:textFill>
              </w:rPr>
            </w:pPr>
          </w:p>
        </w:tc>
        <w:tc>
          <w:tcPr>
            <w:tcW w:w="1391" w:type="dxa"/>
            <w:vAlign w:val="center"/>
          </w:tcPr>
          <w:p w14:paraId="77E213AD">
            <w:pPr>
              <w:jc w:val="center"/>
              <w:rPr>
                <w:color w:val="000000" w:themeColor="text1"/>
                <w:szCs w:val="21"/>
                <w:highlight w:val="none"/>
                <w14:textFill>
                  <w14:solidFill>
                    <w14:schemeClr w14:val="tx1"/>
                  </w14:solidFill>
                </w14:textFill>
              </w:rPr>
            </w:pPr>
          </w:p>
        </w:tc>
        <w:tc>
          <w:tcPr>
            <w:tcW w:w="1391" w:type="dxa"/>
            <w:vAlign w:val="center"/>
          </w:tcPr>
          <w:p w14:paraId="3719C79D">
            <w:pPr>
              <w:jc w:val="center"/>
              <w:rPr>
                <w:color w:val="000000" w:themeColor="text1"/>
                <w:szCs w:val="21"/>
                <w:highlight w:val="none"/>
                <w14:textFill>
                  <w14:solidFill>
                    <w14:schemeClr w14:val="tx1"/>
                  </w14:solidFill>
                </w14:textFill>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工程规模</w:t>
            </w:r>
          </w:p>
        </w:tc>
        <w:tc>
          <w:tcPr>
            <w:tcW w:w="1390" w:type="dxa"/>
            <w:vAlign w:val="center"/>
          </w:tcPr>
          <w:p w14:paraId="44D9F016">
            <w:pPr>
              <w:jc w:val="center"/>
              <w:rPr>
                <w:color w:val="000000" w:themeColor="text1"/>
                <w:szCs w:val="21"/>
                <w:highlight w:val="none"/>
                <w14:textFill>
                  <w14:solidFill>
                    <w14:schemeClr w14:val="tx1"/>
                  </w14:solidFill>
                </w14:textFill>
              </w:rPr>
            </w:pPr>
          </w:p>
        </w:tc>
        <w:tc>
          <w:tcPr>
            <w:tcW w:w="1391" w:type="dxa"/>
            <w:vAlign w:val="center"/>
          </w:tcPr>
          <w:p w14:paraId="77DC5142">
            <w:pPr>
              <w:jc w:val="center"/>
              <w:rPr>
                <w:color w:val="000000" w:themeColor="text1"/>
                <w:szCs w:val="21"/>
                <w:highlight w:val="none"/>
                <w14:textFill>
                  <w14:solidFill>
                    <w14:schemeClr w14:val="tx1"/>
                  </w14:solidFill>
                </w14:textFill>
              </w:rPr>
            </w:pPr>
          </w:p>
        </w:tc>
        <w:tc>
          <w:tcPr>
            <w:tcW w:w="1390" w:type="dxa"/>
            <w:vAlign w:val="center"/>
          </w:tcPr>
          <w:p w14:paraId="5A2645F0">
            <w:pPr>
              <w:jc w:val="center"/>
              <w:rPr>
                <w:color w:val="000000" w:themeColor="text1"/>
                <w:szCs w:val="21"/>
                <w:highlight w:val="none"/>
                <w14:textFill>
                  <w14:solidFill>
                    <w14:schemeClr w14:val="tx1"/>
                  </w14:solidFill>
                </w14:textFill>
              </w:rPr>
            </w:pPr>
          </w:p>
        </w:tc>
        <w:tc>
          <w:tcPr>
            <w:tcW w:w="1391" w:type="dxa"/>
            <w:vAlign w:val="center"/>
          </w:tcPr>
          <w:p w14:paraId="0955F6DC">
            <w:pPr>
              <w:jc w:val="center"/>
              <w:rPr>
                <w:color w:val="000000" w:themeColor="text1"/>
                <w:szCs w:val="21"/>
                <w:highlight w:val="none"/>
                <w14:textFill>
                  <w14:solidFill>
                    <w14:schemeClr w14:val="tx1"/>
                  </w14:solidFill>
                </w14:textFill>
              </w:rPr>
            </w:pPr>
          </w:p>
        </w:tc>
        <w:tc>
          <w:tcPr>
            <w:tcW w:w="1391" w:type="dxa"/>
            <w:vAlign w:val="center"/>
          </w:tcPr>
          <w:p w14:paraId="41EC1443">
            <w:pPr>
              <w:jc w:val="center"/>
              <w:rPr>
                <w:color w:val="000000" w:themeColor="text1"/>
                <w:szCs w:val="21"/>
                <w:highlight w:val="none"/>
                <w14:textFill>
                  <w14:solidFill>
                    <w14:schemeClr w14:val="tx1"/>
                  </w14:solidFill>
                </w14:textFill>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结构形式</w:t>
            </w:r>
          </w:p>
        </w:tc>
        <w:tc>
          <w:tcPr>
            <w:tcW w:w="1390" w:type="dxa"/>
            <w:vAlign w:val="center"/>
          </w:tcPr>
          <w:p w14:paraId="6C6C87FE">
            <w:pPr>
              <w:jc w:val="center"/>
              <w:rPr>
                <w:color w:val="000000" w:themeColor="text1"/>
                <w:szCs w:val="21"/>
                <w:highlight w:val="none"/>
                <w14:textFill>
                  <w14:solidFill>
                    <w14:schemeClr w14:val="tx1"/>
                  </w14:solidFill>
                </w14:textFill>
              </w:rPr>
            </w:pPr>
          </w:p>
        </w:tc>
        <w:tc>
          <w:tcPr>
            <w:tcW w:w="1391" w:type="dxa"/>
            <w:vAlign w:val="center"/>
          </w:tcPr>
          <w:p w14:paraId="1AAA017A">
            <w:pPr>
              <w:jc w:val="center"/>
              <w:rPr>
                <w:color w:val="000000" w:themeColor="text1"/>
                <w:szCs w:val="21"/>
                <w:highlight w:val="none"/>
                <w14:textFill>
                  <w14:solidFill>
                    <w14:schemeClr w14:val="tx1"/>
                  </w14:solidFill>
                </w14:textFill>
              </w:rPr>
            </w:pPr>
          </w:p>
        </w:tc>
        <w:tc>
          <w:tcPr>
            <w:tcW w:w="1390" w:type="dxa"/>
            <w:vAlign w:val="center"/>
          </w:tcPr>
          <w:p w14:paraId="070775DF">
            <w:pPr>
              <w:jc w:val="center"/>
              <w:rPr>
                <w:color w:val="000000" w:themeColor="text1"/>
                <w:szCs w:val="21"/>
                <w:highlight w:val="none"/>
                <w14:textFill>
                  <w14:solidFill>
                    <w14:schemeClr w14:val="tx1"/>
                  </w14:solidFill>
                </w14:textFill>
              </w:rPr>
            </w:pPr>
          </w:p>
        </w:tc>
        <w:tc>
          <w:tcPr>
            <w:tcW w:w="1391" w:type="dxa"/>
            <w:vAlign w:val="center"/>
          </w:tcPr>
          <w:p w14:paraId="4441A99A">
            <w:pPr>
              <w:jc w:val="center"/>
              <w:rPr>
                <w:color w:val="000000" w:themeColor="text1"/>
                <w:szCs w:val="21"/>
                <w:highlight w:val="none"/>
                <w14:textFill>
                  <w14:solidFill>
                    <w14:schemeClr w14:val="tx1"/>
                  </w14:solidFill>
                </w14:textFill>
              </w:rPr>
            </w:pPr>
          </w:p>
        </w:tc>
        <w:tc>
          <w:tcPr>
            <w:tcW w:w="1391" w:type="dxa"/>
            <w:vAlign w:val="center"/>
          </w:tcPr>
          <w:p w14:paraId="26145EA0">
            <w:pPr>
              <w:jc w:val="center"/>
              <w:rPr>
                <w:color w:val="000000" w:themeColor="text1"/>
                <w:szCs w:val="21"/>
                <w:highlight w:val="none"/>
                <w14:textFill>
                  <w14:solidFill>
                    <w14:schemeClr w14:val="tx1"/>
                  </w14:solidFill>
                </w14:textFill>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质量要求</w:t>
            </w:r>
          </w:p>
        </w:tc>
        <w:tc>
          <w:tcPr>
            <w:tcW w:w="1390" w:type="dxa"/>
            <w:vAlign w:val="center"/>
          </w:tcPr>
          <w:p w14:paraId="260461A4">
            <w:pPr>
              <w:jc w:val="center"/>
              <w:rPr>
                <w:color w:val="000000" w:themeColor="text1"/>
                <w:szCs w:val="21"/>
                <w:highlight w:val="none"/>
                <w14:textFill>
                  <w14:solidFill>
                    <w14:schemeClr w14:val="tx1"/>
                  </w14:solidFill>
                </w14:textFill>
              </w:rPr>
            </w:pPr>
          </w:p>
        </w:tc>
        <w:tc>
          <w:tcPr>
            <w:tcW w:w="1391" w:type="dxa"/>
            <w:vAlign w:val="center"/>
          </w:tcPr>
          <w:p w14:paraId="1122900C">
            <w:pPr>
              <w:jc w:val="center"/>
              <w:rPr>
                <w:color w:val="000000" w:themeColor="text1"/>
                <w:szCs w:val="21"/>
                <w:highlight w:val="none"/>
                <w14:textFill>
                  <w14:solidFill>
                    <w14:schemeClr w14:val="tx1"/>
                  </w14:solidFill>
                </w14:textFill>
              </w:rPr>
            </w:pPr>
          </w:p>
        </w:tc>
        <w:tc>
          <w:tcPr>
            <w:tcW w:w="1390" w:type="dxa"/>
            <w:vAlign w:val="center"/>
          </w:tcPr>
          <w:p w14:paraId="75FCCA10">
            <w:pPr>
              <w:jc w:val="center"/>
              <w:rPr>
                <w:color w:val="000000" w:themeColor="text1"/>
                <w:szCs w:val="21"/>
                <w:highlight w:val="none"/>
                <w14:textFill>
                  <w14:solidFill>
                    <w14:schemeClr w14:val="tx1"/>
                  </w14:solidFill>
                </w14:textFill>
              </w:rPr>
            </w:pPr>
          </w:p>
        </w:tc>
        <w:tc>
          <w:tcPr>
            <w:tcW w:w="1391" w:type="dxa"/>
            <w:vAlign w:val="center"/>
          </w:tcPr>
          <w:p w14:paraId="7DE0C05E">
            <w:pPr>
              <w:jc w:val="center"/>
              <w:rPr>
                <w:color w:val="000000" w:themeColor="text1"/>
                <w:szCs w:val="21"/>
                <w:highlight w:val="none"/>
                <w14:textFill>
                  <w14:solidFill>
                    <w14:schemeClr w14:val="tx1"/>
                  </w14:solidFill>
                </w14:textFill>
              </w:rPr>
            </w:pPr>
          </w:p>
        </w:tc>
        <w:tc>
          <w:tcPr>
            <w:tcW w:w="1391" w:type="dxa"/>
            <w:vAlign w:val="center"/>
          </w:tcPr>
          <w:p w14:paraId="3240E064">
            <w:pPr>
              <w:jc w:val="center"/>
              <w:rPr>
                <w:color w:val="000000" w:themeColor="text1"/>
                <w:szCs w:val="21"/>
                <w:highlight w:val="none"/>
                <w14:textFill>
                  <w14:solidFill>
                    <w14:schemeClr w14:val="tx1"/>
                  </w14:solidFill>
                </w14:textFill>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施工方法</w:t>
            </w:r>
          </w:p>
        </w:tc>
        <w:tc>
          <w:tcPr>
            <w:tcW w:w="1390" w:type="dxa"/>
            <w:vAlign w:val="center"/>
          </w:tcPr>
          <w:p w14:paraId="054E206C">
            <w:pPr>
              <w:jc w:val="center"/>
              <w:rPr>
                <w:color w:val="000000" w:themeColor="text1"/>
                <w:szCs w:val="21"/>
                <w:highlight w:val="none"/>
                <w14:textFill>
                  <w14:solidFill>
                    <w14:schemeClr w14:val="tx1"/>
                  </w14:solidFill>
                </w14:textFill>
              </w:rPr>
            </w:pPr>
          </w:p>
        </w:tc>
        <w:tc>
          <w:tcPr>
            <w:tcW w:w="1391" w:type="dxa"/>
            <w:vAlign w:val="center"/>
          </w:tcPr>
          <w:p w14:paraId="213E8FD3">
            <w:pPr>
              <w:jc w:val="center"/>
              <w:rPr>
                <w:color w:val="000000" w:themeColor="text1"/>
                <w:szCs w:val="21"/>
                <w:highlight w:val="none"/>
                <w14:textFill>
                  <w14:solidFill>
                    <w14:schemeClr w14:val="tx1"/>
                  </w14:solidFill>
                </w14:textFill>
              </w:rPr>
            </w:pPr>
          </w:p>
        </w:tc>
        <w:tc>
          <w:tcPr>
            <w:tcW w:w="1390" w:type="dxa"/>
            <w:vAlign w:val="center"/>
          </w:tcPr>
          <w:p w14:paraId="78205B27">
            <w:pPr>
              <w:jc w:val="center"/>
              <w:rPr>
                <w:color w:val="000000" w:themeColor="text1"/>
                <w:szCs w:val="21"/>
                <w:highlight w:val="none"/>
                <w14:textFill>
                  <w14:solidFill>
                    <w14:schemeClr w14:val="tx1"/>
                  </w14:solidFill>
                </w14:textFill>
              </w:rPr>
            </w:pPr>
          </w:p>
        </w:tc>
        <w:tc>
          <w:tcPr>
            <w:tcW w:w="1391" w:type="dxa"/>
            <w:vAlign w:val="center"/>
          </w:tcPr>
          <w:p w14:paraId="0C55EEA4">
            <w:pPr>
              <w:jc w:val="center"/>
              <w:rPr>
                <w:color w:val="000000" w:themeColor="text1"/>
                <w:szCs w:val="21"/>
                <w:highlight w:val="none"/>
                <w14:textFill>
                  <w14:solidFill>
                    <w14:schemeClr w14:val="tx1"/>
                  </w14:solidFill>
                </w14:textFill>
              </w:rPr>
            </w:pPr>
          </w:p>
        </w:tc>
        <w:tc>
          <w:tcPr>
            <w:tcW w:w="1391" w:type="dxa"/>
            <w:vAlign w:val="center"/>
          </w:tcPr>
          <w:p w14:paraId="57B0CCA3">
            <w:pPr>
              <w:jc w:val="center"/>
              <w:rPr>
                <w:color w:val="000000" w:themeColor="text1"/>
                <w:szCs w:val="21"/>
                <w:highlight w:val="none"/>
                <w14:textFill>
                  <w14:solidFill>
                    <w14:schemeClr w14:val="tx1"/>
                  </w14:solidFill>
                </w14:textFill>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竣工日期</w:t>
            </w:r>
          </w:p>
        </w:tc>
        <w:tc>
          <w:tcPr>
            <w:tcW w:w="1390" w:type="dxa"/>
            <w:vAlign w:val="center"/>
          </w:tcPr>
          <w:p w14:paraId="48DF070C">
            <w:pPr>
              <w:jc w:val="center"/>
              <w:rPr>
                <w:color w:val="000000" w:themeColor="text1"/>
                <w:szCs w:val="21"/>
                <w:highlight w:val="none"/>
                <w14:textFill>
                  <w14:solidFill>
                    <w14:schemeClr w14:val="tx1"/>
                  </w14:solidFill>
                </w14:textFill>
              </w:rPr>
            </w:pPr>
          </w:p>
        </w:tc>
        <w:tc>
          <w:tcPr>
            <w:tcW w:w="1391" w:type="dxa"/>
            <w:vAlign w:val="center"/>
          </w:tcPr>
          <w:p w14:paraId="2F1E45E1">
            <w:pPr>
              <w:jc w:val="center"/>
              <w:rPr>
                <w:color w:val="000000" w:themeColor="text1"/>
                <w:szCs w:val="21"/>
                <w:highlight w:val="none"/>
                <w14:textFill>
                  <w14:solidFill>
                    <w14:schemeClr w14:val="tx1"/>
                  </w14:solidFill>
                </w14:textFill>
              </w:rPr>
            </w:pPr>
          </w:p>
        </w:tc>
        <w:tc>
          <w:tcPr>
            <w:tcW w:w="1390" w:type="dxa"/>
            <w:vAlign w:val="center"/>
          </w:tcPr>
          <w:p w14:paraId="376B9F82">
            <w:pPr>
              <w:jc w:val="center"/>
              <w:rPr>
                <w:color w:val="000000" w:themeColor="text1"/>
                <w:szCs w:val="21"/>
                <w:highlight w:val="none"/>
                <w14:textFill>
                  <w14:solidFill>
                    <w14:schemeClr w14:val="tx1"/>
                  </w14:solidFill>
                </w14:textFill>
              </w:rPr>
            </w:pPr>
          </w:p>
        </w:tc>
        <w:tc>
          <w:tcPr>
            <w:tcW w:w="1391" w:type="dxa"/>
            <w:vAlign w:val="center"/>
          </w:tcPr>
          <w:p w14:paraId="36D2FEBE">
            <w:pPr>
              <w:jc w:val="center"/>
              <w:rPr>
                <w:color w:val="000000" w:themeColor="text1"/>
                <w:szCs w:val="21"/>
                <w:highlight w:val="none"/>
                <w14:textFill>
                  <w14:solidFill>
                    <w14:schemeClr w14:val="tx1"/>
                  </w14:solidFill>
                </w14:textFill>
              </w:rPr>
            </w:pPr>
          </w:p>
        </w:tc>
        <w:tc>
          <w:tcPr>
            <w:tcW w:w="1391" w:type="dxa"/>
            <w:vAlign w:val="center"/>
          </w:tcPr>
          <w:p w14:paraId="5783818F">
            <w:pPr>
              <w:jc w:val="center"/>
              <w:rPr>
                <w:color w:val="000000" w:themeColor="text1"/>
                <w:szCs w:val="21"/>
                <w:highlight w:val="none"/>
                <w14:textFill>
                  <w14:solidFill>
                    <w14:schemeClr w14:val="tx1"/>
                  </w14:solidFill>
                </w14:textFill>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实际工期</w:t>
            </w:r>
          </w:p>
        </w:tc>
        <w:tc>
          <w:tcPr>
            <w:tcW w:w="1390" w:type="dxa"/>
            <w:vAlign w:val="center"/>
          </w:tcPr>
          <w:p w14:paraId="339D7102">
            <w:pPr>
              <w:jc w:val="center"/>
              <w:rPr>
                <w:color w:val="000000" w:themeColor="text1"/>
                <w:szCs w:val="21"/>
                <w:highlight w:val="none"/>
                <w14:textFill>
                  <w14:solidFill>
                    <w14:schemeClr w14:val="tx1"/>
                  </w14:solidFill>
                </w14:textFill>
              </w:rPr>
            </w:pPr>
          </w:p>
        </w:tc>
        <w:tc>
          <w:tcPr>
            <w:tcW w:w="1391" w:type="dxa"/>
            <w:vAlign w:val="center"/>
          </w:tcPr>
          <w:p w14:paraId="3A05221C">
            <w:pPr>
              <w:jc w:val="center"/>
              <w:rPr>
                <w:color w:val="000000" w:themeColor="text1"/>
                <w:szCs w:val="21"/>
                <w:highlight w:val="none"/>
                <w14:textFill>
                  <w14:solidFill>
                    <w14:schemeClr w14:val="tx1"/>
                  </w14:solidFill>
                </w14:textFill>
              </w:rPr>
            </w:pPr>
          </w:p>
        </w:tc>
        <w:tc>
          <w:tcPr>
            <w:tcW w:w="1390" w:type="dxa"/>
            <w:vAlign w:val="center"/>
          </w:tcPr>
          <w:p w14:paraId="71FA517A">
            <w:pPr>
              <w:jc w:val="center"/>
              <w:rPr>
                <w:color w:val="000000" w:themeColor="text1"/>
                <w:szCs w:val="21"/>
                <w:highlight w:val="none"/>
                <w14:textFill>
                  <w14:solidFill>
                    <w14:schemeClr w14:val="tx1"/>
                  </w14:solidFill>
                </w14:textFill>
              </w:rPr>
            </w:pPr>
          </w:p>
        </w:tc>
        <w:tc>
          <w:tcPr>
            <w:tcW w:w="1391" w:type="dxa"/>
            <w:vAlign w:val="center"/>
          </w:tcPr>
          <w:p w14:paraId="2B14B633">
            <w:pPr>
              <w:jc w:val="center"/>
              <w:rPr>
                <w:color w:val="000000" w:themeColor="text1"/>
                <w:szCs w:val="21"/>
                <w:highlight w:val="none"/>
                <w14:textFill>
                  <w14:solidFill>
                    <w14:schemeClr w14:val="tx1"/>
                  </w14:solidFill>
                </w14:textFill>
              </w:rPr>
            </w:pPr>
          </w:p>
        </w:tc>
        <w:tc>
          <w:tcPr>
            <w:tcW w:w="1391" w:type="dxa"/>
            <w:vAlign w:val="center"/>
          </w:tcPr>
          <w:p w14:paraId="549E8630">
            <w:pPr>
              <w:jc w:val="center"/>
              <w:rPr>
                <w:color w:val="000000" w:themeColor="text1"/>
                <w:szCs w:val="21"/>
                <w:highlight w:val="none"/>
                <w14:textFill>
                  <w14:solidFill>
                    <w14:schemeClr w14:val="tx1"/>
                  </w14:solidFill>
                </w14:textFill>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24" w:hRule="atLeast"/>
          <w:jc w:val="center"/>
        </w:trPr>
        <w:tc>
          <w:tcPr>
            <w:tcW w:w="1793" w:type="dxa"/>
            <w:vAlign w:val="center"/>
          </w:tcPr>
          <w:p w14:paraId="5E86490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合同工期</w:t>
            </w:r>
          </w:p>
        </w:tc>
        <w:tc>
          <w:tcPr>
            <w:tcW w:w="1390" w:type="dxa"/>
            <w:vAlign w:val="center"/>
          </w:tcPr>
          <w:p w14:paraId="60ACFD6A">
            <w:pPr>
              <w:jc w:val="center"/>
              <w:rPr>
                <w:color w:val="000000" w:themeColor="text1"/>
                <w:szCs w:val="21"/>
                <w:highlight w:val="none"/>
                <w14:textFill>
                  <w14:solidFill>
                    <w14:schemeClr w14:val="tx1"/>
                  </w14:solidFill>
                </w14:textFill>
              </w:rPr>
            </w:pPr>
          </w:p>
        </w:tc>
        <w:tc>
          <w:tcPr>
            <w:tcW w:w="1391" w:type="dxa"/>
            <w:vAlign w:val="center"/>
          </w:tcPr>
          <w:p w14:paraId="6782C437">
            <w:pPr>
              <w:jc w:val="center"/>
              <w:rPr>
                <w:color w:val="000000" w:themeColor="text1"/>
                <w:szCs w:val="21"/>
                <w:highlight w:val="none"/>
                <w14:textFill>
                  <w14:solidFill>
                    <w14:schemeClr w14:val="tx1"/>
                  </w14:solidFill>
                </w14:textFill>
              </w:rPr>
            </w:pPr>
          </w:p>
        </w:tc>
        <w:tc>
          <w:tcPr>
            <w:tcW w:w="1390" w:type="dxa"/>
            <w:vAlign w:val="center"/>
          </w:tcPr>
          <w:p w14:paraId="1EAE63B9">
            <w:pPr>
              <w:jc w:val="center"/>
              <w:rPr>
                <w:color w:val="000000" w:themeColor="text1"/>
                <w:szCs w:val="21"/>
                <w:highlight w:val="none"/>
                <w14:textFill>
                  <w14:solidFill>
                    <w14:schemeClr w14:val="tx1"/>
                  </w14:solidFill>
                </w14:textFill>
              </w:rPr>
            </w:pPr>
          </w:p>
        </w:tc>
        <w:tc>
          <w:tcPr>
            <w:tcW w:w="1391" w:type="dxa"/>
            <w:vAlign w:val="center"/>
          </w:tcPr>
          <w:p w14:paraId="23347FB5">
            <w:pPr>
              <w:jc w:val="center"/>
              <w:rPr>
                <w:color w:val="000000" w:themeColor="text1"/>
                <w:szCs w:val="21"/>
                <w:highlight w:val="none"/>
                <w14:textFill>
                  <w14:solidFill>
                    <w14:schemeClr w14:val="tx1"/>
                  </w14:solidFill>
                </w14:textFill>
              </w:rPr>
            </w:pPr>
          </w:p>
        </w:tc>
        <w:tc>
          <w:tcPr>
            <w:tcW w:w="1391" w:type="dxa"/>
            <w:vAlign w:val="center"/>
          </w:tcPr>
          <w:p w14:paraId="301411E1">
            <w:pPr>
              <w:jc w:val="center"/>
              <w:rPr>
                <w:color w:val="000000" w:themeColor="text1"/>
                <w:szCs w:val="21"/>
                <w:highlight w:val="none"/>
                <w14:textFill>
                  <w14:solidFill>
                    <w14:schemeClr w14:val="tx1"/>
                  </w14:solidFill>
                </w14:textFill>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结算总价</w:t>
            </w:r>
          </w:p>
        </w:tc>
        <w:tc>
          <w:tcPr>
            <w:tcW w:w="1390" w:type="dxa"/>
            <w:vAlign w:val="center"/>
          </w:tcPr>
          <w:p w14:paraId="568FBD92">
            <w:pPr>
              <w:jc w:val="center"/>
              <w:rPr>
                <w:color w:val="000000" w:themeColor="text1"/>
                <w:szCs w:val="21"/>
                <w:highlight w:val="none"/>
                <w14:textFill>
                  <w14:solidFill>
                    <w14:schemeClr w14:val="tx1"/>
                  </w14:solidFill>
                </w14:textFill>
              </w:rPr>
            </w:pPr>
          </w:p>
        </w:tc>
        <w:tc>
          <w:tcPr>
            <w:tcW w:w="1391" w:type="dxa"/>
            <w:vAlign w:val="center"/>
          </w:tcPr>
          <w:p w14:paraId="63688106">
            <w:pPr>
              <w:jc w:val="center"/>
              <w:rPr>
                <w:color w:val="000000" w:themeColor="text1"/>
                <w:szCs w:val="21"/>
                <w:highlight w:val="none"/>
                <w14:textFill>
                  <w14:solidFill>
                    <w14:schemeClr w14:val="tx1"/>
                  </w14:solidFill>
                </w14:textFill>
              </w:rPr>
            </w:pPr>
          </w:p>
        </w:tc>
        <w:tc>
          <w:tcPr>
            <w:tcW w:w="1390" w:type="dxa"/>
            <w:vAlign w:val="center"/>
          </w:tcPr>
          <w:p w14:paraId="3B2AAE1A">
            <w:pPr>
              <w:jc w:val="center"/>
              <w:rPr>
                <w:color w:val="000000" w:themeColor="text1"/>
                <w:szCs w:val="21"/>
                <w:highlight w:val="none"/>
                <w14:textFill>
                  <w14:solidFill>
                    <w14:schemeClr w14:val="tx1"/>
                  </w14:solidFill>
                </w14:textFill>
              </w:rPr>
            </w:pPr>
          </w:p>
        </w:tc>
        <w:tc>
          <w:tcPr>
            <w:tcW w:w="1391" w:type="dxa"/>
            <w:vAlign w:val="center"/>
          </w:tcPr>
          <w:p w14:paraId="6F65FD00">
            <w:pPr>
              <w:jc w:val="center"/>
              <w:rPr>
                <w:color w:val="000000" w:themeColor="text1"/>
                <w:szCs w:val="21"/>
                <w:highlight w:val="none"/>
                <w14:textFill>
                  <w14:solidFill>
                    <w14:schemeClr w14:val="tx1"/>
                  </w14:solidFill>
                </w14:textFill>
              </w:rPr>
            </w:pPr>
          </w:p>
        </w:tc>
        <w:tc>
          <w:tcPr>
            <w:tcW w:w="1391" w:type="dxa"/>
            <w:vAlign w:val="center"/>
          </w:tcPr>
          <w:p w14:paraId="36A7D5DF">
            <w:pPr>
              <w:jc w:val="center"/>
              <w:rPr>
                <w:color w:val="000000" w:themeColor="text1"/>
                <w:szCs w:val="21"/>
                <w:highlight w:val="none"/>
                <w14:textFill>
                  <w14:solidFill>
                    <w14:schemeClr w14:val="tx1"/>
                  </w14:solidFill>
                </w14:textFill>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合同总价</w:t>
            </w:r>
          </w:p>
        </w:tc>
        <w:tc>
          <w:tcPr>
            <w:tcW w:w="1390" w:type="dxa"/>
            <w:vAlign w:val="center"/>
          </w:tcPr>
          <w:p w14:paraId="56DEFF31">
            <w:pPr>
              <w:jc w:val="center"/>
              <w:rPr>
                <w:color w:val="000000" w:themeColor="text1"/>
                <w:szCs w:val="21"/>
                <w:highlight w:val="none"/>
                <w14:textFill>
                  <w14:solidFill>
                    <w14:schemeClr w14:val="tx1"/>
                  </w14:solidFill>
                </w14:textFill>
              </w:rPr>
            </w:pPr>
          </w:p>
        </w:tc>
        <w:tc>
          <w:tcPr>
            <w:tcW w:w="1391" w:type="dxa"/>
            <w:vAlign w:val="center"/>
          </w:tcPr>
          <w:p w14:paraId="43F0E127">
            <w:pPr>
              <w:jc w:val="center"/>
              <w:rPr>
                <w:color w:val="000000" w:themeColor="text1"/>
                <w:szCs w:val="21"/>
                <w:highlight w:val="none"/>
                <w14:textFill>
                  <w14:solidFill>
                    <w14:schemeClr w14:val="tx1"/>
                  </w14:solidFill>
                </w14:textFill>
              </w:rPr>
            </w:pPr>
          </w:p>
        </w:tc>
        <w:tc>
          <w:tcPr>
            <w:tcW w:w="1390" w:type="dxa"/>
            <w:vAlign w:val="center"/>
          </w:tcPr>
          <w:p w14:paraId="0AFA73A8">
            <w:pPr>
              <w:jc w:val="center"/>
              <w:rPr>
                <w:color w:val="000000" w:themeColor="text1"/>
                <w:szCs w:val="21"/>
                <w:highlight w:val="none"/>
                <w14:textFill>
                  <w14:solidFill>
                    <w14:schemeClr w14:val="tx1"/>
                  </w14:solidFill>
                </w14:textFill>
              </w:rPr>
            </w:pPr>
          </w:p>
        </w:tc>
        <w:tc>
          <w:tcPr>
            <w:tcW w:w="1391" w:type="dxa"/>
            <w:vAlign w:val="center"/>
          </w:tcPr>
          <w:p w14:paraId="4533A961">
            <w:pPr>
              <w:jc w:val="center"/>
              <w:rPr>
                <w:color w:val="000000" w:themeColor="text1"/>
                <w:szCs w:val="21"/>
                <w:highlight w:val="none"/>
                <w14:textFill>
                  <w14:solidFill>
                    <w14:schemeClr w14:val="tx1"/>
                  </w14:solidFill>
                </w14:textFill>
              </w:rPr>
            </w:pPr>
          </w:p>
        </w:tc>
        <w:tc>
          <w:tcPr>
            <w:tcW w:w="1391" w:type="dxa"/>
            <w:vAlign w:val="center"/>
          </w:tcPr>
          <w:p w14:paraId="69F5D4AA">
            <w:pPr>
              <w:jc w:val="center"/>
              <w:rPr>
                <w:color w:val="000000" w:themeColor="text1"/>
                <w:szCs w:val="21"/>
                <w:highlight w:val="none"/>
                <w14:textFill>
                  <w14:solidFill>
                    <w14:schemeClr w14:val="tx1"/>
                  </w14:solidFill>
                </w14:textFill>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    注</w:t>
            </w:r>
          </w:p>
        </w:tc>
        <w:tc>
          <w:tcPr>
            <w:tcW w:w="1390" w:type="dxa"/>
            <w:vAlign w:val="center"/>
          </w:tcPr>
          <w:p w14:paraId="6EDA660E">
            <w:pPr>
              <w:jc w:val="center"/>
              <w:rPr>
                <w:color w:val="000000" w:themeColor="text1"/>
                <w:szCs w:val="21"/>
                <w:highlight w:val="none"/>
                <w14:textFill>
                  <w14:solidFill>
                    <w14:schemeClr w14:val="tx1"/>
                  </w14:solidFill>
                </w14:textFill>
              </w:rPr>
            </w:pPr>
          </w:p>
        </w:tc>
        <w:tc>
          <w:tcPr>
            <w:tcW w:w="1391" w:type="dxa"/>
            <w:vAlign w:val="center"/>
          </w:tcPr>
          <w:p w14:paraId="4B8A0904">
            <w:pPr>
              <w:jc w:val="center"/>
              <w:rPr>
                <w:color w:val="000000" w:themeColor="text1"/>
                <w:szCs w:val="21"/>
                <w:highlight w:val="none"/>
                <w14:textFill>
                  <w14:solidFill>
                    <w14:schemeClr w14:val="tx1"/>
                  </w14:solidFill>
                </w14:textFill>
              </w:rPr>
            </w:pPr>
          </w:p>
        </w:tc>
        <w:tc>
          <w:tcPr>
            <w:tcW w:w="1390" w:type="dxa"/>
            <w:vAlign w:val="center"/>
          </w:tcPr>
          <w:p w14:paraId="0988C7E2">
            <w:pPr>
              <w:jc w:val="center"/>
              <w:rPr>
                <w:color w:val="000000" w:themeColor="text1"/>
                <w:szCs w:val="21"/>
                <w:highlight w:val="none"/>
                <w14:textFill>
                  <w14:solidFill>
                    <w14:schemeClr w14:val="tx1"/>
                  </w14:solidFill>
                </w14:textFill>
              </w:rPr>
            </w:pPr>
          </w:p>
        </w:tc>
        <w:tc>
          <w:tcPr>
            <w:tcW w:w="1391" w:type="dxa"/>
            <w:vAlign w:val="center"/>
          </w:tcPr>
          <w:p w14:paraId="5F68CC04">
            <w:pPr>
              <w:jc w:val="center"/>
              <w:rPr>
                <w:color w:val="000000" w:themeColor="text1"/>
                <w:szCs w:val="21"/>
                <w:highlight w:val="none"/>
                <w14:textFill>
                  <w14:solidFill>
                    <w14:schemeClr w14:val="tx1"/>
                  </w14:solidFill>
                </w14:textFill>
              </w:rPr>
            </w:pPr>
          </w:p>
        </w:tc>
        <w:tc>
          <w:tcPr>
            <w:tcW w:w="1391" w:type="dxa"/>
            <w:vAlign w:val="center"/>
          </w:tcPr>
          <w:p w14:paraId="5267A805">
            <w:pPr>
              <w:jc w:val="center"/>
              <w:rPr>
                <w:color w:val="000000" w:themeColor="text1"/>
                <w:szCs w:val="21"/>
                <w:highlight w:val="none"/>
                <w14:textFill>
                  <w14:solidFill>
                    <w14:schemeClr w14:val="tx1"/>
                  </w14:solidFill>
                </w14:textFill>
              </w:rPr>
            </w:pPr>
          </w:p>
        </w:tc>
      </w:tr>
    </w:tbl>
    <w:p w14:paraId="04A7EDAF">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注：有获工程奖项的需附相关证明材料。</w:t>
      </w:r>
    </w:p>
    <w:p w14:paraId="3956030E">
      <w:pPr>
        <w:spacing w:line="360" w:lineRule="auto"/>
        <w:ind w:firstLine="420" w:firstLineChars="200"/>
        <w:rPr>
          <w:color w:val="000000" w:themeColor="text1"/>
          <w:highlight w:val="none"/>
          <w14:textFill>
            <w14:solidFill>
              <w14:schemeClr w14:val="tx1"/>
            </w14:solidFill>
          </w14:textFill>
        </w:rPr>
      </w:pPr>
    </w:p>
    <w:p w14:paraId="33BFF792">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66895A74">
      <w:pPr>
        <w:spacing w:line="360" w:lineRule="auto"/>
        <w:rPr>
          <w:color w:val="000000" w:themeColor="text1"/>
          <w:szCs w:val="21"/>
          <w:highlight w:val="none"/>
          <w14:textFill>
            <w14:solidFill>
              <w14:schemeClr w14:val="tx1"/>
            </w14:solidFill>
          </w14:textFill>
        </w:rPr>
      </w:pPr>
    </w:p>
    <w:p w14:paraId="3E5FF9BE">
      <w:pPr>
        <w:spacing w:line="360" w:lineRule="auto"/>
        <w:rPr>
          <w:color w:val="000000" w:themeColor="text1"/>
          <w:szCs w:val="21"/>
          <w:highlight w:val="none"/>
          <w14:textFill>
            <w14:solidFill>
              <w14:schemeClr w14:val="tx1"/>
            </w14:solidFill>
          </w14:textFill>
        </w:rPr>
      </w:pPr>
    </w:p>
    <w:p w14:paraId="04562BCA">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1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响应单位的纳税资格的确认</w:t>
      </w:r>
    </w:p>
    <w:p w14:paraId="6FA72956">
      <w:pPr>
        <w:spacing w:line="360" w:lineRule="auto"/>
        <w:jc w:val="center"/>
        <w:rPr>
          <w:color w:val="000000" w:themeColor="text1"/>
          <w:highlight w:val="none"/>
          <w14:textFill>
            <w14:solidFill>
              <w14:schemeClr w14:val="tx1"/>
            </w14:solidFill>
          </w14:textFill>
        </w:rPr>
      </w:pPr>
    </w:p>
    <w:p w14:paraId="7AE9C18C">
      <w:pPr>
        <w:spacing w:line="360" w:lineRule="auto"/>
        <w:jc w:val="center"/>
        <w:rPr>
          <w:b/>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响应单位的纳税资格的确认</w:t>
      </w:r>
      <w:r>
        <w:rPr>
          <w:b/>
          <w:color w:val="000000" w:themeColor="text1"/>
          <w:sz w:val="28"/>
          <w:szCs w:val="28"/>
          <w:highlight w:val="none"/>
          <w14:textFill>
            <w14:solidFill>
              <w14:schemeClr w14:val="tx1"/>
            </w14:solidFill>
          </w14:textFill>
        </w:rPr>
        <w:t>表</w:t>
      </w:r>
    </w:p>
    <w:p w14:paraId="74B31B0E">
      <w:pPr>
        <w:adjustRightInd w:val="0"/>
        <w:spacing w:line="360" w:lineRule="auto"/>
        <w:rPr>
          <w:color w:val="000000" w:themeColor="text1"/>
          <w:sz w:val="32"/>
          <w:szCs w:val="32"/>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序号</w:t>
            </w:r>
          </w:p>
        </w:tc>
        <w:tc>
          <w:tcPr>
            <w:tcW w:w="7830" w:type="dxa"/>
            <w:gridSpan w:val="5"/>
            <w:vAlign w:val="center"/>
          </w:tcPr>
          <w:p w14:paraId="2E29AD0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2386" w:type="dxa"/>
            <w:vAlign w:val="center"/>
          </w:tcPr>
          <w:p w14:paraId="319C97A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响应单位全称</w:t>
            </w:r>
          </w:p>
        </w:tc>
        <w:tc>
          <w:tcPr>
            <w:tcW w:w="5444" w:type="dxa"/>
            <w:gridSpan w:val="4"/>
            <w:vAlign w:val="center"/>
          </w:tcPr>
          <w:p w14:paraId="5F728243">
            <w:pPr>
              <w:jc w:val="center"/>
              <w:rPr>
                <w:rFonts w:hint="eastAsia" w:ascii="宋体" w:hAnsi="宋体"/>
                <w:color w:val="000000" w:themeColor="text1"/>
                <w:kern w:val="0"/>
                <w:szCs w:val="21"/>
                <w:highlight w:val="none"/>
                <w14:textFill>
                  <w14:solidFill>
                    <w14:schemeClr w14:val="tx1"/>
                  </w14:solidFill>
                </w14:textFill>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2386" w:type="dxa"/>
            <w:vAlign w:val="center"/>
          </w:tcPr>
          <w:p w14:paraId="224F1A3A">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纳税义务人的纳税资格</w:t>
            </w:r>
          </w:p>
        </w:tc>
        <w:tc>
          <w:tcPr>
            <w:tcW w:w="2008" w:type="dxa"/>
            <w:vAlign w:val="center"/>
          </w:tcPr>
          <w:p w14:paraId="4FADF3EB">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一般纳税人（   ）</w:t>
            </w:r>
          </w:p>
        </w:tc>
        <w:tc>
          <w:tcPr>
            <w:tcW w:w="2127" w:type="dxa"/>
            <w:gridSpan w:val="2"/>
            <w:vAlign w:val="center"/>
          </w:tcPr>
          <w:p w14:paraId="5F7357D5">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小规模纳税人</w:t>
            </w:r>
            <w:r>
              <w:rPr>
                <w:rFonts w:hint="eastAsia" w:ascii="宋体" w:hAnsi="宋体"/>
                <w:color w:val="000000" w:themeColor="text1"/>
                <w:szCs w:val="21"/>
                <w:highlight w:val="none"/>
                <w14:textFill>
                  <w14:solidFill>
                    <w14:schemeClr w14:val="tx1"/>
                  </w14:solidFill>
                </w14:textFill>
              </w:rPr>
              <w:t>（   ）</w:t>
            </w:r>
          </w:p>
        </w:tc>
        <w:tc>
          <w:tcPr>
            <w:tcW w:w="1309" w:type="dxa"/>
            <w:vAlign w:val="center"/>
          </w:tcPr>
          <w:p w14:paraId="66FD81EF">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2386" w:type="dxa"/>
            <w:vAlign w:val="center"/>
          </w:tcPr>
          <w:p w14:paraId="0698D7F1">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响应单位提供的票据</w:t>
            </w:r>
          </w:p>
        </w:tc>
        <w:tc>
          <w:tcPr>
            <w:tcW w:w="3176" w:type="dxa"/>
            <w:gridSpan w:val="2"/>
            <w:vAlign w:val="center"/>
          </w:tcPr>
          <w:p w14:paraId="30A0F89E">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增值税专用发票（   ）</w:t>
            </w:r>
          </w:p>
        </w:tc>
        <w:tc>
          <w:tcPr>
            <w:tcW w:w="2268" w:type="dxa"/>
            <w:gridSpan w:val="2"/>
            <w:vAlign w:val="center"/>
          </w:tcPr>
          <w:p w14:paraId="2A6E847D">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增值税普通发票</w:t>
            </w:r>
            <w:r>
              <w:rPr>
                <w:rFonts w:hint="eastAsia" w:ascii="宋体" w:hAnsi="宋体"/>
                <w:color w:val="000000" w:themeColor="text1"/>
                <w:szCs w:val="21"/>
                <w:highlight w:val="none"/>
                <w14:textFill>
                  <w14:solidFill>
                    <w14:schemeClr w14:val="tx1"/>
                  </w14:solidFill>
                </w14:textFill>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2386" w:type="dxa"/>
            <w:vAlign w:val="center"/>
          </w:tcPr>
          <w:p w14:paraId="1899276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本次报价增值税率是</w:t>
            </w:r>
          </w:p>
        </w:tc>
        <w:tc>
          <w:tcPr>
            <w:tcW w:w="5444" w:type="dxa"/>
            <w:gridSpan w:val="4"/>
            <w:vAlign w:val="center"/>
          </w:tcPr>
          <w:p w14:paraId="468983C4">
            <w:pPr>
              <w:jc w:val="center"/>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2386" w:type="dxa"/>
            <w:vAlign w:val="center"/>
          </w:tcPr>
          <w:p w14:paraId="2ECAEADD">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纳税人识别号</w:t>
            </w:r>
          </w:p>
        </w:tc>
        <w:tc>
          <w:tcPr>
            <w:tcW w:w="5444" w:type="dxa"/>
            <w:gridSpan w:val="4"/>
            <w:vAlign w:val="center"/>
          </w:tcPr>
          <w:p w14:paraId="39A0EBF7">
            <w:pPr>
              <w:jc w:val="center"/>
              <w:rPr>
                <w:color w:val="000000" w:themeColor="text1"/>
                <w:szCs w:val="21"/>
                <w:highlight w:val="none"/>
                <w14:textFill>
                  <w14:solidFill>
                    <w14:schemeClr w14:val="tx1"/>
                  </w14:solidFill>
                </w14:textFill>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p>
        </w:tc>
        <w:tc>
          <w:tcPr>
            <w:tcW w:w="2386" w:type="dxa"/>
            <w:vAlign w:val="center"/>
          </w:tcPr>
          <w:p w14:paraId="72C3E7E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开户行</w:t>
            </w:r>
          </w:p>
        </w:tc>
        <w:tc>
          <w:tcPr>
            <w:tcW w:w="5444" w:type="dxa"/>
            <w:gridSpan w:val="4"/>
            <w:vAlign w:val="center"/>
          </w:tcPr>
          <w:p w14:paraId="60A46215">
            <w:pPr>
              <w:jc w:val="center"/>
              <w:rPr>
                <w:color w:val="000000" w:themeColor="text1"/>
                <w:szCs w:val="21"/>
                <w:highlight w:val="none"/>
                <w14:textFill>
                  <w14:solidFill>
                    <w14:schemeClr w14:val="tx1"/>
                  </w14:solidFill>
                </w14:textFill>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2386" w:type="dxa"/>
            <w:vAlign w:val="center"/>
          </w:tcPr>
          <w:p w14:paraId="634EBB5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5444" w:type="dxa"/>
            <w:gridSpan w:val="4"/>
            <w:vAlign w:val="center"/>
          </w:tcPr>
          <w:p w14:paraId="5E760B2A">
            <w:pPr>
              <w:jc w:val="center"/>
              <w:rPr>
                <w:color w:val="000000" w:themeColor="text1"/>
                <w:szCs w:val="21"/>
                <w:highlight w:val="none"/>
                <w14:textFill>
                  <w14:solidFill>
                    <w14:schemeClr w14:val="tx1"/>
                  </w14:solidFill>
                </w14:textFill>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p>
        </w:tc>
        <w:tc>
          <w:tcPr>
            <w:tcW w:w="2386" w:type="dxa"/>
            <w:vAlign w:val="center"/>
          </w:tcPr>
          <w:p w14:paraId="4782917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p>
        </w:tc>
        <w:tc>
          <w:tcPr>
            <w:tcW w:w="5444" w:type="dxa"/>
            <w:gridSpan w:val="4"/>
            <w:vAlign w:val="center"/>
          </w:tcPr>
          <w:p w14:paraId="771395D6">
            <w:pPr>
              <w:jc w:val="center"/>
              <w:rPr>
                <w:color w:val="000000" w:themeColor="text1"/>
                <w:szCs w:val="21"/>
                <w:highlight w:val="none"/>
                <w14:textFill>
                  <w14:solidFill>
                    <w14:schemeClr w14:val="tx1"/>
                  </w14:solidFill>
                </w14:textFill>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p>
        </w:tc>
        <w:tc>
          <w:tcPr>
            <w:tcW w:w="2386" w:type="dxa"/>
            <w:vAlign w:val="center"/>
          </w:tcPr>
          <w:p w14:paraId="732A8427">
            <w:pPr>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电话</w:t>
            </w:r>
          </w:p>
        </w:tc>
        <w:tc>
          <w:tcPr>
            <w:tcW w:w="5444" w:type="dxa"/>
            <w:gridSpan w:val="4"/>
            <w:vAlign w:val="center"/>
          </w:tcPr>
          <w:p w14:paraId="411CC2C8">
            <w:pPr>
              <w:jc w:val="center"/>
              <w:rPr>
                <w:color w:val="000000" w:themeColor="text1"/>
                <w:szCs w:val="21"/>
                <w:highlight w:val="none"/>
                <w14:textFill>
                  <w14:solidFill>
                    <w14:schemeClr w14:val="tx1"/>
                  </w14:solidFill>
                </w14:textFill>
              </w:rPr>
            </w:pPr>
          </w:p>
        </w:tc>
      </w:tr>
    </w:tbl>
    <w:p w14:paraId="6B021454">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注：需附税务登记证相关证明材料。</w:t>
      </w:r>
    </w:p>
    <w:p w14:paraId="49D2C164">
      <w:pPr>
        <w:spacing w:line="360" w:lineRule="auto"/>
        <w:ind w:firstLine="420" w:firstLineChars="200"/>
        <w:rPr>
          <w:color w:val="000000" w:themeColor="text1"/>
          <w:highlight w:val="none"/>
          <w14:textFill>
            <w14:solidFill>
              <w14:schemeClr w14:val="tx1"/>
            </w14:solidFill>
          </w14:textFill>
        </w:rPr>
      </w:pPr>
    </w:p>
    <w:p w14:paraId="3552024E">
      <w:pPr>
        <w:spacing w:line="360" w:lineRule="auto"/>
        <w:rPr>
          <w:color w:val="000000" w:themeColor="text1"/>
          <w:szCs w:val="21"/>
          <w:highlight w:val="none"/>
          <w14:textFill>
            <w14:solidFill>
              <w14:schemeClr w14:val="tx1"/>
            </w14:solidFill>
          </w14:textFill>
        </w:rPr>
      </w:pPr>
    </w:p>
    <w:p w14:paraId="262F302C">
      <w:pPr>
        <w:spacing w:line="360" w:lineRule="auto"/>
        <w:rPr>
          <w:color w:val="000000" w:themeColor="text1"/>
          <w:szCs w:val="21"/>
          <w:highlight w:val="none"/>
          <w14:textFill>
            <w14:solidFill>
              <w14:schemeClr w14:val="tx1"/>
            </w14:solidFill>
          </w14:textFill>
        </w:rPr>
      </w:pPr>
    </w:p>
    <w:p w14:paraId="7B57C68C">
      <w:pPr>
        <w:spacing w:line="360" w:lineRule="auto"/>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7168DC65">
      <w:pPr>
        <w:spacing w:line="360" w:lineRule="auto"/>
        <w:rPr>
          <w:color w:val="000000" w:themeColor="text1"/>
          <w:highlight w:val="none"/>
          <w14:textFill>
            <w14:solidFill>
              <w14:schemeClr w14:val="tx1"/>
            </w14:solidFill>
          </w14:textFill>
        </w:rPr>
      </w:pPr>
    </w:p>
    <w:p w14:paraId="5EDC127D">
      <w:pPr>
        <w:spacing w:line="360" w:lineRule="auto"/>
        <w:rPr>
          <w:color w:val="000000" w:themeColor="text1"/>
          <w:highlight w:val="none"/>
          <w14:textFill>
            <w14:solidFill>
              <w14:schemeClr w14:val="tx1"/>
            </w14:solidFill>
          </w14:textFill>
        </w:rPr>
      </w:pPr>
    </w:p>
    <w:p w14:paraId="3BBE32BB">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0AAD0A4D">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26C5FEBA">
      <w:pPr>
        <w:rPr>
          <w:rStyle w:val="46"/>
          <w:rFonts w:ascii="Times New Roman" w:hAnsi="Times New Roman" w:eastAsia="宋体"/>
          <w:b w:val="0"/>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28794DE3">
      <w:pPr>
        <w:jc w:val="center"/>
        <w:rPr>
          <w:rFonts w:ascii="宋体"/>
          <w:b/>
          <w:color w:val="000000" w:themeColor="text1"/>
          <w:spacing w:val="20"/>
          <w:sz w:val="32"/>
          <w:szCs w:val="32"/>
          <w:highlight w:val="none"/>
          <w14:textFill>
            <w14:solidFill>
              <w14:schemeClr w14:val="tx1"/>
            </w14:solidFill>
          </w14:textFill>
        </w:rPr>
      </w:pPr>
      <w:r>
        <w:rPr>
          <w:rFonts w:hint="eastAsia" w:ascii="宋体" w:hAnsi="宋体"/>
          <w:b/>
          <w:color w:val="000000" w:themeColor="text1"/>
          <w:spacing w:val="20"/>
          <w:sz w:val="32"/>
          <w:szCs w:val="32"/>
          <w:highlight w:val="none"/>
          <w14:textFill>
            <w14:solidFill>
              <w14:schemeClr w14:val="tx1"/>
            </w14:solidFill>
          </w14:textFill>
        </w:rPr>
        <w:t>公司简介、资质证明、业绩证明等</w:t>
      </w:r>
    </w:p>
    <w:p w14:paraId="50ADD6EE">
      <w:pPr>
        <w:jc w:val="center"/>
        <w:rPr>
          <w:color w:val="000000" w:themeColor="text1"/>
          <w:spacing w:val="20"/>
          <w:sz w:val="28"/>
          <w:szCs w:val="28"/>
          <w:highlight w:val="none"/>
          <w14:textFill>
            <w14:solidFill>
              <w14:schemeClr w14:val="tx1"/>
            </w14:solidFill>
          </w14:textFill>
        </w:rPr>
      </w:pPr>
      <w:r>
        <w:rPr>
          <w:rFonts w:hint="eastAsia"/>
          <w:color w:val="000000" w:themeColor="text1"/>
          <w:spacing w:val="20"/>
          <w:sz w:val="28"/>
          <w:szCs w:val="28"/>
          <w:highlight w:val="none"/>
          <w14:textFill>
            <w14:solidFill>
              <w14:schemeClr w14:val="tx1"/>
            </w14:solidFill>
          </w14:textFill>
        </w:rPr>
        <w:t>（需每页加盖公章）</w:t>
      </w:r>
    </w:p>
    <w:p w14:paraId="2F858682">
      <w:pPr>
        <w:rPr>
          <w:rStyle w:val="46"/>
          <w:rFonts w:ascii="Times New Roman" w:hAnsi="Times New Roman" w:eastAsia="宋体"/>
          <w:b w:val="0"/>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11"/>
        </w:numPr>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hint="eastAsia" w:ascii="Times New Roman" w:hAnsi="Times New Roman" w:eastAsia="宋体"/>
          <w:b/>
          <w:bCs w:val="0"/>
          <w:color w:val="000000" w:themeColor="text1"/>
          <w:sz w:val="32"/>
          <w:highlight w:val="none"/>
          <w14:textFill>
            <w14:solidFill>
              <w14:schemeClr w14:val="tx1"/>
            </w14:solidFill>
          </w14:textFill>
        </w:rPr>
        <w:t>技术</w:t>
      </w:r>
      <w:r>
        <w:rPr>
          <w:rStyle w:val="46"/>
          <w:rFonts w:ascii="Times New Roman" w:hAnsi="Times New Roman" w:eastAsia="宋体"/>
          <w:b/>
          <w:bCs w:val="0"/>
          <w:color w:val="000000" w:themeColor="text1"/>
          <w:sz w:val="32"/>
          <w:highlight w:val="none"/>
          <w14:textFill>
            <w14:solidFill>
              <w14:schemeClr w14:val="tx1"/>
            </w14:solidFill>
          </w14:textFill>
        </w:rPr>
        <w:t>部分</w:t>
      </w:r>
    </w:p>
    <w:p w14:paraId="4693CF1C">
      <w:pPr>
        <w:rPr>
          <w:color w:val="000000" w:themeColor="text1"/>
          <w:highlight w:val="none"/>
          <w14:textFill>
            <w14:solidFill>
              <w14:schemeClr w14:val="tx1"/>
            </w14:solidFill>
          </w14:textFill>
        </w:rPr>
      </w:pPr>
    </w:p>
    <w:p w14:paraId="2F7D4289">
      <w:pPr>
        <w:pStyle w:val="3"/>
        <w:spacing w:before="240" w:beforeLines="100" w:after="120" w:afterLines="50" w:line="360" w:lineRule="auto"/>
        <w:rPr>
          <w:rStyle w:val="46"/>
          <w:rFonts w:ascii="Times New Roman" w:hAnsi="Times New Roman" w:eastAsia="宋体"/>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b/>
          <w:bCs w:val="0"/>
          <w:color w:val="000000" w:themeColor="text1"/>
          <w:sz w:val="28"/>
          <w:szCs w:val="28"/>
          <w:highlight w:val="none"/>
          <w14:textFill>
            <w14:solidFill>
              <w14:schemeClr w14:val="tx1"/>
            </w14:solidFill>
          </w14:textFill>
        </w:rPr>
        <w:t>技术方案</w:t>
      </w:r>
      <w:r>
        <w:rPr>
          <w:rStyle w:val="46"/>
          <w:rFonts w:ascii="Times New Roman" w:hAnsi="Times New Roman" w:eastAsia="宋体"/>
          <w:b/>
          <w:bCs w:val="0"/>
          <w:color w:val="000000" w:themeColor="text1"/>
          <w:sz w:val="28"/>
          <w:szCs w:val="28"/>
          <w:highlight w:val="none"/>
          <w14:textFill>
            <w14:solidFill>
              <w14:schemeClr w14:val="tx1"/>
            </w14:solidFill>
          </w14:textFill>
        </w:rPr>
        <w:t>格式</w:t>
      </w:r>
    </w:p>
    <w:p w14:paraId="736E41A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1.工程概述：主要对拟投施工</w:t>
      </w:r>
      <w:r>
        <w:rPr>
          <w:rFonts w:hint="eastAsia" w:ascii="宋体" w:hAnsi="宋体"/>
          <w:color w:val="000000" w:themeColor="text1"/>
          <w:sz w:val="24"/>
          <w:highlight w:val="none"/>
          <w14:textFill>
            <w14:solidFill>
              <w14:schemeClr w14:val="tx1"/>
            </w14:solidFill>
          </w14:textFill>
        </w:rPr>
        <w:t>段落</w:t>
      </w:r>
      <w:r>
        <w:rPr>
          <w:rFonts w:ascii="宋体" w:hAnsi="宋体"/>
          <w:color w:val="000000" w:themeColor="text1"/>
          <w:sz w:val="24"/>
          <w:highlight w:val="none"/>
          <w14:textFill>
            <w14:solidFill>
              <w14:schemeClr w14:val="tx1"/>
            </w14:solidFill>
          </w14:textFill>
        </w:rPr>
        <w:t>的工程总体概况进行简单描述。</w:t>
      </w:r>
    </w:p>
    <w:p w14:paraId="4B55883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范围</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依据</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合同中</w:t>
      </w:r>
      <w:r>
        <w:rPr>
          <w:rFonts w:hint="eastAsia" w:ascii="宋体" w:hAnsi="宋体"/>
          <w:color w:val="000000" w:themeColor="text1"/>
          <w:sz w:val="24"/>
          <w:highlight w:val="none"/>
          <w14:textFill>
            <w14:solidFill>
              <w14:schemeClr w14:val="tx1"/>
            </w14:solidFill>
          </w14:textFill>
        </w:rPr>
        <w:t>约</w:t>
      </w:r>
      <w:r>
        <w:rPr>
          <w:rFonts w:ascii="宋体" w:hAnsi="宋体"/>
          <w:color w:val="000000" w:themeColor="text1"/>
          <w:sz w:val="24"/>
          <w:highlight w:val="none"/>
          <w14:textFill>
            <w14:solidFill>
              <w14:schemeClr w14:val="tx1"/>
            </w14:solidFill>
          </w14:textFill>
        </w:rPr>
        <w:t>定的</w:t>
      </w:r>
      <w:r>
        <w:rPr>
          <w:rFonts w:hint="eastAsia" w:ascii="宋体" w:hAnsi="宋体"/>
          <w:color w:val="000000" w:themeColor="text1"/>
          <w:sz w:val="24"/>
          <w:highlight w:val="none"/>
          <w14:textFill>
            <w14:solidFill>
              <w14:schemeClr w14:val="tx1"/>
            </w14:solidFill>
          </w14:textFill>
        </w:rPr>
        <w:t>施工范围</w:t>
      </w:r>
      <w:r>
        <w:rPr>
          <w:rFonts w:ascii="宋体" w:hAnsi="宋体"/>
          <w:color w:val="000000" w:themeColor="text1"/>
          <w:sz w:val="24"/>
          <w:highlight w:val="none"/>
          <w14:textFill>
            <w14:solidFill>
              <w14:schemeClr w14:val="tx1"/>
            </w14:solidFill>
          </w14:textFill>
        </w:rPr>
        <w:t>范围，对拟投施工</w:t>
      </w:r>
      <w:r>
        <w:rPr>
          <w:rFonts w:hint="eastAsia" w:ascii="宋体" w:hAnsi="宋体"/>
          <w:color w:val="000000" w:themeColor="text1"/>
          <w:sz w:val="24"/>
          <w:highlight w:val="none"/>
          <w14:textFill>
            <w14:solidFill>
              <w14:schemeClr w14:val="tx1"/>
            </w14:solidFill>
          </w14:textFill>
        </w:rPr>
        <w:t>段落</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施工准备阶段、施工阶段、交工阶段工作</w:t>
      </w:r>
      <w:r>
        <w:rPr>
          <w:rFonts w:ascii="宋体" w:hAnsi="宋体"/>
          <w:color w:val="000000" w:themeColor="text1"/>
          <w:sz w:val="24"/>
          <w:highlight w:val="none"/>
          <w14:textFill>
            <w14:solidFill>
              <w14:schemeClr w14:val="tx1"/>
            </w14:solidFill>
          </w14:textFill>
        </w:rPr>
        <w:t>安排、主要人员的岗位职责进行必要的阐述。</w:t>
      </w:r>
    </w:p>
    <w:p w14:paraId="2B567F7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3.现场组织机构设置与人员安排：通过框图形式，明确拟投</w:t>
      </w:r>
      <w:r>
        <w:rPr>
          <w:rFonts w:hint="eastAsia" w:ascii="宋体" w:hAnsi="宋体"/>
          <w:color w:val="000000" w:themeColor="text1"/>
          <w:sz w:val="24"/>
          <w:highlight w:val="none"/>
          <w14:textFill>
            <w14:solidFill>
              <w14:schemeClr w14:val="tx1"/>
            </w14:solidFill>
          </w14:textFill>
        </w:rPr>
        <w:t>施工段落</w:t>
      </w:r>
      <w:r>
        <w:rPr>
          <w:rFonts w:ascii="宋体" w:hAnsi="宋体"/>
          <w:color w:val="000000" w:themeColor="text1"/>
          <w:sz w:val="24"/>
          <w:highlight w:val="none"/>
          <w14:textFill>
            <w14:solidFill>
              <w14:schemeClr w14:val="tx1"/>
            </w14:solidFill>
          </w14:textFill>
        </w:rPr>
        <w:t>的组织机构设置。</w:t>
      </w:r>
    </w:p>
    <w:p w14:paraId="3065C763">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设备和设施的配备：</w:t>
      </w:r>
      <w:r>
        <w:rPr>
          <w:rFonts w:hint="eastAsia"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14:textFill>
            <w14:solidFill>
              <w14:schemeClr w14:val="tx1"/>
            </w14:solidFill>
          </w14:textFill>
        </w:rPr>
        <w:t>根据拟投</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段落的现场工作需要，对其拟投入本</w:t>
      </w:r>
      <w:r>
        <w:rPr>
          <w:rFonts w:hint="eastAsia" w:ascii="宋体" w:hAnsi="宋体"/>
          <w:color w:val="000000" w:themeColor="text1"/>
          <w:sz w:val="24"/>
          <w:highlight w:val="none"/>
          <w14:textFill>
            <w14:solidFill>
              <w14:schemeClr w14:val="tx1"/>
            </w14:solidFill>
          </w14:textFill>
        </w:rPr>
        <w:t>工程</w:t>
      </w:r>
      <w:r>
        <w:rPr>
          <w:rFonts w:ascii="宋体" w:hAnsi="宋体"/>
          <w:color w:val="000000" w:themeColor="text1"/>
          <w:sz w:val="24"/>
          <w:highlight w:val="none"/>
          <w14:textFill>
            <w14:solidFill>
              <w14:schemeClr w14:val="tx1"/>
            </w14:solidFill>
          </w14:textFill>
        </w:rPr>
        <w:t>的设备和设施的配备等情况做简要介绍</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p>
    <w:p w14:paraId="4B9EE6CC">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组织设计：结合</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段落，对专项施工方案</w:t>
      </w:r>
      <w:r>
        <w:rPr>
          <w:rFonts w:hint="eastAsia" w:ascii="宋体" w:hAnsi="宋体"/>
          <w:color w:val="000000" w:themeColor="text1"/>
          <w:sz w:val="24"/>
          <w:highlight w:val="none"/>
          <w14:textFill>
            <w14:solidFill>
              <w14:schemeClr w14:val="tx1"/>
            </w14:solidFill>
          </w14:textFill>
        </w:rPr>
        <w:t>、施工布置、组织安排、</w:t>
      </w:r>
      <w:r>
        <w:rPr>
          <w:rFonts w:ascii="宋体" w:hAnsi="宋体"/>
          <w:color w:val="000000" w:themeColor="text1"/>
          <w:sz w:val="24"/>
          <w:highlight w:val="none"/>
          <w14:textFill>
            <w14:solidFill>
              <w14:schemeClr w14:val="tx1"/>
            </w14:solidFill>
          </w14:textFill>
        </w:rPr>
        <w:t>工程质量控制、进度控制、</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安全控制、</w:t>
      </w:r>
      <w:r>
        <w:rPr>
          <w:rFonts w:hint="eastAsia" w:ascii="宋体" w:hAnsi="宋体"/>
          <w:color w:val="000000" w:themeColor="text1"/>
          <w:sz w:val="24"/>
          <w:highlight w:val="none"/>
          <w14:textFill>
            <w14:solidFill>
              <w14:schemeClr w14:val="tx1"/>
            </w14:solidFill>
          </w14:textFill>
        </w:rPr>
        <w:t>施工环境保护、费用</w:t>
      </w:r>
      <w:r>
        <w:rPr>
          <w:rFonts w:ascii="宋体" w:hAnsi="宋体"/>
          <w:color w:val="000000" w:themeColor="text1"/>
          <w:sz w:val="24"/>
          <w:highlight w:val="none"/>
          <w14:textFill>
            <w14:solidFill>
              <w14:schemeClr w14:val="tx1"/>
            </w14:solidFill>
          </w14:textFill>
        </w:rPr>
        <w:t>控制、</w:t>
      </w:r>
      <w:r>
        <w:rPr>
          <w:rFonts w:hint="eastAsia" w:ascii="宋体" w:hAnsi="宋体"/>
          <w:color w:val="000000" w:themeColor="text1"/>
          <w:sz w:val="24"/>
          <w:highlight w:val="none"/>
          <w14:textFill>
            <w14:solidFill>
              <w14:schemeClr w14:val="tx1"/>
            </w14:solidFill>
          </w14:textFill>
        </w:rPr>
        <w:t>合同及其他事项</w:t>
      </w:r>
      <w:r>
        <w:rPr>
          <w:rFonts w:ascii="宋体" w:hAnsi="宋体"/>
          <w:color w:val="000000" w:themeColor="text1"/>
          <w:sz w:val="24"/>
          <w:highlight w:val="none"/>
          <w14:textFill>
            <w14:solidFill>
              <w14:schemeClr w14:val="tx1"/>
            </w14:solidFill>
          </w14:textFill>
        </w:rPr>
        <w:t>管理</w:t>
      </w:r>
      <w:r>
        <w:rPr>
          <w:rFonts w:hint="eastAsia" w:ascii="宋体" w:hAnsi="宋体"/>
          <w:color w:val="000000" w:themeColor="text1"/>
          <w:sz w:val="24"/>
          <w:highlight w:val="none"/>
          <w14:textFill>
            <w14:solidFill>
              <w14:schemeClr w14:val="tx1"/>
            </w14:solidFill>
          </w14:textFill>
        </w:rPr>
        <w:t>、文件资料管理</w:t>
      </w:r>
      <w:r>
        <w:rPr>
          <w:rFonts w:ascii="宋体" w:hAnsi="宋体"/>
          <w:color w:val="000000" w:themeColor="text1"/>
          <w:sz w:val="24"/>
          <w:highlight w:val="none"/>
          <w14:textFill>
            <w14:solidFill>
              <w14:schemeClr w14:val="tx1"/>
            </w14:solidFill>
          </w14:textFill>
        </w:rPr>
        <w:t>等方面进行</w:t>
      </w:r>
      <w:r>
        <w:rPr>
          <w:rFonts w:hint="eastAsia" w:ascii="宋体" w:hAnsi="宋体"/>
          <w:color w:val="000000" w:themeColor="text1"/>
          <w:sz w:val="24"/>
          <w:highlight w:val="none"/>
          <w14:textFill>
            <w14:solidFill>
              <w14:schemeClr w14:val="tx1"/>
            </w14:solidFill>
          </w14:textFill>
        </w:rPr>
        <w:t>简要</w:t>
      </w:r>
      <w:r>
        <w:rPr>
          <w:rFonts w:ascii="宋体" w:hAnsi="宋体"/>
          <w:color w:val="000000" w:themeColor="text1"/>
          <w:sz w:val="24"/>
          <w:highlight w:val="none"/>
          <w14:textFill>
            <w14:solidFill>
              <w14:schemeClr w14:val="tx1"/>
            </w14:solidFill>
          </w14:textFill>
        </w:rPr>
        <w:t>阐述。</w:t>
      </w:r>
    </w:p>
    <w:p w14:paraId="2A09050A">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.本工程</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的重点与难点分析：根据采购文件及现场考察，对本</w:t>
      </w:r>
      <w:r>
        <w:rPr>
          <w:rFonts w:hint="eastAsia" w:ascii="宋体" w:hAnsi="宋体"/>
          <w:color w:val="000000" w:themeColor="text1"/>
          <w:sz w:val="24"/>
          <w:highlight w:val="none"/>
          <w14:textFill>
            <w14:solidFill>
              <w14:schemeClr w14:val="tx1"/>
            </w14:solidFill>
          </w14:textFill>
        </w:rPr>
        <w:t>工程施工</w:t>
      </w:r>
      <w:r>
        <w:rPr>
          <w:rFonts w:ascii="宋体" w:hAnsi="宋体"/>
          <w:color w:val="000000" w:themeColor="text1"/>
          <w:sz w:val="24"/>
          <w:highlight w:val="none"/>
          <w14:textFill>
            <w14:solidFill>
              <w14:schemeClr w14:val="tx1"/>
            </w14:solidFill>
          </w14:textFill>
        </w:rPr>
        <w:t>需要特别给予重视的问题逐一论述并给出解决方法。</w:t>
      </w:r>
    </w:p>
    <w:p w14:paraId="37131DCF">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对本工程</w:t>
      </w:r>
      <w:r>
        <w:rPr>
          <w:rFonts w:ascii="宋体" w:hAnsi="宋体"/>
          <w:color w:val="000000" w:themeColor="text1"/>
          <w:sz w:val="24"/>
          <w:highlight w:val="none"/>
          <w14:textFill>
            <w14:solidFill>
              <w14:schemeClr w14:val="tx1"/>
            </w14:solidFill>
          </w14:textFill>
        </w:rPr>
        <w:t>建议：为更好地完成本</w:t>
      </w:r>
      <w:r>
        <w:rPr>
          <w:rFonts w:hint="eastAsia" w:ascii="宋体" w:hAnsi="宋体"/>
          <w:color w:val="000000" w:themeColor="text1"/>
          <w:sz w:val="24"/>
          <w:highlight w:val="none"/>
          <w14:textFill>
            <w14:solidFill>
              <w14:schemeClr w14:val="tx1"/>
            </w14:solidFill>
          </w14:textFill>
        </w:rPr>
        <w:t>工程</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14:textFill>
            <w14:solidFill>
              <w14:schemeClr w14:val="tx1"/>
            </w14:solidFill>
          </w14:textFill>
        </w:rPr>
        <w:t>可根据以往的经验，对本</w:t>
      </w:r>
      <w:r>
        <w:rPr>
          <w:rFonts w:hint="eastAsia" w:ascii="宋体" w:hAnsi="宋体"/>
          <w:color w:val="000000" w:themeColor="text1"/>
          <w:sz w:val="24"/>
          <w:highlight w:val="none"/>
          <w14:textFill>
            <w14:solidFill>
              <w14:schemeClr w14:val="tx1"/>
            </w14:solidFill>
          </w14:textFill>
        </w:rPr>
        <w:t>工程施工</w:t>
      </w:r>
      <w:r>
        <w:rPr>
          <w:rFonts w:ascii="宋体" w:hAnsi="宋体"/>
          <w:color w:val="000000" w:themeColor="text1"/>
          <w:sz w:val="24"/>
          <w:highlight w:val="none"/>
          <w14:textFill>
            <w14:solidFill>
              <w14:schemeClr w14:val="tx1"/>
            </w14:solidFill>
          </w14:textFill>
        </w:rPr>
        <w:t>工作提出建议。</w:t>
      </w:r>
    </w:p>
    <w:p w14:paraId="736B6B7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8.其他响应单位认为需要说明的事项。</w:t>
      </w:r>
    </w:p>
    <w:p w14:paraId="7B07535A">
      <w:pPr>
        <w:spacing w:line="360" w:lineRule="auto"/>
        <w:rPr>
          <w:color w:val="000000" w:themeColor="text1"/>
          <w:highlight w:val="none"/>
          <w14:textFill>
            <w14:solidFill>
              <w14:schemeClr w14:val="tx1"/>
            </w14:solidFill>
          </w14:textFill>
        </w:rPr>
      </w:pPr>
    </w:p>
    <w:p w14:paraId="6315A5B2">
      <w:pPr>
        <w:spacing w:line="360" w:lineRule="auto"/>
        <w:rPr>
          <w:color w:val="000000" w:themeColor="text1"/>
          <w:highlight w:val="none"/>
          <w14:textFill>
            <w14:solidFill>
              <w14:schemeClr w14:val="tx1"/>
            </w14:solidFill>
          </w14:textFill>
        </w:rPr>
      </w:pPr>
    </w:p>
    <w:p w14:paraId="32573A71">
      <w:pPr>
        <w:jc w:val="center"/>
        <w:rPr>
          <w:rFonts w:hint="eastAsia" w:ascii="宋体" w:hAnsi="宋体"/>
          <w:b/>
          <w:color w:val="000000" w:themeColor="text1"/>
          <w:spacing w:val="20"/>
          <w:sz w:val="32"/>
          <w:szCs w:val="32"/>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color w:val="000000" w:themeColor="text1"/>
          <w:spacing w:val="20"/>
          <w:sz w:val="32"/>
          <w:szCs w:val="32"/>
          <w:highlight w:val="none"/>
          <w14:textFill>
            <w14:solidFill>
              <w14:schemeClr w14:val="tx1"/>
            </w14:solidFill>
          </w14:textFill>
        </w:rPr>
      </w:pPr>
      <w:r>
        <w:rPr>
          <w:rFonts w:hint="eastAsia" w:ascii="宋体" w:hAnsi="宋体"/>
          <w:b/>
          <w:color w:val="000000" w:themeColor="text1"/>
          <w:spacing w:val="20"/>
          <w:sz w:val="32"/>
          <w:szCs w:val="32"/>
          <w:highlight w:val="none"/>
          <w14:textFill>
            <w14:solidFill>
              <w14:schemeClr w14:val="tx1"/>
            </w14:solidFill>
          </w14:textFill>
        </w:rPr>
        <w:t>承诺或其它优惠条件</w:t>
      </w:r>
    </w:p>
    <w:p w14:paraId="49A50DD9">
      <w:pPr>
        <w:jc w:val="center"/>
        <w:rPr>
          <w:color w:val="000000" w:themeColor="text1"/>
          <w:spacing w:val="20"/>
          <w:sz w:val="28"/>
          <w:szCs w:val="28"/>
          <w:highlight w:val="none"/>
          <w14:textFill>
            <w14:solidFill>
              <w14:schemeClr w14:val="tx1"/>
            </w14:solidFill>
          </w14:textFill>
        </w:rPr>
      </w:pPr>
      <w:r>
        <w:rPr>
          <w:rFonts w:hint="eastAsia"/>
          <w:color w:val="000000" w:themeColor="text1"/>
          <w:spacing w:val="20"/>
          <w:sz w:val="28"/>
          <w:szCs w:val="28"/>
          <w:highlight w:val="none"/>
          <w14:textFill>
            <w14:solidFill>
              <w14:schemeClr w14:val="tx1"/>
            </w14:solidFill>
          </w14:textFill>
        </w:rPr>
        <w:t>（需每页加盖公章）</w:t>
      </w:r>
    </w:p>
    <w:p w14:paraId="5C112887">
      <w:pPr>
        <w:spacing w:line="360" w:lineRule="auto"/>
        <w:rPr>
          <w:color w:val="000000" w:themeColor="text1"/>
          <w:highlight w:val="none"/>
          <w14:textFill>
            <w14:solidFill>
              <w14:schemeClr w14:val="tx1"/>
            </w14:solidFill>
          </w14:textFill>
        </w:rPr>
      </w:pPr>
    </w:p>
    <w:p w14:paraId="194CB610">
      <w:pPr>
        <w:spacing w:line="360" w:lineRule="auto"/>
        <w:rPr>
          <w:color w:val="000000" w:themeColor="text1"/>
          <w:highlight w:val="none"/>
          <w14:textFill>
            <w14:solidFill>
              <w14:schemeClr w14:val="tx1"/>
            </w14:solidFill>
          </w14:textFill>
        </w:rPr>
      </w:pPr>
    </w:p>
    <w:p w14:paraId="2EF13052">
      <w:pPr>
        <w:pStyle w:val="3"/>
        <w:spacing w:before="240" w:beforeLines="100" w:after="120" w:afterLines="50" w:line="360" w:lineRule="auto"/>
        <w:rPr>
          <w:rStyle w:val="46"/>
          <w:rFonts w:hint="eastAsia" w:ascii="Times New Roman" w:hAnsi="宋体" w:eastAsia="宋体"/>
          <w:b/>
          <w:bCs w:val="0"/>
          <w:color w:val="000000" w:themeColor="text1"/>
          <w:sz w:val="28"/>
          <w:szCs w:val="28"/>
          <w:highlight w:val="none"/>
          <w14:textFill>
            <w14:solidFill>
              <w14:schemeClr w14:val="tx1"/>
            </w14:solidFill>
          </w14:textFill>
        </w:rPr>
      </w:pPr>
      <w:bookmarkStart w:id="1687" w:name="_Toc284135598"/>
      <w:bookmarkStart w:id="1688" w:name="_Toc145499771"/>
      <w:r>
        <w:rPr>
          <w:rStyle w:val="46"/>
          <w:rFonts w:hint="eastAsia" w:ascii="Times New Roman" w:hAnsi="宋体" w:eastAsia="宋体"/>
          <w:b/>
          <w:bCs w:val="0"/>
          <w:color w:val="000000" w:themeColor="text1"/>
          <w:sz w:val="28"/>
          <w:szCs w:val="28"/>
          <w:highlight w:val="none"/>
          <w14:textFill>
            <w14:solidFill>
              <w14:schemeClr w14:val="tx1"/>
            </w14:solidFill>
          </w14:textFill>
        </w:rPr>
        <w:t>如提供的资金、技术等方面的支持、保障等其他承诺</w:t>
      </w:r>
    </w:p>
    <w:p w14:paraId="75D78F94">
      <w:pPr>
        <w:rPr>
          <w:color w:val="000000" w:themeColor="text1"/>
          <w:highlight w:val="none"/>
          <w14:textFill>
            <w14:solidFill>
              <w14:schemeClr w14:val="tx1"/>
            </w14:solidFill>
          </w14:textFill>
        </w:rPr>
      </w:pPr>
    </w:p>
    <w:p w14:paraId="49349066">
      <w:pPr>
        <w:rPr>
          <w:color w:val="000000" w:themeColor="text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B59FD31">
      <w:pPr>
        <w:pStyle w:val="3"/>
        <w:spacing w:before="240" w:beforeLines="100" w:after="120" w:afterLines="50" w:line="360" w:lineRule="auto"/>
        <w:rPr>
          <w:rFonts w:hint="eastAsia" w:ascii="Times New Roman" w:hAnsi="宋体" w:eastAsia="宋体"/>
          <w:bCs w:val="0"/>
          <w:color w:val="000000" w:themeColor="text1"/>
          <w:sz w:val="28"/>
          <w:szCs w:val="28"/>
          <w:highlight w:val="none"/>
          <w14:textFill>
            <w14:solidFill>
              <w14:schemeClr w14:val="tx1"/>
            </w14:solidFill>
          </w14:textFill>
        </w:rPr>
      </w:pPr>
      <w:r>
        <w:rPr>
          <w:rStyle w:val="46"/>
          <w:rFonts w:ascii="Times New Roman" w:hAnsi="宋体" w:eastAsia="宋体"/>
          <w:b/>
          <w:bCs w:val="0"/>
          <w:color w:val="000000" w:themeColor="text1"/>
          <w:sz w:val="28"/>
          <w:szCs w:val="28"/>
          <w:highlight w:val="none"/>
          <w14:textFill>
            <w14:solidFill>
              <w14:schemeClr w14:val="tx1"/>
            </w14:solidFill>
          </w14:textFill>
        </w:rPr>
        <w:t>附件</w:t>
      </w:r>
      <w:bookmarkEnd w:id="1687"/>
      <w:bookmarkEnd w:id="1688"/>
      <w:r>
        <w:rPr>
          <w:rStyle w:val="46"/>
          <w:rFonts w:hint="eastAsia" w:ascii="Times New Roman" w:hAnsi="宋体" w:eastAsia="宋体"/>
          <w:b/>
          <w:bCs w:val="0"/>
          <w:color w:val="000000" w:themeColor="text1"/>
          <w:sz w:val="28"/>
          <w:szCs w:val="28"/>
          <w:highlight w:val="none"/>
          <w14:textFill>
            <w14:solidFill>
              <w14:schemeClr w14:val="tx1"/>
            </w14:solidFill>
          </w14:textFill>
        </w:rPr>
        <w:t>一:评审办法</w:t>
      </w:r>
    </w:p>
    <w:p w14:paraId="4BFAFA8B">
      <w:pPr>
        <w:spacing w:line="360" w:lineRule="auto"/>
        <w:jc w:val="center"/>
        <w:rPr>
          <w:rFonts w:hint="eastAsia" w:hAnsi="宋体"/>
          <w:b/>
          <w:color w:val="000000" w:themeColor="text1"/>
          <w:sz w:val="30"/>
          <w:szCs w:val="30"/>
          <w:highlight w:val="none"/>
          <w14:textFill>
            <w14:solidFill>
              <w14:schemeClr w14:val="tx1"/>
            </w14:solidFill>
          </w14:textFill>
        </w:rPr>
      </w:pPr>
      <w:r>
        <w:rPr>
          <w:rFonts w:hint="eastAsia" w:ascii="Times New Roman" w:hAnsi="宋体" w:eastAsia="宋体" w:cs="Times New Roman"/>
          <w:b/>
          <w:color w:val="000000" w:themeColor="text1"/>
          <w:sz w:val="30"/>
          <w:szCs w:val="30"/>
          <w:highlight w:val="none"/>
          <w:lang w:eastAsia="zh-CN"/>
          <w14:textFill>
            <w14:solidFill>
              <w14:schemeClr w14:val="tx1"/>
            </w14:solidFill>
          </w14:textFill>
        </w:rPr>
        <w:t>广西</w:t>
      </w:r>
      <w:r>
        <w:rPr>
          <w:rFonts w:hint="eastAsia" w:ascii="Times New Roman" w:hAnsi="宋体" w:eastAsia="宋体" w:cs="Times New Roman"/>
          <w:b/>
          <w:color w:val="000000" w:themeColor="text1"/>
          <w:sz w:val="30"/>
          <w:szCs w:val="30"/>
          <w:highlight w:val="none"/>
          <w:lang w:val="en-US" w:eastAsia="zh-CN"/>
          <w14:textFill>
            <w14:solidFill>
              <w14:schemeClr w14:val="tx1"/>
            </w14:solidFill>
          </w14:textFill>
        </w:rPr>
        <w:t>桂林项目</w:t>
      </w:r>
      <w:r>
        <w:rPr>
          <w:rFonts w:hint="eastAsia" w:ascii="Times New Roman" w:hAnsi="宋体" w:eastAsia="宋体" w:cs="Times New Roman"/>
          <w:b/>
          <w:color w:val="000000" w:themeColor="text1"/>
          <w:sz w:val="30"/>
          <w:szCs w:val="30"/>
          <w:highlight w:val="none"/>
          <w14:textFill>
            <w14:solidFill>
              <w14:schemeClr w14:val="tx1"/>
            </w14:solidFill>
          </w14:textFill>
        </w:rPr>
        <w:t>路面封层撒布施工劳务分包工程分</w:t>
      </w:r>
      <w:r>
        <w:rPr>
          <w:rFonts w:hint="eastAsia" w:hAnsi="宋体"/>
          <w:b/>
          <w:color w:val="000000" w:themeColor="text1"/>
          <w:sz w:val="30"/>
          <w:szCs w:val="30"/>
          <w:highlight w:val="none"/>
          <w14:textFill>
            <w14:solidFill>
              <w14:schemeClr w14:val="tx1"/>
            </w14:solidFill>
          </w14:textFill>
        </w:rPr>
        <w:t>包工程</w:t>
      </w:r>
    </w:p>
    <w:p w14:paraId="1652FACC">
      <w:pPr>
        <w:spacing w:line="360" w:lineRule="auto"/>
        <w:jc w:val="center"/>
        <w:rPr>
          <w:b/>
          <w:color w:val="000000" w:themeColor="text1"/>
          <w:sz w:val="30"/>
          <w:szCs w:val="30"/>
          <w:highlight w:val="none"/>
          <w14:textFill>
            <w14:solidFill>
              <w14:schemeClr w14:val="tx1"/>
            </w14:solidFill>
          </w14:textFill>
        </w:rPr>
      </w:pPr>
      <w:r>
        <w:rPr>
          <w:rFonts w:hAnsi="宋体"/>
          <w:b/>
          <w:color w:val="000000" w:themeColor="text1"/>
          <w:sz w:val="30"/>
          <w:szCs w:val="30"/>
          <w:highlight w:val="none"/>
          <w14:textFill>
            <w14:solidFill>
              <w14:schemeClr w14:val="tx1"/>
            </w14:solidFill>
          </w14:textFill>
        </w:rPr>
        <w:t>采购</w:t>
      </w:r>
      <w:r>
        <w:rPr>
          <w:rFonts w:hint="eastAsia" w:hAnsi="宋体"/>
          <w:b/>
          <w:color w:val="000000" w:themeColor="text1"/>
          <w:sz w:val="30"/>
          <w:szCs w:val="30"/>
          <w:highlight w:val="none"/>
          <w14:textFill>
            <w14:solidFill>
              <w14:schemeClr w14:val="tx1"/>
            </w14:solidFill>
          </w14:textFill>
        </w:rPr>
        <w:t>评审方法</w:t>
      </w:r>
    </w:p>
    <w:p w14:paraId="086C2E38">
      <w:pPr>
        <w:pStyle w:val="53"/>
        <w:spacing w:before="240" w:beforeLines="100" w:line="360" w:lineRule="auto"/>
        <w:jc w:val="both"/>
        <w:rPr>
          <w:rStyle w:val="46"/>
          <w:rFonts w:hint="eastAsia" w:ascii="Times New Roman" w:eastAsia="宋体" w:cs="Times New Roman"/>
          <w:b w:val="0"/>
          <w:bCs w:val="0"/>
          <w:color w:val="000000" w:themeColor="text1"/>
          <w:szCs w:val="24"/>
          <w:highlight w:val="none"/>
          <w14:textFill>
            <w14:solidFill>
              <w14:schemeClr w14:val="tx1"/>
            </w14:solidFill>
          </w14:textFill>
        </w:rPr>
      </w:pPr>
      <w:r>
        <w:rPr>
          <w:rStyle w:val="46"/>
          <w:rFonts w:ascii="Times New Roman" w:eastAsia="宋体" w:cs="Times New Roman"/>
          <w:b w:val="0"/>
          <w:bCs w:val="0"/>
          <w:color w:val="000000" w:themeColor="text1"/>
          <w:szCs w:val="24"/>
          <w:highlight w:val="none"/>
          <w14:textFill>
            <w14:solidFill>
              <w14:schemeClr w14:val="tx1"/>
            </w14:solidFill>
          </w14:textFill>
        </w:rPr>
        <w:t>1.</w:t>
      </w:r>
      <w:r>
        <w:rPr>
          <w:rStyle w:val="46"/>
          <w:rFonts w:ascii="Times New Roman" w:eastAsia="宋体" w:cs="Times New Roman"/>
          <w:b/>
          <w:bCs w:val="0"/>
          <w:color w:val="000000" w:themeColor="text1"/>
          <w:szCs w:val="24"/>
          <w:highlight w:val="none"/>
          <w14:textFill>
            <w14:solidFill>
              <w14:schemeClr w14:val="tx1"/>
            </w14:solidFill>
          </w14:textFill>
        </w:rPr>
        <w:t>总  则</w:t>
      </w:r>
    </w:p>
    <w:p w14:paraId="3935C01C">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1定义</w:t>
      </w:r>
    </w:p>
    <w:p w14:paraId="5E17BAA0">
      <w:pPr>
        <w:spacing w:line="360" w:lineRule="auto"/>
        <w:ind w:left="1018" w:leftChars="199" w:hanging="600" w:hangingChars="250"/>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综合评分法：将响应单位报送的响应文件中的企业资质资料、技术方案、经济报价等，按照不同的权重进行评分，汇总得出综合分值的办法。</w:t>
      </w:r>
    </w:p>
    <w:p w14:paraId="4F5F7EC4">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适用范围</w:t>
      </w:r>
    </w:p>
    <w:p w14:paraId="1D8EFB99">
      <w:pPr>
        <w:spacing w:line="360" w:lineRule="auto"/>
        <w:ind w:left="1018" w:leftChars="199" w:hanging="600" w:hangingChars="250"/>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1.2.1本评审方法仅适用于</w:t>
      </w:r>
      <w:r>
        <w:rPr>
          <w:rFonts w:hint="eastAsia" w:hAnsi="宋体"/>
          <w:color w:val="000000" w:themeColor="text1"/>
          <w:sz w:val="24"/>
          <w:highlight w:val="none"/>
          <w:u w:val="single"/>
          <w14:textFill>
            <w14:solidFill>
              <w14:schemeClr w14:val="tx1"/>
            </w14:solidFill>
          </w14:textFill>
        </w:rPr>
        <w:t>中建路桥集团有限公司</w:t>
      </w:r>
      <w:r>
        <w:rPr>
          <w:rFonts w:hint="eastAsia" w:ascii="Times New Roman" w:hAnsi="宋体" w:eastAsia="宋体" w:cs="Times New Roman"/>
          <w:color w:val="000000" w:themeColor="text1"/>
          <w:sz w:val="24"/>
          <w:highlight w:val="none"/>
          <w:u w:val="single"/>
          <w:lang w:eastAsia="zh-CN"/>
          <w14:textFill>
            <w14:solidFill>
              <w14:schemeClr w14:val="tx1"/>
            </w14:solidFill>
          </w14:textFill>
        </w:rPr>
        <w:t>广西</w:t>
      </w:r>
      <w:r>
        <w:rPr>
          <w:rFonts w:hint="eastAsia" w:ascii="Times New Roman" w:hAnsi="宋体" w:eastAsia="宋体" w:cs="Times New Roman"/>
          <w:color w:val="000000" w:themeColor="text1"/>
          <w:sz w:val="24"/>
          <w:highlight w:val="none"/>
          <w:u w:val="single"/>
          <w:lang w:val="en-US" w:eastAsia="zh-CN"/>
          <w14:textFill>
            <w14:solidFill>
              <w14:schemeClr w14:val="tx1"/>
            </w14:solidFill>
          </w14:textFill>
        </w:rPr>
        <w:t>桂林项目</w:t>
      </w:r>
      <w:r>
        <w:rPr>
          <w:rFonts w:hint="eastAsia" w:ascii="Times New Roman" w:hAnsi="宋体" w:eastAsia="宋体" w:cs="Times New Roman"/>
          <w:color w:val="000000" w:themeColor="text1"/>
          <w:sz w:val="24"/>
          <w:highlight w:val="none"/>
          <w:u w:val="single"/>
          <w14:textFill>
            <w14:solidFill>
              <w14:schemeClr w14:val="tx1"/>
            </w14:solidFill>
          </w14:textFill>
        </w:rPr>
        <w:t>路面封层撒布施工劳务分</w:t>
      </w:r>
      <w:r>
        <w:rPr>
          <w:rFonts w:hint="eastAsia" w:hAnsi="宋体"/>
          <w:color w:val="000000" w:themeColor="text1"/>
          <w:sz w:val="24"/>
          <w:highlight w:val="none"/>
          <w:u w:val="single"/>
          <w14:textFill>
            <w14:solidFill>
              <w14:schemeClr w14:val="tx1"/>
            </w14:solidFill>
          </w14:textFill>
        </w:rPr>
        <w:t>包工程</w:t>
      </w:r>
      <w:r>
        <w:rPr>
          <w:rFonts w:hAnsi="宋体"/>
          <w:color w:val="000000" w:themeColor="text1"/>
          <w:sz w:val="24"/>
          <w:highlight w:val="none"/>
          <w14:textFill>
            <w14:solidFill>
              <w14:schemeClr w14:val="tx1"/>
            </w14:solidFill>
          </w14:textFill>
        </w:rPr>
        <w:t>的采购评</w:t>
      </w:r>
      <w:r>
        <w:rPr>
          <w:rFonts w:hint="eastAsia" w:hAnsi="宋体"/>
          <w:color w:val="000000" w:themeColor="text1"/>
          <w:sz w:val="24"/>
          <w:highlight w:val="none"/>
          <w14:textFill>
            <w14:solidFill>
              <w14:schemeClr w14:val="tx1"/>
            </w14:solidFill>
          </w14:textFill>
        </w:rPr>
        <w:t>审</w:t>
      </w:r>
      <w:r>
        <w:rPr>
          <w:rFonts w:hAnsi="宋体"/>
          <w:color w:val="000000" w:themeColor="text1"/>
          <w:sz w:val="24"/>
          <w:highlight w:val="none"/>
          <w14:textFill>
            <w14:solidFill>
              <w14:schemeClr w14:val="tx1"/>
            </w14:solidFill>
          </w14:textFill>
        </w:rPr>
        <w:t>活动。</w:t>
      </w:r>
    </w:p>
    <w:p w14:paraId="1156E09F">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3</w:t>
      </w:r>
      <w:r>
        <w:rPr>
          <w:b/>
          <w:color w:val="000000" w:themeColor="text1"/>
          <w:sz w:val="24"/>
          <w:highlight w:val="none"/>
          <w14:textFill>
            <w14:solidFill>
              <w14:schemeClr w14:val="tx1"/>
            </w14:solidFill>
          </w14:textFill>
        </w:rPr>
        <w:t>与采购文件的关系</w:t>
      </w:r>
    </w:p>
    <w:p w14:paraId="4CF3E48A">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.1本评审方法是本工程采购文件的组成部分之一。</w:t>
      </w:r>
    </w:p>
    <w:p w14:paraId="4393657D">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4</w:t>
      </w:r>
      <w:r>
        <w:rPr>
          <w:b/>
          <w:color w:val="000000" w:themeColor="text1"/>
          <w:sz w:val="24"/>
          <w:highlight w:val="none"/>
          <w14:textFill>
            <w14:solidFill>
              <w14:schemeClr w14:val="tx1"/>
            </w14:solidFill>
          </w14:textFill>
        </w:rPr>
        <w:t>评审原则</w:t>
      </w:r>
    </w:p>
    <w:p w14:paraId="08A940B5">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.1评审工作必须遵循公平、公正、科学、择优的原则。</w:t>
      </w:r>
    </w:p>
    <w:p w14:paraId="6024207E">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.2依法评审、严格保密。</w:t>
      </w:r>
    </w:p>
    <w:p w14:paraId="64FF5936">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.3反对不正当的竞争。</w:t>
      </w:r>
    </w:p>
    <w:p w14:paraId="330E6BD9">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.4定性的结论由</w:t>
      </w:r>
      <w:r>
        <w:rPr>
          <w:rFonts w:hint="eastAsia"/>
          <w:color w:val="000000" w:themeColor="text1"/>
          <w:sz w:val="24"/>
          <w:highlight w:val="none"/>
          <w14:textFill>
            <w14:solidFill>
              <w14:schemeClr w14:val="tx1"/>
            </w14:solidFill>
          </w14:textFill>
        </w:rPr>
        <w:t>采购小组</w:t>
      </w:r>
      <w:r>
        <w:rPr>
          <w:color w:val="000000" w:themeColor="text1"/>
          <w:sz w:val="24"/>
          <w:highlight w:val="none"/>
          <w14:textFill>
            <w14:solidFill>
              <w14:schemeClr w14:val="tx1"/>
            </w14:solidFill>
          </w14:textFill>
        </w:rPr>
        <w:t>成员按照少数服从多数的原则决定。</w:t>
      </w:r>
    </w:p>
    <w:p w14:paraId="4B4C27A4">
      <w:pPr>
        <w:pStyle w:val="53"/>
        <w:spacing w:before="0" w:beforeLines="0" w:line="360" w:lineRule="auto"/>
        <w:jc w:val="both"/>
        <w:rPr>
          <w:rFonts w:ascii="Times New Roman" w:eastAsia="宋体" w:cs="Times New Roman"/>
          <w:bCs w:val="0"/>
          <w:color w:val="000000" w:themeColor="text1"/>
          <w:szCs w:val="24"/>
          <w:highlight w:val="none"/>
          <w14:textFill>
            <w14:solidFill>
              <w14:schemeClr w14:val="tx1"/>
            </w14:solidFill>
          </w14:textFill>
        </w:rPr>
      </w:pPr>
      <w:r>
        <w:rPr>
          <w:rStyle w:val="46"/>
          <w:rFonts w:hint="eastAsia" w:ascii="Times New Roman" w:eastAsia="宋体" w:cs="Times New Roman"/>
          <w:b/>
          <w:bCs w:val="0"/>
          <w:color w:val="000000" w:themeColor="text1"/>
          <w:szCs w:val="24"/>
          <w:highlight w:val="none"/>
          <w14:textFill>
            <w14:solidFill>
              <w14:schemeClr w14:val="tx1"/>
            </w14:solidFill>
          </w14:textFill>
        </w:rPr>
        <w:t>2</w:t>
      </w:r>
      <w:r>
        <w:rPr>
          <w:rStyle w:val="46"/>
          <w:rFonts w:ascii="Times New Roman" w:eastAsia="宋体" w:cs="Times New Roman"/>
          <w:b/>
          <w:bCs w:val="0"/>
          <w:color w:val="000000" w:themeColor="text1"/>
          <w:szCs w:val="24"/>
          <w:highlight w:val="none"/>
          <w14:textFill>
            <w14:solidFill>
              <w14:schemeClr w14:val="tx1"/>
            </w14:solidFill>
          </w14:textFill>
        </w:rPr>
        <w:t>.评审内容及方法</w:t>
      </w:r>
    </w:p>
    <w:p w14:paraId="4399A72E">
      <w:pPr>
        <w:spacing w:line="360" w:lineRule="auto"/>
        <w:ind w:left="592" w:leftChars="1" w:hanging="590" w:hangingChars="245"/>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1</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商务评审</w:t>
      </w:r>
    </w:p>
    <w:p w14:paraId="78AF5910">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2.1.1企业资质是否符合采购分包工程要求，上报资料是否齐全、真实、有效。</w:t>
      </w:r>
    </w:p>
    <w:p w14:paraId="79F8B458">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2.1.2上报拟定管理人员资料是否齐全、真实、有效。</w:t>
      </w:r>
    </w:p>
    <w:p w14:paraId="552B85C9">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2.1.3所报企业施工业绩是否真实等。</w:t>
      </w:r>
    </w:p>
    <w:p w14:paraId="01B84691">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2.1.4</w:t>
      </w:r>
      <w:r>
        <w:rPr>
          <w:color w:val="000000" w:themeColor="text1"/>
          <w:sz w:val="24"/>
          <w:highlight w:val="none"/>
          <w14:textFill>
            <w14:solidFill>
              <w14:schemeClr w14:val="tx1"/>
            </w14:solidFill>
          </w14:textFill>
        </w:rPr>
        <w:t>详细评分指标见附表</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商务资料</w:t>
      </w:r>
      <w:r>
        <w:rPr>
          <w:color w:val="000000" w:themeColor="text1"/>
          <w:sz w:val="24"/>
          <w:highlight w:val="none"/>
          <w14:textFill>
            <w14:solidFill>
              <w14:schemeClr w14:val="tx1"/>
            </w14:solidFill>
          </w14:textFill>
        </w:rPr>
        <w:t>评分表》。</w:t>
      </w:r>
    </w:p>
    <w:p w14:paraId="1577D449">
      <w:pPr>
        <w:spacing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2.2</w:t>
      </w:r>
      <w:r>
        <w:rPr>
          <w:b/>
          <w:color w:val="000000" w:themeColor="text1"/>
          <w:sz w:val="24"/>
          <w:highlight w:val="none"/>
          <w14:textFill>
            <w14:solidFill>
              <w14:schemeClr w14:val="tx1"/>
            </w14:solidFill>
          </w14:textFill>
        </w:rPr>
        <w:t>技术评审</w:t>
      </w:r>
    </w:p>
    <w:p w14:paraId="3117C36C">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2.2.1评审施工方案是否全面且针对性强，难点、重点把握准确，措施可靠、实用</w:t>
      </w:r>
      <w:r>
        <w:rPr>
          <w:rFonts w:hint="eastAsia"/>
          <w:color w:val="000000" w:themeColor="text1"/>
          <w:sz w:val="24"/>
          <w:highlight w:val="none"/>
          <w14:textFill>
            <w14:solidFill>
              <w14:schemeClr w14:val="tx1"/>
            </w14:solidFill>
          </w14:textFill>
        </w:rPr>
        <w:t>；尤其对重点难点问题的实施方案是否经济、合理、可行</w:t>
      </w:r>
      <w:r>
        <w:rPr>
          <w:color w:val="000000" w:themeColor="text1"/>
          <w:sz w:val="24"/>
          <w:highlight w:val="none"/>
          <w14:textFill>
            <w14:solidFill>
              <w14:schemeClr w14:val="tx1"/>
            </w14:solidFill>
          </w14:textFill>
        </w:rPr>
        <w:t>。</w:t>
      </w:r>
    </w:p>
    <w:p w14:paraId="77B0DAFA">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评审施工进度计划及保证措施是否满足合同工期，保证措施、补救措施齐备合理。</w:t>
      </w:r>
    </w:p>
    <w:p w14:paraId="56CD935E">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评审工程质量保证措施、过程控制措施、质量事故处理应急预案是否完整、可</w:t>
      </w:r>
      <w:r>
        <w:rPr>
          <w:rFonts w:hint="eastAsia"/>
          <w:color w:val="000000" w:themeColor="text1"/>
          <w:sz w:val="24"/>
          <w:highlight w:val="none"/>
          <w14:textFill>
            <w14:solidFill>
              <w14:schemeClr w14:val="tx1"/>
            </w14:solidFill>
          </w14:textFill>
        </w:rPr>
        <w:t>行</w:t>
      </w:r>
      <w:r>
        <w:rPr>
          <w:color w:val="000000" w:themeColor="text1"/>
          <w:sz w:val="24"/>
          <w:highlight w:val="none"/>
          <w14:textFill>
            <w14:solidFill>
              <w14:schemeClr w14:val="tx1"/>
            </w14:solidFill>
          </w14:textFill>
        </w:rPr>
        <w:t>、有效；质量目标是否明确并符合项目实际和</w:t>
      </w:r>
      <w:r>
        <w:rPr>
          <w:rFonts w:hint="eastAsia"/>
          <w:color w:val="000000" w:themeColor="text1"/>
          <w:sz w:val="24"/>
          <w:highlight w:val="none"/>
          <w14:textFill>
            <w14:solidFill>
              <w14:schemeClr w14:val="tx1"/>
            </w14:solidFill>
          </w14:textFill>
        </w:rPr>
        <w:t>采购人</w:t>
      </w:r>
      <w:r>
        <w:rPr>
          <w:color w:val="000000" w:themeColor="text1"/>
          <w:sz w:val="24"/>
          <w:highlight w:val="none"/>
          <w14:textFill>
            <w14:solidFill>
              <w14:schemeClr w14:val="tx1"/>
            </w14:solidFill>
          </w14:textFill>
        </w:rPr>
        <w:t>要求，能否保证工程按合同要求的质量标准组织实施</w:t>
      </w:r>
      <w:r>
        <w:rPr>
          <w:rFonts w:hint="eastAsia"/>
          <w:color w:val="000000" w:themeColor="text1"/>
          <w:sz w:val="24"/>
          <w:highlight w:val="none"/>
          <w14:textFill>
            <w14:solidFill>
              <w14:schemeClr w14:val="tx1"/>
            </w14:solidFill>
          </w14:textFill>
        </w:rPr>
        <w:t>。</w:t>
      </w:r>
    </w:p>
    <w:p w14:paraId="279B6261">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评审投入的机械设备是否齐全、符合要求，配置是否合理，能否满足本工程合同中质量目标、工期目标的要求。</w:t>
      </w:r>
    </w:p>
    <w:p w14:paraId="0F19E5EE">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评审投入的劳动力资源充裕、用工计划完整，材料使用计划合理，能够满足采购要求。</w:t>
      </w:r>
    </w:p>
    <w:p w14:paraId="6F9681E6">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6</w:t>
      </w:r>
      <w:r>
        <w:rPr>
          <w:color w:val="000000" w:themeColor="text1"/>
          <w:sz w:val="24"/>
          <w:highlight w:val="none"/>
          <w14:textFill>
            <w14:solidFill>
              <w14:schemeClr w14:val="tx1"/>
            </w14:solidFill>
          </w14:textFill>
        </w:rPr>
        <w:t>评审现场组织机构是否合理，是否齐全高效，职责是否明确合理</w:t>
      </w:r>
      <w:r>
        <w:rPr>
          <w:rFonts w:hint="eastAsia"/>
          <w:color w:val="000000" w:themeColor="text1"/>
          <w:sz w:val="24"/>
          <w:highlight w:val="none"/>
          <w14:textFill>
            <w14:solidFill>
              <w14:schemeClr w14:val="tx1"/>
            </w14:solidFill>
          </w14:textFill>
        </w:rPr>
        <w:t>等</w:t>
      </w:r>
      <w:r>
        <w:rPr>
          <w:color w:val="000000" w:themeColor="text1"/>
          <w:sz w:val="24"/>
          <w:highlight w:val="none"/>
          <w14:textFill>
            <w14:solidFill>
              <w14:schemeClr w14:val="tx1"/>
            </w14:solidFill>
          </w14:textFill>
        </w:rPr>
        <w:t>。</w:t>
      </w:r>
    </w:p>
    <w:p w14:paraId="7C02355C">
      <w:pPr>
        <w:spacing w:line="360" w:lineRule="auto"/>
        <w:ind w:left="1018" w:leftChars="199"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2.2.7</w:t>
      </w:r>
      <w:r>
        <w:rPr>
          <w:rFonts w:hAnsi="宋体"/>
          <w:color w:val="000000" w:themeColor="text1"/>
          <w:sz w:val="24"/>
          <w:highlight w:val="none"/>
          <w14:textFill>
            <w14:solidFill>
              <w14:schemeClr w14:val="tx1"/>
            </w14:solidFill>
          </w14:textFill>
        </w:rPr>
        <w:t>详细评分指标见附表</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施工技术方案</w:t>
      </w:r>
      <w:r>
        <w:rPr>
          <w:rFonts w:hAnsi="宋体"/>
          <w:color w:val="000000" w:themeColor="text1"/>
          <w:sz w:val="24"/>
          <w:highlight w:val="none"/>
          <w14:textFill>
            <w14:solidFill>
              <w14:schemeClr w14:val="tx1"/>
            </w14:solidFill>
          </w14:textFill>
        </w:rPr>
        <w:t>评分表》。</w:t>
      </w:r>
    </w:p>
    <w:p w14:paraId="7BC5FE55">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.3.经济评审</w:t>
      </w:r>
    </w:p>
    <w:p w14:paraId="75BB0314">
      <w:pPr>
        <w:spacing w:line="360" w:lineRule="auto"/>
        <w:ind w:left="1119" w:leftChars="247"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2.3.1</w:t>
      </w:r>
      <w:r>
        <w:rPr>
          <w:rFonts w:hint="eastAsia"/>
          <w:color w:val="000000" w:themeColor="text1"/>
          <w:sz w:val="24"/>
          <w:highlight w:val="none"/>
          <w14:textFill>
            <w14:solidFill>
              <w14:schemeClr w14:val="tx1"/>
            </w14:solidFill>
          </w14:textFill>
        </w:rPr>
        <w:t>采购人</w:t>
      </w:r>
      <w:r>
        <w:rPr>
          <w:color w:val="000000" w:themeColor="text1"/>
          <w:sz w:val="24"/>
          <w:highlight w:val="none"/>
          <w14:textFill>
            <w14:solidFill>
              <w14:schemeClr w14:val="tx1"/>
            </w14:solidFill>
          </w14:textFill>
        </w:rPr>
        <w:t>评审</w:t>
      </w:r>
      <w:r>
        <w:rPr>
          <w:rFonts w:hint="eastAsia"/>
          <w:color w:val="000000" w:themeColor="text1"/>
          <w:sz w:val="24"/>
          <w:highlight w:val="none"/>
          <w14:textFill>
            <w14:solidFill>
              <w14:schemeClr w14:val="tx1"/>
            </w14:solidFill>
          </w14:textFill>
        </w:rPr>
        <w:t>小组按照上述</w:t>
      </w:r>
      <w:r>
        <w:rPr>
          <w:color w:val="000000" w:themeColor="text1"/>
          <w:sz w:val="24"/>
          <w:highlight w:val="none"/>
          <w14:textFill>
            <w14:solidFill>
              <w14:schemeClr w14:val="tx1"/>
            </w14:solidFill>
          </w14:textFill>
        </w:rPr>
        <w:t>要求对响应单位商务及技术文件进行评审</w:t>
      </w:r>
      <w:r>
        <w:rPr>
          <w:rFonts w:hint="eastAsia"/>
          <w:color w:val="000000" w:themeColor="text1"/>
          <w:sz w:val="24"/>
          <w:highlight w:val="none"/>
          <w14:textFill>
            <w14:solidFill>
              <w14:schemeClr w14:val="tx1"/>
            </w14:solidFill>
          </w14:textFill>
        </w:rPr>
        <w:t>，响</w:t>
      </w:r>
      <w:r>
        <w:rPr>
          <w:rFonts w:hint="eastAsia"/>
          <w:color w:val="000000" w:themeColor="text1"/>
          <w:sz w:val="24"/>
          <w:highlight w:val="none"/>
          <w14:textFill>
            <w14:solidFill>
              <w14:schemeClr w14:val="tx1"/>
            </w14:solidFill>
          </w14:textFill>
        </w:rPr>
        <w:t>应单位商务部分及技术部分打分均超过60分（百分制）、且报价最低的</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家响应单位，采购人将与之进行二次议价。</w:t>
      </w:r>
    </w:p>
    <w:p w14:paraId="22720E61">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2.3.2各响应单位确认最终报价后，将按照以下步骤进行经济部分打分：</w:t>
      </w:r>
    </w:p>
    <w:p w14:paraId="0C9E5950">
      <w:pPr>
        <w:spacing w:line="360" w:lineRule="auto"/>
        <w:ind w:left="1059" w:leftChars="447" w:hanging="120" w:hangingChars="5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（1）确定评审基准价。</w:t>
      </w:r>
      <w:r>
        <w:rPr>
          <w:rFonts w:hint="eastAsia" w:hAnsi="宋体"/>
          <w:color w:val="000000" w:themeColor="text1"/>
          <w:sz w:val="24"/>
          <w:highlight w:val="none"/>
          <w14:textFill>
            <w14:solidFill>
              <w14:schemeClr w14:val="tx1"/>
            </w14:solidFill>
          </w14:textFill>
        </w:rPr>
        <w:t>最低报价作为评审基准价。</w:t>
      </w:r>
    </w:p>
    <w:p w14:paraId="31D4FCC6">
      <w:pPr>
        <w:spacing w:line="360" w:lineRule="auto"/>
        <w:ind w:left="1059" w:leftChars="447" w:hanging="120" w:hangingChars="5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hAnsi="宋体"/>
          <w:b/>
          <w:color w:val="000000" w:themeColor="text1"/>
          <w:sz w:val="24"/>
          <w:highlight w:val="none"/>
          <w14:textFill>
            <w14:solidFill>
              <w14:schemeClr w14:val="tx1"/>
            </w14:solidFill>
          </w14:textFill>
        </w:rPr>
        <w:t>根据</w:t>
      </w:r>
      <w:r>
        <w:rPr>
          <w:rFonts w:hAnsi="宋体"/>
          <w:b/>
          <w:color w:val="000000" w:themeColor="text1"/>
          <w:sz w:val="24"/>
          <w:highlight w:val="none"/>
          <w14:textFill>
            <w14:solidFill>
              <w14:schemeClr w14:val="tx1"/>
            </w14:solidFill>
          </w14:textFill>
        </w:rPr>
        <w:t>各</w:t>
      </w:r>
      <w:r>
        <w:rPr>
          <w:rFonts w:hint="eastAsia" w:hAnsi="宋体"/>
          <w:b/>
          <w:color w:val="000000" w:themeColor="text1"/>
          <w:sz w:val="24"/>
          <w:highlight w:val="none"/>
          <w14:textFill>
            <w14:solidFill>
              <w14:schemeClr w14:val="tx1"/>
            </w14:solidFill>
          </w14:textFill>
        </w:rPr>
        <w:t>响应单位最终确认报价与基准价</w:t>
      </w:r>
      <w:r>
        <w:rPr>
          <w:rFonts w:hAnsi="宋体"/>
          <w:b/>
          <w:color w:val="000000" w:themeColor="text1"/>
          <w:sz w:val="24"/>
          <w:highlight w:val="none"/>
          <w14:textFill>
            <w14:solidFill>
              <w14:schemeClr w14:val="tx1"/>
            </w14:solidFill>
          </w14:textFill>
        </w:rPr>
        <w:t>的差异值</w:t>
      </w:r>
      <w:r>
        <w:rPr>
          <w:rFonts w:hint="eastAsia" w:hAnsi="宋体"/>
          <w:b/>
          <w:color w:val="000000" w:themeColor="text1"/>
          <w:sz w:val="24"/>
          <w:highlight w:val="none"/>
          <w14:textFill>
            <w14:solidFill>
              <w14:schemeClr w14:val="tx1"/>
            </w14:solidFill>
          </w14:textFill>
        </w:rPr>
        <w:t>进行评分。</w:t>
      </w:r>
      <w:r>
        <w:rPr>
          <w:rFonts w:hint="eastAsia" w:hAnsi="宋体"/>
          <w:color w:val="000000" w:themeColor="text1"/>
          <w:sz w:val="24"/>
          <w:highlight w:val="none"/>
          <w14:textFill>
            <w14:solidFill>
              <w14:schemeClr w14:val="tx1"/>
            </w14:solidFill>
          </w14:textFill>
        </w:rPr>
        <w:t>响应单位的最终确认报价等</w:t>
      </w:r>
      <w:r>
        <w:rPr>
          <w:rFonts w:hAnsi="宋体"/>
          <w:color w:val="000000" w:themeColor="text1"/>
          <w:sz w:val="24"/>
          <w:highlight w:val="none"/>
          <w14:textFill>
            <w14:solidFill>
              <w14:schemeClr w14:val="tx1"/>
            </w14:solidFill>
          </w14:textFill>
        </w:rPr>
        <w:t>于基准价的为最优</w:t>
      </w:r>
      <w:r>
        <w:rPr>
          <w:rFonts w:hint="eastAsia" w:hAnsi="宋体"/>
          <w:color w:val="000000" w:themeColor="text1"/>
          <w:sz w:val="24"/>
          <w:highlight w:val="none"/>
          <w14:textFill>
            <w14:solidFill>
              <w14:schemeClr w14:val="tx1"/>
            </w14:solidFill>
          </w14:textFill>
        </w:rPr>
        <w:t>报价</w:t>
      </w:r>
      <w:r>
        <w:rPr>
          <w:rFonts w:hAnsi="宋体"/>
          <w:color w:val="000000" w:themeColor="text1"/>
          <w:sz w:val="24"/>
          <w:highlight w:val="none"/>
          <w14:textFill>
            <w14:solidFill>
              <w14:schemeClr w14:val="tx1"/>
            </w14:solidFill>
          </w14:textFill>
        </w:rPr>
        <w:t>，报价得满分。</w:t>
      </w:r>
      <w:r>
        <w:rPr>
          <w:rFonts w:hint="eastAsia" w:hAnsi="宋体"/>
          <w:color w:val="000000" w:themeColor="text1"/>
          <w:sz w:val="24"/>
          <w:highlight w:val="none"/>
          <w14:textFill>
            <w14:solidFill>
              <w14:schemeClr w14:val="tx1"/>
            </w14:solidFill>
          </w14:textFill>
        </w:rPr>
        <w:t>每高于基准价最优值区间</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扣5分，以此类推等比扣减，扣完为止。</w:t>
      </w:r>
    </w:p>
    <w:p w14:paraId="52F1FFEF">
      <w:pPr>
        <w:spacing w:line="360" w:lineRule="auto"/>
        <w:ind w:left="1119" w:leftChars="247" w:hanging="600" w:hangingChars="250"/>
        <w:rPr>
          <w:rFonts w:hint="eastAsia" w:hAnsi="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2.3.3</w:t>
      </w:r>
      <w:r>
        <w:rPr>
          <w:rFonts w:hAnsi="宋体"/>
          <w:color w:val="000000" w:themeColor="text1"/>
          <w:sz w:val="24"/>
          <w:highlight w:val="none"/>
          <w14:textFill>
            <w14:solidFill>
              <w14:schemeClr w14:val="tx1"/>
            </w14:solidFill>
          </w14:textFill>
        </w:rPr>
        <w:t>详细评分指标见附表</w:t>
      </w:r>
      <w:r>
        <w:rPr>
          <w:rFonts w:hint="eastAsia" w:hAnsi="宋体"/>
          <w:color w:val="000000" w:themeColor="text1"/>
          <w:sz w:val="24"/>
          <w:highlight w:val="none"/>
          <w14:textFill>
            <w14:solidFill>
              <w14:schemeClr w14:val="tx1"/>
            </w14:solidFill>
          </w14:textFill>
        </w:rPr>
        <w:t>3</w:t>
      </w:r>
      <w:r>
        <w:rPr>
          <w:rFonts w:hAnsi="宋体"/>
          <w:color w:val="000000" w:themeColor="text1"/>
          <w:sz w:val="24"/>
          <w:highlight w:val="none"/>
          <w14:textFill>
            <w14:solidFill>
              <w14:schemeClr w14:val="tx1"/>
            </w14:solidFill>
          </w14:textFill>
        </w:rPr>
        <w:t>《经济</w:t>
      </w:r>
      <w:r>
        <w:rPr>
          <w:rFonts w:hint="eastAsia" w:hAnsi="宋体"/>
          <w:color w:val="000000" w:themeColor="text1"/>
          <w:sz w:val="24"/>
          <w:highlight w:val="none"/>
          <w14:textFill>
            <w14:solidFill>
              <w14:schemeClr w14:val="tx1"/>
            </w14:solidFill>
          </w14:textFill>
        </w:rPr>
        <w:t>报价</w:t>
      </w:r>
      <w:r>
        <w:rPr>
          <w:rFonts w:hAnsi="宋体"/>
          <w:color w:val="000000" w:themeColor="text1"/>
          <w:sz w:val="24"/>
          <w:highlight w:val="none"/>
          <w14:textFill>
            <w14:solidFill>
              <w14:schemeClr w14:val="tx1"/>
            </w14:solidFill>
          </w14:textFill>
        </w:rPr>
        <w:t>评分表》。</w:t>
      </w:r>
    </w:p>
    <w:p w14:paraId="28F46305">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2.4</w:t>
      </w:r>
      <w:r>
        <w:rPr>
          <w:b/>
          <w:color w:val="000000" w:themeColor="text1"/>
          <w:sz w:val="24"/>
          <w:highlight w:val="none"/>
          <w14:textFill>
            <w14:solidFill>
              <w14:schemeClr w14:val="tx1"/>
            </w14:solidFill>
          </w14:textFill>
        </w:rPr>
        <w:t>.澄清或补正</w:t>
      </w:r>
    </w:p>
    <w:p w14:paraId="42877F92">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.1在评审阶段，</w:t>
      </w:r>
      <w:r>
        <w:rPr>
          <w:rFonts w:hint="eastAsia"/>
          <w:color w:val="000000" w:themeColor="text1"/>
          <w:sz w:val="24"/>
          <w:highlight w:val="none"/>
          <w14:textFill>
            <w14:solidFill>
              <w14:schemeClr w14:val="tx1"/>
            </w14:solidFill>
          </w14:textFill>
        </w:rPr>
        <w:t>采购</w:t>
      </w:r>
      <w:r>
        <w:rPr>
          <w:color w:val="000000" w:themeColor="text1"/>
          <w:sz w:val="24"/>
          <w:highlight w:val="none"/>
          <w14:textFill>
            <w14:solidFill>
              <w14:schemeClr w14:val="tx1"/>
            </w14:solidFill>
          </w14:textFill>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.2响应单位须以书面形式提供澄清或补正文件，并作为响应文件的组成部分。</w:t>
      </w:r>
    </w:p>
    <w:p w14:paraId="26B2D9B6">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2.5.</w:t>
      </w:r>
      <w:r>
        <w:rPr>
          <w:b/>
          <w:color w:val="000000" w:themeColor="text1"/>
          <w:sz w:val="24"/>
          <w:highlight w:val="none"/>
          <w14:textFill>
            <w14:solidFill>
              <w14:schemeClr w14:val="tx1"/>
            </w14:solidFill>
          </w14:textFill>
        </w:rPr>
        <w:t>汇总评分结果</w:t>
      </w:r>
    </w:p>
    <w:p w14:paraId="3656E0A7">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采购</w:t>
      </w:r>
      <w:r>
        <w:rPr>
          <w:color w:val="000000" w:themeColor="text1"/>
          <w:sz w:val="24"/>
          <w:highlight w:val="none"/>
          <w14:textFill>
            <w14:solidFill>
              <w14:schemeClr w14:val="tx1"/>
            </w14:solidFill>
          </w14:textFill>
        </w:rPr>
        <w:t>小组成员</w:t>
      </w:r>
      <w:r>
        <w:rPr>
          <w:rFonts w:hint="eastAsia"/>
          <w:color w:val="000000" w:themeColor="text1"/>
          <w:sz w:val="24"/>
          <w:highlight w:val="none"/>
          <w14:textFill>
            <w14:solidFill>
              <w14:schemeClr w14:val="tx1"/>
            </w14:solidFill>
          </w14:textFill>
        </w:rPr>
        <w:t>负责</w:t>
      </w:r>
      <w:r>
        <w:rPr>
          <w:color w:val="000000" w:themeColor="text1"/>
          <w:sz w:val="24"/>
          <w:highlight w:val="none"/>
          <w14:textFill>
            <w14:solidFill>
              <w14:schemeClr w14:val="tx1"/>
            </w14:solidFill>
          </w14:textFill>
        </w:rPr>
        <w:t>各</w:t>
      </w:r>
      <w:r>
        <w:rPr>
          <w:rFonts w:hint="eastAsia"/>
          <w:color w:val="000000" w:themeColor="text1"/>
          <w:sz w:val="24"/>
          <w:highlight w:val="none"/>
          <w14:textFill>
            <w14:solidFill>
              <w14:schemeClr w14:val="tx1"/>
            </w14:solidFill>
          </w14:textFill>
        </w:rPr>
        <w:t>自相关内容的</w:t>
      </w:r>
      <w:r>
        <w:rPr>
          <w:color w:val="000000" w:themeColor="text1"/>
          <w:sz w:val="24"/>
          <w:highlight w:val="none"/>
          <w14:textFill>
            <w14:solidFill>
              <w14:schemeClr w14:val="tx1"/>
            </w14:solidFill>
          </w14:textFill>
        </w:rPr>
        <w:t>评分，并</w:t>
      </w:r>
      <w:r>
        <w:rPr>
          <w:rFonts w:hint="eastAsia"/>
          <w:color w:val="000000" w:themeColor="text1"/>
          <w:sz w:val="24"/>
          <w:highlight w:val="none"/>
          <w14:textFill>
            <w14:solidFill>
              <w14:schemeClr w14:val="tx1"/>
            </w14:solidFill>
          </w14:textFill>
        </w:rPr>
        <w:t>将</w:t>
      </w:r>
      <w:r>
        <w:rPr>
          <w:color w:val="000000" w:themeColor="text1"/>
          <w:sz w:val="24"/>
          <w:highlight w:val="none"/>
          <w14:textFill>
            <w14:solidFill>
              <w14:schemeClr w14:val="tx1"/>
            </w14:solidFill>
          </w14:textFill>
        </w:rPr>
        <w:t>计算</w:t>
      </w:r>
      <w:r>
        <w:rPr>
          <w:rFonts w:hint="eastAsia"/>
          <w:color w:val="000000" w:themeColor="text1"/>
          <w:sz w:val="24"/>
          <w:highlight w:val="none"/>
          <w14:textFill>
            <w14:solidFill>
              <w14:schemeClr w14:val="tx1"/>
            </w14:solidFill>
          </w14:textFill>
        </w:rPr>
        <w:t>结果</w:t>
      </w:r>
      <w:r>
        <w:rPr>
          <w:color w:val="000000" w:themeColor="text1"/>
          <w:sz w:val="24"/>
          <w:highlight w:val="none"/>
          <w14:textFill>
            <w14:solidFill>
              <w14:schemeClr w14:val="tx1"/>
            </w14:solidFill>
          </w14:textFill>
        </w:rPr>
        <w:t>加权得分</w:t>
      </w:r>
      <w:r>
        <w:rPr>
          <w:rFonts w:hint="eastAsia"/>
          <w:color w:val="000000" w:themeColor="text1"/>
          <w:sz w:val="24"/>
          <w:highlight w:val="none"/>
          <w14:textFill>
            <w14:solidFill>
              <w14:schemeClr w14:val="tx1"/>
            </w14:solidFill>
          </w14:textFill>
        </w:rPr>
        <w:t>后汇总出各响应单位的最终评分</w:t>
      </w:r>
      <w:r>
        <w:rPr>
          <w:color w:val="000000" w:themeColor="text1"/>
          <w:sz w:val="24"/>
          <w:highlight w:val="none"/>
          <w14:textFill>
            <w14:solidFill>
              <w14:schemeClr w14:val="tx1"/>
            </w14:solidFill>
          </w14:textFill>
        </w:rPr>
        <w:t>。</w:t>
      </w:r>
    </w:p>
    <w:p w14:paraId="3DF52FB9">
      <w:pPr>
        <w:spacing w:line="360" w:lineRule="auto"/>
        <w:ind w:left="1117" w:leftChars="53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响应单位综合得分＝A1*K1+A2*K2</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 A</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3（A1、A2、A3分别为商务、技术、经济部分的评分，</w:t>
      </w:r>
      <w:r>
        <w:rPr>
          <w:color w:val="000000" w:themeColor="text1"/>
          <w:sz w:val="24"/>
          <w:highlight w:val="none"/>
          <w14:textFill>
            <w14:solidFill>
              <w14:schemeClr w14:val="tx1"/>
            </w14:solidFill>
          </w14:textFill>
        </w:rPr>
        <w:t>K1</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3分别为商务、技术、经济部分在综合得分中所占的权重）</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详</w:t>
      </w:r>
      <w:r>
        <w:rPr>
          <w:color w:val="000000" w:themeColor="text1"/>
          <w:sz w:val="24"/>
          <w:highlight w:val="none"/>
          <w14:textFill>
            <w14:solidFill>
              <w14:schemeClr w14:val="tx1"/>
            </w14:solidFill>
          </w14:textFill>
        </w:rPr>
        <w:t>见附表</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《综合得分表》。</w:t>
      </w:r>
    </w:p>
    <w:p w14:paraId="0234A9DF">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评审小组</w:t>
      </w:r>
      <w:r>
        <w:rPr>
          <w:rFonts w:hint="eastAsia"/>
          <w:color w:val="000000" w:themeColor="text1"/>
          <w:sz w:val="24"/>
          <w:highlight w:val="none"/>
          <w14:textFill>
            <w14:solidFill>
              <w14:schemeClr w14:val="tx1"/>
            </w14:solidFill>
          </w14:textFill>
        </w:rPr>
        <w:t>按照</w:t>
      </w:r>
      <w:r>
        <w:rPr>
          <w:color w:val="000000" w:themeColor="text1"/>
          <w:sz w:val="24"/>
          <w:highlight w:val="none"/>
          <w14:textFill>
            <w14:solidFill>
              <w14:schemeClr w14:val="tx1"/>
            </w14:solidFill>
          </w14:textFill>
        </w:rPr>
        <w:t>最终汇总</w:t>
      </w:r>
      <w:r>
        <w:rPr>
          <w:rFonts w:hint="eastAsia"/>
          <w:color w:val="000000" w:themeColor="text1"/>
          <w:sz w:val="24"/>
          <w:highlight w:val="none"/>
          <w14:textFill>
            <w14:solidFill>
              <w14:schemeClr w14:val="tx1"/>
            </w14:solidFill>
          </w14:textFill>
        </w:rPr>
        <w:t>分数进行</w:t>
      </w:r>
      <w:r>
        <w:rPr>
          <w:color w:val="000000" w:themeColor="text1"/>
          <w:sz w:val="24"/>
          <w:highlight w:val="none"/>
          <w14:textFill>
            <w14:solidFill>
              <w14:schemeClr w14:val="tx1"/>
            </w14:solidFill>
          </w14:textFill>
        </w:rPr>
        <w:t>排序，推荐出</w:t>
      </w:r>
      <w:r>
        <w:rPr>
          <w:rFonts w:hint="eastAsia"/>
          <w:color w:val="000000" w:themeColor="text1"/>
          <w:sz w:val="24"/>
          <w:highlight w:val="none"/>
          <w14:textFill>
            <w14:solidFill>
              <w14:schemeClr w14:val="tx1"/>
            </w14:solidFill>
          </w14:textFill>
        </w:rPr>
        <w:t>备选成交单位</w:t>
      </w:r>
      <w:r>
        <w:rPr>
          <w:color w:val="000000" w:themeColor="text1"/>
          <w:sz w:val="24"/>
          <w:highlight w:val="none"/>
          <w14:textFill>
            <w14:solidFill>
              <w14:schemeClr w14:val="tx1"/>
            </w14:solidFill>
          </w14:textFill>
        </w:rPr>
        <w:t>名单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如存在最终得分相同的单位</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最终报价低者排名在前。</w:t>
      </w:r>
    </w:p>
    <w:p w14:paraId="39658570">
      <w:pPr>
        <w:spacing w:line="360" w:lineRule="auto"/>
        <w:rPr>
          <w:rFonts w:hint="eastAsia" w:hAnsi="宋体"/>
          <w:color w:val="000000" w:themeColor="text1"/>
          <w:sz w:val="24"/>
          <w:highlight w:val="none"/>
          <w14:textFill>
            <w14:solidFill>
              <w14:schemeClr w14:val="tx1"/>
            </w14:solidFill>
          </w14:textFill>
        </w:rPr>
      </w:pPr>
    </w:p>
    <w:p w14:paraId="06BCE0BA">
      <w:pPr>
        <w:spacing w:line="360" w:lineRule="auto"/>
        <w:rPr>
          <w:rFonts w:hint="eastAsia" w:hAnsi="宋体"/>
          <w:color w:val="000000" w:themeColor="text1"/>
          <w:sz w:val="24"/>
          <w:highlight w:val="none"/>
          <w14:textFill>
            <w14:solidFill>
              <w14:schemeClr w14:val="tx1"/>
            </w14:solidFill>
          </w14:textFill>
        </w:rPr>
      </w:pPr>
    </w:p>
    <w:p w14:paraId="4D701B43">
      <w:pPr>
        <w:spacing w:line="360" w:lineRule="auto"/>
        <w:rPr>
          <w:rFonts w:hint="eastAsia" w:hAnsi="宋体"/>
          <w:color w:val="000000" w:themeColor="text1"/>
          <w:sz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　</w:t>
      </w:r>
    </w:p>
    <w:p w14:paraId="2502CEC7">
      <w:pPr>
        <w:spacing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商务资料</w:t>
      </w:r>
      <w:r>
        <w:rPr>
          <w:rFonts w:hAnsi="宋体"/>
          <w:b/>
          <w:color w:val="000000" w:themeColor="text1"/>
          <w:sz w:val="24"/>
          <w:highlight w:val="none"/>
          <w14:textFill>
            <w14:solidFill>
              <w14:schemeClr w14:val="tx1"/>
            </w14:solidFill>
          </w14:textFill>
        </w:rPr>
        <w:t>评分表</w:t>
      </w:r>
    </w:p>
    <w:p w14:paraId="77C3758A">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序号</w:t>
            </w:r>
          </w:p>
        </w:tc>
        <w:tc>
          <w:tcPr>
            <w:tcW w:w="1980" w:type="dxa"/>
            <w:vMerge w:val="restart"/>
            <w:vAlign w:val="center"/>
          </w:tcPr>
          <w:p w14:paraId="18915617">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评分项目</w:t>
            </w:r>
          </w:p>
        </w:tc>
        <w:tc>
          <w:tcPr>
            <w:tcW w:w="737" w:type="dxa"/>
            <w:vMerge w:val="restart"/>
            <w:vAlign w:val="center"/>
          </w:tcPr>
          <w:p w14:paraId="1AA073F2">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满</w:t>
            </w:r>
            <w:r>
              <w:rPr>
                <w:rFonts w:ascii="Arial" w:hAnsi="Arial" w:cs="Arial"/>
                <w:b/>
                <w:color w:val="000000" w:themeColor="text1"/>
                <w:szCs w:val="21"/>
                <w:highlight w:val="none"/>
                <w14:textFill>
                  <w14:solidFill>
                    <w14:schemeClr w14:val="tx1"/>
                  </w14:solidFill>
                </w14:textFill>
              </w:rPr>
              <w:t>分</w:t>
            </w:r>
          </w:p>
        </w:tc>
        <w:tc>
          <w:tcPr>
            <w:tcW w:w="2154" w:type="dxa"/>
            <w:vMerge w:val="restart"/>
            <w:vAlign w:val="center"/>
          </w:tcPr>
          <w:p w14:paraId="188CB840">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评分标准</w:t>
            </w:r>
          </w:p>
        </w:tc>
        <w:tc>
          <w:tcPr>
            <w:tcW w:w="2891" w:type="dxa"/>
            <w:vMerge w:val="restart"/>
            <w:tcBorders>
              <w:right w:val="single" w:color="auto" w:sz="4" w:space="0"/>
            </w:tcBorders>
            <w:vAlign w:val="center"/>
          </w:tcPr>
          <w:p w14:paraId="69851E9A">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扣分原因</w:t>
            </w:r>
          </w:p>
        </w:tc>
        <w:tc>
          <w:tcPr>
            <w:tcW w:w="793" w:type="dxa"/>
            <w:vMerge w:val="restart"/>
            <w:tcBorders>
              <w:left w:val="single" w:color="auto" w:sz="4" w:space="0"/>
            </w:tcBorders>
            <w:vAlign w:val="center"/>
          </w:tcPr>
          <w:p w14:paraId="32F3F25B">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color w:val="000000" w:themeColor="text1"/>
                <w:szCs w:val="21"/>
                <w:highlight w:val="none"/>
                <w14:textFill>
                  <w14:solidFill>
                    <w14:schemeClr w14:val="tx1"/>
                  </w14:solidFill>
                </w14:textFill>
              </w:rPr>
            </w:pPr>
          </w:p>
        </w:tc>
        <w:tc>
          <w:tcPr>
            <w:tcW w:w="1980" w:type="dxa"/>
            <w:vMerge w:val="continue"/>
            <w:vAlign w:val="center"/>
          </w:tcPr>
          <w:p w14:paraId="0EB03942">
            <w:pPr>
              <w:jc w:val="center"/>
              <w:rPr>
                <w:rFonts w:ascii="Arial" w:hAnsi="Arial" w:cs="Arial"/>
                <w:color w:val="000000" w:themeColor="text1"/>
                <w:szCs w:val="21"/>
                <w:highlight w:val="none"/>
                <w14:textFill>
                  <w14:solidFill>
                    <w14:schemeClr w14:val="tx1"/>
                  </w14:solidFill>
                </w14:textFill>
              </w:rPr>
            </w:pPr>
          </w:p>
        </w:tc>
        <w:tc>
          <w:tcPr>
            <w:tcW w:w="737" w:type="dxa"/>
            <w:vMerge w:val="continue"/>
            <w:vAlign w:val="center"/>
          </w:tcPr>
          <w:p w14:paraId="19915359">
            <w:pPr>
              <w:jc w:val="center"/>
              <w:rPr>
                <w:rFonts w:ascii="Arial" w:hAnsi="Arial" w:cs="Arial"/>
                <w:color w:val="000000" w:themeColor="text1"/>
                <w:szCs w:val="21"/>
                <w:highlight w:val="none"/>
                <w14:textFill>
                  <w14:solidFill>
                    <w14:schemeClr w14:val="tx1"/>
                  </w14:solidFill>
                </w14:textFill>
              </w:rPr>
            </w:pPr>
          </w:p>
        </w:tc>
        <w:tc>
          <w:tcPr>
            <w:tcW w:w="2154" w:type="dxa"/>
            <w:vMerge w:val="continue"/>
            <w:vAlign w:val="center"/>
          </w:tcPr>
          <w:p w14:paraId="773743E9">
            <w:pPr>
              <w:jc w:val="center"/>
              <w:rPr>
                <w:rFonts w:ascii="Arial" w:hAnsi="Arial" w:cs="Arial"/>
                <w:color w:val="000000" w:themeColor="text1"/>
                <w:szCs w:val="21"/>
                <w:highlight w:val="none"/>
                <w14:textFill>
                  <w14:solidFill>
                    <w14:schemeClr w14:val="tx1"/>
                  </w14:solidFill>
                </w14:textFill>
              </w:rPr>
            </w:pPr>
          </w:p>
        </w:tc>
        <w:tc>
          <w:tcPr>
            <w:tcW w:w="2891" w:type="dxa"/>
            <w:vMerge w:val="continue"/>
            <w:tcBorders>
              <w:right w:val="single" w:color="auto" w:sz="4" w:space="0"/>
            </w:tcBorders>
            <w:vAlign w:val="center"/>
          </w:tcPr>
          <w:p w14:paraId="1E3545E5">
            <w:pPr>
              <w:rPr>
                <w:rFonts w:ascii="Arial" w:hAnsi="Arial" w:cs="Arial"/>
                <w:color w:val="000000" w:themeColor="text1"/>
                <w:szCs w:val="21"/>
                <w:highlight w:val="none"/>
                <w14:textFill>
                  <w14:solidFill>
                    <w14:schemeClr w14:val="tx1"/>
                  </w14:solidFill>
                </w14:textFill>
              </w:rPr>
            </w:pPr>
          </w:p>
        </w:tc>
        <w:tc>
          <w:tcPr>
            <w:tcW w:w="793" w:type="dxa"/>
            <w:vMerge w:val="continue"/>
            <w:tcBorders>
              <w:left w:val="single" w:color="auto" w:sz="4" w:space="0"/>
            </w:tcBorders>
            <w:vAlign w:val="center"/>
          </w:tcPr>
          <w:p w14:paraId="7CC72C98">
            <w:pPr>
              <w:rPr>
                <w:rFonts w:ascii="Arial" w:hAnsi="Arial" w:cs="Arial"/>
                <w:color w:val="000000" w:themeColor="text1"/>
                <w:szCs w:val="21"/>
                <w:highlight w:val="none"/>
                <w14:textFill>
                  <w14:solidFill>
                    <w14:schemeClr w14:val="tx1"/>
                  </w14:solidFill>
                </w14:textFill>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w:t>
            </w:r>
          </w:p>
        </w:tc>
        <w:tc>
          <w:tcPr>
            <w:tcW w:w="1980" w:type="dxa"/>
            <w:vAlign w:val="center"/>
          </w:tcPr>
          <w:p w14:paraId="20271DFD">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12</w:t>
            </w:r>
          </w:p>
        </w:tc>
        <w:tc>
          <w:tcPr>
            <w:tcW w:w="2154" w:type="dxa"/>
            <w:vAlign w:val="center"/>
          </w:tcPr>
          <w:p w14:paraId="4715BA26">
            <w:pPr>
              <w:autoSpaceDE w:val="0"/>
              <w:autoSpaceDN w:val="0"/>
              <w:spacing w:before="78"/>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企业营业执照：（4分）</w:t>
            </w:r>
          </w:p>
          <w:p w14:paraId="4F7270CE">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有效□无效□</w:t>
            </w:r>
          </w:p>
          <w:p w14:paraId="745E7842">
            <w:pPr>
              <w:rPr>
                <w:rFonts w:ascii="Arial" w:hAnsi="Arial"/>
                <w:color w:val="000000" w:themeColor="text1"/>
                <w:highlight w:val="none"/>
                <w14:textFill>
                  <w14:solidFill>
                    <w14:schemeClr w14:val="tx1"/>
                  </w14:solidFill>
                </w14:textFill>
              </w:rPr>
            </w:pPr>
          </w:p>
          <w:p w14:paraId="67386B9E">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资质等级：（4分）</w:t>
            </w:r>
          </w:p>
          <w:p w14:paraId="7A857F1C">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符合□不符合□</w:t>
            </w:r>
          </w:p>
          <w:p w14:paraId="6E6A58E5">
            <w:pPr>
              <w:rPr>
                <w:rFonts w:ascii="Arial" w:hAnsi="Arial"/>
                <w:color w:val="000000" w:themeColor="text1"/>
                <w:highlight w:val="none"/>
                <w14:textFill>
                  <w14:solidFill>
                    <w14:schemeClr w14:val="tx1"/>
                  </w14:solidFill>
                </w14:textFill>
              </w:rPr>
            </w:pPr>
          </w:p>
          <w:p w14:paraId="00E12F9F">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安全生产许可证：（4分）</w:t>
            </w:r>
          </w:p>
          <w:p w14:paraId="59ECA5ED">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有效□无效□</w:t>
            </w:r>
          </w:p>
        </w:tc>
        <w:tc>
          <w:tcPr>
            <w:tcW w:w="793" w:type="dxa"/>
            <w:tcBorders>
              <w:left w:val="single" w:color="auto" w:sz="4" w:space="0"/>
            </w:tcBorders>
            <w:vAlign w:val="center"/>
          </w:tcPr>
          <w:p w14:paraId="66A653A8">
            <w:pPr>
              <w:rPr>
                <w:rFonts w:ascii="Arial" w:hAnsi="Arial" w:cs="Arial"/>
                <w:color w:val="000000" w:themeColor="text1"/>
                <w:szCs w:val="21"/>
                <w:highlight w:val="none"/>
                <w14:textFill>
                  <w14:solidFill>
                    <w14:schemeClr w14:val="tx1"/>
                  </w14:solidFill>
                </w14:textFill>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980" w:type="dxa"/>
            <w:vAlign w:val="center"/>
          </w:tcPr>
          <w:p w14:paraId="4CC54C55">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工程拟定主要人员结构是否合理、齐全，主要负责人有无类似工程施工履历</w:t>
            </w:r>
          </w:p>
        </w:tc>
        <w:tc>
          <w:tcPr>
            <w:tcW w:w="737" w:type="dxa"/>
            <w:vAlign w:val="center"/>
          </w:tcPr>
          <w:p w14:paraId="480E3FE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w:t>
            </w:r>
            <w:r>
              <w:rPr>
                <w:rFonts w:hint="eastAsia" w:ascii="Arial" w:hAnsi="Arial" w:cs="Arial"/>
                <w:color w:val="000000" w:themeColor="text1"/>
                <w:szCs w:val="21"/>
                <w:highlight w:val="none"/>
                <w14:textFill>
                  <w14:solidFill>
                    <w14:schemeClr w14:val="tx1"/>
                  </w14:solidFill>
                </w14:textFill>
              </w:rPr>
              <w:t>8</w:t>
            </w:r>
          </w:p>
        </w:tc>
        <w:tc>
          <w:tcPr>
            <w:tcW w:w="2154" w:type="dxa"/>
          </w:tcPr>
          <w:p w14:paraId="65B677C1">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人员配置合理的得</w:t>
            </w:r>
            <w:r>
              <w:rPr>
                <w:rFonts w:ascii="Arial" w:hAnsi="Arial"/>
                <w:color w:val="000000" w:themeColor="text1"/>
                <w:szCs w:val="21"/>
                <w:highlight w:val="none"/>
                <w14:textFill>
                  <w14:solidFill>
                    <w14:schemeClr w14:val="tx1"/>
                  </w14:solidFill>
                </w14:textFill>
              </w:rPr>
              <w:t>4</w:t>
            </w:r>
            <w:r>
              <w:rPr>
                <w:rFonts w:hint="eastAsia" w:ascii="Arial" w:hAnsi="Arial"/>
                <w:color w:val="000000" w:themeColor="text1"/>
                <w:szCs w:val="21"/>
                <w:highlight w:val="none"/>
                <w14:textFill>
                  <w14:solidFill>
                    <w14:schemeClr w14:val="tx1"/>
                  </w14:solidFill>
                </w14:textFill>
              </w:rPr>
              <w:t>分；人员结构齐全的得</w:t>
            </w:r>
            <w:r>
              <w:rPr>
                <w:rFonts w:ascii="Arial" w:hAnsi="Arial"/>
                <w:color w:val="000000" w:themeColor="text1"/>
                <w:szCs w:val="21"/>
                <w:highlight w:val="none"/>
                <w14:textFill>
                  <w14:solidFill>
                    <w14:schemeClr w14:val="tx1"/>
                  </w14:solidFill>
                </w14:textFill>
              </w:rPr>
              <w:t>4</w:t>
            </w:r>
            <w:r>
              <w:rPr>
                <w:rFonts w:hint="eastAsia" w:ascii="Arial" w:hAnsi="Arial"/>
                <w:color w:val="000000" w:themeColor="text1"/>
                <w:szCs w:val="21"/>
                <w:highlight w:val="none"/>
                <w14:textFill>
                  <w14:solidFill>
                    <w14:schemeClr w14:val="tx1"/>
                  </w14:solidFill>
                </w14:textFill>
              </w:rPr>
              <w:t>分；主要负责人有类似工程施工履历的得</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分；主要人员持证情况得</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分。否则不得分</w:t>
            </w:r>
          </w:p>
        </w:tc>
        <w:tc>
          <w:tcPr>
            <w:tcW w:w="2891" w:type="dxa"/>
            <w:tcBorders>
              <w:right w:val="single" w:color="auto" w:sz="4" w:space="0"/>
            </w:tcBorders>
            <w:vAlign w:val="center"/>
          </w:tcPr>
          <w:p w14:paraId="241D041A">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人员配置：</w:t>
            </w:r>
          </w:p>
          <w:p w14:paraId="08331CE2">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理</w:t>
            </w:r>
            <w:r>
              <w:rPr>
                <w:rFonts w:hint="eastAsia" w:ascii="Arial" w:hAnsi="Arial"/>
                <w:color w:val="000000" w:themeColor="text1"/>
                <w:highlight w:val="none"/>
                <w14:textFill>
                  <w14:solidFill>
                    <w14:schemeClr w14:val="tx1"/>
                  </w14:solidFill>
                </w14:textFill>
              </w:rPr>
              <w:t>□    不合理□</w:t>
            </w:r>
          </w:p>
          <w:p w14:paraId="2BE7CFDD">
            <w:pPr>
              <w:spacing w:line="240" w:lineRule="atLeast"/>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齐  全□    不齐全□</w:t>
            </w:r>
          </w:p>
          <w:p w14:paraId="771E08E1">
            <w:pPr>
              <w:spacing w:line="240" w:lineRule="atLeast"/>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  证□    无  证□</w:t>
            </w:r>
          </w:p>
          <w:p w14:paraId="56479766">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施工经验    有□无□</w:t>
            </w:r>
          </w:p>
        </w:tc>
        <w:tc>
          <w:tcPr>
            <w:tcW w:w="793" w:type="dxa"/>
            <w:tcBorders>
              <w:left w:val="single" w:color="auto" w:sz="4" w:space="0"/>
            </w:tcBorders>
            <w:vAlign w:val="center"/>
          </w:tcPr>
          <w:p w14:paraId="1388010B">
            <w:pPr>
              <w:spacing w:line="240" w:lineRule="atLeast"/>
              <w:rPr>
                <w:rFonts w:ascii="Arial" w:hAnsi="Arial" w:cs="Arial"/>
                <w:color w:val="000000" w:themeColor="text1"/>
                <w:szCs w:val="21"/>
                <w:highlight w:val="none"/>
                <w14:textFill>
                  <w14:solidFill>
                    <w14:schemeClr w14:val="tx1"/>
                  </w14:solidFill>
                </w14:textFill>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980" w:type="dxa"/>
            <w:vAlign w:val="center"/>
          </w:tcPr>
          <w:p w14:paraId="00744198">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有无业绩及相关证明材料</w:t>
            </w:r>
          </w:p>
        </w:tc>
        <w:tc>
          <w:tcPr>
            <w:tcW w:w="737" w:type="dxa"/>
            <w:vAlign w:val="center"/>
          </w:tcPr>
          <w:p w14:paraId="07050F28">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30</w:t>
            </w:r>
          </w:p>
        </w:tc>
        <w:tc>
          <w:tcPr>
            <w:tcW w:w="2154" w:type="dxa"/>
            <w:vAlign w:val="center"/>
          </w:tcPr>
          <w:p w14:paraId="68232814">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业绩资料：</w:t>
            </w:r>
          </w:p>
          <w:p w14:paraId="5D3D4725">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很多</w:t>
            </w:r>
            <w:r>
              <w:rPr>
                <w:rFonts w:hint="eastAsia" w:ascii="Arial" w:hAnsi="Arial"/>
                <w:color w:val="000000" w:themeColor="text1"/>
                <w:highlight w:val="none"/>
                <w14:textFill>
                  <w14:solidFill>
                    <w14:schemeClr w14:val="tx1"/>
                  </w14:solidFill>
                </w14:textFill>
              </w:rPr>
              <w:t xml:space="preserve">□    一般□  </w:t>
            </w:r>
          </w:p>
          <w:p w14:paraId="12DF4B1C">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很少□      无□</w:t>
            </w:r>
          </w:p>
        </w:tc>
        <w:tc>
          <w:tcPr>
            <w:tcW w:w="793" w:type="dxa"/>
            <w:tcBorders>
              <w:left w:val="single" w:color="auto" w:sz="4" w:space="0"/>
            </w:tcBorders>
            <w:vAlign w:val="center"/>
          </w:tcPr>
          <w:p w14:paraId="1B511D88">
            <w:pPr>
              <w:spacing w:line="240" w:lineRule="atLeast"/>
              <w:rPr>
                <w:rFonts w:ascii="Arial" w:hAnsi="Arial" w:cs="Arial"/>
                <w:color w:val="000000" w:themeColor="text1"/>
                <w:szCs w:val="21"/>
                <w:highlight w:val="none"/>
                <w14:textFill>
                  <w14:solidFill>
                    <w14:schemeClr w14:val="tx1"/>
                  </w14:solidFill>
                </w14:textFill>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w:t>
            </w:r>
          </w:p>
        </w:tc>
        <w:tc>
          <w:tcPr>
            <w:tcW w:w="1980" w:type="dxa"/>
            <w:vAlign w:val="center"/>
          </w:tcPr>
          <w:p w14:paraId="06E4DF95">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与我单位或中建系统是否有合作经历</w:t>
            </w:r>
          </w:p>
        </w:tc>
        <w:tc>
          <w:tcPr>
            <w:tcW w:w="737" w:type="dxa"/>
            <w:vAlign w:val="center"/>
          </w:tcPr>
          <w:p w14:paraId="1562182B">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14:textFill>
                  <w14:solidFill>
                    <w14:schemeClr w14:val="tx1"/>
                  </w14:solidFill>
                </w14:textFill>
              </w:rPr>
              <w:t>0</w:t>
            </w:r>
          </w:p>
        </w:tc>
        <w:tc>
          <w:tcPr>
            <w:tcW w:w="2154" w:type="dxa"/>
            <w:vAlign w:val="center"/>
          </w:tcPr>
          <w:p w14:paraId="6F45F692">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与我单位有合作经历的加5分；与中建系统其他单位有合作经历的加5分；合作次数&gt;</w:t>
            </w:r>
            <w:r>
              <w:rPr>
                <w:rFonts w:ascii="Arial" w:hAnsi="Arial" w:cs="Arial"/>
                <w:bCs/>
                <w:color w:val="000000" w:themeColor="text1"/>
                <w:szCs w:val="21"/>
                <w:highlight w:val="none"/>
                <w14:textFill>
                  <w14:solidFill>
                    <w14:schemeClr w14:val="tx1"/>
                  </w14:solidFill>
                </w14:textFill>
              </w:rPr>
              <w:t>1</w:t>
            </w:r>
            <w:r>
              <w:rPr>
                <w:rFonts w:hint="eastAsia" w:ascii="Arial" w:hAnsi="Arial" w:cs="Arial"/>
                <w:bCs/>
                <w:color w:val="000000" w:themeColor="text1"/>
                <w:szCs w:val="21"/>
                <w:highlight w:val="none"/>
                <w14:textFill>
                  <w14:solidFill>
                    <w14:schemeClr w14:val="tx1"/>
                  </w14:solidFill>
                </w14:textFill>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合作经历：</w:t>
            </w:r>
          </w:p>
          <w:p w14:paraId="30163D7B">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与我单位：有</w:t>
            </w:r>
            <w:r>
              <w:rPr>
                <w:rFonts w:hint="eastAsia" w:ascii="Arial" w:hAnsi="Arial"/>
                <w:color w:val="000000" w:themeColor="text1"/>
                <w:highlight w:val="none"/>
                <w14:textFill>
                  <w14:solidFill>
                    <w14:schemeClr w14:val="tx1"/>
                  </w14:solidFill>
                </w14:textFill>
              </w:rPr>
              <w:t>□  无□</w:t>
            </w:r>
          </w:p>
          <w:p w14:paraId="604159C5">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与中建系统：</w:t>
            </w:r>
            <w:r>
              <w:rPr>
                <w:rFonts w:hint="eastAsia" w:ascii="Arial" w:hAnsi="Arial" w:cs="Arial"/>
                <w:color w:val="000000" w:themeColor="text1"/>
                <w:szCs w:val="21"/>
                <w:highlight w:val="none"/>
                <w14:textFill>
                  <w14:solidFill>
                    <w14:schemeClr w14:val="tx1"/>
                  </w14:solidFill>
                </w14:textFill>
              </w:rPr>
              <w:t>有</w:t>
            </w:r>
            <w:r>
              <w:rPr>
                <w:rFonts w:hint="eastAsia" w:ascii="Arial" w:hAnsi="Arial"/>
                <w:color w:val="000000" w:themeColor="text1"/>
                <w:highlight w:val="none"/>
                <w14:textFill>
                  <w14:solidFill>
                    <w14:schemeClr w14:val="tx1"/>
                  </w14:solidFill>
                </w14:textFill>
              </w:rPr>
              <w:t>□  无□</w:t>
            </w:r>
          </w:p>
        </w:tc>
        <w:tc>
          <w:tcPr>
            <w:tcW w:w="793" w:type="dxa"/>
            <w:tcBorders>
              <w:left w:val="single" w:color="auto" w:sz="4" w:space="0"/>
            </w:tcBorders>
            <w:vAlign w:val="center"/>
          </w:tcPr>
          <w:p w14:paraId="461DBC59">
            <w:pPr>
              <w:spacing w:line="240" w:lineRule="atLeast"/>
              <w:rPr>
                <w:rFonts w:ascii="Arial" w:hAnsi="Arial" w:cs="Arial"/>
                <w:color w:val="000000" w:themeColor="text1"/>
                <w:szCs w:val="21"/>
                <w:highlight w:val="none"/>
                <w14:textFill>
                  <w14:solidFill>
                    <w14:schemeClr w14:val="tx1"/>
                  </w14:solidFill>
                </w14:textFill>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980" w:type="dxa"/>
            <w:vAlign w:val="center"/>
          </w:tcPr>
          <w:p w14:paraId="59043733">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信誉是否良好</w:t>
            </w:r>
          </w:p>
        </w:tc>
        <w:tc>
          <w:tcPr>
            <w:tcW w:w="737" w:type="dxa"/>
            <w:vAlign w:val="center"/>
          </w:tcPr>
          <w:p w14:paraId="11C67C97">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14:textFill>
                  <w14:solidFill>
                    <w14:schemeClr w14:val="tx1"/>
                  </w14:solidFill>
                </w14:textFill>
              </w:rPr>
              <w:t>0</w:t>
            </w:r>
          </w:p>
        </w:tc>
        <w:tc>
          <w:tcPr>
            <w:tcW w:w="2154" w:type="dxa"/>
          </w:tcPr>
          <w:p w14:paraId="06A67743">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在上年度在中建系统内部评为优质分供商的得20分，在我单位信用评价等级中逐级减</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分（即</w:t>
            </w:r>
            <w:r>
              <w:rPr>
                <w:rFonts w:ascii="Arial" w:hAnsi="Arial"/>
                <w:color w:val="000000" w:themeColor="text1"/>
                <w:szCs w:val="21"/>
                <w:highlight w:val="none"/>
                <w14:textFill>
                  <w14:solidFill>
                    <w14:schemeClr w14:val="tx1"/>
                  </w14:solidFill>
                </w14:textFill>
              </w:rPr>
              <w:t>AA</w:t>
            </w:r>
            <w:r>
              <w:rPr>
                <w:rFonts w:hint="eastAsia" w:ascii="Arial" w:hAnsi="Arial"/>
                <w:color w:val="000000" w:themeColor="text1"/>
                <w:szCs w:val="21"/>
                <w:highlight w:val="none"/>
                <w14:textFill>
                  <w14:solidFill>
                    <w14:schemeClr w14:val="tx1"/>
                  </w14:solidFill>
                </w14:textFill>
              </w:rPr>
              <w:t>级得2</w:t>
            </w:r>
            <w:r>
              <w:rPr>
                <w:rFonts w:ascii="Arial" w:hAnsi="Arial"/>
                <w:color w:val="000000" w:themeColor="text1"/>
                <w:szCs w:val="21"/>
                <w:highlight w:val="none"/>
                <w14:textFill>
                  <w14:solidFill>
                    <w14:schemeClr w14:val="tx1"/>
                  </w14:solidFill>
                </w14:textFill>
              </w:rPr>
              <w:t>0</w:t>
            </w:r>
            <w:r>
              <w:rPr>
                <w:rFonts w:hint="eastAsia" w:ascii="Arial" w:hAnsi="Arial"/>
                <w:color w:val="000000" w:themeColor="text1"/>
                <w:szCs w:val="21"/>
                <w:highlight w:val="none"/>
                <w14:textFill>
                  <w14:solidFill>
                    <w14:schemeClr w14:val="tx1"/>
                  </w14:solidFill>
                </w14:textFill>
              </w:rPr>
              <w:t>分，</w:t>
            </w:r>
            <w:r>
              <w:rPr>
                <w:rFonts w:ascii="Arial" w:hAnsi="Arial"/>
                <w:color w:val="000000" w:themeColor="text1"/>
                <w:szCs w:val="21"/>
                <w:highlight w:val="none"/>
                <w14:textFill>
                  <w14:solidFill>
                    <w14:schemeClr w14:val="tx1"/>
                  </w14:solidFill>
                </w14:textFill>
              </w:rPr>
              <w:t>C</w:t>
            </w:r>
            <w:r>
              <w:rPr>
                <w:rFonts w:hint="eastAsia" w:ascii="Arial" w:hAnsi="Arial"/>
                <w:color w:val="000000" w:themeColor="text1"/>
                <w:szCs w:val="21"/>
                <w:highlight w:val="none"/>
                <w14:textFill>
                  <w14:solidFill>
                    <w14:schemeClr w14:val="tx1"/>
                  </w14:solidFill>
                </w14:textFill>
              </w:rPr>
              <w:t>级得5分），首次合作或其他情况得</w:t>
            </w:r>
            <w:r>
              <w:rPr>
                <w:rFonts w:ascii="Arial" w:hAnsi="Arial"/>
                <w:color w:val="000000" w:themeColor="text1"/>
                <w:szCs w:val="21"/>
                <w:highlight w:val="none"/>
                <w14:textFill>
                  <w14:solidFill>
                    <w14:schemeClr w14:val="tx1"/>
                  </w14:solidFill>
                </w14:textFill>
              </w:rPr>
              <w:t>10</w:t>
            </w:r>
            <w:r>
              <w:rPr>
                <w:rFonts w:hint="eastAsia" w:ascii="Arial" w:hAnsi="Arial"/>
                <w:color w:val="000000" w:themeColor="text1"/>
                <w:szCs w:val="21"/>
                <w:highlight w:val="none"/>
                <w14:textFill>
                  <w14:solidFill>
                    <w14:schemeClr w14:val="tx1"/>
                  </w14:solidFill>
                </w14:textFill>
              </w:rPr>
              <w:t>分。</w:t>
            </w:r>
          </w:p>
        </w:tc>
        <w:tc>
          <w:tcPr>
            <w:tcW w:w="2891" w:type="dxa"/>
            <w:tcBorders>
              <w:right w:val="single" w:color="auto" w:sz="4" w:space="0"/>
            </w:tcBorders>
            <w:vAlign w:val="center"/>
          </w:tcPr>
          <w:p w14:paraId="3B3A06FA">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信誉：</w:t>
            </w:r>
          </w:p>
          <w:p w14:paraId="3C2A8328">
            <w:pPr>
              <w:spacing w:line="240" w:lineRule="atLeast"/>
              <w:rPr>
                <w:rFonts w:ascii="Arial" w:hAnsi="Arial" w:cs="Arial"/>
                <w:b/>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优质□   其他□</w:t>
            </w:r>
          </w:p>
        </w:tc>
        <w:tc>
          <w:tcPr>
            <w:tcW w:w="793" w:type="dxa"/>
            <w:tcBorders>
              <w:left w:val="single" w:color="auto" w:sz="4" w:space="0"/>
            </w:tcBorders>
            <w:vAlign w:val="center"/>
          </w:tcPr>
          <w:p w14:paraId="45F6634F">
            <w:pPr>
              <w:spacing w:line="240" w:lineRule="atLeast"/>
              <w:rPr>
                <w:rFonts w:ascii="Arial" w:hAnsi="Arial" w:cs="Arial"/>
                <w:color w:val="000000" w:themeColor="text1"/>
                <w:szCs w:val="21"/>
                <w:highlight w:val="none"/>
                <w14:textFill>
                  <w14:solidFill>
                    <w14:schemeClr w14:val="tx1"/>
                  </w14:solidFill>
                </w14:textFill>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980" w:type="dxa"/>
            <w:vAlign w:val="center"/>
          </w:tcPr>
          <w:p w14:paraId="674E2FCF">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垫资能力及其他优惠条件</w:t>
            </w:r>
          </w:p>
        </w:tc>
        <w:tc>
          <w:tcPr>
            <w:tcW w:w="737" w:type="dxa"/>
            <w:vAlign w:val="center"/>
          </w:tcPr>
          <w:p w14:paraId="3D8D01D9">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加分项</w:t>
            </w:r>
          </w:p>
        </w:tc>
        <w:tc>
          <w:tcPr>
            <w:tcW w:w="2154" w:type="dxa"/>
          </w:tcPr>
          <w:p w14:paraId="658CC004">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color w:val="000000" w:themeColor="text1"/>
                <w:highlight w:val="none"/>
                <w14:textFill>
                  <w14:solidFill>
                    <w14:schemeClr w14:val="tx1"/>
                  </w14:solidFill>
                </w14:textFill>
              </w:rPr>
            </w:pPr>
          </w:p>
        </w:tc>
        <w:tc>
          <w:tcPr>
            <w:tcW w:w="793" w:type="dxa"/>
            <w:tcBorders>
              <w:left w:val="single" w:color="auto" w:sz="4" w:space="0"/>
            </w:tcBorders>
            <w:vAlign w:val="center"/>
          </w:tcPr>
          <w:p w14:paraId="5529E094">
            <w:pPr>
              <w:jc w:val="center"/>
              <w:rPr>
                <w:rFonts w:ascii="Arial" w:hAnsi="Arial" w:cs="Arial"/>
                <w:color w:val="000000" w:themeColor="text1"/>
                <w:szCs w:val="21"/>
                <w:highlight w:val="none"/>
                <w14:textFill>
                  <w14:solidFill>
                    <w14:schemeClr w14:val="tx1"/>
                  </w14:solidFill>
                </w14:textFill>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计（100）</w:t>
            </w:r>
          </w:p>
        </w:tc>
        <w:tc>
          <w:tcPr>
            <w:tcW w:w="3684" w:type="dxa"/>
            <w:gridSpan w:val="2"/>
            <w:vAlign w:val="center"/>
          </w:tcPr>
          <w:p w14:paraId="5C8B2BD0">
            <w:pPr>
              <w:rPr>
                <w:rFonts w:ascii="Arial" w:hAnsi="Arial" w:cs="Arial"/>
                <w:bCs/>
                <w:color w:val="000000" w:themeColor="text1"/>
                <w:szCs w:val="21"/>
                <w:highlight w:val="none"/>
                <w14:textFill>
                  <w14:solidFill>
                    <w14:schemeClr w14:val="tx1"/>
                  </w14:solidFill>
                </w14:textFill>
              </w:rPr>
            </w:pPr>
          </w:p>
        </w:tc>
      </w:tr>
    </w:tbl>
    <w:p w14:paraId="7FF2D40D">
      <w:pPr>
        <w:spacing w:line="360" w:lineRule="auto"/>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2</w:t>
      </w:r>
    </w:p>
    <w:p w14:paraId="21BDFBDF">
      <w:pPr>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施工</w:t>
      </w:r>
      <w:r>
        <w:rPr>
          <w:rFonts w:hAnsi="宋体"/>
          <w:b/>
          <w:color w:val="000000" w:themeColor="text1"/>
          <w:sz w:val="24"/>
          <w:highlight w:val="none"/>
          <w14:textFill>
            <w14:solidFill>
              <w14:schemeClr w14:val="tx1"/>
            </w14:solidFill>
          </w14:textFill>
        </w:rPr>
        <w:t>技术</w:t>
      </w:r>
      <w:r>
        <w:rPr>
          <w:rFonts w:hint="eastAsia" w:hAnsi="宋体"/>
          <w:b/>
          <w:color w:val="000000" w:themeColor="text1"/>
          <w:sz w:val="24"/>
          <w:highlight w:val="none"/>
          <w14:textFill>
            <w14:solidFill>
              <w14:schemeClr w14:val="tx1"/>
            </w14:solidFill>
          </w14:textFill>
        </w:rPr>
        <w:t>方案</w:t>
      </w:r>
      <w:r>
        <w:rPr>
          <w:rFonts w:hAnsi="宋体"/>
          <w:b/>
          <w:color w:val="000000" w:themeColor="text1"/>
          <w:sz w:val="24"/>
          <w:highlight w:val="none"/>
          <w14:textFill>
            <w14:solidFill>
              <w14:schemeClr w14:val="tx1"/>
            </w14:solidFill>
          </w14:textFill>
        </w:rPr>
        <w:t>评分表</w:t>
      </w:r>
    </w:p>
    <w:p w14:paraId="10746B50">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序号</w:t>
            </w:r>
          </w:p>
        </w:tc>
        <w:tc>
          <w:tcPr>
            <w:tcW w:w="1593" w:type="dxa"/>
            <w:vMerge w:val="restart"/>
            <w:vAlign w:val="center"/>
          </w:tcPr>
          <w:p w14:paraId="51164D80">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评分项目</w:t>
            </w:r>
          </w:p>
        </w:tc>
        <w:tc>
          <w:tcPr>
            <w:tcW w:w="871" w:type="dxa"/>
            <w:vMerge w:val="restart"/>
            <w:vAlign w:val="center"/>
          </w:tcPr>
          <w:p w14:paraId="5FA817BE">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满</w:t>
            </w:r>
            <w:r>
              <w:rPr>
                <w:rFonts w:ascii="Arial" w:hAnsi="Arial" w:cs="Arial"/>
                <w:b/>
                <w:color w:val="000000" w:themeColor="text1"/>
                <w:szCs w:val="21"/>
                <w:highlight w:val="none"/>
                <w14:textFill>
                  <w14:solidFill>
                    <w14:schemeClr w14:val="tx1"/>
                  </w14:solidFill>
                </w14:textFill>
              </w:rPr>
              <w:t>分</w:t>
            </w:r>
          </w:p>
        </w:tc>
        <w:tc>
          <w:tcPr>
            <w:tcW w:w="4068" w:type="dxa"/>
            <w:vMerge w:val="restart"/>
            <w:vAlign w:val="center"/>
          </w:tcPr>
          <w:p w14:paraId="4EA3B19C">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评分标准</w:t>
            </w:r>
          </w:p>
        </w:tc>
        <w:tc>
          <w:tcPr>
            <w:tcW w:w="1110" w:type="dxa"/>
            <w:vMerge w:val="restart"/>
            <w:tcBorders>
              <w:right w:val="single" w:color="auto" w:sz="4" w:space="0"/>
            </w:tcBorders>
            <w:vAlign w:val="center"/>
          </w:tcPr>
          <w:p w14:paraId="78E1827D">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选择分值</w:t>
            </w:r>
          </w:p>
        </w:tc>
        <w:tc>
          <w:tcPr>
            <w:tcW w:w="1139" w:type="dxa"/>
            <w:vMerge w:val="restart"/>
            <w:tcBorders>
              <w:left w:val="single" w:color="auto" w:sz="4" w:space="0"/>
            </w:tcBorders>
            <w:vAlign w:val="center"/>
          </w:tcPr>
          <w:p w14:paraId="7E57E6EC">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A0A91B0">
            <w:pPr>
              <w:jc w:val="cente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4283D4A5">
            <w:pPr>
              <w:jc w:val="center"/>
              <w:rPr>
                <w:rFonts w:ascii="Arial" w:hAnsi="Arial" w:cs="Arial"/>
                <w:color w:val="000000" w:themeColor="text1"/>
                <w:szCs w:val="21"/>
                <w:highlight w:val="none"/>
                <w14:textFill>
                  <w14:solidFill>
                    <w14:schemeClr w14:val="tx1"/>
                  </w14:solidFill>
                </w14:textFill>
              </w:rPr>
            </w:pPr>
          </w:p>
        </w:tc>
        <w:tc>
          <w:tcPr>
            <w:tcW w:w="4068" w:type="dxa"/>
            <w:vMerge w:val="continue"/>
            <w:vAlign w:val="center"/>
          </w:tcPr>
          <w:p w14:paraId="56819143">
            <w:pPr>
              <w:jc w:val="center"/>
              <w:rPr>
                <w:rFonts w:ascii="Arial" w:hAnsi="Arial" w:cs="Arial"/>
                <w:color w:val="000000" w:themeColor="text1"/>
                <w:szCs w:val="21"/>
                <w:highlight w:val="none"/>
                <w14:textFill>
                  <w14:solidFill>
                    <w14:schemeClr w14:val="tx1"/>
                  </w14:solidFill>
                </w14:textFill>
              </w:rPr>
            </w:pPr>
          </w:p>
        </w:tc>
        <w:tc>
          <w:tcPr>
            <w:tcW w:w="1110" w:type="dxa"/>
            <w:vMerge w:val="continue"/>
            <w:tcBorders>
              <w:right w:val="single" w:color="auto" w:sz="4" w:space="0"/>
            </w:tcBorders>
            <w:vAlign w:val="center"/>
          </w:tcPr>
          <w:p w14:paraId="43AE9094">
            <w:pPr>
              <w:jc w:val="center"/>
              <w:rPr>
                <w:rFonts w:ascii="Arial" w:hAnsi="Arial" w:cs="Arial"/>
                <w:color w:val="000000" w:themeColor="text1"/>
                <w:szCs w:val="21"/>
                <w:highlight w:val="none"/>
                <w14:textFill>
                  <w14:solidFill>
                    <w14:schemeClr w14:val="tx1"/>
                  </w14:solidFill>
                </w14:textFill>
              </w:rPr>
            </w:pPr>
          </w:p>
        </w:tc>
        <w:tc>
          <w:tcPr>
            <w:tcW w:w="1139" w:type="dxa"/>
            <w:vMerge w:val="continue"/>
            <w:tcBorders>
              <w:left w:val="single" w:color="auto" w:sz="4" w:space="0"/>
            </w:tcBorders>
            <w:vAlign w:val="center"/>
          </w:tcPr>
          <w:p w14:paraId="1AED646C">
            <w:pPr>
              <w:rPr>
                <w:rFonts w:ascii="Arial" w:hAnsi="Arial" w:cs="Arial"/>
                <w:color w:val="000000" w:themeColor="text1"/>
                <w:szCs w:val="21"/>
                <w:highlight w:val="none"/>
                <w14:textFill>
                  <w14:solidFill>
                    <w14:schemeClr w14:val="tx1"/>
                  </w14:solidFill>
                </w14:textFill>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color w:val="000000" w:themeColor="text1"/>
                <w:szCs w:val="21"/>
                <w:highlight w:val="none"/>
                <w14:textFill>
                  <w14:solidFill>
                    <w14:schemeClr w14:val="tx1"/>
                  </w14:solidFill>
                </w14:textFill>
              </w:rPr>
            </w:pPr>
            <w:bookmarkStart w:id="1689" w:name="_Hlk240252769"/>
            <w:bookmarkStart w:id="1690" w:name="OLE_LINK1" w:colFirst="1" w:colLast="2"/>
            <w:bookmarkStart w:id="1691" w:name="OLE_LINK2" w:colFirst="1" w:colLast="2"/>
            <w:r>
              <w:rPr>
                <w:rFonts w:hint="eastAsia" w:ascii="Arial" w:hAnsi="Arial" w:cs="Arial"/>
                <w:color w:val="000000" w:themeColor="text1"/>
                <w:szCs w:val="21"/>
                <w:highlight w:val="none"/>
                <w14:textFill>
                  <w14:solidFill>
                    <w14:schemeClr w14:val="tx1"/>
                  </w14:solidFill>
                </w14:textFill>
              </w:rPr>
              <w:t>1</w:t>
            </w:r>
          </w:p>
        </w:tc>
        <w:tc>
          <w:tcPr>
            <w:tcW w:w="1593" w:type="dxa"/>
            <w:vMerge w:val="restart"/>
            <w:vAlign w:val="center"/>
          </w:tcPr>
          <w:p w14:paraId="75FB9C4C">
            <w:pPr>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主要施工方案</w:t>
            </w:r>
            <w:r>
              <w:rPr>
                <w:rFonts w:hint="eastAsia" w:ascii="Arial" w:hAnsi="Arial" w:cs="Arial"/>
                <w:color w:val="000000" w:themeColor="text1"/>
                <w:szCs w:val="21"/>
                <w:highlight w:val="none"/>
                <w14:textFill>
                  <w14:solidFill>
                    <w14:schemeClr w14:val="tx1"/>
                  </w14:solidFill>
                </w14:textFill>
              </w:rPr>
              <w:t>和技术措施</w:t>
            </w:r>
          </w:p>
        </w:tc>
        <w:tc>
          <w:tcPr>
            <w:tcW w:w="871" w:type="dxa"/>
            <w:vMerge w:val="restart"/>
            <w:vAlign w:val="center"/>
          </w:tcPr>
          <w:p w14:paraId="50A80D57">
            <w:pPr>
              <w:autoSpaceDE w:val="0"/>
              <w:autoSpaceDN w:val="0"/>
              <w:jc w:val="center"/>
              <w:rPr>
                <w:rFonts w:ascii="Arial" w:hAnsi="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20</w:t>
            </w:r>
          </w:p>
        </w:tc>
        <w:tc>
          <w:tcPr>
            <w:tcW w:w="4068" w:type="dxa"/>
            <w:vAlign w:val="center"/>
          </w:tcPr>
          <w:p w14:paraId="5A1494A7">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全面且针对性强，难点、重点把握准确，</w:t>
            </w: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先进、可靠实用</w:t>
            </w:r>
          </w:p>
        </w:tc>
        <w:tc>
          <w:tcPr>
            <w:tcW w:w="1110" w:type="dxa"/>
            <w:tcBorders>
              <w:right w:val="single" w:color="auto" w:sz="4" w:space="0"/>
            </w:tcBorders>
            <w:vAlign w:val="center"/>
          </w:tcPr>
          <w:p w14:paraId="6297A089">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20</w:t>
            </w:r>
          </w:p>
        </w:tc>
        <w:tc>
          <w:tcPr>
            <w:tcW w:w="1139" w:type="dxa"/>
            <w:vMerge w:val="restart"/>
            <w:tcBorders>
              <w:left w:val="single" w:color="auto" w:sz="4" w:space="0"/>
            </w:tcBorders>
            <w:vAlign w:val="center"/>
          </w:tcPr>
          <w:p w14:paraId="6DF687C0">
            <w:pPr>
              <w:rPr>
                <w:rFonts w:ascii="Arial" w:hAnsi="Arial" w:cs="Arial"/>
                <w:color w:val="000000" w:themeColor="text1"/>
                <w:szCs w:val="21"/>
                <w:highlight w:val="none"/>
                <w14:textFill>
                  <w14:solidFill>
                    <w14:schemeClr w14:val="tx1"/>
                  </w14:solidFill>
                </w14:textFill>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3455446">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55BEDF50">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689F0C2">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较全面针对性较强，难点、重点把握较准确，</w:t>
            </w: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较先进、较可靠实用</w:t>
            </w:r>
          </w:p>
        </w:tc>
        <w:tc>
          <w:tcPr>
            <w:tcW w:w="1110" w:type="dxa"/>
            <w:tcBorders>
              <w:right w:val="single" w:color="auto" w:sz="4" w:space="0"/>
            </w:tcBorders>
            <w:vAlign w:val="center"/>
          </w:tcPr>
          <w:p w14:paraId="44E5FD2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15</w:t>
            </w:r>
          </w:p>
        </w:tc>
        <w:tc>
          <w:tcPr>
            <w:tcW w:w="1139" w:type="dxa"/>
            <w:vMerge w:val="continue"/>
            <w:tcBorders>
              <w:left w:val="single" w:color="auto" w:sz="4" w:space="0"/>
            </w:tcBorders>
            <w:vAlign w:val="center"/>
          </w:tcPr>
          <w:p w14:paraId="462D56E6">
            <w:pPr>
              <w:rPr>
                <w:rFonts w:ascii="Arial" w:hAnsi="Arial" w:cs="Arial"/>
                <w:color w:val="000000" w:themeColor="text1"/>
                <w:szCs w:val="21"/>
                <w:highlight w:val="none"/>
                <w14:textFill>
                  <w14:solidFill>
                    <w14:schemeClr w14:val="tx1"/>
                  </w14:solidFill>
                </w14:textFill>
              </w:rPr>
            </w:pPr>
          </w:p>
        </w:tc>
      </w:tr>
      <w:bookmarkEnd w:id="1689"/>
      <w:bookmarkEnd w:id="1690"/>
      <w:bookmarkEnd w:id="1691"/>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AD80A52">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4D10EEEA">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DAA5C0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针对性</w:t>
            </w:r>
            <w:r>
              <w:rPr>
                <w:rFonts w:ascii="Arial" w:hAnsi="Arial" w:cs="Arial"/>
                <w:color w:val="000000" w:themeColor="text1"/>
                <w:szCs w:val="21"/>
                <w:highlight w:val="none"/>
                <w14:textFill>
                  <w14:solidFill>
                    <w14:schemeClr w14:val="tx1"/>
                  </w14:solidFill>
                </w14:textFill>
              </w:rPr>
              <w:t>一般</w:t>
            </w:r>
            <w:r>
              <w:rPr>
                <w:rFonts w:hint="eastAsia" w:ascii="Arial" w:hAnsi="Arial" w:cs="Arial"/>
                <w:color w:val="000000" w:themeColor="text1"/>
                <w:szCs w:val="21"/>
                <w:highlight w:val="none"/>
                <w14:textFill>
                  <w14:solidFill>
                    <w14:schemeClr w14:val="tx1"/>
                  </w14:solidFill>
                </w14:textFill>
              </w:rPr>
              <w:t>，</w:t>
            </w:r>
            <w:r>
              <w:rPr>
                <w:rFonts w:ascii="Arial" w:hAnsi="Arial" w:cs="Arial"/>
                <w:color w:val="000000" w:themeColor="text1"/>
                <w:szCs w:val="21"/>
                <w:highlight w:val="none"/>
                <w14:textFill>
                  <w14:solidFill>
                    <w14:schemeClr w14:val="tx1"/>
                  </w14:solidFill>
                </w14:textFill>
              </w:rPr>
              <w:t>技术措施</w:t>
            </w:r>
            <w:r>
              <w:rPr>
                <w:rFonts w:hint="eastAsia" w:ascii="Arial" w:hAnsi="Arial" w:cs="Arial"/>
                <w:color w:val="000000" w:themeColor="text1"/>
                <w:szCs w:val="21"/>
                <w:highlight w:val="none"/>
                <w14:textFill>
                  <w14:solidFill>
                    <w14:schemeClr w14:val="tx1"/>
                  </w14:solidFill>
                </w14:textFill>
              </w:rPr>
              <w:t>可行</w:t>
            </w:r>
          </w:p>
        </w:tc>
        <w:tc>
          <w:tcPr>
            <w:tcW w:w="1110" w:type="dxa"/>
            <w:tcBorders>
              <w:right w:val="single" w:color="auto" w:sz="4" w:space="0"/>
            </w:tcBorders>
            <w:vAlign w:val="center"/>
          </w:tcPr>
          <w:p w14:paraId="2B9A3EC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7675340">
            <w:pPr>
              <w:spacing w:line="240" w:lineRule="atLeast"/>
              <w:rPr>
                <w:rFonts w:ascii="Arial" w:hAnsi="Arial" w:cs="Arial"/>
                <w:color w:val="000000" w:themeColor="text1"/>
                <w:szCs w:val="21"/>
                <w:highlight w:val="none"/>
                <w14:textFill>
                  <w14:solidFill>
                    <w14:schemeClr w14:val="tx1"/>
                  </w14:solidFill>
                </w14:textFill>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6243FE3">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77B3C38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661DB2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针对性不强，</w:t>
            </w:r>
            <w:r>
              <w:rPr>
                <w:rFonts w:ascii="Arial" w:hAnsi="Arial" w:cs="Arial"/>
                <w:color w:val="000000" w:themeColor="text1"/>
                <w:szCs w:val="21"/>
                <w:highlight w:val="none"/>
                <w14:textFill>
                  <w14:solidFill>
                    <w14:schemeClr w14:val="tx1"/>
                  </w14:solidFill>
                </w14:textFill>
              </w:rPr>
              <w:t>技术措施</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332051D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continue"/>
            <w:tcBorders>
              <w:left w:val="single" w:color="auto" w:sz="4" w:space="0"/>
            </w:tcBorders>
            <w:vAlign w:val="center"/>
          </w:tcPr>
          <w:p w14:paraId="79F05834">
            <w:pPr>
              <w:spacing w:line="240" w:lineRule="atLeast"/>
              <w:rPr>
                <w:rFonts w:ascii="Arial" w:hAnsi="Arial" w:cs="Arial"/>
                <w:color w:val="000000" w:themeColor="text1"/>
                <w:szCs w:val="21"/>
                <w:highlight w:val="none"/>
                <w14:textFill>
                  <w14:solidFill>
                    <w14:schemeClr w14:val="tx1"/>
                  </w14:solidFill>
                </w14:textFill>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593" w:type="dxa"/>
            <w:vMerge w:val="restart"/>
            <w:vAlign w:val="center"/>
          </w:tcPr>
          <w:p w14:paraId="6B67AD5D">
            <w:pPr>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质量保证</w:t>
            </w:r>
            <w:r>
              <w:rPr>
                <w:rFonts w:hint="eastAsia" w:ascii="Arial" w:hAnsi="Arial" w:cs="Arial"/>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措施</w:t>
            </w:r>
          </w:p>
        </w:tc>
        <w:tc>
          <w:tcPr>
            <w:tcW w:w="871" w:type="dxa"/>
            <w:vMerge w:val="restart"/>
            <w:vAlign w:val="center"/>
          </w:tcPr>
          <w:p w14:paraId="0372C864">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4068" w:type="dxa"/>
            <w:vAlign w:val="center"/>
          </w:tcPr>
          <w:p w14:paraId="657E64B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1139" w:type="dxa"/>
            <w:vMerge w:val="restart"/>
            <w:tcBorders>
              <w:left w:val="single" w:color="auto" w:sz="4" w:space="0"/>
            </w:tcBorders>
            <w:vAlign w:val="center"/>
          </w:tcPr>
          <w:p w14:paraId="6CDBB8CF">
            <w:pPr>
              <w:spacing w:line="240" w:lineRule="atLeast"/>
              <w:rPr>
                <w:rFonts w:ascii="Arial" w:hAnsi="Arial" w:cs="Arial"/>
                <w:color w:val="000000" w:themeColor="text1"/>
                <w:szCs w:val="21"/>
                <w:highlight w:val="none"/>
                <w14:textFill>
                  <w14:solidFill>
                    <w14:schemeClr w14:val="tx1"/>
                  </w14:solidFill>
                </w14:textFill>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C877AA0">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4781615">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DF3E1D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D918683">
            <w:pPr>
              <w:spacing w:line="240" w:lineRule="atLeast"/>
              <w:rPr>
                <w:rFonts w:ascii="Arial" w:hAnsi="Arial" w:cs="Arial"/>
                <w:color w:val="000000" w:themeColor="text1"/>
                <w:szCs w:val="21"/>
                <w:highlight w:val="none"/>
                <w14:textFill>
                  <w14:solidFill>
                    <w14:schemeClr w14:val="tx1"/>
                  </w14:solidFill>
                </w14:textFill>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DD79CD4">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23A82757">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04FA028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一般，</w:t>
            </w:r>
            <w:r>
              <w:rPr>
                <w:rFonts w:ascii="Arial" w:hAnsi="Arial" w:cs="Arial"/>
                <w:color w:val="000000" w:themeColor="text1"/>
                <w:szCs w:val="21"/>
                <w:highlight w:val="none"/>
                <w14:textFill>
                  <w14:solidFill>
                    <w14:schemeClr w14:val="tx1"/>
                  </w14:solidFill>
                </w14:textFill>
              </w:rPr>
              <w:t>计划</w:t>
            </w:r>
            <w:r>
              <w:rPr>
                <w:rFonts w:hint="eastAsia" w:ascii="Arial" w:hAnsi="Arial" w:cs="Arial"/>
                <w:color w:val="000000" w:themeColor="text1"/>
                <w:szCs w:val="21"/>
                <w:highlight w:val="none"/>
                <w14:textFill>
                  <w14:solidFill>
                    <w14:schemeClr w14:val="tx1"/>
                  </w14:solidFill>
                </w14:textFill>
              </w:rPr>
              <w:t>可行</w:t>
            </w:r>
          </w:p>
        </w:tc>
        <w:tc>
          <w:tcPr>
            <w:tcW w:w="1110" w:type="dxa"/>
            <w:tcBorders>
              <w:right w:val="single" w:color="auto" w:sz="4" w:space="0"/>
            </w:tcBorders>
            <w:vAlign w:val="center"/>
          </w:tcPr>
          <w:p w14:paraId="063FF1A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continue"/>
            <w:tcBorders>
              <w:left w:val="single" w:color="auto" w:sz="4" w:space="0"/>
            </w:tcBorders>
            <w:vAlign w:val="center"/>
          </w:tcPr>
          <w:p w14:paraId="5E2649C4">
            <w:pPr>
              <w:spacing w:line="240" w:lineRule="atLeast"/>
              <w:rPr>
                <w:rFonts w:ascii="Arial" w:hAnsi="Arial" w:cs="Arial"/>
                <w:color w:val="000000" w:themeColor="text1"/>
                <w:szCs w:val="21"/>
                <w:highlight w:val="none"/>
                <w14:textFill>
                  <w14:solidFill>
                    <w14:schemeClr w14:val="tx1"/>
                  </w14:solidFill>
                </w14:textFill>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676F7E6B">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B51B8D2">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92C23FC">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计划</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3D6D504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25AD12C0">
            <w:pPr>
              <w:spacing w:line="240" w:lineRule="atLeast"/>
              <w:rPr>
                <w:rFonts w:ascii="Arial" w:hAnsi="Arial" w:cs="Arial"/>
                <w:color w:val="000000" w:themeColor="text1"/>
                <w:szCs w:val="21"/>
                <w:highlight w:val="none"/>
                <w14:textFill>
                  <w14:solidFill>
                    <w14:schemeClr w14:val="tx1"/>
                  </w14:solidFill>
                </w14:textFill>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593" w:type="dxa"/>
            <w:vMerge w:val="restart"/>
            <w:vAlign w:val="center"/>
          </w:tcPr>
          <w:p w14:paraId="5CDBC34D">
            <w:pPr>
              <w:widowControl/>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进度计划及保障措施</w:t>
            </w:r>
            <w:r>
              <w:rPr>
                <w:rFonts w:hint="eastAsia" w:ascii="Arial" w:hAnsi="Arial" w:cs="Arial"/>
                <w:color w:val="000000" w:themeColor="text1"/>
                <w:szCs w:val="21"/>
                <w:highlight w:val="none"/>
                <w14:textFill>
                  <w14:solidFill>
                    <w14:schemeClr w14:val="tx1"/>
                  </w14:solidFill>
                </w14:textFill>
              </w:rPr>
              <w:t>；劳动力计划及保证措施</w:t>
            </w:r>
          </w:p>
        </w:tc>
        <w:tc>
          <w:tcPr>
            <w:tcW w:w="871" w:type="dxa"/>
            <w:vMerge w:val="restart"/>
            <w:vAlign w:val="center"/>
          </w:tcPr>
          <w:p w14:paraId="75E048BF">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4068" w:type="dxa"/>
            <w:vAlign w:val="center"/>
          </w:tcPr>
          <w:p w14:paraId="3853B72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7EA739D9">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1139" w:type="dxa"/>
            <w:vMerge w:val="restart"/>
            <w:tcBorders>
              <w:left w:val="single" w:color="auto" w:sz="4" w:space="0"/>
            </w:tcBorders>
            <w:vAlign w:val="center"/>
          </w:tcPr>
          <w:p w14:paraId="70632760">
            <w:pPr>
              <w:spacing w:line="240" w:lineRule="atLeast"/>
              <w:rPr>
                <w:rFonts w:ascii="Arial" w:hAnsi="Arial" w:cs="Arial"/>
                <w:color w:val="000000" w:themeColor="text1"/>
                <w:szCs w:val="21"/>
                <w:highlight w:val="none"/>
                <w14:textFill>
                  <w14:solidFill>
                    <w14:schemeClr w14:val="tx1"/>
                  </w14:solidFill>
                </w14:textFill>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63516F0">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6DBDDE7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280C36A7">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较合理</w:t>
            </w:r>
          </w:p>
        </w:tc>
        <w:tc>
          <w:tcPr>
            <w:tcW w:w="1110" w:type="dxa"/>
            <w:tcBorders>
              <w:right w:val="single" w:color="auto" w:sz="4" w:space="0"/>
            </w:tcBorders>
            <w:vAlign w:val="center"/>
          </w:tcPr>
          <w:p w14:paraId="779959CA">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1169244">
            <w:pPr>
              <w:spacing w:line="240" w:lineRule="atLeast"/>
              <w:rPr>
                <w:rFonts w:ascii="Arial" w:hAnsi="Arial" w:cs="Arial"/>
                <w:color w:val="000000" w:themeColor="text1"/>
                <w:szCs w:val="21"/>
                <w:highlight w:val="none"/>
                <w14:textFill>
                  <w14:solidFill>
                    <w14:schemeClr w14:val="tx1"/>
                  </w14:solidFill>
                </w14:textFill>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7EEAA07">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9FD7B33">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C6C3742">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一般</w:t>
            </w:r>
          </w:p>
        </w:tc>
        <w:tc>
          <w:tcPr>
            <w:tcW w:w="1110" w:type="dxa"/>
            <w:tcBorders>
              <w:right w:val="single" w:color="auto" w:sz="4" w:space="0"/>
            </w:tcBorders>
            <w:vAlign w:val="center"/>
          </w:tcPr>
          <w:p w14:paraId="6E90AFB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continue"/>
            <w:tcBorders>
              <w:left w:val="single" w:color="auto" w:sz="4" w:space="0"/>
            </w:tcBorders>
            <w:vAlign w:val="center"/>
          </w:tcPr>
          <w:p w14:paraId="3FB32B3F">
            <w:pPr>
              <w:spacing w:line="240" w:lineRule="atLeast"/>
              <w:rPr>
                <w:rFonts w:ascii="Arial" w:hAnsi="Arial" w:cs="Arial"/>
                <w:color w:val="000000" w:themeColor="text1"/>
                <w:szCs w:val="21"/>
                <w:highlight w:val="none"/>
                <w14:textFill>
                  <w14:solidFill>
                    <w14:schemeClr w14:val="tx1"/>
                  </w14:solidFill>
                </w14:textFill>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5B7E693">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7B153B03">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885E955">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44555CD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19D75A6E">
            <w:pPr>
              <w:spacing w:line="240" w:lineRule="atLeast"/>
              <w:rPr>
                <w:rFonts w:ascii="Arial" w:hAnsi="Arial" w:cs="Arial"/>
                <w:color w:val="000000" w:themeColor="text1"/>
                <w:szCs w:val="21"/>
                <w:highlight w:val="none"/>
                <w14:textFill>
                  <w14:solidFill>
                    <w14:schemeClr w14:val="tx1"/>
                  </w14:solidFill>
                </w14:textFill>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w:t>
            </w:r>
          </w:p>
        </w:tc>
        <w:tc>
          <w:tcPr>
            <w:tcW w:w="1593" w:type="dxa"/>
            <w:vMerge w:val="restart"/>
            <w:vAlign w:val="center"/>
          </w:tcPr>
          <w:p w14:paraId="3CF1414A">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机械设备配置及保障</w:t>
            </w:r>
          </w:p>
        </w:tc>
        <w:tc>
          <w:tcPr>
            <w:tcW w:w="871" w:type="dxa"/>
            <w:vMerge w:val="restart"/>
            <w:vAlign w:val="center"/>
          </w:tcPr>
          <w:p w14:paraId="0E629A3D">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4068" w:type="dxa"/>
            <w:vAlign w:val="center"/>
          </w:tcPr>
          <w:p w14:paraId="77C3CE47">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restart"/>
            <w:tcBorders>
              <w:left w:val="single" w:color="auto" w:sz="4" w:space="0"/>
            </w:tcBorders>
            <w:vAlign w:val="center"/>
          </w:tcPr>
          <w:p w14:paraId="3F15DA13">
            <w:pPr>
              <w:spacing w:line="240" w:lineRule="atLeast"/>
              <w:rPr>
                <w:rFonts w:ascii="Arial" w:hAnsi="Arial" w:cs="Arial"/>
                <w:color w:val="000000" w:themeColor="text1"/>
                <w:szCs w:val="21"/>
                <w:highlight w:val="none"/>
                <w14:textFill>
                  <w14:solidFill>
                    <w14:schemeClr w14:val="tx1"/>
                  </w14:solidFill>
                </w14:textFill>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E3F891A">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667BB2BD">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284E616">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1139" w:type="dxa"/>
            <w:vMerge w:val="continue"/>
            <w:tcBorders>
              <w:left w:val="single" w:color="auto" w:sz="4" w:space="0"/>
            </w:tcBorders>
            <w:vAlign w:val="center"/>
          </w:tcPr>
          <w:p w14:paraId="353380A2">
            <w:pPr>
              <w:spacing w:line="240" w:lineRule="atLeast"/>
              <w:rPr>
                <w:rFonts w:ascii="Arial" w:hAnsi="Arial" w:cs="Arial"/>
                <w:color w:val="000000" w:themeColor="text1"/>
                <w:szCs w:val="21"/>
                <w:highlight w:val="none"/>
                <w14:textFill>
                  <w14:solidFill>
                    <w14:schemeClr w14:val="tx1"/>
                  </w14:solidFill>
                </w14:textFill>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DF2E60B">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7A701ADF">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9C3C5E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一般</w:t>
            </w:r>
          </w:p>
        </w:tc>
        <w:tc>
          <w:tcPr>
            <w:tcW w:w="1110" w:type="dxa"/>
            <w:tcBorders>
              <w:right w:val="single" w:color="auto" w:sz="4" w:space="0"/>
            </w:tcBorders>
            <w:vAlign w:val="center"/>
          </w:tcPr>
          <w:p w14:paraId="268C60E0">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726D340F">
            <w:pPr>
              <w:spacing w:line="240" w:lineRule="atLeast"/>
              <w:rPr>
                <w:rFonts w:ascii="Arial" w:hAnsi="Arial" w:cs="Arial"/>
                <w:color w:val="000000" w:themeColor="text1"/>
                <w:szCs w:val="21"/>
                <w:highlight w:val="none"/>
                <w14:textFill>
                  <w14:solidFill>
                    <w14:schemeClr w14:val="tx1"/>
                  </w14:solidFill>
                </w14:textFill>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C4DBCE5">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1D544C79">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606890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3C3F843">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1017DB97">
            <w:pPr>
              <w:spacing w:line="240" w:lineRule="atLeast"/>
              <w:rPr>
                <w:rFonts w:ascii="Arial" w:hAnsi="Arial" w:cs="Arial"/>
                <w:color w:val="000000" w:themeColor="text1"/>
                <w:szCs w:val="21"/>
                <w:highlight w:val="none"/>
                <w14:textFill>
                  <w14:solidFill>
                    <w14:schemeClr w14:val="tx1"/>
                  </w14:solidFill>
                </w14:textFill>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593" w:type="dxa"/>
            <w:vMerge w:val="restart"/>
            <w:vAlign w:val="center"/>
          </w:tcPr>
          <w:p w14:paraId="4AE6D072">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对方案或设计优化的合理化建议</w:t>
            </w:r>
          </w:p>
        </w:tc>
        <w:tc>
          <w:tcPr>
            <w:tcW w:w="871" w:type="dxa"/>
            <w:vMerge w:val="restart"/>
            <w:vAlign w:val="center"/>
          </w:tcPr>
          <w:p w14:paraId="13D77C7C">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4068" w:type="dxa"/>
            <w:vAlign w:val="center"/>
          </w:tcPr>
          <w:p w14:paraId="4CCF5712">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494C25F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1139" w:type="dxa"/>
            <w:vMerge w:val="restart"/>
            <w:tcBorders>
              <w:left w:val="single" w:color="auto" w:sz="4" w:space="0"/>
            </w:tcBorders>
            <w:vAlign w:val="center"/>
          </w:tcPr>
          <w:p w14:paraId="0958E85F">
            <w:pPr>
              <w:spacing w:line="240" w:lineRule="atLeast"/>
              <w:rPr>
                <w:rFonts w:ascii="Arial" w:hAnsi="Arial" w:cs="Arial"/>
                <w:color w:val="000000" w:themeColor="text1"/>
                <w:szCs w:val="21"/>
                <w:highlight w:val="none"/>
                <w14:textFill>
                  <w14:solidFill>
                    <w14:schemeClr w14:val="tx1"/>
                  </w14:solidFill>
                </w14:textFill>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52087FE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2B1EAE9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31C6DC8">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4AC81D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68FD5244">
            <w:pPr>
              <w:spacing w:line="240" w:lineRule="atLeast"/>
              <w:rPr>
                <w:rFonts w:ascii="Arial" w:hAnsi="Arial" w:cs="Arial"/>
                <w:color w:val="000000" w:themeColor="text1"/>
                <w:szCs w:val="21"/>
                <w:highlight w:val="none"/>
                <w14:textFill>
                  <w14:solidFill>
                    <w14:schemeClr w14:val="tx1"/>
                  </w14:solidFill>
                </w14:textFill>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593" w:type="dxa"/>
            <w:vMerge w:val="restart"/>
            <w:vAlign w:val="center"/>
          </w:tcPr>
          <w:p w14:paraId="1EF2DE58">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安全管理及措施；现场文明施工和环保方案</w:t>
            </w:r>
          </w:p>
        </w:tc>
        <w:tc>
          <w:tcPr>
            <w:tcW w:w="871" w:type="dxa"/>
            <w:vMerge w:val="restart"/>
            <w:vAlign w:val="center"/>
          </w:tcPr>
          <w:p w14:paraId="66489FB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18</w:t>
            </w:r>
          </w:p>
        </w:tc>
        <w:tc>
          <w:tcPr>
            <w:tcW w:w="4068" w:type="dxa"/>
            <w:vAlign w:val="center"/>
          </w:tcPr>
          <w:p w14:paraId="0B2365A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68007AE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18</w:t>
            </w:r>
          </w:p>
        </w:tc>
        <w:tc>
          <w:tcPr>
            <w:tcW w:w="1139" w:type="dxa"/>
            <w:vMerge w:val="restart"/>
            <w:tcBorders>
              <w:left w:val="single" w:color="auto" w:sz="4" w:space="0"/>
            </w:tcBorders>
            <w:vAlign w:val="center"/>
          </w:tcPr>
          <w:p w14:paraId="7578070C">
            <w:pPr>
              <w:spacing w:line="240" w:lineRule="atLeast"/>
              <w:rPr>
                <w:rFonts w:ascii="Arial" w:hAnsi="Arial" w:cs="Arial"/>
                <w:color w:val="000000" w:themeColor="text1"/>
                <w:szCs w:val="21"/>
                <w:highlight w:val="none"/>
                <w14:textFill>
                  <w14:solidFill>
                    <w14:schemeClr w14:val="tx1"/>
                  </w14:solidFill>
                </w14:textFill>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23E20241">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07D3FE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009FF13">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方案一般</w:t>
            </w:r>
          </w:p>
        </w:tc>
        <w:tc>
          <w:tcPr>
            <w:tcW w:w="1110" w:type="dxa"/>
            <w:tcBorders>
              <w:right w:val="single" w:color="auto" w:sz="4" w:space="0"/>
            </w:tcBorders>
            <w:vAlign w:val="center"/>
          </w:tcPr>
          <w:p w14:paraId="2A8B5A8A">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13</w:t>
            </w:r>
          </w:p>
        </w:tc>
        <w:tc>
          <w:tcPr>
            <w:tcW w:w="1139" w:type="dxa"/>
            <w:vMerge w:val="continue"/>
            <w:tcBorders>
              <w:left w:val="single" w:color="auto" w:sz="4" w:space="0"/>
            </w:tcBorders>
            <w:vAlign w:val="center"/>
          </w:tcPr>
          <w:p w14:paraId="3F1D236B">
            <w:pPr>
              <w:spacing w:line="240" w:lineRule="atLeast"/>
              <w:rPr>
                <w:rFonts w:ascii="Arial" w:hAnsi="Arial" w:cs="Arial"/>
                <w:color w:val="000000" w:themeColor="text1"/>
                <w:szCs w:val="21"/>
                <w:highlight w:val="none"/>
                <w14:textFill>
                  <w14:solidFill>
                    <w14:schemeClr w14:val="tx1"/>
                  </w14:solidFill>
                </w14:textFill>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A8A986D">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20697FE">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201B1A2">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方案较差</w:t>
            </w:r>
          </w:p>
        </w:tc>
        <w:tc>
          <w:tcPr>
            <w:tcW w:w="1110" w:type="dxa"/>
            <w:tcBorders>
              <w:right w:val="single" w:color="auto" w:sz="4" w:space="0"/>
            </w:tcBorders>
            <w:vAlign w:val="center"/>
          </w:tcPr>
          <w:p w14:paraId="56085CD5">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8</w:t>
            </w:r>
          </w:p>
        </w:tc>
        <w:tc>
          <w:tcPr>
            <w:tcW w:w="1139" w:type="dxa"/>
            <w:vMerge w:val="continue"/>
            <w:tcBorders>
              <w:left w:val="single" w:color="auto" w:sz="4" w:space="0"/>
            </w:tcBorders>
            <w:vAlign w:val="center"/>
          </w:tcPr>
          <w:p w14:paraId="19DE2E13">
            <w:pPr>
              <w:spacing w:line="240" w:lineRule="atLeast"/>
              <w:rPr>
                <w:rFonts w:ascii="Arial" w:hAnsi="Arial" w:cs="Arial"/>
                <w:color w:val="000000" w:themeColor="text1"/>
                <w:szCs w:val="21"/>
                <w:highlight w:val="none"/>
                <w14:textFill>
                  <w14:solidFill>
                    <w14:schemeClr w14:val="tx1"/>
                  </w14:solidFill>
                </w14:textFill>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49AC94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11278FCB">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5C415AB">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差</w:t>
            </w:r>
          </w:p>
        </w:tc>
        <w:tc>
          <w:tcPr>
            <w:tcW w:w="1110" w:type="dxa"/>
            <w:tcBorders>
              <w:right w:val="single" w:color="auto" w:sz="4" w:space="0"/>
            </w:tcBorders>
            <w:vAlign w:val="center"/>
          </w:tcPr>
          <w:p w14:paraId="3E80206E">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139" w:type="dxa"/>
            <w:vMerge w:val="continue"/>
            <w:tcBorders>
              <w:left w:val="single" w:color="auto" w:sz="4" w:space="0"/>
            </w:tcBorders>
            <w:vAlign w:val="center"/>
          </w:tcPr>
          <w:p w14:paraId="5468F799">
            <w:pPr>
              <w:spacing w:line="240" w:lineRule="atLeast"/>
              <w:rPr>
                <w:rFonts w:ascii="Arial" w:hAnsi="Arial" w:cs="Arial"/>
                <w:color w:val="000000" w:themeColor="text1"/>
                <w:szCs w:val="21"/>
                <w:highlight w:val="none"/>
                <w14:textFill>
                  <w14:solidFill>
                    <w14:schemeClr w14:val="tx1"/>
                  </w14:solidFill>
                </w14:textFill>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7</w:t>
            </w:r>
          </w:p>
        </w:tc>
        <w:tc>
          <w:tcPr>
            <w:tcW w:w="1593" w:type="dxa"/>
            <w:vMerge w:val="restart"/>
            <w:vAlign w:val="center"/>
          </w:tcPr>
          <w:p w14:paraId="7F60B578">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公司对本工程的重视承诺、管理和支持</w:t>
            </w:r>
          </w:p>
        </w:tc>
        <w:tc>
          <w:tcPr>
            <w:tcW w:w="871" w:type="dxa"/>
            <w:vMerge w:val="restart"/>
            <w:vAlign w:val="center"/>
          </w:tcPr>
          <w:p w14:paraId="3C1EA6E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4068" w:type="dxa"/>
            <w:vAlign w:val="center"/>
          </w:tcPr>
          <w:p w14:paraId="7EF6559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4B3F7CD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restart"/>
            <w:tcBorders>
              <w:left w:val="single" w:color="auto" w:sz="4" w:space="0"/>
            </w:tcBorders>
            <w:vAlign w:val="center"/>
          </w:tcPr>
          <w:p w14:paraId="5DA53A6A">
            <w:pPr>
              <w:spacing w:line="240" w:lineRule="atLeast"/>
              <w:rPr>
                <w:rFonts w:ascii="Arial" w:hAnsi="Arial" w:cs="Arial"/>
                <w:color w:val="000000" w:themeColor="text1"/>
                <w:szCs w:val="21"/>
                <w:highlight w:val="none"/>
                <w14:textFill>
                  <w14:solidFill>
                    <w14:schemeClr w14:val="tx1"/>
                  </w14:solidFill>
                </w14:textFill>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588EE6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412DCF7D">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57DB67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12CECF93">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22FDFF0A">
            <w:pPr>
              <w:spacing w:line="240" w:lineRule="atLeast"/>
              <w:rPr>
                <w:rFonts w:ascii="Arial" w:hAnsi="Arial" w:cs="Arial"/>
                <w:color w:val="000000" w:themeColor="text1"/>
                <w:szCs w:val="21"/>
                <w:highlight w:val="none"/>
                <w14:textFill>
                  <w14:solidFill>
                    <w14:schemeClr w14:val="tx1"/>
                  </w14:solidFill>
                </w14:textFill>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8</w:t>
            </w:r>
          </w:p>
        </w:tc>
        <w:tc>
          <w:tcPr>
            <w:tcW w:w="1593" w:type="dxa"/>
            <w:vMerge w:val="restart"/>
            <w:vAlign w:val="center"/>
          </w:tcPr>
          <w:p w14:paraId="76B1676D">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冬季和雨季施工方案</w:t>
            </w:r>
          </w:p>
        </w:tc>
        <w:tc>
          <w:tcPr>
            <w:tcW w:w="871" w:type="dxa"/>
            <w:vMerge w:val="restart"/>
            <w:vAlign w:val="center"/>
          </w:tcPr>
          <w:p w14:paraId="0ED9B1E4">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4068" w:type="dxa"/>
            <w:vAlign w:val="center"/>
          </w:tcPr>
          <w:p w14:paraId="508A43E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635AF69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restart"/>
            <w:tcBorders>
              <w:left w:val="single" w:color="auto" w:sz="4" w:space="0"/>
            </w:tcBorders>
            <w:vAlign w:val="center"/>
          </w:tcPr>
          <w:p w14:paraId="33B2CF41">
            <w:pPr>
              <w:spacing w:line="240" w:lineRule="atLeast"/>
              <w:rPr>
                <w:rFonts w:ascii="Arial" w:hAnsi="Arial" w:cs="Arial"/>
                <w:color w:val="000000" w:themeColor="text1"/>
                <w:szCs w:val="21"/>
                <w:highlight w:val="none"/>
                <w14:textFill>
                  <w14:solidFill>
                    <w14:schemeClr w14:val="tx1"/>
                  </w14:solidFill>
                </w14:textFill>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651D0D9A">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269FB56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7FEC57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63EA8E5E">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38649D11">
            <w:pPr>
              <w:spacing w:line="240" w:lineRule="atLeast"/>
              <w:rPr>
                <w:rFonts w:ascii="Arial" w:hAnsi="Arial" w:cs="Arial"/>
                <w:color w:val="000000" w:themeColor="text1"/>
                <w:szCs w:val="21"/>
                <w:highlight w:val="none"/>
                <w14:textFill>
                  <w14:solidFill>
                    <w14:schemeClr w14:val="tx1"/>
                  </w14:solidFill>
                </w14:textFill>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9</w:t>
            </w:r>
          </w:p>
        </w:tc>
        <w:tc>
          <w:tcPr>
            <w:tcW w:w="1593" w:type="dxa"/>
            <w:vMerge w:val="restart"/>
            <w:vAlign w:val="center"/>
          </w:tcPr>
          <w:p w14:paraId="3C28FFFF">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施工现场总平面布置</w:t>
            </w:r>
          </w:p>
        </w:tc>
        <w:tc>
          <w:tcPr>
            <w:tcW w:w="871" w:type="dxa"/>
            <w:vMerge w:val="restart"/>
            <w:vAlign w:val="center"/>
          </w:tcPr>
          <w:p w14:paraId="0BF19AE7">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4068" w:type="dxa"/>
            <w:vAlign w:val="center"/>
          </w:tcPr>
          <w:p w14:paraId="4ED04B6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布置</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27E9DD8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restart"/>
            <w:tcBorders>
              <w:left w:val="single" w:color="auto" w:sz="4" w:space="0"/>
            </w:tcBorders>
            <w:vAlign w:val="center"/>
          </w:tcPr>
          <w:p w14:paraId="51E44A7A">
            <w:pPr>
              <w:spacing w:line="240" w:lineRule="atLeast"/>
              <w:rPr>
                <w:rFonts w:ascii="Arial" w:hAnsi="Arial" w:cs="Arial"/>
                <w:color w:val="000000" w:themeColor="text1"/>
                <w:szCs w:val="21"/>
                <w:highlight w:val="none"/>
                <w14:textFill>
                  <w14:solidFill>
                    <w14:schemeClr w14:val="tx1"/>
                  </w14:solidFill>
                </w14:textFill>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C0C7C7F">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0610FDA4">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4DF2676">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布置</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FD36B51">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3CC8ABDD">
            <w:pPr>
              <w:spacing w:line="240" w:lineRule="atLeast"/>
              <w:rPr>
                <w:rFonts w:ascii="Arial" w:hAnsi="Arial" w:cs="Arial"/>
                <w:color w:val="000000" w:themeColor="text1"/>
                <w:szCs w:val="21"/>
                <w:highlight w:val="none"/>
                <w14:textFill>
                  <w14:solidFill>
                    <w14:schemeClr w14:val="tx1"/>
                  </w14:solidFill>
                </w14:textFill>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593" w:type="dxa"/>
            <w:vMerge w:val="restart"/>
            <w:vAlign w:val="center"/>
          </w:tcPr>
          <w:p w14:paraId="5BA84604">
            <w:pPr>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成品保护</w:t>
            </w:r>
            <w:r>
              <w:rPr>
                <w:rFonts w:hint="eastAsia" w:ascii="Arial" w:hAnsi="Arial" w:cs="Arial"/>
                <w:bCs/>
                <w:color w:val="000000" w:themeColor="text1"/>
                <w:szCs w:val="21"/>
                <w:highlight w:val="none"/>
                <w14:textFill>
                  <w14:solidFill>
                    <w14:schemeClr w14:val="tx1"/>
                  </w14:solidFill>
                </w14:textFill>
              </w:rPr>
              <w:t>措施</w:t>
            </w:r>
            <w:r>
              <w:rPr>
                <w:rFonts w:ascii="Arial" w:hAnsi="Arial" w:cs="Arial"/>
                <w:bCs/>
                <w:color w:val="000000" w:themeColor="text1"/>
                <w:szCs w:val="21"/>
                <w:highlight w:val="none"/>
                <w14:textFill>
                  <w14:solidFill>
                    <w14:schemeClr w14:val="tx1"/>
                  </w14:solidFill>
                </w14:textFill>
              </w:rPr>
              <w:t>和工程保修工作的管理措施和承诺</w:t>
            </w:r>
          </w:p>
        </w:tc>
        <w:tc>
          <w:tcPr>
            <w:tcW w:w="871" w:type="dxa"/>
            <w:vMerge w:val="restart"/>
            <w:vAlign w:val="center"/>
          </w:tcPr>
          <w:p w14:paraId="6192E5B6">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4068" w:type="dxa"/>
            <w:vAlign w:val="center"/>
          </w:tcPr>
          <w:p w14:paraId="5B83644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到位</w:t>
            </w:r>
          </w:p>
        </w:tc>
        <w:tc>
          <w:tcPr>
            <w:tcW w:w="1110" w:type="dxa"/>
            <w:tcBorders>
              <w:right w:val="single" w:color="auto" w:sz="4" w:space="0"/>
            </w:tcBorders>
            <w:vAlign w:val="center"/>
          </w:tcPr>
          <w:p w14:paraId="5AAB374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restart"/>
            <w:tcBorders>
              <w:left w:val="single" w:color="auto" w:sz="4" w:space="0"/>
            </w:tcBorders>
            <w:vAlign w:val="center"/>
          </w:tcPr>
          <w:p w14:paraId="7575B606">
            <w:pPr>
              <w:spacing w:line="240" w:lineRule="atLeast"/>
              <w:rPr>
                <w:rFonts w:ascii="Arial" w:hAnsi="Arial" w:cs="Arial"/>
                <w:color w:val="000000" w:themeColor="text1"/>
                <w:szCs w:val="21"/>
                <w:highlight w:val="none"/>
                <w14:textFill>
                  <w14:solidFill>
                    <w14:schemeClr w14:val="tx1"/>
                  </w14:solidFill>
                </w14:textFill>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7FD016D">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002C7BF5">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59C12D0">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比较到位</w:t>
            </w:r>
          </w:p>
        </w:tc>
        <w:tc>
          <w:tcPr>
            <w:tcW w:w="1110" w:type="dxa"/>
            <w:tcBorders>
              <w:right w:val="single" w:color="auto" w:sz="4" w:space="0"/>
            </w:tcBorders>
            <w:vAlign w:val="center"/>
          </w:tcPr>
          <w:p w14:paraId="0F8A80D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continue"/>
            <w:tcBorders>
              <w:left w:val="single" w:color="auto" w:sz="4" w:space="0"/>
            </w:tcBorders>
            <w:vAlign w:val="center"/>
          </w:tcPr>
          <w:p w14:paraId="4F7E9B91">
            <w:pPr>
              <w:spacing w:line="240" w:lineRule="atLeast"/>
              <w:rPr>
                <w:rFonts w:ascii="Arial" w:hAnsi="Arial" w:cs="Arial"/>
                <w:color w:val="000000" w:themeColor="text1"/>
                <w:szCs w:val="21"/>
                <w:highlight w:val="none"/>
                <w14:textFill>
                  <w14:solidFill>
                    <w14:schemeClr w14:val="tx1"/>
                  </w14:solidFill>
                </w14:textFill>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BDEC422">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C172E5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605A4960">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较差</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不到位</w:t>
            </w:r>
          </w:p>
        </w:tc>
        <w:tc>
          <w:tcPr>
            <w:tcW w:w="1110" w:type="dxa"/>
            <w:tcBorders>
              <w:right w:val="single" w:color="auto" w:sz="4" w:space="0"/>
            </w:tcBorders>
            <w:vAlign w:val="center"/>
          </w:tcPr>
          <w:p w14:paraId="02BDCC6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465868A9">
            <w:pPr>
              <w:spacing w:line="240" w:lineRule="atLeast"/>
              <w:rPr>
                <w:rFonts w:ascii="Arial" w:hAnsi="Arial" w:cs="Arial"/>
                <w:color w:val="000000" w:themeColor="text1"/>
                <w:szCs w:val="21"/>
                <w:highlight w:val="none"/>
                <w14:textFill>
                  <w14:solidFill>
                    <w14:schemeClr w14:val="tx1"/>
                  </w14:solidFill>
                </w14:textFill>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11</w:t>
            </w:r>
          </w:p>
        </w:tc>
        <w:tc>
          <w:tcPr>
            <w:tcW w:w="1593" w:type="dxa"/>
            <w:vMerge w:val="restart"/>
            <w:vAlign w:val="center"/>
          </w:tcPr>
          <w:p w14:paraId="27DADC2A">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紧急情况的处理措施、预案以及抵抗风险的措施</w:t>
            </w:r>
          </w:p>
        </w:tc>
        <w:tc>
          <w:tcPr>
            <w:tcW w:w="871" w:type="dxa"/>
            <w:vMerge w:val="restart"/>
            <w:vAlign w:val="center"/>
          </w:tcPr>
          <w:p w14:paraId="123D0B7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4068" w:type="dxa"/>
            <w:vAlign w:val="center"/>
          </w:tcPr>
          <w:p w14:paraId="4AEE2774">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2D6C68B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restart"/>
            <w:tcBorders>
              <w:left w:val="single" w:color="auto" w:sz="4" w:space="0"/>
            </w:tcBorders>
            <w:vAlign w:val="center"/>
          </w:tcPr>
          <w:p w14:paraId="32F999E2">
            <w:pPr>
              <w:spacing w:line="240" w:lineRule="atLeast"/>
              <w:rPr>
                <w:rFonts w:ascii="Arial" w:hAnsi="Arial" w:cs="Arial"/>
                <w:color w:val="000000" w:themeColor="text1"/>
                <w:szCs w:val="21"/>
                <w:highlight w:val="none"/>
                <w14:textFill>
                  <w14:solidFill>
                    <w14:schemeClr w14:val="tx1"/>
                  </w14:solidFill>
                </w14:textFill>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5096B81A">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4121A239">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2594A4F">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较合理</w:t>
            </w:r>
          </w:p>
        </w:tc>
        <w:tc>
          <w:tcPr>
            <w:tcW w:w="1110" w:type="dxa"/>
            <w:tcBorders>
              <w:right w:val="single" w:color="auto" w:sz="4" w:space="0"/>
            </w:tcBorders>
            <w:vAlign w:val="center"/>
          </w:tcPr>
          <w:p w14:paraId="76849E39">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58B6F5A1">
            <w:pPr>
              <w:spacing w:line="240" w:lineRule="atLeast"/>
              <w:rPr>
                <w:rFonts w:ascii="Arial" w:hAnsi="Arial" w:cs="Arial"/>
                <w:color w:val="000000" w:themeColor="text1"/>
                <w:szCs w:val="21"/>
                <w:highlight w:val="none"/>
                <w14:textFill>
                  <w14:solidFill>
                    <w14:schemeClr w14:val="tx1"/>
                  </w14:solidFill>
                </w14:textFill>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265588DC">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A701C64">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9FDF234">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1E41B8D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w:t>
            </w:r>
          </w:p>
        </w:tc>
        <w:tc>
          <w:tcPr>
            <w:tcW w:w="1139" w:type="dxa"/>
            <w:vMerge w:val="continue"/>
            <w:tcBorders>
              <w:left w:val="single" w:color="auto" w:sz="4" w:space="0"/>
            </w:tcBorders>
            <w:vAlign w:val="center"/>
          </w:tcPr>
          <w:p w14:paraId="5A5CE4FF">
            <w:pPr>
              <w:spacing w:line="240" w:lineRule="atLeast"/>
              <w:rPr>
                <w:rFonts w:ascii="Arial" w:hAnsi="Arial" w:cs="Arial"/>
                <w:color w:val="000000" w:themeColor="text1"/>
                <w:szCs w:val="21"/>
                <w:highlight w:val="none"/>
                <w14:textFill>
                  <w14:solidFill>
                    <w14:schemeClr w14:val="tx1"/>
                  </w14:solidFill>
                </w14:textFill>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计（100）</w:t>
            </w:r>
          </w:p>
        </w:tc>
        <w:tc>
          <w:tcPr>
            <w:tcW w:w="2249" w:type="dxa"/>
            <w:gridSpan w:val="2"/>
            <w:vAlign w:val="center"/>
          </w:tcPr>
          <w:p w14:paraId="018C2FF3">
            <w:pPr>
              <w:jc w:val="center"/>
              <w:rPr>
                <w:rFonts w:ascii="Arial" w:hAnsi="Arial" w:cs="Arial"/>
                <w:bCs/>
                <w:color w:val="000000" w:themeColor="text1"/>
                <w:szCs w:val="21"/>
                <w:highlight w:val="none"/>
                <w14:textFill>
                  <w14:solidFill>
                    <w14:schemeClr w14:val="tx1"/>
                  </w14:solidFill>
                </w14:textFill>
              </w:rPr>
            </w:pPr>
          </w:p>
        </w:tc>
      </w:tr>
    </w:tbl>
    <w:p w14:paraId="0B4D0239">
      <w:pPr>
        <w:snapToGrid w:val="0"/>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3</w:t>
      </w:r>
    </w:p>
    <w:p w14:paraId="245B023A">
      <w:pPr>
        <w:pStyle w:val="8"/>
        <w:spacing w:line="360" w:lineRule="auto"/>
        <w:ind w:firstLine="482"/>
        <w:jc w:val="center"/>
        <w:rPr>
          <w:rFonts w:hint="eastAsia"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t>经济</w:t>
      </w:r>
      <w:r>
        <w:rPr>
          <w:rFonts w:hint="eastAsia" w:hAnsi="宋体"/>
          <w:b/>
          <w:color w:val="000000" w:themeColor="text1"/>
          <w:sz w:val="24"/>
          <w:highlight w:val="none"/>
          <w14:textFill>
            <w14:solidFill>
              <w14:schemeClr w14:val="tx1"/>
            </w14:solidFill>
          </w14:textFill>
        </w:rPr>
        <w:t>报价</w:t>
      </w:r>
      <w:r>
        <w:rPr>
          <w:rFonts w:hAnsi="宋体"/>
          <w:b/>
          <w:color w:val="000000" w:themeColor="text1"/>
          <w:sz w:val="24"/>
          <w:highlight w:val="none"/>
          <w14:textFill>
            <w14:solidFill>
              <w14:schemeClr w14:val="tx1"/>
            </w14:solidFill>
          </w14:textFill>
        </w:rPr>
        <w:t>评分表</w:t>
      </w:r>
    </w:p>
    <w:p w14:paraId="5271236A">
      <w:pPr>
        <w:spacing w:line="360" w:lineRule="auto"/>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项目</w:t>
            </w:r>
          </w:p>
        </w:tc>
        <w:tc>
          <w:tcPr>
            <w:tcW w:w="1365" w:type="dxa"/>
            <w:vAlign w:val="center"/>
          </w:tcPr>
          <w:p w14:paraId="1A87C7B1">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满分</w:t>
            </w:r>
          </w:p>
        </w:tc>
        <w:tc>
          <w:tcPr>
            <w:tcW w:w="2730" w:type="dxa"/>
            <w:vAlign w:val="center"/>
          </w:tcPr>
          <w:p w14:paraId="66049183">
            <w:pPr>
              <w:spacing w:line="360" w:lineRule="auto"/>
              <w:jc w:val="center"/>
              <w:rPr>
                <w:rFonts w:ascii="Arial" w:hAnsi="Arial" w:cs="Arial"/>
                <w:bCs/>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β</w:t>
            </w:r>
            <w:r>
              <w:rPr>
                <w:rFonts w:hint="eastAsia" w:ascii="Arial" w:hAnsi="Arial" w:cs="Arial"/>
                <w:bCs/>
                <w:color w:val="000000" w:themeColor="text1"/>
                <w:szCs w:val="21"/>
                <w:highlight w:val="none"/>
                <w14:textFill>
                  <w14:solidFill>
                    <w14:schemeClr w14:val="tx1"/>
                  </w14:solidFill>
                </w14:textFill>
              </w:rPr>
              <w:t>值分布</w:t>
            </w:r>
          </w:p>
        </w:tc>
        <w:tc>
          <w:tcPr>
            <w:tcW w:w="1260" w:type="dxa"/>
            <w:vAlign w:val="center"/>
          </w:tcPr>
          <w:p w14:paraId="584F41FA">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分值</w:t>
            </w:r>
          </w:p>
        </w:tc>
        <w:tc>
          <w:tcPr>
            <w:tcW w:w="2205" w:type="dxa"/>
            <w:vAlign w:val="center"/>
          </w:tcPr>
          <w:p w14:paraId="73A30988">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评审价</w:t>
            </w:r>
          </w:p>
        </w:tc>
        <w:tc>
          <w:tcPr>
            <w:tcW w:w="1365" w:type="dxa"/>
            <w:vMerge w:val="restart"/>
            <w:vAlign w:val="center"/>
          </w:tcPr>
          <w:p w14:paraId="7B3D3311">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2730" w:type="dxa"/>
            <w:vAlign w:val="center"/>
          </w:tcPr>
          <w:p w14:paraId="75DD1DB7">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0</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EC9F023">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2205" w:type="dxa"/>
            <w:vMerge w:val="restart"/>
            <w:vAlign w:val="center"/>
          </w:tcPr>
          <w:p w14:paraId="640E55E4">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等于基准价的报价得分为100，</w:t>
            </w:r>
            <w:r>
              <w:rPr>
                <w:rFonts w:hint="eastAsia" w:hAnsi="宋体"/>
                <w:color w:val="000000" w:themeColor="text1"/>
                <w:szCs w:val="21"/>
                <w:highlight w:val="none"/>
                <w14:textFill>
                  <w14:solidFill>
                    <w14:schemeClr w14:val="tx1"/>
                  </w14:solidFill>
                </w14:textFill>
              </w:rPr>
              <w:t>每高于基准价最优值区间</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333D5A78">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53C46C4F">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17BEDD0">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95</w:t>
            </w:r>
          </w:p>
        </w:tc>
        <w:tc>
          <w:tcPr>
            <w:tcW w:w="2205" w:type="dxa"/>
            <w:vMerge w:val="continue"/>
            <w:vAlign w:val="center"/>
          </w:tcPr>
          <w:p w14:paraId="7A5F199A">
            <w:pPr>
              <w:jc w:val="center"/>
              <w:rPr>
                <w:rFonts w:ascii="Arial" w:hAnsi="Arial" w:cs="Arial"/>
                <w:bCs/>
                <w:color w:val="000000" w:themeColor="text1"/>
                <w:szCs w:val="21"/>
                <w:highlight w:val="none"/>
                <w14:textFill>
                  <w14:solidFill>
                    <w14:schemeClr w14:val="tx1"/>
                  </w14:solidFill>
                </w14:textFill>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99FFE61">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29EE8DF4">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2</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FC8A4C1">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90</w:t>
            </w:r>
          </w:p>
        </w:tc>
        <w:tc>
          <w:tcPr>
            <w:tcW w:w="2205" w:type="dxa"/>
            <w:vMerge w:val="continue"/>
            <w:vAlign w:val="center"/>
          </w:tcPr>
          <w:p w14:paraId="0F655529">
            <w:pPr>
              <w:jc w:val="center"/>
              <w:rPr>
                <w:rFonts w:ascii="Arial" w:hAnsi="Arial" w:cs="Arial"/>
                <w:bCs/>
                <w:color w:val="000000" w:themeColor="text1"/>
                <w:szCs w:val="21"/>
                <w:highlight w:val="none"/>
                <w14:textFill>
                  <w14:solidFill>
                    <w14:schemeClr w14:val="tx1"/>
                  </w14:solidFill>
                </w14:textFill>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2769064">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698E1348">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3</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0A86B1E3">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85</w:t>
            </w:r>
          </w:p>
        </w:tc>
        <w:tc>
          <w:tcPr>
            <w:tcW w:w="2205" w:type="dxa"/>
            <w:vMerge w:val="continue"/>
            <w:vAlign w:val="center"/>
          </w:tcPr>
          <w:p w14:paraId="6C630730">
            <w:pPr>
              <w:jc w:val="center"/>
              <w:rPr>
                <w:rFonts w:ascii="Arial" w:hAnsi="Arial" w:cs="Arial"/>
                <w:bCs/>
                <w:color w:val="000000" w:themeColor="text1"/>
                <w:szCs w:val="21"/>
                <w:highlight w:val="none"/>
                <w14:textFill>
                  <w14:solidFill>
                    <w14:schemeClr w14:val="tx1"/>
                  </w14:solidFill>
                </w14:textFill>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18D0265">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69A18B85">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4</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75725B4F">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80</w:t>
            </w:r>
          </w:p>
        </w:tc>
        <w:tc>
          <w:tcPr>
            <w:tcW w:w="2205" w:type="dxa"/>
            <w:vMerge w:val="continue"/>
            <w:vAlign w:val="center"/>
          </w:tcPr>
          <w:p w14:paraId="3F25D86A">
            <w:pPr>
              <w:jc w:val="center"/>
              <w:rPr>
                <w:rFonts w:ascii="Arial" w:hAnsi="Arial" w:cs="Arial"/>
                <w:bCs/>
                <w:color w:val="000000" w:themeColor="text1"/>
                <w:szCs w:val="21"/>
                <w:highlight w:val="none"/>
                <w14:textFill>
                  <w14:solidFill>
                    <w14:schemeClr w14:val="tx1"/>
                  </w14:solidFill>
                </w14:textFill>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B8A3682">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2059D313">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5</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1033C12">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75</w:t>
            </w:r>
          </w:p>
        </w:tc>
        <w:tc>
          <w:tcPr>
            <w:tcW w:w="2205" w:type="dxa"/>
            <w:vMerge w:val="continue"/>
            <w:vAlign w:val="center"/>
          </w:tcPr>
          <w:p w14:paraId="642452E8">
            <w:pPr>
              <w:jc w:val="center"/>
              <w:rPr>
                <w:rFonts w:ascii="Arial" w:hAnsi="Arial" w:cs="Arial"/>
                <w:bCs/>
                <w:color w:val="000000" w:themeColor="text1"/>
                <w:szCs w:val="21"/>
                <w:highlight w:val="none"/>
                <w14:textFill>
                  <w14:solidFill>
                    <w14:schemeClr w14:val="tx1"/>
                  </w14:solidFill>
                </w14:textFill>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231EDEB2">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725212F3">
            <w:pPr>
              <w:rPr>
                <w:rFonts w:ascii="Arial" w:hAnsi="Arial" w:cs="Arial"/>
                <w:bCs/>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w:t>
            </w:r>
            <w:r>
              <w:rPr>
                <w:rFonts w:hint="eastAsia" w:ascii="Arial" w:hAnsi="Arial" w:cs="Arial"/>
                <w:bCs/>
                <w:color w:val="000000" w:themeColor="text1"/>
                <w:szCs w:val="21"/>
                <w:highlight w:val="none"/>
                <w14:textFill>
                  <w14:solidFill>
                    <w14:schemeClr w14:val="tx1"/>
                  </w14:solidFill>
                </w14:textFill>
              </w:rPr>
              <w:t>..</w:t>
            </w:r>
          </w:p>
        </w:tc>
        <w:tc>
          <w:tcPr>
            <w:tcW w:w="1260" w:type="dxa"/>
            <w:vAlign w:val="center"/>
          </w:tcPr>
          <w:p w14:paraId="51ADEEA2">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等比递减扣完为止</w:t>
            </w:r>
          </w:p>
        </w:tc>
        <w:tc>
          <w:tcPr>
            <w:tcW w:w="2205" w:type="dxa"/>
            <w:vMerge w:val="continue"/>
            <w:vAlign w:val="center"/>
          </w:tcPr>
          <w:p w14:paraId="18A8AE85">
            <w:pPr>
              <w:jc w:val="center"/>
              <w:rPr>
                <w:rFonts w:ascii="Arial" w:hAnsi="Arial" w:cs="Arial"/>
                <w:bCs/>
                <w:color w:val="000000" w:themeColor="text1"/>
                <w:szCs w:val="21"/>
                <w:highlight w:val="none"/>
                <w14:textFill>
                  <w14:solidFill>
                    <w14:schemeClr w14:val="tx1"/>
                  </w14:solidFill>
                </w14:textFill>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color w:val="000000" w:themeColor="text1"/>
                <w:szCs w:val="21"/>
                <w:highlight w:val="none"/>
                <w14:textFill>
                  <w14:solidFill>
                    <w14:schemeClr w14:val="tx1"/>
                  </w14:solidFill>
                </w14:textFill>
              </w:rPr>
            </w:pPr>
          </w:p>
        </w:tc>
        <w:tc>
          <w:tcPr>
            <w:tcW w:w="1365" w:type="dxa"/>
            <w:vAlign w:val="center"/>
          </w:tcPr>
          <w:p w14:paraId="1FE1158A">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6195" w:type="dxa"/>
            <w:gridSpan w:val="3"/>
            <w:vAlign w:val="center"/>
          </w:tcPr>
          <w:p w14:paraId="1904138C">
            <w:pPr>
              <w:jc w:val="center"/>
              <w:rPr>
                <w:rFonts w:ascii="Arial" w:hAnsi="Arial" w:cs="Arial"/>
                <w:bCs/>
                <w:color w:val="000000" w:themeColor="text1"/>
                <w:szCs w:val="21"/>
                <w:highlight w:val="none"/>
                <w14:textFill>
                  <w14:solidFill>
                    <w14:schemeClr w14:val="tx1"/>
                  </w14:solidFill>
                </w14:textFill>
              </w:rPr>
            </w:pPr>
          </w:p>
        </w:tc>
      </w:tr>
    </w:tbl>
    <w:p w14:paraId="487540A6">
      <w:pPr>
        <w:pStyle w:val="8"/>
        <w:spacing w:line="360" w:lineRule="auto"/>
        <w:ind w:firstLine="480"/>
        <w:jc w:val="center"/>
        <w:rPr>
          <w:rFonts w:hint="eastAsia" w:hAnsi="宋体"/>
          <w:color w:val="000000" w:themeColor="text1"/>
          <w:sz w:val="24"/>
          <w:highlight w:val="none"/>
          <w14:textFill>
            <w14:solidFill>
              <w14:schemeClr w14:val="tx1"/>
            </w14:solidFill>
          </w14:textFill>
        </w:rPr>
      </w:pPr>
    </w:p>
    <w:p w14:paraId="553DF679">
      <w:pPr>
        <w:pStyle w:val="8"/>
        <w:spacing w:line="360" w:lineRule="auto"/>
        <w:ind w:firstLine="480"/>
        <w:jc w:val="center"/>
        <w:rPr>
          <w:rFonts w:hint="eastAsia" w:hAnsi="宋体"/>
          <w:color w:val="000000" w:themeColor="text1"/>
          <w:sz w:val="24"/>
          <w:highlight w:val="none"/>
          <w14:textFill>
            <w14:solidFill>
              <w14:schemeClr w14:val="tx1"/>
            </w14:solidFill>
          </w14:textFill>
        </w:rPr>
      </w:pPr>
    </w:p>
    <w:p w14:paraId="1ECB6659">
      <w:pPr>
        <w:spacing w:line="360" w:lineRule="auto"/>
        <w:rPr>
          <w:rFonts w:hint="eastAsia" w:hAnsi="宋体"/>
          <w:color w:val="000000" w:themeColor="text1"/>
          <w:sz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4</w:t>
      </w:r>
      <w:r>
        <w:rPr>
          <w:rFonts w:hAnsi="宋体"/>
          <w:color w:val="000000" w:themeColor="text1"/>
          <w:sz w:val="24"/>
          <w:highlight w:val="none"/>
          <w14:textFill>
            <w14:solidFill>
              <w14:schemeClr w14:val="tx1"/>
            </w14:solidFill>
          </w14:textFill>
        </w:rPr>
        <w:t>《综合得分表》</w:t>
      </w:r>
    </w:p>
    <w:p w14:paraId="32B3AC63">
      <w:pPr>
        <w:spacing w:line="360" w:lineRule="auto"/>
        <w:jc w:val="center"/>
        <w:rPr>
          <w:rFonts w:hint="eastAsia" w:hAnsi="宋体"/>
          <w:b/>
          <w:color w:val="000000" w:themeColor="text1"/>
          <w:sz w:val="24"/>
          <w:highlight w:val="none"/>
          <w14:textFill>
            <w14:solidFill>
              <w14:schemeClr w14:val="tx1"/>
            </w14:solidFill>
          </w14:textFill>
        </w:rPr>
      </w:pPr>
    </w:p>
    <w:p w14:paraId="31E930D3">
      <w:pPr>
        <w:spacing w:line="360" w:lineRule="auto"/>
        <w:jc w:val="center"/>
        <w:rPr>
          <w:rFonts w:hint="eastAsia"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t>综合得分表</w:t>
      </w:r>
    </w:p>
    <w:p w14:paraId="5A02E6D7">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序号</w:t>
            </w:r>
          </w:p>
        </w:tc>
        <w:tc>
          <w:tcPr>
            <w:tcW w:w="1597" w:type="dxa"/>
            <w:vAlign w:val="center"/>
          </w:tcPr>
          <w:p w14:paraId="19B70436">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项　目</w:t>
            </w:r>
          </w:p>
        </w:tc>
        <w:tc>
          <w:tcPr>
            <w:tcW w:w="1144" w:type="dxa"/>
            <w:vAlign w:val="center"/>
          </w:tcPr>
          <w:p w14:paraId="1D29519A">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评分（A）</w:t>
            </w:r>
          </w:p>
        </w:tc>
        <w:tc>
          <w:tcPr>
            <w:tcW w:w="1526" w:type="dxa"/>
            <w:vAlign w:val="center"/>
          </w:tcPr>
          <w:p w14:paraId="552C4D72">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权重</w:t>
            </w:r>
            <w:r>
              <w:rPr>
                <w:rFonts w:hint="eastAsia" w:hAnsi="宋体"/>
                <w:color w:val="000000" w:themeColor="text1"/>
                <w:szCs w:val="21"/>
                <w:highlight w:val="none"/>
                <w14:textFill>
                  <w14:solidFill>
                    <w14:schemeClr w14:val="tx1"/>
                  </w14:solidFill>
                </w14:textFill>
              </w:rPr>
              <w:t>（K）</w:t>
            </w:r>
          </w:p>
        </w:tc>
        <w:tc>
          <w:tcPr>
            <w:tcW w:w="2362" w:type="dxa"/>
            <w:vAlign w:val="center"/>
          </w:tcPr>
          <w:p w14:paraId="1FA3F9B7">
            <w:pPr>
              <w:spacing w:line="360" w:lineRule="auto"/>
              <w:jc w:val="center"/>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权重后得分（A*K）</w:t>
            </w:r>
          </w:p>
        </w:tc>
        <w:tc>
          <w:tcPr>
            <w:tcW w:w="768" w:type="dxa"/>
            <w:vAlign w:val="center"/>
          </w:tcPr>
          <w:p w14:paraId="70AF9926">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597" w:type="dxa"/>
            <w:vAlign w:val="center"/>
          </w:tcPr>
          <w:p w14:paraId="30A0D77C">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商务得分</w:t>
            </w:r>
          </w:p>
        </w:tc>
        <w:tc>
          <w:tcPr>
            <w:tcW w:w="1144" w:type="dxa"/>
            <w:vAlign w:val="center"/>
          </w:tcPr>
          <w:p w14:paraId="25776E50">
            <w:pPr>
              <w:spacing w:line="360" w:lineRule="auto"/>
              <w:rPr>
                <w:rFonts w:hint="default" w:eastAsia="宋体"/>
                <w:color w:val="000000" w:themeColor="text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A1</w:t>
            </w:r>
            <w:r>
              <w:rPr>
                <w:rFonts w:hint="eastAsia"/>
                <w:color w:val="000000" w:themeColor="text1"/>
                <w:szCs w:val="21"/>
                <w:highlight w:val="none"/>
                <w14:textFill>
                  <w14:solidFill>
                    <w14:schemeClr w14:val="tx1"/>
                  </w14:solidFill>
                </w14:textFill>
              </w:rPr>
              <w:t>=</w:t>
            </w:r>
          </w:p>
        </w:tc>
        <w:tc>
          <w:tcPr>
            <w:tcW w:w="1526" w:type="dxa"/>
            <w:vAlign w:val="center"/>
          </w:tcPr>
          <w:p w14:paraId="71CFCABA">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K1=</w:t>
            </w:r>
            <w:r>
              <w:rPr>
                <w:rFonts w:hint="eastAsia"/>
                <w:color w:val="000000" w:themeColor="text1"/>
                <w:szCs w:val="21"/>
                <w:highlight w:val="none"/>
                <w:lang w:val="en-US" w:eastAsia="zh-CN"/>
                <w14:textFill>
                  <w14:solidFill>
                    <w14:schemeClr w14:val="tx1"/>
                  </w14:solidFill>
                </w14:textFill>
              </w:rPr>
              <w:t>10</w:t>
            </w:r>
            <w:r>
              <w:rPr>
                <w:rFonts w:hint="eastAsia"/>
                <w:color w:val="000000" w:themeColor="text1"/>
                <w:szCs w:val="21"/>
                <w:highlight w:val="none"/>
                <w14:textFill>
                  <w14:solidFill>
                    <w14:schemeClr w14:val="tx1"/>
                  </w14:solidFill>
                </w14:textFill>
              </w:rPr>
              <w:t>%</w:t>
            </w:r>
          </w:p>
        </w:tc>
        <w:tc>
          <w:tcPr>
            <w:tcW w:w="2362" w:type="dxa"/>
            <w:vAlign w:val="center"/>
          </w:tcPr>
          <w:p w14:paraId="4BA12F57">
            <w:pPr>
              <w:jc w:val="center"/>
              <w:rPr>
                <w:color w:val="000000" w:themeColor="text1"/>
                <w:highlight w:val="none"/>
                <w14:textFill>
                  <w14:solidFill>
                    <w14:schemeClr w14:val="tx1"/>
                  </w14:solidFill>
                </w14:textFill>
              </w:rPr>
            </w:pPr>
          </w:p>
        </w:tc>
        <w:tc>
          <w:tcPr>
            <w:tcW w:w="768" w:type="dxa"/>
            <w:vAlign w:val="center"/>
          </w:tcPr>
          <w:p w14:paraId="01A1FA7F">
            <w:pPr>
              <w:spacing w:line="360" w:lineRule="auto"/>
              <w:jc w:val="center"/>
              <w:rPr>
                <w:color w:val="000000" w:themeColor="text1"/>
                <w:szCs w:val="21"/>
                <w:highlight w:val="none"/>
                <w14:textFill>
                  <w14:solidFill>
                    <w14:schemeClr w14:val="tx1"/>
                  </w14:solidFill>
                </w14:textFill>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1597" w:type="dxa"/>
            <w:vAlign w:val="center"/>
          </w:tcPr>
          <w:p w14:paraId="10EF123E">
            <w:pPr>
              <w:spacing w:line="360" w:lineRule="auto"/>
              <w:jc w:val="center"/>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技术得分</w:t>
            </w:r>
          </w:p>
        </w:tc>
        <w:tc>
          <w:tcPr>
            <w:tcW w:w="1144" w:type="dxa"/>
            <w:vAlign w:val="center"/>
          </w:tcPr>
          <w:p w14:paraId="3E9B99E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A2</w:t>
            </w:r>
            <w:r>
              <w:rPr>
                <w:rFonts w:hint="eastAsia"/>
                <w:color w:val="000000" w:themeColor="text1"/>
                <w:szCs w:val="21"/>
                <w:highlight w:val="none"/>
                <w14:textFill>
                  <w14:solidFill>
                    <w14:schemeClr w14:val="tx1"/>
                  </w14:solidFill>
                </w14:textFill>
              </w:rPr>
              <w:t>=</w:t>
            </w:r>
          </w:p>
        </w:tc>
        <w:tc>
          <w:tcPr>
            <w:tcW w:w="1526" w:type="dxa"/>
            <w:vAlign w:val="center"/>
          </w:tcPr>
          <w:p w14:paraId="726C3AC3">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K2=</w:t>
            </w:r>
            <w:r>
              <w:rPr>
                <w:rFonts w:hint="eastAsia"/>
                <w:color w:val="000000" w:themeColor="text1"/>
                <w:szCs w:val="21"/>
                <w:highlight w:val="none"/>
                <w:lang w:val="en-US" w:eastAsia="zh-CN"/>
                <w14:textFill>
                  <w14:solidFill>
                    <w14:schemeClr w14:val="tx1"/>
                  </w14:solidFill>
                </w14:textFill>
              </w:rPr>
              <w:t>30</w:t>
            </w:r>
            <w:r>
              <w:rPr>
                <w:rFonts w:hint="eastAsia"/>
                <w:color w:val="000000" w:themeColor="text1"/>
                <w:szCs w:val="21"/>
                <w:highlight w:val="none"/>
                <w14:textFill>
                  <w14:solidFill>
                    <w14:schemeClr w14:val="tx1"/>
                  </w14:solidFill>
                </w14:textFill>
              </w:rPr>
              <w:t>%</w:t>
            </w:r>
          </w:p>
        </w:tc>
        <w:tc>
          <w:tcPr>
            <w:tcW w:w="2362" w:type="dxa"/>
            <w:vAlign w:val="center"/>
          </w:tcPr>
          <w:p w14:paraId="3D1730BE">
            <w:pPr>
              <w:jc w:val="center"/>
              <w:rPr>
                <w:color w:val="000000" w:themeColor="text1"/>
                <w:highlight w:val="none"/>
                <w14:textFill>
                  <w14:solidFill>
                    <w14:schemeClr w14:val="tx1"/>
                  </w14:solidFill>
                </w14:textFill>
              </w:rPr>
            </w:pPr>
          </w:p>
        </w:tc>
        <w:tc>
          <w:tcPr>
            <w:tcW w:w="768" w:type="dxa"/>
            <w:vAlign w:val="center"/>
          </w:tcPr>
          <w:p w14:paraId="3DB5C410">
            <w:pPr>
              <w:spacing w:line="360" w:lineRule="auto"/>
              <w:jc w:val="center"/>
              <w:rPr>
                <w:color w:val="000000" w:themeColor="text1"/>
                <w:szCs w:val="21"/>
                <w:highlight w:val="none"/>
                <w14:textFill>
                  <w14:solidFill>
                    <w14:schemeClr w14:val="tx1"/>
                  </w14:solidFill>
                </w14:textFill>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1597" w:type="dxa"/>
            <w:vAlign w:val="center"/>
          </w:tcPr>
          <w:p w14:paraId="37E2B52A">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经济得分</w:t>
            </w:r>
          </w:p>
        </w:tc>
        <w:tc>
          <w:tcPr>
            <w:tcW w:w="1144" w:type="dxa"/>
            <w:vAlign w:val="center"/>
          </w:tcPr>
          <w:p w14:paraId="0F4CD18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w:t>
            </w:r>
            <w:r>
              <w:rPr>
                <w:rFonts w:hint="eastAsia"/>
                <w:color w:val="000000" w:themeColor="text1"/>
                <w:szCs w:val="21"/>
                <w:highlight w:val="none"/>
                <w14:textFill>
                  <w14:solidFill>
                    <w14:schemeClr w14:val="tx1"/>
                  </w14:solidFill>
                </w14:textFill>
              </w:rPr>
              <w:t>3=</w:t>
            </w:r>
          </w:p>
        </w:tc>
        <w:tc>
          <w:tcPr>
            <w:tcW w:w="1526" w:type="dxa"/>
            <w:vAlign w:val="center"/>
          </w:tcPr>
          <w:p w14:paraId="110F124B">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K3=</w:t>
            </w:r>
            <w:r>
              <w:rPr>
                <w:rFonts w:hint="eastAsia"/>
                <w:color w:val="000000" w:themeColor="text1"/>
                <w:szCs w:val="21"/>
                <w:highlight w:val="none"/>
                <w:lang w:val="en-US" w:eastAsia="zh-CN"/>
                <w14:textFill>
                  <w14:solidFill>
                    <w14:schemeClr w14:val="tx1"/>
                  </w14:solidFill>
                </w14:textFill>
              </w:rPr>
              <w:t>60</w:t>
            </w:r>
            <w:r>
              <w:rPr>
                <w:rFonts w:hint="eastAsia"/>
                <w:color w:val="000000" w:themeColor="text1"/>
                <w:szCs w:val="21"/>
                <w:highlight w:val="none"/>
                <w14:textFill>
                  <w14:solidFill>
                    <w14:schemeClr w14:val="tx1"/>
                  </w14:solidFill>
                </w14:textFill>
              </w:rPr>
              <w:t>%</w:t>
            </w:r>
          </w:p>
        </w:tc>
        <w:tc>
          <w:tcPr>
            <w:tcW w:w="2362" w:type="dxa"/>
            <w:vAlign w:val="center"/>
          </w:tcPr>
          <w:p w14:paraId="0A3D9074">
            <w:pPr>
              <w:jc w:val="center"/>
              <w:rPr>
                <w:color w:val="000000" w:themeColor="text1"/>
                <w:highlight w:val="none"/>
                <w14:textFill>
                  <w14:solidFill>
                    <w14:schemeClr w14:val="tx1"/>
                  </w14:solidFill>
                </w14:textFill>
              </w:rPr>
            </w:pPr>
          </w:p>
        </w:tc>
        <w:tc>
          <w:tcPr>
            <w:tcW w:w="768" w:type="dxa"/>
            <w:vAlign w:val="center"/>
          </w:tcPr>
          <w:p w14:paraId="76DB775F">
            <w:pPr>
              <w:spacing w:line="360" w:lineRule="auto"/>
              <w:jc w:val="center"/>
              <w:rPr>
                <w:color w:val="000000" w:themeColor="text1"/>
                <w:szCs w:val="21"/>
                <w:highlight w:val="none"/>
                <w14:textFill>
                  <w14:solidFill>
                    <w14:schemeClr w14:val="tx1"/>
                  </w14:solidFill>
                </w14:textFill>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最终得分</w:t>
            </w:r>
          </w:p>
        </w:tc>
        <w:tc>
          <w:tcPr>
            <w:tcW w:w="2670" w:type="dxa"/>
            <w:gridSpan w:val="2"/>
            <w:vAlign w:val="center"/>
          </w:tcPr>
          <w:p w14:paraId="46BCC79D">
            <w:pPr>
              <w:pStyle w:val="45"/>
              <w:rPr>
                <w:rFonts w:eastAsia="宋体"/>
                <w:color w:val="000000" w:themeColor="text1"/>
                <w:highlight w:val="none"/>
                <w14:textFill>
                  <w14:solidFill>
                    <w14:schemeClr w14:val="tx1"/>
                  </w14:solidFill>
                </w14:textFill>
              </w:rPr>
            </w:pPr>
            <w:r>
              <w:rPr>
                <w:rFonts w:eastAsia="宋体"/>
                <w:color w:val="000000" w:themeColor="text1"/>
                <w:highlight w:val="none"/>
                <w14:textFill>
                  <w14:solidFill>
                    <w14:schemeClr w14:val="tx1"/>
                  </w14:solidFill>
                </w14:textFill>
              </w:rPr>
              <w:t>∑</w:t>
            </w:r>
          </w:p>
        </w:tc>
        <w:tc>
          <w:tcPr>
            <w:tcW w:w="3130" w:type="dxa"/>
            <w:gridSpan w:val="2"/>
            <w:vAlign w:val="center"/>
          </w:tcPr>
          <w:p w14:paraId="5342A308">
            <w:pPr>
              <w:pStyle w:val="45"/>
              <w:rPr>
                <w:rFonts w:eastAsia="宋体"/>
                <w:color w:val="000000" w:themeColor="text1"/>
                <w:highlight w:val="none"/>
                <w14:textFill>
                  <w14:solidFill>
                    <w14:schemeClr w14:val="tx1"/>
                  </w14:solidFill>
                </w14:textFill>
              </w:rPr>
            </w:pPr>
          </w:p>
        </w:tc>
      </w:tr>
    </w:tbl>
    <w:p w14:paraId="35BD10A7">
      <w:pPr>
        <w:spacing w:line="360" w:lineRule="auto"/>
        <w:rPr>
          <w:color w:val="000000" w:themeColor="text1"/>
          <w:szCs w:val="21"/>
          <w:highlight w:val="none"/>
          <w14:textFill>
            <w14:solidFill>
              <w14:schemeClr w14:val="tx1"/>
            </w14:solidFill>
          </w14:textFill>
        </w:rPr>
      </w:pPr>
    </w:p>
    <w:p w14:paraId="31349F0D">
      <w:pPr>
        <w:spacing w:line="360" w:lineRule="auto"/>
        <w:rPr>
          <w:color w:val="000000" w:themeColor="text1"/>
          <w:szCs w:val="21"/>
          <w:highlight w:val="none"/>
          <w14:textFill>
            <w14:solidFill>
              <w14:schemeClr w14:val="tx1"/>
            </w14:solidFill>
          </w14:textFill>
        </w:rPr>
      </w:pPr>
    </w:p>
    <w:p w14:paraId="4AC67B08">
      <w:pPr>
        <w:spacing w:line="360" w:lineRule="auto"/>
        <w:rPr>
          <w:color w:val="000000" w:themeColor="text1"/>
          <w:szCs w:val="21"/>
          <w:highlight w:val="none"/>
          <w14:textFill>
            <w14:solidFill>
              <w14:schemeClr w14:val="tx1"/>
            </w14:solidFill>
          </w14:textFill>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【中建路桥集团有限公司封层撒布施工劳务分包工程分包采购】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【中建路桥集团有限公司封层撒布施工劳务分包工程分包采购】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1">
    <w:nsid w:val="2115380E"/>
    <w:multiLevelType w:val="singleLevel"/>
    <w:tmpl w:val="2115380E"/>
    <w:lvl w:ilvl="0" w:tentative="0">
      <w:start w:val="1"/>
      <w:numFmt w:val="decimal"/>
      <w:suff w:val="nothing"/>
      <w:lvlText w:val="（%1）"/>
      <w:lvlJc w:val="left"/>
      <w:pPr>
        <w:ind w:left="0" w:firstLine="0"/>
      </w:pPr>
    </w:lvl>
  </w:abstractNum>
  <w:abstractNum w:abstractNumId="2">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AE60F9E"/>
    <w:multiLevelType w:val="singleLevel"/>
    <w:tmpl w:val="6AE60F9E"/>
    <w:lvl w:ilvl="0" w:tentative="0">
      <w:start w:val="4"/>
      <w:numFmt w:val="chineseCounting"/>
      <w:suff w:val="space"/>
      <w:lvlText w:val="第%1章"/>
      <w:lvlJc w:val="left"/>
      <w:rPr>
        <w:rFonts w:hint="eastAsia"/>
      </w:rPr>
    </w:lvl>
  </w:abstractNum>
  <w:abstractNum w:abstractNumId="9">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3"/>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6C76C7A"/>
    <w:rsid w:val="08184A7B"/>
    <w:rsid w:val="094D54F7"/>
    <w:rsid w:val="09D83D52"/>
    <w:rsid w:val="0A2A40FB"/>
    <w:rsid w:val="0B4C7F81"/>
    <w:rsid w:val="147B2FDE"/>
    <w:rsid w:val="14B03784"/>
    <w:rsid w:val="164B51D1"/>
    <w:rsid w:val="169A7F07"/>
    <w:rsid w:val="1B72378B"/>
    <w:rsid w:val="1C45326E"/>
    <w:rsid w:val="1CBA04E3"/>
    <w:rsid w:val="1FFC6717"/>
    <w:rsid w:val="200E130A"/>
    <w:rsid w:val="20EF7844"/>
    <w:rsid w:val="2208041A"/>
    <w:rsid w:val="2A89317C"/>
    <w:rsid w:val="2BE52DB7"/>
    <w:rsid w:val="2DE5579D"/>
    <w:rsid w:val="2DEF5412"/>
    <w:rsid w:val="2E6E5F17"/>
    <w:rsid w:val="31903F88"/>
    <w:rsid w:val="32D02B12"/>
    <w:rsid w:val="343B79A2"/>
    <w:rsid w:val="378F28CE"/>
    <w:rsid w:val="38D0417E"/>
    <w:rsid w:val="3A9A3131"/>
    <w:rsid w:val="3BC62A80"/>
    <w:rsid w:val="3E9D5996"/>
    <w:rsid w:val="3F0B01A8"/>
    <w:rsid w:val="42BE08E3"/>
    <w:rsid w:val="452B6074"/>
    <w:rsid w:val="46B77D56"/>
    <w:rsid w:val="47394B20"/>
    <w:rsid w:val="4A6702F5"/>
    <w:rsid w:val="4C0C011A"/>
    <w:rsid w:val="4E64361B"/>
    <w:rsid w:val="535D4396"/>
    <w:rsid w:val="539B3C3A"/>
    <w:rsid w:val="54465360"/>
    <w:rsid w:val="54A55CAF"/>
    <w:rsid w:val="59EB7233"/>
    <w:rsid w:val="5B781394"/>
    <w:rsid w:val="5BBA2879"/>
    <w:rsid w:val="62284746"/>
    <w:rsid w:val="637569B7"/>
    <w:rsid w:val="64943329"/>
    <w:rsid w:val="649F75B2"/>
    <w:rsid w:val="6C1F5E15"/>
    <w:rsid w:val="6DB519B1"/>
    <w:rsid w:val="70253370"/>
    <w:rsid w:val="72D57D54"/>
    <w:rsid w:val="72E408C6"/>
    <w:rsid w:val="7762585B"/>
    <w:rsid w:val="7B1B1DDD"/>
    <w:rsid w:val="7CA30A99"/>
    <w:rsid w:val="7EA92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1233</Words>
  <Characters>1338</Characters>
  <Lines>153</Lines>
  <Paragraphs>43</Paragraphs>
  <TotalTime>6</TotalTime>
  <ScaleCrop>false</ScaleCrop>
  <LinksUpToDate>false</LinksUpToDate>
  <CharactersWithSpaces>1539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孙凡寓</cp:lastModifiedBy>
  <cp:lastPrinted>2016-07-19T02:19:00Z</cp:lastPrinted>
  <dcterms:modified xsi:type="dcterms:W3CDTF">2026-08-12T06:18:24Z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D754BF44BC86470196C32839AE4ADF0A_13</vt:lpwstr>
  </property>
  <property fmtid="{D5CDD505-2E9C-101B-9397-08002B2CF9AE}" pid="4" name="KSOTemplateDocerSaveRecord">
    <vt:lpwstr>eyJoZGlkIjoiNmYwNGI0Njg4NGM1MWUyNzA1NmI1YjZmMjViNzYyZjQiLCJ1c2VySWQiOiIxMDM3MjQzNTYzIn0=</vt:lpwstr>
  </property>
</Properties>
</file>