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133A5">
      <w:pPr>
        <w:spacing w:line="360" w:lineRule="auto"/>
        <w:jc w:val="left"/>
        <w:rPr>
          <w:rFonts w:eastAsia="仿宋_GB2312"/>
          <w:bCs/>
          <w:color w:val="000000"/>
          <w:sz w:val="28"/>
          <w:szCs w:val="28"/>
          <w:u w:val="single"/>
        </w:rPr>
      </w:pPr>
      <w:bookmarkStart w:id="0" w:name="_Hlk126831517"/>
      <w:r>
        <w:rPr>
          <w:rFonts w:hint="eastAsia" w:eastAsia="仿宋_GB2312"/>
          <w:bCs/>
          <w:color w:val="000000"/>
          <w:sz w:val="28"/>
          <w:szCs w:val="28"/>
        </w:rPr>
        <w:t>合同编号：</w:t>
      </w:r>
      <w:permStart w:id="0" w:edGrp="everyone"/>
      <w:r>
        <w:rPr>
          <w:rFonts w:hint="eastAsia" w:eastAsia="仿宋_GB2312"/>
          <w:bCs/>
          <w:color w:val="000000"/>
          <w:sz w:val="28"/>
          <w:szCs w:val="28"/>
          <w:u w:val="single"/>
        </w:rPr>
        <w:t xml:space="preserve"> SZGS-FG-安岚项目-001 </w:t>
      </w:r>
      <w:permEnd w:id="0"/>
    </w:p>
    <w:p w14:paraId="47C84121">
      <w:pPr>
        <w:wordWrap w:val="0"/>
        <w:spacing w:line="640" w:lineRule="exact"/>
        <w:rPr>
          <w:rFonts w:ascii="仿宋_GB2312" w:hAnsi="仿宋" w:eastAsia="仿宋_GB2312" w:cs="仿宋"/>
          <w:color w:val="000000" w:themeColor="text1"/>
          <w:sz w:val="24"/>
          <w:szCs w:val="24"/>
          <w14:textFill>
            <w14:solidFill>
              <w14:schemeClr w14:val="tx1"/>
            </w14:solidFill>
          </w14:textFill>
        </w:rPr>
      </w:pPr>
      <w:r>
        <w:rPr>
          <w:rFonts w:hint="eastAsia" w:eastAsia="仿宋_GB2312"/>
          <w:bCs/>
          <w:color w:val="000000"/>
          <w:sz w:val="28"/>
          <w:szCs w:val="28"/>
        </w:rPr>
        <w:t>框架协议：</w:t>
      </w:r>
      <w:permStart w:id="1" w:edGrp="everyone"/>
      <w:r>
        <w:rPr>
          <w:rFonts w:hint="eastAsia" w:eastAsia="仿宋_GB2312"/>
          <w:bCs/>
          <w:color w:val="000000"/>
          <w:sz w:val="28"/>
          <w:szCs w:val="28"/>
          <w:u w:val="single"/>
        </w:rPr>
        <w:t xml:space="preserve">                    </w:t>
      </w:r>
      <w:permEnd w:id="1"/>
    </w:p>
    <w:p w14:paraId="331BB18C">
      <w:pPr>
        <w:spacing w:line="360" w:lineRule="auto"/>
        <w:jc w:val="left"/>
        <w:rPr>
          <w:rFonts w:ascii="仿宋_GB2312" w:hAnsi="仿宋_GB2312" w:eastAsia="仿宋_GB2312" w:cs="仿宋_GB2312"/>
          <w:sz w:val="28"/>
          <w:szCs w:val="28"/>
        </w:rPr>
      </w:pPr>
      <w:r>
        <w:pict>
          <v:shape id="_x0000_s1026" o:spid="_x0000_s1026" o:spt="136" type="#_x0000_t136" style="position:absolute;left:0pt;margin-left:100pt;margin-top:100pt;height:100pt;width:200pt;z-index:251663360;mso-width-relative:page;mso-height-relative:page;" coordsize="21600,21600">
            <v:path/>
            <v:fill opacity="32768f" focussize="0,0"/>
            <v:stroke/>
            <v:imagedata o:title=""/>
            <o:lock v:ext="edit"/>
            <v:textpath on="f" fitpath="t" trim="t" xscale="f" string="" style="font-size:36pt;v-text-align:center;"/>
          </v:shape>
        </w:pict>
      </w:r>
    </w:p>
    <w:p w14:paraId="194574C9">
      <w:pPr>
        <w:pStyle w:val="2"/>
      </w:pPr>
    </w:p>
    <w:p w14:paraId="76C8CEDC">
      <w:pPr>
        <w:pStyle w:val="2"/>
      </w:pPr>
    </w:p>
    <w:p w14:paraId="47390130">
      <w:pPr>
        <w:pStyle w:val="2"/>
      </w:pPr>
    </w:p>
    <w:p w14:paraId="7417552A">
      <w:pPr>
        <w:spacing w:line="360" w:lineRule="auto"/>
        <w:jc w:val="center"/>
        <w:rPr>
          <w:rFonts w:ascii="华文中宋" w:hAnsi="华文中宋" w:eastAsia="华文中宋" w:cs="华文中宋"/>
          <w:b/>
          <w:sz w:val="52"/>
          <w:szCs w:val="52"/>
        </w:rPr>
      </w:pPr>
      <w:permStart w:id="2" w:edGrp="everyone"/>
      <w:r>
        <w:rPr>
          <w:rFonts w:hint="eastAsia" w:ascii="华文中宋" w:hAnsi="华文中宋" w:eastAsia="华文中宋" w:cs="华文中宋"/>
          <w:b/>
          <w:sz w:val="52"/>
          <w:szCs w:val="52"/>
        </w:rPr>
        <w:t>【砾石】</w:t>
      </w:r>
      <w:permEnd w:id="2"/>
      <w:r>
        <w:rPr>
          <w:rFonts w:hint="eastAsia" w:ascii="华文中宋" w:hAnsi="华文中宋" w:eastAsia="华文中宋" w:cs="华文中宋"/>
          <w:b/>
          <w:sz w:val="52"/>
          <w:szCs w:val="52"/>
        </w:rPr>
        <w:t>采购与供应合同</w:t>
      </w:r>
    </w:p>
    <w:p w14:paraId="43E1DFF0">
      <w:pPr>
        <w:spacing w:line="360" w:lineRule="auto"/>
        <w:jc w:val="center"/>
        <w:rPr>
          <w:rFonts w:ascii="宋体" w:hAnsi="宋体" w:cs="宋体"/>
          <w:b/>
          <w:sz w:val="28"/>
          <w:szCs w:val="28"/>
        </w:rPr>
      </w:pPr>
      <w:r>
        <w:drawing>
          <wp:anchor distT="0" distB="0" distL="114300" distR="114300" simplePos="0" relativeHeight="251662336" behindDoc="1" locked="0" layoutInCell="1" allowOverlap="1">
            <wp:simplePos x="0" y="0"/>
            <wp:positionH relativeFrom="column">
              <wp:posOffset>1829435</wp:posOffset>
            </wp:positionH>
            <wp:positionV relativeFrom="paragraph">
              <wp:posOffset>245745</wp:posOffset>
            </wp:positionV>
            <wp:extent cx="1685925" cy="2352675"/>
            <wp:effectExtent l="0" t="0" r="9525" b="9525"/>
            <wp:wrapNone/>
            <wp:docPr id="1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说明: 图片1"/>
                    <pic:cNvPicPr>
                      <a:picLocks noChangeAspect="1"/>
                    </pic:cNvPicPr>
                  </pic:nvPicPr>
                  <pic:blipFill>
                    <a:blip r:embed="rId14">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62205ED7">
      <w:pPr>
        <w:spacing w:line="360" w:lineRule="auto"/>
        <w:jc w:val="center"/>
        <w:rPr>
          <w:rFonts w:ascii="宋体" w:hAnsi="宋体" w:cs="宋体"/>
          <w:b/>
          <w:sz w:val="28"/>
          <w:szCs w:val="28"/>
        </w:rPr>
      </w:pPr>
    </w:p>
    <w:p w14:paraId="4EECEBF7">
      <w:pPr>
        <w:spacing w:line="360" w:lineRule="auto"/>
        <w:jc w:val="center"/>
        <w:rPr>
          <w:rFonts w:ascii="宋体" w:hAnsi="宋体" w:cs="宋体"/>
          <w:b/>
          <w:sz w:val="28"/>
          <w:szCs w:val="28"/>
        </w:rPr>
      </w:pPr>
    </w:p>
    <w:p w14:paraId="6F8DB574">
      <w:pPr>
        <w:spacing w:line="360" w:lineRule="auto"/>
        <w:jc w:val="center"/>
        <w:rPr>
          <w:rFonts w:ascii="宋体" w:hAnsi="宋体" w:cs="宋体"/>
          <w:b/>
          <w:sz w:val="28"/>
          <w:szCs w:val="28"/>
        </w:rPr>
      </w:pPr>
    </w:p>
    <w:p w14:paraId="125D7D3E">
      <w:pPr>
        <w:spacing w:line="360" w:lineRule="auto"/>
        <w:jc w:val="center"/>
        <w:rPr>
          <w:rFonts w:ascii="宋体" w:hAnsi="宋体" w:cs="宋体"/>
          <w:b/>
          <w:sz w:val="28"/>
          <w:szCs w:val="28"/>
        </w:rPr>
      </w:pPr>
    </w:p>
    <w:p w14:paraId="13F27396">
      <w:pPr>
        <w:spacing w:line="360" w:lineRule="auto"/>
        <w:rPr>
          <w:rFonts w:ascii="宋体" w:hAnsi="宋体" w:cs="宋体"/>
          <w:b/>
          <w:sz w:val="28"/>
          <w:szCs w:val="28"/>
        </w:rPr>
      </w:pPr>
    </w:p>
    <w:p w14:paraId="4D64C6A1">
      <w:pPr>
        <w:pStyle w:val="4"/>
        <w:spacing w:after="120"/>
        <w:ind w:firstLine="560"/>
        <w:rPr>
          <w:rFonts w:ascii="宋体" w:hAnsi="宋体" w:cs="宋体"/>
          <w:b/>
          <w:sz w:val="28"/>
          <w:szCs w:val="28"/>
        </w:rPr>
      </w:pPr>
    </w:p>
    <w:p w14:paraId="2A58D538">
      <w:pPr>
        <w:pStyle w:val="4"/>
        <w:spacing w:after="120"/>
        <w:ind w:firstLine="560"/>
        <w:rPr>
          <w:rFonts w:ascii="宋体" w:hAnsi="宋体" w:cs="宋体"/>
          <w:b/>
          <w:sz w:val="28"/>
          <w:szCs w:val="28"/>
        </w:rPr>
      </w:pPr>
    </w:p>
    <w:p w14:paraId="152D02AC">
      <w:pPr>
        <w:spacing w:line="360" w:lineRule="auto"/>
        <w:rPr>
          <w:rFonts w:ascii="仿宋_GB2312" w:hAnsi="仿宋_GB2312" w:eastAsia="仿宋_GB2312" w:cs="仿宋_GB2312"/>
          <w:b/>
          <w:bCs/>
          <w:sz w:val="28"/>
          <w:szCs w:val="28"/>
        </w:rPr>
      </w:pPr>
    </w:p>
    <w:p w14:paraId="2A6B7742">
      <w:pPr>
        <w:spacing w:line="360" w:lineRule="auto"/>
        <w:ind w:firstLine="562" w:firstLineChars="200"/>
        <w:rPr>
          <w:rFonts w:ascii="仿宋_GB2312" w:hAnsi="仿宋_GB2312" w:eastAsia="仿宋_GB2312" w:cs="仿宋_GB2312"/>
          <w:sz w:val="28"/>
          <w:szCs w:val="28"/>
        </w:rPr>
      </w:pPr>
      <w:permStart w:id="3" w:edGrp="everyone"/>
      <w:r>
        <w:rPr>
          <w:rFonts w:hint="eastAsia" w:ascii="仿宋_GB2312" w:hAnsi="仿宋_GB2312" w:eastAsia="仿宋_GB2312" w:cs="仿宋_GB2312"/>
          <w:b/>
          <w:bCs/>
          <w:sz w:val="28"/>
          <w:szCs w:val="28"/>
        </w:rPr>
        <w:t>项目名称：</w:t>
      </w:r>
      <w:r>
        <w:rPr>
          <w:rFonts w:hint="eastAsia" w:ascii="仿宋_GB2312" w:hAnsi="仿宋_GB2312" w:eastAsia="仿宋_GB2312" w:cs="仿宋_GB2312"/>
          <w:b/>
          <w:color w:val="000000"/>
          <w:sz w:val="28"/>
          <w:szCs w:val="28"/>
        </w:rPr>
        <w:t>【安岚高速AL-C08合同段桩基加固防护工程】</w:t>
      </w:r>
    </w:p>
    <w:p w14:paraId="5BE6B78D">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甲    方：</w:t>
      </w:r>
      <w:r>
        <w:rPr>
          <w:rFonts w:hint="eastAsia" w:ascii="仿宋_GB2312" w:hAnsi="仿宋_GB2312" w:eastAsia="仿宋_GB2312" w:cs="仿宋_GB2312"/>
          <w:b/>
          <w:color w:val="000000"/>
          <w:sz w:val="28"/>
          <w:szCs w:val="28"/>
        </w:rPr>
        <w:t>【中建路桥集团河北基础市政工程有限公司】</w:t>
      </w:r>
    </w:p>
    <w:p w14:paraId="579CD938">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乙    方：</w:t>
      </w:r>
      <w:r>
        <w:rPr>
          <w:rFonts w:hint="eastAsia" w:ascii="仿宋_GB2312" w:hAnsi="仿宋_GB2312" w:eastAsia="仿宋_GB2312" w:cs="仿宋_GB2312"/>
          <w:b/>
          <w:color w:val="000000"/>
          <w:sz w:val="28"/>
          <w:szCs w:val="28"/>
        </w:rPr>
        <w:t>【                                    】</w:t>
      </w:r>
    </w:p>
    <w:p w14:paraId="58328740">
      <w:pPr>
        <w:spacing w:line="360" w:lineRule="auto"/>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签订时间：</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
          <w:color w:val="000000"/>
          <w:sz w:val="28"/>
          <w:szCs w:val="28"/>
        </w:rPr>
        <w:t xml:space="preserve">                       】</w:t>
      </w:r>
    </w:p>
    <w:p w14:paraId="094C9936">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签订地点：</w:t>
      </w:r>
      <w:r>
        <w:rPr>
          <w:rFonts w:hint="eastAsia" w:ascii="仿宋_GB2312" w:hAnsi="仿宋_GB2312" w:eastAsia="仿宋_GB2312" w:cs="仿宋_GB2312"/>
          <w:b/>
          <w:color w:val="000000"/>
          <w:sz w:val="28"/>
          <w:szCs w:val="28"/>
        </w:rPr>
        <w:t>【            石家庄市桥西区          】</w:t>
      </w:r>
    </w:p>
    <w:bookmarkEnd w:id="0"/>
    <w:p w14:paraId="280924C1">
      <w:pPr>
        <w:spacing w:line="480" w:lineRule="auto"/>
        <w:ind w:firstLine="1280" w:firstLineChars="400"/>
        <w:jc w:val="left"/>
        <w:textAlignment w:val="baseline"/>
        <w:rPr>
          <w:rFonts w:ascii="仿宋_GB2312" w:hAnsi="仿宋" w:eastAsia="仿宋_GB2312" w:cs="仿宋"/>
          <w:bCs/>
          <w:color w:val="000000" w:themeColor="text1"/>
          <w:sz w:val="32"/>
          <w:szCs w:val="24"/>
          <w:u w:val="single"/>
          <w14:textFill>
            <w14:solidFill>
              <w14:schemeClr w14:val="tx1"/>
            </w14:solidFill>
          </w14:textFill>
        </w:rPr>
        <w:sectPr>
          <w:headerReference r:id="rId4" w:type="first"/>
          <w:footerReference r:id="rId6" w:type="first"/>
          <w:headerReference r:id="rId3" w:type="default"/>
          <w:footerReference r:id="rId5" w:type="default"/>
          <w:pgSz w:w="11906" w:h="16838"/>
          <w:pgMar w:top="1440" w:right="1800" w:bottom="1440" w:left="1800" w:header="850" w:footer="975" w:gutter="0"/>
          <w:pgNumType w:start="1"/>
          <w:cols w:space="0" w:num="1"/>
          <w:titlePg/>
          <w:docGrid w:linePitch="312" w:charSpace="0"/>
        </w:sectPr>
      </w:pPr>
    </w:p>
    <w:permEnd w:id="3"/>
    <w:sdt>
      <w:sdtPr>
        <w:rPr>
          <w:rFonts w:asciiTheme="minorHAnsi" w:hAnsiTheme="minorHAnsi" w:eastAsiaTheme="minorEastAsia" w:cstheme="minorBidi"/>
          <w:szCs w:val="22"/>
        </w:rPr>
        <w:id w:val="147479450"/>
        <w:docPartObj>
          <w:docPartGallery w:val="Table of Contents"/>
          <w:docPartUnique/>
        </w:docPartObj>
      </w:sdtPr>
      <w:sdtEndPr>
        <w:rPr>
          <w:rFonts w:ascii="仿宋" w:hAnsi="仿宋" w:eastAsia="仿宋" w:cs="仿宋"/>
          <w:color w:val="000000" w:themeColor="text1"/>
          <w:szCs w:val="22"/>
          <w14:textFill>
            <w14:solidFill>
              <w14:schemeClr w14:val="tx1"/>
            </w14:solidFill>
          </w14:textFill>
        </w:rPr>
      </w:sdtEndPr>
      <w:sdtContent>
        <w:p w14:paraId="3BB63068">
          <w:pPr>
            <w:pStyle w:val="4"/>
          </w:pPr>
        </w:p>
        <w:p w14:paraId="644AE750">
          <w:pPr>
            <w:jc w:val="center"/>
            <w:rPr>
              <w:rFonts w:ascii="黑体" w:hAnsi="黑体" w:eastAsia="黑体" w:cs="黑体"/>
              <w:b/>
              <w:bCs/>
              <w:color w:val="000000" w:themeColor="text1"/>
              <w:sz w:val="36"/>
              <w:szCs w:val="36"/>
              <w14:textFill>
                <w14:solidFill>
                  <w14:schemeClr w14:val="tx1"/>
                </w14:solidFill>
              </w14:textFill>
            </w:rPr>
          </w:pPr>
          <w:permStart w:id="4" w:edGrp="everyone"/>
          <w:r>
            <w:rPr>
              <w:rFonts w:hint="eastAsia" w:ascii="黑体" w:hAnsi="黑体" w:eastAsia="黑体" w:cs="黑体"/>
              <w:b/>
              <w:bCs/>
              <w:color w:val="000000" w:themeColor="text1"/>
              <w:sz w:val="36"/>
              <w:szCs w:val="36"/>
              <w14:textFill>
                <w14:solidFill>
                  <w14:schemeClr w14:val="tx1"/>
                </w14:solidFill>
              </w14:textFill>
            </w:rPr>
            <w:t>目</w:t>
          </w:r>
          <w:r>
            <w:rPr>
              <w:rFonts w:ascii="黑体" w:hAnsi="黑体" w:eastAsia="黑体" w:cs="黑体"/>
              <w:b/>
              <w:bCs/>
              <w:color w:val="000000" w:themeColor="text1"/>
              <w:sz w:val="36"/>
              <w:szCs w:val="36"/>
              <w14:textFill>
                <w14:solidFill>
                  <w14:schemeClr w14:val="tx1"/>
                </w14:solidFill>
              </w14:textFill>
            </w:rPr>
            <w:t xml:space="preserve">  </w:t>
          </w:r>
          <w:r>
            <w:rPr>
              <w:rFonts w:hint="eastAsia" w:ascii="黑体" w:hAnsi="黑体" w:eastAsia="黑体" w:cs="黑体"/>
              <w:b/>
              <w:bCs/>
              <w:color w:val="000000" w:themeColor="text1"/>
              <w:sz w:val="36"/>
              <w:szCs w:val="36"/>
              <w14:textFill>
                <w14:solidFill>
                  <w14:schemeClr w14:val="tx1"/>
                </w14:solidFill>
              </w14:textFill>
            </w:rPr>
            <w:t>录</w:t>
          </w:r>
        </w:p>
        <w:p w14:paraId="7993E789">
          <w:pPr>
            <w:pStyle w:val="4"/>
          </w:pPr>
        </w:p>
        <w:p w14:paraId="77E67E1F">
          <w:pPr>
            <w:pStyle w:val="9"/>
            <w:tabs>
              <w:tab w:val="right" w:leader="dot" w:pos="8306"/>
            </w:tabs>
            <w:spacing w:line="312" w:lineRule="auto"/>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TOC \o "1-1" \h \u </w:instrText>
          </w:r>
          <w:r>
            <w:rPr>
              <w:rFonts w:hint="eastAsia" w:ascii="仿宋" w:hAnsi="仿宋" w:eastAsia="仿宋" w:cs="仿宋"/>
              <w:color w:val="000000" w:themeColor="text1"/>
              <w14:textFill>
                <w14:solidFill>
                  <w14:schemeClr w14:val="tx1"/>
                </w14:solidFill>
              </w14:textFill>
            </w:rPr>
            <w:fldChar w:fldCharType="separate"/>
          </w:r>
          <w:r>
            <w:fldChar w:fldCharType="begin"/>
          </w:r>
          <w:r>
            <w:instrText xml:space="preserve"> HYPERLINK \l "_Toc5953" </w:instrText>
          </w:r>
          <w:r>
            <w:fldChar w:fldCharType="separate"/>
          </w:r>
          <w:r>
            <w:rPr>
              <w:rFonts w:hint="eastAsia" w:ascii="黑体" w:hAnsi="黑体" w:eastAsia="黑体" w:cs="黑体"/>
              <w:bCs/>
              <w:sz w:val="30"/>
              <w:szCs w:val="30"/>
            </w:rPr>
            <w:t>第一部分 专用条款</w:t>
          </w:r>
          <w:r>
            <w:tab/>
          </w:r>
          <w:r>
            <w:fldChar w:fldCharType="begin"/>
          </w:r>
          <w:r>
            <w:instrText xml:space="preserve"> PAGEREF _Toc5953 \h </w:instrText>
          </w:r>
          <w:r>
            <w:fldChar w:fldCharType="separate"/>
          </w:r>
          <w:r>
            <w:t>1</w:t>
          </w:r>
          <w:r>
            <w:fldChar w:fldCharType="end"/>
          </w:r>
          <w:r>
            <w:fldChar w:fldCharType="end"/>
          </w:r>
        </w:p>
        <w:p w14:paraId="5152F91A">
          <w:pPr>
            <w:pStyle w:val="9"/>
            <w:tabs>
              <w:tab w:val="right" w:leader="dot" w:pos="8306"/>
            </w:tabs>
            <w:spacing w:line="312" w:lineRule="auto"/>
          </w:pPr>
          <w:r>
            <w:fldChar w:fldCharType="begin"/>
          </w:r>
          <w:r>
            <w:instrText xml:space="preserve"> HYPERLINK \l "_Toc640" </w:instrText>
          </w:r>
          <w:r>
            <w:fldChar w:fldCharType="separate"/>
          </w:r>
          <w:r>
            <w:rPr>
              <w:rFonts w:hint="eastAsia" w:ascii="仿宋_GB2312" w:hAnsi="仿宋_GB2312" w:eastAsia="仿宋_GB2312" w:cs="仿宋_GB2312"/>
              <w:kern w:val="0"/>
              <w:sz w:val="28"/>
              <w:szCs w:val="28"/>
            </w:rPr>
            <w:t>一、工程概况</w:t>
          </w:r>
          <w:r>
            <w:tab/>
          </w:r>
          <w:r>
            <w:fldChar w:fldCharType="begin"/>
          </w:r>
          <w:r>
            <w:instrText xml:space="preserve"> PAGEREF _Toc640 \h </w:instrText>
          </w:r>
          <w:r>
            <w:fldChar w:fldCharType="separate"/>
          </w:r>
          <w:r>
            <w:t>1</w:t>
          </w:r>
          <w:r>
            <w:fldChar w:fldCharType="end"/>
          </w:r>
          <w:r>
            <w:fldChar w:fldCharType="end"/>
          </w:r>
        </w:p>
        <w:p w14:paraId="178E940A">
          <w:pPr>
            <w:pStyle w:val="9"/>
            <w:tabs>
              <w:tab w:val="right" w:leader="dot" w:pos="8306"/>
            </w:tabs>
            <w:spacing w:line="312" w:lineRule="auto"/>
          </w:pPr>
          <w:r>
            <w:fldChar w:fldCharType="begin"/>
          </w:r>
          <w:r>
            <w:instrText xml:space="preserve"> HYPERLINK \l "_Toc6010" </w:instrText>
          </w:r>
          <w:r>
            <w:fldChar w:fldCharType="separate"/>
          </w:r>
          <w:r>
            <w:rPr>
              <w:rFonts w:hint="eastAsia" w:ascii="仿宋_GB2312" w:hAnsi="仿宋_GB2312" w:eastAsia="仿宋_GB2312" w:cs="仿宋_GB2312"/>
              <w:kern w:val="0"/>
              <w:sz w:val="28"/>
              <w:szCs w:val="28"/>
            </w:rPr>
            <w:t>二、货物清单</w:t>
          </w:r>
          <w:r>
            <w:tab/>
          </w:r>
          <w:r>
            <w:fldChar w:fldCharType="begin"/>
          </w:r>
          <w:r>
            <w:instrText xml:space="preserve"> PAGEREF _Toc6010 \h </w:instrText>
          </w:r>
          <w:r>
            <w:fldChar w:fldCharType="separate"/>
          </w:r>
          <w:r>
            <w:t>1</w:t>
          </w:r>
          <w:r>
            <w:fldChar w:fldCharType="end"/>
          </w:r>
          <w:r>
            <w:fldChar w:fldCharType="end"/>
          </w:r>
        </w:p>
        <w:p w14:paraId="3957B7C1">
          <w:pPr>
            <w:pStyle w:val="9"/>
            <w:tabs>
              <w:tab w:val="right" w:leader="dot" w:pos="8306"/>
            </w:tabs>
            <w:spacing w:line="312" w:lineRule="auto"/>
          </w:pPr>
          <w:r>
            <w:fldChar w:fldCharType="begin"/>
          </w:r>
          <w:r>
            <w:instrText xml:space="preserve"> HYPERLINK \l "_Toc23444" </w:instrText>
          </w:r>
          <w:r>
            <w:fldChar w:fldCharType="separate"/>
          </w:r>
          <w:r>
            <w:rPr>
              <w:rFonts w:hint="eastAsia" w:ascii="仿宋_GB2312" w:hAnsi="仿宋_GB2312" w:eastAsia="仿宋_GB2312" w:cs="仿宋_GB2312"/>
              <w:kern w:val="0"/>
              <w:sz w:val="28"/>
              <w:szCs w:val="28"/>
            </w:rPr>
            <w:t>三、货物供应</w:t>
          </w:r>
          <w:r>
            <w:tab/>
          </w:r>
          <w:r>
            <w:fldChar w:fldCharType="begin"/>
          </w:r>
          <w:r>
            <w:instrText xml:space="preserve"> PAGEREF _Toc23444 \h </w:instrText>
          </w:r>
          <w:r>
            <w:fldChar w:fldCharType="separate"/>
          </w:r>
          <w:r>
            <w:t>2</w:t>
          </w:r>
          <w:r>
            <w:fldChar w:fldCharType="end"/>
          </w:r>
          <w:r>
            <w:fldChar w:fldCharType="end"/>
          </w:r>
        </w:p>
        <w:p w14:paraId="10972561">
          <w:pPr>
            <w:pStyle w:val="9"/>
            <w:tabs>
              <w:tab w:val="right" w:leader="dot" w:pos="8306"/>
            </w:tabs>
            <w:spacing w:line="312" w:lineRule="auto"/>
          </w:pPr>
          <w:r>
            <w:fldChar w:fldCharType="begin"/>
          </w:r>
          <w:r>
            <w:instrText xml:space="preserve"> HYPERLINK \l "_Toc12447" </w:instrText>
          </w:r>
          <w:r>
            <w:fldChar w:fldCharType="separate"/>
          </w:r>
          <w:r>
            <w:rPr>
              <w:rFonts w:hint="eastAsia" w:ascii="仿宋_GB2312" w:hAnsi="仿宋_GB2312" w:eastAsia="仿宋_GB2312" w:cs="仿宋_GB2312"/>
              <w:kern w:val="0"/>
              <w:sz w:val="28"/>
              <w:szCs w:val="28"/>
            </w:rPr>
            <w:t>四、货物质量</w:t>
          </w:r>
          <w:r>
            <w:tab/>
          </w:r>
          <w:r>
            <w:fldChar w:fldCharType="begin"/>
          </w:r>
          <w:r>
            <w:instrText xml:space="preserve"> PAGEREF _Toc12447 \h </w:instrText>
          </w:r>
          <w:r>
            <w:fldChar w:fldCharType="separate"/>
          </w:r>
          <w:r>
            <w:t>4</w:t>
          </w:r>
          <w:r>
            <w:fldChar w:fldCharType="end"/>
          </w:r>
          <w:r>
            <w:fldChar w:fldCharType="end"/>
          </w:r>
        </w:p>
        <w:p w14:paraId="6082550F">
          <w:pPr>
            <w:pStyle w:val="9"/>
            <w:tabs>
              <w:tab w:val="right" w:leader="dot" w:pos="8306"/>
            </w:tabs>
            <w:spacing w:line="312" w:lineRule="auto"/>
          </w:pPr>
          <w:r>
            <w:fldChar w:fldCharType="begin"/>
          </w:r>
          <w:r>
            <w:instrText xml:space="preserve"> HYPERLINK \l "_Toc3621" </w:instrText>
          </w:r>
          <w:r>
            <w:fldChar w:fldCharType="separate"/>
          </w:r>
          <w:r>
            <w:rPr>
              <w:rFonts w:hint="eastAsia" w:ascii="仿宋_GB2312" w:hAnsi="仿宋_GB2312" w:eastAsia="仿宋_GB2312" w:cs="仿宋_GB2312"/>
              <w:kern w:val="0"/>
              <w:sz w:val="28"/>
              <w:szCs w:val="28"/>
            </w:rPr>
            <w:t>五、货物验收</w:t>
          </w:r>
          <w:r>
            <w:tab/>
          </w:r>
          <w:r>
            <w:fldChar w:fldCharType="begin"/>
          </w:r>
          <w:r>
            <w:instrText xml:space="preserve"> PAGEREF _Toc3621 \h </w:instrText>
          </w:r>
          <w:r>
            <w:fldChar w:fldCharType="separate"/>
          </w:r>
          <w:r>
            <w:t>5</w:t>
          </w:r>
          <w:r>
            <w:fldChar w:fldCharType="end"/>
          </w:r>
          <w:r>
            <w:fldChar w:fldCharType="end"/>
          </w:r>
        </w:p>
        <w:p w14:paraId="60FDD835">
          <w:pPr>
            <w:pStyle w:val="9"/>
            <w:tabs>
              <w:tab w:val="right" w:leader="dot" w:pos="8306"/>
            </w:tabs>
            <w:spacing w:line="312" w:lineRule="auto"/>
          </w:pPr>
          <w:r>
            <w:fldChar w:fldCharType="begin"/>
          </w:r>
          <w:r>
            <w:instrText xml:space="preserve"> HYPERLINK \l "_Toc23953" </w:instrText>
          </w:r>
          <w:r>
            <w:fldChar w:fldCharType="separate"/>
          </w:r>
          <w:r>
            <w:rPr>
              <w:rFonts w:hint="eastAsia" w:ascii="仿宋_GB2312" w:hAnsi="仿宋_GB2312" w:eastAsia="仿宋_GB2312" w:cs="仿宋_GB2312"/>
              <w:kern w:val="0"/>
              <w:sz w:val="28"/>
              <w:szCs w:val="28"/>
            </w:rPr>
            <w:t>六、货物结算</w:t>
          </w:r>
          <w:r>
            <w:tab/>
          </w:r>
          <w:r>
            <w:fldChar w:fldCharType="begin"/>
          </w:r>
          <w:r>
            <w:instrText xml:space="preserve"> PAGEREF _Toc23953 \h </w:instrText>
          </w:r>
          <w:r>
            <w:fldChar w:fldCharType="separate"/>
          </w:r>
          <w:r>
            <w:t>6</w:t>
          </w:r>
          <w:r>
            <w:fldChar w:fldCharType="end"/>
          </w:r>
          <w:r>
            <w:fldChar w:fldCharType="end"/>
          </w:r>
        </w:p>
        <w:p w14:paraId="0DE2CB7D">
          <w:pPr>
            <w:pStyle w:val="9"/>
            <w:tabs>
              <w:tab w:val="right" w:leader="dot" w:pos="8306"/>
            </w:tabs>
            <w:spacing w:line="312" w:lineRule="auto"/>
          </w:pPr>
          <w:r>
            <w:fldChar w:fldCharType="begin"/>
          </w:r>
          <w:r>
            <w:instrText xml:space="preserve"> HYPERLINK \l "_Toc32138" </w:instrText>
          </w:r>
          <w:r>
            <w:fldChar w:fldCharType="separate"/>
          </w:r>
          <w:r>
            <w:rPr>
              <w:rFonts w:hint="eastAsia" w:ascii="仿宋_GB2312" w:hAnsi="仿宋_GB2312" w:eastAsia="仿宋_GB2312" w:cs="仿宋_GB2312"/>
              <w:kern w:val="0"/>
              <w:sz w:val="28"/>
              <w:szCs w:val="28"/>
            </w:rPr>
            <w:t>七、货物付款</w:t>
          </w:r>
          <w:r>
            <w:tab/>
          </w:r>
          <w:r>
            <w:fldChar w:fldCharType="begin"/>
          </w:r>
          <w:r>
            <w:instrText xml:space="preserve"> PAGEREF _Toc32138 \h </w:instrText>
          </w:r>
          <w:r>
            <w:fldChar w:fldCharType="separate"/>
          </w:r>
          <w:r>
            <w:t>8</w:t>
          </w:r>
          <w:r>
            <w:fldChar w:fldCharType="end"/>
          </w:r>
          <w:r>
            <w:fldChar w:fldCharType="end"/>
          </w:r>
        </w:p>
        <w:p w14:paraId="3FDFD4AF">
          <w:pPr>
            <w:pStyle w:val="9"/>
            <w:tabs>
              <w:tab w:val="right" w:leader="dot" w:pos="8306"/>
            </w:tabs>
            <w:spacing w:line="312" w:lineRule="auto"/>
          </w:pPr>
          <w:r>
            <w:fldChar w:fldCharType="begin"/>
          </w:r>
          <w:r>
            <w:instrText xml:space="preserve"> HYPERLINK \l "_Toc24664" </w:instrText>
          </w:r>
          <w:r>
            <w:fldChar w:fldCharType="separate"/>
          </w:r>
          <w:r>
            <w:rPr>
              <w:rFonts w:hint="eastAsia" w:ascii="仿宋_GB2312" w:hAnsi="仿宋_GB2312" w:eastAsia="仿宋_GB2312" w:cs="仿宋_GB2312"/>
              <w:kern w:val="0"/>
              <w:sz w:val="28"/>
              <w:szCs w:val="28"/>
            </w:rPr>
            <w:t>八、通知与送达</w:t>
          </w:r>
          <w:r>
            <w:tab/>
          </w:r>
          <w:r>
            <w:fldChar w:fldCharType="begin"/>
          </w:r>
          <w:r>
            <w:instrText xml:space="preserve"> PAGEREF _Toc24664 \h </w:instrText>
          </w:r>
          <w:r>
            <w:fldChar w:fldCharType="separate"/>
          </w:r>
          <w:r>
            <w:t>10</w:t>
          </w:r>
          <w:r>
            <w:fldChar w:fldCharType="end"/>
          </w:r>
          <w:r>
            <w:fldChar w:fldCharType="end"/>
          </w:r>
        </w:p>
        <w:p w14:paraId="4F39A0DA">
          <w:pPr>
            <w:pStyle w:val="9"/>
            <w:tabs>
              <w:tab w:val="right" w:leader="dot" w:pos="8306"/>
            </w:tabs>
            <w:spacing w:line="312" w:lineRule="auto"/>
          </w:pPr>
          <w:r>
            <w:fldChar w:fldCharType="begin"/>
          </w:r>
          <w:r>
            <w:instrText xml:space="preserve"> HYPERLINK \l "_Toc26478" </w:instrText>
          </w:r>
          <w:r>
            <w:fldChar w:fldCharType="separate"/>
          </w:r>
          <w:r>
            <w:rPr>
              <w:rFonts w:hint="eastAsia" w:ascii="仿宋_GB2312" w:hAnsi="仿宋_GB2312" w:eastAsia="仿宋_GB2312" w:cs="仿宋_GB2312"/>
              <w:kern w:val="0"/>
              <w:sz w:val="28"/>
              <w:szCs w:val="28"/>
            </w:rPr>
            <w:t>九、合同生效</w:t>
          </w:r>
          <w:r>
            <w:tab/>
          </w:r>
          <w:r>
            <w:fldChar w:fldCharType="begin"/>
          </w:r>
          <w:r>
            <w:instrText xml:space="preserve"> PAGEREF _Toc26478 \h </w:instrText>
          </w:r>
          <w:r>
            <w:fldChar w:fldCharType="separate"/>
          </w:r>
          <w:r>
            <w:t>11</w:t>
          </w:r>
          <w:r>
            <w:fldChar w:fldCharType="end"/>
          </w:r>
          <w:r>
            <w:fldChar w:fldCharType="end"/>
          </w:r>
        </w:p>
        <w:p w14:paraId="7E07CBF3">
          <w:pPr>
            <w:pStyle w:val="9"/>
            <w:tabs>
              <w:tab w:val="right" w:leader="dot" w:pos="8306"/>
            </w:tabs>
            <w:spacing w:line="312" w:lineRule="auto"/>
          </w:pPr>
          <w:r>
            <w:fldChar w:fldCharType="begin"/>
          </w:r>
          <w:r>
            <w:instrText xml:space="preserve"> HYPERLINK \l "_Toc7321" </w:instrText>
          </w:r>
          <w:r>
            <w:fldChar w:fldCharType="separate"/>
          </w:r>
          <w:r>
            <w:rPr>
              <w:rFonts w:hint="eastAsia" w:ascii="仿宋_GB2312" w:hAnsi="仿宋_GB2312" w:eastAsia="仿宋_GB2312" w:cs="仿宋_GB2312"/>
              <w:kern w:val="0"/>
              <w:sz w:val="28"/>
              <w:szCs w:val="28"/>
            </w:rPr>
            <w:t>附件一 授权委托书</w:t>
          </w:r>
          <w:r>
            <w:tab/>
          </w:r>
          <w:r>
            <w:fldChar w:fldCharType="begin"/>
          </w:r>
          <w:r>
            <w:instrText xml:space="preserve"> PAGEREF _Toc7321 \h </w:instrText>
          </w:r>
          <w:r>
            <w:fldChar w:fldCharType="separate"/>
          </w:r>
          <w:r>
            <w:t>13</w:t>
          </w:r>
          <w:r>
            <w:fldChar w:fldCharType="end"/>
          </w:r>
          <w:r>
            <w:fldChar w:fldCharType="end"/>
          </w:r>
        </w:p>
        <w:p w14:paraId="7E1534A7">
          <w:pPr>
            <w:pStyle w:val="9"/>
            <w:tabs>
              <w:tab w:val="right" w:leader="dot" w:pos="8306"/>
            </w:tabs>
            <w:spacing w:line="312" w:lineRule="auto"/>
          </w:pPr>
          <w:r>
            <w:fldChar w:fldCharType="begin"/>
          </w:r>
          <w:r>
            <w:instrText xml:space="preserve"> HYPERLINK \l "_Toc21254" </w:instrText>
          </w:r>
          <w:r>
            <w:fldChar w:fldCharType="separate"/>
          </w:r>
          <w:r>
            <w:rPr>
              <w:rFonts w:hint="eastAsia" w:ascii="仿宋_GB2312" w:hAnsi="仿宋_GB2312" w:eastAsia="仿宋_GB2312" w:cs="仿宋_GB2312"/>
              <w:kern w:val="0"/>
              <w:sz w:val="28"/>
              <w:szCs w:val="28"/>
            </w:rPr>
            <w:t>附件二 项目部合规权限告知书</w:t>
          </w:r>
          <w:r>
            <w:tab/>
          </w:r>
          <w:r>
            <w:fldChar w:fldCharType="begin"/>
          </w:r>
          <w:r>
            <w:instrText xml:space="preserve"> PAGEREF _Toc21254 \h </w:instrText>
          </w:r>
          <w:r>
            <w:fldChar w:fldCharType="separate"/>
          </w:r>
          <w:r>
            <w:t>14</w:t>
          </w:r>
          <w:r>
            <w:fldChar w:fldCharType="end"/>
          </w:r>
          <w:r>
            <w:fldChar w:fldCharType="end"/>
          </w:r>
        </w:p>
        <w:p w14:paraId="6F682002">
          <w:pPr>
            <w:pStyle w:val="9"/>
            <w:tabs>
              <w:tab w:val="right" w:leader="dot" w:pos="8306"/>
            </w:tabs>
            <w:spacing w:line="312" w:lineRule="auto"/>
          </w:pPr>
          <w:r>
            <w:fldChar w:fldCharType="begin"/>
          </w:r>
          <w:r>
            <w:instrText xml:space="preserve"> HYPERLINK \l "_Toc20069" </w:instrText>
          </w:r>
          <w:r>
            <w:fldChar w:fldCharType="separate"/>
          </w:r>
          <w:r>
            <w:rPr>
              <w:rFonts w:hint="eastAsia" w:ascii="仿宋_GB2312" w:hAnsi="仿宋_GB2312" w:eastAsia="仿宋_GB2312" w:cs="仿宋_GB2312"/>
              <w:kern w:val="0"/>
              <w:sz w:val="28"/>
              <w:szCs w:val="28"/>
            </w:rPr>
            <w:t>附件三 安全管理协议书</w:t>
          </w:r>
          <w:r>
            <w:tab/>
          </w:r>
          <w:r>
            <w:fldChar w:fldCharType="begin"/>
          </w:r>
          <w:r>
            <w:instrText xml:space="preserve"> PAGEREF _Toc20069 \h </w:instrText>
          </w:r>
          <w:r>
            <w:fldChar w:fldCharType="separate"/>
          </w:r>
          <w:r>
            <w:t>19</w:t>
          </w:r>
          <w:r>
            <w:fldChar w:fldCharType="end"/>
          </w:r>
          <w:r>
            <w:fldChar w:fldCharType="end"/>
          </w:r>
        </w:p>
        <w:p w14:paraId="4452A6AD">
          <w:pPr>
            <w:pStyle w:val="9"/>
            <w:tabs>
              <w:tab w:val="right" w:leader="dot" w:pos="8306"/>
            </w:tabs>
            <w:spacing w:line="312" w:lineRule="auto"/>
          </w:pPr>
          <w:r>
            <w:fldChar w:fldCharType="begin"/>
          </w:r>
          <w:r>
            <w:instrText xml:space="preserve"> HYPERLINK \l "_Toc24322" </w:instrText>
          </w:r>
          <w:r>
            <w:fldChar w:fldCharType="separate"/>
          </w:r>
          <w:r>
            <w:rPr>
              <w:rFonts w:hint="eastAsia" w:ascii="仿宋_GB2312" w:hAnsi="仿宋_GB2312" w:eastAsia="仿宋_GB2312" w:cs="仿宋_GB2312"/>
              <w:kern w:val="0"/>
              <w:sz w:val="28"/>
              <w:szCs w:val="28"/>
            </w:rPr>
            <w:t xml:space="preserve">附件四 </w:t>
          </w:r>
          <w:r>
            <w:rPr>
              <w:rFonts w:hint="eastAsia" w:ascii="仿宋_GB2312" w:hAnsi="仿宋_GB2312" w:eastAsia="仿宋_GB2312" w:cs="仿宋_GB2312"/>
              <w:sz w:val="28"/>
              <w:szCs w:val="28"/>
            </w:rPr>
            <w:t>廉洁从业共建协议</w:t>
          </w:r>
          <w:r>
            <w:tab/>
          </w:r>
          <w:r>
            <w:fldChar w:fldCharType="begin"/>
          </w:r>
          <w:r>
            <w:instrText xml:space="preserve"> PAGEREF _Toc24322 \h </w:instrText>
          </w:r>
          <w:r>
            <w:fldChar w:fldCharType="separate"/>
          </w:r>
          <w:r>
            <w:t>23</w:t>
          </w:r>
          <w:r>
            <w:fldChar w:fldCharType="end"/>
          </w:r>
          <w:r>
            <w:fldChar w:fldCharType="end"/>
          </w:r>
        </w:p>
        <w:p w14:paraId="6B199EA4">
          <w:pPr>
            <w:pStyle w:val="9"/>
            <w:tabs>
              <w:tab w:val="right" w:leader="dot" w:pos="8306"/>
            </w:tabs>
            <w:spacing w:line="312" w:lineRule="auto"/>
          </w:pPr>
          <w:r>
            <w:fldChar w:fldCharType="begin"/>
          </w:r>
          <w:r>
            <w:instrText xml:space="preserve"> HYPERLINK \l "_Toc18674" </w:instrText>
          </w:r>
          <w:r>
            <w:fldChar w:fldCharType="separate"/>
          </w:r>
          <w:r>
            <w:rPr>
              <w:rFonts w:hint="eastAsia" w:ascii="黑体" w:hAnsi="黑体" w:eastAsia="黑体" w:cs="黑体"/>
              <w:bCs/>
              <w:sz w:val="30"/>
              <w:szCs w:val="30"/>
            </w:rPr>
            <w:t>第二部分 通用条款</w:t>
          </w:r>
          <w:r>
            <w:tab/>
          </w:r>
          <w:r>
            <w:fldChar w:fldCharType="begin"/>
          </w:r>
          <w:r>
            <w:instrText xml:space="preserve"> PAGEREF _Toc18674 \h </w:instrText>
          </w:r>
          <w:r>
            <w:fldChar w:fldCharType="separate"/>
          </w:r>
          <w:r>
            <w:t>26</w:t>
          </w:r>
          <w:r>
            <w:fldChar w:fldCharType="end"/>
          </w:r>
          <w:r>
            <w:fldChar w:fldCharType="end"/>
          </w:r>
        </w:p>
        <w:p w14:paraId="447B8A47">
          <w:pPr>
            <w:pStyle w:val="9"/>
            <w:tabs>
              <w:tab w:val="right" w:leader="dot" w:pos="8306"/>
            </w:tabs>
            <w:spacing w:line="312" w:lineRule="auto"/>
          </w:pPr>
          <w:r>
            <w:fldChar w:fldCharType="begin"/>
          </w:r>
          <w:r>
            <w:instrText xml:space="preserve"> HYPERLINK \l "_Toc3066" </w:instrText>
          </w:r>
          <w:r>
            <w:fldChar w:fldCharType="separate"/>
          </w:r>
          <w:r>
            <w:rPr>
              <w:rFonts w:hint="eastAsia" w:ascii="仿宋_GB2312" w:hAnsi="仿宋_GB2312" w:eastAsia="仿宋_GB2312" w:cs="仿宋_GB2312"/>
              <w:kern w:val="0"/>
              <w:sz w:val="28"/>
              <w:szCs w:val="28"/>
            </w:rPr>
            <w:t>一、货物合同附随义务</w:t>
          </w:r>
          <w:r>
            <w:tab/>
          </w:r>
          <w:r>
            <w:fldChar w:fldCharType="begin"/>
          </w:r>
          <w:r>
            <w:instrText xml:space="preserve"> PAGEREF _Toc3066 \h </w:instrText>
          </w:r>
          <w:r>
            <w:fldChar w:fldCharType="separate"/>
          </w:r>
          <w:r>
            <w:t>26</w:t>
          </w:r>
          <w:r>
            <w:fldChar w:fldCharType="end"/>
          </w:r>
          <w:r>
            <w:fldChar w:fldCharType="end"/>
          </w:r>
        </w:p>
        <w:p w14:paraId="3D35C082">
          <w:pPr>
            <w:pStyle w:val="9"/>
            <w:tabs>
              <w:tab w:val="right" w:leader="dot" w:pos="8306"/>
            </w:tabs>
            <w:spacing w:line="312" w:lineRule="auto"/>
          </w:pPr>
          <w:r>
            <w:fldChar w:fldCharType="begin"/>
          </w:r>
          <w:r>
            <w:instrText xml:space="preserve"> HYPERLINK \l "_Toc965" </w:instrText>
          </w:r>
          <w:r>
            <w:fldChar w:fldCharType="separate"/>
          </w:r>
          <w:r>
            <w:rPr>
              <w:rFonts w:hint="eastAsia" w:ascii="仿宋_GB2312" w:hAnsi="仿宋_GB2312" w:eastAsia="仿宋_GB2312" w:cs="仿宋_GB2312"/>
              <w:kern w:val="0"/>
              <w:sz w:val="28"/>
              <w:szCs w:val="28"/>
            </w:rPr>
            <w:t>二、货物违约责任</w:t>
          </w:r>
          <w:r>
            <w:tab/>
          </w:r>
          <w:r>
            <w:fldChar w:fldCharType="begin"/>
          </w:r>
          <w:r>
            <w:instrText xml:space="preserve"> PAGEREF _Toc965 \h </w:instrText>
          </w:r>
          <w:r>
            <w:fldChar w:fldCharType="separate"/>
          </w:r>
          <w:r>
            <w:t>27</w:t>
          </w:r>
          <w:r>
            <w:fldChar w:fldCharType="end"/>
          </w:r>
          <w:r>
            <w:fldChar w:fldCharType="end"/>
          </w:r>
        </w:p>
        <w:p w14:paraId="57A1CA95">
          <w:pPr>
            <w:pStyle w:val="9"/>
            <w:tabs>
              <w:tab w:val="right" w:leader="dot" w:pos="8306"/>
            </w:tabs>
            <w:spacing w:line="312" w:lineRule="auto"/>
          </w:pPr>
          <w:r>
            <w:fldChar w:fldCharType="begin"/>
          </w:r>
          <w:r>
            <w:instrText xml:space="preserve"> HYPERLINK \l "_Toc20335" </w:instrText>
          </w:r>
          <w:r>
            <w:fldChar w:fldCharType="separate"/>
          </w:r>
          <w:r>
            <w:rPr>
              <w:rFonts w:hint="eastAsia" w:ascii="仿宋_GB2312" w:hAnsi="仿宋_GB2312" w:eastAsia="仿宋_GB2312" w:cs="仿宋_GB2312"/>
              <w:kern w:val="0"/>
              <w:sz w:val="28"/>
              <w:szCs w:val="28"/>
            </w:rPr>
            <w:t>三、货物缺陷索赔</w:t>
          </w:r>
          <w:r>
            <w:tab/>
          </w:r>
          <w:r>
            <w:fldChar w:fldCharType="begin"/>
          </w:r>
          <w:r>
            <w:instrText xml:space="preserve"> PAGEREF _Toc20335 \h </w:instrText>
          </w:r>
          <w:r>
            <w:fldChar w:fldCharType="separate"/>
          </w:r>
          <w:r>
            <w:t>29</w:t>
          </w:r>
          <w:r>
            <w:fldChar w:fldCharType="end"/>
          </w:r>
          <w:r>
            <w:fldChar w:fldCharType="end"/>
          </w:r>
        </w:p>
        <w:p w14:paraId="3ED7FBEE">
          <w:pPr>
            <w:pStyle w:val="9"/>
            <w:tabs>
              <w:tab w:val="right" w:leader="dot" w:pos="8306"/>
            </w:tabs>
            <w:spacing w:line="312" w:lineRule="auto"/>
          </w:pPr>
          <w:r>
            <w:fldChar w:fldCharType="begin"/>
          </w:r>
          <w:r>
            <w:instrText xml:space="preserve"> HYPERLINK \l "_Toc12864" </w:instrText>
          </w:r>
          <w:r>
            <w:fldChar w:fldCharType="separate"/>
          </w:r>
          <w:r>
            <w:rPr>
              <w:rFonts w:hint="eastAsia" w:ascii="仿宋_GB2312" w:hAnsi="仿宋_GB2312" w:eastAsia="仿宋_GB2312" w:cs="仿宋_GB2312"/>
              <w:kern w:val="0"/>
              <w:sz w:val="28"/>
              <w:szCs w:val="28"/>
            </w:rPr>
            <w:t>四、合同变更</w:t>
          </w:r>
          <w:r>
            <w:tab/>
          </w:r>
          <w:r>
            <w:fldChar w:fldCharType="begin"/>
          </w:r>
          <w:r>
            <w:instrText xml:space="preserve"> PAGEREF _Toc12864 \h </w:instrText>
          </w:r>
          <w:r>
            <w:fldChar w:fldCharType="separate"/>
          </w:r>
          <w:r>
            <w:t>30</w:t>
          </w:r>
          <w:r>
            <w:fldChar w:fldCharType="end"/>
          </w:r>
          <w:r>
            <w:fldChar w:fldCharType="end"/>
          </w:r>
        </w:p>
        <w:p w14:paraId="77F48B98">
          <w:pPr>
            <w:pStyle w:val="9"/>
            <w:tabs>
              <w:tab w:val="right" w:leader="dot" w:pos="8306"/>
            </w:tabs>
            <w:spacing w:line="312" w:lineRule="auto"/>
          </w:pPr>
          <w:r>
            <w:fldChar w:fldCharType="begin"/>
          </w:r>
          <w:r>
            <w:instrText xml:space="preserve"> HYPERLINK \l "_Toc23441" </w:instrText>
          </w:r>
          <w:r>
            <w:fldChar w:fldCharType="separate"/>
          </w:r>
          <w:r>
            <w:rPr>
              <w:rFonts w:hint="eastAsia" w:ascii="仿宋_GB2312" w:hAnsi="仿宋_GB2312" w:eastAsia="仿宋_GB2312" w:cs="仿宋_GB2312"/>
              <w:kern w:val="0"/>
              <w:sz w:val="28"/>
              <w:szCs w:val="28"/>
            </w:rPr>
            <w:t>五、合同解除</w:t>
          </w:r>
          <w:r>
            <w:tab/>
          </w:r>
          <w:r>
            <w:fldChar w:fldCharType="begin"/>
          </w:r>
          <w:r>
            <w:instrText xml:space="preserve"> PAGEREF _Toc23441 \h </w:instrText>
          </w:r>
          <w:r>
            <w:fldChar w:fldCharType="separate"/>
          </w:r>
          <w:r>
            <w:t>30</w:t>
          </w:r>
          <w:r>
            <w:fldChar w:fldCharType="end"/>
          </w:r>
          <w:r>
            <w:fldChar w:fldCharType="end"/>
          </w:r>
        </w:p>
        <w:p w14:paraId="75AE37A0">
          <w:pPr>
            <w:pStyle w:val="9"/>
            <w:tabs>
              <w:tab w:val="right" w:leader="dot" w:pos="8306"/>
            </w:tabs>
            <w:spacing w:line="312" w:lineRule="auto"/>
          </w:pPr>
          <w:r>
            <w:fldChar w:fldCharType="begin"/>
          </w:r>
          <w:r>
            <w:instrText xml:space="preserve"> HYPERLINK \l "_Toc16580" </w:instrText>
          </w:r>
          <w:r>
            <w:fldChar w:fldCharType="separate"/>
          </w:r>
          <w:r>
            <w:rPr>
              <w:rFonts w:hint="eastAsia" w:ascii="仿宋_GB2312" w:hAnsi="仿宋_GB2312" w:eastAsia="仿宋_GB2312" w:cs="仿宋_GB2312"/>
              <w:kern w:val="0"/>
              <w:sz w:val="28"/>
              <w:szCs w:val="28"/>
            </w:rPr>
            <w:t>六、不可抗力</w:t>
          </w:r>
          <w:r>
            <w:tab/>
          </w:r>
          <w:r>
            <w:fldChar w:fldCharType="begin"/>
          </w:r>
          <w:r>
            <w:instrText xml:space="preserve"> PAGEREF _Toc16580 \h </w:instrText>
          </w:r>
          <w:r>
            <w:fldChar w:fldCharType="separate"/>
          </w:r>
          <w:r>
            <w:t>31</w:t>
          </w:r>
          <w:r>
            <w:fldChar w:fldCharType="end"/>
          </w:r>
          <w:r>
            <w:fldChar w:fldCharType="end"/>
          </w:r>
        </w:p>
        <w:p w14:paraId="3AA50379">
          <w:pPr>
            <w:pStyle w:val="9"/>
            <w:tabs>
              <w:tab w:val="right" w:leader="dot" w:pos="8306"/>
            </w:tabs>
            <w:spacing w:line="312" w:lineRule="auto"/>
          </w:pPr>
          <w:r>
            <w:fldChar w:fldCharType="begin"/>
          </w:r>
          <w:r>
            <w:instrText xml:space="preserve"> HYPERLINK \l "_Toc10852" </w:instrText>
          </w:r>
          <w:r>
            <w:fldChar w:fldCharType="separate"/>
          </w:r>
          <w:r>
            <w:rPr>
              <w:rFonts w:hint="eastAsia" w:ascii="仿宋_GB2312" w:hAnsi="仿宋_GB2312" w:eastAsia="仿宋_GB2312" w:cs="仿宋_GB2312"/>
              <w:kern w:val="0"/>
              <w:sz w:val="28"/>
              <w:szCs w:val="28"/>
            </w:rPr>
            <w:t>七、争议解决</w:t>
          </w:r>
          <w:r>
            <w:tab/>
          </w:r>
          <w:r>
            <w:fldChar w:fldCharType="begin"/>
          </w:r>
          <w:r>
            <w:instrText xml:space="preserve"> PAGEREF _Toc10852 \h </w:instrText>
          </w:r>
          <w:r>
            <w:fldChar w:fldCharType="separate"/>
          </w:r>
          <w:r>
            <w:t>32</w:t>
          </w:r>
          <w:r>
            <w:fldChar w:fldCharType="end"/>
          </w:r>
          <w:r>
            <w:fldChar w:fldCharType="end"/>
          </w:r>
        </w:p>
        <w:p w14:paraId="1FB850B6">
          <w:pPr>
            <w:pStyle w:val="9"/>
            <w:tabs>
              <w:tab w:val="right" w:leader="dot" w:pos="8306"/>
            </w:tabs>
            <w:spacing w:line="312" w:lineRule="auto"/>
          </w:pPr>
          <w:r>
            <w:fldChar w:fldCharType="begin"/>
          </w:r>
          <w:r>
            <w:instrText xml:space="preserve"> HYPERLINK \l "_Toc11207" </w:instrText>
          </w:r>
          <w:r>
            <w:fldChar w:fldCharType="separate"/>
          </w:r>
          <w:r>
            <w:rPr>
              <w:rFonts w:hint="eastAsia" w:ascii="仿宋_GB2312" w:hAnsi="仿宋_GB2312" w:eastAsia="仿宋_GB2312" w:cs="仿宋_GB2312"/>
              <w:kern w:val="0"/>
              <w:sz w:val="28"/>
              <w:szCs w:val="28"/>
            </w:rPr>
            <w:t>八、保密义务</w:t>
          </w:r>
          <w:r>
            <w:tab/>
          </w:r>
          <w:r>
            <w:fldChar w:fldCharType="begin"/>
          </w:r>
          <w:r>
            <w:instrText xml:space="preserve"> PAGEREF _Toc11207 \h </w:instrText>
          </w:r>
          <w:r>
            <w:fldChar w:fldCharType="separate"/>
          </w:r>
          <w:r>
            <w:t>32</w:t>
          </w:r>
          <w:r>
            <w:fldChar w:fldCharType="end"/>
          </w:r>
          <w:r>
            <w:fldChar w:fldCharType="end"/>
          </w:r>
        </w:p>
        <w:p w14:paraId="6B42D4FB">
          <w:pPr>
            <w:pStyle w:val="9"/>
            <w:tabs>
              <w:tab w:val="right" w:leader="dot" w:pos="8306"/>
            </w:tabs>
            <w:spacing w:line="312" w:lineRule="auto"/>
          </w:pPr>
          <w:r>
            <w:fldChar w:fldCharType="begin"/>
          </w:r>
          <w:r>
            <w:instrText xml:space="preserve"> HYPERLINK \l "_Toc3848" </w:instrText>
          </w:r>
          <w:r>
            <w:fldChar w:fldCharType="separate"/>
          </w:r>
          <w:r>
            <w:rPr>
              <w:rFonts w:hint="eastAsia" w:ascii="仿宋_GB2312" w:hAnsi="仿宋_GB2312" w:eastAsia="仿宋_GB2312" w:cs="仿宋_GB2312"/>
              <w:kern w:val="0"/>
              <w:sz w:val="28"/>
              <w:szCs w:val="28"/>
            </w:rPr>
            <w:t>九、其他条款</w:t>
          </w:r>
          <w:r>
            <w:tab/>
          </w:r>
          <w:r>
            <w:fldChar w:fldCharType="begin"/>
          </w:r>
          <w:r>
            <w:instrText xml:space="preserve"> PAGEREF _Toc3848 \h </w:instrText>
          </w:r>
          <w:r>
            <w:fldChar w:fldCharType="separate"/>
          </w:r>
          <w:r>
            <w:t>33</w:t>
          </w:r>
          <w:r>
            <w:fldChar w:fldCharType="end"/>
          </w:r>
          <w:r>
            <w:fldChar w:fldCharType="end"/>
          </w:r>
        </w:p>
        <w:p w14:paraId="3E5D7E69">
          <w:pPr>
            <w:spacing w:line="312" w:lineRule="auto"/>
            <w:jc w:val="center"/>
            <w:rPr>
              <w:rFonts w:ascii="仿宋" w:hAnsi="仿宋" w:eastAsia="仿宋" w:cs="仿宋"/>
              <w:color w:val="000000" w:themeColor="text1"/>
              <w14:textFill>
                <w14:solidFill>
                  <w14:schemeClr w14:val="tx1"/>
                </w14:solidFill>
              </w14:textFill>
            </w:rPr>
            <w:sectPr>
              <w:headerReference r:id="rId7" w:type="first"/>
              <w:footerReference r:id="rId9" w:type="first"/>
              <w:footerReference r:id="rId8" w:type="default"/>
              <w:pgSz w:w="11906" w:h="16838"/>
              <w:pgMar w:top="1440" w:right="1800" w:bottom="1440" w:left="1800" w:header="850" w:footer="975" w:gutter="0"/>
              <w:pgNumType w:start="1"/>
              <w:cols w:space="0" w:num="1"/>
              <w:titlePg/>
              <w:docGrid w:linePitch="312" w:charSpace="0"/>
            </w:sectPr>
          </w:pPr>
          <w:r>
            <w:rPr>
              <w:rFonts w:hint="eastAsia" w:ascii="仿宋" w:hAnsi="仿宋" w:eastAsia="仿宋" w:cs="仿宋"/>
              <w:color w:val="000000" w:themeColor="text1"/>
              <w14:textFill>
                <w14:solidFill>
                  <w14:schemeClr w14:val="tx1"/>
                </w14:solidFill>
              </w14:textFill>
            </w:rPr>
            <w:fldChar w:fldCharType="end"/>
          </w:r>
        </w:p>
      </w:sdtContent>
    </w:sdt>
    <w:permEnd w:id="4"/>
    <w:p w14:paraId="07BABB35">
      <w:pPr>
        <w:pStyle w:val="14"/>
        <w:jc w:val="center"/>
        <w:outlineLvl w:val="0"/>
        <w:rPr>
          <w:rFonts w:ascii="仿宋" w:hAnsi="仿宋" w:eastAsia="仿宋" w:cs="仿宋"/>
          <w:b/>
          <w:bCs/>
          <w:color w:val="000000" w:themeColor="text1"/>
          <w:sz w:val="32"/>
          <w:szCs w:val="32"/>
          <w14:textFill>
            <w14:solidFill>
              <w14:schemeClr w14:val="tx1"/>
            </w14:solidFill>
          </w14:textFill>
        </w:rPr>
      </w:pPr>
      <w:bookmarkStart w:id="1" w:name="_Toc22574"/>
      <w:bookmarkStart w:id="2" w:name="_Toc31405"/>
      <w:bookmarkStart w:id="3" w:name="_Toc5953"/>
      <w:r>
        <w:rPr>
          <w:rFonts w:hint="eastAsia" w:ascii="黑体" w:hAnsi="黑体" w:eastAsia="黑体" w:cs="黑体"/>
          <w:b/>
          <w:bCs/>
          <w:color w:val="000000" w:themeColor="text1"/>
          <w:sz w:val="32"/>
          <w:szCs w:val="32"/>
          <w14:textFill>
            <w14:solidFill>
              <w14:schemeClr w14:val="tx1"/>
            </w14:solidFill>
          </w14:textFill>
        </w:rPr>
        <w:t>第一部分</w:t>
      </w:r>
      <w:bookmarkEnd w:id="1"/>
      <w:r>
        <w:rPr>
          <w:rFonts w:hint="eastAsia" w:ascii="黑体" w:hAnsi="黑体" w:eastAsia="黑体" w:cs="黑体"/>
          <w:b/>
          <w:bCs/>
          <w:color w:val="000000" w:themeColor="text1"/>
          <w:sz w:val="32"/>
          <w:szCs w:val="32"/>
          <w14:textFill>
            <w14:solidFill>
              <w14:schemeClr w14:val="tx1"/>
            </w14:solidFill>
          </w14:textFill>
        </w:rPr>
        <w:t xml:space="preserve"> 专用条款</w:t>
      </w:r>
      <w:bookmarkEnd w:id="2"/>
      <w:bookmarkEnd w:id="3"/>
    </w:p>
    <w:p w14:paraId="3AD4E596">
      <w:pPr>
        <w:pStyle w:val="14"/>
        <w:spacing w:before="240" w:beforeLines="100"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甲方（买方）： </w:t>
      </w:r>
      <w:permStart w:id="5" w:edGrp="everyone"/>
      <w:r>
        <w:rPr>
          <w:rFonts w:hint="eastAsia" w:ascii="仿宋_GB2312" w:hAnsi="仿宋_GB2312" w:eastAsia="仿宋_GB2312" w:cs="仿宋_GB2312"/>
          <w:color w:val="000000" w:themeColor="text1"/>
          <w:u w:val="single"/>
          <w14:textFill>
            <w14:solidFill>
              <w14:schemeClr w14:val="tx1"/>
            </w14:solidFill>
          </w14:textFill>
        </w:rPr>
        <w:t xml:space="preserve">中建路桥集团河北基础市政工程有限公司 </w:t>
      </w:r>
      <w:permEnd w:id="5"/>
    </w:p>
    <w:p w14:paraId="7C9DF848">
      <w:pPr>
        <w:pStyle w:val="14"/>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乙方（卖方）：</w:t>
      </w:r>
      <w:permStart w:id="6" w:edGrp="everyone"/>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p>
    <w:permEnd w:id="6"/>
    <w:p w14:paraId="0A4E3B30">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根据</w:t>
      </w:r>
      <w:r>
        <w:rPr>
          <w:rFonts w:hint="eastAsia" w:ascii="仿宋_GB2312" w:hAnsi="仿宋_GB2312" w:eastAsia="仿宋_GB2312" w:cs="仿宋_GB2312"/>
          <w:color w:val="000000" w:themeColor="text1"/>
          <w14:textFill>
            <w14:solidFill>
              <w14:schemeClr w14:val="tx1"/>
            </w14:solidFill>
          </w14:textFill>
        </w:rPr>
        <w:t>《中华人民共和国民法典》及有关法律规定，遵循平等、自愿、公平和诚实信用的原则，在对本合同进行充分理解的基础上，双方经友好协商一致，订立本合同并共同遵守。</w:t>
      </w:r>
    </w:p>
    <w:p w14:paraId="08E5E911">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4" w:name="_Toc29946"/>
      <w:bookmarkStart w:id="5" w:name="_Toc640"/>
      <w:bookmarkStart w:id="6" w:name="_Toc17203"/>
      <w:r>
        <w:rPr>
          <w:rFonts w:hint="eastAsia" w:ascii="仿宋_GB2312" w:hAnsi="仿宋_GB2312" w:eastAsia="仿宋_GB2312" w:cs="仿宋_GB2312"/>
          <w:b/>
          <w:bCs/>
          <w:color w:val="000000" w:themeColor="text1"/>
          <w14:textFill>
            <w14:solidFill>
              <w14:schemeClr w14:val="tx1"/>
            </w14:solidFill>
          </w14:textFill>
        </w:rPr>
        <w:t>工程概况</w:t>
      </w:r>
      <w:bookmarkEnd w:id="4"/>
      <w:bookmarkEnd w:id="5"/>
      <w:bookmarkEnd w:id="6"/>
    </w:p>
    <w:p w14:paraId="082AF5AA">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1、工程名称：</w:t>
      </w:r>
      <w:permStart w:id="7"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安岚高速AL-C08合同段桩基加固防护工程</w:t>
      </w:r>
      <w:r>
        <w:rPr>
          <w:rFonts w:ascii="仿宋_GB2312" w:hAnsi="仿宋_GB2312" w:eastAsia="仿宋_GB2312" w:cs="仿宋_GB2312"/>
          <w:color w:val="000000" w:themeColor="text1"/>
          <w:u w:val="single"/>
          <w14:textFill>
            <w14:solidFill>
              <w14:schemeClr w14:val="tx1"/>
            </w14:solidFill>
          </w14:textFill>
        </w:rPr>
        <w:t xml:space="preserve"> </w:t>
      </w:r>
      <w:permEnd w:id="7"/>
      <w:r>
        <w:rPr>
          <w:rFonts w:hint="eastAsia" w:ascii="仿宋_GB2312" w:hAnsi="仿宋_GB2312" w:eastAsia="仿宋_GB2312" w:cs="仿宋_GB2312"/>
          <w:color w:val="000000" w:themeColor="text1"/>
          <w14:textFill>
            <w14:solidFill>
              <w14:schemeClr w14:val="tx1"/>
            </w14:solidFill>
          </w14:textFill>
        </w:rPr>
        <w:t>；</w:t>
      </w:r>
    </w:p>
    <w:p w14:paraId="5886541C">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2、工程地点：</w:t>
      </w:r>
      <w:permStart w:id="8"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陕西省安康市岚皋县</w:t>
      </w:r>
      <w:r>
        <w:rPr>
          <w:rFonts w:ascii="仿宋_GB2312" w:hAnsi="仿宋_GB2312" w:eastAsia="仿宋_GB2312" w:cs="仿宋_GB2312"/>
          <w:color w:val="000000" w:themeColor="text1"/>
          <w:u w:val="single"/>
          <w14:textFill>
            <w14:solidFill>
              <w14:schemeClr w14:val="tx1"/>
            </w14:solidFill>
          </w14:textFill>
        </w:rPr>
        <w:t xml:space="preserve"> </w:t>
      </w:r>
      <w:permEnd w:id="8"/>
      <w:r>
        <w:rPr>
          <w:rFonts w:hint="eastAsia" w:ascii="仿宋_GB2312" w:hAnsi="仿宋_GB2312" w:eastAsia="仿宋_GB2312" w:cs="仿宋_GB2312"/>
          <w:color w:val="000000" w:themeColor="text1"/>
          <w14:textFill>
            <w14:solidFill>
              <w14:schemeClr w14:val="tx1"/>
            </w14:solidFill>
          </w14:textFill>
        </w:rPr>
        <w:t>；</w:t>
      </w:r>
    </w:p>
    <w:p w14:paraId="00B97335">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color w:val="000000" w:themeColor="text1"/>
          <w:highlight w:val="yellow"/>
          <w:u w:val="single"/>
          <w14:textFill>
            <w14:solidFill>
              <w14:schemeClr w14:val="tx1"/>
            </w14:solidFill>
          </w14:textFill>
        </w:rPr>
      </w:pPr>
      <w:bookmarkStart w:id="7" w:name="_Toc2931"/>
      <w:bookmarkStart w:id="8" w:name="_Toc23103"/>
      <w:bookmarkStart w:id="9" w:name="_Toc6010"/>
      <w:r>
        <w:rPr>
          <w:rFonts w:hint="eastAsia" w:ascii="仿宋_GB2312" w:hAnsi="仿宋_GB2312" w:eastAsia="仿宋_GB2312" w:cs="仿宋_GB2312"/>
          <w:b/>
          <w:bCs/>
          <w:color w:val="000000" w:themeColor="text1"/>
          <w:highlight w:val="yellow"/>
          <w14:textFill>
            <w14:solidFill>
              <w14:schemeClr w14:val="tx1"/>
            </w14:solidFill>
          </w14:textFill>
        </w:rPr>
        <w:t>货物清单</w:t>
      </w:r>
      <w:bookmarkEnd w:id="7"/>
      <w:bookmarkEnd w:id="8"/>
      <w:bookmarkEnd w:id="9"/>
      <w:r>
        <w:rPr>
          <w:rFonts w:hint="eastAsia" w:ascii="仿宋_GB2312" w:hAnsi="仿宋_GB2312" w:eastAsia="仿宋_GB2312" w:cs="仿宋_GB2312"/>
          <w:b/>
          <w:bCs/>
          <w:color w:val="000000" w:themeColor="text1"/>
          <w:highlight w:val="yellow"/>
          <w14:textFill>
            <w14:solidFill>
              <w14:schemeClr w14:val="tx1"/>
            </w14:solidFill>
          </w14:textFill>
        </w:rPr>
        <w:t>、价款、计价方式</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623"/>
        <w:gridCol w:w="871"/>
        <w:gridCol w:w="614"/>
        <w:gridCol w:w="1174"/>
        <w:gridCol w:w="837"/>
        <w:gridCol w:w="977"/>
        <w:gridCol w:w="549"/>
        <w:gridCol w:w="1103"/>
        <w:gridCol w:w="810"/>
        <w:gridCol w:w="530"/>
      </w:tblGrid>
      <w:tr w14:paraId="65E1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55" w:type="pct"/>
            <w:shd w:val="clear" w:color="auto" w:fill="auto"/>
            <w:vAlign w:val="center"/>
          </w:tcPr>
          <w:p w14:paraId="3CC421AB">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permStart w:id="9" w:edGrp="everyone"/>
            <w:r>
              <w:rPr>
                <w:rFonts w:hint="eastAsia" w:ascii="仿宋_GB2312" w:hAnsi="仿宋_GB2312" w:eastAsia="仿宋_GB2312" w:cs="仿宋_GB2312"/>
                <w:color w:val="000000" w:themeColor="text1"/>
                <w:kern w:val="0"/>
                <w:sz w:val="18"/>
                <w:szCs w:val="18"/>
                <w:lang w:bidi="ar"/>
                <w14:textFill>
                  <w14:solidFill>
                    <w14:schemeClr w14:val="tx1"/>
                  </w14:solidFill>
                </w14:textFill>
              </w:rPr>
              <w:t>序号</w:t>
            </w:r>
          </w:p>
        </w:tc>
        <w:tc>
          <w:tcPr>
            <w:tcW w:w="366" w:type="pct"/>
            <w:shd w:val="clear" w:color="auto" w:fill="auto"/>
            <w:vAlign w:val="center"/>
          </w:tcPr>
          <w:p w14:paraId="56265C2D">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货物名称</w:t>
            </w:r>
          </w:p>
        </w:tc>
        <w:tc>
          <w:tcPr>
            <w:tcW w:w="511" w:type="pct"/>
            <w:shd w:val="clear" w:color="auto" w:fill="auto"/>
            <w:vAlign w:val="center"/>
          </w:tcPr>
          <w:p w14:paraId="70340DB4">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货物规格参数</w:t>
            </w:r>
          </w:p>
        </w:tc>
        <w:tc>
          <w:tcPr>
            <w:tcW w:w="360" w:type="pct"/>
            <w:shd w:val="clear" w:color="auto" w:fill="auto"/>
            <w:vAlign w:val="center"/>
          </w:tcPr>
          <w:p w14:paraId="7F0DED8D">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计量</w:t>
            </w:r>
          </w:p>
          <w:p w14:paraId="1809653E">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单位</w:t>
            </w:r>
          </w:p>
        </w:tc>
        <w:tc>
          <w:tcPr>
            <w:tcW w:w="689" w:type="pct"/>
            <w:shd w:val="clear" w:color="auto" w:fill="auto"/>
            <w:vAlign w:val="center"/>
          </w:tcPr>
          <w:p w14:paraId="6F1610CE">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暂定</w:t>
            </w:r>
          </w:p>
          <w:p w14:paraId="075890C2">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数量</w:t>
            </w:r>
          </w:p>
        </w:tc>
        <w:tc>
          <w:tcPr>
            <w:tcW w:w="491" w:type="pct"/>
            <w:shd w:val="clear" w:color="auto" w:fill="auto"/>
            <w:vAlign w:val="center"/>
          </w:tcPr>
          <w:p w14:paraId="5D70C5E1">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不含税</w:t>
            </w:r>
          </w:p>
          <w:p w14:paraId="0E5C9D60">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综合单价</w:t>
            </w:r>
          </w:p>
          <w:p w14:paraId="56CAE982">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（元）</w:t>
            </w:r>
          </w:p>
        </w:tc>
        <w:tc>
          <w:tcPr>
            <w:tcW w:w="573" w:type="pct"/>
            <w:shd w:val="clear" w:color="auto" w:fill="auto"/>
            <w:vAlign w:val="center"/>
          </w:tcPr>
          <w:p w14:paraId="626D2CD7">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不含税</w:t>
            </w:r>
          </w:p>
          <w:p w14:paraId="0CC9DE78">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合价</w:t>
            </w:r>
          </w:p>
          <w:p w14:paraId="6F32C2B3">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（元）</w:t>
            </w:r>
          </w:p>
        </w:tc>
        <w:tc>
          <w:tcPr>
            <w:tcW w:w="322" w:type="pct"/>
            <w:shd w:val="clear" w:color="auto" w:fill="auto"/>
            <w:vAlign w:val="center"/>
          </w:tcPr>
          <w:p w14:paraId="71F03F70">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增值</w:t>
            </w:r>
          </w:p>
          <w:p w14:paraId="5D6517E7">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税率</w:t>
            </w:r>
          </w:p>
        </w:tc>
        <w:tc>
          <w:tcPr>
            <w:tcW w:w="647" w:type="pct"/>
            <w:shd w:val="clear" w:color="auto" w:fill="auto"/>
            <w:vAlign w:val="center"/>
          </w:tcPr>
          <w:p w14:paraId="0A7BDA7F">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含税</w:t>
            </w:r>
          </w:p>
          <w:p w14:paraId="52AF4809">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综合单价</w:t>
            </w:r>
          </w:p>
          <w:p w14:paraId="2CBAE0BE">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（元）  </w:t>
            </w:r>
          </w:p>
        </w:tc>
        <w:tc>
          <w:tcPr>
            <w:tcW w:w="475" w:type="pct"/>
            <w:shd w:val="clear" w:color="auto" w:fill="auto"/>
            <w:vAlign w:val="center"/>
          </w:tcPr>
          <w:p w14:paraId="712014FE">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含税</w:t>
            </w:r>
          </w:p>
          <w:p w14:paraId="75A0A4BD">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合价</w:t>
            </w:r>
          </w:p>
          <w:p w14:paraId="396EBD68">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（元）  </w:t>
            </w:r>
          </w:p>
        </w:tc>
        <w:tc>
          <w:tcPr>
            <w:tcW w:w="308" w:type="pct"/>
            <w:shd w:val="clear" w:color="auto" w:fill="auto"/>
            <w:vAlign w:val="center"/>
          </w:tcPr>
          <w:p w14:paraId="518CE3A3">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备注</w:t>
            </w:r>
          </w:p>
        </w:tc>
      </w:tr>
      <w:tr w14:paraId="2668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55" w:type="pct"/>
            <w:shd w:val="clear" w:color="auto" w:fill="auto"/>
            <w:vAlign w:val="center"/>
          </w:tcPr>
          <w:p w14:paraId="794524CD">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w:t>
            </w:r>
          </w:p>
        </w:tc>
        <w:tc>
          <w:tcPr>
            <w:tcW w:w="623" w:type="dxa"/>
            <w:shd w:val="clear" w:color="auto" w:fill="auto"/>
            <w:vAlign w:val="center"/>
          </w:tcPr>
          <w:p w14:paraId="01523D5E">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砾石</w:t>
            </w:r>
          </w:p>
        </w:tc>
        <w:tc>
          <w:tcPr>
            <w:tcW w:w="871" w:type="dxa"/>
            <w:shd w:val="clear" w:color="auto" w:fill="auto"/>
            <w:vAlign w:val="center"/>
          </w:tcPr>
          <w:p w14:paraId="6235E62D">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φ0-53</w:t>
            </w:r>
          </w:p>
        </w:tc>
        <w:tc>
          <w:tcPr>
            <w:tcW w:w="614" w:type="dxa"/>
            <w:shd w:val="clear" w:color="auto" w:fill="auto"/>
            <w:vAlign w:val="center"/>
          </w:tcPr>
          <w:p w14:paraId="1E1FE723">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吨</w:t>
            </w:r>
          </w:p>
        </w:tc>
        <w:tc>
          <w:tcPr>
            <w:tcW w:w="1174" w:type="dxa"/>
            <w:shd w:val="clear" w:color="auto" w:fill="auto"/>
            <w:vAlign w:val="center"/>
          </w:tcPr>
          <w:p w14:paraId="3EBCFDB0">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宋体" w:hAnsi="宋体" w:eastAsia="宋体" w:cs="宋体"/>
                <w:color w:val="000000"/>
                <w:kern w:val="0"/>
                <w:sz w:val="18"/>
                <w:szCs w:val="18"/>
                <w:lang w:bidi="ar"/>
              </w:rPr>
              <w:t>1346.24</w:t>
            </w:r>
          </w:p>
        </w:tc>
        <w:tc>
          <w:tcPr>
            <w:tcW w:w="491" w:type="pct"/>
            <w:shd w:val="clear" w:color="auto" w:fill="auto"/>
            <w:noWrap/>
            <w:vAlign w:val="center"/>
          </w:tcPr>
          <w:p w14:paraId="1CD6DBCA">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573" w:type="pct"/>
            <w:shd w:val="clear" w:color="auto" w:fill="auto"/>
            <w:noWrap/>
            <w:vAlign w:val="center"/>
          </w:tcPr>
          <w:p w14:paraId="793F92F9">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p>
        </w:tc>
        <w:tc>
          <w:tcPr>
            <w:tcW w:w="322" w:type="pct"/>
            <w:shd w:val="clear" w:color="auto" w:fill="auto"/>
            <w:noWrap/>
            <w:vAlign w:val="center"/>
          </w:tcPr>
          <w:p w14:paraId="5615932C">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p>
        </w:tc>
        <w:tc>
          <w:tcPr>
            <w:tcW w:w="647" w:type="pct"/>
            <w:shd w:val="clear" w:color="auto" w:fill="auto"/>
            <w:noWrap/>
            <w:vAlign w:val="center"/>
          </w:tcPr>
          <w:p w14:paraId="3E4BB7E6">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p>
        </w:tc>
        <w:tc>
          <w:tcPr>
            <w:tcW w:w="475" w:type="pct"/>
            <w:shd w:val="clear" w:color="auto" w:fill="auto"/>
            <w:noWrap/>
            <w:vAlign w:val="center"/>
          </w:tcPr>
          <w:p w14:paraId="7E799EDC">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p>
        </w:tc>
        <w:tc>
          <w:tcPr>
            <w:tcW w:w="308" w:type="pct"/>
            <w:shd w:val="clear" w:color="auto" w:fill="auto"/>
            <w:vAlign w:val="center"/>
          </w:tcPr>
          <w:p w14:paraId="3DB033DF">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r>
      <w:tr w14:paraId="10F2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55" w:type="pct"/>
            <w:shd w:val="clear" w:color="auto" w:fill="auto"/>
            <w:vAlign w:val="center"/>
          </w:tcPr>
          <w:p w14:paraId="7A1EB135">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2</w:t>
            </w:r>
          </w:p>
        </w:tc>
        <w:tc>
          <w:tcPr>
            <w:tcW w:w="623" w:type="dxa"/>
            <w:shd w:val="clear" w:color="auto" w:fill="auto"/>
            <w:vAlign w:val="center"/>
          </w:tcPr>
          <w:p w14:paraId="7E848532">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砾石</w:t>
            </w:r>
          </w:p>
        </w:tc>
        <w:tc>
          <w:tcPr>
            <w:tcW w:w="871" w:type="dxa"/>
            <w:shd w:val="clear" w:color="auto" w:fill="auto"/>
            <w:vAlign w:val="center"/>
          </w:tcPr>
          <w:p w14:paraId="282185CC">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φ5-200</w:t>
            </w:r>
          </w:p>
        </w:tc>
        <w:tc>
          <w:tcPr>
            <w:tcW w:w="614" w:type="dxa"/>
            <w:shd w:val="clear" w:color="auto" w:fill="auto"/>
            <w:noWrap/>
            <w:vAlign w:val="center"/>
          </w:tcPr>
          <w:p w14:paraId="4B29C64F">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宋体" w:hAnsi="宋体" w:eastAsia="宋体" w:cs="宋体"/>
                <w:color w:val="000000"/>
                <w:kern w:val="0"/>
                <w:sz w:val="18"/>
                <w:szCs w:val="18"/>
                <w:lang w:bidi="ar"/>
              </w:rPr>
              <w:t>吨</w:t>
            </w:r>
          </w:p>
        </w:tc>
        <w:tc>
          <w:tcPr>
            <w:tcW w:w="1174" w:type="dxa"/>
            <w:shd w:val="clear" w:color="auto" w:fill="auto"/>
            <w:vAlign w:val="center"/>
          </w:tcPr>
          <w:p w14:paraId="2E406C8B">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宋体" w:hAnsi="宋体" w:eastAsia="宋体" w:cs="宋体"/>
                <w:color w:val="000000"/>
                <w:kern w:val="0"/>
                <w:sz w:val="18"/>
                <w:szCs w:val="18"/>
                <w:lang w:bidi="ar"/>
              </w:rPr>
              <w:t>5693.76</w:t>
            </w:r>
          </w:p>
        </w:tc>
        <w:tc>
          <w:tcPr>
            <w:tcW w:w="491" w:type="pct"/>
            <w:shd w:val="clear" w:color="auto" w:fill="auto"/>
            <w:noWrap/>
            <w:vAlign w:val="center"/>
          </w:tcPr>
          <w:p w14:paraId="0FF6A3E2">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573" w:type="pct"/>
            <w:shd w:val="clear" w:color="auto" w:fill="auto"/>
            <w:noWrap/>
            <w:vAlign w:val="center"/>
          </w:tcPr>
          <w:p w14:paraId="6EB33A63">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322" w:type="pct"/>
            <w:shd w:val="clear" w:color="auto" w:fill="auto"/>
            <w:noWrap/>
            <w:vAlign w:val="center"/>
          </w:tcPr>
          <w:p w14:paraId="142707D7">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47" w:type="pct"/>
            <w:shd w:val="clear" w:color="auto" w:fill="auto"/>
            <w:noWrap/>
            <w:vAlign w:val="center"/>
          </w:tcPr>
          <w:p w14:paraId="7D7A3A6B">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475" w:type="pct"/>
            <w:shd w:val="clear" w:color="auto" w:fill="auto"/>
            <w:noWrap/>
            <w:vAlign w:val="center"/>
          </w:tcPr>
          <w:p w14:paraId="371B7E61">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308" w:type="pct"/>
            <w:shd w:val="clear" w:color="auto" w:fill="auto"/>
            <w:noWrap/>
            <w:vAlign w:val="center"/>
          </w:tcPr>
          <w:p w14:paraId="54E3375D">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r>
      <w:tr w14:paraId="48BA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55" w:type="pct"/>
            <w:shd w:val="clear" w:color="auto" w:fill="auto"/>
            <w:vAlign w:val="center"/>
          </w:tcPr>
          <w:p w14:paraId="78745F87">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合计</w:t>
            </w:r>
          </w:p>
        </w:tc>
        <w:tc>
          <w:tcPr>
            <w:tcW w:w="366" w:type="pct"/>
            <w:shd w:val="clear" w:color="auto" w:fill="auto"/>
            <w:vAlign w:val="center"/>
          </w:tcPr>
          <w:p w14:paraId="20C46471">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p>
        </w:tc>
        <w:tc>
          <w:tcPr>
            <w:tcW w:w="511" w:type="pct"/>
            <w:shd w:val="clear" w:color="auto" w:fill="auto"/>
            <w:vAlign w:val="center"/>
          </w:tcPr>
          <w:p w14:paraId="09DB5D7D">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p>
        </w:tc>
        <w:tc>
          <w:tcPr>
            <w:tcW w:w="360" w:type="pct"/>
            <w:shd w:val="clear" w:color="auto" w:fill="auto"/>
            <w:noWrap/>
            <w:vAlign w:val="center"/>
          </w:tcPr>
          <w:p w14:paraId="436F9C24">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p>
        </w:tc>
        <w:tc>
          <w:tcPr>
            <w:tcW w:w="689" w:type="pct"/>
            <w:shd w:val="clear" w:color="auto" w:fill="auto"/>
            <w:vAlign w:val="center"/>
          </w:tcPr>
          <w:p w14:paraId="0C6F89B9">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491" w:type="pct"/>
            <w:shd w:val="clear" w:color="auto" w:fill="auto"/>
            <w:noWrap/>
            <w:vAlign w:val="center"/>
          </w:tcPr>
          <w:p w14:paraId="3E776E9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573" w:type="pct"/>
            <w:shd w:val="clear" w:color="auto" w:fill="auto"/>
            <w:noWrap/>
            <w:vAlign w:val="center"/>
          </w:tcPr>
          <w:p w14:paraId="36CADFD4">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322" w:type="pct"/>
            <w:shd w:val="clear" w:color="auto" w:fill="auto"/>
            <w:noWrap/>
            <w:vAlign w:val="center"/>
          </w:tcPr>
          <w:p w14:paraId="531B91F9">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47" w:type="pct"/>
            <w:shd w:val="clear" w:color="auto" w:fill="auto"/>
            <w:noWrap/>
            <w:vAlign w:val="center"/>
          </w:tcPr>
          <w:p w14:paraId="12731260">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475" w:type="pct"/>
            <w:shd w:val="clear" w:color="auto" w:fill="auto"/>
            <w:noWrap/>
            <w:vAlign w:val="center"/>
          </w:tcPr>
          <w:p w14:paraId="10898745">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308" w:type="pct"/>
            <w:shd w:val="clear" w:color="auto" w:fill="auto"/>
            <w:noWrap/>
            <w:vAlign w:val="center"/>
          </w:tcPr>
          <w:p w14:paraId="461F5B96">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r>
      <w:tr w14:paraId="71A2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14D1BD21">
            <w:pPr>
              <w:widowControl/>
              <w:jc w:val="left"/>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宋体" w:eastAsia="仿宋_GB2312"/>
                <w:b/>
                <w:bCs/>
                <w:color w:val="000000" w:themeColor="text1"/>
                <w:sz w:val="18"/>
                <w:szCs w:val="18"/>
                <w14:textFill>
                  <w14:solidFill>
                    <w14:schemeClr w14:val="tx1"/>
                  </w14:solidFill>
                </w14:textFill>
              </w:rPr>
              <w:t>不含增值税总价（暂定）</w:t>
            </w:r>
            <w:r>
              <w:rPr>
                <w:rFonts w:hint="eastAsia" w:ascii="仿宋_GB2312" w:hAnsi="宋体" w:eastAsia="仿宋_GB2312"/>
                <w:color w:val="000000" w:themeColor="text1"/>
                <w:sz w:val="18"/>
                <w:szCs w:val="18"/>
                <w14:textFill>
                  <w14:solidFill>
                    <w14:schemeClr w14:val="tx1"/>
                  </w14:solidFill>
                </w14:textFill>
              </w:rPr>
              <w:t>：人民币</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宋体" w:eastAsia="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宋体" w:eastAsia="仿宋_GB2312"/>
                <w:color w:val="000000" w:themeColor="text1"/>
                <w:sz w:val="18"/>
                <w:szCs w:val="18"/>
                <w14:textFill>
                  <w14:solidFill>
                    <w14:schemeClr w14:val="tx1"/>
                  </w14:solidFill>
                </w14:textFill>
              </w:rPr>
              <w:t>元 ）；</w:t>
            </w:r>
          </w:p>
        </w:tc>
      </w:tr>
      <w:tr w14:paraId="7E5A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5F6AC4ED">
            <w:pPr>
              <w:widowControl/>
              <w:jc w:val="left"/>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宋体" w:eastAsia="仿宋_GB2312"/>
                <w:b/>
                <w:bCs/>
                <w:color w:val="000000" w:themeColor="text1"/>
                <w:sz w:val="18"/>
                <w:szCs w:val="18"/>
                <w14:textFill>
                  <w14:solidFill>
                    <w14:schemeClr w14:val="tx1"/>
                  </w14:solidFill>
                </w14:textFill>
              </w:rPr>
              <w:t>含增值税总价（暂定）</w:t>
            </w:r>
            <w:r>
              <w:rPr>
                <w:rFonts w:hint="eastAsia" w:ascii="仿宋_GB2312" w:hAnsi="宋体" w:eastAsia="仿宋_GB2312"/>
                <w:color w:val="000000" w:themeColor="text1"/>
                <w:sz w:val="18"/>
                <w:szCs w:val="18"/>
                <w14:textFill>
                  <w14:solidFill>
                    <w14:schemeClr w14:val="tx1"/>
                  </w14:solidFill>
                </w14:textFill>
              </w:rPr>
              <w:t>：</w:t>
            </w:r>
            <w:r>
              <w:rPr>
                <w:rFonts w:hint="eastAsia" w:ascii="仿宋_GB2312" w:hAnsi="仿宋_GB2312" w:eastAsia="仿宋_GB2312" w:cs="仿宋_GB2312"/>
                <w:color w:val="000000" w:themeColor="text1"/>
                <w:sz w:val="18"/>
                <w:szCs w:val="18"/>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w:t>
            </w:r>
          </w:p>
        </w:tc>
      </w:tr>
      <w:permEnd w:id="9"/>
    </w:tbl>
    <w:p w14:paraId="26DCDC63">
      <w:pPr>
        <w:pStyle w:val="14"/>
        <w:spacing w:line="400" w:lineRule="atLeast"/>
        <w:ind w:left="479" w:leftChars="228"/>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说明：</w:t>
      </w:r>
    </w:p>
    <w:p w14:paraId="5898CE80">
      <w:pPr>
        <w:pStyle w:val="14"/>
        <w:numPr>
          <w:ilvl w:val="0"/>
          <w:numId w:val="2"/>
        </w:numPr>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合同单价：</w:t>
      </w:r>
      <w:r>
        <w:rPr>
          <w:rFonts w:hint="eastAsia" w:ascii="仿宋_GB2312" w:hAnsi="仿宋_GB2312" w:eastAsia="仿宋_GB2312" w:cs="仿宋_GB2312"/>
          <w:color w:val="000000" w:themeColor="text1"/>
          <w:highlight w:val="yellow"/>
          <w14:textFill>
            <w14:solidFill>
              <w14:schemeClr w14:val="tx1"/>
            </w14:solidFill>
          </w14:textFill>
        </w:rPr>
        <w:t>本合同综合单价适用第</w:t>
      </w:r>
      <w:permStart w:id="10"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1.1  </w:t>
      </w:r>
      <w:permEnd w:id="10"/>
      <w:r>
        <w:rPr>
          <w:rFonts w:hint="eastAsia" w:ascii="仿宋_GB2312" w:hAnsi="仿宋_GB2312" w:eastAsia="仿宋_GB2312" w:cs="仿宋_GB2312"/>
          <w:color w:val="000000" w:themeColor="text1"/>
          <w:highlight w:val="yellow"/>
          <w14:textFill>
            <w14:solidFill>
              <w14:schemeClr w14:val="tx1"/>
            </w14:solidFill>
          </w14:textFill>
        </w:rPr>
        <w:t>条</w:t>
      </w:r>
    </w:p>
    <w:p w14:paraId="7F01F90F">
      <w:pPr>
        <w:pStyle w:val="14"/>
        <w:numPr>
          <w:ilvl w:val="255"/>
          <w:numId w:val="0"/>
        </w:numPr>
        <w:spacing w:line="400" w:lineRule="atLeast"/>
        <w:ind w:firstLine="482" w:firstLineChars="200"/>
        <w:outlineLvl w:val="2"/>
        <w:rPr>
          <w:rFonts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1.1本合同为</w:t>
      </w:r>
      <w:r>
        <w:rPr>
          <w:rFonts w:hint="eastAsia" w:ascii="仿宋_GB2312" w:hAnsi="仿宋_GB2312" w:eastAsia="仿宋_GB2312" w:cs="仿宋_GB2312"/>
          <w:b/>
          <w:bCs/>
          <w:color w:val="000000" w:themeColor="text1"/>
          <w:lang w:eastAsia="zh-Hans"/>
          <w14:textFill>
            <w14:solidFill>
              <w14:schemeClr w14:val="tx1"/>
            </w14:solidFill>
          </w14:textFill>
        </w:rPr>
        <w:t>固定</w:t>
      </w:r>
      <w:r>
        <w:rPr>
          <w:rFonts w:hint="eastAsia" w:ascii="仿宋_GB2312" w:hAnsi="仿宋_GB2312" w:eastAsia="仿宋_GB2312" w:cs="仿宋_GB2312"/>
          <w:b/>
          <w:bCs/>
          <w:color w:val="000000" w:themeColor="text1"/>
          <w14:textFill>
            <w14:solidFill>
              <w14:schemeClr w14:val="tx1"/>
            </w14:solidFill>
          </w14:textFill>
        </w:rPr>
        <w:t>单价合同；</w:t>
      </w:r>
      <w:r>
        <w:rPr>
          <w:rFonts w:hint="eastAsia" w:ascii="仿宋_GB2312" w:hAnsi="仿宋_GB2312" w:eastAsia="仿宋_GB2312" w:cs="仿宋_GB2312"/>
          <w:b/>
          <w:bCs/>
          <w:color w:val="000000" w:themeColor="text1"/>
          <w:u w:val="single"/>
          <w14:textFill>
            <w14:solidFill>
              <w14:schemeClr w14:val="tx1"/>
            </w14:solidFill>
          </w14:textFill>
        </w:rPr>
        <w:t>不</w:t>
      </w:r>
      <w:bookmarkStart w:id="10" w:name="_Hlk127188815"/>
      <w:r>
        <w:rPr>
          <w:rFonts w:hint="eastAsia" w:ascii="仿宋_GB2312" w:hAnsi="仿宋_GB2312" w:eastAsia="仿宋_GB2312" w:cs="仿宋_GB2312"/>
          <w:b/>
          <w:bCs/>
          <w:color w:val="000000" w:themeColor="text1"/>
          <w:u w:val="single"/>
          <w14:textFill>
            <w14:solidFill>
              <w14:schemeClr w14:val="tx1"/>
            </w14:solidFill>
          </w14:textFill>
        </w:rPr>
        <w:t>含增值税综合单价为物资运至工地的单价包括但不限于材料费（或设备费）、包装回收费、卸货前损耗费、安装指导费、调试费、测试费（如有）、卸货前保管费（如有）、税金、包装费、上车人力及机械资费（由乙方自行协调，甲方只进行指定场地和材料验收工作）、出库费、出厂检测费（包括但不限于到场后的第三方检测费用）、码放费、保险费、中转仓储费、驻厂监造费、运输造成的道路污染的清理及维修费用、出库吊装费、运输费、过江过桥费、高速公路费等，含工地卸货挂钩卸车人工费、资料费、财务费、乙方合理的利润、管理费、市场价格波动带来的风险、向有关部门缴纳的各项费用以及政策性文件所规定的各项应有费用等乙方履行本合同规定义务的全部价款与费税等一切费用乙方不得以任何理由向甲方另行索要其它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r>
        <w:rPr>
          <w:rFonts w:hint="eastAsia" w:ascii="仿宋_GB2312" w:hAnsi="仿宋_GB2312" w:eastAsia="仿宋_GB2312" w:cs="仿宋_GB2312"/>
          <w:b/>
          <w:bCs/>
          <w:color w:val="000000" w:themeColor="text1"/>
          <w14:textFill>
            <w14:solidFill>
              <w14:schemeClr w14:val="tx1"/>
            </w14:solidFill>
          </w14:textFill>
        </w:rPr>
        <w:t>“不含税综合单价”为固定单价，即不受市场变化影响，且无论进场数量多少价格亦不发生变化。</w:t>
      </w:r>
    </w:p>
    <w:p w14:paraId="48DE4BC8">
      <w:pPr>
        <w:pStyle w:val="14"/>
        <w:spacing w:before="120" w:beforeLines="50" w:after="120" w:afterLines="50" w:line="400" w:lineRule="atLeast"/>
        <w:ind w:firstLine="482" w:firstLineChars="200"/>
        <w:outlineLvl w:val="0"/>
        <w:rPr>
          <w:rFonts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1.2其他：</w:t>
      </w:r>
      <w:permStart w:id="11"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 </w:t>
      </w:r>
      <w:permEnd w:id="11"/>
    </w:p>
    <w:p w14:paraId="6146AA1B">
      <w:pPr>
        <w:pStyle w:val="14"/>
        <w:numPr>
          <w:ilvl w:val="0"/>
          <w:numId w:val="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乙方所供物资必须为</w:t>
      </w:r>
      <w:permStart w:id="12"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permEnd w:id="12"/>
      <w:r>
        <w:rPr>
          <w:rFonts w:hint="eastAsia" w:ascii="仿宋_GB2312" w:hAnsi="仿宋_GB2312" w:eastAsia="仿宋_GB2312" w:cs="仿宋_GB2312"/>
          <w:b/>
          <w:bCs/>
          <w:color w:val="000000" w:themeColor="text1"/>
          <w14:textFill>
            <w14:solidFill>
              <w14:schemeClr w14:val="tx1"/>
            </w14:solidFill>
          </w14:textFill>
        </w:rPr>
        <w:t>公司生产产品。</w:t>
      </w:r>
    </w:p>
    <w:p w14:paraId="0BACFC05">
      <w:pPr>
        <w:pStyle w:val="14"/>
        <w:numPr>
          <w:ilvl w:val="0"/>
          <w:numId w:val="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合同工程量：</w:t>
      </w:r>
    </w:p>
    <w:p w14:paraId="3C78525B">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3.1本合同中约定货物工程量为暂定数量；甲乙双方最终结算数量以甲方最终签收的实际数量，并依据合同约定扣除不合格产品、损失等费用后的书面结算数额为准，</w:t>
      </w:r>
      <w:r>
        <w:rPr>
          <w:rFonts w:hint="eastAsia" w:ascii="仿宋_GB2312" w:hAnsi="仿宋_GB2312" w:eastAsia="仿宋_GB2312" w:cs="仿宋_GB2312"/>
          <w:b/>
          <w:bCs/>
          <w:color w:val="000000" w:themeColor="text1"/>
          <w14:textFill>
            <w14:solidFill>
              <w14:schemeClr w14:val="tx1"/>
            </w14:solidFill>
          </w14:textFill>
        </w:rPr>
        <w:t>乙方不得以合同暂定数量或合同暂定总金额为依据要求甲方支付任何款项，否则按合同第二部分第二条违约条款承担违约责任。</w:t>
      </w:r>
      <w:bookmarkEnd w:id="10"/>
      <w:r>
        <w:rPr>
          <w:rFonts w:hint="eastAsia" w:ascii="仿宋_GB2312" w:hAnsi="仿宋_GB2312" w:eastAsia="仿宋_GB2312" w:cs="仿宋_GB2312"/>
          <w:b/>
          <w:bCs/>
          <w:color w:val="000000" w:themeColor="text1"/>
          <w14:textFill>
            <w14:solidFill>
              <w14:schemeClr w14:val="tx1"/>
            </w14:solidFill>
          </w14:textFill>
        </w:rPr>
        <w:t xml:space="preserve">   </w:t>
      </w:r>
    </w:p>
    <w:p w14:paraId="6DF91DDF">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1" w:name="_Toc15703"/>
      <w:bookmarkStart w:id="12" w:name="_Toc13168"/>
      <w:bookmarkStart w:id="13" w:name="_Toc23444"/>
      <w:r>
        <w:rPr>
          <w:rFonts w:hint="eastAsia" w:ascii="仿宋_GB2312" w:hAnsi="仿宋_GB2312" w:eastAsia="仿宋_GB2312" w:cs="仿宋_GB2312"/>
          <w:b/>
          <w:bCs/>
          <w:color w:val="000000" w:themeColor="text1"/>
          <w14:textFill>
            <w14:solidFill>
              <w14:schemeClr w14:val="tx1"/>
            </w14:solidFill>
          </w14:textFill>
        </w:rPr>
        <w:t>货物供应</w:t>
      </w:r>
      <w:bookmarkEnd w:id="11"/>
      <w:bookmarkEnd w:id="12"/>
      <w:bookmarkEnd w:id="13"/>
    </w:p>
    <w:p w14:paraId="79DDEE80">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1、交货方式：</w:t>
      </w:r>
      <w:r>
        <w:rPr>
          <w:rFonts w:hint="eastAsia" w:ascii="仿宋_GB2312" w:hAnsi="仿宋_GB2312" w:eastAsia="仿宋_GB2312" w:cs="仿宋_GB2312"/>
          <w:color w:val="000000" w:themeColor="text1"/>
          <w14:textFill>
            <w14:solidFill>
              <w14:schemeClr w14:val="tx1"/>
            </w14:solidFill>
          </w14:textFill>
        </w:rPr>
        <w:t>双方协商一致，执行第</w:t>
      </w:r>
      <w:permStart w:id="13" w:edGrp="everyone"/>
      <w:r>
        <w:rPr>
          <w:rFonts w:hint="eastAsia" w:ascii="仿宋_GB2312" w:hAnsi="仿宋_GB2312" w:eastAsia="仿宋_GB2312" w:cs="仿宋_GB2312"/>
          <w:color w:val="000000" w:themeColor="text1"/>
          <w:u w:val="single"/>
          <w14:textFill>
            <w14:solidFill>
              <w14:schemeClr w14:val="tx1"/>
            </w14:solidFill>
          </w14:textFill>
        </w:rPr>
        <w:t xml:space="preserve"> 1.1 </w:t>
      </w:r>
      <w:permEnd w:id="13"/>
      <w:r>
        <w:rPr>
          <w:rFonts w:hint="eastAsia" w:ascii="仿宋_GB2312" w:hAnsi="仿宋_GB2312" w:eastAsia="仿宋_GB2312" w:cs="仿宋_GB2312"/>
          <w:color w:val="000000" w:themeColor="text1"/>
          <w14:textFill>
            <w14:solidFill>
              <w14:schemeClr w14:val="tx1"/>
            </w14:solidFill>
          </w14:textFill>
        </w:rPr>
        <w:t>种交货方式；</w:t>
      </w:r>
    </w:p>
    <w:p w14:paraId="5E42A977">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1.1送货卸车：</w:t>
      </w:r>
      <w:r>
        <w:rPr>
          <w:rFonts w:hint="eastAsia" w:ascii="仿宋_GB2312" w:hAnsi="仿宋_GB2312" w:eastAsia="仿宋_GB2312" w:cs="仿宋_GB2312"/>
          <w:color w:val="000000" w:themeColor="text1"/>
          <w14:textFill>
            <w14:solidFill>
              <w14:schemeClr w14:val="tx1"/>
            </w14:solidFill>
          </w14:textFill>
        </w:rPr>
        <w:t>乙方送货至甲方指定地点；合同综合单价已含卸车费用，卸车工作由乙方负责，若由甲方负责卸车，发生的相应费用结算款中扣除。</w:t>
      </w:r>
    </w:p>
    <w:p w14:paraId="16D2AA0D">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1.2送货不卸车：</w:t>
      </w:r>
      <w:r>
        <w:rPr>
          <w:rFonts w:hint="eastAsia" w:ascii="仿宋_GB2312" w:hAnsi="仿宋_GB2312" w:eastAsia="仿宋_GB2312" w:cs="仿宋_GB2312"/>
          <w:color w:val="000000" w:themeColor="text1"/>
          <w14:textFill>
            <w14:solidFill>
              <w14:schemeClr w14:val="tx1"/>
            </w14:solidFill>
          </w14:textFill>
        </w:rPr>
        <w:t>合同综合单价不含卸车费用，卸车工作由甲方组织。</w:t>
      </w:r>
    </w:p>
    <w:p w14:paraId="17FBBC72">
      <w:pPr>
        <w:pStyle w:val="14"/>
        <w:spacing w:line="400" w:lineRule="atLeast"/>
        <w:ind w:firstLine="482" w:firstLineChars="200"/>
        <w:rPr>
          <w:rFonts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1.3其他</w:t>
      </w:r>
      <w:permStart w:id="14"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 </w:t>
      </w:r>
    </w:p>
    <w:permEnd w:id="14"/>
    <w:p w14:paraId="4EE60571">
      <w:pPr>
        <w:pStyle w:val="14"/>
        <w:spacing w:line="400" w:lineRule="atLeast"/>
        <w:ind w:firstLine="482" w:firstLineChars="200"/>
        <w:outlineLvl w:val="1"/>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2、交货时间：</w:t>
      </w:r>
      <w:r>
        <w:rPr>
          <w:rFonts w:hint="eastAsia" w:ascii="仿宋_GB2312" w:hAnsi="仿宋_GB2312" w:eastAsia="仿宋_GB2312" w:cs="仿宋_GB2312"/>
          <w:color w:val="000000" w:themeColor="text1"/>
          <w14:textFill>
            <w14:solidFill>
              <w14:schemeClr w14:val="tx1"/>
            </w14:solidFill>
          </w14:textFill>
        </w:rPr>
        <w:t>甲方施工现场材料负责人提前</w:t>
      </w:r>
      <w:permStart w:id="15" w:edGrp="everyone"/>
      <w:r>
        <w:rPr>
          <w:rFonts w:hint="eastAsia" w:ascii="仿宋_GB2312" w:hAnsi="仿宋_GB2312" w:eastAsia="仿宋_GB2312" w:cs="仿宋_GB2312"/>
          <w:color w:val="000000" w:themeColor="text1"/>
          <w:u w:val="single"/>
          <w14:textFill>
            <w14:solidFill>
              <w14:schemeClr w14:val="tx1"/>
            </w14:solidFill>
          </w14:textFill>
        </w:rPr>
        <w:t xml:space="preserve"> 2 </w:t>
      </w:r>
      <w:permEnd w:id="15"/>
      <w:r>
        <w:rPr>
          <w:rFonts w:hint="eastAsia" w:ascii="仿宋_GB2312" w:hAnsi="仿宋_GB2312" w:eastAsia="仿宋_GB2312" w:cs="仿宋_GB2312"/>
          <w:color w:val="000000" w:themeColor="text1"/>
          <w14:textFill>
            <w14:solidFill>
              <w14:schemeClr w14:val="tx1"/>
            </w14:solidFill>
          </w14:textFill>
        </w:rPr>
        <w:t>天向乙方提供每批次的需用计划（云筑网订单、计划联系函、电子邮件等），乙方根据甲方所提供的需用计划及时将货物配送至甲方指定堆场。</w:t>
      </w:r>
      <w:r>
        <w:rPr>
          <w:rFonts w:hint="eastAsia" w:ascii="仿宋_GB2312" w:hAnsi="仿宋_GB2312" w:eastAsia="仿宋_GB2312" w:cs="仿宋_GB2312"/>
          <w:b/>
          <w:bCs/>
          <w:color w:val="000000" w:themeColor="text1"/>
          <w14:textFill>
            <w14:solidFill>
              <w14:schemeClr w14:val="tx1"/>
            </w14:solidFill>
          </w14:textFill>
        </w:rPr>
        <w:t>乙方延期供货次数不超过2次，否则乙方按合同第二部分第二条违约条款承担违约责任。乙方不得因甲方更改需用计划及要求乙方延期交货而向甲方提出索赔</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b/>
          <w:bCs/>
          <w:color w:val="000000" w:themeColor="text1"/>
          <w14:textFill>
            <w14:solidFill>
              <w14:schemeClr w14:val="tx1"/>
            </w14:solidFill>
          </w14:textFill>
        </w:rPr>
        <w:t>根据工程项目施工需要，甲方对所采购物资的数量和送货时间如有变更，及时书面通知乙方，乙方按变更后的数量和送货时间供货，新增或减少的物资价格不变。</w:t>
      </w:r>
    </w:p>
    <w:p w14:paraId="1351651C">
      <w:pPr>
        <w:pStyle w:val="14"/>
        <w:spacing w:line="400" w:lineRule="atLeast"/>
        <w:ind w:firstLine="482" w:firstLineChars="200"/>
        <w:outlineLvl w:val="1"/>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3、交货地点：</w:t>
      </w:r>
      <w:permStart w:id="16" w:edGrp="everyone"/>
      <w:r>
        <w:rPr>
          <w:rFonts w:hint="eastAsia" w:ascii="仿宋_GB2312" w:hAnsi="仿宋_GB2312" w:eastAsia="仿宋_GB2312" w:cs="仿宋_GB2312"/>
          <w:color w:val="000000" w:themeColor="text1"/>
          <w:u w:val="single"/>
          <w14:textFill>
            <w14:solidFill>
              <w14:schemeClr w14:val="tx1"/>
            </w14:solidFill>
          </w14:textFill>
        </w:rPr>
        <w:t xml:space="preserve"> 陕西省安康市岚皋县</w:t>
      </w:r>
      <w:permEnd w:id="16"/>
      <w:r>
        <w:rPr>
          <w:rFonts w:hint="eastAsia" w:ascii="仿宋_GB2312" w:hAnsi="仿宋_GB2312" w:eastAsia="仿宋_GB2312" w:cs="仿宋_GB2312"/>
          <w:color w:val="000000" w:themeColor="text1"/>
          <w:u w:val="single"/>
          <w14:textFill>
            <w14:solidFill>
              <w14:schemeClr w14:val="tx1"/>
            </w14:solidFill>
          </w14:textFill>
        </w:rPr>
        <w:t>。</w:t>
      </w:r>
    </w:p>
    <w:p w14:paraId="066C42C4">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4、交货内容：</w:t>
      </w:r>
      <w:permStart w:id="17" w:edGrp="everyone"/>
      <w:r>
        <w:rPr>
          <w:rFonts w:hint="eastAsia" w:ascii="仿宋_GB2312" w:hAnsi="仿宋_GB2312" w:eastAsia="仿宋_GB2312" w:cs="仿宋_GB2312"/>
          <w:b/>
          <w:bCs/>
          <w:color w:val="000000" w:themeColor="text1"/>
          <w14:textFill>
            <w14:solidFill>
              <w14:schemeClr w14:val="tx1"/>
            </w14:solidFill>
          </w14:textFill>
        </w:rPr>
        <w:t xml:space="preserve"> </w:t>
      </w:r>
      <w:r>
        <w:rPr>
          <w:rFonts w:hint="eastAsia" w:ascii="仿宋_GB2312" w:hAnsi="仿宋_GB2312" w:eastAsia="仿宋_GB2312" w:cs="仿宋_GB2312"/>
          <w:b/>
          <w:bCs/>
          <w:color w:val="000000" w:themeColor="text1"/>
          <w:u w:val="single"/>
          <w14:textFill>
            <w14:solidFill>
              <w14:schemeClr w14:val="tx1"/>
            </w14:solidFill>
          </w14:textFill>
        </w:rPr>
        <w:t>砾石</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17"/>
      <w:r>
        <w:rPr>
          <w:rFonts w:hint="eastAsia" w:ascii="仿宋_GB2312" w:hAnsi="仿宋_GB2312" w:eastAsia="仿宋_GB2312" w:cs="仿宋_GB2312"/>
          <w:color w:val="000000" w:themeColor="text1"/>
          <w14:textFill>
            <w14:solidFill>
              <w14:schemeClr w14:val="tx1"/>
            </w14:solidFill>
          </w14:textFill>
        </w:rPr>
        <w:t>。</w:t>
      </w:r>
    </w:p>
    <w:p w14:paraId="4A36A853">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5、双方代表：</w:t>
      </w:r>
    </w:p>
    <w:p w14:paraId="7EFE5BDB">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甲方指定收货联系人：</w:t>
      </w:r>
      <w:permStart w:id="18"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刘志刚 </w:t>
      </w:r>
      <w:permEnd w:id="18"/>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19"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15369344290 </w:t>
      </w:r>
      <w:permEnd w:id="19"/>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0"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r>
        <w:rPr>
          <w:rFonts w:hint="eastAsia" w:ascii="仿宋_GB2312" w:hAnsi="仿宋" w:eastAsia="仿宋_GB2312"/>
          <w:bCs/>
          <w:color w:val="000000" w:themeColor="text1"/>
          <w:szCs w:val="21"/>
          <w:u w:val="single"/>
          <w14:textFill>
            <w14:solidFill>
              <w14:schemeClr w14:val="tx1"/>
            </w14:solidFill>
          </w14:textFill>
        </w:rPr>
        <w:t>1599708994</w:t>
      </w:r>
      <w:r>
        <w:rPr>
          <w:rFonts w:hint="eastAsia" w:ascii="宋体" w:hAnsi="宋体" w:eastAsia="宋体" w:cs="宋体"/>
          <w:bCs/>
          <w:color w:val="000000" w:themeColor="text1"/>
          <w:szCs w:val="21"/>
          <w:u w:val="single"/>
          <w14:textFill>
            <w14:solidFill>
              <w14:schemeClr w14:val="tx1"/>
            </w14:solidFill>
          </w14:textFill>
        </w:rPr>
        <w:t>＠</w:t>
      </w:r>
      <w:r>
        <w:rPr>
          <w:rFonts w:hint="eastAsia" w:ascii="仿宋_GB2312" w:hAnsi="仿宋" w:eastAsia="仿宋_GB2312"/>
          <w:bCs/>
          <w:color w:val="000000" w:themeColor="text1"/>
          <w:szCs w:val="21"/>
          <w:u w:val="single"/>
          <w14:textFill>
            <w14:solidFill>
              <w14:schemeClr w14:val="tx1"/>
            </w14:solidFill>
          </w14:textFill>
        </w:rPr>
        <w:t>qq.com</w:t>
      </w:r>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0"/>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6CEC2350">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乙方指定发货联系人：</w:t>
      </w:r>
      <w:permStart w:id="21"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22"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2"/>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3"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3"/>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7E8E5E14">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14" w:name="_Hlk126833838"/>
      <w:r>
        <w:rPr>
          <w:rFonts w:hint="eastAsia" w:ascii="仿宋_GB2312" w:hAnsi="仿宋_GB2312" w:eastAsia="仿宋_GB2312" w:cs="仿宋_GB2312"/>
          <w:color w:val="000000" w:themeColor="text1"/>
          <w14:textFill>
            <w14:solidFill>
              <w14:schemeClr w14:val="tx1"/>
            </w14:solidFill>
          </w14:textFill>
        </w:rPr>
        <w:t>合同双方更换代表时应及时书面通知对方，保证货物交接顺利。</w:t>
      </w:r>
      <w:r>
        <w:rPr>
          <w:rFonts w:hint="eastAsia" w:ascii="仿宋_GB2312" w:hAnsi="仿宋_GB2312" w:eastAsia="仿宋_GB2312" w:cs="仿宋_GB2312"/>
          <w:b/>
          <w:bCs/>
          <w:color w:val="000000" w:themeColor="text1"/>
          <w14:textFill>
            <w14:solidFill>
              <w14:schemeClr w14:val="tx1"/>
            </w14:solidFill>
          </w14:textFill>
        </w:rPr>
        <w:t>甲方已明确要求与指定发货联系人交接，若乙方实际发货为非指定联系人，视为乙方对实际发货人授权委托，当批次供货完成后7个工作日内乙方应为该实际发货人向甲方补充出具书面授权委托书，并承担本合同项下的义务和责任。</w:t>
      </w:r>
      <w:r>
        <w:rPr>
          <w:rFonts w:hint="eastAsia" w:ascii="仿宋_GB2312" w:hAnsi="仿宋_GB2312" w:eastAsia="仿宋_GB2312" w:cs="仿宋_GB2312"/>
          <w:color w:val="000000" w:themeColor="text1"/>
          <w14:textFill>
            <w14:solidFill>
              <w14:schemeClr w14:val="tx1"/>
            </w14:solidFill>
          </w14:textFill>
        </w:rPr>
        <w:t>为避免货物供应争议，甲方保留拒绝乙方非指定联系人供货的权利，由此产生的费用由乙方承担。甲乙双方授权内容详见附件一、附件二</w:t>
      </w:r>
      <w:bookmarkEnd w:id="14"/>
      <w:r>
        <w:rPr>
          <w:rFonts w:hint="eastAsia" w:ascii="仿宋_GB2312" w:hAnsi="仿宋_GB2312" w:eastAsia="仿宋_GB2312" w:cs="仿宋_GB2312"/>
          <w:color w:val="000000" w:themeColor="text1"/>
          <w14:textFill>
            <w14:solidFill>
              <w14:schemeClr w14:val="tx1"/>
            </w14:solidFill>
          </w14:textFill>
        </w:rPr>
        <w:t>。</w:t>
      </w:r>
    </w:p>
    <w:p w14:paraId="379727AC">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6、运输要求：（本条款适用于乙方负责运输情形）</w:t>
      </w:r>
    </w:p>
    <w:p w14:paraId="1A661997">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6.1运输形式：</w:t>
      </w:r>
      <w:r>
        <w:rPr>
          <w:rFonts w:hint="eastAsia" w:ascii="仿宋_GB2312" w:hAnsi="仿宋_GB2312" w:eastAsia="仿宋_GB2312" w:cs="仿宋_GB2312"/>
          <w:color w:val="000000" w:themeColor="text1"/>
          <w14:textFill>
            <w14:solidFill>
              <w14:schemeClr w14:val="tx1"/>
            </w14:solidFill>
          </w14:textFill>
        </w:rPr>
        <w:t>乙方须组织专用的运输工具将货物运至甲方指定的地点（工程所在地或甲方指定的其他地点），并应当和甲方共同协商，合理安排送货路线、停车地点。</w:t>
      </w:r>
    </w:p>
    <w:p w14:paraId="572A2C46">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6.2注意事项：</w:t>
      </w:r>
      <w:r>
        <w:rPr>
          <w:rFonts w:hint="eastAsia" w:ascii="仿宋_GB2312" w:hAnsi="仿宋_GB2312" w:eastAsia="仿宋_GB2312" w:cs="仿宋_GB2312"/>
          <w:color w:val="000000" w:themeColor="text1"/>
          <w14:textFill>
            <w14:solidFill>
              <w14:schemeClr w14:val="tx1"/>
            </w14:solidFill>
          </w14:textFill>
        </w:rPr>
        <w:t>乙方应自行勘察现场，熟悉施工现场位置和周围环境，货物运输过程中，要遵守工程所在地政府的有关道路交通、环保卫生等方面的规定。乙方负责与政府有关管理部门协调沟通，保障车辆在工程所在区域顺利通行至施工现场，并承担因违反有关规定造成的一切责任和经济损失，乙方保证甲方免予承担由此造成的任何法律责任，若甲方因此遭受到任何责任或损失，乙方需赔偿给甲方。</w:t>
      </w:r>
      <w:bookmarkStart w:id="15" w:name="_Hlk127189046"/>
      <w:r>
        <w:rPr>
          <w:rFonts w:hint="eastAsia" w:ascii="仿宋_GB2312" w:hAnsi="仿宋_GB2312" w:eastAsia="仿宋_GB2312" w:cs="仿宋_GB2312"/>
          <w:b/>
          <w:bCs/>
          <w:color w:val="000000" w:themeColor="text1"/>
          <w14:textFill>
            <w14:solidFill>
              <w14:schemeClr w14:val="tx1"/>
            </w14:solidFill>
          </w14:textFill>
        </w:rPr>
        <w:t>乙方无法按甲方要求将产品送到指定地点卸货的，甲方有权不予验收，由此给甲方造成的损失由乙方承担</w:t>
      </w:r>
      <w:bookmarkEnd w:id="15"/>
      <w:r>
        <w:rPr>
          <w:rFonts w:hint="eastAsia" w:ascii="仿宋_GB2312" w:hAnsi="仿宋_GB2312" w:eastAsia="仿宋_GB2312" w:cs="仿宋_GB2312"/>
          <w:b/>
          <w:bCs/>
          <w:color w:val="000000" w:themeColor="text1"/>
          <w14:textFill>
            <w14:solidFill>
              <w14:schemeClr w14:val="tx1"/>
            </w14:solidFill>
          </w14:textFill>
        </w:rPr>
        <w:t>。</w:t>
      </w:r>
    </w:p>
    <w:p w14:paraId="79ABF715">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6.3货物的装车、运输、车辆返回全过程出现的安全事故或其它任何意外均由乙方承担责任。装车和运输途中的物资品质发生变化或丢失由乙方负责，由此造成的损失由乙方承担。</w:t>
      </w:r>
    </w:p>
    <w:p w14:paraId="3AE8CB1F">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6.4乙方应对运输人员进行安全管理和安全教育，运输人员遵守交通法规。</w:t>
      </w:r>
    </w:p>
    <w:p w14:paraId="496DF1DA">
      <w:pPr>
        <w:pStyle w:val="14"/>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应当给负责运送货物的车辆办理交强险及商业保险。如因运载车辆事故、卸货等</w:t>
      </w:r>
    </w:p>
    <w:p w14:paraId="01EE75AB">
      <w:pPr>
        <w:pStyle w:val="14"/>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原因导致的乙方及任何第三方的人身伤害及经济损失均由乙方负责，并补偿甲方</w:t>
      </w:r>
    </w:p>
    <w:p w14:paraId="52FCCC7D">
      <w:pPr>
        <w:pStyle w:val="14"/>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及其他方因此造成的损失。</w:t>
      </w:r>
    </w:p>
    <w:p w14:paraId="48B77C2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6.5乙方必须保证运输人员不得阻止现场验收人员进行质量检验，不得阻止到达甲方指定地点的运输车辆过磅，卸料时必须服从甲方现场管理人员的安排和指挥。不合格的物资必须在规定时间内无条件运走调换，否则按废弃物处理，损失由乙方承担。</w:t>
      </w:r>
    </w:p>
    <w:p w14:paraId="38EC8704">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6.6乙方不得利用遥控等科技手段控制磅秤增加物资重量，不得进行任何形式的弄虚作假行为。一经发现，甲方将按发现作弊或弄虚作假数量占本批次运输物资百分比扣除发现作弊日前物资进场总数量对应的货款，并交由公安机关处理。</w:t>
      </w:r>
    </w:p>
    <w:p w14:paraId="013D7E04">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6.7乙方保证在运输和卸货过程中应采取相应的环保措施，符合国家环保要求。车辆在进入项目现场要保证不沾泥土和脏物，车辆出入项目现场必须在项目大门内现场洗车。乙方在卸货过程中保证噪声白天小于或等于85dB、夜间小于或等于55dB。乙方保证乙方人员以及车辆进入本工地现场，应遵守现场的一切卫生环保、文明施工的规定，因违反环保要求所造成的一切罚款由乙方承担。</w:t>
      </w:r>
    </w:p>
    <w:p w14:paraId="08561FAE">
      <w:pPr>
        <w:pStyle w:val="14"/>
        <w:spacing w:line="400" w:lineRule="atLeast"/>
        <w:ind w:firstLine="48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7、货物包装：</w:t>
      </w:r>
    </w:p>
    <w:p w14:paraId="2040C5EF">
      <w:pPr>
        <w:spacing w:line="400" w:lineRule="atLeast"/>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7.1包装标准：</w:t>
      </w:r>
      <w:r>
        <w:rPr>
          <w:rFonts w:hint="eastAsia" w:ascii="仿宋_GB2312" w:hAnsi="仿宋_GB2312" w:eastAsia="仿宋_GB2312" w:cs="仿宋_GB2312"/>
          <w:sz w:val="24"/>
          <w:szCs w:val="24"/>
        </w:rPr>
        <w:t>乙方按照国家或业务主管部门的技术规定执行（标准代号、标准编号及标准名称为</w:t>
      </w:r>
      <w:permStart w:id="24" w:edGrp="everyone"/>
      <w:r>
        <w:rPr>
          <w:rFonts w:hint="eastAsia" w:ascii="仿宋_GB2312" w:hAnsi="仿宋_GB2312" w:eastAsia="仿宋_GB2312" w:cs="仿宋_GB2312"/>
          <w:sz w:val="24"/>
          <w:szCs w:val="24"/>
          <w:u w:val="single"/>
        </w:rPr>
        <w:t xml:space="preserve">  /  </w:t>
      </w:r>
      <w:permEnd w:id="24"/>
      <w:r>
        <w:rPr>
          <w:rFonts w:hint="eastAsia" w:ascii="仿宋_GB2312" w:hAnsi="仿宋_GB2312" w:eastAsia="仿宋_GB2312" w:cs="仿宋_GB2312"/>
          <w:sz w:val="24"/>
          <w:szCs w:val="24"/>
        </w:rPr>
        <w:t>）；没有上述标准的，或虽有上述标准，但甲方对包装有特殊要求，按如下约定执行：</w:t>
      </w:r>
      <w:permStart w:id="25" w:edGrp="everyone"/>
      <w:r>
        <w:rPr>
          <w:rFonts w:hint="eastAsia" w:ascii="仿宋_GB2312" w:hAnsi="仿宋_GB2312" w:eastAsia="仿宋_GB2312" w:cs="仿宋_GB2312"/>
          <w:sz w:val="24"/>
          <w:szCs w:val="24"/>
          <w:u w:val="single"/>
        </w:rPr>
        <w:t xml:space="preserve">   / </w:t>
      </w:r>
      <w:permEnd w:id="25"/>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63D715DE">
      <w:pPr>
        <w:pStyle w:val="14"/>
        <w:spacing w:line="400" w:lineRule="atLeast"/>
        <w:ind w:firstLine="48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7.2包装回收：</w:t>
      </w:r>
      <w:r>
        <w:rPr>
          <w:rFonts w:hint="eastAsia" w:ascii="仿宋_GB2312" w:hAnsi="仿宋_GB2312" w:eastAsia="仿宋_GB2312" w:cs="仿宋_GB2312"/>
          <w:color w:val="auto"/>
          <w:u w:val="single"/>
        </w:rPr>
        <w:t>乙方无特别注明视为无包装物回收，有包装物回收时乙方应在收到甲方通知7天内完成包装回收。</w:t>
      </w:r>
    </w:p>
    <w:p w14:paraId="0C3C9CAE">
      <w:pPr>
        <w:pStyle w:val="14"/>
        <w:spacing w:line="400" w:lineRule="atLeast"/>
        <w:ind w:firstLine="482" w:firstLineChars="200"/>
        <w:outlineLvl w:val="1"/>
        <w:rPr>
          <w:rFonts w:ascii="仿宋_GB2312" w:hAnsi="仿宋_GB2312" w:eastAsia="仿宋_GB2312" w:cs="仿宋_GB2312"/>
          <w:color w:val="auto"/>
        </w:rPr>
      </w:pPr>
      <w:r>
        <w:rPr>
          <w:rFonts w:hint="eastAsia" w:ascii="仿宋_GB2312" w:hAnsi="仿宋_GB2312" w:eastAsia="仿宋_GB2312" w:cs="仿宋_GB2312"/>
          <w:b/>
          <w:bCs/>
          <w:color w:val="auto"/>
        </w:rPr>
        <w:t>8、安装要求：</w:t>
      </w:r>
      <w:r>
        <w:rPr>
          <w:rFonts w:hint="eastAsia" w:ascii="仿宋_GB2312" w:hAnsi="仿宋_GB2312" w:eastAsia="仿宋_GB2312" w:cs="仿宋_GB2312"/>
          <w:color w:val="auto"/>
        </w:rPr>
        <w:t>若货物附带安装工作内容，单价已综合考虑不另计价，具体安装内容及要求如下：</w:t>
      </w:r>
      <w:permStart w:id="26" w:edGrp="everyone"/>
      <w:r>
        <w:rPr>
          <w:rFonts w:hint="eastAsia" w:ascii="仿宋_GB2312" w:hAnsi="仿宋_GB2312" w:eastAsia="仿宋_GB2312" w:cs="仿宋_GB2312"/>
          <w:color w:val="auto"/>
          <w:u w:val="single"/>
        </w:rPr>
        <w:t xml:space="preserve">   /  </w:t>
      </w:r>
      <w:permEnd w:id="26"/>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rPr>
        <w:t>。</w:t>
      </w:r>
    </w:p>
    <w:p w14:paraId="54A266CC">
      <w:pPr>
        <w:pStyle w:val="14"/>
        <w:spacing w:line="400" w:lineRule="atLeast"/>
        <w:ind w:firstLine="482" w:firstLineChars="200"/>
        <w:outlineLvl w:val="1"/>
        <w:rPr>
          <w:rFonts w:ascii="仿宋_GB2312" w:hAnsi="仿宋_GB2312" w:eastAsia="仿宋_GB2312" w:cs="仿宋_GB2312"/>
          <w:color w:val="auto"/>
        </w:rPr>
      </w:pPr>
      <w:r>
        <w:rPr>
          <w:rFonts w:hint="eastAsia" w:ascii="仿宋_GB2312" w:hAnsi="仿宋_GB2312" w:eastAsia="仿宋_GB2312" w:cs="仿宋_GB2312"/>
          <w:b/>
          <w:bCs/>
          <w:color w:val="auto"/>
        </w:rPr>
        <w:t>9、货物意外灭失风险：</w:t>
      </w:r>
      <w:r>
        <w:rPr>
          <w:rFonts w:hint="eastAsia" w:ascii="仿宋_GB2312" w:hAnsi="仿宋_GB2312" w:eastAsia="仿宋_GB2312" w:cs="仿宋_GB2312"/>
          <w:color w:val="auto"/>
        </w:rPr>
        <w:t>乙方须负责货物正式交货前的安全、保卫、防火、防盗工作，包括运输途中、装货中的人身和货物的安全，在正式交货前，包括运输途中、装货中如有人身伤害或货物受损失均由乙方负责。货物直至乙方送交甲方指定的交货地点，完成上述条款事项，经甲方验收合格入库，并办理验收手续后，该货物的毁损、灭失的风险方由乙方转移至甲方。</w:t>
      </w:r>
    </w:p>
    <w:p w14:paraId="3CEB0B45">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auto"/>
        </w:rPr>
      </w:pPr>
      <w:bookmarkStart w:id="16" w:name="_Toc12447"/>
      <w:bookmarkStart w:id="17" w:name="_Toc15437"/>
      <w:bookmarkStart w:id="18" w:name="_Toc29361"/>
      <w:r>
        <w:rPr>
          <w:rFonts w:hint="eastAsia" w:ascii="仿宋_GB2312" w:hAnsi="仿宋_GB2312" w:eastAsia="仿宋_GB2312" w:cs="仿宋_GB2312"/>
          <w:b/>
          <w:bCs/>
          <w:color w:val="auto"/>
        </w:rPr>
        <w:t>货物质量</w:t>
      </w:r>
      <w:bookmarkEnd w:id="16"/>
      <w:bookmarkEnd w:id="17"/>
      <w:bookmarkEnd w:id="18"/>
    </w:p>
    <w:p w14:paraId="530B06B5">
      <w:pPr>
        <w:pStyle w:val="14"/>
        <w:spacing w:line="400" w:lineRule="atLeast"/>
        <w:ind w:firstLine="48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1、质量要求及技术标准：</w:t>
      </w:r>
    </w:p>
    <w:p w14:paraId="29527EA8">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1.1按照国家标准执行（标准代号、标准编号及标准名称为</w:t>
      </w:r>
      <w:permStart w:id="27" w:edGrp="everyone"/>
      <w:r>
        <w:rPr>
          <w:rFonts w:hint="eastAsia" w:ascii="仿宋_GB2312" w:hAnsi="仿宋_GB2312" w:eastAsia="仿宋_GB2312" w:cs="仿宋_GB2312"/>
          <w:color w:val="auto"/>
          <w:u w:val="single"/>
        </w:rPr>
        <w:t xml:space="preserve"> JTG/T F20‑2015《公路路面基层施工技术细则》 </w:t>
      </w:r>
      <w:permEnd w:id="27"/>
      <w:r>
        <w:rPr>
          <w:rFonts w:hint="eastAsia" w:ascii="仿宋_GB2312" w:hAnsi="仿宋_GB2312" w:eastAsia="仿宋_GB2312" w:cs="仿宋_GB2312"/>
          <w:color w:val="auto"/>
        </w:rPr>
        <w:t>）。</w:t>
      </w:r>
    </w:p>
    <w:p w14:paraId="106BE0C1">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1.2无国家标准而有部颁标准的，按部颁标准执行。</w:t>
      </w:r>
    </w:p>
    <w:p w14:paraId="167EBFA0">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1.3无国家和部颁标准的，按企业标准执行。</w:t>
      </w:r>
    </w:p>
    <w:p w14:paraId="61215A5D">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1.4没有上述标准的，或虽有上述标准，但甲方有特殊要求的，按甲乙双方在合同中商定的技术条件、样品或补充的技术要求执行（具体要求</w:t>
      </w:r>
      <w:permStart w:id="28" w:edGrp="everyone"/>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rPr>
        <w:t xml:space="preserve"> </w:t>
      </w:r>
      <w:permEnd w:id="28"/>
      <w:r>
        <w:rPr>
          <w:rFonts w:hint="eastAsia" w:ascii="仿宋_GB2312" w:hAnsi="仿宋_GB2312" w:eastAsia="仿宋_GB2312" w:cs="仿宋_GB2312"/>
          <w:color w:val="auto"/>
        </w:rPr>
        <w:t>）。</w:t>
      </w:r>
    </w:p>
    <w:p w14:paraId="6432BC7D">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1.5如乙方有通过国家相关质量体系认证的企业标准，且其标准高于上述标准的，按乙方企业标准执行。产品必须满足中华人民共和国国家、地方及行业最新颁布的相关标准及技术规范，如果规范、标准、要求适用于同一种情况，则以标准高者为准。</w:t>
      </w:r>
    </w:p>
    <w:p w14:paraId="3892D031">
      <w:pPr>
        <w:pStyle w:val="14"/>
        <w:spacing w:line="400" w:lineRule="atLeast"/>
        <w:ind w:firstLine="480" w:firstLineChars="200"/>
        <w:outlineLvl w:val="1"/>
        <w:rPr>
          <w:rFonts w:ascii="仿宋_GB2312" w:hAnsi="仿宋_GB2312" w:eastAsia="仿宋_GB2312" w:cs="仿宋_GB2312"/>
          <w:color w:val="auto"/>
        </w:rPr>
      </w:pPr>
      <w:r>
        <w:rPr>
          <w:rFonts w:hint="eastAsia" w:ascii="仿宋_GB2312" w:hAnsi="仿宋_GB2312" w:eastAsia="仿宋_GB2312" w:cs="仿宋_GB2312"/>
          <w:color w:val="auto"/>
        </w:rPr>
        <w:t>1.6其他：</w:t>
      </w:r>
      <w:permStart w:id="29" w:edGrp="everyone"/>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u w:val="single"/>
        </w:rPr>
        <w:t xml:space="preserve">/ </w:t>
      </w:r>
      <w:permEnd w:id="29"/>
      <w:r>
        <w:rPr>
          <w:rFonts w:hint="eastAsia" w:ascii="仿宋_GB2312" w:hAnsi="仿宋_GB2312" w:eastAsia="仿宋_GB2312" w:cs="仿宋_GB2312"/>
          <w:color w:val="auto"/>
        </w:rPr>
        <w:t>。</w:t>
      </w:r>
    </w:p>
    <w:p w14:paraId="6C54B937">
      <w:pPr>
        <w:pStyle w:val="14"/>
        <w:spacing w:line="400" w:lineRule="atLeast"/>
        <w:ind w:firstLine="482" w:firstLineChars="200"/>
        <w:outlineLvl w:val="1"/>
        <w:rPr>
          <w:rFonts w:ascii="仿宋_GB2312" w:hAnsi="仿宋_GB2312" w:eastAsia="仿宋_GB2312" w:cs="仿宋_GB2312"/>
          <w:color w:val="auto"/>
        </w:rPr>
      </w:pPr>
      <w:r>
        <w:rPr>
          <w:rFonts w:hint="eastAsia" w:ascii="仿宋_GB2312" w:hAnsi="仿宋_GB2312" w:eastAsia="仿宋_GB2312" w:cs="仿宋_GB2312"/>
          <w:b/>
          <w:bCs/>
          <w:color w:val="auto"/>
        </w:rPr>
        <w:t>2、货物附件清单：</w:t>
      </w:r>
      <w:r>
        <w:rPr>
          <w:rFonts w:hint="eastAsia" w:ascii="仿宋_GB2312" w:hAnsi="仿宋_GB2312" w:eastAsia="仿宋_GB2312" w:cs="仿宋_GB2312"/>
          <w:color w:val="auto"/>
        </w:rPr>
        <w:t>乙方应按甲方要求在交货时提供货物附件清单：</w:t>
      </w:r>
      <w:permStart w:id="30" w:edGrp="everyone"/>
      <w:r>
        <w:rPr>
          <w:rFonts w:hint="eastAsia" w:ascii="仿宋_GB2312" w:hAnsi="仿宋_GB2312" w:eastAsia="仿宋_GB2312" w:cs="仿宋_GB2312"/>
          <w:color w:val="auto"/>
          <w:u w:val="single"/>
        </w:rPr>
        <w:t>产品质量证明书、出厂合格证、产品检验报告、国家强制性产品认证书、产品质量免检证书、产品生产许可证、管理体系认证证书、装箱单、发货单等以及甲方为完成计量、竣工资料等所需要的所有资料，并及时交送到甲方指定负责人处，乙方提供资料均需在有效期内</w:t>
      </w:r>
      <w:permEnd w:id="30"/>
      <w:r>
        <w:rPr>
          <w:rFonts w:hint="eastAsia" w:ascii="仿宋_GB2312" w:hAnsi="仿宋_GB2312" w:eastAsia="仿宋_GB2312" w:cs="仿宋_GB2312"/>
          <w:color w:val="auto"/>
          <w:u w:val="single"/>
        </w:rPr>
        <w:t>。</w:t>
      </w:r>
      <w:r>
        <w:rPr>
          <w:rFonts w:hint="eastAsia" w:ascii="仿宋_GB2312" w:hAnsi="仿宋_GB2312" w:eastAsia="仿宋_GB2312" w:cs="仿宋_GB2312"/>
          <w:color w:val="auto"/>
        </w:rPr>
        <w:t>附件清单明确附件内容及份数同时加印乙方签章于收货时一并交由甲方核验，否则甲方不予办理收料手续。</w:t>
      </w:r>
    </w:p>
    <w:p w14:paraId="38EB9319">
      <w:pPr>
        <w:pStyle w:val="14"/>
        <w:spacing w:line="400" w:lineRule="atLeast"/>
        <w:ind w:firstLine="482" w:firstLineChars="200"/>
        <w:outlineLvl w:val="1"/>
        <w:rPr>
          <w:rFonts w:ascii="仿宋_GB2312" w:hAnsi="仿宋_GB2312" w:eastAsia="仿宋_GB2312" w:cs="仿宋_GB2312"/>
          <w:color w:val="auto"/>
        </w:rPr>
      </w:pPr>
      <w:r>
        <w:rPr>
          <w:rFonts w:hint="eastAsia" w:ascii="仿宋_GB2312" w:hAnsi="仿宋_GB2312" w:eastAsia="仿宋_GB2312" w:cs="仿宋_GB2312"/>
          <w:b/>
          <w:bCs/>
          <w:color w:val="auto"/>
        </w:rPr>
        <w:t>3、货物质量保修期：</w:t>
      </w:r>
      <w:r>
        <w:rPr>
          <w:rFonts w:hint="eastAsia" w:ascii="仿宋_GB2312" w:hAnsi="仿宋_GB2312" w:eastAsia="仿宋_GB2312" w:cs="仿宋_GB2312"/>
          <w:color w:val="auto"/>
        </w:rPr>
        <w:t>按下列第</w:t>
      </w:r>
      <w:permStart w:id="31" w:edGrp="everyone"/>
      <w:r>
        <w:rPr>
          <w:rFonts w:hint="eastAsia" w:ascii="仿宋_GB2312" w:hAnsi="仿宋_GB2312" w:eastAsia="仿宋_GB2312" w:cs="仿宋_GB2312"/>
          <w:color w:val="auto"/>
          <w:u w:val="single"/>
        </w:rPr>
        <w:t xml:space="preserve"> 3.2 </w:t>
      </w:r>
      <w:permEnd w:id="31"/>
      <w:r>
        <w:rPr>
          <w:rFonts w:hint="eastAsia" w:ascii="仿宋_GB2312" w:hAnsi="仿宋_GB2312" w:eastAsia="仿宋_GB2312" w:cs="仿宋_GB2312"/>
          <w:color w:val="auto"/>
        </w:rPr>
        <w:t>项执行（如货物明示或设计的质量保修期/缺陷责任期较长的，以较长者为准）：</w:t>
      </w:r>
    </w:p>
    <w:p w14:paraId="4F200E93">
      <w:pPr>
        <w:pStyle w:val="14"/>
        <w:spacing w:line="400" w:lineRule="atLeast"/>
        <w:ind w:firstLine="480" w:firstLineChars="200"/>
        <w:rPr>
          <w:rFonts w:ascii="仿宋_GB2312" w:hAnsi="仿宋_GB2312" w:eastAsia="仿宋_GB2312" w:cs="仿宋_GB2312"/>
          <w:color w:val="auto"/>
        </w:rPr>
      </w:pPr>
      <w:r>
        <w:rPr>
          <w:rFonts w:hint="eastAsia" w:ascii="仿宋_GB2312" w:hAnsi="仿宋_GB2312" w:eastAsia="仿宋_GB2312" w:cs="仿宋_GB2312"/>
          <w:color w:val="auto"/>
        </w:rPr>
        <w:t>3.1质量保修期无</w:t>
      </w:r>
    </w:p>
    <w:p w14:paraId="55AEF3E6">
      <w:pPr>
        <w:pStyle w:val="14"/>
        <w:spacing w:line="400" w:lineRule="atLeast"/>
        <w:ind w:firstLine="480" w:firstLineChars="200"/>
        <w:rPr>
          <w:rFonts w:ascii="仿宋_GB2312" w:hAnsi="仿宋_GB2312" w:eastAsia="仿宋_GB2312" w:cs="仿宋_GB2312"/>
          <w:color w:val="auto"/>
        </w:rPr>
      </w:pPr>
      <w:r>
        <w:rPr>
          <w:rFonts w:hint="eastAsia" w:ascii="仿宋_GB2312" w:hAnsi="仿宋_GB2312" w:eastAsia="仿宋_GB2312" w:cs="仿宋_GB2312"/>
          <w:color w:val="auto"/>
        </w:rPr>
        <w:t>3.2质量保修期为</w:t>
      </w:r>
      <w:permStart w:id="32" w:edGrp="everyone"/>
      <w:r>
        <w:rPr>
          <w:rFonts w:hint="eastAsia" w:ascii="仿宋_GB2312" w:hAnsi="仿宋_GB2312" w:eastAsia="仿宋_GB2312" w:cs="仿宋_GB2312"/>
          <w:color w:val="auto"/>
          <w:u w:val="single"/>
        </w:rPr>
        <w:t xml:space="preserve"> 12 </w:t>
      </w:r>
      <w:permEnd w:id="32"/>
      <w:r>
        <w:rPr>
          <w:rFonts w:hint="eastAsia" w:ascii="仿宋_GB2312" w:hAnsi="仿宋_GB2312" w:eastAsia="仿宋_GB2312" w:cs="仿宋_GB2312"/>
          <w:color w:val="auto"/>
        </w:rPr>
        <w:t>个月，自货物进场验收合格之日起算；</w:t>
      </w:r>
    </w:p>
    <w:p w14:paraId="355E046F">
      <w:pPr>
        <w:pStyle w:val="14"/>
        <w:spacing w:line="400" w:lineRule="atLeast"/>
        <w:ind w:firstLine="480" w:firstLineChars="200"/>
        <w:rPr>
          <w:rFonts w:ascii="仿宋_GB2312" w:hAnsi="仿宋_GB2312" w:eastAsia="仿宋_GB2312" w:cs="仿宋_GB2312"/>
          <w:color w:val="auto"/>
        </w:rPr>
      </w:pPr>
      <w:r>
        <w:rPr>
          <w:rFonts w:hint="eastAsia" w:ascii="仿宋_GB2312" w:hAnsi="仿宋_GB2312" w:eastAsia="仿宋_GB2312" w:cs="仿宋_GB2312"/>
          <w:color w:val="auto"/>
        </w:rPr>
        <w:t>3.3质量保修期为</w:t>
      </w:r>
      <w:permStart w:id="33" w:edGrp="everyone"/>
      <w:r>
        <w:rPr>
          <w:rFonts w:hint="eastAsia" w:ascii="仿宋_GB2312" w:hAnsi="仿宋_GB2312" w:eastAsia="仿宋_GB2312" w:cs="仿宋_GB2312"/>
          <w:color w:val="auto"/>
          <w:u w:val="single"/>
        </w:rPr>
        <w:t xml:space="preserve">      </w:t>
      </w:r>
      <w:permEnd w:id="33"/>
      <w:r>
        <w:rPr>
          <w:rFonts w:hint="eastAsia" w:ascii="仿宋_GB2312" w:hAnsi="仿宋_GB2312" w:eastAsia="仿宋_GB2312" w:cs="仿宋_GB2312"/>
          <w:color w:val="auto"/>
        </w:rPr>
        <w:t>个月，从工程（送货地工程）竣工验收合格之日（以业主颁发竣工证书所载日期为准）起计算；</w:t>
      </w:r>
    </w:p>
    <w:p w14:paraId="311CEFB3">
      <w:pPr>
        <w:pStyle w:val="14"/>
        <w:spacing w:line="400" w:lineRule="atLeast"/>
        <w:ind w:firstLine="480" w:firstLineChars="200"/>
        <w:rPr>
          <w:rFonts w:ascii="仿宋_GB2312" w:hAnsi="仿宋_GB2312" w:eastAsia="仿宋_GB2312" w:cs="仿宋_GB2312"/>
          <w:color w:val="auto"/>
        </w:rPr>
      </w:pPr>
      <w:r>
        <w:rPr>
          <w:rFonts w:hint="eastAsia" w:ascii="仿宋_GB2312" w:hAnsi="仿宋_GB2312" w:eastAsia="仿宋_GB2312" w:cs="仿宋_GB2312"/>
          <w:color w:val="auto"/>
        </w:rPr>
        <w:t>所有货物须保证满足现场使用要求，如货物在质量保修期内出现质量瑕疵或者缺陷的，由乙方按照甲方的时间要求免费维修或者更换，经甲方要求整改一次仍无法达到合同要求时，甲方可自行或委托第三方代为履行，并以实际发生费用从乙方的应付款中扣除。</w:t>
      </w:r>
    </w:p>
    <w:p w14:paraId="3B58EC6F">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9" w:name="_Toc22036"/>
      <w:bookmarkStart w:id="20" w:name="_Toc12481"/>
      <w:bookmarkStart w:id="21" w:name="_Toc3621"/>
      <w:r>
        <w:rPr>
          <w:rFonts w:hint="eastAsia" w:ascii="仿宋_GB2312" w:hAnsi="仿宋_GB2312" w:eastAsia="仿宋_GB2312" w:cs="仿宋_GB2312"/>
          <w:b/>
          <w:bCs/>
          <w:color w:val="000000" w:themeColor="text1"/>
          <w14:textFill>
            <w14:solidFill>
              <w14:schemeClr w14:val="tx1"/>
            </w14:solidFill>
          </w14:textFill>
        </w:rPr>
        <w:t>货物验收</w:t>
      </w:r>
      <w:bookmarkEnd w:id="19"/>
      <w:bookmarkEnd w:id="20"/>
      <w:bookmarkEnd w:id="21"/>
    </w:p>
    <w:p w14:paraId="2D72F361">
      <w:pPr>
        <w:pStyle w:val="14"/>
        <w:numPr>
          <w:ilvl w:val="0"/>
          <w:numId w:val="3"/>
        </w:numPr>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验收人员：</w:t>
      </w:r>
      <w:r>
        <w:rPr>
          <w:rFonts w:hint="eastAsia" w:ascii="仿宋_GB2312" w:hAnsi="仿宋_GB2312" w:eastAsia="仿宋_GB2312" w:cs="仿宋_GB2312"/>
          <w:color w:val="auto"/>
        </w:rPr>
        <w:t>货物进场需由甲方物资管理人员（不少于2人）、</w:t>
      </w:r>
      <w:bookmarkStart w:id="22" w:name="_Hlk127189311"/>
      <w:r>
        <w:rPr>
          <w:rFonts w:hint="eastAsia" w:ascii="仿宋_GB2312" w:hAnsi="仿宋_GB2312" w:eastAsia="仿宋_GB2312" w:cs="仿宋_GB2312"/>
          <w:color w:val="auto"/>
        </w:rPr>
        <w:t>现场责任</w:t>
      </w:r>
      <w:bookmarkEnd w:id="22"/>
      <w:r>
        <w:rPr>
          <w:rFonts w:hint="eastAsia" w:ascii="仿宋_GB2312" w:hAnsi="仿宋_GB2312" w:eastAsia="仿宋_GB2312" w:cs="仿宋_GB2312"/>
          <w:color w:val="auto"/>
        </w:rPr>
        <w:t>工程师、分包单位和乙方发货联系人共同完成现场验收，现场验收不代表货物质量合格，质量是否合格需要进一步复核确定。</w:t>
      </w:r>
    </w:p>
    <w:p w14:paraId="33895B90">
      <w:pPr>
        <w:pStyle w:val="14"/>
        <w:numPr>
          <w:ilvl w:val="0"/>
          <w:numId w:val="3"/>
        </w:numPr>
        <w:spacing w:line="400" w:lineRule="atLeast"/>
        <w:ind w:firstLine="482" w:firstLineChars="200"/>
        <w:jc w:val="both"/>
        <w:outlineLvl w:val="1"/>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验收方式：</w:t>
      </w:r>
      <w:r>
        <w:rPr>
          <w:rFonts w:hint="eastAsia" w:ascii="仿宋_GB2312" w:hAnsi="仿宋_GB2312" w:eastAsia="仿宋_GB2312" w:cs="仿宋_GB2312"/>
          <w:color w:val="000000" w:themeColor="text1"/>
          <w:u w:val="single"/>
          <w14:textFill>
            <w14:solidFill>
              <w14:schemeClr w14:val="tx1"/>
            </w14:solidFill>
          </w14:textFill>
        </w:rPr>
        <w:t>以智能地磅、云筑收验货系统为主要载体，结合视频监控系统，完成核对凭证、外观质量验收、数量验收和检测报告四步验收，甲方收货联系人出具过磅单、收料单，甲方收货联系人及乙方发货联系人双方签字后视为验收完成。</w:t>
      </w:r>
    </w:p>
    <w:p w14:paraId="0885B9CF">
      <w:pPr>
        <w:pStyle w:val="14"/>
        <w:numPr>
          <w:ilvl w:val="0"/>
          <w:numId w:val="3"/>
        </w:numPr>
        <w:spacing w:line="400" w:lineRule="atLeast"/>
        <w:ind w:firstLine="482" w:firstLineChars="200"/>
        <w:outlineLvl w:val="1"/>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数量验收：</w:t>
      </w:r>
    </w:p>
    <w:p w14:paraId="6662079D">
      <w:pPr>
        <w:pStyle w:val="14"/>
        <w:spacing w:line="400" w:lineRule="atLeast"/>
        <w:ind w:firstLine="482" w:firstLineChars="200"/>
        <w:rPr>
          <w:rFonts w:ascii="仿宋_GB2312" w:hAnsi="仿宋_GB2312" w:eastAsia="仿宋_GB2312" w:cs="仿宋_GB2312"/>
        </w:rPr>
      </w:pPr>
      <w:r>
        <w:rPr>
          <w:rFonts w:hint="eastAsia" w:ascii="仿宋_GB2312" w:hAnsi="仿宋_GB2312" w:eastAsia="仿宋_GB2312" w:cs="仿宋_GB2312"/>
          <w:b/>
          <w:bCs/>
          <w:color w:val="000000" w:themeColor="text1"/>
          <w14:textFill>
            <w14:solidFill>
              <w14:schemeClr w14:val="tx1"/>
            </w14:solidFill>
          </w14:textFill>
        </w:rPr>
        <w:t>3.1数量验收方式：</w:t>
      </w:r>
      <w:r>
        <w:rPr>
          <w:rFonts w:hint="eastAsia" w:ascii="仿宋_GB2312" w:hAnsi="仿宋_GB2312" w:eastAsia="仿宋_GB2312" w:cs="仿宋_GB2312"/>
        </w:rPr>
        <w:t>甲乙双方在交货现场以</w:t>
      </w:r>
      <w:permStart w:id="34" w:edGrp="everyone"/>
      <w:r>
        <w:rPr>
          <w:rFonts w:hint="eastAsia" w:ascii="仿宋_GB2312" w:hAnsi="仿宋_GB2312" w:eastAsia="仿宋_GB2312" w:cs="仿宋_GB2312"/>
        </w:rPr>
        <w:t>☑</w:t>
      </w:r>
      <w:permEnd w:id="34"/>
      <w:r>
        <w:rPr>
          <w:rFonts w:hint="eastAsia" w:ascii="仿宋_GB2312" w:hAnsi="仿宋_GB2312" w:eastAsia="仿宋_GB2312" w:cs="仿宋_GB2312"/>
        </w:rPr>
        <w:t>过磅/</w:t>
      </w:r>
      <w:permStart w:id="35" w:edGrp="everyone"/>
      <w:r>
        <w:rPr>
          <w:rFonts w:hint="eastAsia" w:ascii="仿宋_GB2312" w:hAnsi="仿宋_GB2312" w:eastAsia="仿宋_GB2312" w:cs="仿宋_GB2312"/>
        </w:rPr>
        <w:t>□</w:t>
      </w:r>
      <w:permEnd w:id="35"/>
      <w:r>
        <w:rPr>
          <w:rFonts w:hint="eastAsia" w:ascii="仿宋_GB2312" w:hAnsi="仿宋_GB2312" w:eastAsia="仿宋_GB2312" w:cs="仿宋_GB2312"/>
        </w:rPr>
        <w:t xml:space="preserve"> 计件/</w:t>
      </w:r>
      <w:permStart w:id="36" w:edGrp="everyone"/>
      <w:r>
        <w:rPr>
          <w:rFonts w:hint="eastAsia" w:ascii="仿宋_GB2312" w:hAnsi="仿宋_GB2312" w:eastAsia="仿宋_GB2312" w:cs="仿宋_GB2312"/>
        </w:rPr>
        <w:t xml:space="preserve">□ </w:t>
      </w:r>
      <w:permEnd w:id="36"/>
      <w:r>
        <w:rPr>
          <w:rFonts w:hint="eastAsia" w:ascii="仿宋_GB2312" w:hAnsi="仿宋_GB2312" w:eastAsia="仿宋_GB2312" w:cs="仿宋_GB2312"/>
        </w:rPr>
        <w:t>检尺/</w:t>
      </w:r>
      <w:permStart w:id="37" w:edGrp="everyone"/>
      <w:r>
        <w:rPr>
          <w:rFonts w:hint="eastAsia" w:ascii="仿宋_GB2312" w:hAnsi="仿宋_GB2312" w:eastAsia="仿宋_GB2312" w:cs="仿宋_GB2312"/>
        </w:rPr>
        <w:t xml:space="preserve">□ </w:t>
      </w:r>
      <w:permEnd w:id="37"/>
      <w:r>
        <w:rPr>
          <w:rFonts w:hint="eastAsia" w:ascii="仿宋_GB2312" w:hAnsi="仿宋_GB2312" w:eastAsia="仿宋_GB2312" w:cs="仿宋_GB2312"/>
        </w:rPr>
        <w:t>其他计量方式</w:t>
      </w:r>
      <w:permStart w:id="38" w:edGrp="everyone"/>
      <w:r>
        <w:rPr>
          <w:rFonts w:hint="eastAsia" w:ascii="仿宋_GB2312" w:hAnsi="仿宋_GB2312" w:eastAsia="仿宋_GB2312" w:cs="仿宋_GB2312"/>
          <w:u w:val="single"/>
        </w:rPr>
        <w:t xml:space="preserve"> / </w:t>
      </w:r>
      <w:permEnd w:id="38"/>
      <w:r>
        <w:rPr>
          <w:rFonts w:hint="eastAsia" w:ascii="仿宋_GB2312" w:hAnsi="仿宋_GB2312" w:eastAsia="仿宋_GB2312" w:cs="仿宋_GB2312"/>
        </w:rPr>
        <w:t>进行数量验收，乙方应对在甲方工地现场的数量验收数据进行确认。</w:t>
      </w:r>
    </w:p>
    <w:p w14:paraId="42E7EB4F">
      <w:pPr>
        <w:pStyle w:val="14"/>
        <w:spacing w:line="400" w:lineRule="atLeast"/>
        <w:ind w:firstLine="482" w:firstLineChars="200"/>
        <w:rPr>
          <w:rFonts w:ascii="仿宋_GB2312" w:hAnsi="仿宋_GB2312" w:eastAsia="仿宋_GB2312" w:cs="仿宋_GB2312"/>
        </w:rPr>
      </w:pPr>
      <w:r>
        <w:rPr>
          <w:rFonts w:hint="eastAsia" w:ascii="仿宋_GB2312" w:hAnsi="仿宋_GB2312" w:eastAsia="仿宋_GB2312" w:cs="仿宋_GB2312"/>
          <w:b/>
          <w:bCs/>
        </w:rPr>
        <w:t>3.2数量验收凭据：</w:t>
      </w:r>
      <w:r>
        <w:rPr>
          <w:rFonts w:hint="eastAsia" w:ascii="仿宋_GB2312" w:hAnsi="仿宋_GB2312" w:eastAsia="仿宋_GB2312" w:cs="仿宋_GB2312"/>
        </w:rPr>
        <w:t>由甲方物资负责人及相应验收收料人员共同签署的收货凭据（包括但不限于过磅单据、收料单、供货小票、月度统计单或其他数量统计文件等）仅作为甲方收到乙方所供应物资的数量、型号、规格、到场时间等的证明，而不作为甲方付款及结算的唯一凭证，无论该收货凭据上是否载有单价、合价或合计等涉及价款的内容，且乙方不得以此要求甲方支付任何款项或承担任何责任。甲方项目经理部除物资负责人外的其他任何人员签署的任何形式的收货凭据不作为交易物进场的依据，乙方对甲方签字人员权限负有审查义务。</w:t>
      </w:r>
    </w:p>
    <w:p w14:paraId="5F164ED9">
      <w:pPr>
        <w:pStyle w:val="14"/>
        <w:spacing w:line="400" w:lineRule="atLeast"/>
        <w:ind w:firstLine="482" w:firstLineChars="200"/>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b/>
          <w:bCs/>
        </w:rPr>
        <w:t>3.3数量争议：</w:t>
      </w:r>
      <w:r>
        <w:rPr>
          <w:rFonts w:hint="eastAsia" w:ascii="仿宋_GB2312" w:hAnsi="仿宋_GB2312" w:eastAsia="仿宋_GB2312" w:cs="仿宋_GB2312"/>
          <w:color w:val="000000" w:themeColor="text1"/>
          <w14:textFill>
            <w14:solidFill>
              <w14:schemeClr w14:val="tx1"/>
            </w14:solidFill>
          </w14:textFill>
        </w:rPr>
        <w:t>甲方如有数量异议，应在收货后7天内提出，</w:t>
      </w:r>
      <w:r>
        <w:rPr>
          <w:rFonts w:hint="eastAsia" w:ascii="仿宋_GB2312" w:hAnsi="仿宋_GB2312" w:eastAsia="仿宋_GB2312" w:cs="仿宋_GB2312"/>
          <w:b/>
          <w:bCs/>
          <w:color w:val="000000" w:themeColor="text1"/>
          <w14:textFill>
            <w14:solidFill>
              <w14:schemeClr w14:val="tx1"/>
            </w14:solidFill>
          </w14:textFill>
        </w:rPr>
        <w:t>乙方应在3天内作出答复，未回复视为认可甲方验收数量</w:t>
      </w:r>
      <w:r>
        <w:rPr>
          <w:rFonts w:hint="eastAsia" w:ascii="仿宋_GB2312" w:hAnsi="仿宋_GB2312" w:eastAsia="仿宋_GB2312" w:cs="仿宋_GB2312"/>
          <w:color w:val="000000" w:themeColor="text1"/>
          <w14:textFill>
            <w14:solidFill>
              <w14:schemeClr w14:val="tx1"/>
            </w14:solidFill>
          </w14:textFill>
        </w:rPr>
        <w:t>。</w:t>
      </w:r>
    </w:p>
    <w:p w14:paraId="05471188">
      <w:pPr>
        <w:pStyle w:val="14"/>
        <w:numPr>
          <w:ilvl w:val="0"/>
          <w:numId w:val="3"/>
        </w:numPr>
        <w:spacing w:line="400" w:lineRule="atLeast"/>
        <w:ind w:firstLine="482" w:firstLineChars="200"/>
        <w:outlineLvl w:val="1"/>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质量验收：</w:t>
      </w:r>
    </w:p>
    <w:p w14:paraId="062649CC">
      <w:pPr>
        <w:pStyle w:val="14"/>
        <w:spacing w:line="400" w:lineRule="atLeast"/>
        <w:ind w:firstLine="482" w:firstLineChars="200"/>
        <w:rPr>
          <w:rFonts w:ascii="仿宋_GB2312" w:hAnsi="仿宋_GB2312" w:eastAsia="仿宋_GB2312" w:cs="仿宋_GB2312"/>
          <w:color w:val="FF0000"/>
        </w:rPr>
      </w:pPr>
      <w:r>
        <w:rPr>
          <w:rFonts w:hint="eastAsia" w:ascii="仿宋_GB2312" w:hAnsi="仿宋_GB2312" w:eastAsia="仿宋_GB2312" w:cs="仿宋_GB2312"/>
          <w:b/>
          <w:bCs/>
          <w:color w:val="000000" w:themeColor="text1"/>
          <w14:textFill>
            <w14:solidFill>
              <w14:schemeClr w14:val="tx1"/>
            </w14:solidFill>
          </w14:textFill>
        </w:rPr>
        <w:t>4.1外观验收：</w:t>
      </w:r>
      <w:r>
        <w:rPr>
          <w:rFonts w:hint="eastAsia" w:ascii="仿宋_GB2312" w:hAnsi="仿宋_GB2312" w:eastAsia="仿宋_GB2312" w:cs="仿宋_GB2312"/>
          <w:color w:val="000000" w:themeColor="text1"/>
          <w14:textFill>
            <w14:solidFill>
              <w14:schemeClr w14:val="tx1"/>
            </w14:solidFill>
          </w14:textFill>
        </w:rPr>
        <w:t>甲方按照本合同约定的标准及乙方提交的货物附件清单中产品质量证明书等资料作为外观验收标准,外观质量符合合同要求方可卸车,否则不得卸车。</w:t>
      </w:r>
    </w:p>
    <w:p w14:paraId="35073BD2">
      <w:pPr>
        <w:spacing w:line="40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bCs/>
          <w:sz w:val="24"/>
          <w:szCs w:val="24"/>
        </w:rPr>
        <w:t>4.2送样要求：</w:t>
      </w:r>
      <w:r>
        <w:rPr>
          <w:rFonts w:hint="eastAsia" w:ascii="仿宋_GB2312" w:hAnsi="仿宋_GB2312" w:eastAsia="仿宋_GB2312" w:cs="仿宋_GB2312"/>
          <w:sz w:val="24"/>
          <w:szCs w:val="24"/>
        </w:rPr>
        <w:t>对于甲方要求提前送样的货物,乙方应按照甲方要求送审材料样品，样品送审内容包括但不限于材料样品本身，还包括提供样品材料的</w:t>
      </w:r>
      <w:permStart w:id="39" w:edGrp="everyone"/>
      <w:r>
        <w:rPr>
          <w:rFonts w:hint="eastAsia" w:ascii="仿宋_GB2312" w:hAnsi="仿宋_GB2312" w:eastAsia="仿宋_GB2312" w:cs="仿宋_GB2312"/>
          <w:sz w:val="24"/>
          <w:szCs w:val="24"/>
          <w:u w:val="single"/>
        </w:rPr>
        <w:t>质量、外观、品牌、商标、规格、型号、花色、标识、生产厂家、产品生产许可证、产品质量证明书、出厂合格证、产品检验报告</w:t>
      </w:r>
      <w:permEnd w:id="39"/>
      <w:r>
        <w:rPr>
          <w:rFonts w:hint="eastAsia" w:ascii="仿宋_GB2312" w:hAnsi="仿宋_GB2312" w:eastAsia="仿宋_GB2312" w:cs="仿宋_GB2312"/>
          <w:sz w:val="24"/>
          <w:szCs w:val="24"/>
        </w:rPr>
        <w:t>等相关的技术质量资料。一旦甲、乙双方签约后且材料的样品得到甲方、业主及监理认可并且封存样品后，未经甲方、业主及监理同意，乙方不得作任何变更。</w:t>
      </w:r>
    </w:p>
    <w:p w14:paraId="64036C3D">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rPr>
        <w:t>正式交货时材料的相关技术质量资料应保持和样品一致，如所进材料和样品不一致，属乙方违约，</w:t>
      </w:r>
      <w:bookmarkStart w:id="23" w:name="_Hlk126833969"/>
      <w:r>
        <w:rPr>
          <w:rFonts w:hint="eastAsia" w:ascii="仿宋_GB2312" w:hAnsi="仿宋_GB2312" w:eastAsia="仿宋_GB2312" w:cs="仿宋_GB2312"/>
          <w:b/>
          <w:bCs/>
        </w:rPr>
        <w:t>乙方</w:t>
      </w:r>
      <w:r>
        <w:rPr>
          <w:rFonts w:hint="eastAsia" w:ascii="仿宋_GB2312" w:hAnsi="仿宋_GB2312" w:eastAsia="仿宋_GB2312" w:cs="仿宋_GB2312"/>
          <w:b/>
          <w:bCs/>
          <w:color w:val="auto"/>
        </w:rPr>
        <w:t>按合同第二部分第二条违约条款</w:t>
      </w:r>
      <w:r>
        <w:rPr>
          <w:rFonts w:hint="eastAsia" w:ascii="仿宋_GB2312" w:hAnsi="仿宋_GB2312" w:eastAsia="仿宋_GB2312" w:cs="仿宋_GB2312"/>
          <w:b/>
          <w:bCs/>
        </w:rPr>
        <w:t>承担违约责任，并赔偿由此给甲方带来的全部经济损失</w:t>
      </w:r>
      <w:bookmarkEnd w:id="23"/>
      <w:r>
        <w:rPr>
          <w:rFonts w:hint="eastAsia" w:ascii="仿宋_GB2312" w:hAnsi="仿宋_GB2312" w:eastAsia="仿宋_GB2312" w:cs="仿宋_GB2312"/>
          <w:color w:val="000000" w:themeColor="text1"/>
          <w14:textFill>
            <w14:solidFill>
              <w14:schemeClr w14:val="tx1"/>
            </w14:solidFill>
          </w14:textFill>
        </w:rPr>
        <w:t>。</w:t>
      </w:r>
    </w:p>
    <w:p w14:paraId="6C89DCBD">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4.3质量检测：</w:t>
      </w:r>
      <w:r>
        <w:rPr>
          <w:rFonts w:hint="eastAsia" w:ascii="仿宋_GB2312" w:hAnsi="仿宋_GB2312" w:eastAsia="仿宋_GB2312" w:cs="仿宋_GB2312"/>
          <w:color w:val="000000" w:themeColor="text1"/>
          <w14:textFill>
            <w14:solidFill>
              <w14:schemeClr w14:val="tx1"/>
            </w14:solidFill>
          </w14:textFill>
        </w:rPr>
        <w:t>货物应在产品使用前进行检测，待检测合格后方可使用；如检测不合格，由乙方负责在48小时内包退包换，并承担往来运输费、上下车的力资费及相应工期损失、经济损失。</w:t>
      </w:r>
    </w:p>
    <w:p w14:paraId="01963A15">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业主、监理、设计单位及甲方均有权随机抽样对货物进行第三方检测或测试，乙方有责任协助甲方完成相关测试工作，若供货材料抽样检测不合格，乙方应承担相应费用和损失。</w:t>
      </w:r>
    </w:p>
    <w:p w14:paraId="0D73D47D">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4.4质量争议：</w:t>
      </w:r>
      <w:r>
        <w:rPr>
          <w:rFonts w:hint="eastAsia" w:ascii="仿宋_GB2312" w:hAnsi="仿宋_GB2312" w:eastAsia="仿宋_GB2312" w:cs="仿宋_GB2312"/>
          <w:color w:val="000000" w:themeColor="text1"/>
          <w14:textFill>
            <w14:solidFill>
              <w14:schemeClr w14:val="tx1"/>
            </w14:solidFill>
          </w14:textFill>
        </w:rPr>
        <w:t>货物如有质量异议，应在收货后7天向对方提出，乙方应在3天内作出答复，未回复视为认可货物质量瑕疵或缺陷。因质量发生争议，双方同意共同取样并送交</w:t>
      </w:r>
      <w:permStart w:id="40"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0"/>
      <w:r>
        <w:rPr>
          <w:rFonts w:hint="eastAsia" w:ascii="仿宋_GB2312" w:hAnsi="仿宋_GB2312" w:eastAsia="仿宋_GB2312" w:cs="仿宋_GB2312"/>
          <w:color w:val="000000" w:themeColor="text1"/>
          <w14:textFill>
            <w14:solidFill>
              <w14:schemeClr w14:val="tx1"/>
            </w14:solidFill>
          </w14:textFill>
        </w:rPr>
        <w:t>检测站进行检验，并以该机构的检验结果为准，因此而发生的费用由责任方承担。如出现不合格品，乙方应在甲方规定时间内包退包换，所发生的费用由乙方承担。</w:t>
      </w:r>
    </w:p>
    <w:p w14:paraId="4B488B50">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不符合本合同约定要求的货物甲方有权拒绝签收，乙方应立即将该货物全部运离现场并承担相应费用，同时在供货期限内重新更换符合约定的货物。如不能及时运离并在供货期限内重新更换符合约定的货物送达交货地点，甲方有权单方面解除合同，并要求乙方承担甲方相应损失。</w:t>
      </w:r>
    </w:p>
    <w:p w14:paraId="4A8FCB76">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4.5更换原则：</w:t>
      </w:r>
      <w:r>
        <w:rPr>
          <w:rFonts w:hint="eastAsia" w:ascii="仿宋_GB2312" w:hAnsi="仿宋_GB2312" w:eastAsia="仿宋_GB2312" w:cs="仿宋_GB2312"/>
          <w:color w:val="000000" w:themeColor="text1"/>
          <w14:textFill>
            <w14:solidFill>
              <w14:schemeClr w14:val="tx1"/>
            </w14:solidFill>
          </w14:textFill>
        </w:rPr>
        <w:t>由于任何一方原因引起产品更换或补发的时间延长,均以不影响工程进度为原则，如造成影响，则由责任方承担由此导致的后果。</w:t>
      </w:r>
    </w:p>
    <w:p w14:paraId="4849EE20">
      <w:pPr>
        <w:pStyle w:val="14"/>
        <w:spacing w:line="400" w:lineRule="atLeast"/>
        <w:ind w:firstLine="482" w:firstLineChars="200"/>
        <w:rPr>
          <w:rFonts w:ascii="仿宋_GB2312" w:hAnsi="仿宋_GB2312" w:eastAsia="仿宋_GB2312" w:cs="仿宋_GB2312"/>
        </w:rPr>
      </w:pPr>
      <w:r>
        <w:rPr>
          <w:rFonts w:hint="eastAsia" w:ascii="仿宋_GB2312" w:hAnsi="仿宋_GB2312" w:eastAsia="仿宋_GB2312" w:cs="仿宋_GB2312"/>
          <w:b/>
          <w:bCs/>
          <w:color w:val="000000" w:themeColor="text1"/>
          <w14:textFill>
            <w14:solidFill>
              <w14:schemeClr w14:val="tx1"/>
            </w14:solidFill>
          </w14:textFill>
        </w:rPr>
        <w:t>4.6验收责任：</w:t>
      </w:r>
      <w:r>
        <w:rPr>
          <w:rFonts w:hint="eastAsia" w:ascii="仿宋_GB2312" w:hAnsi="仿宋_GB2312" w:eastAsia="仿宋_GB2312" w:cs="仿宋_GB2312"/>
          <w:color w:val="000000" w:themeColor="text1"/>
          <w14:textFill>
            <w14:solidFill>
              <w14:schemeClr w14:val="tx1"/>
            </w14:solidFill>
          </w14:textFill>
        </w:rPr>
        <w:t>甲方参与对乙方材料的验收并不能免除乙方应承担的责任，如在材料到场验收时未发现质量问题，但在使用时或使用后发现确实因该批材料质量未达到规定要求而造成相应损失，如返工、工期延长等经济和工期损失由乙方承担。</w:t>
      </w:r>
      <w:r>
        <w:rPr>
          <w:rFonts w:hint="eastAsia" w:ascii="仿宋_GB2312" w:hAnsi="仿宋_GB2312" w:eastAsia="仿宋_GB2312" w:cs="仿宋_GB2312"/>
          <w:b/>
          <w:bCs/>
          <w:color w:val="000000" w:themeColor="text1"/>
          <w14:textFill>
            <w14:solidFill>
              <w14:schemeClr w14:val="tx1"/>
            </w14:solidFill>
          </w14:textFill>
        </w:rPr>
        <w:t>所造成的经济损失，甲方可直接从应付款中扣除，乙方对此不持异议。</w:t>
      </w:r>
      <w:r>
        <w:rPr>
          <w:rFonts w:hint="eastAsia" w:ascii="仿宋_GB2312" w:hAnsi="仿宋_GB2312" w:eastAsia="仿宋_GB2312" w:cs="仿宋_GB2312"/>
          <w:color w:val="000000" w:themeColor="text1"/>
          <w14:textFill>
            <w14:solidFill>
              <w14:schemeClr w14:val="tx1"/>
            </w14:solidFill>
          </w14:textFill>
        </w:rPr>
        <w:t>对于由该质量问题引起的工程坍塌、人员伤亡等重大事故，乙方应承担直接经济和法律责任。</w:t>
      </w:r>
      <w:r>
        <w:rPr>
          <w:rFonts w:hint="eastAsia" w:ascii="仿宋_GB2312" w:hAnsi="仿宋_GB2312" w:eastAsia="仿宋_GB2312" w:cs="仿宋_GB2312"/>
          <w:b/>
          <w:bCs/>
          <w:color w:val="000000" w:themeColor="text1"/>
          <w14:textFill>
            <w14:solidFill>
              <w14:schemeClr w14:val="tx1"/>
            </w14:solidFill>
          </w14:textFill>
        </w:rPr>
        <w:t>若由甲方先行承担的，甲方可在任何一笔货款支付中予以扣除，乙方对此不持</w:t>
      </w:r>
      <w:r>
        <w:rPr>
          <w:rFonts w:hint="eastAsia" w:ascii="仿宋_GB2312" w:hAnsi="仿宋_GB2312" w:eastAsia="仿宋_GB2312" w:cs="仿宋_GB2312"/>
          <w:b/>
          <w:bCs/>
        </w:rPr>
        <w:t>异议。</w:t>
      </w:r>
    </w:p>
    <w:p w14:paraId="7FA4A5D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24" w:name="_Toc22166"/>
      <w:bookmarkStart w:id="25" w:name="_Toc23953"/>
      <w:bookmarkStart w:id="26" w:name="_Toc24231"/>
      <w:r>
        <w:rPr>
          <w:rFonts w:hint="eastAsia" w:ascii="仿宋_GB2312" w:hAnsi="仿宋_GB2312" w:eastAsia="仿宋_GB2312" w:cs="仿宋_GB2312"/>
          <w:color w:val="000000" w:themeColor="text1"/>
          <w14:textFill>
            <w14:solidFill>
              <w14:schemeClr w14:val="tx1"/>
            </w14:solidFill>
          </w14:textFill>
        </w:rPr>
        <w:t>4.7对于工程中的剩余或未使用到的货物在不严重影响外观、质量和功能的情况下甲方有权退货，退货原则上以合同约定的含税单价为准，确因商品特殊的（比如定制等），价格双方协商，协商不一致的，按照合同含税单价的</w:t>
      </w:r>
      <w:permStart w:id="41"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80 </w:t>
      </w:r>
      <w:permEnd w:id="41"/>
      <w:r>
        <w:rPr>
          <w:rFonts w:hint="eastAsia" w:ascii="仿宋_GB2312" w:hAnsi="仿宋_GB2312" w:eastAsia="仿宋_GB2312" w:cs="仿宋_GB2312"/>
          <w:color w:val="000000" w:themeColor="text1"/>
          <w14:textFill>
            <w14:solidFill>
              <w14:schemeClr w14:val="tx1"/>
            </w14:solidFill>
          </w14:textFill>
        </w:rPr>
        <w:t>%退货，退货数量以实际数量为准。</w:t>
      </w:r>
    </w:p>
    <w:p w14:paraId="3272D40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4.8其他：</w:t>
      </w:r>
      <w:permStart w:id="42"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w:t>
      </w:r>
      <w:r>
        <w:rPr>
          <w:rFonts w:ascii="仿宋_GB2312" w:hAnsi="仿宋_GB2312" w:eastAsia="仿宋_GB2312" w:cs="仿宋_GB2312"/>
          <w:color w:val="000000" w:themeColor="text1"/>
          <w:u w:val="single"/>
          <w14:textFill>
            <w14:solidFill>
              <w14:schemeClr w14:val="tx1"/>
            </w14:solidFill>
          </w14:textFill>
        </w:rPr>
        <w:t xml:space="preserve">  </w:t>
      </w:r>
      <w:permEnd w:id="42"/>
      <w:r>
        <w:rPr>
          <w:rFonts w:hint="eastAsia" w:ascii="仿宋_GB2312" w:hAnsi="仿宋_GB2312" w:eastAsia="仿宋_GB2312" w:cs="仿宋_GB2312"/>
          <w:color w:val="000000" w:themeColor="text1"/>
          <w14:textFill>
            <w14:solidFill>
              <w14:schemeClr w14:val="tx1"/>
            </w14:solidFill>
          </w14:textFill>
        </w:rPr>
        <w:t>。</w:t>
      </w:r>
    </w:p>
    <w:p w14:paraId="4F56D4AA">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货物结算</w:t>
      </w:r>
      <w:bookmarkEnd w:id="24"/>
      <w:bookmarkEnd w:id="25"/>
      <w:bookmarkEnd w:id="26"/>
    </w:p>
    <w:p w14:paraId="2AB43876">
      <w:pPr>
        <w:pStyle w:val="14"/>
        <w:numPr>
          <w:ilvl w:val="0"/>
          <w:numId w:val="4"/>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结算周期：</w:t>
      </w:r>
    </w:p>
    <w:p w14:paraId="273F5ED2">
      <w:pPr>
        <w:pStyle w:val="14"/>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乙方每月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与甲方核对上月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至本月</w:t>
      </w:r>
      <w:r>
        <w:rPr>
          <w:rFonts w:hint="eastAsia" w:ascii="仿宋_GB2312" w:hAnsi="仿宋_GB2312" w:eastAsia="仿宋_GB2312" w:cs="仿宋_GB2312"/>
          <w:color w:val="000000" w:themeColor="text1"/>
          <w:u w:val="single"/>
          <w14:textFill>
            <w14:solidFill>
              <w14:schemeClr w14:val="tx1"/>
            </w14:solidFill>
          </w14:textFill>
        </w:rPr>
        <w:t>15日</w:t>
      </w:r>
      <w:r>
        <w:rPr>
          <w:rFonts w:hint="eastAsia" w:ascii="仿宋_GB2312" w:hAnsi="仿宋_GB2312" w:eastAsia="仿宋_GB2312" w:cs="仿宋_GB2312"/>
          <w:color w:val="000000" w:themeColor="text1"/>
          <w14:textFill>
            <w14:solidFill>
              <w14:schemeClr w14:val="tx1"/>
            </w14:solidFill>
          </w14:textFill>
        </w:rPr>
        <w:t>所供材料数量，并办理完结算手续。</w:t>
      </w:r>
      <w:r>
        <w:rPr>
          <w:rFonts w:hint="eastAsia" w:ascii="仿宋_GB2312" w:hAnsi="仿宋_GB2312" w:eastAsia="仿宋_GB2312" w:cs="仿宋_GB2312"/>
          <w:b/>
          <w:bCs/>
          <w:color w:val="000000" w:themeColor="text1"/>
          <w14:textFill>
            <w14:solidFill>
              <w14:schemeClr w14:val="tx1"/>
            </w14:solidFill>
          </w14:textFill>
        </w:rPr>
        <w:t>因乙方不配合签认结算单等原因超出本合同规定时间未办理完结算手续，乙方在此期间无权要求甲方付款及追究甲方任何违约责任或要求赔偿资金占用费等损失，同时甲方保留单方办理结算的权利且视为乙方认可甲方审定的结算金额。</w:t>
      </w:r>
    </w:p>
    <w:p w14:paraId="345B1C84">
      <w:pPr>
        <w:pStyle w:val="14"/>
        <w:numPr>
          <w:ilvl w:val="0"/>
          <w:numId w:val="4"/>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结算流程：</w:t>
      </w:r>
    </w:p>
    <w:p w14:paraId="2B7ED8EF">
      <w:pPr>
        <w:pStyle w:val="14"/>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双方结算分为过程结算及最终结算。过程结算按下表流程进行。最终结算于供货完成、验收合格且未出现任何质量问题后一个月内办理，最终结算需附物资买卖合同结算协议书。</w:t>
      </w:r>
    </w:p>
    <w:p w14:paraId="6EC41187">
      <w:pPr>
        <w:pStyle w:val="14"/>
        <w:numPr>
          <w:ilvl w:val="0"/>
          <w:numId w:val="4"/>
        </w:numPr>
        <w:spacing w:line="400" w:lineRule="atLeast"/>
        <w:ind w:firstLine="482"/>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-12065</wp:posOffset>
                </wp:positionH>
                <wp:positionV relativeFrom="paragraph">
                  <wp:posOffset>101600</wp:posOffset>
                </wp:positionV>
                <wp:extent cx="5080000" cy="1210310"/>
                <wp:effectExtent l="4445" t="5080" r="249555" b="22860"/>
                <wp:wrapTopAndBottom/>
                <wp:docPr id="10" name="组合 10"/>
                <wp:cNvGraphicFramePr/>
                <a:graphic xmlns:a="http://schemas.openxmlformats.org/drawingml/2006/main">
                  <a:graphicData uri="http://schemas.microsoft.com/office/word/2010/wordprocessingGroup">
                    <wpg:wgp>
                      <wpg:cNvGrpSpPr/>
                      <wpg:grpSpPr>
                        <a:xfrm>
                          <a:off x="0" y="0"/>
                          <a:ext cx="5080000" cy="1210310"/>
                          <a:chOff x="2064" y="142451"/>
                          <a:chExt cx="8000" cy="1906"/>
                        </a:xfrm>
                      </wpg:grpSpPr>
                      <wpg:grpSp>
                        <wpg:cNvPr id="2" name="组合 5"/>
                        <wpg:cNvGrpSpPr/>
                        <wpg:grpSpPr>
                          <a:xfrm>
                            <a:off x="2064" y="142451"/>
                            <a:ext cx="8000" cy="1907"/>
                            <a:chOff x="4638" y="144974"/>
                            <a:chExt cx="8000" cy="2118"/>
                          </a:xfrm>
                        </wpg:grpSpPr>
                        <wps:wsp>
                          <wps:cNvPr id="4" name="文本框 3"/>
                          <wps:cNvSpPr txBox="1"/>
                          <wps:spPr>
                            <a:xfrm>
                              <a:off x="4655" y="144974"/>
                              <a:ext cx="3492" cy="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B1BCAC">
                                <w:pPr>
                                  <w:pStyle w:val="14"/>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6"/>
                          <wps:cNvSpPr txBox="1"/>
                          <wps:spPr>
                            <a:xfrm>
                              <a:off x="8740" y="144974"/>
                              <a:ext cx="3898" cy="8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AE0A21">
                                <w:pPr>
                                  <w:pStyle w:val="14"/>
                                  <w:outlineLvl w:val="0"/>
                                  <w:rPr>
                                    <w:rFonts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0A863AFB">
                                <w:pPr>
                                  <w:pStyle w:val="14"/>
                                  <w:outlineLvl w:val="0"/>
                                  <w:rPr>
                                    <w:rFonts w:ascii="仿宋_GB2312" w:hAnsi="仿宋_GB2312" w:eastAsia="仿宋_GB2312" w:cs="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8"/>
                          <wps:cNvSpPr txBox="1"/>
                          <wps:spPr>
                            <a:xfrm>
                              <a:off x="4638" y="145859"/>
                              <a:ext cx="3507" cy="12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7124CC">
                                <w:pPr>
                                  <w:pStyle w:val="14"/>
                                  <w:outlineLvl w:val="0"/>
                                  <w:rPr>
                                    <w:rFonts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1"/>
                          <wps:cNvSpPr txBox="1"/>
                          <wps:spPr>
                            <a:xfrm>
                              <a:off x="8706" y="145858"/>
                              <a:ext cx="3927" cy="121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7B9ABF">
                                <w:pPr>
                                  <w:pStyle w:val="14"/>
                                  <w:outlineLvl w:val="0"/>
                                  <w:rPr>
                                    <w:rFonts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0" name="肘形连接符 2"/>
                        <wps:cNvCnPr/>
                        <wps:spPr>
                          <a:xfrm flipH="1">
                            <a:off x="10059" y="142690"/>
                            <a:ext cx="5" cy="973"/>
                          </a:xfrm>
                          <a:prstGeom prst="bentConnector3">
                            <a:avLst>
                              <a:gd name="adj1" fmla="val -750000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21" name="直接箭头连接符 4"/>
                        <wps:cNvCnPr/>
                        <wps:spPr>
                          <a:xfrm>
                            <a:off x="5573" y="142689"/>
                            <a:ext cx="593" cy="1"/>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2" name="直接箭头连接符 7"/>
                        <wps:cNvCnPr/>
                        <wps:spPr>
                          <a:xfrm flipH="1">
                            <a:off x="5571" y="143663"/>
                            <a:ext cx="561" cy="7"/>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0.95pt;margin-top:8pt;height:95.3pt;width:400pt;mso-wrap-distance-bottom:0pt;mso-wrap-distance-top:0pt;z-index:251659264;mso-width-relative:page;mso-height-relative:page;" coordorigin="2064,142451" coordsize="8000,1906" o:gfxdata="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AAAAAZHJzL1BLAQIUABQAAAAIAIdO4kCyhJiY2QAAAAkBAAAPAAAAAAAAAAEAIAAAACIAAABk&#10;cnMvZG93bnJldi54bWxQSwECFAAUAAAACACHTuJAh3SoIuoEAABqFgAADgAAAAAAAAABACAAAAAo&#10;AQAAZHJzL2Uyb0RvYy54bWxQSwUGAAAAAAYABgBZAQAAhAgAAAAA&#10;">
                <o:lock v:ext="edit" aspectratio="f"/>
                <v:group id="组合 5" o:spid="_x0000_s1026" o:spt="203" style="position:absolute;left:2064;top:142451;height:1907;width:8000;" coordorigin="4638,144974" coordsize="8000,211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文本框 3" o:spid="_x0000_s1026" o:spt="202" type="#_x0000_t202" style="position:absolute;left:4655;top:144974;height:865;width:3492;"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AB1BCAC">
                          <w:pPr>
                            <w:pStyle w:val="14"/>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v:textbox>
                  </v:shape>
                  <v:shape id="文本框 6" o:spid="_x0000_s1026" o:spt="202" type="#_x0000_t202" style="position:absolute;left:8740;top:144974;height:825;width:3898;"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39AE0A21">
                          <w:pPr>
                            <w:pStyle w:val="14"/>
                            <w:outlineLvl w:val="0"/>
                            <w:rPr>
                              <w:rFonts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0A863AFB">
                          <w:pPr>
                            <w:pStyle w:val="14"/>
                            <w:outlineLvl w:val="0"/>
                            <w:rPr>
                              <w:rFonts w:ascii="仿宋_GB2312" w:hAnsi="仿宋_GB2312" w:eastAsia="仿宋_GB2312" w:cs="仿宋_GB2312"/>
                            </w:rPr>
                          </w:pPr>
                        </w:p>
                      </w:txbxContent>
                    </v:textbox>
                  </v:shape>
                  <v:shape id="文本框 8" o:spid="_x0000_s1026" o:spt="202" type="#_x0000_t202" style="position:absolute;left:4638;top:145859;height:1233;width:3507;"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507124CC">
                          <w:pPr>
                            <w:pStyle w:val="14"/>
                            <w:outlineLvl w:val="0"/>
                            <w:rPr>
                              <w:rFonts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v:textbox>
                  </v:shape>
                  <v:shape id="文本框 11" o:spid="_x0000_s1026" o:spt="202" type="#_x0000_t202" style="position:absolute;left:8706;top:145858;height:1218;width:3927;" fillcolor="#FFFFFF [3201]" filled="t" stroked="t" coordsize="21600,21600" o:gfxdata="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IMhv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A7B9ABF">
                          <w:pPr>
                            <w:pStyle w:val="14"/>
                            <w:outlineLvl w:val="0"/>
                            <w:rPr>
                              <w:rFonts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v:textbox>
                  </v:shape>
                </v:group>
                <v:shape id="肘形连接符 2" o:spid="_x0000_s1026" o:spt="34" type="#_x0000_t34" style="position:absolute;left:10059;top:142690;flip:x;height:973;width:5;" filled="f" stroked="t" coordsize="21600,21600" o:gfxdata="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gGcrgAAADbAAAA&#10;DwAAAAAAAAABACAAAAAiAAAAZHJzL2Rvd25yZXYueG1sUEsBAhQAFAAAAAgAh07iQDMvBZ47AAAA&#10;OQAAABAAAAAAAAAAAQAgAAAABwEAAGRycy9zaGFwZXhtbC54bWxQSwUGAAAAAAYABgBbAQAAsQMA&#10;AAAA&#10;" adj="-1620000">
                  <v:fill on="f" focussize="0,0"/>
                  <v:stroke weight="1pt" color="#000000 [3200]" miterlimit="8" joinstyle="miter" endarrow="open"/>
                  <v:imagedata o:title=""/>
                  <o:lock v:ext="edit" aspectratio="f"/>
                </v:shape>
                <v:shape id="直接箭头连接符 4" o:spid="_x0000_s1026" o:spt="32" type="#_x0000_t32" style="position:absolute;left:5573;top:142689;height:1;width:593;"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00]" miterlimit="8" joinstyle="miter" endarrow="open"/>
                  <v:imagedata o:title=""/>
                  <o:lock v:ext="edit" aspectratio="f"/>
                </v:shape>
                <v:shape id="直接箭头连接符 7" o:spid="_x0000_s1026" o:spt="32" type="#_x0000_t32" style="position:absolute;left:5571;top:143663;flip:x;height:7;width:561;" filled="f" stroked="t" coordsize="21600,21600" o:gfxdata="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ua/&#10;AAAA2wAAAA8AAAAAAAAAAQAgAAAAIgAAAGRycy9kb3ducmV2LnhtbFBLAQIUABQAAAAIAIdO4kAz&#10;LwWeOwAAADkAAAAQAAAAAAAAAAEAIAAAAA4BAABkcnMvc2hhcGV4bWwueG1sUEsFBgAAAAAGAAYA&#10;WwEAALgDAAAAAA==&#10;">
                  <v:fill on="f" focussize="0,0"/>
                  <v:stroke weight="1pt" color="#000000 [3200]" miterlimit="8" joinstyle="miter" endarrow="open"/>
                  <v:imagedata o:title=""/>
                  <o:lock v:ext="edit" aspectratio="f"/>
                </v:shape>
                <w10:wrap type="topAndBottom"/>
              </v:group>
            </w:pict>
          </mc:Fallback>
        </mc:AlternateContent>
      </w:r>
      <w:r>
        <w:rPr>
          <w:rFonts w:hint="eastAsia" w:ascii="仿宋_GB2312" w:hAnsi="仿宋_GB2312" w:eastAsia="仿宋_GB2312" w:cs="仿宋_GB2312"/>
          <w:b/>
          <w:bCs/>
          <w:color w:val="000000" w:themeColor="text1"/>
          <w14:textFill>
            <w14:solidFill>
              <w14:schemeClr w14:val="tx1"/>
            </w14:solidFill>
          </w14:textFill>
        </w:rPr>
        <w:t>增值税专用发票：</w:t>
      </w:r>
    </w:p>
    <w:p w14:paraId="6540F520">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3.1增值税票要求：</w:t>
      </w:r>
    </w:p>
    <w:p w14:paraId="539FB394">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3.1.1税票信息：</w:t>
      </w:r>
      <w:r>
        <w:rPr>
          <w:rFonts w:hint="eastAsia" w:ascii="仿宋_GB2312" w:hAnsi="仿宋_GB2312" w:eastAsia="仿宋_GB2312" w:cs="仿宋_GB2312"/>
          <w:color w:val="000000" w:themeColor="text1"/>
          <w14:textFill>
            <w14:solidFill>
              <w14:schemeClr w14:val="tx1"/>
            </w14:solidFill>
          </w14:textFill>
        </w:rPr>
        <w:t>乙方应按甲方要求提供以其本单位名义开具，适用</w:t>
      </w:r>
      <w:permStart w:id="43" w:edGrp="everyone"/>
      <w:r>
        <w:rPr>
          <w:rFonts w:hint="eastAsia" w:ascii="仿宋_GB2312" w:hAnsi="仿宋_GB2312" w:eastAsia="仿宋_GB2312" w:cs="仿宋_GB2312"/>
          <w:color w:val="000000" w:themeColor="text1"/>
          <w:u w:val="single"/>
          <w14:textFill>
            <w14:solidFill>
              <w14:schemeClr w14:val="tx1"/>
            </w14:solidFill>
          </w14:textFill>
        </w:rPr>
        <w:t xml:space="preserve"> 3％/13 ％</w:t>
      </w:r>
      <w:permEnd w:id="43"/>
      <w:r>
        <w:rPr>
          <w:rFonts w:hint="eastAsia" w:ascii="仿宋_GB2312" w:hAnsi="仿宋_GB2312" w:eastAsia="仿宋_GB2312" w:cs="仿宋_GB2312"/>
          <w:color w:val="000000" w:themeColor="text1"/>
          <w14:textFill>
            <w14:solidFill>
              <w14:schemeClr w14:val="tx1"/>
            </w14:solidFill>
          </w14:textFill>
        </w:rPr>
        <w:t>税率的增值税专用发票，开具金额需与结算金额一致，并加盖与本合同中乙方名称一致的发票专用章（如税务部门要求合同、发票等备案登记的，乙方承担相关费用并办理相关手续）。</w:t>
      </w:r>
    </w:p>
    <w:p w14:paraId="41646F8A">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3.1.2计税方式：</w:t>
      </w:r>
      <w:r>
        <w:rPr>
          <w:rFonts w:hint="eastAsia" w:ascii="仿宋_GB2312" w:hAnsi="仿宋_GB2312" w:eastAsia="仿宋_GB2312" w:cs="仿宋_GB2312"/>
          <w:color w:val="000000" w:themeColor="text1"/>
          <w14:textFill>
            <w14:solidFill>
              <w14:schemeClr w14:val="tx1"/>
            </w14:solidFill>
          </w14:textFill>
        </w:rPr>
        <w:t>本合同所涉应税行为计税方法为</w:t>
      </w:r>
      <w:permStart w:id="44" w:edGrp="everyone"/>
      <w:r>
        <w:rPr>
          <w:rFonts w:hint="eastAsia" w:ascii="仿宋_GB2312" w:hAnsi="仿宋_GB2312" w:eastAsia="仿宋_GB2312" w:cs="仿宋_GB2312"/>
          <w:color w:val="000000" w:themeColor="text1"/>
          <w:u w:val="single"/>
          <w14:textFill>
            <w14:solidFill>
              <w14:schemeClr w14:val="tx1"/>
            </w14:solidFill>
          </w14:textFill>
        </w:rPr>
        <w:t xml:space="preserve"> 一般计税方法/简易计税方法 </w:t>
      </w:r>
      <w:permEnd w:id="44"/>
      <w:r>
        <w:rPr>
          <w:rFonts w:hint="eastAsia" w:ascii="仿宋_GB2312" w:hAnsi="仿宋_GB2312" w:eastAsia="仿宋_GB2312" w:cs="仿宋_GB2312"/>
          <w:color w:val="000000" w:themeColor="text1"/>
          <w14:textFill>
            <w14:solidFill>
              <w14:schemeClr w14:val="tx1"/>
            </w14:solidFill>
          </w14:textFill>
        </w:rPr>
        <w:t>。</w:t>
      </w:r>
    </w:p>
    <w:p w14:paraId="7165B47D">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3.1.3税票金额：</w:t>
      </w:r>
      <w:r>
        <w:rPr>
          <w:rFonts w:hint="eastAsia" w:ascii="仿宋_GB2312" w:hAnsi="仿宋_GB2312" w:eastAsia="仿宋_GB2312" w:cs="仿宋_GB2312"/>
          <w:color w:val="000000" w:themeColor="text1"/>
          <w14:textFill>
            <w14:solidFill>
              <w14:schemeClr w14:val="tx1"/>
            </w14:solidFill>
          </w14:textFill>
        </w:rPr>
        <w:t>乙方应按每期结算金额开具当期增值税专用发票，并于发票开具之日起7天内提供给甲方指定签收人员。乙方应开具合法、有效、准确的增值税专用发票，若汇总开具增值税专用发票的，则乙方需同时提供防伪税控系统开具的《销售货物或者提供应税劳务清单》，清单内容需与实际供货内容、结算内容相一致，并加盖发票专用章。</w:t>
      </w:r>
      <w:bookmarkStart w:id="27" w:name="_Hlk126834051"/>
      <w:r>
        <w:rPr>
          <w:rFonts w:hint="eastAsia" w:ascii="仿宋_GB2312" w:hAnsi="仿宋_GB2312" w:eastAsia="仿宋_GB2312" w:cs="仿宋_GB2312"/>
          <w:b/>
          <w:bCs/>
          <w:color w:val="000000" w:themeColor="text1"/>
          <w14:textFill>
            <w14:solidFill>
              <w14:schemeClr w14:val="tx1"/>
            </w14:solidFill>
          </w14:textFill>
        </w:rPr>
        <w:t>如乙方未提供发票或提供发票不合规、不及时、无法认证，甲方有权拒绝付款，且不视为甲方付款逾期，乙方无权要求甲方支付利息、违约金或赔偿损失。</w:t>
      </w:r>
    </w:p>
    <w:bookmarkEnd w:id="27"/>
    <w:p w14:paraId="7E03ACE2">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3.1.4税率变化：</w:t>
      </w:r>
      <w:r>
        <w:rPr>
          <w:rFonts w:hint="eastAsia" w:ascii="仿宋_GB2312" w:hAnsi="仿宋_GB2312" w:eastAsia="仿宋_GB2312" w:cs="仿宋_GB2312"/>
          <w:color w:val="000000" w:themeColor="text1"/>
          <w14:textFill>
            <w14:solidFill>
              <w14:schemeClr w14:val="tx1"/>
            </w14:solidFill>
          </w14:textFill>
        </w:rPr>
        <w:t>合同执行过程中如遇国家税务政策调整导致适用税率发生变化，以货物进场验收时间点依据适用政策调整，执行按照新的税率，合同含税价格依据新的税率相应调整，乙方承担相应的纳税义务提供新税率的增值税专用发票。</w:t>
      </w:r>
    </w:p>
    <w:p w14:paraId="2DB7021C">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3.2 税票丢失：</w:t>
      </w:r>
      <w:r>
        <w:rPr>
          <w:rFonts w:hint="eastAsia" w:ascii="仿宋_GB2312" w:hAnsi="仿宋_GB2312" w:eastAsia="仿宋_GB2312" w:cs="仿宋_GB2312"/>
          <w:color w:val="000000" w:themeColor="text1"/>
          <w14:textFill>
            <w14:solidFill>
              <w14:schemeClr w14:val="tx1"/>
            </w14:solidFill>
          </w14:textFill>
        </w:rPr>
        <w:t>若甲方丢失增值税专用发票联和抵扣联,乙方在接到甲方书面通知3个工作日内必须向甲方提供专用发票记账联复印件及其主管税务机关出具的《丢失增值税专用发票已报税证明单》，以作为甲方增值税进项税额的抵扣凭证。</w:t>
      </w:r>
    </w:p>
    <w:p w14:paraId="1838A4BB">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3.3税务信息：</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34FB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34" w:type="dxa"/>
            <w:vMerge w:val="restart"/>
            <w:tcBorders>
              <w:top w:val="single" w:color="auto" w:sz="12" w:space="0"/>
              <w:left w:val="single" w:color="auto" w:sz="12" w:space="0"/>
            </w:tcBorders>
            <w:vAlign w:val="center"/>
          </w:tcPr>
          <w:p w14:paraId="196839A8">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ermStart w:id="45" w:edGrp="everyone"/>
            <w:r>
              <w:rPr>
                <w:rFonts w:hint="eastAsia" w:ascii="仿宋_GB2312" w:hAnsi="仿宋_GB2312" w:eastAsia="仿宋_GB2312" w:cs="仿宋_GB2312"/>
                <w:b/>
                <w:color w:val="000000" w:themeColor="text1"/>
                <w:sz w:val="24"/>
                <w:szCs w:val="24"/>
                <w14:textFill>
                  <w14:solidFill>
                    <w14:schemeClr w14:val="tx1"/>
                  </w14:solidFill>
                </w14:textFill>
              </w:rPr>
              <w:t>甲方</w:t>
            </w:r>
          </w:p>
        </w:tc>
        <w:tc>
          <w:tcPr>
            <w:tcW w:w="1845" w:type="dxa"/>
            <w:tcBorders>
              <w:top w:val="single" w:color="auto" w:sz="12" w:space="0"/>
            </w:tcBorders>
            <w:vAlign w:val="bottom"/>
          </w:tcPr>
          <w:p w14:paraId="7E9B4270">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single" w:color="auto" w:sz="12" w:space="0"/>
              <w:right w:val="single" w:color="auto" w:sz="12" w:space="0"/>
            </w:tcBorders>
          </w:tcPr>
          <w:p w14:paraId="3FE4CD1F">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中建路桥集团河北基础市政工程有限公司</w:t>
            </w:r>
          </w:p>
        </w:tc>
      </w:tr>
      <w:tr w14:paraId="594E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2A1A45C4">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17DDE892">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2C6A1988">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一般纳税人</w:t>
            </w:r>
          </w:p>
        </w:tc>
      </w:tr>
      <w:tr w14:paraId="43C9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ED8D0FE">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5170442E">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6989128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91130000755495582E</w:t>
            </w:r>
          </w:p>
        </w:tc>
      </w:tr>
      <w:tr w14:paraId="1A06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439EC2CD">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7FB2E817">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tcPr>
          <w:p w14:paraId="109D91E0">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河北省石家庄市新石北路362号1号楼3层、0311-89821098</w:t>
            </w:r>
          </w:p>
        </w:tc>
      </w:tr>
      <w:tr w14:paraId="5142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471CFE9E">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795B6A5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right w:val="single" w:color="auto" w:sz="12" w:space="0"/>
            </w:tcBorders>
          </w:tcPr>
          <w:p w14:paraId="7754BBD1">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中国建设银行石家庄建设南大街支行13050161536100000357</w:t>
            </w:r>
          </w:p>
        </w:tc>
      </w:tr>
      <w:tr w14:paraId="4A66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4" w:type="dxa"/>
            <w:vMerge w:val="continue"/>
            <w:tcBorders>
              <w:left w:val="single" w:color="auto" w:sz="12" w:space="0"/>
              <w:bottom w:val="double" w:color="auto" w:sz="4" w:space="0"/>
            </w:tcBorders>
            <w:vAlign w:val="center"/>
          </w:tcPr>
          <w:p w14:paraId="464500CA">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tcBorders>
              <w:bottom w:val="double" w:color="auto" w:sz="4" w:space="0"/>
            </w:tcBorders>
            <w:vAlign w:val="bottom"/>
          </w:tcPr>
          <w:p w14:paraId="05A8051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备      注</w:t>
            </w:r>
          </w:p>
          <w:p w14:paraId="5424B79C"/>
        </w:tc>
        <w:tc>
          <w:tcPr>
            <w:tcW w:w="6143" w:type="dxa"/>
            <w:tcBorders>
              <w:bottom w:val="double" w:color="auto" w:sz="4" w:space="0"/>
              <w:right w:val="single" w:color="auto" w:sz="12" w:space="0"/>
            </w:tcBorders>
          </w:tcPr>
          <w:p w14:paraId="6D2A0EA7">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r>
      <w:tr w14:paraId="79E8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double" w:color="auto" w:sz="4" w:space="0"/>
              <w:left w:val="single" w:color="auto" w:sz="12" w:space="0"/>
            </w:tcBorders>
            <w:vAlign w:val="center"/>
          </w:tcPr>
          <w:p w14:paraId="0CA0E719">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乙方</w:t>
            </w:r>
          </w:p>
        </w:tc>
        <w:tc>
          <w:tcPr>
            <w:tcW w:w="1845" w:type="dxa"/>
            <w:tcBorders>
              <w:top w:val="double" w:color="auto" w:sz="4" w:space="0"/>
            </w:tcBorders>
            <w:vAlign w:val="bottom"/>
          </w:tcPr>
          <w:p w14:paraId="0BF01509">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double" w:color="auto" w:sz="4" w:space="0"/>
              <w:right w:val="single" w:color="auto" w:sz="12" w:space="0"/>
            </w:tcBorders>
          </w:tcPr>
          <w:p w14:paraId="4519B37B">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1075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55BC73DE">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76AED40D">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1E5FE210">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0729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44F2E4B2">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58540E90">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31548809">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6B1A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22EA12BE">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20961F5A">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vAlign w:val="bottom"/>
          </w:tcPr>
          <w:p w14:paraId="55CD4A77">
            <w:pPr>
              <w:pStyle w:val="14"/>
              <w:jc w:val="both"/>
              <w:rPr>
                <w:rFonts w:ascii="仿宋_GB2312" w:hAnsi="仿宋_GB2312" w:eastAsia="仿宋_GB2312" w:cs="仿宋_GB2312"/>
                <w:bCs/>
                <w:color w:val="000000" w:themeColor="text1"/>
                <w:kern w:val="2"/>
                <w:u w:val="single"/>
                <w14:textFill>
                  <w14:solidFill>
                    <w14:schemeClr w14:val="tx1"/>
                  </w14:solidFill>
                </w14:textFill>
              </w:rPr>
            </w:pPr>
            <w:r>
              <w:rPr>
                <w:rFonts w:hint="eastAsia" w:ascii="仿宋_GB2312" w:hAnsi="仿宋_GB2312" w:eastAsia="仿宋_GB2312" w:cs="仿宋_GB2312"/>
                <w:color w:val="000000" w:themeColor="text1"/>
                <w:u w:val="single"/>
                <w14:textFill>
                  <w14:solidFill>
                    <w14:schemeClr w14:val="tx1"/>
                  </w14:solidFill>
                </w14:textFill>
              </w:rPr>
              <w:t xml:space="preserve">                  </w:t>
            </w:r>
          </w:p>
        </w:tc>
      </w:tr>
      <w:tr w14:paraId="16B4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bottom w:val="single" w:color="auto" w:sz="12" w:space="0"/>
            </w:tcBorders>
          </w:tcPr>
          <w:p w14:paraId="507F40D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tcBorders>
              <w:bottom w:val="single" w:color="auto" w:sz="12" w:space="0"/>
            </w:tcBorders>
            <w:vAlign w:val="bottom"/>
          </w:tcPr>
          <w:p w14:paraId="3FC24EE5">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bottom w:val="single" w:color="auto" w:sz="12" w:space="0"/>
              <w:right w:val="single" w:color="auto" w:sz="12" w:space="0"/>
            </w:tcBorders>
          </w:tcPr>
          <w:p w14:paraId="025ED9F3">
            <w:pPr>
              <w:snapToGrid w:val="0"/>
              <w:spacing w:line="400" w:lineRule="atLeast"/>
              <w:contextualSpacing/>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permEnd w:id="45"/>
    </w:tbl>
    <w:p w14:paraId="7023E599">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任何一方如上述信息发生变更，应提前10日以书面方式通知另一方。如一方未按本合同规定通知而使另一方遭受损失的，应予以赔偿。</w:t>
      </w:r>
    </w:p>
    <w:p w14:paraId="3A5E396C">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28" w:name="_Toc21859"/>
      <w:bookmarkStart w:id="29" w:name="_Toc32138"/>
      <w:bookmarkStart w:id="30" w:name="_Toc27325"/>
      <w:r>
        <w:rPr>
          <w:rFonts w:hint="eastAsia" w:ascii="仿宋_GB2312" w:hAnsi="仿宋_GB2312" w:eastAsia="仿宋_GB2312" w:cs="仿宋_GB2312"/>
          <w:b/>
          <w:bCs/>
          <w:color w:val="000000" w:themeColor="text1"/>
          <w14:textFill>
            <w14:solidFill>
              <w14:schemeClr w14:val="tx1"/>
            </w14:solidFill>
          </w14:textFill>
        </w:rPr>
        <w:t>货物付款</w:t>
      </w:r>
      <w:bookmarkEnd w:id="28"/>
      <w:bookmarkEnd w:id="29"/>
      <w:bookmarkEnd w:id="30"/>
    </w:p>
    <w:p w14:paraId="3264CB3B">
      <w:pPr>
        <w:pStyle w:val="14"/>
        <w:spacing w:line="400" w:lineRule="atLeast"/>
        <w:ind w:firstLine="482" w:firstLineChars="200"/>
        <w:jc w:val="both"/>
        <w:outlineLvl w:val="1"/>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支付周期及支付比例：</w:t>
      </w:r>
      <w:r>
        <w:rPr>
          <w:rFonts w:hint="eastAsia" w:ascii="仿宋_GB2312" w:hAnsi="仿宋_GB2312" w:eastAsia="仿宋_GB2312" w:cs="仿宋_GB2312"/>
          <w:color w:val="000000" w:themeColor="text1"/>
          <w:highlight w:val="yellow"/>
          <w14:textFill>
            <w14:solidFill>
              <w14:schemeClr w14:val="tx1"/>
            </w14:solidFill>
          </w14:textFill>
        </w:rPr>
        <w:t>双方办理完结算后，适用第</w:t>
      </w:r>
      <w:permStart w:id="46"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1.2 </w:t>
      </w:r>
      <w:permEnd w:id="46"/>
      <w:r>
        <w:rPr>
          <w:rFonts w:hint="eastAsia" w:ascii="仿宋_GB2312" w:hAnsi="仿宋_GB2312" w:eastAsia="仿宋_GB2312" w:cs="仿宋_GB2312"/>
          <w:color w:val="000000" w:themeColor="text1"/>
          <w:highlight w:val="yellow"/>
          <w14:textFill>
            <w14:solidFill>
              <w14:schemeClr w14:val="tx1"/>
            </w14:solidFill>
          </w14:textFill>
        </w:rPr>
        <w:t>条付款条件：</w:t>
      </w:r>
    </w:p>
    <w:p w14:paraId="09CF0FEF">
      <w:pPr>
        <w:pStyle w:val="14"/>
        <w:spacing w:line="400" w:lineRule="atLeast"/>
        <w:ind w:firstLine="480" w:firstLineChars="200"/>
        <w:jc w:val="both"/>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1.1本合同无预付款。</w:t>
      </w:r>
      <w:r>
        <w:rPr>
          <w:rFonts w:hint="eastAsia" w:ascii="仿宋_GB2312" w:hAnsi="仿宋_GB2312" w:eastAsia="仿宋_GB2312" w:cs="仿宋_GB2312"/>
          <w:b/>
          <w:bCs/>
          <w:color w:val="000000" w:themeColor="text1"/>
          <w14:textFill>
            <w14:solidFill>
              <w14:schemeClr w14:val="tx1"/>
            </w14:solidFill>
          </w14:textFill>
        </w:rPr>
        <w:t>甲方按资金审批计划对货款进行支付。</w:t>
      </w:r>
      <w:r>
        <w:rPr>
          <w:rFonts w:hint="eastAsia" w:ascii="仿宋_GB2312" w:hAnsi="仿宋_GB2312" w:eastAsia="仿宋_GB2312" w:cs="仿宋_GB2312"/>
          <w:color w:val="000000" w:themeColor="text1"/>
          <w14:textFill>
            <w14:solidFill>
              <w14:schemeClr w14:val="tx1"/>
            </w14:solidFill>
          </w14:textFill>
        </w:rPr>
        <w:t>付款期限自双方确认结算金额之日起计算，暂定为在甲乙双方完成月度物资结算手续且甲方收到乙方相应全额发票后，</w:t>
      </w:r>
      <w:permStart w:id="47"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47"/>
      <w:r>
        <w:rPr>
          <w:rFonts w:hint="eastAsia" w:ascii="仿宋_GB2312" w:hAnsi="仿宋_GB2312" w:eastAsia="仿宋_GB2312" w:cs="仿宋_GB2312"/>
          <w:color w:val="000000" w:themeColor="text1"/>
          <w14:textFill>
            <w14:solidFill>
              <w14:schemeClr w14:val="tx1"/>
            </w14:solidFill>
          </w14:textFill>
        </w:rPr>
        <w:t>个月内支付当期结算货款的</w:t>
      </w:r>
      <w:permStart w:id="4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48"/>
      <w:r>
        <w:rPr>
          <w:rFonts w:hint="eastAsia" w:ascii="仿宋_GB2312" w:hAnsi="仿宋_GB2312" w:eastAsia="仿宋_GB2312" w:cs="仿宋_GB2312"/>
          <w:color w:val="000000" w:themeColor="text1"/>
          <w14:textFill>
            <w14:solidFill>
              <w14:schemeClr w14:val="tx1"/>
            </w14:solidFill>
          </w14:textFill>
        </w:rPr>
        <w:t>%，</w:t>
      </w:r>
      <w:permStart w:id="4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49"/>
      <w:r>
        <w:rPr>
          <w:rFonts w:hint="eastAsia" w:ascii="仿宋_GB2312" w:hAnsi="仿宋_GB2312" w:eastAsia="仿宋_GB2312" w:cs="仿宋_GB2312"/>
          <w:color w:val="000000" w:themeColor="text1"/>
          <w14:textFill>
            <w14:solidFill>
              <w14:schemeClr w14:val="tx1"/>
            </w14:solidFill>
          </w14:textFill>
        </w:rPr>
        <w:t>个月内支付至当期结算货款的</w:t>
      </w:r>
      <w:permStart w:id="50"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0"/>
      <w:r>
        <w:rPr>
          <w:rFonts w:hint="eastAsia" w:ascii="仿宋_GB2312" w:hAnsi="仿宋_GB2312" w:eastAsia="仿宋_GB2312" w:cs="仿宋_GB2312"/>
          <w:color w:val="000000" w:themeColor="text1"/>
          <w14:textFill>
            <w14:solidFill>
              <w14:schemeClr w14:val="tx1"/>
            </w14:solidFill>
          </w14:textFill>
        </w:rPr>
        <w:t>%，余下</w:t>
      </w:r>
      <w:permStart w:id="51"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1"/>
      <w:r>
        <w:rPr>
          <w:rFonts w:hint="eastAsia" w:ascii="仿宋_GB2312" w:hAnsi="仿宋_GB2312" w:eastAsia="仿宋_GB2312" w:cs="仿宋_GB2312"/>
          <w:color w:val="000000" w:themeColor="text1"/>
          <w14:textFill>
            <w14:solidFill>
              <w14:schemeClr w14:val="tx1"/>
            </w14:solidFill>
          </w14:textFill>
        </w:rPr>
        <w:t>%结算货款在乙方供货完毕、办理完最终结算后</w:t>
      </w:r>
      <w:permStart w:id="52"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2"/>
      <w:r>
        <w:rPr>
          <w:rFonts w:hint="eastAsia" w:ascii="仿宋_GB2312" w:hAnsi="仿宋_GB2312" w:eastAsia="仿宋_GB2312" w:cs="仿宋_GB2312"/>
          <w:color w:val="000000" w:themeColor="text1"/>
          <w14:textFill>
            <w14:solidFill>
              <w14:schemeClr w14:val="tx1"/>
            </w14:solidFill>
          </w14:textFill>
        </w:rPr>
        <w:t>日内付清。以此类推。</w:t>
      </w:r>
    </w:p>
    <w:p w14:paraId="06E1163E">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1.2其他：</w:t>
      </w:r>
      <w:permStart w:id="53" w:edGrp="everyone"/>
      <w:r>
        <w:rPr>
          <w:rFonts w:hint="eastAsia" w:ascii="仿宋_GB2312" w:hAnsi="仿宋_GB2312" w:eastAsia="仿宋_GB2312" w:cs="仿宋_GB2312"/>
          <w:color w:val="000000" w:themeColor="text1"/>
          <w:u w:val="single"/>
          <w14:textFill>
            <w14:solidFill>
              <w14:schemeClr w14:val="tx1"/>
            </w14:solidFill>
          </w14:textFill>
        </w:rPr>
        <w:t xml:space="preserve"> 无预付款。付款期限自双方确认结算金额之日起计算，暂定为在甲乙双方完成月度物资结算手续且甲方收到乙方相应全额发票后， 1 个月内支付当期应付货款的 100 %。 </w:t>
      </w:r>
      <w:permEnd w:id="53"/>
    </w:p>
    <w:p w14:paraId="7D90A7D1">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2、支付形式：</w:t>
      </w:r>
      <w:r>
        <w:rPr>
          <w:rFonts w:hint="eastAsia" w:ascii="仿宋_GB2312" w:hAnsi="仿宋_GB2312" w:eastAsia="仿宋_GB2312" w:cs="仿宋_GB2312"/>
          <w:color w:val="000000" w:themeColor="text1"/>
          <w14:textFill>
            <w14:solidFill>
              <w14:schemeClr w14:val="tx1"/>
            </w14:solidFill>
          </w14:textFill>
        </w:rPr>
        <w:t>本合同付款形式适用第</w:t>
      </w:r>
      <w:r>
        <w:rPr>
          <w:rFonts w:hint="eastAsia" w:ascii="仿宋_GB2312" w:hAnsi="仿宋_GB2312" w:eastAsia="仿宋_GB2312" w:cs="仿宋_GB2312"/>
          <w:color w:val="000000" w:themeColor="text1"/>
          <w:u w:val="single"/>
          <w14:textFill>
            <w14:solidFill>
              <w14:schemeClr w14:val="tx1"/>
            </w14:solidFill>
          </w14:textFill>
        </w:rPr>
        <w:t xml:space="preserve">   2.2  </w:t>
      </w:r>
      <w:r>
        <w:rPr>
          <w:rFonts w:hint="eastAsia" w:ascii="仿宋_GB2312" w:hAnsi="仿宋_GB2312" w:eastAsia="仿宋_GB2312" w:cs="仿宋_GB2312"/>
          <w:color w:val="000000" w:themeColor="text1"/>
          <w14:textFill>
            <w14:solidFill>
              <w14:schemeClr w14:val="tx1"/>
            </w14:solidFill>
          </w14:textFill>
        </w:rPr>
        <w:t>条；</w:t>
      </w:r>
    </w:p>
    <w:p w14:paraId="37EE36D3">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2.1货币付款。</w:t>
      </w:r>
    </w:p>
    <w:p w14:paraId="4E406A4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2.2货币及其他的形式（包括且不限于支票、电汇、银行承兑汇票、商业承兑汇票、保理、信用证、供应链融资等）向乙方付款。（其中非现金付款方式不低于合同总价的</w:t>
      </w:r>
      <w:permStart w:id="54"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54"/>
      <w:r>
        <w:rPr>
          <w:rFonts w:hint="eastAsia" w:ascii="仿宋_GB2312" w:hAnsi="仿宋_GB2312" w:eastAsia="仿宋_GB2312" w:cs="仿宋_GB2312"/>
          <w:color w:val="000000" w:themeColor="text1"/>
          <w14:textFill>
            <w14:solidFill>
              <w14:schemeClr w14:val="tx1"/>
            </w14:solidFill>
          </w14:textFill>
        </w:rPr>
        <w:t>%，期限为六个月，因此产生的相关贴现成本由乙方承担。乙方须保证资金往来账户与本合同所约定账户一致，开票单位名称与合同约定名称一致。）</w:t>
      </w:r>
    </w:p>
    <w:p w14:paraId="27531FDE">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3、付款条件：乙方向甲方申请付款时，应先行满足以下条件：</w:t>
      </w:r>
    </w:p>
    <w:p w14:paraId="5B7D2BA1">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3.1所供产品无质量缺陷，乙方无违约记录，产品出厂合格证明以及检测报告完整无误。</w:t>
      </w:r>
    </w:p>
    <w:p w14:paraId="7E3EAF6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3.2乙方申请付款依据的结算单已由甲方最终有效确认，付款期限已经届满。</w:t>
      </w:r>
    </w:p>
    <w:p w14:paraId="3EF8AE3A">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3.3乙方已向甲方提供与结算等额增值税专用发票，且甲方已完成发票认证。</w:t>
      </w:r>
    </w:p>
    <w:p w14:paraId="76B7071B">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在支付条件达成的基础上，甲方按以上方式向乙方付款，预付款不适用上述条件。</w:t>
      </w:r>
    </w:p>
    <w:p w14:paraId="287CB283">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4、乙方收款账户：</w:t>
      </w:r>
      <w:permStart w:id="55"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5"/>
    </w:p>
    <w:p w14:paraId="6AD480AE">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开户银行：</w:t>
      </w:r>
      <w:permStart w:id="56"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6"/>
    </w:p>
    <w:p w14:paraId="13EADCE9">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银行帐号：</w:t>
      </w:r>
      <w:permStart w:id="57"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7"/>
    </w:p>
    <w:p w14:paraId="6FC50A7B">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乙方指定</w:t>
      </w:r>
      <w:permStart w:id="5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8"/>
      <w:r>
        <w:rPr>
          <w:rFonts w:hint="eastAsia" w:ascii="仿宋_GB2312" w:hAnsi="仿宋_GB2312" w:eastAsia="仿宋_GB2312" w:cs="仿宋_GB2312"/>
          <w:color w:val="000000" w:themeColor="text1"/>
          <w14:textFill>
            <w14:solidFill>
              <w14:schemeClr w14:val="tx1"/>
            </w14:solidFill>
          </w14:textFill>
        </w:rPr>
        <w:t>（身份证号：</w:t>
      </w:r>
      <w:permStart w:id="5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9"/>
      <w:r>
        <w:rPr>
          <w:rFonts w:hint="eastAsia" w:ascii="仿宋_GB2312" w:hAnsi="仿宋_GB2312" w:eastAsia="仿宋_GB2312" w:cs="仿宋_GB2312"/>
          <w:color w:val="000000" w:themeColor="text1"/>
          <w14:textFill>
            <w14:solidFill>
              <w14:schemeClr w14:val="tx1"/>
            </w14:solidFill>
          </w14:textFill>
        </w:rPr>
        <w:t>）作为收款经办人，同甲方相关人员沟通洽商付款具体事宜。</w:t>
      </w:r>
    </w:p>
    <w:p w14:paraId="4640A209">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甲方仅向乙方本单位名下银行账户支付价款，未经甲方同意，乙方不得委托任何第三方代为收款，否则甲方有权拒绝付款。</w:t>
      </w:r>
    </w:p>
    <w:p w14:paraId="1FD2DF45">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5、账户变动：</w:t>
      </w:r>
      <w:r>
        <w:rPr>
          <w:rFonts w:hint="eastAsia" w:ascii="仿宋_GB2312" w:hAnsi="仿宋_GB2312" w:eastAsia="仿宋_GB2312" w:cs="仿宋_GB2312"/>
          <w:color w:val="000000" w:themeColor="text1"/>
          <w14:textFill>
            <w14:solidFill>
              <w14:schemeClr w14:val="tx1"/>
            </w14:solidFill>
          </w14:textFill>
        </w:rPr>
        <w:t>当乙方收款银行账号发生变动时，应以函件的形式书面通知甲方，否则甲方有权拒绝付款。若甲方在收到乙方的书面通知之前已按原账号付款，则甲方不再另行支付，由此造成的一切损失均由乙方自行承担。</w:t>
      </w:r>
    </w:p>
    <w:p w14:paraId="0F7B6007">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6、履约保证金缴纳及退还：</w:t>
      </w:r>
    </w:p>
    <w:p w14:paraId="09A75B13">
      <w:pPr>
        <w:spacing w:line="400" w:lineRule="atLeast"/>
        <w:ind w:firstLine="482" w:firstLineChars="200"/>
        <w:rPr>
          <w:rFonts w:ascii="仿宋_GB2312" w:hAnsi="仿宋_GB2312" w:eastAsia="仿宋_GB2312" w:cs="仿宋_GB2312"/>
          <w:color w:val="000000" w:themeColor="text1"/>
          <w:sz w:val="24"/>
          <w:szCs w:val="24"/>
          <w:highlight w:val="yellow"/>
          <w:u w:val="single"/>
          <w14:textFill>
            <w14:solidFill>
              <w14:schemeClr w14:val="tx1"/>
            </w14:solidFill>
          </w14:textFill>
        </w:rPr>
      </w:pPr>
      <w:r>
        <w:rPr>
          <w:rFonts w:hint="eastAsia" w:ascii="仿宋_GB2312" w:hAnsi="仿宋_GB2312" w:eastAsia="仿宋_GB2312" w:cs="仿宋_GB2312"/>
          <w:b/>
          <w:bCs/>
          <w:color w:val="000000" w:themeColor="text1"/>
          <w:sz w:val="24"/>
          <w:szCs w:val="24"/>
          <w:highlight w:val="yellow"/>
          <w14:textFill>
            <w14:solidFill>
              <w14:schemeClr w14:val="tx1"/>
            </w14:solidFill>
          </w14:textFill>
        </w:rPr>
        <w:t>6.1履约保证金缴纳形式：</w:t>
      </w:r>
      <w:r>
        <w:rPr>
          <w:rFonts w:hint="eastAsia" w:ascii="仿宋_GB2312" w:hAnsi="仿宋_GB2312" w:eastAsia="仿宋_GB2312" w:cs="仿宋_GB2312"/>
          <w:color w:val="000000" w:themeColor="text1"/>
          <w:sz w:val="24"/>
          <w:szCs w:val="24"/>
          <w:highlight w:val="yellow"/>
          <w14:textFill>
            <w14:solidFill>
              <w14:schemeClr w14:val="tx1"/>
            </w14:solidFill>
          </w14:textFill>
        </w:rPr>
        <w:t>乙方在签订合同前应向甲方缴纳合同额的</w:t>
      </w:r>
      <w:permStart w:id="60"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
    <w:p w14:paraId="16EF1DC7">
      <w:pPr>
        <w:spacing w:line="400" w:lineRule="atLeast"/>
        <w:rPr>
          <w:rFonts w:ascii="仿宋_GB2312" w:hAnsi="仿宋_GB2312" w:eastAsia="仿宋_GB2312" w:cs="仿宋_GB2312"/>
          <w:color w:val="000000" w:themeColor="text1"/>
          <w:sz w:val="24"/>
          <w:szCs w:val="24"/>
          <w:highlight w:val="yellow"/>
          <w14:textFill>
            <w14:solidFill>
              <w14:schemeClr w14:val="tx1"/>
            </w14:solidFill>
          </w14:textFill>
        </w:rPr>
      </w:pP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0"/>
      <w:r>
        <w:rPr>
          <w:rFonts w:hint="eastAsia" w:ascii="仿宋_GB2312" w:hAnsi="仿宋_GB2312" w:eastAsia="仿宋_GB2312" w:cs="仿宋_GB2312"/>
          <w:color w:val="000000" w:themeColor="text1"/>
          <w:sz w:val="24"/>
          <w:szCs w:val="24"/>
          <w:highlight w:val="yellow"/>
          <w14:textFill>
            <w14:solidFill>
              <w14:schemeClr w14:val="tx1"/>
            </w14:solidFill>
          </w14:textFill>
        </w:rPr>
        <w:t>％或</w:t>
      </w:r>
      <w:permStart w:id="61"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1"/>
      <w:r>
        <w:rPr>
          <w:rFonts w:hint="eastAsia" w:ascii="仿宋_GB2312" w:hAnsi="仿宋_GB2312" w:eastAsia="仿宋_GB2312" w:cs="仿宋_GB2312"/>
          <w:color w:val="000000" w:themeColor="text1"/>
          <w:sz w:val="24"/>
          <w:szCs w:val="24"/>
          <w:highlight w:val="yellow"/>
          <w14:textFill>
            <w14:solidFill>
              <w14:schemeClr w14:val="tx1"/>
            </w14:solidFill>
          </w14:textFill>
        </w:rPr>
        <w:t>元的履约保证金，具体缴纳形式采用第</w:t>
      </w:r>
      <w:permStart w:id="62"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6.15 </w:t>
      </w:r>
      <w:permEnd w:id="62"/>
      <w:r>
        <w:rPr>
          <w:rFonts w:hint="eastAsia" w:ascii="仿宋_GB2312" w:hAnsi="仿宋_GB2312" w:eastAsia="仿宋_GB2312" w:cs="仿宋_GB2312"/>
          <w:color w:val="000000" w:themeColor="text1"/>
          <w:sz w:val="24"/>
          <w:szCs w:val="24"/>
          <w:highlight w:val="yellow"/>
          <w14:textFill>
            <w14:solidFill>
              <w14:schemeClr w14:val="tx1"/>
            </w14:solidFill>
          </w14:textFill>
        </w:rPr>
        <w:t>种：</w:t>
      </w:r>
    </w:p>
    <w:p w14:paraId="7E6708E5">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6.1.1无需缴纳履约保证金。</w:t>
      </w:r>
    </w:p>
    <w:p w14:paraId="7F9A39D9">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6.1.2银行转账：乙方未参与甲方其他在建项目，采用银行转账方式缴纳履约保证金，并由项目相应会计根据财务部规定办理相应流程，开具证明件。</w:t>
      </w:r>
    </w:p>
    <w:p w14:paraId="58343726">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6.1.3应付款抵扣：乙方参与甲方其他在建项目，履约保证金从其他项目应付款中抵扣，并由项目相应会计根据财务部规定办理相应流程，开具证明件。</w:t>
      </w:r>
    </w:p>
    <w:p w14:paraId="4B51012B">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6.1.4履约保函（只接受银行保函，不接受商业保函）。</w:t>
      </w:r>
    </w:p>
    <w:p w14:paraId="6FB1C571">
      <w:pPr>
        <w:spacing w:line="400" w:lineRule="atLeast"/>
        <w:ind w:firstLine="480" w:firstLineChars="200"/>
        <w:rPr>
          <w:rFonts w:ascii="仿宋_GB2312" w:hAnsi="仿宋_GB2312" w:eastAsia="仿宋_GB2312" w:cs="仿宋_GB2312"/>
          <w:color w:val="000000" w:themeColor="text1"/>
          <w:sz w:val="24"/>
          <w:szCs w:val="24"/>
          <w:u w:val="single"/>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6.1.5其他</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Start w:id="63"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投标保证金转为履约保证金 </w:t>
      </w:r>
      <w:permEnd w:id="63"/>
      <w:r>
        <w:rPr>
          <w:rFonts w:hint="eastAsia" w:ascii="仿宋_GB2312" w:hAnsi="仿宋_GB2312" w:eastAsia="仿宋_GB2312" w:cs="仿宋_GB2312"/>
          <w:color w:val="000000" w:themeColor="text1"/>
          <w:sz w:val="24"/>
          <w:szCs w:val="24"/>
          <w14:textFill>
            <w14:solidFill>
              <w14:schemeClr w14:val="tx1"/>
            </w14:solidFill>
          </w14:textFill>
        </w:rPr>
        <w:t>。</w:t>
      </w:r>
    </w:p>
    <w:p w14:paraId="0F523B55">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6.2履约保证金缴纳账户：</w:t>
      </w:r>
    </w:p>
    <w:p w14:paraId="736274F9">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户名：</w:t>
      </w:r>
      <w:permStart w:id="6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中建路桥集团河北基础市政工程有限公司</w:t>
      </w:r>
      <w:permEnd w:id="64"/>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A3426FA">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帐号：</w:t>
      </w:r>
      <w:permStart w:id="65"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13050161536100000357 </w:t>
      </w:r>
      <w:permEnd w:id="65"/>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63CDF6F7">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w:t>
      </w:r>
      <w:permStart w:id="6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中国建设银行石家庄建设南大街支行</w:t>
      </w:r>
      <w:permEnd w:id="66"/>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66322960">
      <w:pPr>
        <w:pStyle w:val="14"/>
        <w:spacing w:line="400" w:lineRule="atLeast"/>
        <w:ind w:firstLine="482" w:firstLineChars="200"/>
      </w:pPr>
      <w:r>
        <w:rPr>
          <w:rFonts w:hint="eastAsia" w:ascii="仿宋_GB2312" w:hAnsi="仿宋_GB2312" w:eastAsia="仿宋_GB2312" w:cs="仿宋_GB2312"/>
          <w:b/>
          <w:bCs/>
          <w:color w:val="000000" w:themeColor="text1"/>
          <w14:textFill>
            <w14:solidFill>
              <w14:schemeClr w14:val="tx1"/>
            </w14:solidFill>
          </w14:textFill>
        </w:rPr>
        <w:t>6.3履约保证金退还：</w:t>
      </w:r>
      <w:r>
        <w:rPr>
          <w:rFonts w:hint="eastAsia" w:ascii="仿宋_GB2312" w:hAnsi="仿宋_GB2312" w:eastAsia="仿宋_GB2312" w:cs="仿宋_GB2312"/>
          <w:color w:val="000000" w:themeColor="text1"/>
          <w:kern w:val="2"/>
          <w14:textFill>
            <w14:solidFill>
              <w14:schemeClr w14:val="tx1"/>
            </w14:solidFill>
          </w14:textFill>
        </w:rPr>
        <w:t>在合同完成后</w:t>
      </w:r>
      <w:permStart w:id="67" w:edGrp="everyone"/>
      <w:r>
        <w:rPr>
          <w:rFonts w:hint="eastAsia" w:ascii="仿宋_GB2312" w:hAnsi="仿宋_GB2312" w:eastAsia="仿宋_GB2312" w:cs="仿宋_GB2312"/>
          <w:color w:val="000000" w:themeColor="text1"/>
          <w:kern w:val="2"/>
          <w:u w:val="single"/>
          <w14:textFill>
            <w14:solidFill>
              <w14:schemeClr w14:val="tx1"/>
            </w14:solidFill>
          </w14:textFill>
        </w:rPr>
        <w:t xml:space="preserve"> 30 </w:t>
      </w:r>
      <w:permEnd w:id="67"/>
      <w:r>
        <w:rPr>
          <w:rFonts w:hint="eastAsia" w:ascii="仿宋_GB2312" w:hAnsi="仿宋_GB2312" w:eastAsia="仿宋_GB2312" w:cs="仿宋_GB2312"/>
          <w:color w:val="000000" w:themeColor="text1"/>
          <w:kern w:val="2"/>
          <w14:textFill>
            <w14:solidFill>
              <w14:schemeClr w14:val="tx1"/>
            </w14:solidFill>
          </w14:textFill>
        </w:rPr>
        <w:t>工作日内甲方无息退还乙方履约保证金（扣除违约金及应扣除款项）</w:t>
      </w:r>
      <w:r>
        <w:rPr>
          <w:rFonts w:hint="eastAsia" w:ascii="仿宋_GB2312" w:hAnsi="仿宋_GB2312" w:eastAsia="仿宋_GB2312" w:cs="仿宋_GB2312"/>
          <w:color w:val="000000" w:themeColor="text1"/>
          <w14:textFill>
            <w14:solidFill>
              <w14:schemeClr w14:val="tx1"/>
            </w14:solidFill>
          </w14:textFill>
        </w:rPr>
        <w:t>。</w:t>
      </w:r>
    </w:p>
    <w:p w14:paraId="0AEBD957">
      <w:pPr>
        <w:spacing w:line="400" w:lineRule="atLeas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6.4已缴纳履约保证金的，如发生以下任何一种情况履约保证金不予退还：</w:t>
      </w:r>
    </w:p>
    <w:p w14:paraId="56AEC5F4">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6.4.1无法正常供货的情况，包括任何原因的不供货或连续5日历天未能按甲方要求的数量供货。</w:t>
      </w:r>
    </w:p>
    <w:p w14:paraId="681B80A6">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6.4.2供应的物资不符合国家、甲方、业主和监理相关标准和要求，且在规定时间内不予调换、处理的情况。</w:t>
      </w:r>
    </w:p>
    <w:p w14:paraId="1F75F6B5">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6.4.3不服从甲方管理的。</w:t>
      </w:r>
    </w:p>
    <w:p w14:paraId="3C55BCA0">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6.4.4因乙方原因给甲方造成损失的。</w:t>
      </w:r>
    </w:p>
    <w:p w14:paraId="2E37007A">
      <w:pPr>
        <w:spacing w:line="400" w:lineRule="atLeast"/>
        <w:ind w:firstLine="480" w:firstLineChars="200"/>
      </w:pPr>
      <w:r>
        <w:rPr>
          <w:rFonts w:hint="eastAsia" w:ascii="仿宋_GB2312" w:hAnsi="仿宋_GB2312" w:eastAsia="仿宋_GB2312" w:cs="仿宋_GB2312"/>
          <w:color w:val="000000" w:themeColor="text1"/>
          <w:sz w:val="24"/>
          <w:szCs w:val="24"/>
          <w14:textFill>
            <w14:solidFill>
              <w14:schemeClr w14:val="tx1"/>
            </w14:solidFill>
          </w14:textFill>
        </w:rPr>
        <w:t>6.4.5如履约保证金不足以弥补甲方损失，甲方有权要求相应补偿。</w:t>
      </w:r>
    </w:p>
    <w:p w14:paraId="06358CA6">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bookmarkStart w:id="31" w:name="_Toc10245"/>
      <w:r>
        <w:rPr>
          <w:rFonts w:hint="eastAsia" w:ascii="仿宋_GB2312" w:hAnsi="仿宋_GB2312" w:eastAsia="仿宋_GB2312" w:cs="仿宋_GB2312"/>
          <w:b/>
          <w:bCs/>
          <w:color w:val="000000" w:themeColor="text1"/>
          <w14:textFill>
            <w14:solidFill>
              <w14:schemeClr w14:val="tx1"/>
            </w14:solidFill>
          </w14:textFill>
        </w:rPr>
        <w:t>7、甲方禁止项目部及任何人员以甲方、甲方子企业或甲方项目部名义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w:t>
      </w:r>
    </w:p>
    <w:p w14:paraId="0A996E80">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bookmarkStart w:id="32" w:name="_Toc12208"/>
      <w:bookmarkStart w:id="33" w:name="_Toc24664"/>
      <w:r>
        <w:rPr>
          <w:rFonts w:hint="eastAsia" w:ascii="仿宋_GB2312" w:hAnsi="仿宋_GB2312" w:eastAsia="仿宋_GB2312" w:cs="仿宋_GB2312"/>
          <w:b/>
          <w:bCs/>
          <w:color w:val="000000" w:themeColor="text1"/>
          <w14:textFill>
            <w14:solidFill>
              <w14:schemeClr w14:val="tx1"/>
            </w14:solidFill>
          </w14:textFill>
        </w:rPr>
        <w:t>8、</w:t>
      </w:r>
      <w:r>
        <w:rPr>
          <w:rFonts w:hint="eastAsia" w:ascii="仿宋_GB2312" w:hAnsi="仿宋_GB2312" w:eastAsia="仿宋_GB2312" w:cs="仿宋_GB2312"/>
          <w:b/>
          <w:bCs/>
          <w:color w:val="000000" w:themeColor="text1"/>
          <w:highlight w:val="yellow"/>
          <w14:textFill>
            <w14:solidFill>
              <w14:schemeClr w14:val="tx1"/>
            </w14:solidFill>
          </w14:textFill>
        </w:rPr>
        <w:t>如双方因货款支付发生争议，对于争议解决前甲方存在迟付情形的已付款项，乙方放弃索要逾期利息、违约金或资金占用费的权利。非因甲方原因延迟支付结算款的，甲方不承担逾期利息，如甲方依法应承担逾期利息时，利息按照合同订立时全国银行间同业拆借中心公布的一年期贷款市场报价利率（LPR）计算，且逾期利息累计总额最高不超过本合同含税暂定总价的 6%。</w:t>
      </w:r>
    </w:p>
    <w:p w14:paraId="20347687">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9、甲方拖欠线索受理联系人：</w:t>
      </w:r>
    </w:p>
    <w:p w14:paraId="2725A37C">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项目部联系人：</w:t>
      </w:r>
      <w:permStart w:id="68"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刘志刚 </w:t>
      </w:r>
      <w:permEnd w:id="68"/>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69"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15369344290 </w:t>
      </w:r>
      <w:permEnd w:id="69"/>
      <w:r>
        <w:rPr>
          <w:rFonts w:hint="eastAsia" w:ascii="仿宋_GB2312" w:hAnsi="仿宋_GB2312" w:eastAsia="仿宋_GB2312" w:cs="仿宋_GB2312"/>
          <w:b/>
          <w:bCs/>
          <w:color w:val="000000" w:themeColor="text1"/>
          <w:sz w:val="24"/>
          <w:szCs w:val="24"/>
          <w14:textFill>
            <w14:solidFill>
              <w14:schemeClr w14:val="tx1"/>
            </w14:solidFill>
          </w14:textFill>
        </w:rPr>
        <w:t xml:space="preserve">； </w:t>
      </w:r>
    </w:p>
    <w:p w14:paraId="267A21D1">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公司联系人：</w:t>
      </w:r>
      <w:permStart w:id="70"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贾宜周 </w:t>
      </w:r>
      <w:permEnd w:id="70"/>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71"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0311-68093020 </w:t>
      </w:r>
      <w:permEnd w:id="71"/>
    </w:p>
    <w:p w14:paraId="424E02D3">
      <w:pPr>
        <w:spacing w:line="480" w:lineRule="exact"/>
        <w:ind w:firstLine="482" w:firstLineChars="200"/>
        <w:rPr>
          <w:rFonts w:ascii="仿宋_GB2312" w:hAnsi="仿宋_GB2312" w:eastAsia="仿宋_GB2312" w:cs="仿宋_GB2312"/>
          <w:b/>
          <w:bCs/>
          <w:color w:val="000000" w:themeColor="text1"/>
          <w:sz w:val="24"/>
          <w:szCs w:val="24"/>
          <w:u w:val="single"/>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公司信访投诉电话：</w:t>
      </w:r>
      <w:permStart w:id="72"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0311-68093020</w:t>
      </w:r>
      <w:permEnd w:id="72"/>
    </w:p>
    <w:p w14:paraId="71C06120">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信访投诉邮箱：</w:t>
      </w:r>
      <w:permStart w:id="73" w:edGrp="everyone"/>
      <w:r>
        <w:rPr>
          <w:rFonts w:hint="eastAsia" w:ascii="宋体" w:hAnsi="宋体" w:eastAsia="宋体" w:cs="宋体"/>
          <w:b/>
          <w:bCs/>
          <w:szCs w:val="21"/>
          <w:u w:val="single"/>
        </w:rPr>
        <w:t>zjlqszgsjw@cscec.com</w:t>
      </w:r>
      <w:permEnd w:id="73"/>
    </w:p>
    <w:p w14:paraId="054EE88F">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云筑网中建系统账款投诉平台：https://ts.yzw.cn</w:t>
      </w:r>
    </w:p>
    <w:p w14:paraId="3130C519">
      <w:pPr>
        <w:pStyle w:val="14"/>
        <w:spacing w:line="400" w:lineRule="atLeast"/>
        <w:ind w:firstLine="482" w:firstLineChars="200"/>
        <w:rPr>
          <w:rFonts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10、其他：</w:t>
      </w:r>
      <w:permStart w:id="74"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74"/>
      <w:r>
        <w:rPr>
          <w:rFonts w:hint="eastAsia" w:ascii="仿宋_GB2312" w:hAnsi="仿宋_GB2312" w:eastAsia="仿宋_GB2312" w:cs="仿宋_GB2312"/>
          <w:color w:val="000000" w:themeColor="text1"/>
          <w14:textFill>
            <w14:solidFill>
              <w14:schemeClr w14:val="tx1"/>
            </w14:solidFill>
          </w14:textFill>
        </w:rPr>
        <w:t>。</w:t>
      </w:r>
    </w:p>
    <w:p w14:paraId="03C1D9EF">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通知与送达</w:t>
      </w:r>
      <w:bookmarkEnd w:id="31"/>
      <w:bookmarkEnd w:id="32"/>
      <w:bookmarkEnd w:id="33"/>
    </w:p>
    <w:p w14:paraId="3140B6EA">
      <w:pPr>
        <w:pStyle w:val="14"/>
        <w:numPr>
          <w:ilvl w:val="0"/>
          <w:numId w:val="5"/>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本合同中涉及合同、文件、律师函、诉讼文书的送达地址或邮箱及法律后果作如下约定：</w:t>
      </w:r>
    </w:p>
    <w:p w14:paraId="21B5695D">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1.1甲方确认其有效的送达地址为：</w:t>
      </w:r>
      <w:permStart w:id="75" w:edGrp="everyone"/>
      <w:r>
        <w:rPr>
          <w:rFonts w:hint="eastAsia" w:ascii="仿宋_GB2312" w:hAnsi="仿宋_GB2312" w:eastAsia="仿宋_GB2312" w:cs="仿宋_GB2312"/>
          <w:color w:val="000000" w:themeColor="text1"/>
          <w:u w:val="single"/>
          <w14:textFill>
            <w14:solidFill>
              <w14:schemeClr w14:val="tx1"/>
            </w14:solidFill>
          </w14:textFill>
        </w:rPr>
        <w:t xml:space="preserve"> 陕西省安康市岚皋县</w:t>
      </w:r>
      <w:bookmarkStart w:id="126" w:name="_GoBack"/>
      <w:bookmarkEnd w:id="126"/>
      <w:r>
        <w:rPr>
          <w:rFonts w:hint="eastAsia" w:ascii="仿宋_GB2312" w:hAnsi="仿宋_GB2312" w:eastAsia="仿宋_GB2312" w:cs="仿宋_GB2312"/>
          <w:color w:val="000000" w:themeColor="text1"/>
          <w:u w:val="single"/>
          <w14:textFill>
            <w14:solidFill>
              <w14:schemeClr w14:val="tx1"/>
            </w14:solidFill>
          </w14:textFill>
        </w:rPr>
        <w:t xml:space="preserve"> </w:t>
      </w:r>
      <w:permEnd w:id="75"/>
      <w:r>
        <w:rPr>
          <w:rFonts w:hint="eastAsia" w:ascii="仿宋_GB2312" w:hAnsi="仿宋_GB2312" w:eastAsia="仿宋_GB2312" w:cs="仿宋_GB2312"/>
          <w:color w:val="000000" w:themeColor="text1"/>
          <w14:textFill>
            <w14:solidFill>
              <w14:schemeClr w14:val="tx1"/>
            </w14:solidFill>
          </w14:textFill>
        </w:rPr>
        <w:t>；</w:t>
      </w:r>
    </w:p>
    <w:p w14:paraId="49AC2BEB">
      <w:pPr>
        <w:pStyle w:val="14"/>
        <w:spacing w:line="400" w:lineRule="atLeast"/>
        <w:ind w:firstLine="720" w:firstLineChars="3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6"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 w:eastAsia="仿宋_GB2312"/>
          <w:bCs/>
          <w:color w:val="000000" w:themeColor="text1"/>
          <w:sz w:val="21"/>
          <w:szCs w:val="21"/>
          <w:u w:val="single"/>
          <w14:textFill>
            <w14:solidFill>
              <w14:schemeClr w14:val="tx1"/>
            </w14:solidFill>
          </w14:textFill>
        </w:rPr>
        <w:t>刘志刚</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 w:eastAsia="仿宋_GB2312"/>
          <w:bCs/>
          <w:color w:val="000000" w:themeColor="text1"/>
          <w:sz w:val="21"/>
          <w:szCs w:val="21"/>
          <w:u w:val="single"/>
          <w14:textFill>
            <w14:solidFill>
              <w14:schemeClr w14:val="tx1"/>
            </w14:solidFill>
          </w14:textFill>
        </w:rPr>
        <w:t>15369344290</w:t>
      </w:r>
      <w:permEnd w:id="76"/>
      <w:r>
        <w:rPr>
          <w:rFonts w:hint="eastAsia" w:ascii="仿宋_GB2312" w:hAnsi="仿宋_GB2312" w:eastAsia="仿宋_GB2312" w:cs="仿宋_GB2312"/>
          <w:color w:val="000000" w:themeColor="text1"/>
          <w14:textFill>
            <w14:solidFill>
              <w14:schemeClr w14:val="tx1"/>
            </w14:solidFill>
          </w14:textFill>
        </w:rPr>
        <w:t>；邮箱：</w:t>
      </w:r>
      <w:permStart w:id="77"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 w:eastAsia="仿宋_GB2312"/>
          <w:bCs/>
          <w:color w:val="000000" w:themeColor="text1"/>
          <w:sz w:val="21"/>
          <w:szCs w:val="21"/>
          <w:u w:val="single"/>
          <w14:textFill>
            <w14:solidFill>
              <w14:schemeClr w14:val="tx1"/>
            </w14:solidFill>
          </w14:textFill>
        </w:rPr>
        <w:t>1599708994@qq.com</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77"/>
      <w:r>
        <w:rPr>
          <w:rFonts w:hint="eastAsia" w:ascii="仿宋_GB2312" w:hAnsi="仿宋_GB2312" w:eastAsia="仿宋_GB2312" w:cs="仿宋_GB2312"/>
          <w:color w:val="000000" w:themeColor="text1"/>
          <w14:textFill>
            <w14:solidFill>
              <w14:schemeClr w14:val="tx1"/>
            </w14:solidFill>
          </w14:textFill>
        </w:rPr>
        <w:t>；</w:t>
      </w:r>
    </w:p>
    <w:p w14:paraId="7A41142B">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1.2乙方确认其有效的送达地址为：</w:t>
      </w:r>
      <w:permStart w:id="7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8"/>
      <w:r>
        <w:rPr>
          <w:rFonts w:hint="eastAsia" w:ascii="仿宋_GB2312" w:hAnsi="仿宋_GB2312" w:eastAsia="仿宋_GB2312" w:cs="仿宋_GB2312"/>
          <w:color w:val="000000" w:themeColor="text1"/>
          <w14:textFill>
            <w14:solidFill>
              <w14:schemeClr w14:val="tx1"/>
            </w14:solidFill>
          </w14:textFill>
        </w:rPr>
        <w:t>；</w:t>
      </w:r>
    </w:p>
    <w:p w14:paraId="3D32DABE">
      <w:pPr>
        <w:pStyle w:val="14"/>
        <w:spacing w:line="400" w:lineRule="atLeast"/>
        <w:ind w:firstLine="720" w:firstLineChars="3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9"/>
      <w:r>
        <w:rPr>
          <w:rFonts w:hint="eastAsia" w:ascii="仿宋_GB2312" w:hAnsi="仿宋_GB2312" w:eastAsia="仿宋_GB2312" w:cs="仿宋_GB2312"/>
          <w:color w:val="000000" w:themeColor="text1"/>
          <w14:textFill>
            <w14:solidFill>
              <w14:schemeClr w14:val="tx1"/>
            </w14:solidFill>
          </w14:textFill>
        </w:rPr>
        <w:t>；邮箱：</w:t>
      </w:r>
      <w:permStart w:id="80"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80"/>
      <w:r>
        <w:rPr>
          <w:rFonts w:hint="eastAsia" w:ascii="仿宋_GB2312" w:hAnsi="仿宋_GB2312" w:eastAsia="仿宋_GB2312" w:cs="仿宋_GB2312"/>
          <w:color w:val="000000" w:themeColor="text1"/>
          <w14:textFill>
            <w14:solidFill>
              <w14:schemeClr w14:val="tx1"/>
            </w14:solidFill>
          </w14:textFill>
        </w:rPr>
        <w:t>；</w:t>
      </w:r>
    </w:p>
    <w:p w14:paraId="51FACF1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2、双方该送达地址或邮箱适用范围包括双方就合同发生纠纷时的律师函和法律文书的送达，同时包括在争议进入民事诉讼程序（如有）后的一审、二审、再审和执行程序。</w:t>
      </w:r>
    </w:p>
    <w:p w14:paraId="5943B85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4BF53560">
      <w:pPr>
        <w:pStyle w:val="14"/>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34" w:name="_Toc26478"/>
      <w:bookmarkStart w:id="35" w:name="_Toc21843"/>
      <w:bookmarkStart w:id="36" w:name="_Toc4701"/>
      <w:r>
        <w:rPr>
          <w:rFonts w:hint="eastAsia" w:ascii="仿宋_GB2312" w:hAnsi="仿宋_GB2312" w:eastAsia="仿宋_GB2312" w:cs="仿宋_GB2312"/>
          <w:b/>
          <w:bCs/>
          <w:color w:val="000000" w:themeColor="text1"/>
          <w14:textFill>
            <w14:solidFill>
              <w14:schemeClr w14:val="tx1"/>
            </w14:solidFill>
          </w14:textFill>
        </w:rPr>
        <w:t>合同生效</w:t>
      </w:r>
      <w:bookmarkEnd w:id="34"/>
      <w:bookmarkEnd w:id="35"/>
      <w:bookmarkEnd w:id="36"/>
    </w:p>
    <w:p w14:paraId="56C34691">
      <w:pPr>
        <w:pStyle w:val="14"/>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1、本合同签约形式适用第</w:t>
      </w:r>
      <w:permStart w:id="81" w:edGrp="everyone"/>
      <w:r>
        <w:rPr>
          <w:rFonts w:hint="eastAsia" w:ascii="仿宋_GB2312" w:hAnsi="仿宋_GB2312" w:eastAsia="仿宋_GB2312" w:cs="仿宋_GB2312"/>
          <w:color w:val="000000" w:themeColor="text1"/>
          <w:u w:val="single"/>
          <w14:textFill>
            <w14:solidFill>
              <w14:schemeClr w14:val="tx1"/>
            </w14:solidFill>
          </w14:textFill>
        </w:rPr>
        <w:t xml:space="preserve"> 1.2 </w:t>
      </w:r>
      <w:permEnd w:id="81"/>
      <w:r>
        <w:rPr>
          <w:rFonts w:hint="eastAsia" w:ascii="仿宋_GB2312" w:hAnsi="仿宋_GB2312" w:eastAsia="仿宋_GB2312" w:cs="仿宋_GB2312"/>
          <w:color w:val="000000" w:themeColor="text1"/>
          <w14:textFill>
            <w14:solidFill>
              <w14:schemeClr w14:val="tx1"/>
            </w14:solidFill>
          </w14:textFill>
        </w:rPr>
        <w:t>条；</w:t>
      </w:r>
    </w:p>
    <w:p w14:paraId="260D4685">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37" w:name="_Toc7989"/>
      <w:bookmarkStart w:id="38" w:name="_Toc6851_WPSOffice_Level1"/>
      <w:bookmarkStart w:id="39" w:name="_Toc31827_WPSOffice_Level1"/>
      <w:bookmarkStart w:id="40" w:name="_Toc21939"/>
      <w:bookmarkStart w:id="41" w:name="_Toc15785_WPSOffice_Level1"/>
      <w:r>
        <w:rPr>
          <w:rFonts w:hint="eastAsia" w:ascii="仿宋_GB2312" w:hAnsi="仿宋_GB2312" w:eastAsia="仿宋_GB2312" w:cs="仿宋_GB2312"/>
          <w:color w:val="000000" w:themeColor="text1"/>
          <w14:textFill>
            <w14:solidFill>
              <w14:schemeClr w14:val="tx1"/>
            </w14:solidFill>
          </w14:textFill>
        </w:rPr>
        <w:t>1.1双方同意通过“E签宝”(网址：https://121.28.96.6:8813/main-index-web)以电子签章的方式签署本合同，本合同自双方加盖电子签章之日起生效。合同生效后，双方均可对本合同进行查阅、下载、打印。下载、打印后的合同可以与“E签宝”中的电子合同进行比对，如有不同，以“E签宝”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5914503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1.2双方同意通过加盖物理印章的方式签署本合同，合同自双方盖章后生效，完成合同约定的全部内容且保修期满后即告终止。合同壹式</w:t>
      </w:r>
      <w:permStart w:id="82" w:edGrp="everyone"/>
      <w:r>
        <w:rPr>
          <w:rFonts w:hint="eastAsia" w:ascii="仿宋_GB2312" w:hAnsi="仿宋_GB2312" w:eastAsia="仿宋_GB2312" w:cs="仿宋_GB2312"/>
          <w:color w:val="000000" w:themeColor="text1"/>
          <w14:textFill>
            <w14:solidFill>
              <w14:schemeClr w14:val="tx1"/>
            </w14:solidFill>
          </w14:textFill>
        </w:rPr>
        <w:t>伍</w:t>
      </w:r>
      <w:permEnd w:id="82"/>
      <w:r>
        <w:rPr>
          <w:rFonts w:hint="eastAsia" w:ascii="仿宋_GB2312" w:hAnsi="仿宋_GB2312" w:eastAsia="仿宋_GB2312" w:cs="仿宋_GB2312"/>
          <w:color w:val="000000" w:themeColor="text1"/>
          <w14:textFill>
            <w14:solidFill>
              <w14:schemeClr w14:val="tx1"/>
            </w14:solidFill>
          </w14:textFill>
        </w:rPr>
        <w:t>份，甲方执</w:t>
      </w:r>
      <w:permStart w:id="83" w:edGrp="everyone"/>
      <w:r>
        <w:rPr>
          <w:rFonts w:hint="eastAsia" w:ascii="仿宋_GB2312" w:hAnsi="仿宋_GB2312" w:eastAsia="仿宋_GB2312" w:cs="仿宋_GB2312"/>
          <w:color w:val="000000" w:themeColor="text1"/>
          <w14:textFill>
            <w14:solidFill>
              <w14:schemeClr w14:val="tx1"/>
            </w14:solidFill>
          </w14:textFill>
        </w:rPr>
        <w:t>肆</w:t>
      </w:r>
      <w:permEnd w:id="83"/>
      <w:r>
        <w:rPr>
          <w:rFonts w:hint="eastAsia" w:ascii="仿宋_GB2312" w:hAnsi="仿宋_GB2312" w:eastAsia="仿宋_GB2312" w:cs="仿宋_GB2312"/>
          <w:color w:val="000000" w:themeColor="text1"/>
          <w14:textFill>
            <w14:solidFill>
              <w14:schemeClr w14:val="tx1"/>
            </w14:solidFill>
          </w14:textFill>
        </w:rPr>
        <w:t>份，乙方执</w:t>
      </w:r>
      <w:permStart w:id="84" w:edGrp="everyone"/>
      <w:r>
        <w:rPr>
          <w:rFonts w:hint="eastAsia" w:ascii="仿宋_GB2312" w:hAnsi="仿宋_GB2312" w:eastAsia="仿宋_GB2312" w:cs="仿宋_GB2312"/>
          <w:color w:val="000000" w:themeColor="text1"/>
          <w14:textFill>
            <w14:solidFill>
              <w14:schemeClr w14:val="tx1"/>
            </w14:solidFill>
          </w14:textFill>
        </w:rPr>
        <w:t>壹</w:t>
      </w:r>
      <w:permEnd w:id="84"/>
      <w:r>
        <w:rPr>
          <w:rFonts w:hint="eastAsia" w:ascii="仿宋_GB2312" w:hAnsi="仿宋_GB2312" w:eastAsia="仿宋_GB2312" w:cs="仿宋_GB2312"/>
          <w:color w:val="000000" w:themeColor="text1"/>
          <w14:textFill>
            <w14:solidFill>
              <w14:schemeClr w14:val="tx1"/>
            </w14:solidFill>
          </w14:textFill>
        </w:rPr>
        <w:t>份。</w:t>
      </w:r>
    </w:p>
    <w:p w14:paraId="4F908F0E">
      <w:pPr>
        <w:spacing w:line="400" w:lineRule="atLeast"/>
        <w:ind w:firstLine="504" w:firstLineChars="200"/>
        <w:jc w:val="left"/>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pacing w:val="6"/>
          <w:sz w:val="24"/>
          <w:szCs w:val="24"/>
          <w14:textFill>
            <w14:solidFill>
              <w14:schemeClr w14:val="tx1"/>
            </w14:solidFill>
          </w14:textFill>
        </w:rPr>
        <w:t>以下无正文</w:t>
      </w:r>
      <w:bookmarkEnd w:id="37"/>
      <w:bookmarkEnd w:id="38"/>
      <w:bookmarkEnd w:id="39"/>
      <w:bookmarkEnd w:id="40"/>
      <w:bookmarkEnd w:id="41"/>
      <w:bookmarkStart w:id="42" w:name="_Toc19595_WPSOffice_Level1"/>
      <w:bookmarkStart w:id="43" w:name="_Toc8898_WPSOffice_Level1"/>
      <w:bookmarkStart w:id="44" w:name="_Toc6163_WPSOffice_Level1"/>
    </w:p>
    <w:p w14:paraId="0B92A8AF">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45" w:name="_Toc23779"/>
      <w:bookmarkStart w:id="46" w:name="_Toc31108"/>
      <w:bookmarkStart w:id="47" w:name="_Toc23374"/>
      <w:r>
        <w:rPr>
          <w:rFonts w:hint="eastAsia" w:ascii="仿宋_GB2312" w:hAnsi="仿宋_GB2312" w:eastAsia="仿宋_GB2312" w:cs="仿宋_GB2312"/>
          <w:color w:val="000000" w:themeColor="text1"/>
          <w:kern w:val="0"/>
          <w:sz w:val="24"/>
          <w:szCs w:val="24"/>
          <w14:textFill>
            <w14:solidFill>
              <w14:schemeClr w14:val="tx1"/>
            </w14:solidFill>
          </w14:textFill>
        </w:rPr>
        <w:t>附件一 授权委托书</w:t>
      </w:r>
      <w:bookmarkEnd w:id="42"/>
      <w:bookmarkEnd w:id="43"/>
      <w:bookmarkEnd w:id="44"/>
      <w:bookmarkEnd w:id="45"/>
      <w:bookmarkEnd w:id="46"/>
      <w:bookmarkEnd w:id="47"/>
    </w:p>
    <w:p w14:paraId="6D19FC09">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48" w:name="_Toc27542"/>
      <w:bookmarkStart w:id="49" w:name="_Toc3383_WPSOffice_Level1"/>
      <w:bookmarkStart w:id="50" w:name="_Toc14040"/>
      <w:bookmarkStart w:id="51" w:name="_Toc16133_WPSOffice_Level1"/>
      <w:bookmarkStart w:id="52" w:name="_Toc5250_WPSOffice_Level1"/>
      <w:bookmarkStart w:id="53" w:name="_Toc6903"/>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附件二 </w:t>
      </w:r>
      <w:bookmarkEnd w:id="48"/>
      <w:bookmarkEnd w:id="49"/>
      <w:bookmarkEnd w:id="50"/>
      <w:bookmarkEnd w:id="51"/>
      <w:bookmarkEnd w:id="52"/>
      <w:r>
        <w:rPr>
          <w:rFonts w:hint="eastAsia" w:ascii="仿宋_GB2312" w:hAnsi="仿宋_GB2312" w:eastAsia="仿宋_GB2312" w:cs="仿宋_GB2312"/>
          <w:color w:val="000000" w:themeColor="text1"/>
          <w:kern w:val="0"/>
          <w:sz w:val="24"/>
          <w:szCs w:val="24"/>
          <w14:textFill>
            <w14:solidFill>
              <w14:schemeClr w14:val="tx1"/>
            </w14:solidFill>
          </w14:textFill>
        </w:rPr>
        <w:t>项目部合规权限告知书</w:t>
      </w:r>
      <w:bookmarkEnd w:id="53"/>
    </w:p>
    <w:p w14:paraId="111FED48">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54" w:name="_Toc22730_WPSOffice_Level1"/>
      <w:bookmarkStart w:id="55" w:name="_Toc641_WPSOffice_Level1"/>
      <w:bookmarkStart w:id="56" w:name="_Toc19768_WPSOffice_Level1"/>
      <w:bookmarkStart w:id="57" w:name="_Toc660"/>
      <w:bookmarkStart w:id="58" w:name="_Toc26596"/>
      <w:bookmarkStart w:id="59" w:name="_Toc3486"/>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附件三 </w:t>
      </w:r>
      <w:bookmarkEnd w:id="54"/>
      <w:bookmarkEnd w:id="55"/>
      <w:bookmarkEnd w:id="56"/>
      <w:r>
        <w:rPr>
          <w:rFonts w:hint="eastAsia" w:ascii="仿宋_GB2312" w:hAnsi="仿宋_GB2312" w:eastAsia="仿宋_GB2312" w:cs="仿宋_GB2312"/>
          <w:color w:val="000000" w:themeColor="text1"/>
          <w:kern w:val="0"/>
          <w:sz w:val="24"/>
          <w:szCs w:val="24"/>
          <w14:textFill>
            <w14:solidFill>
              <w14:schemeClr w14:val="tx1"/>
            </w14:solidFill>
          </w14:textFill>
        </w:rPr>
        <w:t>安全管理协议书</w:t>
      </w:r>
      <w:bookmarkEnd w:id="57"/>
      <w:bookmarkEnd w:id="58"/>
      <w:bookmarkEnd w:id="59"/>
    </w:p>
    <w:p w14:paraId="6733E4A4">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60" w:name="_Toc8260_WPSOffice_Level1"/>
      <w:bookmarkStart w:id="61" w:name="_Toc24584_WPSOffice_Level1"/>
      <w:bookmarkStart w:id="62" w:name="_Toc19161_WPSOffice_Level1"/>
      <w:bookmarkStart w:id="63" w:name="_Toc25961"/>
      <w:bookmarkStart w:id="64" w:name="_Toc459"/>
      <w:bookmarkStart w:id="65" w:name="_Toc6994"/>
      <w:r>
        <w:rPr>
          <w:rFonts w:hint="eastAsia" w:ascii="仿宋_GB2312" w:hAnsi="仿宋_GB2312" w:eastAsia="仿宋_GB2312" w:cs="仿宋_GB2312"/>
          <w:color w:val="000000" w:themeColor="text1"/>
          <w14:textFill>
            <w14:solidFill>
              <w14:schemeClr w14:val="tx1"/>
            </w14:solidFill>
          </w14:textFill>
        </w:rPr>
        <w:t xml:space="preserve">附件四 </w:t>
      </w:r>
      <w:bookmarkEnd w:id="60"/>
      <w:bookmarkEnd w:id="61"/>
      <w:bookmarkEnd w:id="62"/>
      <w:r>
        <w:rPr>
          <w:rFonts w:hint="eastAsia" w:ascii="仿宋_GB2312" w:hAnsi="仿宋_GB2312" w:eastAsia="仿宋_GB2312" w:cs="仿宋_GB2312"/>
          <w:color w:val="000000" w:themeColor="text1"/>
          <w14:textFill>
            <w14:solidFill>
              <w14:schemeClr w14:val="tx1"/>
            </w14:solidFill>
          </w14:textFill>
        </w:rPr>
        <w:t>廉洁从业共建协议</w:t>
      </w:r>
      <w:bookmarkEnd w:id="63"/>
      <w:bookmarkEnd w:id="64"/>
      <w:bookmarkEnd w:id="65"/>
    </w:p>
    <w:p w14:paraId="0FB8039D">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p>
    <w:p w14:paraId="33BA0FF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p>
    <w:p w14:paraId="0422E714">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甲方（盖章）：                        乙方（公章）：             </w:t>
      </w:r>
    </w:p>
    <w:p w14:paraId="2B345FFA">
      <w:pPr>
        <w:autoSpaceDE w:val="0"/>
        <w:autoSpaceDN w:val="0"/>
        <w:adjustRightInd w:val="0"/>
        <w:spacing w:line="400" w:lineRule="atLeast"/>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w:t>
      </w:r>
    </w:p>
    <w:p w14:paraId="0411D57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25FCC9BE">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160EDECC">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107BA810">
      <w:pPr>
        <w:pStyle w:val="14"/>
        <w:spacing w:line="400" w:lineRule="atLeast"/>
        <w:rPr>
          <w:rFonts w:ascii="仿宋_GB2312" w:hAnsi="仿宋_GB2312" w:eastAsia="仿宋_GB2312" w:cs="仿宋_GB2312"/>
          <w:color w:val="000000" w:themeColor="text1"/>
          <w14:textFill>
            <w14:solidFill>
              <w14:schemeClr w14:val="tx1"/>
            </w14:solidFill>
          </w14:textFill>
        </w:rPr>
      </w:pPr>
    </w:p>
    <w:p w14:paraId="446E1824">
      <w:pPr>
        <w:pStyle w:val="14"/>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年</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月</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日</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年</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月</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日</w:t>
      </w:r>
    </w:p>
    <w:p w14:paraId="6B4FB95E">
      <w:pPr>
        <w:pStyle w:val="14"/>
        <w:spacing w:line="400" w:lineRule="exact"/>
        <w:ind w:firstLine="480" w:firstLineChars="200"/>
        <w:rPr>
          <w:rFonts w:ascii="仿宋_GB2312" w:hAnsi="仿宋_GB2312" w:eastAsia="仿宋_GB2312" w:cs="仿宋_GB2312"/>
          <w:color w:val="000000" w:themeColor="text1"/>
          <w14:textFill>
            <w14:solidFill>
              <w14:schemeClr w14:val="tx1"/>
            </w14:solidFill>
          </w14:textFill>
        </w:rPr>
        <w:sectPr>
          <w:headerReference r:id="rId10" w:type="default"/>
          <w:footerReference r:id="rId11" w:type="default"/>
          <w:pgSz w:w="11906" w:h="16838"/>
          <w:pgMar w:top="1440" w:right="1800" w:bottom="1440" w:left="1800" w:header="850" w:footer="975" w:gutter="0"/>
          <w:pgNumType w:start="1"/>
          <w:cols w:space="0" w:num="1"/>
          <w:docGrid w:linePitch="312" w:charSpace="0"/>
        </w:sectPr>
      </w:pPr>
    </w:p>
    <w:p w14:paraId="26A2FE7D">
      <w:pPr>
        <w:autoSpaceDE w:val="0"/>
        <w:autoSpaceDN w:val="0"/>
        <w:adjustRightInd w:val="0"/>
        <w:spacing w:line="400" w:lineRule="exact"/>
        <w:outlineLvl w:val="0"/>
        <w:rPr>
          <w:rFonts w:ascii="仿宋_GB2312" w:hAnsi="仿宋_GB2312" w:eastAsia="仿宋_GB2312" w:cs="仿宋_GB2312"/>
          <w:color w:val="000000" w:themeColor="text1"/>
          <w:kern w:val="0"/>
          <w:sz w:val="30"/>
          <w:szCs w:val="30"/>
          <w14:textFill>
            <w14:solidFill>
              <w14:schemeClr w14:val="tx1"/>
            </w14:solidFill>
          </w14:textFill>
        </w:rPr>
      </w:pPr>
      <w:permStart w:id="85" w:edGrp="everyone"/>
      <w:bookmarkStart w:id="66" w:name="_Toc25426"/>
      <w:bookmarkStart w:id="67" w:name="_Toc7321"/>
      <w:bookmarkStart w:id="68" w:name="_Toc31445"/>
      <w:r>
        <w:rPr>
          <w:rFonts w:hint="eastAsia" w:ascii="仿宋_GB2312" w:hAnsi="仿宋_GB2312" w:eastAsia="仿宋_GB2312" w:cs="仿宋_GB2312"/>
          <w:color w:val="000000" w:themeColor="text1"/>
          <w:kern w:val="0"/>
          <w:sz w:val="30"/>
          <w:szCs w:val="30"/>
          <w14:textFill>
            <w14:solidFill>
              <w14:schemeClr w14:val="tx1"/>
            </w14:solidFill>
          </w14:textFill>
        </w:rPr>
        <w:t>附件一：</w:t>
      </w:r>
      <w:bookmarkEnd w:id="66"/>
      <w:bookmarkEnd w:id="67"/>
      <w:bookmarkEnd w:id="68"/>
    </w:p>
    <w:p w14:paraId="244BBE08">
      <w:pPr>
        <w:autoSpaceDE w:val="0"/>
        <w:autoSpaceDN w:val="0"/>
        <w:adjustRightInd w:val="0"/>
        <w:spacing w:line="400" w:lineRule="exact"/>
        <w:jc w:val="center"/>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授权委托书</w:t>
      </w:r>
    </w:p>
    <w:p w14:paraId="101F3C04">
      <w:pPr>
        <w:autoSpaceDE w:val="0"/>
        <w:autoSpaceDN w:val="0"/>
        <w:adjustRightInd w:val="0"/>
        <w:spacing w:line="400" w:lineRule="exact"/>
        <w:rPr>
          <w:rFonts w:ascii="仿宋_GB2312" w:hAnsi="仿宋_GB2312" w:eastAsia="仿宋_GB2312" w:cs="仿宋_GB2312"/>
          <w:b/>
          <w:color w:val="000000" w:themeColor="text1"/>
          <w:sz w:val="24"/>
          <w:szCs w:val="24"/>
          <w14:textFill>
            <w14:solidFill>
              <w14:schemeClr w14:val="tx1"/>
            </w14:solidFill>
          </w14:textFill>
        </w:rPr>
      </w:pPr>
    </w:p>
    <w:p w14:paraId="6BD5A9F0">
      <w:pPr>
        <w:autoSpaceDE w:val="0"/>
        <w:autoSpaceDN w:val="0"/>
        <w:adjustRightInd w:val="0"/>
        <w:spacing w:line="400" w:lineRule="exact"/>
        <w:ind w:firstLine="482"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本授权委托书声明：</w:t>
      </w:r>
      <w:r>
        <w:rPr>
          <w:rFonts w:hint="eastAsia" w:ascii="仿宋_GB2312" w:hAnsi="仿宋_GB2312" w:eastAsia="仿宋_GB2312" w:cs="仿宋_GB2312"/>
          <w:color w:val="000000" w:themeColor="text1"/>
          <w:sz w:val="24"/>
          <w:szCs w:val="24"/>
          <w14:textFill>
            <w14:solidFill>
              <w14:schemeClr w14:val="tx1"/>
            </w14:solidFill>
          </w14:textFill>
        </w:rPr>
        <w:t>我</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）系</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公司（乙方）的法定代表人，现授权委托</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）为我公司合法的代理人。以本公司的名义负责</w:t>
      </w:r>
      <w:r>
        <w:rPr>
          <w:rFonts w:hint="eastAsia" w:ascii="仿宋_GB2312" w:hAnsi="仿宋_GB2312" w:eastAsia="仿宋_GB2312" w:cs="仿宋_GB2312"/>
          <w:color w:val="000000" w:themeColor="text1"/>
          <w:sz w:val="24"/>
          <w:szCs w:val="24"/>
          <w:u w:val="single"/>
          <w14:textFill>
            <w14:solidFill>
              <w14:schemeClr w14:val="tx1"/>
            </w14:solidFill>
          </w14:textFill>
        </w:rPr>
        <w:t>安岚高速AL-C08合同段桩基加固防护工程</w:t>
      </w:r>
      <w:r>
        <w:rPr>
          <w:rFonts w:hint="eastAsia" w:ascii="仿宋_GB2312" w:hAnsi="仿宋_GB2312" w:eastAsia="仿宋_GB2312" w:cs="仿宋_GB2312"/>
          <w:color w:val="000000" w:themeColor="text1"/>
          <w:sz w:val="24"/>
          <w:szCs w:val="24"/>
          <w14:textFill>
            <w14:solidFill>
              <w14:schemeClr w14:val="tx1"/>
            </w14:solidFill>
          </w14:textFill>
        </w:rPr>
        <w:t>项目响应、合同签署及合同履行等事宜。</w:t>
      </w:r>
    </w:p>
    <w:p w14:paraId="761B4D53">
      <w:pPr>
        <w:autoSpaceDE w:val="0"/>
        <w:autoSpaceDN w:val="0"/>
        <w:adjustRightInd w:val="0"/>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在合同履行过程中所签署的一切文件和处理与之有关的一切事务，包括但不限于签署往来函件、签署会议纪要、货物供应、结算办理、货款的收取、发票开具等处理与此有关的经济事务及函件往来均具有法律效力，授权人均予以认可。</w:t>
      </w:r>
    </w:p>
    <w:p w14:paraId="7F4F98A2">
      <w:pPr>
        <w:keepNext/>
        <w:keepLines/>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本授权委托的期限为自</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日至</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p w14:paraId="3A897BAC">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代理人无转委托权。</w:t>
      </w:r>
    </w:p>
    <w:p w14:paraId="3A0E4207">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特此授权。</w:t>
      </w:r>
    </w:p>
    <w:p w14:paraId="1A66C4B6">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委托单位全称（公章）：          </w:t>
      </w:r>
    </w:p>
    <w:p w14:paraId="590B1ED6">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法定代表人：</w:t>
      </w:r>
    </w:p>
    <w:p w14:paraId="6437621E">
      <w:pPr>
        <w:spacing w:line="400" w:lineRule="exact"/>
        <w:ind w:firstLine="480" w:firstLineChars="200"/>
        <w:jc w:val="right"/>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日     </w:t>
      </w:r>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552EBF1A">
      <w:pPr>
        <w:spacing w:before="120" w:beforeLines="50" w:after="120" w:afterLines="50" w:line="400" w:lineRule="exact"/>
        <w:ind w:firstLine="482"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代理人声明</w:t>
      </w:r>
      <w:r>
        <w:rPr>
          <w:rFonts w:hint="eastAsia" w:ascii="仿宋_GB2312" w:hAnsi="仿宋_GB2312" w:eastAsia="仿宋_GB2312" w:cs="仿宋_GB2312"/>
          <w:color w:val="000000" w:themeColor="text1"/>
          <w:sz w:val="24"/>
          <w:szCs w:val="24"/>
          <w14:textFill>
            <w14:solidFill>
              <w14:schemeClr w14:val="tx1"/>
            </w14:solidFill>
          </w14:textFill>
        </w:rPr>
        <w:t>：我对以上授权委托事项完全接受，自愿履行。</w:t>
      </w:r>
    </w:p>
    <w:p w14:paraId="3EE611F1">
      <w:pPr>
        <w:spacing w:line="400" w:lineRule="exact"/>
        <w:ind w:firstLine="480" w:firstLineChars="200"/>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代理人（本人签字）：</w:t>
      </w:r>
    </w:p>
    <w:p w14:paraId="2AC08AD7">
      <w:pPr>
        <w:spacing w:line="400" w:lineRule="exact"/>
        <w:ind w:firstLine="480" w:firstLineChars="200"/>
        <w:jc w:val="righ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tbl>
      <w:tblPr>
        <w:tblStyle w:val="11"/>
        <w:tblpPr w:leftFromText="180" w:rightFromText="180" w:vertAnchor="text" w:horzAnchor="page" w:tblpX="1551" w:tblpY="508"/>
        <w:tblOverlap w:val="never"/>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560"/>
      </w:tblGrid>
      <w:tr w14:paraId="211B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4470" w:type="dxa"/>
            <w:tcBorders>
              <w:right w:val="single" w:color="000000" w:sz="4" w:space="0"/>
            </w:tcBorders>
            <w:vAlign w:val="center"/>
          </w:tcPr>
          <w:p w14:paraId="1A74629A">
            <w:pPr>
              <w:autoSpaceDE w:val="0"/>
              <w:autoSpaceDN w:val="0"/>
              <w:adjustRightInd w:val="0"/>
              <w:spacing w:line="40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正面</w:t>
            </w:r>
          </w:p>
        </w:tc>
        <w:tc>
          <w:tcPr>
            <w:tcW w:w="4560" w:type="dxa"/>
            <w:tcBorders>
              <w:left w:val="single" w:color="000000" w:sz="4" w:space="0"/>
            </w:tcBorders>
            <w:vAlign w:val="center"/>
          </w:tcPr>
          <w:p w14:paraId="0D762E83">
            <w:pPr>
              <w:autoSpaceDE w:val="0"/>
              <w:autoSpaceDN w:val="0"/>
              <w:adjustRightInd w:val="0"/>
              <w:spacing w:line="400" w:lineRule="exact"/>
              <w:ind w:firstLine="1920" w:firstLineChars="8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背面</w:t>
            </w:r>
          </w:p>
        </w:tc>
      </w:tr>
    </w:tbl>
    <w:p w14:paraId="725363DF">
      <w:pPr>
        <w:spacing w:line="400" w:lineRule="exact"/>
        <w:ind w:firstLine="482" w:firstLineChars="200"/>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4"/>
          <w:szCs w:val="24"/>
          <w14:textFill>
            <w14:solidFill>
              <w14:schemeClr w14:val="tx1"/>
            </w14:solidFill>
          </w14:textFill>
        </w:rPr>
        <w:t>：</w:t>
      </w:r>
    </w:p>
    <w:tbl>
      <w:tblPr>
        <w:tblStyle w:val="11"/>
        <w:tblpPr w:leftFromText="180" w:rightFromText="180" w:vertAnchor="text" w:horzAnchor="page" w:tblpX="1551" w:tblpY="3249"/>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78D5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4D461B23">
            <w:pPr>
              <w:autoSpaceDE w:val="0"/>
              <w:autoSpaceDN w:val="0"/>
              <w:adjustRightInd w:val="0"/>
              <w:spacing w:line="40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正面</w:t>
            </w:r>
          </w:p>
        </w:tc>
        <w:tc>
          <w:tcPr>
            <w:tcW w:w="4530" w:type="dxa"/>
            <w:tcBorders>
              <w:left w:val="single" w:color="000000" w:sz="4" w:space="0"/>
            </w:tcBorders>
            <w:vAlign w:val="center"/>
          </w:tcPr>
          <w:p w14:paraId="72C37D1A">
            <w:pPr>
              <w:autoSpaceDE w:val="0"/>
              <w:autoSpaceDN w:val="0"/>
              <w:adjustRightInd w:val="0"/>
              <w:spacing w:line="400" w:lineRule="exact"/>
              <w:ind w:firstLine="1920" w:firstLineChars="8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背面</w:t>
            </w:r>
          </w:p>
        </w:tc>
      </w:tr>
    </w:tbl>
    <w:p w14:paraId="3443A99E">
      <w:pPr>
        <w:spacing w:line="400" w:lineRule="exact"/>
        <w:ind w:firstLine="482" w:firstLineChars="200"/>
        <w:rPr>
          <w:rFonts w:ascii="仿宋_GB2312" w:hAnsi="仿宋_GB2312" w:eastAsia="仿宋_GB2312" w:cs="仿宋_GB2312"/>
          <w:b/>
          <w:color w:val="000000" w:themeColor="text1"/>
          <w:sz w:val="24"/>
          <w:szCs w:val="24"/>
          <w:u w:val="dash"/>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法定代表人身份证复印件粘贴处：</w:t>
      </w:r>
    </w:p>
    <w:permEnd w:id="85"/>
    <w:p w14:paraId="1B0AB07D">
      <w:pPr>
        <w:pStyle w:val="14"/>
        <w:spacing w:line="400" w:lineRule="exact"/>
        <w:ind w:firstLine="480" w:firstLineChars="200"/>
        <w:rPr>
          <w:rFonts w:ascii="仿宋_GB2312" w:hAnsi="仿宋_GB2312" w:eastAsia="仿宋_GB2312" w:cs="仿宋_GB2312"/>
          <w:color w:val="000000" w:themeColor="text1"/>
          <w14:textFill>
            <w14:solidFill>
              <w14:schemeClr w14:val="tx1"/>
            </w14:solidFill>
          </w14:textFill>
        </w:rPr>
        <w:sectPr>
          <w:pgSz w:w="11906" w:h="16838"/>
          <w:pgMar w:top="1440" w:right="1800" w:bottom="1440" w:left="1800" w:header="850" w:footer="975" w:gutter="0"/>
          <w:cols w:space="0" w:num="1"/>
          <w:docGrid w:linePitch="312" w:charSpace="0"/>
        </w:sectPr>
      </w:pPr>
    </w:p>
    <w:p w14:paraId="2495A368">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pPr>
      <w:bookmarkStart w:id="69" w:name="_Toc16973"/>
      <w:bookmarkStart w:id="70" w:name="_Toc4519"/>
      <w:bookmarkStart w:id="71" w:name="_Toc21254"/>
      <w:r>
        <w:rPr>
          <w:rFonts w:hint="eastAsia" w:ascii="仿宋_GB2312" w:hAnsi="仿宋_GB2312" w:eastAsia="仿宋_GB2312" w:cs="仿宋_GB2312"/>
          <w:color w:val="000000" w:themeColor="text1"/>
          <w:sz w:val="30"/>
          <w:szCs w:val="30"/>
          <w14:textFill>
            <w14:solidFill>
              <w14:schemeClr w14:val="tx1"/>
            </w14:solidFill>
          </w14:textFill>
        </w:rPr>
        <w:t>附件二：</w:t>
      </w:r>
      <w:bookmarkEnd w:id="69"/>
      <w:bookmarkEnd w:id="70"/>
      <w:bookmarkEnd w:id="71"/>
    </w:p>
    <w:p w14:paraId="23F957B3">
      <w:pPr>
        <w:spacing w:line="400" w:lineRule="exact"/>
        <w:jc w:val="center"/>
        <w:rPr>
          <w:rFonts w:ascii="仿宋_GB2312" w:hAnsi="仿宋_GB2312" w:eastAsia="仿宋_GB2312" w:cs="仿宋_GB2312"/>
          <w:b/>
          <w:bCs/>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z w:val="30"/>
          <w:szCs w:val="30"/>
          <w14:textFill>
            <w14:solidFill>
              <w14:schemeClr w14:val="tx1"/>
            </w14:solidFill>
          </w14:textFill>
        </w:rPr>
        <w:t>项目部合规权限告知书</w:t>
      </w:r>
    </w:p>
    <w:p w14:paraId="37484DFB">
      <w:pPr>
        <w:autoSpaceDE w:val="0"/>
        <w:autoSpaceDN w:val="0"/>
        <w:adjustRightInd w:val="0"/>
        <w:spacing w:before="240" w:beforeLines="100"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致：</w:t>
      </w:r>
      <w:permStart w:id="8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86"/>
      <w:r>
        <w:rPr>
          <w:rFonts w:hint="eastAsia" w:ascii="仿宋_GB2312" w:hAnsi="仿宋_GB2312" w:eastAsia="仿宋_GB2312" w:cs="仿宋_GB2312"/>
          <w:color w:val="000000" w:themeColor="text1"/>
          <w:sz w:val="24"/>
          <w:szCs w:val="24"/>
          <w14:textFill>
            <w14:solidFill>
              <w14:schemeClr w14:val="tx1"/>
            </w14:solidFill>
          </w14:textFill>
        </w:rPr>
        <w:t>（乙方全称）</w:t>
      </w:r>
    </w:p>
    <w:p w14:paraId="6C7EAF53">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ermStart w:id="87" w:edGrp="everyone"/>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bookmarkStart w:id="72" w:name="_Hlk126830603"/>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中建路桥集团河北基础市政工程有限公司</w:t>
      </w:r>
      <w:permEnd w:id="87"/>
      <w:bookmarkEnd w:id="72"/>
      <w:r>
        <w:rPr>
          <w:rFonts w:hint="eastAsia" w:ascii="仿宋_GB2312" w:hAnsi="仿宋_GB2312" w:eastAsia="仿宋_GB2312" w:cs="仿宋_GB2312"/>
          <w:color w:val="000000" w:themeColor="text1"/>
          <w:sz w:val="24"/>
          <w:szCs w:val="24"/>
          <w:lang w:val="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采购方</w:t>
      </w:r>
      <w:r>
        <w:rPr>
          <w:rFonts w:hint="eastAsia" w:ascii="仿宋_GB2312" w:hAnsi="仿宋_GB2312" w:eastAsia="仿宋_GB2312" w:cs="仿宋_GB2312"/>
          <w:color w:val="000000" w:themeColor="text1"/>
          <w:sz w:val="24"/>
          <w:szCs w:val="24"/>
          <w:lang w:val="zh-CN"/>
          <w14:textFill>
            <w14:solidFill>
              <w14:schemeClr w14:val="tx1"/>
            </w14:solidFill>
          </w14:textFill>
        </w:rPr>
        <w:t>全称，以下简称本公司），系依法成立并有效存续的公司。现向本公司</w:t>
      </w:r>
      <w:permStart w:id="88" w:edGrp="everyone"/>
      <w:r>
        <w:rPr>
          <w:rFonts w:hint="eastAsia" w:ascii="仿宋_GB2312" w:hAnsi="仿宋_GB2312" w:eastAsia="仿宋_GB2312" w:cs="仿宋_GB2312"/>
          <w:color w:val="000000" w:themeColor="text1"/>
          <w:sz w:val="24"/>
          <w:szCs w:val="24"/>
          <w:u w:val="single"/>
          <w14:textFill>
            <w14:solidFill>
              <w14:schemeClr w14:val="tx1"/>
            </w14:solidFill>
          </w14:textFill>
        </w:rPr>
        <w:t>安岚高速AL-C08合同段桩基加固防护工程</w:t>
      </w:r>
      <w:permEnd w:id="88"/>
      <w:r>
        <w:rPr>
          <w:rFonts w:hint="eastAsia" w:ascii="仿宋_GB2312" w:hAnsi="仿宋_GB2312" w:eastAsia="仿宋_GB2312" w:cs="仿宋_GB2312"/>
          <w:color w:val="000000" w:themeColor="text1"/>
          <w:sz w:val="24"/>
          <w:szCs w:val="24"/>
          <w:lang w:val="zh-CN"/>
          <w14:textFill>
            <w14:solidFill>
              <w14:schemeClr w14:val="tx1"/>
            </w14:solidFill>
          </w14:textFill>
        </w:rPr>
        <w:t>项目部(以下简称项目部)签发项目部合规权限告知书（以下简称本</w:t>
      </w:r>
      <w:r>
        <w:rPr>
          <w:rFonts w:hint="eastAsia" w:ascii="仿宋_GB2312" w:hAnsi="仿宋_GB2312" w:eastAsia="仿宋_GB2312" w:cs="仿宋_GB2312"/>
          <w:color w:val="000000" w:themeColor="text1"/>
          <w:sz w:val="24"/>
          <w:szCs w:val="24"/>
          <w14:textFill>
            <w14:solidFill>
              <w14:schemeClr w14:val="tx1"/>
            </w14:solidFill>
          </w14:textFill>
        </w:rPr>
        <w:t>告知</w:t>
      </w:r>
      <w:r>
        <w:rPr>
          <w:rFonts w:hint="eastAsia" w:ascii="仿宋_GB2312" w:hAnsi="仿宋_GB2312" w:eastAsia="仿宋_GB2312" w:cs="仿宋_GB2312"/>
          <w:color w:val="000000" w:themeColor="text1"/>
          <w:sz w:val="24"/>
          <w:szCs w:val="24"/>
          <w:lang w:val="zh-CN"/>
          <w14:textFill>
            <w14:solidFill>
              <w14:schemeClr w14:val="tx1"/>
            </w14:solidFill>
          </w14:textFill>
        </w:rPr>
        <w:t>书），项目经理</w:t>
      </w:r>
      <w:permStart w:id="89" w:edGrp="everyone"/>
      <w:r>
        <w:rPr>
          <w:rFonts w:hint="eastAsia" w:ascii="仿宋_GB2312" w:hAnsi="仿宋_GB2312" w:eastAsia="仿宋_GB2312" w:cs="仿宋_GB2312"/>
          <w:color w:val="000000" w:themeColor="text1"/>
          <w:sz w:val="24"/>
          <w:szCs w:val="24"/>
          <w:u w:val="single"/>
          <w14:textFill>
            <w14:solidFill>
              <w14:schemeClr w14:val="tx1"/>
            </w14:solidFill>
          </w14:textFill>
        </w:rPr>
        <w:t>张旭光</w:t>
      </w:r>
      <w:permEnd w:id="89"/>
      <w:r>
        <w:rPr>
          <w:rFonts w:hint="eastAsia" w:ascii="仿宋_GB2312" w:hAnsi="仿宋_GB2312" w:eastAsia="仿宋_GB2312" w:cs="仿宋_GB2312"/>
          <w:color w:val="000000" w:themeColor="text1"/>
          <w:sz w:val="24"/>
          <w:szCs w:val="24"/>
          <w14:textFill>
            <w14:solidFill>
              <w14:schemeClr w14:val="tx1"/>
            </w14:solidFill>
          </w14:textFill>
        </w:rPr>
        <w:t>（身份证号：</w:t>
      </w:r>
      <w:permStart w:id="90" w:edGrp="everyone"/>
      <w:r>
        <w:rPr>
          <w:rFonts w:hint="eastAsia" w:ascii="仿宋_GB2312" w:hAnsi="仿宋_GB2312" w:eastAsia="仿宋_GB2312" w:cs="仿宋_GB2312"/>
          <w:color w:val="000000" w:themeColor="text1"/>
          <w:sz w:val="24"/>
          <w:szCs w:val="24"/>
          <w:u w:val="single"/>
          <w14:textFill>
            <w14:solidFill>
              <w14:schemeClr w14:val="tx1"/>
            </w14:solidFill>
          </w14:textFill>
        </w:rPr>
        <w:t>132442197602242014</w:t>
      </w:r>
      <w:permEnd w:id="90"/>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lang w:val="zh-CN"/>
          <w14:textFill>
            <w14:solidFill>
              <w14:schemeClr w14:val="tx1"/>
            </w14:solidFill>
          </w14:textFill>
        </w:rPr>
        <w:t xml:space="preserve">代表本公司行使权限。 </w:t>
      </w:r>
    </w:p>
    <w:p w14:paraId="09D5A4E1">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一、</w:t>
      </w:r>
      <w:r>
        <w:rPr>
          <w:rFonts w:hint="eastAsia" w:ascii="仿宋_GB2312" w:hAnsi="仿宋_GB2312" w:eastAsia="仿宋_GB2312" w:cs="仿宋_GB2312"/>
          <w:color w:val="000000" w:themeColor="text1"/>
          <w:sz w:val="24"/>
          <w:szCs w:val="24"/>
          <w:lang w:val="zh-CN"/>
          <w14:textFill>
            <w14:solidFill>
              <w14:schemeClr w14:val="tx1"/>
            </w14:solidFill>
          </w14:textFill>
        </w:rPr>
        <w:t>项目部须严格按合同约定行使权利，履行义务。本授权书规定与合同约定相冲突的，以合同约定为准。</w:t>
      </w:r>
    </w:p>
    <w:p w14:paraId="321F2BCD">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二、项目部行使权限，须由项目经理签字并加盖项目部公章，否则本公司不予认可，亦不承担任何责任。</w:t>
      </w:r>
    </w:p>
    <w:p w14:paraId="31E18C0D">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三、项目经理</w:t>
      </w:r>
      <w:r>
        <w:rPr>
          <w:rFonts w:hint="eastAsia" w:ascii="仿宋_GB2312" w:hAnsi="仿宋_GB2312" w:eastAsia="仿宋_GB2312" w:cs="仿宋_GB2312"/>
          <w:color w:val="000000" w:themeColor="text1"/>
          <w:sz w:val="24"/>
          <w:szCs w:val="24"/>
          <w14:textFill>
            <w14:solidFill>
              <w14:schemeClr w14:val="tx1"/>
            </w14:solidFill>
          </w14:textFill>
        </w:rPr>
        <w:t>不</w:t>
      </w:r>
      <w:r>
        <w:rPr>
          <w:rFonts w:hint="eastAsia" w:ascii="仿宋_GB2312" w:hAnsi="仿宋_GB2312" w:eastAsia="仿宋_GB2312" w:cs="仿宋_GB2312"/>
          <w:color w:val="000000" w:themeColor="text1"/>
          <w:sz w:val="24"/>
          <w:szCs w:val="24"/>
          <w:lang w:val="zh-CN"/>
          <w14:textFill>
            <w14:solidFill>
              <w14:schemeClr w14:val="tx1"/>
            </w14:solidFill>
          </w14:textFill>
        </w:rPr>
        <w:t>可将其部分权限以书面形式转授权项目部其他人员，项目部任何内设机构及项目经理</w:t>
      </w:r>
      <w:r>
        <w:rPr>
          <w:rFonts w:hint="eastAsia" w:ascii="仿宋_GB2312" w:hAnsi="仿宋_GB2312" w:eastAsia="仿宋_GB2312" w:cs="仿宋_GB2312"/>
          <w:color w:val="000000" w:themeColor="text1"/>
          <w:sz w:val="24"/>
          <w:szCs w:val="24"/>
          <w14:textFill>
            <w14:solidFill>
              <w14:schemeClr w14:val="tx1"/>
            </w14:solidFill>
          </w14:textFill>
        </w:rPr>
        <w:t>擅自</w:t>
      </w:r>
      <w:r>
        <w:rPr>
          <w:rFonts w:hint="eastAsia" w:ascii="仿宋_GB2312" w:hAnsi="仿宋_GB2312" w:eastAsia="仿宋_GB2312" w:cs="仿宋_GB2312"/>
          <w:color w:val="000000" w:themeColor="text1"/>
          <w:sz w:val="24"/>
          <w:szCs w:val="24"/>
          <w:lang w:val="zh-CN"/>
          <w14:textFill>
            <w14:solidFill>
              <w14:schemeClr w14:val="tx1"/>
            </w14:solidFill>
          </w14:textFill>
        </w:rPr>
        <w:t>转授权人员以任何形式签字、盖章本公司均不予认可，亦不承担任何责任。</w:t>
      </w:r>
    </w:p>
    <w:p w14:paraId="7EF53DAA">
      <w:pPr>
        <w:autoSpaceDE w:val="0"/>
        <w:autoSpaceDN w:val="0"/>
        <w:adjustRightInd w:val="0"/>
        <w:spacing w:line="400" w:lineRule="exact"/>
        <w:ind w:firstLine="480" w:firstLineChars="200"/>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四、项目所有合同、协议等具有权利义务性质的文件均需加盖合同专用章，否则本公司不予认可，亦不承担任何责任。</w:t>
      </w:r>
    </w:p>
    <w:p w14:paraId="49D27229">
      <w:pPr>
        <w:autoSpaceDE w:val="0"/>
        <w:autoSpaceDN w:val="0"/>
        <w:adjustRightInd w:val="0"/>
        <w:spacing w:line="400" w:lineRule="exact"/>
        <w:ind w:firstLine="480"/>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五、凡涉及项目经济性事项，项目部须严格在本授权书规定的权限范围内行使，否则，即使经项目部加盖公章、项目经理签字，本公司亦不予认可，不承担任何责任。</w:t>
      </w:r>
    </w:p>
    <w:p w14:paraId="73B1E58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1.项目部有权审批如下事项：</w:t>
      </w:r>
    </w:p>
    <w:tbl>
      <w:tblPr>
        <w:tblStyle w:val="11"/>
        <w:tblpPr w:leftFromText="180" w:rightFromText="180" w:vertAnchor="text" w:horzAnchor="margin" w:tblpXSpec="center" w:tblpY="87"/>
        <w:tblOverlap w:val="never"/>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209"/>
        <w:gridCol w:w="1974"/>
        <w:gridCol w:w="5117"/>
      </w:tblGrid>
      <w:tr w14:paraId="0845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3" w:type="dxa"/>
            <w:vAlign w:val="center"/>
          </w:tcPr>
          <w:p w14:paraId="5F57A23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1209" w:type="dxa"/>
            <w:vAlign w:val="center"/>
          </w:tcPr>
          <w:p w14:paraId="0C12DF2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板块</w:t>
            </w:r>
          </w:p>
        </w:tc>
        <w:tc>
          <w:tcPr>
            <w:tcW w:w="1974" w:type="dxa"/>
            <w:vAlign w:val="center"/>
          </w:tcPr>
          <w:p w14:paraId="109EB67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授权事项</w:t>
            </w:r>
          </w:p>
        </w:tc>
        <w:tc>
          <w:tcPr>
            <w:tcW w:w="5117" w:type="dxa"/>
            <w:vAlign w:val="center"/>
          </w:tcPr>
          <w:p w14:paraId="4E1288B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授权权限</w:t>
            </w:r>
          </w:p>
        </w:tc>
      </w:tr>
      <w:tr w14:paraId="501C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A48F91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p>
        </w:tc>
        <w:tc>
          <w:tcPr>
            <w:tcW w:w="1209" w:type="dxa"/>
            <w:vMerge w:val="restart"/>
            <w:vAlign w:val="center"/>
          </w:tcPr>
          <w:p w14:paraId="26FF080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总包管理</w:t>
            </w:r>
          </w:p>
        </w:tc>
        <w:tc>
          <w:tcPr>
            <w:tcW w:w="1974" w:type="dxa"/>
            <w:vAlign w:val="center"/>
          </w:tcPr>
          <w:p w14:paraId="1216EAF7">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申请开工</w:t>
            </w:r>
          </w:p>
        </w:tc>
        <w:tc>
          <w:tcPr>
            <w:tcW w:w="5117" w:type="dxa"/>
            <w:vAlign w:val="center"/>
          </w:tcPr>
          <w:p w14:paraId="1635C6D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有权向建设单位申请开工。</w:t>
            </w:r>
          </w:p>
        </w:tc>
      </w:tr>
      <w:tr w14:paraId="1F68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8AAAFB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p>
        </w:tc>
        <w:tc>
          <w:tcPr>
            <w:tcW w:w="1209" w:type="dxa"/>
            <w:vMerge w:val="continue"/>
            <w:vAlign w:val="center"/>
          </w:tcPr>
          <w:p w14:paraId="725521E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BF0D6D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w:t>
            </w:r>
          </w:p>
        </w:tc>
        <w:tc>
          <w:tcPr>
            <w:tcW w:w="5117" w:type="dxa"/>
            <w:vAlign w:val="center"/>
          </w:tcPr>
          <w:p w14:paraId="36FFB7C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施工方案、施工组织设计、技术措施的编制、交底、实施和落实。</w:t>
            </w:r>
          </w:p>
        </w:tc>
      </w:tr>
      <w:tr w14:paraId="6C81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009E73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p>
        </w:tc>
        <w:tc>
          <w:tcPr>
            <w:tcW w:w="1209" w:type="dxa"/>
            <w:vMerge w:val="continue"/>
            <w:vAlign w:val="center"/>
          </w:tcPr>
          <w:p w14:paraId="57CAD3C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EC720B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报送工程进度</w:t>
            </w:r>
          </w:p>
        </w:tc>
        <w:tc>
          <w:tcPr>
            <w:tcW w:w="5117" w:type="dxa"/>
            <w:vAlign w:val="center"/>
          </w:tcPr>
          <w:p w14:paraId="72B5B3E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对外报送工程进度计划及调整。</w:t>
            </w:r>
          </w:p>
        </w:tc>
      </w:tr>
      <w:tr w14:paraId="24E5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C73519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4</w:t>
            </w:r>
          </w:p>
        </w:tc>
        <w:tc>
          <w:tcPr>
            <w:tcW w:w="1209" w:type="dxa"/>
            <w:vMerge w:val="continue"/>
            <w:vAlign w:val="center"/>
          </w:tcPr>
          <w:p w14:paraId="1104DFC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CF5BC4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物资需用计划</w:t>
            </w:r>
          </w:p>
        </w:tc>
        <w:tc>
          <w:tcPr>
            <w:tcW w:w="5117" w:type="dxa"/>
            <w:vAlign w:val="center"/>
          </w:tcPr>
          <w:p w14:paraId="15F0F53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有权向建设单位报送物资需用计划（适用于工程所需材料由建设单位提供）。</w:t>
            </w:r>
          </w:p>
        </w:tc>
      </w:tr>
      <w:tr w14:paraId="6858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53CF44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5</w:t>
            </w:r>
          </w:p>
        </w:tc>
        <w:tc>
          <w:tcPr>
            <w:tcW w:w="1209" w:type="dxa"/>
            <w:vMerge w:val="continue"/>
            <w:vAlign w:val="center"/>
          </w:tcPr>
          <w:p w14:paraId="5085C9D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06C9C4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甲供材过程及质量问题反馈</w:t>
            </w:r>
          </w:p>
        </w:tc>
        <w:tc>
          <w:tcPr>
            <w:tcW w:w="5117" w:type="dxa"/>
            <w:vAlign w:val="center"/>
          </w:tcPr>
          <w:p w14:paraId="40FE8ED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有权就建设单位方供应（控制）的物质，供货过程及质量问题，向建设单位发联系函。</w:t>
            </w:r>
          </w:p>
        </w:tc>
      </w:tr>
      <w:tr w14:paraId="54B3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663A830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6</w:t>
            </w:r>
          </w:p>
        </w:tc>
        <w:tc>
          <w:tcPr>
            <w:tcW w:w="1209" w:type="dxa"/>
            <w:vMerge w:val="continue"/>
            <w:vAlign w:val="center"/>
          </w:tcPr>
          <w:p w14:paraId="064B727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B20C99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废旧物资处理</w:t>
            </w:r>
          </w:p>
        </w:tc>
        <w:tc>
          <w:tcPr>
            <w:tcW w:w="5117" w:type="dxa"/>
            <w:vAlign w:val="center"/>
          </w:tcPr>
          <w:p w14:paraId="4DDCA66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确定的方案实施处理废旧物资。</w:t>
            </w:r>
          </w:p>
        </w:tc>
      </w:tr>
      <w:tr w14:paraId="2D87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BA861D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7</w:t>
            </w:r>
          </w:p>
        </w:tc>
        <w:tc>
          <w:tcPr>
            <w:tcW w:w="1209" w:type="dxa"/>
            <w:vMerge w:val="continue"/>
            <w:vAlign w:val="center"/>
          </w:tcPr>
          <w:p w14:paraId="0A5CB5D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57C16F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设计变更、签证、索赔</w:t>
            </w:r>
          </w:p>
        </w:tc>
        <w:tc>
          <w:tcPr>
            <w:tcW w:w="5117" w:type="dxa"/>
            <w:vAlign w:val="center"/>
          </w:tcPr>
          <w:p w14:paraId="40FEF53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有权向建设单位报送设计变更、签证、索赔报价单</w:t>
            </w:r>
          </w:p>
        </w:tc>
      </w:tr>
      <w:tr w14:paraId="764E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54CF6E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8</w:t>
            </w:r>
          </w:p>
        </w:tc>
        <w:tc>
          <w:tcPr>
            <w:tcW w:w="1209" w:type="dxa"/>
            <w:vMerge w:val="continue"/>
            <w:vAlign w:val="center"/>
          </w:tcPr>
          <w:p w14:paraId="3F09DB1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13C5D9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对外报量书</w:t>
            </w:r>
          </w:p>
        </w:tc>
        <w:tc>
          <w:tcPr>
            <w:tcW w:w="5117" w:type="dxa"/>
            <w:vAlign w:val="center"/>
          </w:tcPr>
          <w:p w14:paraId="6CF5B77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有权编制对外报量书并报送甲方审核。</w:t>
            </w:r>
          </w:p>
        </w:tc>
      </w:tr>
      <w:tr w14:paraId="6502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FE3A79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9</w:t>
            </w:r>
          </w:p>
        </w:tc>
        <w:tc>
          <w:tcPr>
            <w:tcW w:w="1209" w:type="dxa"/>
            <w:vMerge w:val="continue"/>
            <w:vAlign w:val="center"/>
          </w:tcPr>
          <w:p w14:paraId="7C5B187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923710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付款申请</w:t>
            </w:r>
          </w:p>
        </w:tc>
        <w:tc>
          <w:tcPr>
            <w:tcW w:w="5117" w:type="dxa"/>
            <w:vAlign w:val="center"/>
          </w:tcPr>
          <w:p w14:paraId="703DED9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有权向建设单位提出付款申请。</w:t>
            </w:r>
          </w:p>
        </w:tc>
      </w:tr>
      <w:tr w14:paraId="46A8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7D4FE0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10</w:t>
            </w:r>
          </w:p>
        </w:tc>
        <w:tc>
          <w:tcPr>
            <w:tcW w:w="1209" w:type="dxa"/>
            <w:vMerge w:val="continue"/>
            <w:vAlign w:val="center"/>
          </w:tcPr>
          <w:p w14:paraId="4CB9C04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2AD581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申请工程竣工验收</w:t>
            </w:r>
          </w:p>
        </w:tc>
        <w:tc>
          <w:tcPr>
            <w:tcW w:w="5117" w:type="dxa"/>
            <w:vAlign w:val="center"/>
          </w:tcPr>
          <w:p w14:paraId="03CA251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有权报监理单位、建设单位组织验收。验收合格的，有权向建设单位提出竣工验收申请。</w:t>
            </w:r>
          </w:p>
        </w:tc>
      </w:tr>
      <w:tr w14:paraId="49FF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7F7F8E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11</w:t>
            </w:r>
          </w:p>
        </w:tc>
        <w:tc>
          <w:tcPr>
            <w:tcW w:w="1209" w:type="dxa"/>
            <w:vMerge w:val="continue"/>
            <w:vAlign w:val="center"/>
          </w:tcPr>
          <w:p w14:paraId="72C6843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856797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工程交付</w:t>
            </w:r>
          </w:p>
        </w:tc>
        <w:tc>
          <w:tcPr>
            <w:tcW w:w="5117" w:type="dxa"/>
            <w:vAlign w:val="center"/>
          </w:tcPr>
          <w:p w14:paraId="27754D9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有权组织向建设单位进行交付，办理工程移交单。</w:t>
            </w:r>
          </w:p>
        </w:tc>
      </w:tr>
      <w:tr w14:paraId="56D6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9D1919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12</w:t>
            </w:r>
          </w:p>
        </w:tc>
        <w:tc>
          <w:tcPr>
            <w:tcW w:w="1209" w:type="dxa"/>
            <w:vMerge w:val="continue"/>
            <w:vAlign w:val="center"/>
          </w:tcPr>
          <w:p w14:paraId="58042CB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649EF0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撤销保函</w:t>
            </w:r>
          </w:p>
        </w:tc>
        <w:tc>
          <w:tcPr>
            <w:tcW w:w="5117" w:type="dxa"/>
            <w:vAlign w:val="center"/>
          </w:tcPr>
          <w:p w14:paraId="43C9B97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有权办理我公司对外开立的保函撤销相关工作。</w:t>
            </w:r>
          </w:p>
        </w:tc>
      </w:tr>
      <w:tr w14:paraId="300D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25C925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13</w:t>
            </w:r>
          </w:p>
        </w:tc>
        <w:tc>
          <w:tcPr>
            <w:tcW w:w="1209" w:type="dxa"/>
            <w:vMerge w:val="continue"/>
            <w:vAlign w:val="center"/>
          </w:tcPr>
          <w:p w14:paraId="4F15FF7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446BF3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递交结算资料</w:t>
            </w:r>
          </w:p>
        </w:tc>
        <w:tc>
          <w:tcPr>
            <w:tcW w:w="5117" w:type="dxa"/>
            <w:vAlign w:val="center"/>
          </w:tcPr>
          <w:p w14:paraId="1A13386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有权向建设单位递交工程结算书及结算资料。</w:t>
            </w:r>
          </w:p>
        </w:tc>
      </w:tr>
      <w:tr w14:paraId="4D62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71D8C6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14</w:t>
            </w:r>
          </w:p>
        </w:tc>
        <w:tc>
          <w:tcPr>
            <w:tcW w:w="1209" w:type="dxa"/>
            <w:vMerge w:val="continue"/>
            <w:vAlign w:val="center"/>
          </w:tcPr>
          <w:p w14:paraId="3D01C4E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F0314C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应收账款对账</w:t>
            </w:r>
          </w:p>
        </w:tc>
        <w:tc>
          <w:tcPr>
            <w:tcW w:w="5117" w:type="dxa"/>
            <w:vAlign w:val="center"/>
          </w:tcPr>
          <w:p w14:paraId="328F491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有权与建设单位进行对账，将双方应收（付）账款金额核对一致。</w:t>
            </w:r>
          </w:p>
        </w:tc>
      </w:tr>
      <w:tr w14:paraId="7E7D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A67D2F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15</w:t>
            </w:r>
          </w:p>
        </w:tc>
        <w:tc>
          <w:tcPr>
            <w:tcW w:w="1209" w:type="dxa"/>
            <w:vMerge w:val="continue"/>
            <w:vAlign w:val="center"/>
          </w:tcPr>
          <w:p w14:paraId="5D1A880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0C78327">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催款单</w:t>
            </w:r>
          </w:p>
        </w:tc>
        <w:tc>
          <w:tcPr>
            <w:tcW w:w="5117" w:type="dxa"/>
            <w:vAlign w:val="center"/>
          </w:tcPr>
          <w:p w14:paraId="15F149F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根据《工程施工合同》有关条款，在存在拖欠工程款时，有权向建设单位发函催收。</w:t>
            </w:r>
          </w:p>
        </w:tc>
      </w:tr>
      <w:tr w14:paraId="798B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4CEE0A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16</w:t>
            </w:r>
          </w:p>
        </w:tc>
        <w:tc>
          <w:tcPr>
            <w:tcW w:w="1209" w:type="dxa"/>
            <w:vMerge w:val="restart"/>
            <w:vAlign w:val="center"/>
          </w:tcPr>
          <w:p w14:paraId="0188C9B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分包(供)管理</w:t>
            </w:r>
          </w:p>
        </w:tc>
        <w:tc>
          <w:tcPr>
            <w:tcW w:w="1974" w:type="dxa"/>
            <w:vAlign w:val="center"/>
          </w:tcPr>
          <w:p w14:paraId="455227D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w:t>
            </w:r>
            <w:r>
              <w:rPr>
                <w:rFonts w:hint="eastAsia" w:ascii="仿宋_GB2312" w:hAnsi="仿宋_GB2312" w:eastAsia="仿宋_GB2312" w:cs="仿宋_GB2312"/>
                <w:b/>
                <w:bCs/>
                <w:color w:val="000000" w:themeColor="text1"/>
                <w:sz w:val="24"/>
                <w:szCs w:val="24"/>
                <w14:textFill>
                  <w14:solidFill>
                    <w14:schemeClr w14:val="tx1"/>
                  </w14:solidFill>
                </w14:textFill>
              </w:rPr>
              <w:t>供应</w:t>
            </w:r>
            <w:r>
              <w:rPr>
                <w:rFonts w:hint="eastAsia" w:ascii="仿宋_GB2312" w:hAnsi="仿宋_GB2312" w:eastAsia="仿宋_GB2312" w:cs="仿宋_GB2312"/>
                <w:b/>
                <w:bCs/>
                <w:color w:val="000000" w:themeColor="text1"/>
                <w:sz w:val="24"/>
                <w:szCs w:val="24"/>
                <w:lang w:val="zh-CN"/>
                <w14:textFill>
                  <w14:solidFill>
                    <w14:schemeClr w14:val="tx1"/>
                  </w14:solidFill>
                </w14:textFill>
              </w:rPr>
              <w:t>）合同管理</w:t>
            </w:r>
          </w:p>
        </w:tc>
        <w:tc>
          <w:tcPr>
            <w:tcW w:w="5117" w:type="dxa"/>
            <w:vAlign w:val="center"/>
          </w:tcPr>
          <w:p w14:paraId="6646E00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授权范围进行谈判，均需报</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/公司审批签约。</w:t>
            </w:r>
          </w:p>
        </w:tc>
      </w:tr>
      <w:tr w14:paraId="6F1C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1A518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1209" w:type="dxa"/>
            <w:vMerge w:val="continue"/>
            <w:vAlign w:val="center"/>
          </w:tcPr>
          <w:p w14:paraId="6C3751D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4581A0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合同交底管理</w:t>
            </w:r>
          </w:p>
        </w:tc>
        <w:tc>
          <w:tcPr>
            <w:tcW w:w="5117" w:type="dxa"/>
            <w:vAlign w:val="center"/>
          </w:tcPr>
          <w:p w14:paraId="41A9772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将相关工程洽商记录、施工图纸及会审记录、设计变更通知书或设计变更图发至乙方，并做书面交底。</w:t>
            </w:r>
          </w:p>
        </w:tc>
      </w:tr>
      <w:tr w14:paraId="1465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F072AE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584EA85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4AFBBE8">
            <w:pPr>
              <w:autoSpaceDE w:val="0"/>
              <w:autoSpaceDN w:val="0"/>
              <w:adjustRightInd w:val="0"/>
              <w:spacing w:line="400" w:lineRule="exact"/>
              <w:jc w:val="left"/>
              <w:rPr>
                <w:rFonts w:ascii="仿宋_GB2312" w:hAnsi="仿宋_GB2312" w:eastAsia="仿宋_GB2312" w:cs="仿宋_GB2312"/>
                <w:b/>
                <w:bCs/>
                <w:color w:val="FF0000"/>
                <w:sz w:val="24"/>
                <w:szCs w:val="24"/>
                <w:lang w:val="zh-CN"/>
              </w:rPr>
            </w:pPr>
            <w:r>
              <w:rPr>
                <w:rFonts w:hint="eastAsia" w:ascii="仿宋_GB2312" w:hAnsi="仿宋_GB2312" w:eastAsia="仿宋_GB2312" w:cs="仿宋_GB2312"/>
                <w:b/>
                <w:bCs/>
                <w:sz w:val="24"/>
                <w:szCs w:val="24"/>
                <w:lang w:val="zh-CN"/>
              </w:rPr>
              <w:t>分包合同签证管理</w:t>
            </w:r>
          </w:p>
        </w:tc>
        <w:tc>
          <w:tcPr>
            <w:tcW w:w="5117" w:type="dxa"/>
            <w:vAlign w:val="center"/>
          </w:tcPr>
          <w:p w14:paraId="2CED76E2">
            <w:pPr>
              <w:autoSpaceDE w:val="0"/>
              <w:autoSpaceDN w:val="0"/>
              <w:adjustRightInd w:val="0"/>
              <w:spacing w:line="400" w:lineRule="exact"/>
              <w:jc w:val="left"/>
              <w:rPr>
                <w:rFonts w:ascii="仿宋_GB2312" w:hAnsi="仿宋_GB2312" w:eastAsia="仿宋_GB2312" w:cs="仿宋_GB2312"/>
                <w:b/>
                <w:bCs/>
                <w:color w:val="FF0000"/>
                <w:sz w:val="24"/>
                <w:szCs w:val="24"/>
                <w:lang w:val="zh-CN"/>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合同签证接收与初审(单份单项额度2万元以下的经济签证签署至项目经理，单份单项额度2万元以上的经济签证应签署至子企业总经济师。对同一个分包商累计现场签证不得超过10万元，且不得超过分包合同额的5%；结果需报公司/分公司审核，审核后方可作为结算依据）</w:t>
            </w:r>
          </w:p>
        </w:tc>
      </w:tr>
      <w:tr w14:paraId="4F9F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49FEE3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2A5BD10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shd w:val="clear" w:color="auto" w:fill="auto"/>
            <w:vAlign w:val="center"/>
          </w:tcPr>
          <w:p w14:paraId="11CD7026">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分包单位进退场</w:t>
            </w:r>
          </w:p>
        </w:tc>
        <w:tc>
          <w:tcPr>
            <w:tcW w:w="5117" w:type="dxa"/>
            <w:shd w:val="clear" w:color="auto" w:fill="auto"/>
            <w:vAlign w:val="center"/>
          </w:tcPr>
          <w:p w14:paraId="437791D0">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有权确认分包人员、机械、材料等施工资源进退场。</w:t>
            </w:r>
          </w:p>
        </w:tc>
      </w:tr>
      <w:tr w14:paraId="669E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EAB2AE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20</w:t>
            </w:r>
          </w:p>
        </w:tc>
        <w:tc>
          <w:tcPr>
            <w:tcW w:w="1209" w:type="dxa"/>
            <w:vMerge w:val="continue"/>
            <w:vAlign w:val="center"/>
          </w:tcPr>
          <w:p w14:paraId="649A762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64C8DAD">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劳动力分配计划</w:t>
            </w:r>
          </w:p>
        </w:tc>
        <w:tc>
          <w:tcPr>
            <w:tcW w:w="5117" w:type="dxa"/>
            <w:vAlign w:val="center"/>
          </w:tcPr>
          <w:p w14:paraId="1773AE2F">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有权要求分包方按要求配置劳动力。</w:t>
            </w:r>
          </w:p>
        </w:tc>
      </w:tr>
      <w:tr w14:paraId="4316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AD8C4F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1209" w:type="dxa"/>
            <w:vMerge w:val="continue"/>
            <w:vAlign w:val="center"/>
          </w:tcPr>
          <w:p w14:paraId="1AF2CB3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B49E1F4">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现场零星工程指令</w:t>
            </w:r>
          </w:p>
        </w:tc>
        <w:tc>
          <w:tcPr>
            <w:tcW w:w="5117" w:type="dxa"/>
            <w:vAlign w:val="center"/>
          </w:tcPr>
          <w:p w14:paraId="6D4711E5">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有权根据需要向分</w:t>
            </w:r>
            <w:r>
              <w:rPr>
                <w:rFonts w:hint="eastAsia" w:ascii="仿宋_GB2312" w:hAnsi="仿宋_GB2312" w:eastAsia="仿宋_GB2312" w:cs="仿宋_GB2312"/>
                <w:b/>
                <w:bCs/>
                <w:sz w:val="24"/>
                <w:szCs w:val="24"/>
              </w:rPr>
              <w:t>包</w:t>
            </w:r>
            <w:r>
              <w:rPr>
                <w:rFonts w:hint="eastAsia" w:ascii="仿宋_GB2312" w:hAnsi="仿宋_GB2312" w:eastAsia="仿宋_GB2312" w:cs="仿宋_GB2312"/>
                <w:b/>
                <w:bCs/>
                <w:sz w:val="24"/>
                <w:szCs w:val="24"/>
                <w:lang w:val="zh-CN"/>
              </w:rPr>
              <w:t>方签发现场零星工程指令（金额在2万元以内）。</w:t>
            </w:r>
          </w:p>
        </w:tc>
      </w:tr>
      <w:tr w14:paraId="0C33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restart"/>
            <w:vAlign w:val="center"/>
          </w:tcPr>
          <w:p w14:paraId="4AE12E1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1209" w:type="dxa"/>
            <w:vMerge w:val="continue"/>
            <w:vAlign w:val="center"/>
          </w:tcPr>
          <w:p w14:paraId="41FAA5C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restart"/>
            <w:vAlign w:val="center"/>
          </w:tcPr>
          <w:p w14:paraId="7FEFD0D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紧急采购、零星物资采购</w:t>
            </w:r>
          </w:p>
        </w:tc>
        <w:tc>
          <w:tcPr>
            <w:tcW w:w="5117" w:type="dxa"/>
            <w:vAlign w:val="center"/>
          </w:tcPr>
          <w:p w14:paraId="4DC5F76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零星采购：</w:t>
            </w:r>
            <w:r>
              <w:rPr>
                <w:rFonts w:hint="eastAsia" w:ascii="仿宋_GB2312" w:hAnsi="仿宋_GB2312" w:eastAsia="仿宋_GB2312" w:cs="仿宋_GB2312"/>
                <w:b/>
                <w:bCs/>
                <w:sz w:val="24"/>
                <w:szCs w:val="24"/>
              </w:rPr>
              <w:t>按制度权限、额度审批后采购。</w:t>
            </w:r>
          </w:p>
        </w:tc>
      </w:tr>
      <w:tr w14:paraId="2085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continue"/>
            <w:vAlign w:val="center"/>
          </w:tcPr>
          <w:p w14:paraId="7CB33B2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209" w:type="dxa"/>
            <w:vMerge w:val="continue"/>
            <w:vAlign w:val="center"/>
          </w:tcPr>
          <w:p w14:paraId="591CA64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continue"/>
            <w:vAlign w:val="center"/>
          </w:tcPr>
          <w:p w14:paraId="39708E1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5117" w:type="dxa"/>
            <w:vAlign w:val="center"/>
          </w:tcPr>
          <w:p w14:paraId="24995C7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紧急采购：报公司审核后，项目实施采购。</w:t>
            </w:r>
          </w:p>
        </w:tc>
      </w:tr>
      <w:tr w14:paraId="73CF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0BFA12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1209" w:type="dxa"/>
            <w:vMerge w:val="continue"/>
            <w:vAlign w:val="center"/>
          </w:tcPr>
          <w:p w14:paraId="0ABE88D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D14642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材料、料具、设备进退场</w:t>
            </w:r>
          </w:p>
        </w:tc>
        <w:tc>
          <w:tcPr>
            <w:tcW w:w="5117" w:type="dxa"/>
            <w:vAlign w:val="center"/>
          </w:tcPr>
          <w:p w14:paraId="7053C34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供应方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发送物资进退场通知单；有权确认材料、料具、设备及退货材料的进退场单据。</w:t>
            </w:r>
          </w:p>
        </w:tc>
      </w:tr>
      <w:tr w14:paraId="78BF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0ABC8E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24</w:t>
            </w:r>
          </w:p>
        </w:tc>
        <w:tc>
          <w:tcPr>
            <w:tcW w:w="1209" w:type="dxa"/>
            <w:vMerge w:val="continue"/>
            <w:vAlign w:val="center"/>
          </w:tcPr>
          <w:p w14:paraId="68F14C4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661F3E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w:t>
            </w:r>
            <w:r>
              <w:rPr>
                <w:rFonts w:hint="eastAsia" w:ascii="仿宋_GB2312" w:hAnsi="仿宋_GB2312" w:eastAsia="仿宋_GB2312" w:cs="仿宋_GB2312"/>
                <w:b/>
                <w:bCs/>
                <w:color w:val="000000" w:themeColor="text1"/>
                <w:sz w:val="24"/>
                <w:szCs w:val="24"/>
                <w14:textFill>
                  <w14:solidFill>
                    <w14:schemeClr w14:val="tx1"/>
                  </w14:solidFill>
                </w14:textFill>
              </w:rPr>
              <w:t>检验</w:t>
            </w:r>
          </w:p>
        </w:tc>
        <w:tc>
          <w:tcPr>
            <w:tcW w:w="5117" w:type="dxa"/>
            <w:vAlign w:val="center"/>
          </w:tcPr>
          <w:p w14:paraId="77399D2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对乙方</w:t>
            </w:r>
            <w:r>
              <w:rPr>
                <w:rFonts w:hint="eastAsia" w:ascii="仿宋_GB2312" w:hAnsi="仿宋_GB2312" w:eastAsia="仿宋_GB2312" w:cs="仿宋_GB2312"/>
                <w:b/>
                <w:bCs/>
                <w:color w:val="000000" w:themeColor="text1"/>
                <w:sz w:val="24"/>
                <w:szCs w:val="24"/>
                <w14:textFill>
                  <w14:solidFill>
                    <w14:schemeClr w14:val="tx1"/>
                  </w14:solidFill>
                </w14:textFill>
              </w:rPr>
              <w:t>物资</w:t>
            </w:r>
            <w:r>
              <w:rPr>
                <w:rFonts w:hint="eastAsia" w:ascii="仿宋_GB2312" w:hAnsi="仿宋_GB2312" w:eastAsia="仿宋_GB2312" w:cs="仿宋_GB2312"/>
                <w:b/>
                <w:bCs/>
                <w:color w:val="000000" w:themeColor="text1"/>
                <w:sz w:val="24"/>
                <w:szCs w:val="24"/>
                <w:lang w:val="zh-CN"/>
                <w14:textFill>
                  <w14:solidFill>
                    <w14:schemeClr w14:val="tx1"/>
                  </w14:solidFill>
                </w14:textFill>
              </w:rPr>
              <w:t>设备进行检验、试验、检测与计量，联系乙方退货或更换，出具进场设备不合格记录。</w:t>
            </w:r>
          </w:p>
        </w:tc>
      </w:tr>
      <w:tr w14:paraId="056A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84480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073AD63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05625F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物资发放</w:t>
            </w:r>
          </w:p>
        </w:tc>
        <w:tc>
          <w:tcPr>
            <w:tcW w:w="5117" w:type="dxa"/>
            <w:vAlign w:val="center"/>
          </w:tcPr>
          <w:p w14:paraId="6E5C446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有权确认有关物资发放的领料单、退货单、混凝土浇灌申请表（不含调拨单）。</w:t>
            </w:r>
          </w:p>
        </w:tc>
      </w:tr>
      <w:tr w14:paraId="49AE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CDED79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Merge w:val="continue"/>
            <w:vAlign w:val="center"/>
          </w:tcPr>
          <w:p w14:paraId="519C75A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988711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履约整改通知</w:t>
            </w:r>
          </w:p>
        </w:tc>
        <w:tc>
          <w:tcPr>
            <w:tcW w:w="5117" w:type="dxa"/>
            <w:vAlign w:val="center"/>
          </w:tcPr>
          <w:p w14:paraId="134DCF5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方工程项目的履约情况进行监控和核查，发现问题后，有权通知要求</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方进行整改。</w:t>
            </w:r>
          </w:p>
        </w:tc>
      </w:tr>
      <w:tr w14:paraId="6979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E2BBB5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continue"/>
            <w:vAlign w:val="center"/>
          </w:tcPr>
          <w:p w14:paraId="63C3AC9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C48D33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方处罚</w:t>
            </w:r>
          </w:p>
        </w:tc>
        <w:tc>
          <w:tcPr>
            <w:tcW w:w="5117" w:type="dxa"/>
            <w:vAlign w:val="center"/>
          </w:tcPr>
          <w:p w14:paraId="282A4B8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有权根据合同约定对不服从管理或违约的</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方作出处罚的决定。</w:t>
            </w:r>
          </w:p>
        </w:tc>
      </w:tr>
      <w:tr w14:paraId="7E70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BA75ED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28</w:t>
            </w:r>
          </w:p>
        </w:tc>
        <w:tc>
          <w:tcPr>
            <w:tcW w:w="1209" w:type="dxa"/>
            <w:vMerge w:val="continue"/>
            <w:vAlign w:val="center"/>
          </w:tcPr>
          <w:p w14:paraId="5548E2F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8C5852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结算初步办理</w:t>
            </w:r>
          </w:p>
        </w:tc>
        <w:tc>
          <w:tcPr>
            <w:tcW w:w="5117" w:type="dxa"/>
            <w:vAlign w:val="center"/>
          </w:tcPr>
          <w:p w14:paraId="36F236E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初步编制结算单提交甲方</w:t>
            </w:r>
            <w:r>
              <w:rPr>
                <w:rFonts w:hint="eastAsia" w:ascii="仿宋_GB2312" w:hAnsi="仿宋_GB2312" w:eastAsia="仿宋_GB2312" w:cs="仿宋_GB2312"/>
                <w:b/>
                <w:bCs/>
                <w:color w:val="000000" w:themeColor="text1"/>
                <w:sz w:val="24"/>
                <w:szCs w:val="24"/>
                <w14:textFill>
                  <w14:solidFill>
                    <w14:schemeClr w14:val="tx1"/>
                  </w14:solidFill>
                </w14:textFill>
              </w:rPr>
              <w:t>分子公司/集团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确认。</w:t>
            </w:r>
          </w:p>
        </w:tc>
      </w:tr>
      <w:tr w14:paraId="4DD1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8CA845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4EB2130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E21741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方结算扣款</w:t>
            </w:r>
          </w:p>
        </w:tc>
        <w:tc>
          <w:tcPr>
            <w:tcW w:w="5117" w:type="dxa"/>
            <w:vAlign w:val="center"/>
          </w:tcPr>
          <w:p w14:paraId="442767C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有权在中间结算和最终结算时扣除</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方应扣款项（包括但不限于</w:t>
            </w:r>
            <w:r>
              <w:rPr>
                <w:rFonts w:hint="eastAsia" w:ascii="仿宋_GB2312" w:hAnsi="仿宋_GB2312" w:eastAsia="仿宋_GB2312" w:cs="仿宋_GB2312"/>
                <w:b/>
                <w:bCs/>
                <w:color w:val="000000" w:themeColor="text1"/>
                <w:sz w:val="24"/>
                <w:szCs w:val="24"/>
                <w14:textFill>
                  <w14:solidFill>
                    <w14:schemeClr w14:val="tx1"/>
                  </w14:solidFill>
                </w14:textFill>
              </w:rPr>
              <w:t>质保金、</w:t>
            </w:r>
            <w:r>
              <w:rPr>
                <w:rFonts w:hint="eastAsia" w:ascii="仿宋_GB2312" w:hAnsi="仿宋_GB2312" w:eastAsia="仿宋_GB2312" w:cs="仿宋_GB2312"/>
                <w:b/>
                <w:bCs/>
                <w:color w:val="000000" w:themeColor="text1"/>
                <w:sz w:val="24"/>
                <w:szCs w:val="24"/>
                <w:lang w:val="zh-CN"/>
                <w14:textFill>
                  <w14:solidFill>
                    <w14:schemeClr w14:val="tx1"/>
                  </w14:solidFill>
                </w14:textFill>
              </w:rPr>
              <w:t>委托采购材料扣款、料具、机械租赁费扣款、项目现场管理费用扣款、临建费、维修费扣款、规费分摊扣款、水电费、罚款及税金扣款等）。</w:t>
            </w:r>
          </w:p>
        </w:tc>
      </w:tr>
      <w:tr w14:paraId="71BC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651637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30</w:t>
            </w:r>
          </w:p>
        </w:tc>
        <w:tc>
          <w:tcPr>
            <w:tcW w:w="1209" w:type="dxa"/>
            <w:vMerge w:val="restart"/>
            <w:vAlign w:val="center"/>
          </w:tcPr>
          <w:p w14:paraId="1312549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安全管理</w:t>
            </w:r>
          </w:p>
        </w:tc>
        <w:tc>
          <w:tcPr>
            <w:tcW w:w="1974" w:type="dxa"/>
            <w:vAlign w:val="center"/>
          </w:tcPr>
          <w:p w14:paraId="2BE66F0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事故现场秩序维护</w:t>
            </w:r>
          </w:p>
        </w:tc>
        <w:tc>
          <w:tcPr>
            <w:tcW w:w="5117" w:type="dxa"/>
            <w:vAlign w:val="center"/>
          </w:tcPr>
          <w:p w14:paraId="4D67B04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有权维护安全事故现场秩序。涉及赔偿的，赔偿数额确定需经</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审批（不含安全事故责任认定及赔偿）。</w:t>
            </w:r>
          </w:p>
        </w:tc>
      </w:tr>
      <w:tr w14:paraId="0089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66E774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31</w:t>
            </w:r>
          </w:p>
        </w:tc>
        <w:tc>
          <w:tcPr>
            <w:tcW w:w="1209" w:type="dxa"/>
            <w:vMerge w:val="continue"/>
            <w:vAlign w:val="center"/>
          </w:tcPr>
          <w:p w14:paraId="45D1228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A7D90C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安全事故处理方案</w:t>
            </w:r>
          </w:p>
        </w:tc>
        <w:tc>
          <w:tcPr>
            <w:tcW w:w="5117" w:type="dxa"/>
            <w:vAlign w:val="center"/>
          </w:tcPr>
          <w:p w14:paraId="223C38E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发生安全事故后，有权启动应急预案。</w:t>
            </w:r>
          </w:p>
        </w:tc>
      </w:tr>
      <w:tr w14:paraId="0A35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0237BB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32</w:t>
            </w:r>
          </w:p>
        </w:tc>
        <w:tc>
          <w:tcPr>
            <w:tcW w:w="1209" w:type="dxa"/>
            <w:vMerge w:val="continue"/>
            <w:vAlign w:val="center"/>
          </w:tcPr>
          <w:p w14:paraId="3F6011F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EEF51D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w:t>
            </w:r>
            <w:r>
              <w:rPr>
                <w:rFonts w:hint="eastAsia" w:ascii="仿宋_GB2312" w:hAnsi="仿宋_GB2312" w:eastAsia="仿宋_GB2312" w:cs="仿宋_GB2312"/>
                <w:b/>
                <w:bCs/>
                <w:color w:val="000000" w:themeColor="text1"/>
                <w:sz w:val="24"/>
                <w:szCs w:val="24"/>
                <w14:textFill>
                  <w14:solidFill>
                    <w14:schemeClr w14:val="tx1"/>
                  </w14:solidFill>
                </w14:textFill>
              </w:rPr>
              <w:t>整改</w:t>
            </w:r>
          </w:p>
        </w:tc>
        <w:tc>
          <w:tcPr>
            <w:tcW w:w="5117" w:type="dxa"/>
            <w:vAlign w:val="center"/>
          </w:tcPr>
          <w:p w14:paraId="10FD2E5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对存在的安全生产隐患，下达《安全隐患整改通知书》</w:t>
            </w:r>
          </w:p>
          <w:p w14:paraId="5B129F4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对存在重大安全生产隐患，下达《安全隐患局部停工整改令》</w:t>
            </w:r>
          </w:p>
        </w:tc>
      </w:tr>
      <w:tr w14:paraId="7058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361D84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33</w:t>
            </w:r>
          </w:p>
        </w:tc>
        <w:tc>
          <w:tcPr>
            <w:tcW w:w="1209" w:type="dxa"/>
            <w:vMerge w:val="restart"/>
            <w:vAlign w:val="center"/>
          </w:tcPr>
          <w:p w14:paraId="63CAC99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质量管理</w:t>
            </w:r>
          </w:p>
        </w:tc>
        <w:tc>
          <w:tcPr>
            <w:tcW w:w="1974" w:type="dxa"/>
            <w:vAlign w:val="center"/>
          </w:tcPr>
          <w:p w14:paraId="2481343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质量验收</w:t>
            </w:r>
          </w:p>
        </w:tc>
        <w:tc>
          <w:tcPr>
            <w:tcW w:w="5117" w:type="dxa"/>
            <w:vAlign w:val="center"/>
          </w:tcPr>
          <w:p w14:paraId="39BCFB7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有权组织实施质量验收工作。</w:t>
            </w:r>
          </w:p>
        </w:tc>
      </w:tr>
      <w:tr w14:paraId="7DB0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A1D10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1209" w:type="dxa"/>
            <w:vMerge w:val="continue"/>
            <w:vAlign w:val="center"/>
          </w:tcPr>
          <w:p w14:paraId="0DB2B9F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B823D7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质量事故应急措施</w:t>
            </w:r>
          </w:p>
        </w:tc>
        <w:tc>
          <w:tcPr>
            <w:tcW w:w="5117" w:type="dxa"/>
            <w:vAlign w:val="center"/>
          </w:tcPr>
          <w:p w14:paraId="37848737">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质量事故发生后，有权立即采取措施防止事故扩大（1小时内上报</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p>
        </w:tc>
      </w:tr>
      <w:tr w14:paraId="6F23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7BF669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263EC67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0A110F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质量事故处理方案</w:t>
            </w:r>
          </w:p>
        </w:tc>
        <w:tc>
          <w:tcPr>
            <w:tcW w:w="5117" w:type="dxa"/>
            <w:vAlign w:val="center"/>
          </w:tcPr>
          <w:p w14:paraId="111B714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有权按照</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制定质量事故处理方案处理事故相关事宜。</w:t>
            </w:r>
          </w:p>
        </w:tc>
      </w:tr>
      <w:tr w14:paraId="444C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2DD683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Align w:val="center"/>
          </w:tcPr>
          <w:p w14:paraId="455BC56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环境管理</w:t>
            </w:r>
          </w:p>
        </w:tc>
        <w:tc>
          <w:tcPr>
            <w:tcW w:w="1974" w:type="dxa"/>
            <w:vAlign w:val="center"/>
          </w:tcPr>
          <w:p w14:paraId="236457D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环境污染事故应急措施</w:t>
            </w:r>
          </w:p>
        </w:tc>
        <w:tc>
          <w:tcPr>
            <w:tcW w:w="5117" w:type="dxa"/>
            <w:vAlign w:val="center"/>
          </w:tcPr>
          <w:p w14:paraId="70E35AA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环境污染事故发生后，有权立即采取措施防止事故扩大（1小时内上报分</w:t>
            </w:r>
            <w:r>
              <w:rPr>
                <w:rFonts w:hint="eastAsia" w:ascii="仿宋_GB2312" w:hAnsi="仿宋_GB2312" w:eastAsia="仿宋_GB2312" w:cs="仿宋_GB2312"/>
                <w:b/>
                <w:bCs/>
                <w:color w:val="000000" w:themeColor="text1"/>
                <w:sz w:val="24"/>
                <w:szCs w:val="24"/>
                <w14:textFill>
                  <w14:solidFill>
                    <w14:schemeClr w14:val="tx1"/>
                  </w14:solidFill>
                </w14:textFill>
              </w:rPr>
              <w:t>子</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w:t>
            </w:r>
          </w:p>
        </w:tc>
      </w:tr>
      <w:tr w14:paraId="7CE1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CF19BA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restart"/>
            <w:vAlign w:val="center"/>
          </w:tcPr>
          <w:p w14:paraId="3280F0B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维保管理</w:t>
            </w:r>
          </w:p>
        </w:tc>
        <w:tc>
          <w:tcPr>
            <w:tcW w:w="1974" w:type="dxa"/>
            <w:vAlign w:val="center"/>
          </w:tcPr>
          <w:p w14:paraId="491CEE4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维修整改通知</w:t>
            </w:r>
          </w:p>
        </w:tc>
        <w:tc>
          <w:tcPr>
            <w:tcW w:w="5117" w:type="dxa"/>
            <w:vAlign w:val="center"/>
          </w:tcPr>
          <w:p w14:paraId="17050CA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方发送维修整改通知。</w:t>
            </w:r>
          </w:p>
        </w:tc>
      </w:tr>
      <w:tr w14:paraId="264D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B3043D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3679E97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63AF68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协商维修方案</w:t>
            </w:r>
          </w:p>
        </w:tc>
        <w:tc>
          <w:tcPr>
            <w:tcW w:w="5117" w:type="dxa"/>
            <w:vAlign w:val="center"/>
          </w:tcPr>
          <w:p w14:paraId="05FF22C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对存在的质量问题有权与建设单位协商维修方案。</w:t>
            </w:r>
          </w:p>
        </w:tc>
      </w:tr>
      <w:tr w14:paraId="7810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7D68C3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237FC09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4F6D0F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组织维修</w:t>
            </w:r>
          </w:p>
        </w:tc>
        <w:tc>
          <w:tcPr>
            <w:tcW w:w="5117" w:type="dxa"/>
            <w:vAlign w:val="center"/>
          </w:tcPr>
          <w:p w14:paraId="3AE8D85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有权向建设单位报送维修登记单、维修任务书。</w:t>
            </w:r>
          </w:p>
        </w:tc>
      </w:tr>
      <w:tr w14:paraId="40F3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044C4C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40</w:t>
            </w:r>
          </w:p>
        </w:tc>
        <w:tc>
          <w:tcPr>
            <w:tcW w:w="1209" w:type="dxa"/>
            <w:vMerge w:val="continue"/>
            <w:vAlign w:val="center"/>
          </w:tcPr>
          <w:p w14:paraId="73A06C3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E539C7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维修验收</w:t>
            </w:r>
          </w:p>
        </w:tc>
        <w:tc>
          <w:tcPr>
            <w:tcW w:w="5117" w:type="dxa"/>
            <w:vAlign w:val="center"/>
          </w:tcPr>
          <w:p w14:paraId="1DF6102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有权组织建设单位对保修工作进行验收、有权组织对</w:t>
            </w:r>
            <w:r>
              <w:rPr>
                <w:rFonts w:hint="eastAsia" w:ascii="仿宋_GB2312" w:hAnsi="仿宋_GB2312" w:eastAsia="仿宋_GB2312" w:cs="仿宋_GB2312"/>
                <w:b/>
                <w:bCs/>
                <w:color w:val="000000" w:themeColor="text1"/>
                <w:sz w:val="24"/>
                <w:szCs w:val="24"/>
                <w14:textFill>
                  <w14:solidFill>
                    <w14:schemeClr w14:val="tx1"/>
                  </w14:solidFill>
                </w14:textFill>
              </w:rPr>
              <w:t>乙方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的维修验收。</w:t>
            </w:r>
          </w:p>
        </w:tc>
      </w:tr>
      <w:tr w14:paraId="012B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38B657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41</w:t>
            </w:r>
          </w:p>
        </w:tc>
        <w:tc>
          <w:tcPr>
            <w:tcW w:w="1209" w:type="dxa"/>
            <w:vMerge w:val="restart"/>
            <w:vAlign w:val="center"/>
          </w:tcPr>
          <w:p w14:paraId="74D2515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催收清欠</w:t>
            </w:r>
          </w:p>
        </w:tc>
        <w:tc>
          <w:tcPr>
            <w:tcW w:w="1974" w:type="dxa"/>
            <w:vAlign w:val="center"/>
          </w:tcPr>
          <w:p w14:paraId="2B56BFD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质保金到期催付</w:t>
            </w:r>
          </w:p>
        </w:tc>
        <w:tc>
          <w:tcPr>
            <w:tcW w:w="5117" w:type="dxa"/>
            <w:vAlign w:val="center"/>
          </w:tcPr>
          <w:p w14:paraId="51B0573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有权向建设单位发《保修期满通知书》。</w:t>
            </w:r>
          </w:p>
        </w:tc>
      </w:tr>
      <w:tr w14:paraId="7141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967826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42</w:t>
            </w:r>
          </w:p>
        </w:tc>
        <w:tc>
          <w:tcPr>
            <w:tcW w:w="1209" w:type="dxa"/>
            <w:vMerge w:val="continue"/>
            <w:vAlign w:val="center"/>
          </w:tcPr>
          <w:p w14:paraId="47F27C6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747B5B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其他到期应付款催付</w:t>
            </w:r>
          </w:p>
        </w:tc>
        <w:tc>
          <w:tcPr>
            <w:tcW w:w="5117" w:type="dxa"/>
            <w:vAlign w:val="center"/>
          </w:tcPr>
          <w:p w14:paraId="25D090D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有权向建设单位发催款函。</w:t>
            </w:r>
          </w:p>
        </w:tc>
      </w:tr>
      <w:tr w14:paraId="4039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389D6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43</w:t>
            </w:r>
          </w:p>
        </w:tc>
        <w:tc>
          <w:tcPr>
            <w:tcW w:w="1209" w:type="dxa"/>
            <w:vAlign w:val="center"/>
          </w:tcPr>
          <w:p w14:paraId="3D0DFC2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往来函件</w:t>
            </w:r>
          </w:p>
        </w:tc>
        <w:tc>
          <w:tcPr>
            <w:tcW w:w="1974" w:type="dxa"/>
            <w:vAlign w:val="center"/>
          </w:tcPr>
          <w:p w14:paraId="1E806C9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工程往来函件</w:t>
            </w:r>
          </w:p>
        </w:tc>
        <w:tc>
          <w:tcPr>
            <w:tcW w:w="5117" w:type="dxa"/>
            <w:vAlign w:val="center"/>
          </w:tcPr>
          <w:p w14:paraId="64E054B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有权报送或接收项目工程联系函（如图纸会审、技术核定、设计变更通知等）。</w:t>
            </w:r>
          </w:p>
        </w:tc>
      </w:tr>
    </w:tbl>
    <w:p w14:paraId="28D74390">
      <w:pPr>
        <w:numPr>
          <w:ilvl w:val="0"/>
          <w:numId w:val="6"/>
        </w:numPr>
        <w:autoSpaceDE w:val="0"/>
        <w:autoSpaceDN w:val="0"/>
        <w:adjustRightInd w:val="0"/>
        <w:spacing w:line="400" w:lineRule="exact"/>
        <w:rPr>
          <w:rFonts w:ascii="仿宋_GB2312" w:hAnsi="仿宋_GB2312" w:eastAsia="仿宋_GB2312" w:cs="仿宋_GB2312"/>
          <w:b/>
          <w:bCs/>
          <w:color w:val="000000" w:themeColor="text1"/>
          <w:sz w:val="24"/>
          <w:szCs w:val="24"/>
          <w14:textFill>
            <w14:solidFill>
              <w14:schemeClr w14:val="tx1"/>
            </w14:solidFill>
          </w14:textFill>
        </w:rPr>
      </w:pPr>
      <w:bookmarkStart w:id="73" w:name="_Hlk126826460"/>
      <w:r>
        <w:rPr>
          <w:rFonts w:hint="eastAsia" w:ascii="仿宋_GB2312" w:hAnsi="仿宋_GB2312" w:eastAsia="仿宋_GB2312" w:cs="仿宋_GB2312"/>
          <w:b/>
          <w:bCs/>
          <w:color w:val="000000" w:themeColor="text1"/>
          <w:sz w:val="24"/>
          <w:szCs w:val="24"/>
          <w14:textFill>
            <w14:solidFill>
              <w14:schemeClr w14:val="tx1"/>
            </w14:solidFill>
          </w14:textFill>
        </w:rPr>
        <w:t>项目部无权审批以下事项：</w:t>
      </w:r>
    </w:p>
    <w:bookmarkEnd w:id="73"/>
    <w:tbl>
      <w:tblPr>
        <w:tblStyle w:val="11"/>
        <w:tblW w:w="9184" w:type="dxa"/>
        <w:jc w:val="center"/>
        <w:tblBorders>
          <w:top w:val="none" w:color="auto" w:sz="4" w:space="0"/>
          <w:left w:val="none" w:color="auto" w:sz="4" w:space="0"/>
          <w:bottom w:val="non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3"/>
        <w:gridCol w:w="8451"/>
      </w:tblGrid>
      <w:tr w14:paraId="1BEA997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10" w:hRule="exact"/>
          <w:jc w:val="center"/>
        </w:trPr>
        <w:tc>
          <w:tcPr>
            <w:tcW w:w="733" w:type="dxa"/>
            <w:tcBorders>
              <w:top w:val="single" w:color="auto" w:sz="4" w:space="0"/>
              <w:left w:val="single" w:color="auto" w:sz="4" w:space="0"/>
              <w:bottom w:val="single" w:color="auto" w:sz="4" w:space="0"/>
              <w:right w:val="single" w:color="auto" w:sz="4" w:space="0"/>
            </w:tcBorders>
            <w:vAlign w:val="center"/>
          </w:tcPr>
          <w:p w14:paraId="71EAA64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bookmarkStart w:id="74" w:name="_Hlk127195047"/>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8451" w:type="dxa"/>
            <w:tcBorders>
              <w:top w:val="single" w:color="auto" w:sz="4" w:space="0"/>
              <w:left w:val="single" w:color="auto" w:sz="4" w:space="0"/>
              <w:bottom w:val="single" w:color="auto" w:sz="4" w:space="0"/>
              <w:right w:val="single" w:color="auto" w:sz="4" w:space="0"/>
            </w:tcBorders>
            <w:vAlign w:val="center"/>
          </w:tcPr>
          <w:p w14:paraId="6F3E882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禁止性事项</w:t>
            </w:r>
          </w:p>
        </w:tc>
      </w:tr>
      <w:tr w14:paraId="03C60C58">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45E9112">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8451" w:type="dxa"/>
            <w:tcBorders>
              <w:top w:val="single" w:color="auto" w:sz="4" w:space="0"/>
              <w:left w:val="single" w:color="auto" w:sz="4" w:space="0"/>
              <w:bottom w:val="single" w:color="auto" w:sz="4" w:space="0"/>
              <w:right w:val="single" w:color="auto" w:sz="4" w:space="0"/>
            </w:tcBorders>
            <w:vAlign w:val="center"/>
          </w:tcPr>
          <w:p w14:paraId="4B74FF71">
            <w:pPr>
              <w:widowControl/>
              <w:jc w:val="left"/>
              <w:rPr>
                <w:rFonts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签署（或变更）各类经济类合同（包含但不限于总承包合同及其补充协议、专业分包合同、劳务分包合同、物资设备料具采购、租赁合同、设备安装拆除合同、技术咨询合同等各类合同）。</w:t>
            </w:r>
          </w:p>
        </w:tc>
      </w:tr>
      <w:tr w14:paraId="166ECBB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EC769FE">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8451" w:type="dxa"/>
            <w:tcBorders>
              <w:top w:val="single" w:color="auto" w:sz="4" w:space="0"/>
              <w:left w:val="single" w:color="auto" w:sz="4" w:space="0"/>
              <w:bottom w:val="single" w:color="auto" w:sz="4" w:space="0"/>
              <w:right w:val="single" w:color="auto" w:sz="4" w:space="0"/>
            </w:tcBorders>
            <w:vAlign w:val="center"/>
          </w:tcPr>
          <w:p w14:paraId="153ECFCE">
            <w:pPr>
              <w:widowControl/>
              <w:jc w:val="left"/>
              <w:rPr>
                <w:rFonts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未经分子公司/集团书面批准擅自购买材料、设备。</w:t>
            </w:r>
          </w:p>
        </w:tc>
      </w:tr>
      <w:tr w14:paraId="1F57FFC1">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4B24A29A">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8451" w:type="dxa"/>
            <w:tcBorders>
              <w:top w:val="single" w:color="auto" w:sz="4" w:space="0"/>
              <w:left w:val="single" w:color="auto" w:sz="4" w:space="0"/>
              <w:bottom w:val="single" w:color="auto" w:sz="4" w:space="0"/>
              <w:right w:val="single" w:color="auto" w:sz="4" w:space="0"/>
            </w:tcBorders>
            <w:vAlign w:val="center"/>
          </w:tcPr>
          <w:p w14:paraId="5723B18A">
            <w:pPr>
              <w:widowControl/>
              <w:jc w:val="left"/>
              <w:rPr>
                <w:rFonts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放弃或限制行使工程项目优先受偿权、签署</w:t>
            </w:r>
            <w:r>
              <w:rPr>
                <w:rFonts w:hint="eastAsia" w:ascii="仿宋_GB2312" w:hAnsi="仿宋_GB2312" w:eastAsia="仿宋_GB2312" w:cs="仿宋_GB2312"/>
                <w:b/>
                <w:bCs/>
                <w:color w:val="000000" w:themeColor="text1"/>
                <w:kern w:val="0"/>
                <w:sz w:val="24"/>
                <w:szCs w:val="24"/>
                <w:lang w:val="zh-CN"/>
                <w14:textFill>
                  <w14:solidFill>
                    <w14:schemeClr w14:val="tx1"/>
                  </w14:solidFill>
                </w14:textFill>
              </w:rPr>
              <w:t>代他人清偿债务的文件，签署任何放弃债权的文件</w:t>
            </w:r>
            <w:r>
              <w:rPr>
                <w:rFonts w:hint="eastAsia" w:ascii="仿宋_GB2312" w:hAnsi="仿宋_GB2312" w:eastAsia="仿宋_GB2312" w:cs="仿宋_GB2312"/>
                <w:b/>
                <w:bCs/>
                <w:color w:val="000000" w:themeColor="text1"/>
                <w:kern w:val="0"/>
                <w:sz w:val="24"/>
                <w:szCs w:val="24"/>
                <w14:textFill>
                  <w14:solidFill>
                    <w14:schemeClr w14:val="tx1"/>
                  </w14:solidFill>
                </w14:textFill>
              </w:rPr>
              <w:t>。</w:t>
            </w:r>
          </w:p>
        </w:tc>
      </w:tr>
      <w:tr w14:paraId="2478635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2385070">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8451" w:type="dxa"/>
            <w:tcBorders>
              <w:top w:val="single" w:color="auto" w:sz="4" w:space="0"/>
              <w:left w:val="single" w:color="auto" w:sz="4" w:space="0"/>
              <w:bottom w:val="single" w:color="auto" w:sz="4" w:space="0"/>
              <w:right w:val="single" w:color="auto" w:sz="4" w:space="0"/>
            </w:tcBorders>
            <w:vAlign w:val="center"/>
          </w:tcPr>
          <w:p w14:paraId="10BF3D1C">
            <w:pPr>
              <w:widowControl/>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进行银行贷款等融资活动</w:t>
            </w:r>
          </w:p>
        </w:tc>
      </w:tr>
      <w:tr w14:paraId="321C84C2">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05ECD6A">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8451" w:type="dxa"/>
            <w:tcBorders>
              <w:top w:val="single" w:color="auto" w:sz="4" w:space="0"/>
              <w:left w:val="single" w:color="auto" w:sz="4" w:space="0"/>
              <w:bottom w:val="single" w:color="auto" w:sz="4" w:space="0"/>
              <w:right w:val="single" w:color="auto" w:sz="4" w:space="0"/>
            </w:tcBorders>
            <w:vAlign w:val="center"/>
          </w:tcPr>
          <w:p w14:paraId="7EF522D2">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对外提供担保、出具欠条、签订还款协议、签订调价协议、各类保证书、承诺书。</w:t>
            </w:r>
          </w:p>
        </w:tc>
      </w:tr>
      <w:tr w14:paraId="09247BF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6B29B8F">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8451" w:type="dxa"/>
            <w:tcBorders>
              <w:top w:val="single" w:color="auto" w:sz="4" w:space="0"/>
              <w:left w:val="single" w:color="auto" w:sz="4" w:space="0"/>
              <w:bottom w:val="single" w:color="auto" w:sz="4" w:space="0"/>
              <w:right w:val="single" w:color="auto" w:sz="4" w:space="0"/>
            </w:tcBorders>
            <w:vAlign w:val="center"/>
          </w:tcPr>
          <w:p w14:paraId="1FA051E6">
            <w:pPr>
              <w:widowControl/>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对外开立各类保函</w:t>
            </w:r>
          </w:p>
        </w:tc>
      </w:tr>
      <w:tr w14:paraId="00A20401">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46016A9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8451" w:type="dxa"/>
            <w:tcBorders>
              <w:top w:val="single" w:color="auto" w:sz="4" w:space="0"/>
              <w:left w:val="single" w:color="auto" w:sz="4" w:space="0"/>
              <w:bottom w:val="single" w:color="auto" w:sz="4" w:space="0"/>
              <w:right w:val="single" w:color="auto" w:sz="4" w:space="0"/>
            </w:tcBorders>
            <w:vAlign w:val="center"/>
          </w:tcPr>
          <w:p w14:paraId="232B45CA">
            <w:pPr>
              <w:widowControl/>
              <w:jc w:val="left"/>
              <w:rPr>
                <w:rFonts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对外拆借资金，以甲方、甲方子企业或甲方项目部名义对外借款。</w:t>
            </w:r>
          </w:p>
        </w:tc>
      </w:tr>
      <w:tr w14:paraId="77FE0020">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10296E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8451" w:type="dxa"/>
            <w:tcBorders>
              <w:top w:val="single" w:color="auto" w:sz="4" w:space="0"/>
              <w:left w:val="single" w:color="auto" w:sz="4" w:space="0"/>
              <w:bottom w:val="single" w:color="auto" w:sz="4" w:space="0"/>
              <w:right w:val="single" w:color="auto" w:sz="4" w:space="0"/>
            </w:tcBorders>
            <w:vAlign w:val="center"/>
          </w:tcPr>
          <w:p w14:paraId="0697008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私设小金库，坐支现金。</w:t>
            </w:r>
          </w:p>
        </w:tc>
      </w:tr>
      <w:tr w14:paraId="1B74F0D8">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D8AF40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8451" w:type="dxa"/>
            <w:tcBorders>
              <w:top w:val="single" w:color="auto" w:sz="4" w:space="0"/>
              <w:left w:val="single" w:color="auto" w:sz="4" w:space="0"/>
              <w:bottom w:val="single" w:color="auto" w:sz="4" w:space="0"/>
              <w:right w:val="single" w:color="auto" w:sz="4" w:space="0"/>
            </w:tcBorders>
            <w:vAlign w:val="center"/>
          </w:tcPr>
          <w:p w14:paraId="4187384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超出本综合授权书权限的分包（供应）合同签证办理。</w:t>
            </w:r>
          </w:p>
        </w:tc>
      </w:tr>
      <w:tr w14:paraId="03674D1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290E06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10</w:t>
            </w:r>
          </w:p>
        </w:tc>
        <w:tc>
          <w:tcPr>
            <w:tcW w:w="8451" w:type="dxa"/>
            <w:tcBorders>
              <w:top w:val="single" w:color="auto" w:sz="4" w:space="0"/>
              <w:left w:val="single" w:color="auto" w:sz="4" w:space="0"/>
              <w:bottom w:val="single" w:color="auto" w:sz="4" w:space="0"/>
              <w:right w:val="single" w:color="auto" w:sz="4" w:space="0"/>
            </w:tcBorders>
            <w:vAlign w:val="center"/>
          </w:tcPr>
          <w:p w14:paraId="5E3CAE5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确认总包结算、确认分包合同结算（含甲指分包）。</w:t>
            </w:r>
          </w:p>
        </w:tc>
      </w:tr>
      <w:tr w14:paraId="1B3FC233">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A5BA28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11</w:t>
            </w:r>
          </w:p>
        </w:tc>
        <w:tc>
          <w:tcPr>
            <w:tcW w:w="8451" w:type="dxa"/>
            <w:tcBorders>
              <w:top w:val="single" w:color="auto" w:sz="4" w:space="0"/>
              <w:left w:val="single" w:color="auto" w:sz="4" w:space="0"/>
              <w:bottom w:val="single" w:color="auto" w:sz="4" w:space="0"/>
              <w:right w:val="single" w:color="auto" w:sz="4" w:space="0"/>
            </w:tcBorders>
            <w:vAlign w:val="center"/>
          </w:tcPr>
          <w:p w14:paraId="34F1669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确认材料、设备、料具结算及赔偿（含零星材料、甲供材）。</w:t>
            </w:r>
          </w:p>
        </w:tc>
      </w:tr>
      <w:tr w14:paraId="0204B13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E2673B0">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12</w:t>
            </w:r>
          </w:p>
        </w:tc>
        <w:tc>
          <w:tcPr>
            <w:tcW w:w="8451" w:type="dxa"/>
            <w:tcBorders>
              <w:top w:val="single" w:color="auto" w:sz="4" w:space="0"/>
              <w:left w:val="single" w:color="auto" w:sz="4" w:space="0"/>
              <w:bottom w:val="single" w:color="auto" w:sz="4" w:space="0"/>
              <w:right w:val="single" w:color="auto" w:sz="4" w:space="0"/>
            </w:tcBorders>
            <w:vAlign w:val="center"/>
          </w:tcPr>
          <w:p w14:paraId="5E138DDC">
            <w:pPr>
              <w:widowControl/>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设立或变更劳动关系（包括签订劳动合同、确认劳动关系等）</w:t>
            </w:r>
          </w:p>
        </w:tc>
      </w:tr>
      <w:tr w14:paraId="7A0980E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42EF9B9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13</w:t>
            </w:r>
          </w:p>
        </w:tc>
        <w:tc>
          <w:tcPr>
            <w:tcW w:w="8451" w:type="dxa"/>
            <w:tcBorders>
              <w:top w:val="single" w:color="auto" w:sz="4" w:space="0"/>
              <w:left w:val="single" w:color="auto" w:sz="4" w:space="0"/>
              <w:bottom w:val="single" w:color="auto" w:sz="4" w:space="0"/>
              <w:right w:val="single" w:color="auto" w:sz="4" w:space="0"/>
            </w:tcBorders>
            <w:vAlign w:val="center"/>
          </w:tcPr>
          <w:p w14:paraId="34B86A5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向工伤认定机构提交工伤认定申请或确认工伤事故。</w:t>
            </w:r>
          </w:p>
        </w:tc>
      </w:tr>
      <w:tr w14:paraId="45DC859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77F060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14</w:t>
            </w:r>
          </w:p>
        </w:tc>
        <w:tc>
          <w:tcPr>
            <w:tcW w:w="8451" w:type="dxa"/>
            <w:tcBorders>
              <w:top w:val="single" w:color="auto" w:sz="4" w:space="0"/>
              <w:left w:val="single" w:color="auto" w:sz="4" w:space="0"/>
              <w:bottom w:val="single" w:color="auto" w:sz="4" w:space="0"/>
              <w:right w:val="single" w:color="auto" w:sz="4" w:space="0"/>
            </w:tcBorders>
            <w:vAlign w:val="center"/>
          </w:tcPr>
          <w:p w14:paraId="5CDF99B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确认第三方维修费用。</w:t>
            </w:r>
          </w:p>
        </w:tc>
      </w:tr>
      <w:tr w14:paraId="24CA7A5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D562A3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15</w:t>
            </w:r>
          </w:p>
        </w:tc>
        <w:tc>
          <w:tcPr>
            <w:tcW w:w="8451" w:type="dxa"/>
            <w:tcBorders>
              <w:top w:val="single" w:color="auto" w:sz="4" w:space="0"/>
              <w:left w:val="single" w:color="auto" w:sz="4" w:space="0"/>
              <w:bottom w:val="single" w:color="auto" w:sz="4" w:space="0"/>
              <w:right w:val="single" w:color="auto" w:sz="4" w:space="0"/>
            </w:tcBorders>
            <w:vAlign w:val="center"/>
          </w:tcPr>
          <w:p w14:paraId="4E12E28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决定废旧物资处理方案。</w:t>
            </w:r>
          </w:p>
        </w:tc>
      </w:tr>
      <w:tr w14:paraId="6452AE56">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C24EC3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16</w:t>
            </w:r>
          </w:p>
        </w:tc>
        <w:tc>
          <w:tcPr>
            <w:tcW w:w="8451" w:type="dxa"/>
            <w:tcBorders>
              <w:top w:val="single" w:color="auto" w:sz="4" w:space="0"/>
              <w:left w:val="single" w:color="auto" w:sz="4" w:space="0"/>
              <w:bottom w:val="single" w:color="auto" w:sz="4" w:space="0"/>
              <w:right w:val="single" w:color="auto" w:sz="4" w:space="0"/>
            </w:tcBorders>
            <w:vAlign w:val="center"/>
          </w:tcPr>
          <w:p w14:paraId="7F7AF27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分包、供应合同涨价、奖励、补偿、增加合同外的工作范围、变更分包、供应合同模式。</w:t>
            </w:r>
          </w:p>
        </w:tc>
      </w:tr>
      <w:tr w14:paraId="29027D2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532C7F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8451" w:type="dxa"/>
            <w:tcBorders>
              <w:top w:val="single" w:color="auto" w:sz="4" w:space="0"/>
              <w:left w:val="single" w:color="auto" w:sz="4" w:space="0"/>
              <w:bottom w:val="single" w:color="auto" w:sz="4" w:space="0"/>
              <w:right w:val="single" w:color="auto" w:sz="4" w:space="0"/>
            </w:tcBorders>
            <w:vAlign w:val="center"/>
          </w:tcPr>
          <w:p w14:paraId="0208EAA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危险性较大的分部分项工程安全施工方案。</w:t>
            </w:r>
          </w:p>
        </w:tc>
      </w:tr>
      <w:tr w14:paraId="1468AFFE">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73B8F2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18</w:t>
            </w:r>
          </w:p>
        </w:tc>
        <w:tc>
          <w:tcPr>
            <w:tcW w:w="8451" w:type="dxa"/>
            <w:tcBorders>
              <w:top w:val="single" w:color="auto" w:sz="4" w:space="0"/>
              <w:left w:val="single" w:color="auto" w:sz="4" w:space="0"/>
              <w:bottom w:val="single" w:color="auto" w:sz="4" w:space="0"/>
              <w:right w:val="single" w:color="auto" w:sz="4" w:space="0"/>
            </w:tcBorders>
            <w:vAlign w:val="center"/>
          </w:tcPr>
          <w:p w14:paraId="4387A13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接收诉讼法律文书、处理人民法院协助执行通知或参加仲裁、诉讼。</w:t>
            </w:r>
          </w:p>
        </w:tc>
      </w:tr>
      <w:bookmarkEnd w:id="74"/>
    </w:tbl>
    <w:p w14:paraId="3772E8FB">
      <w:pPr>
        <w:numPr>
          <w:ilvl w:val="0"/>
          <w:numId w:val="7"/>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若项目经理发生变更，则由新委任的项目经理承继。</w:t>
      </w:r>
    </w:p>
    <w:p w14:paraId="46DC9A2D">
      <w:pPr>
        <w:numPr>
          <w:ilvl w:val="0"/>
          <w:numId w:val="7"/>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本授权书未明确的事项执行本公司有关规章制度。</w:t>
      </w:r>
    </w:p>
    <w:p w14:paraId="63E575A4">
      <w:pPr>
        <w:numPr>
          <w:ilvl w:val="0"/>
          <w:numId w:val="7"/>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本授权书经本公司加盖合同专用章后生效。本公司有权随时变更或撤销本授权书，并书面告知贵司。</w:t>
      </w:r>
    </w:p>
    <w:p w14:paraId="35904EB3">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p>
    <w:p w14:paraId="081FBC10">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p>
    <w:p w14:paraId="1B7D2468">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1CFF1E24">
      <w:pPr>
        <w:autoSpaceDE w:val="0"/>
        <w:autoSpaceDN w:val="0"/>
        <w:adjustRightInd w:val="0"/>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授权单位（盖章）：</w:t>
      </w:r>
    </w:p>
    <w:p w14:paraId="009C2AC8">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7E0F3706">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3C7B1F90">
      <w:pPr>
        <w:autoSpaceDE w:val="0"/>
        <w:autoSpaceDN w:val="0"/>
        <w:adjustRightInd w:val="0"/>
        <w:spacing w:line="400" w:lineRule="atLeast"/>
        <w:ind w:firstLine="6000" w:firstLineChars="2500"/>
        <w:rPr>
          <w:rFonts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w:t>
      </w: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p>
    <w:p w14:paraId="3015726D">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3B8CCBCF">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r>
        <w:rPr>
          <w:rFonts w:hint="eastAsia" w:ascii="仿宋_GB2312" w:hAnsi="仿宋_GB2312" w:eastAsia="仿宋_GB2312" w:cs="仿宋_GB2312"/>
          <w:color w:val="000000" w:themeColor="text1"/>
          <w:sz w:val="24"/>
          <w:szCs w:val="24"/>
          <w:lang w:val="zh-CN"/>
          <w14:textFill>
            <w14:solidFill>
              <w14:schemeClr w14:val="tx1"/>
            </w14:solidFill>
          </w14:textFill>
        </w:rPr>
        <w:t>确认：我司已完全理解并清楚贵司对</w:t>
      </w:r>
      <w:r>
        <w:rPr>
          <w:rFonts w:hint="eastAsia" w:ascii="仿宋_GB2312" w:hAnsi="仿宋_GB2312" w:eastAsia="仿宋_GB2312" w:cs="仿宋_GB2312"/>
          <w:color w:val="000000" w:themeColor="text1"/>
          <w:sz w:val="24"/>
          <w:szCs w:val="24"/>
          <w14:textFill>
            <w14:solidFill>
              <w14:schemeClr w14:val="tx1"/>
            </w14:solidFill>
          </w14:textFill>
        </w:rPr>
        <w:t xml:space="preserve">项目部及项目经理的授权范围，并严格遵照执行。超出贵司授权范围的行为属于无权代理行为，对贵司无效，贵司不承担任何法律责任。我司将谨慎审查相关文件的签署主体资格和权限，对于无权代理人签署的相关文件，应及时与贵司核实。      </w:t>
      </w:r>
    </w:p>
    <w:p w14:paraId="7A2DE158">
      <w:pPr>
        <w:spacing w:line="400" w:lineRule="exact"/>
        <w:ind w:right="210" w:rightChars="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乙方（公章）：           </w:t>
      </w:r>
    </w:p>
    <w:p w14:paraId="3D529D62">
      <w:pPr>
        <w:autoSpaceDE w:val="0"/>
        <w:autoSpaceDN w:val="0"/>
        <w:adjustRightInd w:val="0"/>
        <w:spacing w:line="400" w:lineRule="atLeast"/>
        <w:ind w:firstLine="1680" w:firstLineChars="7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3D095AB3">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6D8874AD">
      <w:pPr>
        <w:autoSpaceDE w:val="0"/>
        <w:autoSpaceDN w:val="0"/>
        <w:adjustRightInd w:val="0"/>
        <w:spacing w:line="400" w:lineRule="atLeast"/>
        <w:ind w:firstLine="1920" w:firstLineChars="8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被委托人：</w:t>
      </w:r>
    </w:p>
    <w:p w14:paraId="3C6B64B9">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0C75E3A4">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p>
    <w:p w14:paraId="57B7AA29">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p>
    <w:p w14:paraId="2C85979F">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sectPr>
          <w:footerReference r:id="rId12" w:type="default"/>
          <w:pgSz w:w="11906" w:h="16838"/>
          <w:pgMar w:top="1440" w:right="1800" w:bottom="1440" w:left="1800" w:header="850" w:footer="975" w:gutter="0"/>
          <w:cols w:space="0" w:num="1"/>
          <w:docGrid w:linePitch="312" w:charSpace="0"/>
        </w:sectPr>
      </w:pPr>
      <w:bookmarkStart w:id="75" w:name="_Toc15118"/>
      <w:bookmarkStart w:id="76" w:name="_Toc20069"/>
      <w:bookmarkStart w:id="77" w:name="_Toc11293"/>
    </w:p>
    <w:p w14:paraId="14FE1CA2">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附件三：</w:t>
      </w:r>
      <w:bookmarkEnd w:id="75"/>
      <w:bookmarkEnd w:id="76"/>
      <w:bookmarkEnd w:id="77"/>
    </w:p>
    <w:p w14:paraId="1E184CE7">
      <w:pPr>
        <w:spacing w:line="400" w:lineRule="exact"/>
        <w:jc w:val="center"/>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安全管理协议书</w:t>
      </w:r>
    </w:p>
    <w:p w14:paraId="1EE76E07">
      <w:pPr>
        <w:wordWrap w:val="0"/>
        <w:spacing w:line="400" w:lineRule="exact"/>
        <w:jc w:val="righ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418DB0D5">
      <w:pPr>
        <w:spacing w:line="400" w:lineRule="exact"/>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甲方：</w:t>
      </w:r>
      <w:permStart w:id="91"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中建路桥集团河北基础市政工程有限公司</w:t>
      </w:r>
      <w:permEnd w:id="91"/>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36B5486B">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permStart w:id="92" w:edGrp="everyone"/>
      <w:r>
        <w:rPr>
          <w:rFonts w:hint="eastAsia" w:ascii="仿宋_GB2312" w:hAnsi="仿宋_GB2312" w:eastAsia="仿宋_GB2312" w:cs="仿宋_GB2312"/>
          <w:b/>
          <w:color w:val="000000" w:themeColor="text1"/>
          <w:sz w:val="24"/>
          <w:szCs w:val="24"/>
          <w:u w:val="single"/>
          <w14:textFill>
            <w14:solidFill>
              <w14:schemeClr w14:val="tx1"/>
            </w14:solidFill>
          </w14:textFill>
        </w:rPr>
        <w:t xml:space="preserve">                        </w:t>
      </w:r>
      <w:permEnd w:id="92"/>
    </w:p>
    <w:p w14:paraId="7627792C">
      <w:pPr>
        <w:pStyle w:val="5"/>
        <w:tabs>
          <w:tab w:val="left" w:pos="2100"/>
        </w:tabs>
        <w:spacing w:line="400" w:lineRule="exact"/>
        <w:ind w:right="210" w:rightChars="100" w:firstLine="432"/>
        <w:rPr>
          <w:rFonts w:hAnsi="仿宋_GB2312" w:cs="仿宋_GB2312"/>
          <w:color w:val="000000" w:themeColor="text1"/>
          <w:sz w:val="24"/>
          <w14:textFill>
            <w14:solidFill>
              <w14:schemeClr w14:val="tx1"/>
            </w14:solidFill>
          </w14:textFill>
        </w:rPr>
      </w:pPr>
      <w:r>
        <w:rPr>
          <w:rFonts w:hint="eastAsia" w:hAnsi="仿宋_GB2312" w:cs="仿宋_GB2312"/>
          <w:color w:val="000000" w:themeColor="text1"/>
          <w:sz w:val="24"/>
          <w14:textFill>
            <w14:solidFill>
              <w14:schemeClr w14:val="tx1"/>
            </w14:solidFill>
          </w14:textFill>
        </w:rPr>
        <w:t xml:space="preserve">根据《中华人民共和国民法典》、《安全生产法》及有关法律规定，遵循平等、自愿、公平和诚实信用的原则，双方就合同范围内且在项目部施工现场范围内安全事项协商一致，订立本合同并共同遵守。 </w:t>
      </w:r>
    </w:p>
    <w:p w14:paraId="0C68FF15">
      <w:pPr>
        <w:snapToGrid w:val="0"/>
        <w:spacing w:line="400" w:lineRule="exact"/>
        <w:ind w:firstLine="555"/>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第一条 共同约定  </w:t>
      </w:r>
    </w:p>
    <w:p w14:paraId="5D8A8619">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双方应共同遵守《安全生产法》、《中华人民共和国建筑法》、《建设工程安全生产管理条例》、《房屋建筑和市政基础设施工程分包管理办法》《安全生产许可证条例》等一系列有关安全生产的法律法规，严格执行建设部标准</w:t>
      </w:r>
      <w:permStart w:id="93" w:edGrp="everyone"/>
      <w:r>
        <w:rPr>
          <w:rFonts w:hint="eastAsia" w:ascii="仿宋_GB2312" w:hAnsi="仿宋_GB2312" w:eastAsia="仿宋_GB2312" w:cs="仿宋_GB2312"/>
          <w:color w:val="000000" w:themeColor="text1"/>
          <w:sz w:val="24"/>
          <w:szCs w:val="24"/>
          <w14:textFill>
            <w14:solidFill>
              <w14:schemeClr w14:val="tx1"/>
            </w14:solidFill>
          </w14:textFill>
        </w:rPr>
        <w:t>JGJ59—2011《建筑安全施工检查标准》</w:t>
      </w:r>
      <w:permEnd w:id="93"/>
      <w:r>
        <w:rPr>
          <w:rFonts w:hint="eastAsia" w:ascii="仿宋_GB2312" w:hAnsi="仿宋_GB2312" w:eastAsia="仿宋_GB2312" w:cs="仿宋_GB2312"/>
          <w:color w:val="000000" w:themeColor="text1"/>
          <w:sz w:val="24"/>
          <w:szCs w:val="24"/>
          <w14:textFill>
            <w14:solidFill>
              <w14:schemeClr w14:val="tx1"/>
            </w14:solidFill>
          </w14:textFill>
        </w:rPr>
        <w:t>等一系列标准规程及</w:t>
      </w:r>
      <w:permStart w:id="9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安康</w:t>
      </w:r>
      <w:permEnd w:id="94"/>
      <w:r>
        <w:rPr>
          <w:rFonts w:hint="eastAsia" w:ascii="仿宋_GB2312" w:hAnsi="仿宋_GB2312" w:eastAsia="仿宋_GB2312" w:cs="仿宋_GB2312"/>
          <w:color w:val="000000" w:themeColor="text1"/>
          <w:sz w:val="24"/>
          <w:szCs w:val="24"/>
          <w14:textFill>
            <w14:solidFill>
              <w14:schemeClr w14:val="tx1"/>
            </w14:solidFill>
          </w14:textFill>
        </w:rPr>
        <w:t>市有关安全生产的规章制度。</w:t>
      </w:r>
    </w:p>
    <w:p w14:paraId="1B39110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2、双方应共同遵守</w:t>
      </w:r>
      <w:r>
        <w:rPr>
          <w:rFonts w:hint="eastAsia" w:ascii="仿宋_GB2312" w:hAnsi="仿宋_GB2312" w:eastAsia="仿宋_GB2312" w:cs="仿宋_GB2312"/>
          <w:color w:val="000000" w:themeColor="text1"/>
          <w:sz w:val="24"/>
          <w:szCs w:val="24"/>
          <w:u w:val="single"/>
          <w14:textFill>
            <w14:solidFill>
              <w14:schemeClr w14:val="tx1"/>
            </w14:solidFill>
          </w14:textFill>
        </w:rPr>
        <w:t>中建集团、中建交通、中建路桥</w:t>
      </w:r>
      <w:r>
        <w:rPr>
          <w:rFonts w:hint="eastAsia" w:ascii="仿宋_GB2312" w:hAnsi="仿宋_GB2312" w:eastAsia="仿宋_GB2312" w:cs="仿宋_GB2312"/>
          <w:color w:val="000000" w:themeColor="text1"/>
          <w:sz w:val="24"/>
          <w:szCs w:val="24"/>
          <w14:textFill>
            <w14:solidFill>
              <w14:schemeClr w14:val="tx1"/>
            </w14:solidFill>
          </w14:textFill>
        </w:rPr>
        <w:t>等系列安全生产规章制度。贯彻执行项目职业健康安全和环境管理体系的各项要求。</w:t>
      </w:r>
    </w:p>
    <w:p w14:paraId="3056B245">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3、安全文明施工管理目标、指标：以项目部总包单位制定的为准。</w:t>
      </w:r>
    </w:p>
    <w:p w14:paraId="322F556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4、在甲方施工区域以外场所安全工作及发生的不良后果由乙方自行承担。</w:t>
      </w:r>
    </w:p>
    <w:p w14:paraId="6ED1999D">
      <w:pPr>
        <w:pStyle w:val="14"/>
        <w:spacing w:line="400" w:lineRule="exact"/>
        <w:ind w:firstLine="482" w:firstLineChars="200"/>
        <w:rPr>
          <w:rFonts w:ascii="仿宋_GB2312" w:hAnsi="仿宋_GB2312" w:eastAsia="仿宋_GB2312" w:cs="仿宋_GB2312"/>
          <w:b/>
          <w:bCs/>
          <w:color w:val="000000" w:themeColor="text1"/>
          <w:kern w:val="2"/>
          <w14:textFill>
            <w14:solidFill>
              <w14:schemeClr w14:val="tx1"/>
            </w14:solidFill>
          </w14:textFill>
        </w:rPr>
      </w:pPr>
      <w:r>
        <w:rPr>
          <w:rFonts w:hint="eastAsia" w:ascii="仿宋_GB2312" w:hAnsi="仿宋_GB2312" w:eastAsia="仿宋_GB2312" w:cs="仿宋_GB2312"/>
          <w:b/>
          <w:bCs/>
          <w:color w:val="000000" w:themeColor="text1"/>
          <w:kern w:val="2"/>
          <w14:textFill>
            <w14:solidFill>
              <w14:schemeClr w14:val="tx1"/>
            </w14:solidFill>
          </w14:textFill>
        </w:rPr>
        <w:t>第二条 环境与职业健康安全</w:t>
      </w:r>
    </w:p>
    <w:p w14:paraId="01FB6129">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1、乙方车辆及材料在运输途中及到达甲方现场后应遵守国家和地方现行的有关环境保护、职业健康安全的法律、法规和其他要求。</w:t>
      </w:r>
    </w:p>
    <w:p w14:paraId="3CB6176F">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2、乙方需遵守《道路交通安全法》，应当给负责运送货物的车辆办理交强险及商业保险，否则发生的人员伤亡事故或货物毁损由责任方承担，与甲方无关。</w:t>
      </w:r>
    </w:p>
    <w:p w14:paraId="3339A56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货物到达指定堆场或仓库等甲方指定地点，装卸、运输过程中的人员、机械、车辆安全，应按国家及地方规定办理相关手续。如因运载车辆事故、卸货等原因导致的乙方及任何第三方的人身伤害及经济损失均由乙方负责，并补偿甲方及其他方因此造成的损失。</w:t>
      </w:r>
    </w:p>
    <w:p w14:paraId="34745DDA">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4、乙方到施工现场的人员必须佩戴安全帽，穿戴整洁，严禁吸烟和大声喧哗，遵守需方项目的规章制度，否则将按需方有关制度处罚。</w:t>
      </w:r>
    </w:p>
    <w:p w14:paraId="2499AAB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5、由于非甲方的任何第三方原因导致乙方人员伤亡及财产损害均由乙方承担相应损失。</w:t>
      </w:r>
    </w:p>
    <w:p w14:paraId="2D22C4AD">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第三条 甲方的安全责任、权利和义务  </w:t>
      </w:r>
    </w:p>
    <w:p w14:paraId="564A61C9">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1、甲方在现场履行管理、监督职责，认真履行第一条共同约定的内容，对乙方在进入总包施工现场的施工安全进行监督、指导、检查。 </w:t>
      </w:r>
    </w:p>
    <w:p w14:paraId="303B53AC">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2、对乙方安排生产、运输任务的同时，对按照规定程序审批的施工组织设计进行书面安全技术交底，并办理交底双方签字手续（如有）。 </w:t>
      </w:r>
    </w:p>
    <w:p w14:paraId="108E1653">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3、在合同中约定由甲方向使用单位提供的安全防护设施，应完整齐全，并且符合安全要求，并整改乙方提出的不安全问题。</w:t>
      </w:r>
    </w:p>
    <w:p w14:paraId="370D5E2F">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有权制止乙方的违章作业，对重大违章行为有权责令其停工整顿；对于乙方的违章行为，甲方有进行安全违约处罚的权利；因乙方责任造成防护设施、防护用品等损坏、改变或遗失，或者环境破坏，可要求乙方赔偿或恢复。 </w:t>
      </w:r>
    </w:p>
    <w:p w14:paraId="2C4FAD91">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5、对安全素质差、不服从安全生产管理的人员责令其限期退场，造成的工期损失、经济损失由乙方承担。对不执行规章制度的人员，可视情节轻重，按照项目奖罚制度进行安全违约处罚。</w:t>
      </w:r>
    </w:p>
    <w:p w14:paraId="10B24F64">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6、对达不到规定的安全生产条件、存在重大安全隐患或发生安全事故，可要求乙方限期退场，或者中止合同，造成项目工期损失、经济损失由乙方承担。</w:t>
      </w:r>
    </w:p>
    <w:p w14:paraId="123036EA">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7、按照规定要求对乙方自有的材料和自带（含租赁）施工机具、起重 吊装设备、运输车辆等进行安全生产监督检查，有权拒绝乙方不合格产品进场（已进场的限期退场）。</w:t>
      </w:r>
    </w:p>
    <w:p w14:paraId="0457287B">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8、与安全生产关系直接的大型设备、特种设备、安全设施设备、防护用品进场时，项目安全生产监督管理部门应参与验收，验收合格签字后方可进场。</w:t>
      </w:r>
    </w:p>
    <w:p w14:paraId="75B6BB1F">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第四条 乙方的安全责任、权利和义务  </w:t>
      </w:r>
    </w:p>
    <w:p w14:paraId="1F29A96E">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1、乙方应认真履行第一条共同约定的内容，接受甲方的监督、检查工作。</w:t>
      </w:r>
    </w:p>
    <w:p w14:paraId="6B7C81DD">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2、乙方应具备所供货物的运输资质或证照，不得跨资质承运相应货物。若乙方委托第三方单位承运相应货物，不解除乙方应承担本合同项下的义务和责任。</w:t>
      </w:r>
    </w:p>
    <w:p w14:paraId="6026A1C9">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运输前对货物性质、形状充分认识并制定相应运输措施，必要情况下准备运输防护用品及货物运输应急用品。如有特定需求运输超大、超重、异形等道路通行规定以外的货物，应按照设计文件提示等采用特定的运输方式并制定安全防范措施。</w:t>
      </w:r>
    </w:p>
    <w:p w14:paraId="390DCE2D">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负责本单位特种作业人员、运输车辆司机、起重吊装作业司机指挥等人的培训、考核和取证，必须做到进入施工现场的人员持证上岗。进入施工现场作业要有专人在现场履行管理职责，并对未认真履行职责的后果负责。</w:t>
      </w:r>
    </w:p>
    <w:p w14:paraId="54AE9139">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5、对本单位员工进行安全三级教育，进行安全技术交底，交底报甲方备案。保证进场人员符合相关要求，身体情况能适应本行业工作，熟悉现场一般安全规定及本工种安全操作规程，并进行进场岗前教育，未经过培训教育的工人不得安排进行现场工作；</w:t>
      </w:r>
    </w:p>
    <w:p w14:paraId="227FF005">
      <w:pPr>
        <w:snapToGrid w:val="0"/>
        <w:spacing w:line="400" w:lineRule="exact"/>
        <w:ind w:firstLine="453"/>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6、不得违章指挥，或强令工人冒险作业，也不能强迫工人连续长时间作业，更不能进入指定禁区及非本工作作业区域。不得私自翻越防护，攀爬架体、私自接电等违章作业行为，不得在高处危险作业和各种提升机械的垂直下方穿行或停留（如：吊篮、电梯笼）。 </w:t>
      </w:r>
    </w:p>
    <w:p w14:paraId="6BEDC064">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7、对甲方所提供的安全设施不能保证安全施工时，应及时提出，也可拒绝施工；在施工中不得未经甲方现场负责人同意私自拆除安全防护设施。 </w:t>
      </w:r>
    </w:p>
    <w:p w14:paraId="5CD8BFFE">
      <w:pPr>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8、乙方自备的设备及工具必须保证环保、性能良好、各安全装置齐全灵敏有效。进工地前必须报项目监督试机，验收并填写验收表，达不到环保和</w:t>
      </w:r>
      <w:permStart w:id="95" w:edGrp="everyone"/>
      <w:r>
        <w:rPr>
          <w:rFonts w:hint="eastAsia" w:ascii="仿宋_GB2312" w:hAnsi="仿宋_GB2312" w:eastAsia="仿宋_GB2312" w:cs="仿宋_GB2312"/>
          <w:color w:val="000000" w:themeColor="text1"/>
          <w:sz w:val="24"/>
          <w:szCs w:val="24"/>
          <w14:textFill>
            <w14:solidFill>
              <w14:schemeClr w14:val="tx1"/>
            </w14:solidFill>
          </w14:textFill>
        </w:rPr>
        <w:t>《JGJ59—2011》标准</w:t>
      </w:r>
      <w:permEnd w:id="95"/>
      <w:r>
        <w:rPr>
          <w:rFonts w:hint="eastAsia" w:ascii="仿宋_GB2312" w:hAnsi="仿宋_GB2312" w:eastAsia="仿宋_GB2312" w:cs="仿宋_GB2312"/>
          <w:color w:val="000000" w:themeColor="text1"/>
          <w:sz w:val="24"/>
          <w:szCs w:val="24"/>
          <w14:textFill>
            <w14:solidFill>
              <w14:schemeClr w14:val="tx1"/>
            </w14:solidFill>
          </w14:textFill>
        </w:rPr>
        <w:t>的设备及工具严禁在工地使用。</w:t>
      </w:r>
    </w:p>
    <w:p w14:paraId="49BB04C5">
      <w:pPr>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9、乙方自带设备或工具必须相匹配的质量合格的电缆线，并自备符合当地主管部门要求的末级标准配电箱。</w:t>
      </w:r>
    </w:p>
    <w:p w14:paraId="59CDBA7F">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10、必须按规定提取和使用安全技术措施经费，为作业人员提供符合国家标准或行业标准的劳动防护用品，并督促、教育作业人员按照使用规则佩戴、使用。 </w:t>
      </w:r>
    </w:p>
    <w:p w14:paraId="660D583A">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11、对甲方人员违章指挥或者可能危及人身安全、财产损失的指挥，乙方有权拒绝。 </w:t>
      </w:r>
    </w:p>
    <w:p w14:paraId="32A49F4B">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12、不得进行违反安全法律和其他、安全生产规章制度的行为。</w:t>
      </w:r>
    </w:p>
    <w:p w14:paraId="5F8AA1F8">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13、乙方对供应的材料在甲方施工场地外运输过程发生的安全事故承担全部责任，不得向甲方提出索赔要求。</w:t>
      </w:r>
    </w:p>
    <w:p w14:paraId="67CA9D7A">
      <w:pPr>
        <w:spacing w:line="400" w:lineRule="exact"/>
        <w:jc w:val="left"/>
        <w:rPr>
          <w:rFonts w:ascii="仿宋_GB2312" w:hAnsi="仿宋_GB2312" w:eastAsia="仿宋_GB2312" w:cs="仿宋_GB2312"/>
          <w:color w:val="000000" w:themeColor="text1"/>
          <w:sz w:val="24"/>
          <w:szCs w:val="24"/>
          <w:shd w:val="clear" w:color="auto" w:fill="FF0000"/>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14、乙方对因自身原因发生的安全事故承担全部责任。由于乙方原因而引发的被当地有关部门处罚的各类事件，乙方承担相应罚款、工期损失及经济损失；</w:t>
      </w:r>
    </w:p>
    <w:p w14:paraId="6C1B23A5">
      <w:pPr>
        <w:spacing w:line="40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15、在施工现场发生事故时，应积极抢救伤员，保护事故现场，防止事故扩大，按甲方要求提供事故有关资料，并配合调查。</w:t>
      </w:r>
    </w:p>
    <w:p w14:paraId="757AEB2D">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第五条 事故处理 </w:t>
      </w:r>
    </w:p>
    <w:p w14:paraId="5E903147">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1、若发生事故应立即启动事故应急预案，采取有效措施组织抢救，防止事故扩大，减少人员伤亡和财产损失，同时应按</w:t>
      </w:r>
      <w:permStart w:id="96" w:edGrp="everyone"/>
      <w:r>
        <w:rPr>
          <w:rFonts w:hint="eastAsia" w:ascii="仿宋_GB2312" w:hAnsi="仿宋_GB2312" w:eastAsia="仿宋_GB2312" w:cs="仿宋_GB2312"/>
          <w:color w:val="000000" w:themeColor="text1"/>
          <w:sz w:val="24"/>
          <w:szCs w:val="24"/>
          <w14:textFill>
            <w14:solidFill>
              <w14:schemeClr w14:val="tx1"/>
            </w14:solidFill>
          </w14:textFill>
        </w:rPr>
        <w:t>《生产安全事故报告和调查处理条例》(493号令)</w:t>
      </w:r>
      <w:permEnd w:id="96"/>
      <w:r>
        <w:rPr>
          <w:rFonts w:hint="eastAsia" w:ascii="仿宋_GB2312" w:hAnsi="仿宋_GB2312" w:eastAsia="仿宋_GB2312" w:cs="仿宋_GB2312"/>
          <w:color w:val="000000" w:themeColor="text1"/>
          <w:sz w:val="24"/>
          <w:szCs w:val="24"/>
          <w14:textFill>
            <w14:solidFill>
              <w14:schemeClr w14:val="tx1"/>
            </w14:solidFill>
          </w14:textFill>
        </w:rPr>
        <w:t>的规定进行事故处理及上报。乙方应及时将事故情况向甲方上报，不得迟报、漏报、谎报或瞒报。</w:t>
      </w:r>
    </w:p>
    <w:p w14:paraId="756AD02B">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2、在施工现场内发生重伤或死亡事故，由甲方主管部门牵头，乙方为主，甲乙双方共同参加，按照规定报告有关部门进行调查，查清事故原因，分清事故责任，提出对事故责任者的处理意见。 </w:t>
      </w:r>
    </w:p>
    <w:p w14:paraId="345BA44A">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3、由于没有认真履行安全责任，造成重大伤亡事故，情节严重的主要直接责任者，已触及国家刑律，应提请有关部门进行调查处理。 </w:t>
      </w:r>
    </w:p>
    <w:p w14:paraId="4E711AC8">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4、对不认真履行本合同，违章指挥、违章作业、冒险进入施工禁区及损坏安全防护设施、不按规定进行安全技术交底及组织施工，造成伤亡事故的，应由事故责任方承担罚款及一切经济损失和责任。 </w:t>
      </w:r>
    </w:p>
    <w:p w14:paraId="497EB4AD">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5、由于甲方主要责任造成的伤亡事故，乙方有权要求甲方进行经济赔偿。由于乙方主要责任造成的伤亡事故，甲方有权要求乙方承担违约责任。</w:t>
      </w:r>
    </w:p>
    <w:p w14:paraId="40C99F31">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6、由于第三方责任导致乙方人员伤亡，及由于乙方责任导致第三方人员伤亡，由乙方负责并处理。</w:t>
      </w:r>
    </w:p>
    <w:p w14:paraId="429E7E5A">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对乙方因自身原因发生的安全事故，如因工人自身误操作、违章作业、冒险进入施工禁区、损坏安全设施、乙方不按规定对工人进行安全交底、班前活动等等，所造成的或主要责任在乙方的伤害事故，所发生的一切责任及费用由乙方承担。</w:t>
      </w:r>
    </w:p>
    <w:p w14:paraId="13A5EDE1">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积极配合甲方做好事故的善后处理工作，若伤亡人员为乙方雇佣、招录人员，乙方应及时负责伤亡人员及家属的接待善后工作，因此发生的医疗费、护理费、赔偿费等费用由乙方先垫付，最后由事故责任方一次性承担，因未积极配合甲方对事故进行善后处理而产生的一切法律责任及经济处罚由乙方自负。</w:t>
      </w:r>
    </w:p>
    <w:p w14:paraId="35F0A87A">
      <w:pPr>
        <w:spacing w:line="400" w:lineRule="exact"/>
        <w:ind w:firstLine="516" w:firstLineChars="214"/>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第六条</w:t>
      </w:r>
      <w:r>
        <w:rPr>
          <w:rFonts w:hint="eastAsia" w:ascii="仿宋_GB2312" w:hAnsi="仿宋_GB2312" w:eastAsia="仿宋_GB2312" w:cs="仿宋_GB2312"/>
          <w:color w:val="000000" w:themeColor="text1"/>
          <w:sz w:val="24"/>
          <w:szCs w:val="24"/>
          <w14:textFill>
            <w14:solidFill>
              <w14:schemeClr w14:val="tx1"/>
            </w14:solidFill>
          </w14:textFill>
        </w:rPr>
        <w:t xml:space="preserve"> 本合同生效条件与主合同相同。</w:t>
      </w:r>
    </w:p>
    <w:p w14:paraId="54A25DCB">
      <w:pPr>
        <w:spacing w:line="400" w:lineRule="exact"/>
        <w:rPr>
          <w:rFonts w:ascii="仿宋_GB2312" w:hAnsi="仿宋_GB2312" w:eastAsia="仿宋_GB2312" w:cs="仿宋_GB2312"/>
          <w:color w:val="000000" w:themeColor="text1"/>
          <w:sz w:val="24"/>
          <w:szCs w:val="24"/>
          <w14:textFill>
            <w14:solidFill>
              <w14:schemeClr w14:val="tx1"/>
            </w14:solidFill>
          </w14:textFill>
        </w:rPr>
      </w:pPr>
    </w:p>
    <w:p w14:paraId="1CD31708">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78" w:name="_Hlk127203185"/>
      <w:r>
        <w:rPr>
          <w:rFonts w:hint="eastAsia" w:ascii="仿宋_GB2312" w:hAnsi="仿宋_GB2312" w:eastAsia="仿宋_GB2312" w:cs="仿宋_GB2312"/>
          <w:color w:val="000000" w:themeColor="text1"/>
          <w:kern w:val="0"/>
          <w:sz w:val="24"/>
          <w:szCs w:val="24"/>
          <w14:textFill>
            <w14:solidFill>
              <w14:schemeClr w14:val="tx1"/>
            </w14:solidFill>
          </w14:textFill>
        </w:rPr>
        <w:t xml:space="preserve">甲方（盖章）：                        乙方（公章）：             </w:t>
      </w:r>
    </w:p>
    <w:p w14:paraId="61AE2715">
      <w:pPr>
        <w:autoSpaceDE w:val="0"/>
        <w:autoSpaceDN w:val="0"/>
        <w:adjustRightInd w:val="0"/>
        <w:spacing w:line="400" w:lineRule="atLeast"/>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w:t>
      </w:r>
    </w:p>
    <w:p w14:paraId="7B7CB59E">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06AD401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1FF955BC">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6CEEA7CF">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2413F0AC">
      <w:pPr>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bookmarkEnd w:id="78"/>
    </w:p>
    <w:p w14:paraId="0342A6AC">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br w:type="page"/>
      </w:r>
    </w:p>
    <w:p w14:paraId="2D390FA3">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pPr>
      <w:bookmarkStart w:id="79" w:name="_Toc776"/>
      <w:bookmarkStart w:id="80" w:name="_Toc9726"/>
      <w:bookmarkStart w:id="81" w:name="_Toc24322"/>
      <w:r>
        <w:rPr>
          <w:rFonts w:hint="eastAsia" w:ascii="仿宋_GB2312" w:hAnsi="仿宋_GB2312" w:eastAsia="仿宋_GB2312" w:cs="仿宋_GB2312"/>
          <w:color w:val="000000" w:themeColor="text1"/>
          <w:sz w:val="30"/>
          <w:szCs w:val="30"/>
          <w14:textFill>
            <w14:solidFill>
              <w14:schemeClr w14:val="tx1"/>
            </w14:solidFill>
          </w14:textFill>
        </w:rPr>
        <w:t>附件四：</w:t>
      </w:r>
      <w:bookmarkEnd w:id="79"/>
      <w:bookmarkEnd w:id="80"/>
      <w:bookmarkEnd w:id="81"/>
    </w:p>
    <w:p w14:paraId="399166AB">
      <w:pPr>
        <w:spacing w:line="400" w:lineRule="exact"/>
        <w:jc w:val="center"/>
        <w:rPr>
          <w:rFonts w:ascii="仿宋_GB2312" w:hAnsi="仿宋_GB2312" w:eastAsia="仿宋_GB2312" w:cs="仿宋_GB2312"/>
          <w:color w:val="000000" w:themeColor="text1"/>
          <w:sz w:val="30"/>
          <w:szCs w:val="30"/>
          <w14:textFill>
            <w14:solidFill>
              <w14:schemeClr w14:val="tx1"/>
            </w14:solidFill>
          </w14:textFill>
        </w:rPr>
      </w:pPr>
      <w:bookmarkStart w:id="82" w:name="_Toc16461"/>
      <w:r>
        <w:rPr>
          <w:rFonts w:hint="eastAsia" w:ascii="仿宋_GB2312" w:hAnsi="仿宋_GB2312" w:eastAsia="仿宋_GB2312" w:cs="仿宋_GB2312"/>
          <w:b/>
          <w:color w:val="000000" w:themeColor="text1"/>
          <w:sz w:val="30"/>
          <w:szCs w:val="30"/>
          <w14:textFill>
            <w14:solidFill>
              <w14:schemeClr w14:val="tx1"/>
            </w14:solidFill>
          </w14:textFill>
        </w:rPr>
        <w:t>廉洁从业共建协议</w:t>
      </w:r>
      <w:bookmarkEnd w:id="82"/>
    </w:p>
    <w:p w14:paraId="69F520FE">
      <w:pPr>
        <w:spacing w:line="4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w:t>
      </w:r>
      <w:permStart w:id="97" w:edGrp="everyone"/>
      <w:r>
        <w:rPr>
          <w:rFonts w:hint="eastAsia" w:ascii="仿宋_GB2312" w:hAnsi="宋体" w:eastAsia="仿宋_GB2312"/>
          <w:color w:val="000000" w:themeColor="text1"/>
          <w:sz w:val="24"/>
          <w:szCs w:val="24"/>
          <w:u w:val="single"/>
          <w14:textFill>
            <w14:solidFill>
              <w14:schemeClr w14:val="tx1"/>
            </w14:solidFill>
          </w14:textFill>
        </w:rPr>
        <w:t>中建路桥集团河北基础市政工程有限公司</w:t>
      </w:r>
      <w:permEnd w:id="97"/>
      <w:r>
        <w:rPr>
          <w:rFonts w:hint="eastAsia" w:ascii="仿宋_GB2312" w:hAnsi="宋体" w:eastAsia="仿宋_GB2312"/>
          <w:color w:val="000000" w:themeColor="text1"/>
          <w:sz w:val="24"/>
          <w:szCs w:val="24"/>
          <w:u w:val="single"/>
          <w14:textFill>
            <w14:solidFill>
              <w14:schemeClr w14:val="tx1"/>
            </w14:solidFill>
          </w14:textFill>
        </w:rPr>
        <w:t xml:space="preserve"> </w:t>
      </w:r>
    </w:p>
    <w:p w14:paraId="60F7A782">
      <w:pPr>
        <w:spacing w:line="4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w:t>
      </w:r>
      <w:permStart w:id="98" w:edGrp="everyone"/>
      <w:r>
        <w:rPr>
          <w:rFonts w:hint="eastAsia"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u w:val="single"/>
          <w14:textFill>
            <w14:solidFill>
              <w14:schemeClr w14:val="tx1"/>
            </w14:solidFill>
          </w14:textFill>
        </w:rPr>
        <w:t xml:space="preserve">         </w:t>
      </w:r>
      <w:permEnd w:id="98"/>
      <w:r>
        <w:rPr>
          <w:rFonts w:hint="eastAsia" w:ascii="仿宋_GB2312" w:hAnsi="宋体" w:eastAsia="仿宋_GB2312"/>
          <w:color w:val="000000" w:themeColor="text1"/>
          <w:sz w:val="24"/>
          <w:szCs w:val="24"/>
          <w:u w:val="single"/>
          <w14:textFill>
            <w14:solidFill>
              <w14:schemeClr w14:val="tx1"/>
            </w14:solidFill>
          </w14:textFill>
        </w:rPr>
        <w:t xml:space="preserve"> </w:t>
      </w:r>
    </w:p>
    <w:p w14:paraId="2E6BB51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21D4A5C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83" w:name="_Toc300671949"/>
      <w:r>
        <w:rPr>
          <w:rFonts w:hint="eastAsia" w:ascii="仿宋_GB2312" w:hAnsi="宋体" w:eastAsia="仿宋_GB2312" w:cs="宋体"/>
          <w:color w:val="000000" w:themeColor="text1"/>
          <w:kern w:val="0"/>
          <w:sz w:val="24"/>
          <w:szCs w:val="24"/>
          <w14:textFill>
            <w14:solidFill>
              <w14:schemeClr w14:val="tx1"/>
            </w14:solidFill>
          </w14:textFill>
        </w:rPr>
        <w:t>一、双方的责任</w:t>
      </w:r>
      <w:bookmarkEnd w:id="83"/>
    </w:p>
    <w:p w14:paraId="1590EE9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1.1应严格遵守国家关于建设工程的有关法律、法规，相关政策，以及廉政建设的各项规定。</w:t>
      </w:r>
    </w:p>
    <w:p w14:paraId="72E050CB">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1.2严格执行建设工程合同文件，自觉按合同办事。</w:t>
      </w:r>
    </w:p>
    <w:p w14:paraId="0B87AB1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1.3各项活动必须坚持公开、公平、公正、诚信、透明的原则(除法律法规另有规定者外)，不得为获取不正当的利益，损害国家、集体和对方利益，不得违反建设工程管理的规章制度。</w:t>
      </w:r>
    </w:p>
    <w:p w14:paraId="1161630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84" w:name="_Hlk127535665"/>
      <w:r>
        <w:rPr>
          <w:rFonts w:hint="eastAsia" w:ascii="仿宋_GB2312" w:hAnsi="宋体" w:eastAsia="仿宋_GB2312" w:cs="宋体"/>
          <w:color w:val="000000" w:themeColor="text1"/>
          <w:kern w:val="0"/>
          <w:sz w:val="24"/>
          <w:szCs w:val="24"/>
          <w14:textFill>
            <w14:solidFill>
              <w14:schemeClr w14:val="tx1"/>
            </w14:solidFill>
          </w14:textFill>
        </w:rPr>
        <w:t>1.4发现双方在业务活动中有违规、违纪、违法行为的，应及时提醒对方，情节严重的，如实进行举报，一经查实，严肃处理。</w:t>
      </w:r>
    </w:p>
    <w:bookmarkEnd w:id="84"/>
    <w:p w14:paraId="4E71D59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85" w:name="_Toc300671950"/>
      <w:r>
        <w:rPr>
          <w:rFonts w:hint="eastAsia" w:ascii="仿宋_GB2312" w:hAnsi="宋体" w:eastAsia="仿宋_GB2312" w:cs="宋体"/>
          <w:color w:val="000000" w:themeColor="text1"/>
          <w:kern w:val="0"/>
          <w:sz w:val="24"/>
          <w:szCs w:val="24"/>
          <w14:textFill>
            <w14:solidFill>
              <w14:schemeClr w14:val="tx1"/>
            </w14:solidFill>
          </w14:textFill>
        </w:rPr>
        <w:t>二、甲方责任</w:t>
      </w:r>
      <w:bookmarkEnd w:id="85"/>
    </w:p>
    <w:p w14:paraId="67D8E38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甲方相关人员和从事该建设工程项目的工作人员，在工程建设的事前、事中、事后应遵守以下规定：</w:t>
      </w:r>
    </w:p>
    <w:p w14:paraId="66D3F53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2.1按照甲方的采购程序确定供应商，确保公正、公平对待所有合作方；不得在采购文件中有针对性地故意设定条件，以不公正的方法确定供应商；</w:t>
      </w:r>
    </w:p>
    <w:p w14:paraId="0A7A32B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2.2</w:t>
      </w:r>
      <w:r>
        <w:rPr>
          <w:rFonts w:hint="eastAsia" w:ascii="仿宋_GB2312" w:hAnsi="宋体" w:eastAsia="仿宋_GB2312"/>
          <w:color w:val="000000" w:themeColor="text1"/>
          <w:sz w:val="24"/>
          <w:szCs w:val="24"/>
          <w14:textFill>
            <w14:solidFill>
              <w14:schemeClr w14:val="tx1"/>
            </w14:solidFill>
          </w14:textFill>
        </w:rPr>
        <w:t>按照甲方的项目管理流程办理乙方的各项业务（现场签证、验收、结算、付款等），对乙方员工的吃拿卡要行为坚决制止，如甲方员工出现上述情况以索贿论；</w:t>
      </w:r>
    </w:p>
    <w:p w14:paraId="2FB87764">
      <w:pPr>
        <w:widowControl/>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2.3</w:t>
      </w:r>
      <w:r>
        <w:rPr>
          <w:rFonts w:hint="eastAsia" w:ascii="仿宋_GB2312" w:hAnsi="宋体" w:eastAsia="仿宋_GB2312"/>
          <w:color w:val="000000" w:themeColor="text1"/>
          <w:sz w:val="24"/>
          <w:szCs w:val="24"/>
          <w14:textFill>
            <w14:solidFill>
              <w14:schemeClr w14:val="tx1"/>
            </w14:solidFill>
          </w14:textFill>
        </w:rPr>
        <w:t>不安排己方员工的亲友在乙方工作；</w:t>
      </w:r>
    </w:p>
    <w:p w14:paraId="1E040D63">
      <w:pPr>
        <w:widowControl/>
        <w:spacing w:line="400" w:lineRule="exact"/>
        <w:ind w:firstLine="480" w:firstLineChars="200"/>
        <w:rPr>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2.4</w:t>
      </w:r>
      <w:r>
        <w:rPr>
          <w:rFonts w:hint="eastAsia" w:ascii="仿宋_GB2312" w:hAnsi="宋体" w:eastAsia="仿宋_GB2312"/>
          <w:color w:val="000000" w:themeColor="text1"/>
          <w:sz w:val="24"/>
          <w:szCs w:val="24"/>
          <w14:textFill>
            <w14:solidFill>
              <w14:schemeClr w14:val="tx1"/>
            </w14:solidFill>
          </w14:textFill>
        </w:rPr>
        <w:t>不得以任何理由向乙方推荐分包单位，不得要求乙方购买合同规定外的材料和设备；</w:t>
      </w:r>
    </w:p>
    <w:p w14:paraId="5E0A89E7">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2.5不得向乙方和相关单位索要或接受回扣、礼金、有价证券、贵重物品和好处费、感谢费等。</w:t>
      </w:r>
    </w:p>
    <w:p w14:paraId="7D77127B">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2.6不得在乙方和相关单位报销任何应由业主方或个人支付的费用。</w:t>
      </w:r>
    </w:p>
    <w:p w14:paraId="615D64A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2.7不得要求、暗示或接受乙方和相关单位为个人装修住房、婚丧嫁娶、配偶子女的工作安排以及出国(境)、旅游等提供方便。</w:t>
      </w:r>
    </w:p>
    <w:p w14:paraId="209810F0">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2.8不得参加有可能影响公正执行公务的乙方和相关单位的宴请、健身、娱乐等活动。</w:t>
      </w:r>
    </w:p>
    <w:p w14:paraId="3A064862">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86" w:name="_Toc300671951"/>
      <w:r>
        <w:rPr>
          <w:rFonts w:hint="eastAsia" w:ascii="仿宋_GB2312" w:hAnsi="宋体" w:eastAsia="仿宋_GB2312" w:cs="宋体"/>
          <w:color w:val="000000" w:themeColor="text1"/>
          <w:kern w:val="0"/>
          <w:sz w:val="24"/>
          <w:szCs w:val="24"/>
          <w14:textFill>
            <w14:solidFill>
              <w14:schemeClr w14:val="tx1"/>
            </w14:solidFill>
          </w14:textFill>
        </w:rPr>
        <w:t>三、乙方责任</w:t>
      </w:r>
      <w:bookmarkEnd w:id="86"/>
    </w:p>
    <w:p w14:paraId="35856A3B">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应与甲方保持正常的业务交往，按照有关法律法规和程序开展业务工作，严格执行工程建设的有关方针、政策，执行工程建设强制性标准，并遵守以下规定：</w:t>
      </w:r>
    </w:p>
    <w:p w14:paraId="18DF955A">
      <w:pPr>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3.1</w:t>
      </w:r>
      <w:r>
        <w:rPr>
          <w:rFonts w:hint="eastAsia" w:ascii="仿宋_GB2312" w:hAnsi="宋体" w:eastAsia="仿宋_GB2312"/>
          <w:color w:val="000000" w:themeColor="text1"/>
          <w:sz w:val="24"/>
          <w:szCs w:val="24"/>
          <w14:textFill>
            <w14:solidFill>
              <w14:schemeClr w14:val="tx1"/>
            </w14:solidFill>
          </w14:textFill>
        </w:rPr>
        <w:t>根据自己的实力参与甲方的采购事项，遵守甲方的管理制度；不得在采购之前或过程中，以不正当手段谋求成交。</w:t>
      </w:r>
    </w:p>
    <w:p w14:paraId="0A8E6741">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3.2不得向甲方员工及其亲属输送任何个人利益以寻求合作机会，不得为甲方人员配偶、子女及特定关系人安排工作、谋取不正当利益或提供各类方便。</w:t>
      </w:r>
    </w:p>
    <w:p w14:paraId="5EF85C44">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3.3不得以任何理由为甲方和相关单位报销应由对方或个人支付的费用，包括出差期间的交通费和住宿费等。</w:t>
      </w:r>
    </w:p>
    <w:p w14:paraId="1819104C">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3.4不得以甲方员工及其亲属的家庭装修、婚丧嫁娶、出国留学等事宜为由进行提供资金及物资资助等行贿行为。</w:t>
      </w:r>
    </w:p>
    <w:p w14:paraId="26B158EB">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3.5</w:t>
      </w:r>
      <w:r>
        <w:rPr>
          <w:rFonts w:hint="eastAsia" w:ascii="仿宋_GB2312" w:eastAsia="仿宋_GB2312" w:cs="宋体"/>
          <w:color w:val="000000" w:themeColor="text1"/>
          <w:kern w:val="0"/>
          <w:sz w:val="24"/>
          <w:szCs w:val="24"/>
          <w14:textFill>
            <w14:solidFill>
              <w14:schemeClr w14:val="tx1"/>
            </w14:solidFill>
          </w14:textFill>
        </w:rPr>
        <w:t>不得向甲方员工提供礼品、礼金、贵重物品或消费卡、会员卡、礼品券等虚拟电子礼品，严禁快递送礼。</w:t>
      </w:r>
    </w:p>
    <w:p w14:paraId="2EB3B2A7">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6</w:t>
      </w:r>
      <w:r>
        <w:rPr>
          <w:rFonts w:hint="eastAsia" w:ascii="仿宋_GB2312" w:eastAsia="仿宋_GB2312" w:cs="宋体"/>
          <w:color w:val="000000" w:themeColor="text1"/>
          <w:kern w:val="0"/>
          <w:sz w:val="24"/>
          <w:szCs w:val="24"/>
          <w14:textFill>
            <w14:solidFill>
              <w14:schemeClr w14:val="tx1"/>
            </w14:solidFill>
          </w14:textFill>
        </w:rPr>
        <w:t>不得以任何理由为甲方、相关单位或个人组织有可能影响公正执行公务的宴请、健身、娱乐等活动。</w:t>
      </w:r>
    </w:p>
    <w:p w14:paraId="13A896D2">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3.7</w:t>
      </w:r>
      <w:r>
        <w:rPr>
          <w:rFonts w:hint="eastAsia" w:ascii="仿宋_GB2312" w:eastAsia="仿宋_GB2312" w:cs="宋体"/>
          <w:color w:val="000000" w:themeColor="text1"/>
          <w:kern w:val="0"/>
          <w:sz w:val="24"/>
          <w:szCs w:val="24"/>
          <w14:textFill>
            <w14:solidFill>
              <w14:schemeClr w14:val="tx1"/>
            </w14:solidFill>
          </w14:textFill>
        </w:rPr>
        <w:t>不得与甲方员工就合同条款中的利益条款进行私下协商或达成默契。</w:t>
      </w:r>
    </w:p>
    <w:p w14:paraId="1CB74166">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.8</w:t>
      </w:r>
      <w:r>
        <w:rPr>
          <w:rFonts w:hint="eastAsia" w:ascii="仿宋_GB2312" w:eastAsia="仿宋_GB2312" w:cs="宋体"/>
          <w:color w:val="000000" w:themeColor="text1"/>
          <w:kern w:val="0"/>
          <w:sz w:val="24"/>
          <w:szCs w:val="24"/>
          <w14:textFill>
            <w14:solidFill>
              <w14:schemeClr w14:val="tx1"/>
            </w14:solidFill>
          </w14:textFill>
        </w:rPr>
        <w:t>不得安排甲方员工及其亲属从事合资或合股经营行为，不向甲方打探商业秘密或提供兼职报酬。</w:t>
      </w:r>
    </w:p>
    <w:p w14:paraId="75D08B0D">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3.9</w:t>
      </w:r>
      <w:r>
        <w:rPr>
          <w:rFonts w:hint="eastAsia" w:ascii="仿宋_GB2312" w:eastAsia="仿宋_GB2312" w:cs="宋体"/>
          <w:color w:val="000000" w:themeColor="text1"/>
          <w:kern w:val="0"/>
          <w:sz w:val="24"/>
          <w:szCs w:val="24"/>
          <w14:textFill>
            <w14:solidFill>
              <w14:schemeClr w14:val="tx1"/>
            </w14:solidFill>
          </w14:textFill>
        </w:rPr>
        <w:t>不在甲方人员进行市场调研、商务洽谈等期间违规提供公务接待。</w:t>
      </w:r>
    </w:p>
    <w:p w14:paraId="49D99BAD">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3.10</w:t>
      </w:r>
      <w:r>
        <w:rPr>
          <w:rFonts w:hint="eastAsia" w:ascii="仿宋_GB2312" w:eastAsia="仿宋_GB2312" w:cs="宋体"/>
          <w:color w:val="000000" w:themeColor="text1"/>
          <w:kern w:val="0"/>
          <w:sz w:val="24"/>
          <w:szCs w:val="24"/>
          <w14:textFill>
            <w14:solidFill>
              <w14:schemeClr w14:val="tx1"/>
            </w14:solidFill>
          </w14:textFill>
        </w:rPr>
        <w:t>对甲方员工违反本协议的行为及时向甲方的上级监督部门报告。</w:t>
      </w:r>
    </w:p>
    <w:p w14:paraId="75AF474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87" w:name="_Toc300671952"/>
      <w:r>
        <w:rPr>
          <w:rFonts w:hint="eastAsia" w:ascii="仿宋_GB2312" w:hAnsi="宋体" w:eastAsia="仿宋_GB2312" w:cs="宋体"/>
          <w:color w:val="000000" w:themeColor="text1"/>
          <w:kern w:val="0"/>
          <w:sz w:val="24"/>
          <w:szCs w:val="24"/>
          <w14:textFill>
            <w14:solidFill>
              <w14:schemeClr w14:val="tx1"/>
            </w14:solidFill>
          </w14:textFill>
        </w:rPr>
        <w:t>四、违约责任</w:t>
      </w:r>
      <w:bookmarkEnd w:id="87"/>
    </w:p>
    <w:p w14:paraId="241367A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4.1甲方工作人员有违反本责任书第一、二条责任行为的，依据有关法律及甲方《员工守则》，提交甲方纪检部门进行处理。</w:t>
      </w:r>
    </w:p>
    <w:p w14:paraId="2AE8608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4.2乙方工作人员有违反本责任书第一、三条责任行为的，依据有关法律法规处理；向甲方行贿或给甲方单位造成经济损失的，按照受贿金额或损失金额的5-10倍进行处罚</w:t>
      </w:r>
      <w:r>
        <w:rPr>
          <w:rFonts w:hint="eastAsia" w:ascii="仿宋_GB2312" w:hAnsi="宋体" w:eastAsia="仿宋_GB2312"/>
          <w:color w:val="000000" w:themeColor="text1"/>
          <w:sz w:val="24"/>
          <w:szCs w:val="24"/>
          <w14:textFill>
            <w14:solidFill>
              <w14:schemeClr w14:val="tx1"/>
            </w14:solidFill>
          </w14:textFill>
        </w:rPr>
        <w:t>，立即清除出场，终止合同执行，给甲方造成经济损失的应予以赔偿，同时纳入供应商黑名单；如乙方和甲方的员工勾结虚增结算款，则按照虚增款项的5倍扣减乙方应结算的款项；如发现乙方接受甲方人员要求安排甲方人员亲友在乙方工作，违者除令被安插人员在两天内退出外，并对责任人按每人每次1000元给予</w:t>
      </w:r>
      <w:r>
        <w:rPr>
          <w:rFonts w:hint="eastAsia" w:ascii="仿宋_GB2312" w:hAnsi="宋体" w:eastAsia="仿宋_GB2312" w:cs="Times New Roman"/>
          <w:color w:val="000000" w:themeColor="text1"/>
          <w:sz w:val="24"/>
          <w:szCs w:val="24"/>
          <w14:textFill>
            <w14:solidFill>
              <w14:schemeClr w14:val="tx1"/>
            </w14:solidFill>
          </w14:textFill>
        </w:rPr>
        <w:t>罚款。</w:t>
      </w:r>
    </w:p>
    <w:p w14:paraId="06A25E5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4.3甲方工作人员不得接受可能影响公正执行公务的礼金（包括各种有价证券）、礼品馈赠。因各种原因未能拒收的，一律上交所属部门并登记。</w:t>
      </w:r>
    </w:p>
    <w:p w14:paraId="543977C9">
      <w:pPr>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4.4</w:t>
      </w:r>
      <w:r>
        <w:rPr>
          <w:rFonts w:hint="eastAsia" w:ascii="仿宋_GB2312" w:hAnsi="宋体" w:eastAsia="仿宋_GB2312" w:cs="宋体"/>
          <w:color w:val="000000" w:themeColor="text1"/>
          <w:kern w:val="0"/>
          <w:sz w:val="24"/>
          <w:szCs w:val="24"/>
          <w14:textFill>
            <w14:solidFill>
              <w14:schemeClr w14:val="tx1"/>
            </w14:solidFill>
          </w14:textFill>
        </w:rPr>
        <w:t>甲乙双方必须认真履行本协议，遵纪守法，相互监督，密切配合，共同搞好廉政建设。双方</w:t>
      </w:r>
      <w:r>
        <w:rPr>
          <w:rFonts w:hint="eastAsia" w:ascii="仿宋_GB2312" w:hAnsi="宋体" w:eastAsia="仿宋_GB2312"/>
          <w:color w:val="000000" w:themeColor="text1"/>
          <w:sz w:val="24"/>
          <w:szCs w:val="24"/>
          <w14:textFill>
            <w14:solidFill>
              <w14:schemeClr w14:val="tx1"/>
            </w14:solidFill>
          </w14:textFill>
        </w:rPr>
        <w:t>认可甲方建立不诚信合作方黑名单制度，如乙方发生向甲方员工的行贿行为、乙方和甲方的员工勾结虚增结算款项的行为，则该乙方进入甲方不诚信合作方黑名单，</w:t>
      </w:r>
      <w:r>
        <w:rPr>
          <w:rFonts w:hint="eastAsia" w:ascii="仿宋_GB2312" w:hAnsi="宋体" w:eastAsia="仿宋_GB2312" w:cs="宋体"/>
          <w:color w:val="000000" w:themeColor="text1"/>
          <w:kern w:val="0"/>
          <w:sz w:val="24"/>
          <w:szCs w:val="24"/>
          <w14:textFill>
            <w14:solidFill>
              <w14:schemeClr w14:val="tx1"/>
            </w14:solidFill>
          </w14:textFill>
        </w:rPr>
        <w:t>触犯刑律的，移交司法机关处理。</w:t>
      </w:r>
    </w:p>
    <w:p w14:paraId="53774533">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4.5本责任书作为主合同的组成部分，与本合同具有同等法律效力。生效条件与主合同相同。</w:t>
      </w:r>
    </w:p>
    <w:p w14:paraId="282559C0">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五、监督举报渠道</w:t>
      </w:r>
    </w:p>
    <w:p w14:paraId="5E3E10BA">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5.1信访办公室</w:t>
      </w:r>
    </w:p>
    <w:p w14:paraId="62FEBD7B">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来信地址：石家庄市建设南大街38号中建路桥集团有限公司信访办公室（收）</w:t>
      </w:r>
    </w:p>
    <w:p w14:paraId="7DF9E6C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00CEFA4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电话：0311-66538159</w:t>
      </w:r>
    </w:p>
    <w:p w14:paraId="7CC4AC3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电子邮箱：sinorbbg@cscec.com</w:t>
      </w:r>
    </w:p>
    <w:p w14:paraId="36DE0F1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5.2纪检监督工作部</w:t>
      </w:r>
    </w:p>
    <w:p w14:paraId="736B9813">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来信地址：石家庄市建设南大街38号中建路桥集团有限公司纪检监督工作部（收）</w:t>
      </w:r>
    </w:p>
    <w:p w14:paraId="765DF01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098A414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电话：0311-66538173</w:t>
      </w:r>
    </w:p>
    <w:p w14:paraId="4CA7200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电子邮箱：sinorbjc@cscec.com</w:t>
      </w:r>
    </w:p>
    <w:p w14:paraId="18B0558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六、责任书有效期</w:t>
      </w:r>
    </w:p>
    <w:p w14:paraId="2D213D21">
      <w:pPr>
        <w:widowControl/>
        <w:spacing w:line="400" w:lineRule="exact"/>
        <w:ind w:firstLine="480" w:firstLineChars="200"/>
        <w:rPr>
          <w:rFonts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本责任书的有效期为双方签署之日起至该工程项目竣工验收合格时止。</w:t>
      </w:r>
    </w:p>
    <w:p w14:paraId="446B3A9F">
      <w:pPr>
        <w:pStyle w:val="14"/>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p>
    <w:p w14:paraId="4E112754">
      <w:pPr>
        <w:pStyle w:val="14"/>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p>
    <w:p w14:paraId="7990C5ED">
      <w:pPr>
        <w:pStyle w:val="14"/>
        <w:spacing w:line="400" w:lineRule="exact"/>
        <w:ind w:firstLine="48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甲方（盖章）：                        乙方（公章）：</w:t>
      </w:r>
    </w:p>
    <w:p w14:paraId="1BE3E6F4">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05732BAF">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40F7CD17">
      <w:pPr>
        <w:autoSpaceDE w:val="0"/>
        <w:autoSpaceDN w:val="0"/>
        <w:adjustRightInd w:val="0"/>
        <w:spacing w:line="400" w:lineRule="atLeast"/>
        <w:ind w:firstLine="960" w:firstLineChars="4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7344182D">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49778DCD">
      <w:pPr>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D2EA6D1">
      <w:pPr>
        <w:rPr>
          <w:rFonts w:ascii="仿宋_GB2312" w:hAnsi="宋体" w:eastAsia="仿宋_GB2312"/>
          <w:color w:val="000000" w:themeColor="text1"/>
          <w:sz w:val="24"/>
          <w14:textFill>
            <w14:solidFill>
              <w14:schemeClr w14:val="tx1"/>
            </w14:solidFill>
          </w14:textFill>
        </w:rPr>
      </w:pPr>
      <w:r>
        <w:rPr>
          <w:rFonts w:ascii="仿宋_GB2312" w:hAnsi="宋体" w:eastAsia="仿宋_GB2312"/>
          <w:color w:val="000000" w:themeColor="text1"/>
          <w:sz w:val="24"/>
          <w14:textFill>
            <w14:solidFill>
              <w14:schemeClr w14:val="tx1"/>
            </w14:solidFill>
          </w14:textFill>
        </w:rPr>
        <w:br w:type="page"/>
      </w:r>
    </w:p>
    <w:p w14:paraId="00AA2211">
      <w:pPr>
        <w:pStyle w:val="14"/>
        <w:jc w:val="center"/>
        <w:outlineLvl w:val="0"/>
        <w:rPr>
          <w:rFonts w:ascii="仿宋" w:hAnsi="仿宋" w:eastAsia="仿宋" w:cs="仿宋"/>
          <w:b/>
          <w:bCs/>
          <w:color w:val="000000" w:themeColor="text1"/>
          <w:sz w:val="32"/>
          <w:szCs w:val="32"/>
          <w14:textFill>
            <w14:solidFill>
              <w14:schemeClr w14:val="tx1"/>
            </w14:solidFill>
          </w14:textFill>
        </w:rPr>
      </w:pPr>
      <w:bookmarkStart w:id="88" w:name="_Hlk127794870"/>
      <w:bookmarkStart w:id="89" w:name="_Toc18674"/>
      <w:bookmarkStart w:id="90" w:name="_Toc1869"/>
      <w:bookmarkStart w:id="91" w:name="_Toc1495"/>
      <w:r>
        <w:rPr>
          <w:rFonts w:hint="eastAsia" w:ascii="黑体" w:hAnsi="黑体" w:eastAsia="黑体" w:cs="黑体"/>
          <w:b/>
          <w:bCs/>
          <w:color w:val="000000" w:themeColor="text1"/>
          <w:sz w:val="32"/>
          <w:szCs w:val="32"/>
          <w14:textFill>
            <w14:solidFill>
              <w14:schemeClr w14:val="tx1"/>
            </w14:solidFill>
          </w14:textFill>
        </w:rPr>
        <w:t>第二部分 通用条款</w:t>
      </w:r>
      <w:bookmarkEnd w:id="88"/>
      <w:bookmarkEnd w:id="89"/>
      <w:bookmarkEnd w:id="90"/>
    </w:p>
    <w:p w14:paraId="1A1E3F78">
      <w:pPr>
        <w:pStyle w:val="14"/>
        <w:numPr>
          <w:ilvl w:val="0"/>
          <w:numId w:val="8"/>
        </w:numPr>
        <w:spacing w:before="120" w:beforeLines="50" w:after="120" w:afterLines="50" w:line="400" w:lineRule="atLeast"/>
        <w:ind w:firstLine="482"/>
        <w:outlineLvl w:val="0"/>
        <w:rPr>
          <w:rFonts w:ascii="仿宋_GB2312" w:hAnsi="仿宋_GB2312" w:eastAsia="仿宋_GB2312" w:cs="仿宋_GB2312"/>
          <w:b/>
          <w:bCs/>
          <w:color w:val="000000" w:themeColor="text1"/>
          <w14:textFill>
            <w14:solidFill>
              <w14:schemeClr w14:val="tx1"/>
            </w14:solidFill>
          </w14:textFill>
        </w:rPr>
      </w:pPr>
      <w:bookmarkStart w:id="92" w:name="_Toc3066"/>
      <w:bookmarkStart w:id="93" w:name="_Toc11168"/>
      <w:r>
        <w:rPr>
          <w:rFonts w:hint="eastAsia" w:ascii="仿宋_GB2312" w:hAnsi="仿宋_GB2312" w:eastAsia="仿宋_GB2312" w:cs="仿宋_GB2312"/>
          <w:b/>
          <w:bCs/>
          <w:color w:val="000000" w:themeColor="text1"/>
          <w14:textFill>
            <w14:solidFill>
              <w14:schemeClr w14:val="tx1"/>
            </w14:solidFill>
          </w14:textFill>
        </w:rPr>
        <w:t>货物合同附随义务</w:t>
      </w:r>
      <w:bookmarkEnd w:id="91"/>
      <w:bookmarkEnd w:id="92"/>
      <w:bookmarkEnd w:id="93"/>
    </w:p>
    <w:p w14:paraId="4B6A3559">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1.乙方义务</w:t>
      </w:r>
    </w:p>
    <w:p w14:paraId="29986908">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1.1乙方合规义务</w:t>
      </w:r>
    </w:p>
    <w:p w14:paraId="66983B87">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1.1.1合规开展行业竞争：</w:t>
      </w:r>
      <w:r>
        <w:rPr>
          <w:rFonts w:hint="eastAsia" w:ascii="仿宋_GB2312" w:hAnsi="仿宋_GB2312" w:eastAsia="仿宋_GB2312" w:cs="仿宋_GB2312"/>
          <w:color w:val="000000" w:themeColor="text1"/>
          <w14:textFill>
            <w14:solidFill>
              <w14:schemeClr w14:val="tx1"/>
            </w14:solidFill>
          </w14:textFill>
        </w:rPr>
        <w:t>积极防范和制止垄断行为，不实施任何市场排除、限制竞争行为；不组织经营者集中等违法垄断行为，不实施不正当竞争行为和不正当价格行为，不从事商誉诋毁等违法违规竞争行为。</w:t>
      </w:r>
    </w:p>
    <w:p w14:paraId="445F16E9">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1.1.2合规保障服务生产：</w:t>
      </w:r>
      <w:r>
        <w:rPr>
          <w:rFonts w:hint="eastAsia" w:ascii="仿宋_GB2312" w:hAnsi="仿宋_GB2312" w:eastAsia="仿宋_GB2312" w:cs="仿宋_GB2312"/>
          <w:color w:val="000000" w:themeColor="text1"/>
          <w14:textFill>
            <w14:solidFill>
              <w14:schemeClr w14:val="tx1"/>
            </w14:solidFill>
          </w14:textFill>
        </w:rPr>
        <w:t>恪守契约精神，严格按照合同约定时间和地点完成货物交付，全力保障项目物资设备供应需求。</w:t>
      </w:r>
    </w:p>
    <w:p w14:paraId="3CD686F9">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1.1.3合规履行安全管控职责：</w:t>
      </w:r>
      <w:r>
        <w:rPr>
          <w:rFonts w:hint="eastAsia" w:ascii="仿宋_GB2312" w:hAnsi="仿宋_GB2312" w:eastAsia="仿宋_GB2312" w:cs="仿宋_GB2312"/>
          <w:color w:val="000000" w:themeColor="text1"/>
          <w14:textFill>
            <w14:solidFill>
              <w14:schemeClr w14:val="tx1"/>
            </w14:solidFill>
          </w14:textFill>
        </w:rPr>
        <w:t>自觉遵守甲方施工现场有关安全文明施工、环境和职业健康安全方面的要求，绝不出现违反安全法律和其他安全生产规章制度的行为，具体要求详见合同附件三。</w:t>
      </w:r>
    </w:p>
    <w:p w14:paraId="7770C34A">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1.1.4合规履行质量管控职责：</w:t>
      </w:r>
      <w:r>
        <w:rPr>
          <w:rFonts w:hint="eastAsia" w:ascii="仿宋_GB2312" w:hAnsi="仿宋_GB2312" w:eastAsia="仿宋_GB2312" w:cs="仿宋_GB2312"/>
          <w:color w:val="000000" w:themeColor="text1"/>
          <w14:textFill>
            <w14:solidFill>
              <w14:schemeClr w14:val="tx1"/>
            </w14:solidFill>
          </w14:textFill>
        </w:rPr>
        <w:t>绝不供应质量不合格货物，加强自身各环节质量管理，绝不出现任何质量或数量瑕疵，严控假冒伪劣货物流通，严格按本合同约定质量标准和数量要求履约生产。</w:t>
      </w:r>
    </w:p>
    <w:p w14:paraId="1E7404A9">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1.1.5合规依法纳税职责：</w:t>
      </w:r>
      <w:r>
        <w:rPr>
          <w:rFonts w:hint="eastAsia" w:ascii="仿宋_GB2312" w:hAnsi="仿宋_GB2312" w:eastAsia="仿宋_GB2312" w:cs="仿宋_GB2312"/>
          <w:color w:val="000000" w:themeColor="text1"/>
          <w14:textFill>
            <w14:solidFill>
              <w14:schemeClr w14:val="tx1"/>
            </w14:solidFill>
          </w14:textFill>
        </w:rPr>
        <w:t>严格按照国家税法规定，履行合法合规纳税义务，绝不虚开或伪造增值税专用发票。</w:t>
      </w:r>
    </w:p>
    <w:p w14:paraId="4666C411">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1.1.6合规拥有货物所有权：</w:t>
      </w:r>
      <w:r>
        <w:rPr>
          <w:rFonts w:hint="eastAsia" w:ascii="仿宋_GB2312" w:hAnsi="仿宋_GB2312" w:eastAsia="仿宋_GB2312" w:cs="仿宋_GB2312"/>
          <w:color w:val="000000" w:themeColor="text1"/>
          <w14:textFill>
            <w14:solidFill>
              <w14:schemeClr w14:val="tx1"/>
            </w14:solidFill>
          </w14:textFill>
        </w:rPr>
        <w:t>保证对货物具有所有权或受委托代理销售权，并向甲方出具相关凭证。保证交付的货物不附有任何担保权、留置权或设定其他权利负担。</w:t>
      </w:r>
    </w:p>
    <w:p w14:paraId="3B83B99C">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1.1.7合规拥有</w:t>
      </w:r>
      <w:r>
        <w:rPr>
          <w:rFonts w:ascii="仿宋_GB2312" w:hAnsi="仿宋_GB2312" w:eastAsia="仿宋_GB2312" w:cs="仿宋_GB2312"/>
          <w:b/>
          <w:bCs/>
          <w:color w:val="000000" w:themeColor="text1"/>
          <w14:textFill>
            <w14:solidFill>
              <w14:schemeClr w14:val="tx1"/>
            </w14:solidFill>
          </w14:textFill>
        </w:rPr>
        <w:t>货物知识产权：</w:t>
      </w:r>
      <w:r>
        <w:rPr>
          <w:rFonts w:ascii="仿宋_GB2312" w:hAnsi="仿宋_GB2312" w:eastAsia="仿宋_GB2312" w:cs="仿宋_GB2312"/>
          <w:color w:val="000000" w:themeColor="text1"/>
          <w14:textFill>
            <w14:solidFill>
              <w14:schemeClr w14:val="tx1"/>
            </w14:solidFill>
          </w14:textFill>
        </w:rPr>
        <w:t>保障甲方在工程所在地使用其货物、服务及其任何部分不受到第三方关于侵犯专利权、商标权、工业设计权或其他知识产权的指控。任何第三方如果提起侵权诉讼，乙方负责与第三方交涉并承担由此而引起的一切法律责任和费用及赔偿甲方的一切损失。</w:t>
      </w:r>
    </w:p>
    <w:p w14:paraId="3C5952BD">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1.1.8合规开展廉洁共建职责：</w:t>
      </w:r>
      <w:r>
        <w:rPr>
          <w:rFonts w:hint="eastAsia" w:ascii="仿宋_GB2312" w:hAnsi="仿宋_GB2312" w:eastAsia="仿宋_GB2312" w:cs="仿宋_GB2312"/>
          <w:color w:val="000000" w:themeColor="text1"/>
          <w14:textFill>
            <w14:solidFill>
              <w14:schemeClr w14:val="tx1"/>
            </w14:solidFill>
          </w14:textFill>
        </w:rPr>
        <w:t xml:space="preserve">绝不从事任何形式的商业贿赂、利益输送及其他不正当交易；绝不以任何理由为甲方、相关单位或个人组织有可能影响公正执行公务的宴请、娱乐等活动，具体要求详见合同附件四。 </w:t>
      </w:r>
    </w:p>
    <w:p w14:paraId="752C9FD3">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1.2乙方其他义务</w:t>
      </w:r>
    </w:p>
    <w:p w14:paraId="7764165A">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1.2.1增值服务：</w:t>
      </w:r>
      <w:r>
        <w:rPr>
          <w:rFonts w:hint="eastAsia" w:ascii="仿宋_GB2312" w:hAnsi="仿宋_GB2312" w:eastAsia="仿宋_GB2312" w:cs="仿宋_GB2312"/>
          <w:color w:val="000000" w:themeColor="text1"/>
          <w14:textFill>
            <w14:solidFill>
              <w14:schemeClr w14:val="tx1"/>
            </w14:solidFill>
          </w14:textFill>
        </w:rPr>
        <w:t>乙方应提供与货物配套的增值服务；包括但不限于技术支持、深化设计、现场培训及货物安装指导等工作，相应费用已在综合单价考虑。</w:t>
      </w:r>
    </w:p>
    <w:p w14:paraId="1CB8F874">
      <w:pPr>
        <w:pStyle w:val="14"/>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1.2.2货物退货与置换：</w:t>
      </w:r>
      <w:r>
        <w:rPr>
          <w:rFonts w:hint="eastAsia" w:ascii="仿宋_GB2312" w:hAnsi="仿宋_GB2312" w:eastAsia="仿宋_GB2312" w:cs="仿宋_GB2312"/>
          <w:color w:val="000000" w:themeColor="text1"/>
          <w14:textFill>
            <w14:solidFill>
              <w14:schemeClr w14:val="tx1"/>
            </w14:solidFill>
          </w14:textFill>
        </w:rPr>
        <w:t>乙方供应的货物，根据不同情况甲方可选择直接向乙方退货或向乙方置换，乙方同意按甲方选择的方式办理：</w:t>
      </w:r>
    </w:p>
    <w:p w14:paraId="58D38488">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（1）对于未使用且不影响二次销售的材料，若甲方选择退货，则双方按甲方退货后实际收到合格货物数量办理结算。</w:t>
      </w:r>
    </w:p>
    <w:p w14:paraId="18C02F91">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（2）对于已使用的材料，若甲方选择置换，则双方协商估算原材料残值并置换等价值新材料。</w:t>
      </w:r>
    </w:p>
    <w:p w14:paraId="40A122B7">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（3）甲方原因产生的退货或者置换产生的运输费用由</w:t>
      </w:r>
      <w:r>
        <w:rPr>
          <w:rFonts w:hint="eastAsia" w:ascii="仿宋_GB2312" w:hAnsi="仿宋_GB2312" w:eastAsia="仿宋_GB2312" w:cs="仿宋_GB2312"/>
          <w:color w:val="000000" w:themeColor="text1"/>
          <w:u w:val="single"/>
          <w14:textFill>
            <w14:solidFill>
              <w14:schemeClr w14:val="tx1"/>
            </w14:solidFill>
          </w14:textFill>
        </w:rPr>
        <w:t xml:space="preserve"> 甲方 </w:t>
      </w:r>
      <w:r>
        <w:rPr>
          <w:rFonts w:hint="eastAsia" w:ascii="仿宋_GB2312" w:hAnsi="仿宋_GB2312" w:eastAsia="仿宋_GB2312" w:cs="仿宋_GB2312"/>
          <w:color w:val="000000" w:themeColor="text1"/>
          <w14:textFill>
            <w14:solidFill>
              <w14:schemeClr w14:val="tx1"/>
            </w14:solidFill>
          </w14:textFill>
        </w:rPr>
        <w:t>承担，装卸费用由</w:t>
      </w:r>
      <w:r>
        <w:rPr>
          <w:rFonts w:hint="eastAsia" w:ascii="仿宋_GB2312" w:hAnsi="仿宋_GB2312" w:eastAsia="仿宋_GB2312" w:cs="仿宋_GB2312"/>
          <w:color w:val="000000" w:themeColor="text1"/>
          <w:u w:val="single"/>
          <w14:textFill>
            <w14:solidFill>
              <w14:schemeClr w14:val="tx1"/>
            </w14:solidFill>
          </w14:textFill>
        </w:rPr>
        <w:t xml:space="preserve"> 甲方 </w:t>
      </w:r>
      <w:r>
        <w:rPr>
          <w:rFonts w:hint="eastAsia" w:ascii="仿宋_GB2312" w:hAnsi="仿宋_GB2312" w:eastAsia="仿宋_GB2312" w:cs="仿宋_GB2312"/>
          <w:color w:val="000000" w:themeColor="text1"/>
          <w14:textFill>
            <w14:solidFill>
              <w14:schemeClr w14:val="tx1"/>
            </w14:solidFill>
          </w14:textFill>
        </w:rPr>
        <w:t>承担。</w:t>
      </w:r>
    </w:p>
    <w:p w14:paraId="30BBF633">
      <w:pPr>
        <w:pStyle w:val="14"/>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2.甲方义务</w:t>
      </w:r>
    </w:p>
    <w:p w14:paraId="0DD1DF38">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2.1材料需用计划：</w:t>
      </w:r>
      <w:r>
        <w:rPr>
          <w:rFonts w:hint="eastAsia" w:ascii="仿宋_GB2312" w:hAnsi="仿宋_GB2312" w:eastAsia="仿宋_GB2312" w:cs="仿宋_GB2312"/>
          <w:color w:val="000000" w:themeColor="text1"/>
          <w14:textFill>
            <w14:solidFill>
              <w14:schemeClr w14:val="tx1"/>
            </w14:solidFill>
          </w14:textFill>
        </w:rPr>
        <w:t>甲方合理制定材料总需用计划及日常需用计划，并按照合同约定提前通知乙方，给予乙方充足备货期。</w:t>
      </w:r>
    </w:p>
    <w:p w14:paraId="3319E884">
      <w:pPr>
        <w:pStyle w:val="14"/>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2.2配合材料卸货：</w:t>
      </w:r>
      <w:r>
        <w:rPr>
          <w:rFonts w:hint="eastAsia" w:ascii="仿宋_GB2312" w:hAnsi="仿宋_GB2312" w:eastAsia="仿宋_GB2312" w:cs="仿宋_GB2312"/>
          <w:color w:val="000000" w:themeColor="text1"/>
          <w14:textFill>
            <w14:solidFill>
              <w14:schemeClr w14:val="tx1"/>
            </w14:solidFill>
          </w14:textFill>
        </w:rPr>
        <w:t>乙方在材料运抵交货前2天通知甲方，甲方应在验收合格后，提供堆放场地或堆放仓库，配合乙方材料卸货。</w:t>
      </w:r>
    </w:p>
    <w:p w14:paraId="5CD42441">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94" w:name="_Toc1717"/>
      <w:bookmarkStart w:id="95" w:name="_Toc965"/>
      <w:bookmarkStart w:id="96" w:name="_Toc13486"/>
      <w:r>
        <w:rPr>
          <w:rFonts w:hint="eastAsia" w:ascii="仿宋_GB2312" w:hAnsi="仿宋_GB2312" w:eastAsia="仿宋_GB2312" w:cs="仿宋_GB2312"/>
          <w:b/>
          <w:bCs/>
          <w:color w:val="000000" w:themeColor="text1"/>
          <w14:textFill>
            <w14:solidFill>
              <w14:schemeClr w14:val="tx1"/>
            </w14:solidFill>
          </w14:textFill>
        </w:rPr>
        <w:t>货物违约责任</w:t>
      </w:r>
      <w:bookmarkEnd w:id="94"/>
      <w:bookmarkEnd w:id="95"/>
      <w:bookmarkEnd w:id="96"/>
    </w:p>
    <w:p w14:paraId="212CCE68">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未按计划时间供应：</w:t>
      </w:r>
    </w:p>
    <w:p w14:paraId="06B1601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乙方未能按本合同第三条款中书面计划的要求供应材料，若因非甲方原因致使延期供货的次数超过</w:t>
      </w:r>
      <w:r>
        <w:rPr>
          <w:rFonts w:hint="eastAsia" w:ascii="仿宋_GB2312" w:hAnsi="仿宋_GB2312" w:eastAsia="仿宋_GB2312" w:cs="仿宋_GB2312"/>
          <w:color w:val="000000" w:themeColor="text1"/>
          <w:u w:val="single"/>
          <w14:textFill>
            <w14:solidFill>
              <w14:schemeClr w14:val="tx1"/>
            </w14:solidFill>
          </w14:textFill>
        </w:rPr>
        <w:t xml:space="preserve"> 2 次</w:t>
      </w:r>
      <w:r>
        <w:rPr>
          <w:rFonts w:hint="eastAsia" w:ascii="仿宋_GB2312" w:hAnsi="仿宋_GB2312" w:eastAsia="仿宋_GB2312" w:cs="仿宋_GB2312"/>
          <w:color w:val="000000" w:themeColor="text1"/>
          <w14:textFill>
            <w14:solidFill>
              <w14:schemeClr w14:val="tx1"/>
            </w14:solidFill>
          </w14:textFill>
        </w:rPr>
        <w:t>，乙方须向甲方支付违约金，</w:t>
      </w:r>
      <w:r>
        <w:rPr>
          <w:rFonts w:hint="eastAsia" w:ascii="仿宋_GB2312" w:hAnsi="仿宋_GB2312" w:eastAsia="仿宋_GB2312" w:cs="仿宋_GB2312"/>
          <w:b/>
          <w:bCs/>
          <w:color w:val="000000" w:themeColor="text1"/>
          <w14:textFill>
            <w14:solidFill>
              <w14:schemeClr w14:val="tx1"/>
            </w14:solidFill>
          </w14:textFill>
        </w:rPr>
        <w:t>违约金按照5000元每次计，且除违约金外乙方必须承担甲方项目实际工期损失及经济损失。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乙方延迟交付超</w:t>
      </w:r>
      <w:r>
        <w:rPr>
          <w:rFonts w:hint="eastAsia" w:ascii="仿宋_GB2312" w:hAnsi="仿宋_GB2312" w:eastAsia="仿宋_GB2312" w:cs="仿宋_GB2312"/>
          <w:color w:val="000000" w:themeColor="text1"/>
          <w:u w:val="single"/>
          <w14:textFill>
            <w14:solidFill>
              <w14:schemeClr w14:val="tx1"/>
            </w14:solidFill>
          </w14:textFill>
        </w:rPr>
        <w:t xml:space="preserve"> 7 </w:t>
      </w:r>
      <w:r>
        <w:rPr>
          <w:rFonts w:hint="eastAsia" w:ascii="仿宋_GB2312" w:hAnsi="仿宋_GB2312" w:eastAsia="仿宋_GB2312" w:cs="仿宋_GB2312"/>
          <w:color w:val="000000" w:themeColor="text1"/>
          <w14:textFill>
            <w14:solidFill>
              <w14:schemeClr w14:val="tx1"/>
            </w14:solidFill>
          </w14:textFill>
        </w:rPr>
        <w:t>日的，甲方有权单方解除本合同。</w:t>
      </w:r>
    </w:p>
    <w:p w14:paraId="6679218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乙方应全力保障项目的供应，因乙方资源组织问题引起的供应困难，乙方不能或不愿解决的，甲方可寻找其他供应单位代为解决，因此引起的甲方成本增加等相关费用在结算中扣除。</w:t>
      </w:r>
    </w:p>
    <w:p w14:paraId="577FAA4A">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未按指定地点或方式供应：</w:t>
      </w:r>
    </w:p>
    <w:p w14:paraId="7F6CED77">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乙方不能按本合同约定地点、方式供货的，甲方有权要求乙方按照合同履行，乙方应按甲方要求立即组织更换或完善不符合的条件及要求，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否则按照5000元每次承担违约金，且除违约金外乙方必须承担甲方项目实际工期损失及经济损失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06D93D51">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不符合约定货物质量标准：</w:t>
      </w:r>
    </w:p>
    <w:p w14:paraId="58FD0EFF">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3.1乙方货物不符合本合同约定的质量标准的，甲方有权要求乙方继续履行合同，乙方应按甲方要求立即组织更换或完善不符合的条件及要求，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7015FF9D">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3.2乙方以任何欺骗、舞弊、盗窃等手段致使交付的货物存在质量或数量瑕疵的，除赔偿甲方对应货物的货款外，</w:t>
      </w:r>
      <w:r>
        <w:rPr>
          <w:rFonts w:hint="eastAsia" w:ascii="仿宋_GB2312" w:hAnsi="仿宋_GB2312" w:eastAsia="仿宋_GB2312" w:cs="仿宋_GB2312"/>
          <w:b/>
          <w:bCs/>
          <w:color w:val="000000" w:themeColor="text1"/>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w:t>
      </w:r>
    </w:p>
    <w:p w14:paraId="7619A304">
      <w:pPr>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3.3如果由于物资质量问题，引起工程事故，导致甲方人员或财产损失的，乙方应承担相应的法律责任和经济责任，因此所导致的一切损失由乙方承担，该责任不因合同的终止而减小或解除。</w:t>
      </w:r>
    </w:p>
    <w:p w14:paraId="1E26FC58">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未履行开具增值税发票义务：</w:t>
      </w:r>
    </w:p>
    <w:p w14:paraId="7D9C5679">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乙方存在下列情形之一的，甲方有权单方解除合同，并有权直接从乙方应付款项中双倍扣除甲方未能抵扣的税金（扣除金额=不含税结算金额×</w:t>
      </w:r>
      <w:permStart w:id="99" w:edGrp="everyone"/>
      <w:r>
        <w:rPr>
          <w:rFonts w:hint="eastAsia" w:ascii="仿宋_GB2312" w:hAnsi="仿宋_GB2312" w:eastAsia="仿宋_GB2312" w:cs="仿宋_GB2312"/>
          <w:color w:val="000000" w:themeColor="text1"/>
          <w:u w:val="single"/>
          <w14:textFill>
            <w14:solidFill>
              <w14:schemeClr w14:val="tx1"/>
            </w14:solidFill>
          </w14:textFill>
        </w:rPr>
        <w:t xml:space="preserve"> 13 </w:t>
      </w:r>
      <w:permEnd w:id="99"/>
      <w:r>
        <w:rPr>
          <w:rFonts w:hint="eastAsia" w:ascii="仿宋_GB2312" w:hAnsi="仿宋_GB2312" w:eastAsia="仿宋_GB2312" w:cs="仿宋_GB2312"/>
          <w:color w:val="000000" w:themeColor="text1"/>
          <w14:textFill>
            <w14:solidFill>
              <w14:schemeClr w14:val="tx1"/>
            </w14:solidFill>
          </w14:textFill>
        </w:rPr>
        <w:t>％增值税税率×2）作为违约金：</w:t>
      </w:r>
    </w:p>
    <w:p w14:paraId="02A0FBEA">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4.1不具有开具增值税专用发票的纳税人资格。</w:t>
      </w:r>
    </w:p>
    <w:p w14:paraId="3675427C">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4.2未能按本合同约定的税率开具增值税专用发票。</w:t>
      </w:r>
    </w:p>
    <w:p w14:paraId="750FCB95">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4.3提供的增值税专用发票是乙方以外的主体开具。</w:t>
      </w:r>
    </w:p>
    <w:p w14:paraId="57BCEDB3">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4.4拖欠增值税专用发票金额累计达100万元以上。</w:t>
      </w:r>
    </w:p>
    <w:p w14:paraId="0C52BC4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4.5如乙方未在税务机关要求的期限内缴纳税款，导致甲方无法抵扣进项税的，甲方有权拒绝付款，如已经支付的，甲方有权追回已支付的款项，并要求乙方支付违约金或赔偿损失。 </w:t>
      </w:r>
    </w:p>
    <w:p w14:paraId="6DF6917E">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4.6提供伪造的增值税专用发票。</w:t>
      </w:r>
    </w:p>
    <w:p w14:paraId="5DADBD6E">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4.7虚开增值税专用发票。</w:t>
      </w:r>
    </w:p>
    <w:p w14:paraId="0184C880">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4.8其它导致甲方无法进行增值税抵扣的情形。</w:t>
      </w:r>
    </w:p>
    <w:p w14:paraId="5098BA0F">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乙方存在以上情形的，除承担相应违约责任外，还应赔偿甲方因此所受损失，同时不免除乙方开具合法合规增值税专用发票的义务。</w:t>
      </w:r>
    </w:p>
    <w:p w14:paraId="3033EC32">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若乙方开具或提供的增值税专用发票发生本条第4款情形超过3次的或给甲方造成重大损失的，则乙方除按本款前述约定承担责任外，甲方有权单方解除本合同。</w:t>
      </w:r>
    </w:p>
    <w:p w14:paraId="730B0AEA">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未履行安全责任及义务：</w:t>
      </w:r>
    </w:p>
    <w:p w14:paraId="777AC5BF">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5.1乙方不能满足甲方有关安全文明施工措施、环境和职业健康安全方面的要求时，乙方按照项目实际工期损失、经济损失承担违约金。</w:t>
      </w:r>
    </w:p>
    <w:p w14:paraId="3D03B1A2">
      <w:pPr>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5.2由于乙方原因造成甲方人员人身伤害，乙方应立即采取补救措施，并全额赔偿甲方相关人员损失。</w:t>
      </w:r>
    </w:p>
    <w:p w14:paraId="4ECA38B6">
      <w:pPr>
        <w:pStyle w:val="14"/>
        <w:numPr>
          <w:ilvl w:val="0"/>
          <w:numId w:val="9"/>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未经同意转让权利及义务：</w:t>
      </w:r>
    </w:p>
    <w:p w14:paraId="2D5E989E">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不可撤销地承诺：对于乙方基于本合同及相关补充协议、结算文件等所产生的对甲方的任何到期或未到期债权，乙方不得将该等债权全部或部分转让给任何第三方，亦不得将该等债权用于对外提供抵押、质押、保证或其他任何形式的担保。 </w:t>
      </w:r>
    </w:p>
    <w:p w14:paraId="0FC3E3D8">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乙方违反上述承诺的，应向甲方支付转让或担保债权总额 5%的违约金；若因此给甲方造成损失（包括但不限于诉讼费、律师费、执行费、保全费、差旅费、赔偿金等），违约金不足以弥补的，乙方仍应予以全额赔偿。 </w:t>
      </w:r>
    </w:p>
    <w:p w14:paraId="760301ED">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若乙方怠于向其下游采购商、供应商等支付款项，且配合、协助、默许或以其他方式导致下游方向甲方提起代位权诉讼、仲裁、财产保全、强制执行或其他权利主张的，甲方有权要求乙方按代位权主张标的额的 5%支付违约金；乙方并应承担甲方因此支出的全部费用及损失，且甲方有权暂停付款、暂缓结算直至相关争议完全解决。</w:t>
      </w:r>
    </w:p>
    <w:p w14:paraId="4FE1A6C4">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bookmarkStart w:id="97" w:name="_Hlk126834115"/>
      <w:bookmarkStart w:id="98" w:name="_Hlk127191104"/>
      <w:r>
        <w:rPr>
          <w:rFonts w:hint="eastAsia" w:ascii="仿宋_GB2312" w:hAnsi="仿宋_GB2312" w:eastAsia="仿宋_GB2312" w:cs="仿宋_GB2312"/>
          <w:b/>
          <w:bCs/>
          <w:color w:val="000000" w:themeColor="text1"/>
          <w14:textFill>
            <w14:solidFill>
              <w14:schemeClr w14:val="tx1"/>
            </w14:solidFill>
          </w14:textFill>
        </w:rPr>
        <w:t>7、</w:t>
      </w:r>
      <w:bookmarkStart w:id="99" w:name="_Hlk126829881"/>
      <w:r>
        <w:rPr>
          <w:rFonts w:hint="eastAsia" w:ascii="仿宋_GB2312" w:hAnsi="仿宋_GB2312" w:eastAsia="仿宋_GB2312" w:cs="仿宋_GB2312"/>
          <w:b/>
          <w:bCs/>
          <w:color w:val="000000" w:themeColor="text1"/>
          <w14:textFill>
            <w14:solidFill>
              <w14:schemeClr w14:val="tx1"/>
            </w14:solidFill>
          </w14:textFill>
        </w:rPr>
        <w:t>未履行结算义务：</w:t>
      </w:r>
    </w:p>
    <w:p w14:paraId="74E5E257">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若发现乙方存在以下行为，视为违约并处以相应的罚款，在当期结算款中扣除（当期结算款额度不够的在下期结算款中扣除），并保留追究相应责任的权利。</w:t>
      </w:r>
    </w:p>
    <w:p w14:paraId="07E59630">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（1）伪造或虚开货款数据，一经发现处以罚款2万元/次。</w:t>
      </w:r>
    </w:p>
    <w:p w14:paraId="3B2570D9">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（2）伪造甲方管理人员签字盖章，一经发现处以罚款5万元/次。</w:t>
      </w:r>
    </w:p>
    <w:p w14:paraId="6BD90A7B">
      <w:pPr>
        <w:pStyle w:val="14"/>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（3）伪造结算书或其他结算相关材料，一经发现处以罚款10万元/次</w:t>
      </w:r>
      <w:bookmarkEnd w:id="97"/>
      <w:r>
        <w:rPr>
          <w:rFonts w:hint="eastAsia" w:ascii="仿宋_GB2312" w:hAnsi="仿宋_GB2312" w:eastAsia="仿宋_GB2312" w:cs="仿宋_GB2312"/>
          <w:color w:val="000000" w:themeColor="text1"/>
          <w14:textFill>
            <w14:solidFill>
              <w14:schemeClr w14:val="tx1"/>
            </w14:solidFill>
          </w14:textFill>
        </w:rPr>
        <w:t>。</w:t>
      </w:r>
      <w:bookmarkEnd w:id="98"/>
      <w:bookmarkEnd w:id="99"/>
    </w:p>
    <w:p w14:paraId="3A484F45">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bookmarkStart w:id="100" w:name="_Toc19191"/>
      <w:bookmarkStart w:id="101" w:name="_Toc20335"/>
      <w:bookmarkStart w:id="102" w:name="_Toc11521"/>
      <w:r>
        <w:rPr>
          <w:rFonts w:hint="eastAsia" w:ascii="仿宋_GB2312" w:hAnsi="仿宋_GB2312" w:eastAsia="仿宋_GB2312" w:cs="仿宋_GB2312"/>
          <w:b/>
          <w:bCs/>
          <w:color w:val="000000" w:themeColor="text1"/>
          <w14:textFill>
            <w14:solidFill>
              <w14:schemeClr w14:val="tx1"/>
            </w14:solidFill>
          </w14:textFill>
        </w:rPr>
        <w:t>8、供货知识产权存在瑕疵：</w:t>
      </w:r>
    </w:p>
    <w:p w14:paraId="7ADA55FC">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提供物资侵犯他人知识产权（或专利权）导致他人向甲方索赔的，乙方承担由此给甲方造成的一切损失，包括但不限于甲方处理此纠纷发生的律师费、诉讼费、差旅费等一切损失。此外，乙方应向甲方支付合同价款20％的违约金。甲方针对上述一切损失有权从乙方结算货款中扣除或依法追索。</w:t>
      </w:r>
    </w:p>
    <w:p w14:paraId="5272EA59">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9、私运项目物资</w:t>
      </w:r>
    </w:p>
    <w:p w14:paraId="029206B1">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若乙方私自运送甲方现场物资出场，乙方需向甲方支付所涉及物资原值【2】倍的违约金，情节严重的交由司法机关处理。</w:t>
      </w:r>
    </w:p>
    <w:p w14:paraId="6DB5A809">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10、未履行本协议约定义务：</w:t>
      </w:r>
    </w:p>
    <w:p w14:paraId="1C8196E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乙方不履行本协议约定义务或中途终止履行合同（符合本合同约定的调价和合同解除条件除外）的，乙方按照项目实际工期损失、经济损失承担违约金。</w:t>
      </w:r>
    </w:p>
    <w:p w14:paraId="09EBB909">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11、违约后的处置方式：</w:t>
      </w:r>
    </w:p>
    <w:p w14:paraId="277D52F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乙方违约后，甲方有权直接从乙方结算款或应付款中扣除违约金；甲方决定合同继续履行的，乙方除承担上述违约责任，仍应继续履行合同。</w:t>
      </w:r>
    </w:p>
    <w:p w14:paraId="34E5A882">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货物缺陷索赔</w:t>
      </w:r>
      <w:bookmarkEnd w:id="100"/>
      <w:bookmarkEnd w:id="101"/>
      <w:bookmarkEnd w:id="102"/>
    </w:p>
    <w:p w14:paraId="2CEF4C0F">
      <w:pPr>
        <w:pStyle w:val="15"/>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1、质量缺陷索赔：</w:t>
      </w:r>
      <w:r>
        <w:rPr>
          <w:rFonts w:hint="eastAsia" w:ascii="仿宋_GB2312" w:hAnsi="仿宋_GB2312" w:eastAsia="仿宋_GB2312" w:cs="仿宋_GB2312"/>
          <w:color w:val="000000" w:themeColor="text1"/>
          <w:sz w:val="24"/>
          <w14:textFill>
            <w14:solidFill>
              <w14:schemeClr w14:val="tx1"/>
            </w14:solidFill>
          </w14:textFill>
        </w:rPr>
        <w:t>如甲方在各阶段的检验过程中发现货物不合格现象，可选择更换货物或提出索赔。若选择索赔，甲方有权邀请当地有关质量监督管理部门或其他鉴定机构进行检验，并出具检验证书，可以据此向乙方提出索赔。</w:t>
      </w:r>
    </w:p>
    <w:p w14:paraId="00D3E23E">
      <w:pPr>
        <w:pStyle w:val="15"/>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2、缺陷索赔解决方式：</w:t>
      </w:r>
      <w:r>
        <w:rPr>
          <w:rFonts w:hint="eastAsia" w:ascii="仿宋_GB2312" w:hAnsi="仿宋_GB2312" w:eastAsia="仿宋_GB2312" w:cs="仿宋_GB2312"/>
          <w:color w:val="000000" w:themeColor="text1"/>
          <w:sz w:val="24"/>
          <w14:textFill>
            <w14:solidFill>
              <w14:schemeClr w14:val="tx1"/>
            </w14:solidFill>
          </w14:textFill>
        </w:rPr>
        <w:t>对甲方在规定的检验、安装、调试和验收测试期限内和质量保修期内发现缺陷提出的索赔，乙方应按甲方同意的下述一种或多种方法解决索赔事宜：</w:t>
      </w:r>
    </w:p>
    <w:p w14:paraId="67D2728B">
      <w:pPr>
        <w:pStyle w:val="15"/>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2.1乙方同意甲方部分或全部退货并把退货部分金额以合同规定的同类货币退还给甲方。乙方负担退货过程中发生的一切损失和费用，包括利息、银行费用、运输和保险费、检验费、仓储和装卸费以及为保管和保护退还货物所发生的其它必要费用，包括但不限于工期延误损失导致业主向甲方的索赔等。</w:t>
      </w:r>
    </w:p>
    <w:p w14:paraId="1B93F00F">
      <w:pPr>
        <w:pStyle w:val="15"/>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2.2根据货物的质量缺陷和受损程度以及甲方遭受损失的程度，经双方协商同意降低货物价格。</w:t>
      </w:r>
    </w:p>
    <w:p w14:paraId="5C875D2D">
      <w:pPr>
        <w:pStyle w:val="15"/>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2.3更换有缺陷的部分货物、零件、部件和设备，或修理缺陷部分，以达到合同规定的规格、质量和性能，乙方承担一切费用和风险，并负担甲方遭受的损失。</w:t>
      </w:r>
    </w:p>
    <w:p w14:paraId="5190A48F">
      <w:pPr>
        <w:pStyle w:val="15"/>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3、缺陷索赔程序：如果甲方提出索赔通知后7日内乙方未予以答复，该索赔应视为已被乙方接受。</w:t>
      </w:r>
      <w:r>
        <w:rPr>
          <w:rFonts w:hint="eastAsia" w:ascii="仿宋_GB2312" w:hAnsi="仿宋_GB2312" w:eastAsia="仿宋_GB2312" w:cs="仿宋_GB2312"/>
          <w:color w:val="000000" w:themeColor="text1"/>
          <w:sz w:val="24"/>
          <w14:textFill>
            <w14:solidFill>
              <w14:schemeClr w14:val="tx1"/>
            </w14:solidFill>
          </w14:textFill>
        </w:rPr>
        <w:t>若乙方未能在甲方提出索赔通知的合理时限（7日内）或甲方同意的延长期限内，按甲方同意的上述任何一种方式处理索赔事宜</w:t>
      </w:r>
      <w:r>
        <w:rPr>
          <w:rFonts w:hint="eastAsia" w:ascii="仿宋_GB2312" w:hAnsi="仿宋_GB2312" w:eastAsia="仿宋_GB2312" w:cs="仿宋_GB2312"/>
          <w:b/>
          <w:bCs/>
          <w:color w:val="000000" w:themeColor="text1"/>
          <w:sz w:val="24"/>
          <w14:textFill>
            <w14:solidFill>
              <w14:schemeClr w14:val="tx1"/>
            </w14:solidFill>
          </w14:textFill>
        </w:rPr>
        <w:t>，甲方有权从乙方货款中扣除索赔金额，不足部分，甲方有权向乙方追偿。</w:t>
      </w:r>
    </w:p>
    <w:p w14:paraId="6280FFB0">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4、其他缺陷索赔：</w:t>
      </w:r>
      <w:r>
        <w:rPr>
          <w:rFonts w:hint="eastAsia" w:ascii="仿宋_GB2312" w:hAnsi="仿宋_GB2312" w:eastAsia="仿宋_GB2312" w:cs="仿宋_GB2312"/>
          <w:color w:val="000000" w:themeColor="text1"/>
          <w14:textFill>
            <w14:solidFill>
              <w14:schemeClr w14:val="tx1"/>
            </w14:solidFill>
          </w14:textFill>
        </w:rPr>
        <w:t>对于甲方提出的非质量缺陷的其他索赔通知，参照适用缺陷索赔规则。</w:t>
      </w:r>
    </w:p>
    <w:p w14:paraId="5D3B8E95">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03" w:name="_Toc12864"/>
      <w:bookmarkStart w:id="104" w:name="_Toc13562"/>
      <w:bookmarkStart w:id="105" w:name="_Toc13471"/>
      <w:r>
        <w:rPr>
          <w:rFonts w:hint="eastAsia" w:ascii="仿宋_GB2312" w:hAnsi="仿宋_GB2312" w:eastAsia="仿宋_GB2312" w:cs="仿宋_GB2312"/>
          <w:b/>
          <w:bCs/>
          <w:color w:val="000000" w:themeColor="text1"/>
          <w14:textFill>
            <w14:solidFill>
              <w14:schemeClr w14:val="tx1"/>
            </w14:solidFill>
          </w14:textFill>
        </w:rPr>
        <w:t>合同变更</w:t>
      </w:r>
      <w:bookmarkEnd w:id="103"/>
      <w:bookmarkEnd w:id="104"/>
      <w:bookmarkEnd w:id="105"/>
    </w:p>
    <w:p w14:paraId="5E2D2193">
      <w:pPr>
        <w:pStyle w:val="14"/>
        <w:numPr>
          <w:ilvl w:val="0"/>
          <w:numId w:val="10"/>
        </w:numPr>
        <w:spacing w:line="400" w:lineRule="atLeast"/>
        <w:ind w:firstLine="480" w:firstLineChars="200"/>
        <w:jc w:val="both"/>
        <w:rPr>
          <w:szCs w:val="21"/>
        </w:rPr>
      </w:pPr>
      <w:r>
        <w:rPr>
          <w:rFonts w:hint="eastAsia" w:ascii="仿宋_GB2312" w:hAnsi="仿宋_GB2312" w:eastAsia="仿宋_GB2312" w:cs="仿宋_GB2312"/>
          <w:color w:val="000000" w:themeColor="text1"/>
          <w14:textFill>
            <w14:solidFill>
              <w14:schemeClr w14:val="tx1"/>
            </w14:solidFill>
          </w14:textFill>
        </w:rPr>
        <w:t>经双方协商一致可以对本合同条款进行修改、变更或增减，并成为本合同的补充文件</w:t>
      </w:r>
      <w:r>
        <w:rPr>
          <w:rFonts w:hint="eastAsia" w:ascii="仿宋_GB2312" w:hAnsi="仿宋_GB2312" w:eastAsia="仿宋_GB2312" w:cs="仿宋_GB2312"/>
          <w:b/>
          <w:bCs/>
          <w:color w:val="000000" w:themeColor="text1"/>
          <w14:textFill>
            <w14:solidFill>
              <w14:schemeClr w14:val="tx1"/>
            </w14:solidFill>
          </w14:textFill>
        </w:rPr>
        <w:t>，此类补充文件需按本合同约定的生效条件加盖与本合同相同的印章才可视为成立并生效，具有同等法律效力。</w:t>
      </w:r>
    </w:p>
    <w:p w14:paraId="103FD69D">
      <w:pPr>
        <w:pStyle w:val="14"/>
        <w:numPr>
          <w:ilvl w:val="0"/>
          <w:numId w:val="10"/>
        </w:numPr>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bookmarkStart w:id="106" w:name="_Toc29083"/>
      <w:bookmarkStart w:id="107" w:name="_Toc23441"/>
      <w:bookmarkStart w:id="108" w:name="_Toc28560"/>
      <w:r>
        <w:rPr>
          <w:rFonts w:hint="eastAsia" w:ascii="仿宋_GB2312" w:hAnsi="仿宋_GB2312" w:eastAsia="仿宋_GB2312" w:cs="仿宋_GB2312"/>
          <w:color w:val="000000" w:themeColor="text1"/>
          <w14:textFill>
            <w14:solidFill>
              <w14:schemeClr w14:val="tx1"/>
            </w14:solidFill>
          </w14:textFill>
        </w:rPr>
        <w:t>当乙方所供物资超出</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合同交易物的金额不超过原合同金额的10%（含），正常办理结算；</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合同交易物的金额超过原合同金额的10%但不超过30%（含），甲乙双方签订补充协议；</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合同交易物的金额超过原合同金额的30%，则对原合同外的物资重新组织采购。</w:t>
      </w:r>
    </w:p>
    <w:p w14:paraId="5A26C8A3">
      <w:pPr>
        <w:pStyle w:val="14"/>
        <w:numPr>
          <w:ilvl w:val="0"/>
          <w:numId w:val="10"/>
        </w:numPr>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工程建设单位、监理单位及相关部门出台的相关规定文件、市场准入制度造成合同不能执行，甲方不承担任何责任。</w:t>
      </w:r>
    </w:p>
    <w:p w14:paraId="591A118D">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合同解除</w:t>
      </w:r>
      <w:bookmarkEnd w:id="106"/>
      <w:bookmarkEnd w:id="107"/>
      <w:bookmarkEnd w:id="108"/>
    </w:p>
    <w:p w14:paraId="5349BCFA">
      <w:pPr>
        <w:pStyle w:val="14"/>
        <w:numPr>
          <w:ilvl w:val="0"/>
          <w:numId w:val="11"/>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bookmarkStart w:id="109" w:name="_Hlk126831282"/>
      <w:r>
        <w:rPr>
          <w:rFonts w:hint="eastAsia" w:ascii="仿宋_GB2312" w:hAnsi="仿宋_GB2312" w:eastAsia="仿宋_GB2312" w:cs="仿宋_GB2312"/>
          <w:color w:val="000000" w:themeColor="text1"/>
          <w14:textFill>
            <w14:solidFill>
              <w14:schemeClr w14:val="tx1"/>
            </w14:solidFill>
          </w14:textFill>
        </w:rPr>
        <w:t>因不可抗力致使不能实现合同目的等原因，经甲、乙双方协商一致同意可解除合同。</w:t>
      </w:r>
    </w:p>
    <w:p w14:paraId="2C298919">
      <w:pPr>
        <w:pStyle w:val="14"/>
        <w:numPr>
          <w:ilvl w:val="0"/>
          <w:numId w:val="11"/>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如甲方与业主签订的总承包合同解除或终止，或因业主变更导致甲方无需采购约定材料，则甲方以书面形式通知乙方终止本合同。</w:t>
      </w:r>
    </w:p>
    <w:p w14:paraId="21068A7B">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3、乙方具有下列事由之一的，甲方可以单方全部解除合同或部分解除合同或终止合同，乙方已收款项全部无条件返还：</w:t>
      </w:r>
    </w:p>
    <w:p w14:paraId="10BCB68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3.1乙方所提供的产品无法通过相关部门（如质监、监理、设计方、甲方及当地相关政府部门等）验收合格；</w:t>
      </w:r>
    </w:p>
    <w:p w14:paraId="6AB29D94">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3.2在产品使用后发生因产品质量问题造成人员、财产受到损害的；</w:t>
      </w:r>
    </w:p>
    <w:p w14:paraId="3A5BAA36">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3.3乙方将本合同项下权利义务全部或部分转让的；</w:t>
      </w:r>
    </w:p>
    <w:p w14:paraId="5980E96F">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3.4未按本合同约定时间交货累计延误达10日历天；</w:t>
      </w:r>
    </w:p>
    <w:p w14:paraId="1512032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3.5因产品质量未达到本合同专用条款第四条技术标准及质量要求和国家、地方政府相关部门的相关规范和要求，在甲方要求时间内无法更换或补充至甲方要求；</w:t>
      </w:r>
    </w:p>
    <w:p w14:paraId="08404005">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3.6甲方发现产品不能满足本合同约定的质量标准时，或在本合同履行过程中，乙方未按甲方的要求及时进行整改的；</w:t>
      </w:r>
    </w:p>
    <w:p w14:paraId="2D5E9EA5">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3.7在本合同履行过程中乙方漠视甲方、设计方指令的或未按甲方、设计方指令执行的；</w:t>
      </w:r>
    </w:p>
    <w:p w14:paraId="4565953B">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3.9其他法律规定可解除合同的事由。</w:t>
      </w:r>
    </w:p>
    <w:p w14:paraId="675BD6B1">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发生上述事项，甲方将解除或终止合同的意思表示（书面或传真）通知乙方后合同解除或终止。合同解除后乙方仍应承担上述因乙方原因而产生的违约金和因此给甲方造成的全部直接和间接经济损失。乙方在收到解除或终止合同的通知后应无条件配合甲方处理善后事宜。</w:t>
      </w:r>
    </w:p>
    <w:p w14:paraId="7D1D345C">
      <w:pPr>
        <w:pStyle w:val="14"/>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4、合同解除或终止后，乙方应当积极配合甲方及时办理合同结算及支付手续，否则甲方有权单方办理结算，视为乙方认可甲方审定的结算额</w:t>
      </w:r>
      <w:bookmarkEnd w:id="109"/>
      <w:r>
        <w:rPr>
          <w:rFonts w:hint="eastAsia" w:ascii="仿宋_GB2312" w:hAnsi="仿宋_GB2312" w:eastAsia="仿宋_GB2312" w:cs="仿宋_GB2312"/>
          <w:b/>
          <w:bCs/>
          <w:color w:val="000000" w:themeColor="text1"/>
          <w14:textFill>
            <w14:solidFill>
              <w14:schemeClr w14:val="tx1"/>
            </w14:solidFill>
          </w14:textFill>
        </w:rPr>
        <w:t>。</w:t>
      </w:r>
    </w:p>
    <w:p w14:paraId="63EE95BA">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10" w:name="_Toc24603"/>
      <w:bookmarkStart w:id="111" w:name="_Toc16580"/>
      <w:bookmarkStart w:id="112" w:name="_Toc17777"/>
      <w:r>
        <w:rPr>
          <w:rFonts w:hint="eastAsia" w:ascii="仿宋_GB2312" w:hAnsi="仿宋_GB2312" w:eastAsia="仿宋_GB2312" w:cs="仿宋_GB2312"/>
          <w:b/>
          <w:bCs/>
          <w:color w:val="000000" w:themeColor="text1"/>
          <w14:textFill>
            <w14:solidFill>
              <w14:schemeClr w14:val="tx1"/>
            </w14:solidFill>
          </w14:textFill>
        </w:rPr>
        <w:t>不可抗力</w:t>
      </w:r>
      <w:bookmarkEnd w:id="110"/>
      <w:bookmarkEnd w:id="111"/>
      <w:bookmarkEnd w:id="112"/>
    </w:p>
    <w:p w14:paraId="307AFA09">
      <w:pPr>
        <w:pStyle w:val="14"/>
        <w:numPr>
          <w:ilvl w:val="0"/>
          <w:numId w:val="12"/>
        </w:numPr>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不可抗力的确认和通知</w:t>
      </w:r>
    </w:p>
    <w:p w14:paraId="1102347A">
      <w:pPr>
        <w:pStyle w:val="14"/>
        <w:numPr>
          <w:ilvl w:val="255"/>
          <w:numId w:val="0"/>
        </w:numPr>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lang w:eastAsia="zh-Hans"/>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不可抗力是指合同当事人在签订合同时不可预见，在合同履行过程中不可避免且不能克服的自然灾害和社会性突发事件，如地震、海啸、火灾、特大风雪、连续暴雨、特大降水、洪水等自然灾害，瘟疫、骚乱、戒严、暴动、战争、爆发性传染疾病、雾霾停工及其它通知的政府行为。合同一方当事人遇到不可抗力事件，使其履行合同义务受到阻碍时，应立即通知合同另一方当事人，书面说明不可抗力和受阻碍的详细情况，并提供必要的证明。</w:t>
      </w:r>
    </w:p>
    <w:p w14:paraId="79D14840">
      <w:pPr>
        <w:pStyle w:val="14"/>
        <w:numPr>
          <w:ilvl w:val="0"/>
          <w:numId w:val="12"/>
        </w:numPr>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不可抗力的通知</w:t>
      </w:r>
    </w:p>
    <w:p w14:paraId="75CF36BB">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 不可抗力事件发生后，乙方应立即通知甲方，并在力所能及的条件下迅速采取措施，尽力减少损失，甲方应协助乙方采取措施。若因乙方未能尽力挽救，导致损失扩大的，由乙方承担全部责任。</w:t>
      </w:r>
    </w:p>
    <w:p w14:paraId="3B61B9D3">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 不可抗力事件结束后14天内，乙方应向甲方提交清理和修复费用的正式报告及有关资料。</w:t>
      </w:r>
    </w:p>
    <w:p w14:paraId="755DD98F">
      <w:pPr>
        <w:pStyle w:val="14"/>
        <w:numPr>
          <w:ilvl w:val="0"/>
          <w:numId w:val="1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不可抗力风险的承担</w:t>
      </w:r>
    </w:p>
    <w:p w14:paraId="7D5A4FC9">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 不可抗力导致的人员伤亡、财产损失、费用增加和（或）作业期限延误等后果，由合同当事人按以下原则承担：</w:t>
      </w:r>
    </w:p>
    <w:p w14:paraId="7A2B7AD7">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（1）乙方施工设备的损坏由乙方承担；</w:t>
      </w:r>
    </w:p>
    <w:p w14:paraId="6426799B">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（2）甲方和乙方承担各自人员伤亡和财产的损失；</w:t>
      </w:r>
    </w:p>
    <w:p w14:paraId="3D84F6E5">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（3）因不可抗力影响乙方履行合同约定的义务，已经引起或将引起工期延误的，应当顺延工期，由此导致乙方停工的费用损失由乙方承担；</w:t>
      </w:r>
    </w:p>
    <w:p w14:paraId="247ED12E">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（4）因不可抗力引起或将引起工期延误，甲方要求赶工的，由此增加的赶工费用由甲方承担；</w:t>
      </w:r>
    </w:p>
    <w:p w14:paraId="1180EB2E">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（5）乙方在停工期间按照甲方要求照管和清理甲方工程的费用由甲方承担。</w:t>
      </w:r>
    </w:p>
    <w:p w14:paraId="21CEABD3">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不可抗力发生后，合同当事人均应采取措施尽量避免和减少损失的扩大，任何一方当事人没有采取有效措施导致损失扩大的，应对扩大的损失承担责任。</w:t>
      </w:r>
    </w:p>
    <w:p w14:paraId="3C150C43">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 因合同一方迟延履行合同义务，在迟延履行期间遭遇不可抗力的，不免除其违约责任。</w:t>
      </w:r>
    </w:p>
    <w:p w14:paraId="20F9C8A9">
      <w:pPr>
        <w:pStyle w:val="14"/>
        <w:numPr>
          <w:ilvl w:val="0"/>
          <w:numId w:val="1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因不可抗力解除合同</w:t>
      </w:r>
    </w:p>
    <w:p w14:paraId="4D5DDDB0">
      <w:pPr>
        <w:pStyle w:val="14"/>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因不可抗力导致本合同无法履行连续超过84天或累计超过140天的，甲方和乙方均有权解除本合同。本合同解除后，甲方有权暂停对乙方的付款，直到双方就退场达成一致。</w:t>
      </w:r>
    </w:p>
    <w:p w14:paraId="15DC0D80">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yellow"/>
          <w14:textFill>
            <w14:solidFill>
              <w14:schemeClr w14:val="tx1"/>
            </w14:solidFill>
          </w14:textFill>
        </w:rPr>
      </w:pPr>
      <w:bookmarkStart w:id="113" w:name="_Toc18501"/>
      <w:bookmarkStart w:id="114" w:name="_Toc10852"/>
      <w:bookmarkStart w:id="115" w:name="_Toc9310"/>
      <w:r>
        <w:rPr>
          <w:rFonts w:hint="eastAsia" w:ascii="仿宋_GB2312" w:hAnsi="仿宋_GB2312" w:eastAsia="仿宋_GB2312" w:cs="仿宋_GB2312"/>
          <w:b/>
          <w:bCs/>
          <w:color w:val="000000" w:themeColor="text1"/>
          <w:highlight w:val="yellow"/>
          <w14:textFill>
            <w14:solidFill>
              <w14:schemeClr w14:val="tx1"/>
            </w14:solidFill>
          </w14:textFill>
        </w:rPr>
        <w:t>争议解决</w:t>
      </w:r>
      <w:bookmarkEnd w:id="113"/>
      <w:bookmarkEnd w:id="114"/>
      <w:bookmarkEnd w:id="115"/>
    </w:p>
    <w:p w14:paraId="2EB11A76">
      <w:pPr>
        <w:pStyle w:val="14"/>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1、争议和解：</w:t>
      </w:r>
      <w:r>
        <w:rPr>
          <w:rFonts w:hint="eastAsia" w:ascii="仿宋_GB2312" w:hAnsi="仿宋_GB2312" w:eastAsia="仿宋_GB2312" w:cs="仿宋_GB2312"/>
          <w:color w:val="000000" w:themeColor="text1"/>
          <w:highlight w:val="yellow"/>
          <w14:textFill>
            <w14:solidFill>
              <w14:schemeClr w14:val="tx1"/>
            </w14:solidFill>
          </w14:textFill>
        </w:rPr>
        <w:t>对因本合同引起或与之相关的任何争议、纠纷或权利主张，任何一方如欲通过本条第2款约定的方式解决，须在提起第2款约定的争议解决方式前，向对方发出书面和解申请书，并告知对方争议、纠纷或权利主张之事实及依据。</w:t>
      </w:r>
    </w:p>
    <w:p w14:paraId="191A5223">
      <w:pPr>
        <w:pStyle w:val="14"/>
        <w:spacing w:line="400" w:lineRule="atLeast"/>
        <w:ind w:firstLine="480"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color w:val="000000" w:themeColor="text1"/>
          <w:highlight w:val="yellow"/>
          <w14:textFill>
            <w14:solidFill>
              <w14:schemeClr w14:val="tx1"/>
            </w14:solidFill>
          </w14:textFill>
        </w:rPr>
        <w:t>在对方收到上述通知之日起</w:t>
      </w:r>
      <w:r>
        <w:rPr>
          <w:rFonts w:hint="eastAsia" w:ascii="仿宋_GB2312" w:hAnsi="仿宋_GB2312" w:eastAsia="仿宋_GB2312" w:cs="仿宋_GB2312"/>
          <w:color w:val="000000" w:themeColor="text1"/>
          <w:highlight w:val="yellow"/>
          <w:u w:val="single"/>
          <w14:textFill>
            <w14:solidFill>
              <w14:schemeClr w14:val="tx1"/>
            </w14:solidFill>
          </w14:textFill>
        </w:rPr>
        <w:t>3个月</w:t>
      </w:r>
      <w:r>
        <w:rPr>
          <w:rFonts w:hint="eastAsia" w:ascii="仿宋_GB2312" w:hAnsi="仿宋_GB2312" w:eastAsia="仿宋_GB2312" w:cs="仿宋_GB2312"/>
          <w:color w:val="000000" w:themeColor="text1"/>
          <w:highlight w:val="yellow"/>
          <w14:textFill>
            <w14:solidFill>
              <w14:schemeClr w14:val="tx1"/>
            </w14:solidFill>
          </w14:textFill>
        </w:rPr>
        <w:t>为双方和解期限。在和解期限内，若双方达成和解协议的，双方的权利义务按照和解协议履行；若未达成和解协议的，任何一方可采取本条第2款约定的争议解决方式。</w:t>
      </w:r>
    </w:p>
    <w:p w14:paraId="1A1818F2">
      <w:pPr>
        <w:pStyle w:val="14"/>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bookmarkStart w:id="116" w:name="_Hlk126770481"/>
      <w:bookmarkStart w:id="117" w:name="_Hlk126830485"/>
      <w:bookmarkStart w:id="118" w:name="_Toc11207"/>
      <w:bookmarkStart w:id="119" w:name="_Toc18393"/>
      <w:bookmarkStart w:id="120" w:name="_Toc31739"/>
      <w:r>
        <w:rPr>
          <w:rFonts w:hint="eastAsia" w:ascii="仿宋_GB2312" w:hAnsi="仿宋_GB2312" w:eastAsia="仿宋_GB2312" w:cs="仿宋_GB2312"/>
          <w:b/>
          <w:bCs/>
          <w:color w:val="000000" w:themeColor="text1"/>
          <w:highlight w:val="yellow"/>
          <w14:textFill>
            <w14:solidFill>
              <w14:schemeClr w14:val="tx1"/>
            </w14:solidFill>
          </w14:textFill>
        </w:rPr>
        <w:t>2、</w:t>
      </w:r>
      <w:bookmarkEnd w:id="116"/>
      <w:bookmarkEnd w:id="117"/>
      <w:bookmarkStart w:id="121" w:name="_Hlk127194929"/>
      <w:r>
        <w:rPr>
          <w:rFonts w:hint="eastAsia" w:ascii="仿宋_GB2312" w:hAnsi="仿宋_GB2312" w:eastAsia="仿宋_GB2312" w:cs="仿宋_GB2312"/>
          <w:b/>
          <w:bCs/>
          <w:color w:val="000000" w:themeColor="text1"/>
          <w:highlight w:val="yellow"/>
          <w14:textFill>
            <w14:solidFill>
              <w14:schemeClr w14:val="tx1"/>
            </w14:solidFill>
          </w14:textFill>
        </w:rPr>
        <w:t>争议仲裁：</w:t>
      </w:r>
      <w:r>
        <w:rPr>
          <w:rFonts w:hint="eastAsia" w:ascii="仿宋_GB2312" w:hAnsi="仿宋_GB2312" w:eastAsia="仿宋_GB2312" w:cs="仿宋_GB2312"/>
          <w:color w:val="000000" w:themeColor="text1"/>
          <w:highlight w:val="yellow"/>
          <w14:textFill>
            <w14:solidFill>
              <w14:schemeClr w14:val="tx1"/>
            </w14:solidFill>
          </w14:textFill>
        </w:rPr>
        <w:t>因本合同引起或与之相关任何争议、纠纷或权利主张，和解不成且已超过和解期的,双方同意提交石家庄仲裁委员会裁决。</w:t>
      </w:r>
    </w:p>
    <w:p w14:paraId="1063CF47">
      <w:pPr>
        <w:pStyle w:val="14"/>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2.1本合同中关于管辖权的约定是唯一的，任何一方不得通过债权转让或其它方式对涉及本合同约定事项或与之相关的事项的争议解决方式进行另行约定或对本合同关于管辖权的约定进行变更，如发生类似情形，该等约定亦属无效</w:t>
      </w:r>
      <w:bookmarkEnd w:id="121"/>
      <w:r>
        <w:rPr>
          <w:rFonts w:hint="eastAsia" w:ascii="仿宋_GB2312" w:hAnsi="仿宋_GB2312" w:eastAsia="仿宋_GB2312" w:cs="仿宋_GB2312"/>
          <w:b/>
          <w:bCs/>
          <w:color w:val="000000" w:themeColor="text1"/>
          <w:highlight w:val="yellow"/>
          <w14:textFill>
            <w14:solidFill>
              <w14:schemeClr w14:val="tx1"/>
            </w14:solidFill>
          </w14:textFill>
        </w:rPr>
        <w:t>。</w:t>
      </w:r>
    </w:p>
    <w:p w14:paraId="4C6F0388">
      <w:pPr>
        <w:pStyle w:val="14"/>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2.2因仲裁产生的各项合理费用由双方自行承担，包括但不限于案件受理费、律师费、仲裁费、保全费、保全保险费、差旅费、公证费及鉴定费等因仲裁引发的费用。</w:t>
      </w:r>
    </w:p>
    <w:p w14:paraId="1AF0A7AD">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保密义务</w:t>
      </w:r>
      <w:bookmarkEnd w:id="118"/>
      <w:bookmarkEnd w:id="119"/>
      <w:bookmarkEnd w:id="120"/>
    </w:p>
    <w:p w14:paraId="69726857">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122" w:name="_Toc12970"/>
      <w:r>
        <w:rPr>
          <w:rFonts w:hint="eastAsia" w:ascii="仿宋_GB2312" w:hAnsi="仿宋_GB2312" w:eastAsia="仿宋_GB2312" w:cs="仿宋_GB2312"/>
          <w:color w:val="000000" w:themeColor="text1"/>
          <w14:textFill>
            <w14:solidFill>
              <w14:schemeClr w14:val="tx1"/>
            </w14:solidFill>
          </w14:textFill>
        </w:rPr>
        <w:t>1、除乙方为执行合同所雇人员外，在未经甲方书面许可的情况下，乙方不得将合同中的规定、有关规格、计划、图纸、式样、样本或甲方为上述内容向乙方提供的资料向本协议以外的任何第三方披露。乙方须在对外保密的前提下，对其雇用人员提供相关资料仅限于执行合同必须提供的范围之内。</w:t>
      </w:r>
    </w:p>
    <w:p w14:paraId="095CF426">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2、除合同另有约定以外，本合同列明的所有资料始终为甲方财产，若甲方要求，乙方应于其合同义务履行完毕以后退还甲方相应资料（包括所有副本）。</w:t>
      </w:r>
    </w:p>
    <w:p w14:paraId="2DB4832D">
      <w:pPr>
        <w:pStyle w:val="14"/>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23" w:name="_Toc14038"/>
      <w:bookmarkStart w:id="124" w:name="_Toc3848"/>
      <w:r>
        <w:rPr>
          <w:rFonts w:hint="eastAsia" w:ascii="仿宋_GB2312" w:hAnsi="仿宋_GB2312" w:eastAsia="仿宋_GB2312" w:cs="仿宋_GB2312"/>
          <w:b/>
          <w:bCs/>
          <w:color w:val="000000" w:themeColor="text1"/>
          <w14:textFill>
            <w14:solidFill>
              <w14:schemeClr w14:val="tx1"/>
            </w14:solidFill>
          </w14:textFill>
        </w:rPr>
        <w:t>其他条款</w:t>
      </w:r>
      <w:bookmarkEnd w:id="122"/>
      <w:bookmarkEnd w:id="123"/>
      <w:bookmarkEnd w:id="124"/>
    </w:p>
    <w:p w14:paraId="0917AE61">
      <w:pPr>
        <w:pStyle w:val="14"/>
        <w:numPr>
          <w:ilvl w:val="0"/>
          <w:numId w:val="13"/>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本合同与甲方采购文件、乙方响应文件有相抵触之处，均以本合同条款为准。</w:t>
      </w:r>
    </w:p>
    <w:p w14:paraId="21015510">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2、本合同附件是本合同有效组成部分，与本合同具有同等效力。</w:t>
      </w:r>
    </w:p>
    <w:p w14:paraId="6B005919">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3、本合同未尽事宜，按《中华人民共和国民法典》有关规定执行。</w:t>
      </w:r>
    </w:p>
    <w:p w14:paraId="7A4F3334">
      <w:pPr>
        <w:pStyle w:val="14"/>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4、其他约定</w:t>
      </w:r>
      <w:permStart w:id="100"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100"/>
      <w:r>
        <w:rPr>
          <w:rFonts w:hint="eastAsia" w:ascii="仿宋_GB2312" w:hAnsi="仿宋_GB2312" w:eastAsia="仿宋_GB2312" w:cs="仿宋_GB2312"/>
          <w:color w:val="000000" w:themeColor="text1"/>
          <w14:textFill>
            <w14:solidFill>
              <w14:schemeClr w14:val="tx1"/>
            </w14:solidFill>
          </w14:textFill>
        </w:rPr>
        <w:t>。</w:t>
      </w:r>
    </w:p>
    <w:p w14:paraId="2438794F">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bookmarkStart w:id="125" w:name="_Toc20230"/>
      <w:r>
        <w:rPr>
          <w:rFonts w:hint="eastAsia" w:ascii="仿宋_GB2312" w:hAnsi="仿宋_GB2312" w:eastAsia="仿宋_GB2312" w:cs="仿宋_GB2312"/>
          <w:color w:val="000000" w:themeColor="text1"/>
          <w14:textFill>
            <w14:solidFill>
              <w14:schemeClr w14:val="tx1"/>
            </w14:solidFill>
          </w14:textFill>
        </w:rPr>
        <w:t>以下无正文</w:t>
      </w:r>
      <w:bookmarkEnd w:id="125"/>
    </w:p>
    <w:p w14:paraId="41DEE190">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p>
    <w:p w14:paraId="24F561B3">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甲  方：                               乙  方：</w:t>
      </w:r>
    </w:p>
    <w:p w14:paraId="18C0715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7BAC04FA">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1CA51B6F">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59124C9D">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40056BB2">
      <w:pPr>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4A7B88D9">
      <w:pPr>
        <w:pStyle w:val="14"/>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p>
    <w:p w14:paraId="689569D9">
      <w:pPr>
        <w:rPr>
          <w:rFonts w:ascii="仿宋_GB2312" w:hAnsi="仿宋_GB2312" w:eastAsia="仿宋_GB2312" w:cs="仿宋_GB2312"/>
          <w:color w:val="000000" w:themeColor="text1"/>
          <w:sz w:val="24"/>
          <w14:textFill>
            <w14:solidFill>
              <w14:schemeClr w14:val="tx1"/>
            </w14:solidFill>
          </w14:textFill>
        </w:rPr>
      </w:pPr>
    </w:p>
    <w:p w14:paraId="53AB5EF7"/>
    <w:sectPr>
      <w:pgSz w:w="11906" w:h="16838"/>
      <w:pgMar w:top="1440" w:right="1800" w:bottom="1440" w:left="1800" w:header="850" w:footer="975"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570782-E5F8-40F6-B086-D3475BECE8B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B9A5CA6-9CF2-4DDE-9F3E-7A88E89E28E1}"/>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3" w:fontKey="{7188F4E3-3082-4436-9711-0B1A483B679B}"/>
  </w:font>
  <w:font w:name="仿宋">
    <w:panose1 w:val="02010609060101010101"/>
    <w:charset w:val="86"/>
    <w:family w:val="modern"/>
    <w:pitch w:val="default"/>
    <w:sig w:usb0="800002BF" w:usb1="38CF7CFA" w:usb2="00000016" w:usb3="00000000" w:csb0="00040001" w:csb1="00000000"/>
    <w:embedRegular r:id="rId4" w:fontKey="{D26D5E81-BC2D-4441-BF6F-08E6E8E63CDA}"/>
  </w:font>
  <w:font w:name="华文中宋">
    <w:panose1 w:val="02010600040101010101"/>
    <w:charset w:val="86"/>
    <w:family w:val="auto"/>
    <w:pitch w:val="default"/>
    <w:sig w:usb0="00000287" w:usb1="080F0000" w:usb2="00000000" w:usb3="00000000" w:csb0="0004009F" w:csb1="DFD70000"/>
    <w:embedRegular r:id="rId5" w:fontKey="{62F52C30-A233-4FB2-B879-9D3EFB66C512}"/>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B7746">
    <w:pPr>
      <w:pStyle w:val="7"/>
      <w:jc w:val="center"/>
      <w:rPr>
        <w:rFonts w:ascii="仿宋" w:hAnsi="仿宋" w:eastAsia="仿宋" w:cs="仿宋"/>
        <w:sz w:val="24"/>
        <w:szCs w:val="36"/>
      </w:rPr>
    </w:pPr>
    <w:r>
      <w:rPr>
        <w:rFonts w:hint="eastAsia" w:ascii="仿宋" w:hAnsi="仿宋" w:eastAsia="仿宋" w:cs="仿宋"/>
        <w:sz w:val="24"/>
        <w:szCs w:val="36"/>
      </w:rPr>
      <w:t xml:space="preserve"> </w:t>
    </w:r>
  </w:p>
  <w:p w14:paraId="1243D80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2D353">
    <w:pPr>
      <w:pStyle w:val="7"/>
      <w:jc w:val="center"/>
      <w:rPr>
        <w:rFonts w:ascii="仿宋" w:hAnsi="仿宋" w:eastAsia="仿宋" w:cs="仿宋"/>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6FD1">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A5FC3">
    <w:pPr>
      <w:pStyle w:val="7"/>
      <w:jc w:val="center"/>
      <w:rPr>
        <w:rFonts w:ascii="仿宋" w:hAnsi="仿宋" w:eastAsia="仿宋" w:cs="仿宋"/>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0C4CE">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ACF273">
                          <w:pPr>
                            <w:pStyle w:val="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AACF273">
                    <w:pPr>
                      <w:pStyle w:val="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D7F47">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FC270A">
                          <w:pPr>
                            <w:pStyle w:val="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AFC270A">
                    <w:pPr>
                      <w:pStyle w:val="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0E33E">
    <w:pPr>
      <w:pStyle w:val="8"/>
    </w:pPr>
  </w:p>
  <w:p w14:paraId="75D110A1">
    <w:pPr>
      <w:pStyle w:val="8"/>
    </w:pPr>
  </w:p>
  <w:p w14:paraId="6109363E">
    <w:pPr>
      <w:pStyle w:val="8"/>
    </w:pPr>
  </w:p>
  <w:p w14:paraId="09027818">
    <w:pPr>
      <w:pStyle w:val="8"/>
    </w:pPr>
  </w:p>
  <w:p w14:paraId="3982FCDD">
    <w:pPr>
      <w:pStyle w:val="8"/>
      <w:jc w:val="left"/>
      <w:rPr>
        <w:b/>
        <w:bCs/>
      </w:rPr>
    </w:pPr>
    <w:r>
      <w:rPr>
        <w:b/>
        <w:bCs/>
      </w:rPr>
      <w:t>CSCEC</w:t>
    </w:r>
    <w:r>
      <w:t xml:space="preserve">  </w:t>
    </w:r>
    <w:r>
      <w:rPr>
        <w:rFonts w:hint="eastAsia"/>
        <w:b/>
        <w:bCs/>
      </w:rPr>
      <w:t xml:space="preserve">                                                                                 中建</w:t>
    </w:r>
  </w:p>
  <w:p w14:paraId="41BEFC11">
    <w:pPr>
      <w:pStyle w:val="8"/>
    </w:pPr>
  </w:p>
  <w:p w14:paraId="21E95005">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2915">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438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7"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2B68895E">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376DB">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540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717D9040">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55AAC">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6432"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8" name="图片 8"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35F41872">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25A6D"/>
    <w:multiLevelType w:val="singleLevel"/>
    <w:tmpl w:val="9C525A6D"/>
    <w:lvl w:ilvl="0" w:tentative="0">
      <w:start w:val="1"/>
      <w:numFmt w:val="decimal"/>
      <w:suff w:val="nothing"/>
      <w:lvlText w:val="%1、"/>
      <w:lvlJc w:val="left"/>
    </w:lvl>
  </w:abstractNum>
  <w:abstractNum w:abstractNumId="1">
    <w:nsid w:val="CDF988A0"/>
    <w:multiLevelType w:val="singleLevel"/>
    <w:tmpl w:val="CDF988A0"/>
    <w:lvl w:ilvl="0" w:tentative="0">
      <w:start w:val="1"/>
      <w:numFmt w:val="decimal"/>
      <w:suff w:val="nothing"/>
      <w:lvlText w:val="%1、"/>
      <w:lvlJc w:val="left"/>
    </w:lvl>
  </w:abstractNum>
  <w:abstractNum w:abstractNumId="2">
    <w:nsid w:val="D6CC21DA"/>
    <w:multiLevelType w:val="singleLevel"/>
    <w:tmpl w:val="D6CC21DA"/>
    <w:lvl w:ilvl="0" w:tentative="0">
      <w:start w:val="1"/>
      <w:numFmt w:val="decimal"/>
      <w:suff w:val="nothing"/>
      <w:lvlText w:val="%1、"/>
      <w:lvlJc w:val="left"/>
    </w:lvl>
  </w:abstractNum>
  <w:abstractNum w:abstractNumId="3">
    <w:nsid w:val="DA2CD928"/>
    <w:multiLevelType w:val="singleLevel"/>
    <w:tmpl w:val="DA2CD928"/>
    <w:lvl w:ilvl="0" w:tentative="0">
      <w:start w:val="1"/>
      <w:numFmt w:val="decimal"/>
      <w:suff w:val="nothing"/>
      <w:lvlText w:val="%1、"/>
      <w:lvlJc w:val="left"/>
    </w:lvl>
  </w:abstractNum>
  <w:abstractNum w:abstractNumId="4">
    <w:nsid w:val="E0133784"/>
    <w:multiLevelType w:val="singleLevel"/>
    <w:tmpl w:val="E0133784"/>
    <w:lvl w:ilvl="0" w:tentative="0">
      <w:start w:val="1"/>
      <w:numFmt w:val="decimal"/>
      <w:suff w:val="nothing"/>
      <w:lvlText w:val="%1、"/>
      <w:lvlJc w:val="left"/>
    </w:lvl>
  </w:abstractNum>
  <w:abstractNum w:abstractNumId="5">
    <w:nsid w:val="EEFD7662"/>
    <w:multiLevelType w:val="singleLevel"/>
    <w:tmpl w:val="EEFD7662"/>
    <w:lvl w:ilvl="0" w:tentative="0">
      <w:start w:val="1"/>
      <w:numFmt w:val="decimal"/>
      <w:suff w:val="nothing"/>
      <w:lvlText w:val="%1、"/>
      <w:lvlJc w:val="left"/>
    </w:lvl>
  </w:abstractNum>
  <w:abstractNum w:abstractNumId="6">
    <w:nsid w:val="EFACCE70"/>
    <w:multiLevelType w:val="singleLevel"/>
    <w:tmpl w:val="EFACCE70"/>
    <w:lvl w:ilvl="0" w:tentative="0">
      <w:start w:val="1"/>
      <w:numFmt w:val="chineseCounting"/>
      <w:suff w:val="nothing"/>
      <w:lvlText w:val="%1、"/>
      <w:lvlJc w:val="left"/>
      <w:rPr>
        <w:rFonts w:hint="eastAsia"/>
      </w:rPr>
    </w:lvl>
  </w:abstractNum>
  <w:abstractNum w:abstractNumId="7">
    <w:nsid w:val="F4B4D53B"/>
    <w:multiLevelType w:val="singleLevel"/>
    <w:tmpl w:val="F4B4D53B"/>
    <w:lvl w:ilvl="0" w:tentative="0">
      <w:start w:val="1"/>
      <w:numFmt w:val="decimal"/>
      <w:suff w:val="nothing"/>
      <w:lvlText w:val="%1、"/>
      <w:lvlJc w:val="left"/>
    </w:lvl>
  </w:abstractNum>
  <w:abstractNum w:abstractNumId="8">
    <w:nsid w:val="17E12B1E"/>
    <w:multiLevelType w:val="singleLevel"/>
    <w:tmpl w:val="17E12B1E"/>
    <w:lvl w:ilvl="0" w:tentative="0">
      <w:start w:val="6"/>
      <w:numFmt w:val="chineseCounting"/>
      <w:suff w:val="nothing"/>
      <w:lvlText w:val="%1、"/>
      <w:lvlJc w:val="left"/>
      <w:pPr>
        <w:ind w:left="480" w:firstLine="0"/>
      </w:pPr>
      <w:rPr>
        <w:rFonts w:hint="eastAsia"/>
      </w:rPr>
    </w:lvl>
  </w:abstractNum>
  <w:abstractNum w:abstractNumId="9">
    <w:nsid w:val="1C870535"/>
    <w:multiLevelType w:val="singleLevel"/>
    <w:tmpl w:val="1C870535"/>
    <w:lvl w:ilvl="0" w:tentative="0">
      <w:start w:val="1"/>
      <w:numFmt w:val="decimal"/>
      <w:suff w:val="nothing"/>
      <w:lvlText w:val="%1、"/>
      <w:lvlJc w:val="left"/>
      <w:rPr>
        <w:rFonts w:hint="default"/>
        <w:b/>
        <w:bCs/>
      </w:rPr>
    </w:lvl>
  </w:abstractNum>
  <w:abstractNum w:abstractNumId="10">
    <w:nsid w:val="1D9874AA"/>
    <w:multiLevelType w:val="singleLevel"/>
    <w:tmpl w:val="1D9874AA"/>
    <w:lvl w:ilvl="0" w:tentative="0">
      <w:start w:val="1"/>
      <w:numFmt w:val="chineseCounting"/>
      <w:suff w:val="nothing"/>
      <w:lvlText w:val="%1、"/>
      <w:lvlJc w:val="left"/>
      <w:rPr>
        <w:rFonts w:hint="eastAsia"/>
      </w:rPr>
    </w:lvl>
  </w:abstractNum>
  <w:abstractNum w:abstractNumId="11">
    <w:nsid w:val="567023B9"/>
    <w:multiLevelType w:val="singleLevel"/>
    <w:tmpl w:val="567023B9"/>
    <w:lvl w:ilvl="0" w:tentative="0">
      <w:start w:val="1"/>
      <w:numFmt w:val="decimal"/>
      <w:suff w:val="nothing"/>
      <w:lvlText w:val="%1、"/>
      <w:lvlJc w:val="left"/>
    </w:lvl>
  </w:abstractNum>
  <w:abstractNum w:abstractNumId="12">
    <w:nsid w:val="5A99D076"/>
    <w:multiLevelType w:val="singleLevel"/>
    <w:tmpl w:val="5A99D076"/>
    <w:lvl w:ilvl="0" w:tentative="0">
      <w:start w:val="2"/>
      <w:numFmt w:val="decimal"/>
      <w:lvlText w:val="%1."/>
      <w:lvlJc w:val="left"/>
      <w:pPr>
        <w:tabs>
          <w:tab w:val="left" w:pos="312"/>
        </w:tabs>
        <w:ind w:left="480" w:firstLine="0"/>
      </w:pPr>
    </w:lvl>
  </w:abstractNum>
  <w:num w:numId="1">
    <w:abstractNumId w:val="6"/>
  </w:num>
  <w:num w:numId="2">
    <w:abstractNumId w:val="3"/>
  </w:num>
  <w:num w:numId="3">
    <w:abstractNumId w:val="9"/>
  </w:num>
  <w:num w:numId="4">
    <w:abstractNumId w:val="5"/>
  </w:num>
  <w:num w:numId="5">
    <w:abstractNumId w:val="7"/>
  </w:num>
  <w:num w:numId="6">
    <w:abstractNumId w:val="12"/>
  </w:num>
  <w:num w:numId="7">
    <w:abstractNumId w:val="8"/>
  </w:num>
  <w:num w:numId="8">
    <w:abstractNumId w:val="10"/>
  </w:num>
  <w:num w:numId="9">
    <w:abstractNumId w:val="11"/>
  </w:num>
  <w:num w:numId="10">
    <w:abstractNumId w:val="2"/>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dit="readOnly" w:enforcement="1" w:cryptProviderType="rsaFull" w:cryptAlgorithmClass="hash" w:cryptAlgorithmType="typeAny" w:cryptAlgorithmSid="4" w:cryptSpinCount="0" w:hash="uKUUlhWKOTnWp/OdzAMIoPQudds=" w:salt="jBhQwyS3HqfAlwJyl3vkXQ=="/>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7E6474"/>
    <w:rsid w:val="000C5C73"/>
    <w:rsid w:val="00206AAD"/>
    <w:rsid w:val="00354625"/>
    <w:rsid w:val="004F428F"/>
    <w:rsid w:val="005A2963"/>
    <w:rsid w:val="005F0918"/>
    <w:rsid w:val="006319D6"/>
    <w:rsid w:val="007E6474"/>
    <w:rsid w:val="00D322EC"/>
    <w:rsid w:val="00E3726D"/>
    <w:rsid w:val="018F2551"/>
    <w:rsid w:val="01B140BF"/>
    <w:rsid w:val="02005B8D"/>
    <w:rsid w:val="02C264F1"/>
    <w:rsid w:val="0560216C"/>
    <w:rsid w:val="05A51C3A"/>
    <w:rsid w:val="07100CF1"/>
    <w:rsid w:val="07677F35"/>
    <w:rsid w:val="07E22A1E"/>
    <w:rsid w:val="087D170E"/>
    <w:rsid w:val="0AE417CB"/>
    <w:rsid w:val="0B7C60D5"/>
    <w:rsid w:val="0C2C12C5"/>
    <w:rsid w:val="0C382749"/>
    <w:rsid w:val="0CDB347F"/>
    <w:rsid w:val="0DB8731C"/>
    <w:rsid w:val="0F5D461F"/>
    <w:rsid w:val="0FB520AF"/>
    <w:rsid w:val="10122848"/>
    <w:rsid w:val="11A93B4C"/>
    <w:rsid w:val="13C6171A"/>
    <w:rsid w:val="14926CC5"/>
    <w:rsid w:val="15064E11"/>
    <w:rsid w:val="15F405EB"/>
    <w:rsid w:val="15FB249C"/>
    <w:rsid w:val="161401DB"/>
    <w:rsid w:val="194A79C2"/>
    <w:rsid w:val="199F06C1"/>
    <w:rsid w:val="1A866EA5"/>
    <w:rsid w:val="1CCD2EB3"/>
    <w:rsid w:val="1DCE5781"/>
    <w:rsid w:val="1E8C6B08"/>
    <w:rsid w:val="1E9811D0"/>
    <w:rsid w:val="2005342C"/>
    <w:rsid w:val="20677AD3"/>
    <w:rsid w:val="20C443CB"/>
    <w:rsid w:val="20D34741"/>
    <w:rsid w:val="21BD2162"/>
    <w:rsid w:val="24E6773E"/>
    <w:rsid w:val="251A767D"/>
    <w:rsid w:val="25207829"/>
    <w:rsid w:val="2581497C"/>
    <w:rsid w:val="25AB6412"/>
    <w:rsid w:val="27001DCB"/>
    <w:rsid w:val="27044385"/>
    <w:rsid w:val="273D7445"/>
    <w:rsid w:val="27727469"/>
    <w:rsid w:val="2809000E"/>
    <w:rsid w:val="281C1F8A"/>
    <w:rsid w:val="282D2989"/>
    <w:rsid w:val="28A06C1C"/>
    <w:rsid w:val="29143B49"/>
    <w:rsid w:val="2B6B0C1C"/>
    <w:rsid w:val="2CF52523"/>
    <w:rsid w:val="2CFF55C1"/>
    <w:rsid w:val="2F363C4A"/>
    <w:rsid w:val="2F642E8E"/>
    <w:rsid w:val="2FD92135"/>
    <w:rsid w:val="2FF75092"/>
    <w:rsid w:val="31A22697"/>
    <w:rsid w:val="329F4483"/>
    <w:rsid w:val="32D72F11"/>
    <w:rsid w:val="33134E71"/>
    <w:rsid w:val="33867AAC"/>
    <w:rsid w:val="35966615"/>
    <w:rsid w:val="36E8561F"/>
    <w:rsid w:val="37A442EA"/>
    <w:rsid w:val="38C55C94"/>
    <w:rsid w:val="39185196"/>
    <w:rsid w:val="3A3C68BF"/>
    <w:rsid w:val="3A58061F"/>
    <w:rsid w:val="3A751F6D"/>
    <w:rsid w:val="3D3424ED"/>
    <w:rsid w:val="3DDE2C63"/>
    <w:rsid w:val="3EA80078"/>
    <w:rsid w:val="3EEB27BB"/>
    <w:rsid w:val="3EF518D7"/>
    <w:rsid w:val="44702D73"/>
    <w:rsid w:val="448600AA"/>
    <w:rsid w:val="4493311A"/>
    <w:rsid w:val="47857C94"/>
    <w:rsid w:val="484E277B"/>
    <w:rsid w:val="4B7613B8"/>
    <w:rsid w:val="4C03387D"/>
    <w:rsid w:val="4D7E765F"/>
    <w:rsid w:val="4DAC7892"/>
    <w:rsid w:val="4F461FE7"/>
    <w:rsid w:val="4F806F93"/>
    <w:rsid w:val="4F8151E4"/>
    <w:rsid w:val="4FB51761"/>
    <w:rsid w:val="52413DEC"/>
    <w:rsid w:val="52D01FDF"/>
    <w:rsid w:val="55C3101A"/>
    <w:rsid w:val="569D0BFD"/>
    <w:rsid w:val="57206CE0"/>
    <w:rsid w:val="57415D69"/>
    <w:rsid w:val="577657E8"/>
    <w:rsid w:val="57DB2421"/>
    <w:rsid w:val="590B5B1F"/>
    <w:rsid w:val="5D403159"/>
    <w:rsid w:val="5E361890"/>
    <w:rsid w:val="5E4E17D8"/>
    <w:rsid w:val="5EE82A63"/>
    <w:rsid w:val="60A01243"/>
    <w:rsid w:val="637A221F"/>
    <w:rsid w:val="66576686"/>
    <w:rsid w:val="66F260F2"/>
    <w:rsid w:val="68DE6863"/>
    <w:rsid w:val="697275C4"/>
    <w:rsid w:val="69F85DC8"/>
    <w:rsid w:val="6ADE3093"/>
    <w:rsid w:val="6BFE7C2B"/>
    <w:rsid w:val="6C046B2A"/>
    <w:rsid w:val="6C537AB1"/>
    <w:rsid w:val="6D441D97"/>
    <w:rsid w:val="6E3470A8"/>
    <w:rsid w:val="6EEF5F38"/>
    <w:rsid w:val="6FA504B7"/>
    <w:rsid w:val="6FD80B60"/>
    <w:rsid w:val="70435EA4"/>
    <w:rsid w:val="710A087F"/>
    <w:rsid w:val="721414BF"/>
    <w:rsid w:val="733C129F"/>
    <w:rsid w:val="742E519E"/>
    <w:rsid w:val="7474679E"/>
    <w:rsid w:val="74B25521"/>
    <w:rsid w:val="75723680"/>
    <w:rsid w:val="75F93477"/>
    <w:rsid w:val="784A2271"/>
    <w:rsid w:val="7BC22819"/>
    <w:rsid w:val="7C8A307B"/>
    <w:rsid w:val="7D4E22FA"/>
    <w:rsid w:val="7E55487E"/>
    <w:rsid w:val="7F4C316E"/>
    <w:rsid w:val="7F4C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rPr>
      <w:szCs w:val="28"/>
    </w:rPr>
  </w:style>
  <w:style w:type="paragraph" w:styleId="3">
    <w:name w:val="annotation text"/>
    <w:basedOn w:val="1"/>
    <w:link w:val="17"/>
    <w:autoRedefine/>
    <w:qFormat/>
    <w:uiPriority w:val="0"/>
    <w:pPr>
      <w:jc w:val="left"/>
    </w:pPr>
  </w:style>
  <w:style w:type="paragraph" w:styleId="4">
    <w:name w:val="Plain Text"/>
    <w:basedOn w:val="1"/>
    <w:autoRedefine/>
    <w:qFormat/>
    <w:uiPriority w:val="0"/>
    <w:rPr>
      <w:rFonts w:ascii="黑体" w:hAnsi="Courier New" w:eastAsia="黑体" w:cs="Times New Roman"/>
      <w:szCs w:val="20"/>
    </w:rPr>
  </w:style>
  <w:style w:type="paragraph" w:styleId="5">
    <w:name w:val="Body Text Indent 2"/>
    <w:basedOn w:val="1"/>
    <w:autoRedefine/>
    <w:qFormat/>
    <w:uiPriority w:val="0"/>
    <w:pPr>
      <w:ind w:firstLine="540" w:firstLineChars="180"/>
    </w:pPr>
    <w:rPr>
      <w:rFonts w:ascii="仿宋_GB2312" w:hAnsi="Calibri" w:eastAsia="仿宋_GB2312" w:cs="Times New Roman"/>
      <w:sz w:val="30"/>
      <w:szCs w:val="24"/>
    </w:rPr>
  </w:style>
  <w:style w:type="paragraph" w:styleId="6">
    <w:name w:val="Balloon Text"/>
    <w:basedOn w:val="1"/>
    <w:link w:val="16"/>
    <w:qFormat/>
    <w:uiPriority w:val="0"/>
    <w:rPr>
      <w:sz w:val="18"/>
      <w:szCs w:val="18"/>
    </w:rPr>
  </w:style>
  <w:style w:type="paragraph" w:styleId="7">
    <w:name w:val="footer"/>
    <w:basedOn w:val="1"/>
    <w:autoRedefine/>
    <w:qFormat/>
    <w:uiPriority w:val="99"/>
    <w:pPr>
      <w:tabs>
        <w:tab w:val="center" w:pos="4153"/>
        <w:tab w:val="right" w:pos="8306"/>
      </w:tabs>
      <w:snapToGrid w:val="0"/>
      <w:jc w:val="left"/>
    </w:pPr>
    <w:rPr>
      <w:rFonts w:ascii="Calibri" w:hAnsi="Calibri" w:eastAsia="宋体" w:cs="Times New Roman"/>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9">
    <w:name w:val="toc 1"/>
    <w:basedOn w:val="1"/>
    <w:next w:val="1"/>
    <w:autoRedefine/>
    <w:qFormat/>
    <w:uiPriority w:val="0"/>
    <w:rPr>
      <w:rFonts w:ascii="Calibri" w:hAnsi="Calibri" w:eastAsia="宋体" w:cs="Times New Roman"/>
    </w:rPr>
  </w:style>
  <w:style w:type="paragraph" w:styleId="10">
    <w:name w:val="annotation subject"/>
    <w:basedOn w:val="3"/>
    <w:next w:val="3"/>
    <w:link w:val="18"/>
    <w:qFormat/>
    <w:uiPriority w:val="0"/>
    <w:rPr>
      <w:b/>
      <w:bCs/>
    </w:rPr>
  </w:style>
  <w:style w:type="character" w:styleId="13">
    <w:name w:val="annotation reference"/>
    <w:basedOn w:val="12"/>
    <w:qFormat/>
    <w:uiPriority w:val="0"/>
    <w:rPr>
      <w:sz w:val="21"/>
      <w:szCs w:val="21"/>
    </w:rPr>
  </w:style>
  <w:style w:type="paragraph" w:customStyle="1" w:styleId="14">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5">
    <w:name w:val="。"/>
    <w:basedOn w:val="1"/>
    <w:autoRedefine/>
    <w:qFormat/>
    <w:uiPriority w:val="0"/>
    <w:pPr>
      <w:adjustRightInd w:val="0"/>
      <w:spacing w:line="312" w:lineRule="atLeast"/>
      <w:ind w:right="679"/>
      <w:textAlignment w:val="baseline"/>
    </w:pPr>
    <w:rPr>
      <w:rFonts w:ascii="宋体" w:hAnsi="Calibri" w:eastAsia="宋体" w:cs="Times New Roman"/>
      <w:kern w:val="0"/>
      <w:sz w:val="20"/>
      <w:szCs w:val="24"/>
    </w:rPr>
  </w:style>
  <w:style w:type="character" w:customStyle="1" w:styleId="16">
    <w:name w:val="批注框文本 Char"/>
    <w:basedOn w:val="12"/>
    <w:link w:val="6"/>
    <w:qFormat/>
    <w:uiPriority w:val="0"/>
    <w:rPr>
      <w:rFonts w:asciiTheme="minorHAnsi" w:hAnsiTheme="minorHAnsi" w:eastAsiaTheme="minorEastAsia" w:cstheme="minorBidi"/>
      <w:kern w:val="2"/>
      <w:sz w:val="18"/>
      <w:szCs w:val="18"/>
    </w:rPr>
  </w:style>
  <w:style w:type="character" w:customStyle="1" w:styleId="17">
    <w:name w:val="批注文字 Char"/>
    <w:basedOn w:val="12"/>
    <w:link w:val="3"/>
    <w:qFormat/>
    <w:uiPriority w:val="0"/>
    <w:rPr>
      <w:rFonts w:asciiTheme="minorHAnsi" w:hAnsiTheme="minorHAnsi" w:eastAsiaTheme="minorEastAsia" w:cstheme="minorBidi"/>
      <w:kern w:val="2"/>
      <w:sz w:val="21"/>
      <w:szCs w:val="22"/>
    </w:rPr>
  </w:style>
  <w:style w:type="character" w:customStyle="1" w:styleId="18">
    <w:name w:val="批注主题 Char"/>
    <w:basedOn w:val="17"/>
    <w:link w:val="10"/>
    <w:qFormat/>
    <w:uiPriority w:val="0"/>
    <w:rPr>
      <w:rFonts w:asciiTheme="minorHAnsi" w:hAnsiTheme="minorHAnsi" w:eastAsiaTheme="minorEastAsia" w:cstheme="minorBidi"/>
      <w:b/>
      <w:bCs/>
      <w:kern w:val="2"/>
      <w:sz w:val="21"/>
      <w:szCs w:val="22"/>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35</Pages>
  <Words>300</Words>
  <Characters>331</Characters>
  <Lines>205</Lines>
  <Paragraphs>57</Paragraphs>
  <TotalTime>30</TotalTime>
  <ScaleCrop>false</ScaleCrop>
  <LinksUpToDate>false</LinksUpToDate>
  <CharactersWithSpaces>487</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2023-11-09T02:14:00Z</dcterms:created>
  <dc:creator>周轶群</dc:creator>
  <cp:lastModifiedBy>刘志刚</cp:lastModifiedBy>
  <dcterms:modified xsi:type="dcterms:W3CDTF">2026-09-11T01:56:41Z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4BA1026335B341AE80CFBA51EEA600B0_13</vt:lpwstr>
  </property>
  <property fmtid="{D5CDD505-2E9C-101B-9397-08002B2CF9AE}" pid="4" name="KSOTemplateDocerSaveRecord">
    <vt:lpwstr>eyJoZGlkIjoiMGRjMDYxMWE4ZmYzNGYyZTMxMGFlY2I2MmIxZGQ3ZDUiLCJ1c2VySWQiOiI1MjM1NjAwMjgifQ==</vt:lpwstr>
  </property>
</Properties>
</file>