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rPr>
          <w:rFonts w:hint="eastAsia"/>
          <w:color w:val="auto"/>
          <w:highlight w:val="none"/>
        </w:rPr>
      </w:pPr>
    </w:p>
    <w:p>
      <w:pPr>
        <w:rPr>
          <w:rFonts w:ascii="宋体" w:hAnsi="宋体" w:cs="宋体"/>
          <w:color w:val="auto"/>
          <w:szCs w:val="20"/>
          <w:highlight w:val="none"/>
        </w:rPr>
      </w:pPr>
    </w:p>
    <w:p>
      <w:pPr>
        <w:rPr>
          <w:rFonts w:ascii="宋体" w:hAnsi="宋体" w:cs="宋体"/>
          <w:color w:val="auto"/>
          <w:szCs w:val="20"/>
          <w:highlight w:val="none"/>
        </w:rPr>
      </w:pPr>
    </w:p>
    <w:p>
      <w:pPr>
        <w:rPr>
          <w:rFonts w:ascii="宋体" w:hAnsi="宋体" w:cs="宋体"/>
          <w:color w:val="auto"/>
          <w:szCs w:val="20"/>
          <w:highlight w:val="none"/>
        </w:rPr>
      </w:pPr>
      <w:r>
        <w:rPr>
          <w:color w:val="auto"/>
          <w:highlight w:val="none"/>
        </w:rPr>
        <w:pict>
          <v:shape id="_x0000_s1029" o:spid="_x0000_s1029" o:spt="202" type="#_x0000_t202" style="position:absolute;left:0pt;margin-left:223.45pt;margin-top:0.95pt;height:22.55pt;width:234.85pt;z-index:251661312;mso-width-relative:page;mso-height-relative:page;" fillcolor="#FFFFFF" filled="t" stroked="t" coordsize="21600,21600" o:gfxdata="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z220nYAAAACAEAAA8AAAAAAAAAAQAgAAAAIgAAAGRycy9kb3ducmV2LnhtbFBL&#10;AQIUABQAAAAIAIdO4kAwwPjl9gEAAPYDAAAOAAAAAAAAAAEAIAAAACcBAABkcnMvZTJvRG9jLnht&#10;bFBLBQYAAAAABgAGAFkBAACPBQAAAAA=&#10;">
            <v:path/>
            <v:fill on="t" color2="#FFFFFF" focussize="0,0"/>
            <v:stroke color="#000000" joinstyle="miter"/>
            <v:imagedata o:title=""/>
            <o:lock v:ext="edit" aspectratio="f"/>
            <v:textbox>
              <w:txbxContent>
                <w:p>
                  <w:pPr>
                    <w:rPr>
                      <w:rFonts w:hint="default" w:ascii="宋体" w:hAnsi="宋体" w:eastAsia="宋体"/>
                      <w:lang w:val="en-US" w:eastAsia="zh-CN"/>
                    </w:rPr>
                  </w:pPr>
                  <w:r>
                    <w:rPr>
                      <w:rFonts w:hint="eastAsia" w:ascii="宋体" w:hAnsi="宋体"/>
                    </w:rPr>
                    <w:t>招标文件编号：</w:t>
                  </w:r>
                  <w:r>
                    <w:rPr>
                      <w:rFonts w:hint="eastAsia" w:ascii="宋体" w:hAnsi="宋体"/>
                      <w:bCs/>
                      <w:szCs w:val="21"/>
                      <w:lang w:val="en-US" w:eastAsia="zh-CN"/>
                    </w:rPr>
                    <w:t>ZJLQ-FGZB-济宁EPC项目-003</w:t>
                  </w:r>
                  <w:r>
                    <w:rPr>
                      <w:rFonts w:hint="eastAsia" w:ascii="宋体" w:hAnsi="宋体"/>
                      <w:lang w:val="en-US" w:eastAsia="zh-CN"/>
                    </w:rPr>
                    <w:t>号</w:t>
                  </w:r>
                </w:p>
              </w:txbxContent>
            </v:textbox>
          </v:shape>
        </w:pict>
      </w:r>
    </w:p>
    <w:p>
      <w:pPr>
        <w:pStyle w:val="18"/>
        <w:spacing w:before="156"/>
        <w:rPr>
          <w:rFonts w:cs="宋体"/>
          <w:b/>
          <w:bCs/>
          <w:color w:val="auto"/>
          <w:kern w:val="2"/>
          <w:sz w:val="28"/>
          <w:szCs w:val="28"/>
          <w:highlight w:val="none"/>
        </w:rPr>
      </w:pPr>
      <w:r>
        <w:rPr>
          <w:rFonts w:hint="eastAsia" w:cs="宋体"/>
          <w:color w:val="auto"/>
          <w:highlight w:val="none"/>
        </w:rPr>
        <w:t xml:space="preserve">                          </w:t>
      </w:r>
      <w:r>
        <w:rPr>
          <w:rFonts w:hint="eastAsia" w:cs="宋体"/>
          <w:bCs/>
          <w:color w:val="auto"/>
          <w:kern w:val="2"/>
          <w:sz w:val="28"/>
          <w:szCs w:val="28"/>
          <w:highlight w:val="none"/>
        </w:rPr>
        <w:t xml:space="preserve"> </w:t>
      </w:r>
    </w:p>
    <w:p>
      <w:pPr>
        <w:pStyle w:val="13"/>
        <w:ind w:firstLine="0" w:firstLineChars="0"/>
        <w:rPr>
          <w:rFonts w:cs="宋体"/>
          <w:b/>
          <w:color w:val="auto"/>
          <w:sz w:val="52"/>
          <w:szCs w:val="52"/>
          <w:highlight w:val="none"/>
        </w:rPr>
      </w:pPr>
    </w:p>
    <w:p>
      <w:pPr>
        <w:pStyle w:val="13"/>
        <w:ind w:firstLine="1044"/>
        <w:rPr>
          <w:rFonts w:cs="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44"/>
          <w:szCs w:val="44"/>
          <w:highlight w:val="none"/>
        </w:rPr>
      </w:pPr>
      <w:r>
        <w:rPr>
          <w:rFonts w:hint="eastAsia" w:ascii="宋体" w:hAnsi="宋体" w:cs="宋体"/>
          <w:b/>
          <w:color w:val="auto"/>
          <w:sz w:val="44"/>
          <w:szCs w:val="44"/>
          <w:highlight w:val="none"/>
        </w:rPr>
        <w:t>中建路桥集团有限公司</w:t>
      </w:r>
    </w:p>
    <w:p>
      <w:pPr>
        <w:spacing w:line="360" w:lineRule="auto"/>
        <w:jc w:val="center"/>
        <w:rPr>
          <w:rFonts w:hint="eastAsia"/>
          <w:b/>
          <w:color w:val="auto"/>
          <w:kern w:val="2"/>
          <w:sz w:val="40"/>
          <w:szCs w:val="40"/>
          <w:highlight w:val="none"/>
          <w:lang w:val="en-US" w:eastAsia="zh-CN"/>
        </w:rPr>
      </w:pPr>
      <w:r>
        <w:rPr>
          <w:rFonts w:hint="eastAsia"/>
          <w:b/>
          <w:color w:val="auto"/>
          <w:kern w:val="2"/>
          <w:sz w:val="40"/>
          <w:szCs w:val="40"/>
          <w:highlight w:val="none"/>
          <w:lang w:val="en-US" w:eastAsia="zh-CN"/>
        </w:rPr>
        <w:t>济宁市太白湖新区路网、桥梁建设EPC项目</w:t>
      </w:r>
    </w:p>
    <w:p>
      <w:pPr>
        <w:pStyle w:val="12"/>
        <w:spacing w:after="156" w:line="480" w:lineRule="exact"/>
        <w:jc w:val="center"/>
        <w:rPr>
          <w:rFonts w:ascii="宋体" w:hAnsi="宋体" w:cs="宋体"/>
          <w:bCs/>
          <w:color w:val="auto"/>
          <w:sz w:val="44"/>
          <w:szCs w:val="44"/>
          <w:highlight w:val="none"/>
        </w:rPr>
      </w:pPr>
      <w:r>
        <w:rPr>
          <w:rFonts w:hint="eastAsia" w:cs="宋体"/>
          <w:b/>
          <w:color w:val="auto"/>
          <w:kern w:val="2"/>
          <w:sz w:val="44"/>
          <w:szCs w:val="44"/>
          <w:highlight w:val="none"/>
          <w:lang w:val="en-US" w:eastAsia="zh-CN" w:bidi="ar-SA"/>
        </w:rPr>
        <w:t>石灰</w:t>
      </w:r>
      <w:r>
        <w:rPr>
          <w:rFonts w:hint="eastAsia" w:ascii="宋体" w:hAnsi="宋体" w:cs="宋体"/>
          <w:b/>
          <w:color w:val="auto"/>
          <w:sz w:val="44"/>
          <w:szCs w:val="44"/>
          <w:highlight w:val="none"/>
        </w:rPr>
        <w:t>采购招标文件</w:t>
      </w:r>
    </w:p>
    <w:p>
      <w:pPr>
        <w:spacing w:line="360" w:lineRule="auto"/>
        <w:ind w:firstLine="3600" w:firstLineChars="1494"/>
        <w:rPr>
          <w:rFonts w:ascii="宋体" w:hAnsi="宋体" w:cs="宋体"/>
          <w:b/>
          <w:bCs/>
          <w:color w:val="auto"/>
          <w:sz w:val="24"/>
          <w:highlight w:val="none"/>
        </w:rPr>
      </w:pPr>
    </w:p>
    <w:p>
      <w:pPr>
        <w:spacing w:line="360" w:lineRule="auto"/>
        <w:ind w:firstLine="3600" w:firstLineChars="1494"/>
        <w:rPr>
          <w:rFonts w:ascii="宋体" w:hAnsi="宋体" w:cs="宋体"/>
          <w:b/>
          <w:bCs/>
          <w:color w:val="auto"/>
          <w:sz w:val="24"/>
          <w:highlight w:val="none"/>
        </w:rPr>
      </w:pPr>
    </w:p>
    <w:p>
      <w:pPr>
        <w:pStyle w:val="13"/>
        <w:ind w:firstLine="480"/>
        <w:rPr>
          <w:color w:val="auto"/>
          <w:highlight w:val="none"/>
        </w:rPr>
      </w:pPr>
    </w:p>
    <w:p>
      <w:pPr>
        <w:pStyle w:val="13"/>
        <w:ind w:firstLine="480"/>
        <w:rPr>
          <w:color w:val="auto"/>
          <w:highlight w:val="none"/>
        </w:rPr>
      </w:pPr>
    </w:p>
    <w:p>
      <w:pPr>
        <w:pStyle w:val="13"/>
        <w:ind w:firstLine="480"/>
        <w:rPr>
          <w:color w:val="auto"/>
          <w:highlight w:val="none"/>
        </w:rPr>
      </w:pPr>
    </w:p>
    <w:p>
      <w:pPr>
        <w:pStyle w:val="13"/>
        <w:ind w:firstLine="480"/>
        <w:rPr>
          <w:color w:val="auto"/>
          <w:highlight w:val="none"/>
        </w:rPr>
      </w:pPr>
    </w:p>
    <w:p>
      <w:pPr>
        <w:pStyle w:val="13"/>
        <w:ind w:firstLine="480"/>
        <w:rPr>
          <w:color w:val="auto"/>
          <w:highlight w:val="none"/>
        </w:rPr>
      </w:pPr>
    </w:p>
    <w:p>
      <w:pPr>
        <w:pStyle w:val="13"/>
        <w:ind w:firstLine="482"/>
        <w:rPr>
          <w:rFonts w:cs="宋体"/>
          <w:b/>
          <w:bCs/>
          <w:color w:val="auto"/>
          <w:highlight w:val="none"/>
        </w:rPr>
      </w:pPr>
    </w:p>
    <w:p>
      <w:pPr>
        <w:pStyle w:val="13"/>
        <w:ind w:firstLine="482"/>
        <w:rPr>
          <w:rFonts w:cs="宋体"/>
          <w:b/>
          <w:bCs/>
          <w:color w:val="auto"/>
          <w:highlight w:val="none"/>
        </w:rPr>
      </w:pPr>
    </w:p>
    <w:p>
      <w:pPr>
        <w:pStyle w:val="13"/>
        <w:ind w:firstLine="482"/>
        <w:rPr>
          <w:rFonts w:cs="宋体"/>
          <w:b/>
          <w:bCs/>
          <w:color w:val="auto"/>
          <w:highlight w:val="none"/>
        </w:rPr>
      </w:pPr>
    </w:p>
    <w:p>
      <w:pPr>
        <w:spacing w:line="400" w:lineRule="exact"/>
        <w:rPr>
          <w:rFonts w:ascii="宋体" w:hAnsi="宋体" w:cs="宋体"/>
          <w:bCs/>
          <w:color w:val="auto"/>
          <w:sz w:val="28"/>
          <w:szCs w:val="28"/>
          <w:highlight w:val="none"/>
        </w:rPr>
      </w:pPr>
    </w:p>
    <w:p>
      <w:pPr>
        <w:spacing w:line="240" w:lineRule="auto"/>
        <w:ind w:firstLine="0" w:firstLineChars="0"/>
        <w:jc w:val="center"/>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招标单位：中建路桥集团有限公司</w:t>
      </w:r>
      <w:r>
        <w:rPr>
          <w:rFonts w:hint="eastAsia" w:ascii="宋体" w:hAnsi="宋体" w:cs="宋体"/>
          <w:bCs/>
          <w:color w:val="auto"/>
          <w:sz w:val="28"/>
          <w:szCs w:val="28"/>
          <w:highlight w:val="none"/>
          <w:lang w:val="en-US" w:eastAsia="zh-CN"/>
        </w:rPr>
        <w:t>济宁分公司</w:t>
      </w:r>
    </w:p>
    <w:p>
      <w:pPr>
        <w:spacing w:line="400" w:lineRule="exact"/>
        <w:jc w:val="center"/>
        <w:rPr>
          <w:rFonts w:ascii="宋体" w:hAnsi="宋体" w:cs="宋体"/>
          <w:bCs/>
          <w:color w:val="auto"/>
          <w:sz w:val="28"/>
          <w:szCs w:val="28"/>
          <w:highlight w:val="none"/>
        </w:rPr>
      </w:pPr>
    </w:p>
    <w:p>
      <w:pPr>
        <w:spacing w:line="240" w:lineRule="auto"/>
        <w:ind w:firstLine="0" w:firstLineChars="0"/>
        <w:jc w:val="center"/>
        <w:rPr>
          <w:rFonts w:ascii="宋体" w:hAnsi="宋体" w:cs="宋体"/>
          <w:bCs/>
          <w:color w:val="auto"/>
          <w:sz w:val="28"/>
          <w:szCs w:val="28"/>
          <w:highlight w:val="none"/>
        </w:rPr>
      </w:pPr>
      <w:r>
        <w:rPr>
          <w:rFonts w:hint="eastAsia" w:ascii="宋体" w:hAnsi="宋体" w:cs="宋体"/>
          <w:bCs/>
          <w:color w:val="auto"/>
          <w:sz w:val="28"/>
          <w:szCs w:val="28"/>
          <w:highlight w:val="none"/>
        </w:rPr>
        <w:t>时    间：2019年</w:t>
      </w:r>
      <w:r>
        <w:rPr>
          <w:rFonts w:hint="eastAsia" w:ascii="宋体" w:hAnsi="宋体" w:cs="宋体"/>
          <w:bCs/>
          <w:color w:val="auto"/>
          <w:sz w:val="28"/>
          <w:szCs w:val="28"/>
          <w:highlight w:val="none"/>
          <w:lang w:val="en-US" w:eastAsia="zh-CN"/>
        </w:rPr>
        <w:t>12</w:t>
      </w:r>
      <w:r>
        <w:rPr>
          <w:rFonts w:hint="eastAsia" w:ascii="宋体" w:hAnsi="宋体" w:cs="宋体"/>
          <w:bCs/>
          <w:color w:val="auto"/>
          <w:sz w:val="28"/>
          <w:szCs w:val="28"/>
          <w:highlight w:val="none"/>
        </w:rPr>
        <w:t>月</w:t>
      </w:r>
    </w:p>
    <w:p>
      <w:pPr>
        <w:pStyle w:val="13"/>
        <w:ind w:firstLine="480"/>
        <w:rPr>
          <w:color w:val="auto"/>
          <w:highlight w:val="none"/>
        </w:rPr>
      </w:pPr>
    </w:p>
    <w:p>
      <w:pPr>
        <w:pStyle w:val="13"/>
        <w:ind w:firstLine="0" w:firstLineChars="0"/>
        <w:rPr>
          <w:color w:val="auto"/>
          <w:highlight w:val="none"/>
        </w:rPr>
        <w:sectPr>
          <w:headerReference r:id="rId4" w:type="first"/>
          <w:headerReference r:id="rId3" w:type="default"/>
          <w:pgSz w:w="11906" w:h="16838"/>
          <w:pgMar w:top="1440" w:right="1800" w:bottom="1440" w:left="1800" w:header="850" w:footer="992" w:gutter="0"/>
          <w:cols w:space="720" w:num="1"/>
          <w:titlePg/>
          <w:docGrid w:type="lines" w:linePitch="312" w:charSpace="0"/>
        </w:sectPr>
      </w:pPr>
    </w:p>
    <w:p>
      <w:pPr>
        <w:spacing w:line="400" w:lineRule="exact"/>
        <w:jc w:val="center"/>
        <w:rPr>
          <w:rFonts w:ascii="宋体" w:hAnsi="宋体" w:cs="宋体"/>
          <w:b/>
          <w:color w:val="auto"/>
          <w:w w:val="90"/>
          <w:sz w:val="28"/>
          <w:szCs w:val="28"/>
          <w:highlight w:val="none"/>
        </w:rPr>
      </w:pPr>
      <w:r>
        <w:rPr>
          <w:rFonts w:hint="eastAsia" w:ascii="宋体" w:hAnsi="宋体" w:cs="宋体"/>
          <w:b/>
          <w:color w:val="auto"/>
          <w:w w:val="90"/>
          <w:sz w:val="28"/>
          <w:szCs w:val="28"/>
          <w:highlight w:val="none"/>
        </w:rPr>
        <w:t>第一部分    投标须知</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第一条  投标人</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投标人必须是独立法人资格的经济实体，投标人须提交相关证明供招标人验证，同时投标人应提供近三年的相关业绩资料。投标人必须保证所供应</w:t>
      </w:r>
      <w:r>
        <w:rPr>
          <w:rFonts w:hint="eastAsia" w:ascii="宋体" w:hAnsi="宋体" w:eastAsia="宋体" w:cs="宋体"/>
          <w:snapToGrid/>
          <w:color w:val="auto"/>
          <w:sz w:val="21"/>
          <w:szCs w:val="21"/>
          <w:highlight w:val="none"/>
          <w:lang w:eastAsia="zh-CN"/>
        </w:rPr>
        <w:t>的</w:t>
      </w:r>
      <w:r>
        <w:rPr>
          <w:rFonts w:hint="eastAsia" w:ascii="宋体" w:hAnsi="宋体" w:eastAsia="宋体" w:cs="宋体"/>
          <w:snapToGrid/>
          <w:color w:val="auto"/>
          <w:sz w:val="21"/>
          <w:szCs w:val="21"/>
          <w:highlight w:val="none"/>
          <w:lang w:val="en-US" w:eastAsia="zh-CN"/>
        </w:rPr>
        <w:t>石灰</w:t>
      </w:r>
      <w:r>
        <w:rPr>
          <w:rFonts w:hint="eastAsia" w:ascii="宋体" w:hAnsi="宋体" w:eastAsia="宋体" w:cs="宋体"/>
          <w:snapToGrid/>
          <w:color w:val="auto"/>
          <w:sz w:val="21"/>
          <w:szCs w:val="21"/>
          <w:highlight w:val="none"/>
        </w:rPr>
        <w:t>的质量并保证能按招标人规定的规格型号、期限进场，有能力实现这两个目标的投标人才有投标资格。</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第二条  投标人代表</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参加本次投标的单位代表，必须是单位的法人代表或持有法人代表亲自签署授权委托书的代理者。</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第三条  投标注意事项</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3.1本次公开招标在</w:t>
      </w:r>
      <w:r>
        <w:rPr>
          <w:rFonts w:hint="eastAsia" w:ascii="宋体" w:hAnsi="宋体" w:eastAsia="宋体" w:cs="宋体"/>
          <w:snapToGrid/>
          <w:color w:val="auto"/>
          <w:sz w:val="21"/>
          <w:szCs w:val="21"/>
          <w:highlight w:val="none"/>
          <w:lang w:eastAsia="zh-CN"/>
        </w:rPr>
        <w:t>中建路桥集团有限公司官网</w:t>
      </w:r>
      <w:r>
        <w:rPr>
          <w:rFonts w:hint="eastAsia" w:ascii="宋体" w:hAnsi="宋体" w:eastAsia="宋体" w:cs="宋体"/>
          <w:snapToGrid/>
          <w:color w:val="auto"/>
          <w:sz w:val="21"/>
          <w:szCs w:val="21"/>
          <w:highlight w:val="none"/>
        </w:rPr>
        <w:t>进行，投标人应及时登录</w:t>
      </w:r>
      <w:r>
        <w:rPr>
          <w:rFonts w:hint="eastAsia" w:ascii="宋体" w:hAnsi="宋体" w:eastAsia="宋体" w:cs="宋体"/>
          <w:snapToGrid/>
          <w:color w:val="auto"/>
          <w:sz w:val="21"/>
          <w:szCs w:val="21"/>
          <w:highlight w:val="none"/>
          <w:lang w:eastAsia="zh-CN"/>
        </w:rPr>
        <w:t>中建路桥集团有限公司官网</w:t>
      </w:r>
      <w:r>
        <w:rPr>
          <w:rFonts w:hint="eastAsia" w:ascii="宋体" w:hAnsi="宋体" w:eastAsia="宋体" w:cs="宋体"/>
          <w:snapToGrid/>
          <w:color w:val="auto"/>
          <w:sz w:val="21"/>
          <w:szCs w:val="21"/>
          <w:highlight w:val="none"/>
        </w:rPr>
        <w:t>，按照网络程序要求进行网上报名和投标报价等操作，并及时收看短信提示。</w:t>
      </w:r>
    </w:p>
    <w:p>
      <w:pPr>
        <w:snapToGrid w:val="0"/>
        <w:spacing w:after="10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3.1.1经资格审查入围的供应商，可直接登录</w:t>
      </w:r>
      <w:r>
        <w:rPr>
          <w:rFonts w:hint="eastAsia" w:ascii="宋体" w:hAnsi="宋体" w:eastAsia="宋体" w:cs="宋体"/>
          <w:snapToGrid/>
          <w:color w:val="auto"/>
          <w:sz w:val="21"/>
          <w:szCs w:val="21"/>
          <w:highlight w:val="none"/>
          <w:lang w:eastAsia="zh-CN"/>
        </w:rPr>
        <w:t>中建路桥集团有限公司官网</w:t>
      </w:r>
      <w:r>
        <w:rPr>
          <w:rFonts w:hint="eastAsia" w:ascii="宋体" w:hAnsi="宋体"/>
          <w:color w:val="auto"/>
          <w:kern w:val="0"/>
          <w:szCs w:val="21"/>
          <w:highlight w:val="none"/>
        </w:rPr>
        <w:t>自行下载招标文件，并依据招标文件要求于投标截止日前进行投标。</w:t>
      </w:r>
    </w:p>
    <w:p>
      <w:pPr>
        <w:snapToGrid w:val="0"/>
        <w:spacing w:after="100"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3.2投标方在</w:t>
      </w:r>
      <w:r>
        <w:rPr>
          <w:rFonts w:hint="eastAsia" w:ascii="宋体" w:hAnsi="宋体" w:eastAsia="宋体" w:cs="宋体"/>
          <w:snapToGrid/>
          <w:color w:val="auto"/>
          <w:sz w:val="21"/>
          <w:szCs w:val="21"/>
          <w:highlight w:val="none"/>
          <w:lang w:eastAsia="zh-CN"/>
        </w:rPr>
        <w:t>中建路桥集团有限公司官网</w:t>
      </w:r>
      <w:r>
        <w:rPr>
          <w:rFonts w:hint="eastAsia" w:ascii="宋体" w:hAnsi="宋体" w:cs="宋体"/>
          <w:color w:val="auto"/>
          <w:szCs w:val="21"/>
          <w:highlight w:val="none"/>
        </w:rPr>
        <w:t>投标时应注意：</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3.2.1按</w:t>
      </w:r>
      <w:r>
        <w:rPr>
          <w:rFonts w:hint="eastAsia" w:ascii="宋体" w:hAnsi="宋体" w:eastAsia="宋体" w:cs="宋体"/>
          <w:snapToGrid/>
          <w:color w:val="auto"/>
          <w:sz w:val="21"/>
          <w:szCs w:val="21"/>
          <w:highlight w:val="none"/>
          <w:lang w:eastAsia="zh-CN"/>
        </w:rPr>
        <w:t>招标文件</w:t>
      </w:r>
      <w:r>
        <w:rPr>
          <w:rFonts w:hint="eastAsia" w:ascii="宋体" w:hAnsi="宋体" w:eastAsia="宋体" w:cs="宋体"/>
          <w:snapToGrid/>
          <w:color w:val="auto"/>
          <w:sz w:val="21"/>
          <w:szCs w:val="21"/>
          <w:highlight w:val="none"/>
        </w:rPr>
        <w:t>提供格式表填写报价；</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3.2.2投标文件应符合第六条所列投标文件要求。</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3.2.</w:t>
      </w:r>
      <w:r>
        <w:rPr>
          <w:rFonts w:hint="eastAsia" w:ascii="宋体" w:hAnsi="宋体" w:eastAsia="宋体" w:cs="宋体"/>
          <w:snapToGrid/>
          <w:color w:val="auto"/>
          <w:sz w:val="21"/>
          <w:szCs w:val="21"/>
          <w:highlight w:val="none"/>
          <w:lang w:val="en-US" w:eastAsia="zh-CN"/>
        </w:rPr>
        <w:t>3</w:t>
      </w:r>
      <w:r>
        <w:rPr>
          <w:rFonts w:hint="eastAsia" w:ascii="宋体" w:hAnsi="宋体" w:eastAsia="宋体" w:cs="宋体"/>
          <w:snapToGrid/>
          <w:color w:val="auto"/>
          <w:sz w:val="21"/>
          <w:szCs w:val="21"/>
          <w:highlight w:val="none"/>
        </w:rPr>
        <w:t>投标人必须在正式文件中提示的投标截止时间前向招标人投递投标文件，招标方有可能根据投标情况变更投标截止时间，请投标人注意合理安排投标时间。</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3.3 投标人应认真阅读、充分理解招标文件的全部内容（包括所有的澄清），承认并履行招标文件中各项条款的规定及要求。若投标方对招标文件中之任何内容有不理解之处，须在截止回标之前通过正式文件通知招标方，以便在截止回标之前能予以解释；</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3.5若投标方在递交投标书后发觉其投标书有错误，可在截止回标时间之前通过</w:t>
      </w:r>
      <w:r>
        <w:rPr>
          <w:rFonts w:hint="eastAsia" w:ascii="宋体" w:hAnsi="宋体" w:eastAsia="宋体" w:cs="宋体"/>
          <w:snapToGrid/>
          <w:color w:val="auto"/>
          <w:sz w:val="21"/>
          <w:szCs w:val="21"/>
          <w:highlight w:val="none"/>
          <w:lang w:eastAsia="zh-CN"/>
        </w:rPr>
        <w:t>联系招标方</w:t>
      </w:r>
      <w:r>
        <w:rPr>
          <w:rFonts w:hint="eastAsia" w:ascii="宋体" w:hAnsi="宋体" w:eastAsia="宋体" w:cs="宋体"/>
          <w:snapToGrid/>
          <w:color w:val="auto"/>
          <w:sz w:val="21"/>
          <w:szCs w:val="21"/>
          <w:highlight w:val="none"/>
        </w:rPr>
        <w:t>进行更正。</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3.6招标方不保证一定要接受最低的标价或收到的任何标价，亦不会解释选择或否定任何标价的原因。</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3.7投标方在投标之前，对本招标工程现场条件、工程位置、周围环境、道路、交通、材料堆放场地等情况，应该被认为已详细了解。</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3.8投标单位在报价时应考虑供货周期的影响、运输过程中的一切不可预见的交通事故及其他原因造成的损失。</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3.9投标单位保证所回之标书正确无误，如有错漏由投标单位自身负责。</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3.10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6"/>
        <w:spacing w:before="156" w:beforeLines="50" w:after="120" w:line="36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3.11对本招标文件所附条款未列明的细节，投标单位可提交建议，并说明其对报价的影响，此建议须与投标书一同递交招标方考虑，由双方协商确定。</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第四条  招标工作安排</w:t>
      </w:r>
    </w:p>
    <w:p>
      <w:pPr>
        <w:adjustRightInd w:val="0"/>
        <w:snapToGrid w:val="0"/>
        <w:spacing w:after="100" w:line="360" w:lineRule="atLeast"/>
        <w:ind w:firstLine="420" w:firstLineChars="200"/>
        <w:jc w:val="left"/>
        <w:textAlignment w:val="baseline"/>
        <w:rPr>
          <w:rFonts w:ascii="宋体" w:hAnsi="宋体" w:cs="宋体"/>
          <w:b/>
          <w:color w:val="auto"/>
          <w:w w:val="90"/>
          <w:sz w:val="24"/>
          <w:highlight w:val="none"/>
        </w:rPr>
      </w:pPr>
      <w:r>
        <w:rPr>
          <w:rFonts w:hint="eastAsia" w:ascii="宋体" w:hAnsi="宋体" w:cs="宋体"/>
          <w:color w:val="auto"/>
          <w:kern w:val="0"/>
          <w:szCs w:val="21"/>
          <w:highlight w:val="none"/>
        </w:rPr>
        <w:t>招标人经办人：</w:t>
      </w:r>
      <w:r>
        <w:rPr>
          <w:rFonts w:hint="eastAsia" w:ascii="宋体" w:hAnsi="宋体" w:cs="宋体"/>
          <w:color w:val="auto"/>
          <w:kern w:val="0"/>
          <w:szCs w:val="21"/>
          <w:highlight w:val="none"/>
          <w:lang w:eastAsia="zh-CN"/>
        </w:rPr>
        <w:t>姜</w:t>
      </w:r>
      <w:r>
        <w:rPr>
          <w:rFonts w:hint="eastAsia" w:ascii="宋体" w:hAnsi="宋体" w:cs="宋体"/>
          <w:color w:val="auto"/>
          <w:kern w:val="0"/>
          <w:szCs w:val="21"/>
          <w:highlight w:val="none"/>
        </w:rPr>
        <w:t xml:space="preserve">先生 </w:t>
      </w:r>
    </w:p>
    <w:p>
      <w:pPr>
        <w:adjustRightInd w:val="0"/>
        <w:snapToGrid w:val="0"/>
        <w:spacing w:after="100" w:line="360" w:lineRule="atLeast"/>
        <w:ind w:firstLine="420" w:firstLineChars="200"/>
        <w:jc w:val="left"/>
        <w:textAlignment w:val="baseline"/>
        <w:rPr>
          <w:rFonts w:ascii="宋体" w:hAnsi="宋体" w:cs="宋体"/>
          <w:b/>
          <w:color w:val="auto"/>
          <w:w w:val="90"/>
          <w:sz w:val="24"/>
          <w:highlight w:val="none"/>
        </w:rPr>
      </w:pPr>
      <w:r>
        <w:rPr>
          <w:rFonts w:hint="eastAsia" w:ascii="宋体" w:hAnsi="宋体" w:cs="宋体"/>
          <w:color w:val="auto"/>
          <w:kern w:val="0"/>
          <w:szCs w:val="21"/>
          <w:highlight w:val="none"/>
        </w:rPr>
        <w:t>分 公 司： 姜先生   联系电话：  15964292926</w:t>
      </w:r>
    </w:p>
    <w:p>
      <w:pPr>
        <w:adjustRightInd w:val="0"/>
        <w:snapToGrid w:val="0"/>
        <w:spacing w:after="100" w:line="360" w:lineRule="atLeast"/>
        <w:ind w:firstLine="420" w:firstLineChars="200"/>
        <w:jc w:val="left"/>
        <w:textAlignment w:val="baseline"/>
        <w:rPr>
          <w:rFonts w:hint="default" w:ascii="宋体" w:hAnsi="宋体" w:eastAsia="宋体" w:cs="宋体"/>
          <w:b/>
          <w:color w:val="auto"/>
          <w:w w:val="90"/>
          <w:sz w:val="24"/>
          <w:highlight w:val="none"/>
          <w:lang w:val="en-US" w:eastAsia="zh-CN"/>
        </w:rPr>
      </w:pPr>
      <w:r>
        <w:rPr>
          <w:rFonts w:hint="eastAsia" w:ascii="宋体" w:hAnsi="宋体" w:cs="宋体"/>
          <w:color w:val="auto"/>
          <w:szCs w:val="21"/>
          <w:highlight w:val="none"/>
        </w:rPr>
        <w:t xml:space="preserve">项    目： </w:t>
      </w:r>
      <w:r>
        <w:rPr>
          <w:rFonts w:hint="eastAsia" w:ascii="宋体" w:hAnsi="宋体" w:cs="宋体"/>
          <w:color w:val="auto"/>
          <w:szCs w:val="21"/>
          <w:highlight w:val="none"/>
          <w:lang w:val="en-US" w:eastAsia="zh-CN"/>
        </w:rPr>
        <w:t xml:space="preserve">郭艳帅   </w:t>
      </w:r>
      <w:r>
        <w:rPr>
          <w:rFonts w:hint="eastAsia" w:ascii="宋体" w:hAnsi="宋体" w:cs="宋体"/>
          <w:color w:val="auto"/>
          <w:szCs w:val="21"/>
          <w:highlight w:val="none"/>
        </w:rPr>
        <w:t xml:space="preserve">联系电话：  </w:t>
      </w:r>
      <w:r>
        <w:rPr>
          <w:rFonts w:hint="eastAsia" w:ascii="宋体" w:hAnsi="宋体" w:cs="宋体"/>
          <w:color w:val="auto"/>
          <w:szCs w:val="21"/>
          <w:highlight w:val="none"/>
          <w:lang w:val="en-US" w:eastAsia="zh-CN"/>
        </w:rPr>
        <w:t>18561988820</w:t>
      </w:r>
    </w:p>
    <w:p>
      <w:pPr>
        <w:pStyle w:val="12"/>
        <w:spacing w:line="500" w:lineRule="exact"/>
        <w:ind w:firstLine="480" w:firstLineChars="200"/>
        <w:rPr>
          <w:rFonts w:hint="eastAsia" w:ascii="宋体" w:hAnsi="宋体" w:cs="宋体"/>
          <w:b/>
          <w:color w:val="auto"/>
          <w:w w:val="90"/>
          <w:sz w:val="24"/>
          <w:highlight w:val="none"/>
        </w:rPr>
      </w:pPr>
      <w:r>
        <w:rPr>
          <w:rFonts w:hint="eastAsia" w:ascii="宋体" w:hAnsi="宋体" w:cs="宋体"/>
          <w:color w:val="auto"/>
          <w:kern w:val="0"/>
          <w:szCs w:val="21"/>
          <w:highlight w:val="none"/>
        </w:rPr>
        <w:t>项目联系地点：</w:t>
      </w:r>
      <w:r>
        <w:rPr>
          <w:rFonts w:hint="eastAsia" w:cs="仿宋"/>
          <w:color w:val="auto"/>
          <w:highlight w:val="none"/>
          <w:u w:val="single"/>
          <w:lang w:val="en-US" w:eastAsia="zh-CN"/>
        </w:rPr>
        <w:t>山东省济宁市任城区石桥镇韩店村中建路桥济宁EPC项目部</w:t>
      </w:r>
    </w:p>
    <w:p>
      <w:pPr>
        <w:adjustRightInd w:val="0"/>
        <w:snapToGrid w:val="0"/>
        <w:spacing w:after="100" w:line="360" w:lineRule="atLeast"/>
        <w:ind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rPr>
        <w:t>勘探现场及答疑联系人：</w:t>
      </w:r>
      <w:r>
        <w:rPr>
          <w:rFonts w:hint="eastAsia" w:ascii="宋体" w:hAnsi="宋体" w:cs="宋体"/>
          <w:color w:val="auto"/>
          <w:szCs w:val="21"/>
          <w:highlight w:val="none"/>
          <w:lang w:val="en-US" w:eastAsia="zh-CN"/>
        </w:rPr>
        <w:t xml:space="preserve">郭艳帅   </w:t>
      </w:r>
      <w:r>
        <w:rPr>
          <w:rFonts w:hint="eastAsia" w:ascii="宋体" w:hAnsi="宋体" w:cs="宋体"/>
          <w:color w:val="auto"/>
          <w:szCs w:val="21"/>
          <w:highlight w:val="none"/>
        </w:rPr>
        <w:t xml:space="preserve">联系电话：  </w:t>
      </w:r>
      <w:r>
        <w:rPr>
          <w:rFonts w:hint="eastAsia" w:ascii="宋体" w:hAnsi="宋体" w:cs="宋体"/>
          <w:color w:val="auto"/>
          <w:szCs w:val="21"/>
          <w:highlight w:val="none"/>
          <w:lang w:val="en-US" w:eastAsia="zh-CN"/>
        </w:rPr>
        <w:t>18561988820</w:t>
      </w:r>
    </w:p>
    <w:p>
      <w:pPr>
        <w:adjustRightInd w:val="0"/>
        <w:snapToGrid w:val="0"/>
        <w:spacing w:after="100" w:line="360" w:lineRule="atLeast"/>
        <w:jc w:val="left"/>
        <w:textAlignment w:val="baseline"/>
        <w:rPr>
          <w:rFonts w:hint="eastAsia"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投标截止时间：2019年1</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月 </w:t>
      </w:r>
      <w:r>
        <w:rPr>
          <w:rFonts w:hint="eastAsia" w:ascii="宋体" w:hAnsi="宋体" w:cs="宋体"/>
          <w:color w:val="auto"/>
          <w:kern w:val="2"/>
          <w:sz w:val="21"/>
          <w:szCs w:val="21"/>
          <w:highlight w:val="none"/>
          <w:lang w:val="en-US" w:eastAsia="zh-CN" w:bidi="ar-SA"/>
        </w:rPr>
        <w:t>9</w:t>
      </w:r>
      <w:bookmarkStart w:id="10" w:name="_GoBack"/>
      <w:bookmarkEnd w:id="10"/>
      <w:r>
        <w:rPr>
          <w:rFonts w:hint="eastAsia" w:ascii="宋体" w:hAnsi="宋体" w:eastAsia="宋体" w:cs="宋体"/>
          <w:color w:val="auto"/>
          <w:kern w:val="2"/>
          <w:sz w:val="21"/>
          <w:szCs w:val="21"/>
          <w:highlight w:val="none"/>
          <w:lang w:val="en-US" w:eastAsia="zh-CN" w:bidi="ar-SA"/>
        </w:rPr>
        <w:t xml:space="preserve">  日</w:t>
      </w:r>
      <w:r>
        <w:rPr>
          <w:rFonts w:hint="eastAsia" w:cs="宋体"/>
          <w:color w:val="auto"/>
          <w:kern w:val="2"/>
          <w:sz w:val="21"/>
          <w:szCs w:val="21"/>
          <w:highlight w:val="none"/>
          <w:lang w:val="en-US" w:eastAsia="zh-CN" w:bidi="ar-SA"/>
        </w:rPr>
        <w:t>17：00整</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第五条  投标费用</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无论投标过程中的做法和结果如何，投标人自行承担所有与编写、提交投标文件和参加投标有关的全部费用。招标人在任何情况下无义务和责任承担这些费用；招标人对未中标人不予任何补偿。</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第六条  投标文件要求</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6.1投标人编写的投标文件应包括下列内容（但不限于以下内容）：</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6.1.1投标书（附件1）</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6.1.2报价单（附件2）【经投标方法人代表或其委托人签名，盖章并标注回标时间】</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6.1.3法定代表人授权书（附件3）</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6.1.4 投标人资格证书：</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（1）中华人民共和国企业法人营业执照、税务登记证、组织机构代码证；</w:t>
      </w:r>
    </w:p>
    <w:p>
      <w:pPr>
        <w:pStyle w:val="6"/>
        <w:spacing w:before="156" w:beforeLines="50" w:after="120"/>
        <w:ind w:firstLineChars="200"/>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（2）中华人民共和国中外合资经营企业批准证书（仅对中外合资经营企业）；</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w:t>
      </w:r>
      <w:r>
        <w:rPr>
          <w:rFonts w:ascii="宋体" w:hAnsi="宋体" w:eastAsia="宋体" w:cs="宋体"/>
          <w:snapToGrid/>
          <w:color w:val="auto"/>
          <w:sz w:val="21"/>
          <w:szCs w:val="21"/>
          <w:highlight w:val="none"/>
        </w:rPr>
        <w:t>3</w:t>
      </w:r>
      <w:r>
        <w:rPr>
          <w:rFonts w:hint="eastAsia" w:ascii="宋体" w:hAnsi="宋体" w:eastAsia="宋体" w:cs="宋体"/>
          <w:snapToGrid/>
          <w:color w:val="auto"/>
          <w:sz w:val="21"/>
          <w:szCs w:val="21"/>
          <w:highlight w:val="none"/>
        </w:rPr>
        <w:t>）有效的产品生产许可证或销售许可证；</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w:t>
      </w:r>
      <w:r>
        <w:rPr>
          <w:rFonts w:ascii="宋体" w:hAnsi="宋体" w:eastAsia="宋体" w:cs="宋体"/>
          <w:snapToGrid/>
          <w:color w:val="auto"/>
          <w:sz w:val="21"/>
          <w:szCs w:val="21"/>
          <w:highlight w:val="none"/>
        </w:rPr>
        <w:t>4</w:t>
      </w:r>
      <w:r>
        <w:rPr>
          <w:rFonts w:hint="eastAsia" w:ascii="宋体" w:hAnsi="宋体" w:eastAsia="宋体" w:cs="宋体"/>
          <w:snapToGrid/>
          <w:color w:val="auto"/>
          <w:sz w:val="21"/>
          <w:szCs w:val="21"/>
          <w:highlight w:val="none"/>
        </w:rPr>
        <w:t>）有效的产品鉴定证书和检测报告；</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w:t>
      </w:r>
      <w:r>
        <w:rPr>
          <w:rFonts w:ascii="宋体" w:hAnsi="宋体" w:eastAsia="宋体" w:cs="宋体"/>
          <w:snapToGrid/>
          <w:color w:val="auto"/>
          <w:sz w:val="21"/>
          <w:szCs w:val="21"/>
          <w:highlight w:val="none"/>
        </w:rPr>
        <w:t>5</w:t>
      </w:r>
      <w:r>
        <w:rPr>
          <w:rFonts w:hint="eastAsia" w:ascii="宋体" w:hAnsi="宋体" w:eastAsia="宋体" w:cs="宋体"/>
          <w:snapToGrid/>
          <w:color w:val="auto"/>
          <w:sz w:val="21"/>
          <w:szCs w:val="21"/>
          <w:highlight w:val="none"/>
        </w:rPr>
        <w:t>）企业ISO9000和ISO14000系列认证（如有须提供，外文须译成中文）。</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w:t>
      </w:r>
      <w:r>
        <w:rPr>
          <w:rFonts w:ascii="宋体" w:hAnsi="宋体" w:eastAsia="宋体" w:cs="宋体"/>
          <w:snapToGrid/>
          <w:color w:val="auto"/>
          <w:sz w:val="21"/>
          <w:szCs w:val="21"/>
          <w:highlight w:val="none"/>
        </w:rPr>
        <w:t>6</w:t>
      </w:r>
      <w:r>
        <w:rPr>
          <w:rFonts w:hint="eastAsia" w:ascii="宋体" w:hAnsi="宋体" w:eastAsia="宋体" w:cs="宋体"/>
          <w:snapToGrid/>
          <w:color w:val="auto"/>
          <w:sz w:val="21"/>
          <w:szCs w:val="21"/>
          <w:highlight w:val="none"/>
        </w:rPr>
        <w:t>）增值税一般纳税人资格登记表。</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6.1.5业绩证明资料（近三年的类似工程施工合同复印件，提供原件备查）</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6.2投标文件编制要求：</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6.2.1投标书的内容应按照招标单位提供的表样文件的要求，详细填写，请勿遗漏；</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6.2.2投标文件要求的附件1-3和资格证书等以原件的扫描件形式在投标文件电子版中体现；</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6.2.3投标文件用中文编制。</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6.3标书有下列情况之一无效：</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6.3.1投标书未按规定盖公章和法人代表印鉴；</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6.3.2投标书内容不全、字迹模糊难以辨认或未按规定填写；</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6.3.3投标企业法人代表未参加议标会议，又无指定的代理人【以法人代表委托书为准】，参加会议或虽参加会议但无证件者。</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6.4投标有效期</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6.4.1投标有效期为：规定的投标截止之日后90天内投标文件有效。有效期内投标人不得自行改变其投标文件内容。</w:t>
      </w:r>
    </w:p>
    <w:p>
      <w:pPr>
        <w:pStyle w:val="6"/>
        <w:spacing w:before="156" w:beforeLines="50" w:after="120" w:line="400" w:lineRule="exact"/>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6.4.2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6.4.3投标人投标有效期缩短的，招标人可以视为未响应招标文件而被拒绝。</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第七条  评标与定标</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7.1评标原则：招标方评标遵循公平、公正、科学和择优的原则。</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7.2定标</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7.2.1招标人根据综合评标结果选择合理低价为中标人；</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7.2.2招标人可自主选择中标人，对未中标的投标人无解释义务。</w:t>
      </w:r>
    </w:p>
    <w:p>
      <w:pPr>
        <w:adjustRightInd w:val="0"/>
        <w:snapToGrid w:val="0"/>
        <w:spacing w:after="100" w:line="360" w:lineRule="atLeast"/>
        <w:jc w:val="left"/>
        <w:textAlignment w:val="baseline"/>
        <w:rPr>
          <w:rFonts w:ascii="宋体" w:hAnsi="宋体" w:cs="宋体"/>
          <w:b/>
          <w:color w:val="auto"/>
          <w:w w:val="90"/>
          <w:sz w:val="24"/>
          <w:highlight w:val="none"/>
        </w:rPr>
      </w:pPr>
      <w:r>
        <w:rPr>
          <w:rFonts w:hint="eastAsia" w:ascii="宋体" w:hAnsi="宋体" w:cs="宋体"/>
          <w:b/>
          <w:color w:val="auto"/>
          <w:w w:val="90"/>
          <w:sz w:val="24"/>
          <w:highlight w:val="none"/>
        </w:rPr>
        <w:t>第八条  招标单位重要声明</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8.1本次招标为中建路桥集团有限公司</w:t>
      </w:r>
      <w:r>
        <w:rPr>
          <w:rFonts w:hint="eastAsia" w:ascii="宋体" w:hAnsi="宋体" w:cs="宋体"/>
          <w:color w:val="auto"/>
          <w:szCs w:val="21"/>
          <w:highlight w:val="none"/>
          <w:lang w:val="en-US" w:eastAsia="zh-CN"/>
        </w:rPr>
        <w:t>济宁市太白湖新区路网、桥梁建设EPC项目</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采购招标，招标单位将按工程项目与中标单位签署供货合同，投标方应按照招标方项目的需求分批次保证供货。</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8.2投标单位对招标单位上述授予合同的方式应完全接受，不得以任何理由回绝。</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8.3投标单位一旦回标视为对本招标文件内容的完全接受，并有可能随时在有效期内被接纳。</w:t>
      </w:r>
    </w:p>
    <w:p>
      <w:pPr>
        <w:pStyle w:val="6"/>
        <w:spacing w:before="156" w:beforeLines="50" w:after="120" w:line="276" w:lineRule="auto"/>
        <w:ind w:firstLine="407" w:firstLineChars="194"/>
        <w:jc w:val="left"/>
        <w:rPr>
          <w:rFonts w:ascii="宋体" w:hAnsi="宋体" w:cs="宋体"/>
          <w:b/>
          <w:color w:val="auto"/>
          <w:w w:val="90"/>
          <w:sz w:val="28"/>
          <w:szCs w:val="28"/>
          <w:highlight w:val="none"/>
        </w:rPr>
      </w:pPr>
      <w:r>
        <w:rPr>
          <w:rFonts w:hint="eastAsia" w:ascii="宋体" w:hAnsi="宋体" w:eastAsia="宋体" w:cs="宋体"/>
          <w:snapToGrid/>
          <w:color w:val="auto"/>
          <w:sz w:val="21"/>
          <w:szCs w:val="21"/>
          <w:highlight w:val="none"/>
        </w:rPr>
        <w:t>8.4投标人的投标文件一旦被招标人接受，本招标文件连同投标人的投标文件将构成对双方具有法律约束力的文件。</w:t>
      </w:r>
      <w:r>
        <w:rPr>
          <w:rFonts w:hint="eastAsia" w:ascii="宋体" w:hAnsi="宋体" w:cs="宋体"/>
          <w:color w:val="auto"/>
          <w:szCs w:val="21"/>
          <w:highlight w:val="none"/>
        </w:rPr>
        <w:t xml:space="preserve"> </w:t>
      </w:r>
      <w:r>
        <w:rPr>
          <w:rFonts w:hint="eastAsia" w:ascii="宋体" w:hAnsi="宋体" w:cs="宋体"/>
          <w:color w:val="auto"/>
          <w:w w:val="90"/>
          <w:sz w:val="24"/>
          <w:highlight w:val="none"/>
        </w:rPr>
        <w:br w:type="page"/>
      </w:r>
      <w:r>
        <w:rPr>
          <w:rFonts w:hint="eastAsia" w:ascii="宋体" w:hAnsi="宋体" w:cs="宋体"/>
          <w:b/>
          <w:color w:val="auto"/>
          <w:w w:val="90"/>
          <w:sz w:val="28"/>
          <w:szCs w:val="28"/>
          <w:highlight w:val="none"/>
        </w:rPr>
        <w:t>第二部分  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color w:val="auto"/>
          <w:w w:val="90"/>
          <w:highlight w:val="none"/>
          <w:u w:val="double"/>
        </w:rPr>
      </w:pPr>
      <w:r>
        <w:rPr>
          <w:rFonts w:hint="eastAsia"/>
          <w:b/>
          <w:color w:val="auto"/>
          <w:w w:val="90"/>
          <w:highlight w:val="none"/>
          <w:u w:val="double"/>
        </w:rPr>
        <w:t>一、工程概况</w:t>
      </w:r>
    </w:p>
    <w:p>
      <w:pPr>
        <w:spacing w:line="360" w:lineRule="auto"/>
        <w:ind w:firstLine="420" w:firstLineChars="200"/>
        <w:rPr>
          <w:rFonts w:hint="eastAsia"/>
          <w:sz w:val="20"/>
          <w:szCs w:val="20"/>
          <w:lang w:val="en-US" w:eastAsia="zh-CN"/>
        </w:rPr>
      </w:pPr>
      <w:r>
        <w:rPr>
          <w:rFonts w:hint="eastAsia" w:ascii="宋体" w:hAnsi="宋体" w:cs="宋体"/>
          <w:color w:val="auto"/>
          <w:szCs w:val="21"/>
          <w:highlight w:val="none"/>
        </w:rPr>
        <w:t>工程名称：</w:t>
      </w:r>
      <w:r>
        <w:rPr>
          <w:rFonts w:hint="eastAsia" w:ascii="宋体" w:hAnsi="宋体" w:eastAsia="宋体" w:cs="宋体"/>
          <w:sz w:val="21"/>
          <w:szCs w:val="21"/>
          <w:u w:val="single"/>
          <w:lang w:val="en-US" w:eastAsia="zh-CN"/>
        </w:rPr>
        <w:t>济宁市太白湖新区路网、桥梁建设</w:t>
      </w:r>
      <w:r>
        <w:rPr>
          <w:rFonts w:hint="eastAsia" w:ascii="宋体" w:hAnsi="宋体" w:cs="宋体"/>
          <w:sz w:val="21"/>
          <w:szCs w:val="21"/>
          <w:u w:val="single"/>
          <w:lang w:val="en-US" w:eastAsia="zh-CN"/>
        </w:rPr>
        <w:t>EPC项目</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工程地点：</w:t>
      </w:r>
      <w:r>
        <w:rPr>
          <w:rFonts w:hint="eastAsia" w:ascii="宋体" w:hAnsi="宋体" w:cs="宋体"/>
          <w:color w:val="auto"/>
          <w:szCs w:val="21"/>
          <w:highlight w:val="none"/>
          <w:u w:val="single"/>
        </w:rPr>
        <w:t>山东省</w:t>
      </w:r>
      <w:r>
        <w:rPr>
          <w:rFonts w:hint="eastAsia" w:ascii="宋体" w:hAnsi="宋体" w:cs="宋体"/>
          <w:color w:val="auto"/>
          <w:szCs w:val="21"/>
          <w:highlight w:val="none"/>
          <w:u w:val="single"/>
          <w:lang w:val="en-US" w:eastAsia="zh-CN"/>
        </w:rPr>
        <w:t>济宁市太白湖新区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color w:val="auto"/>
          <w:highlight w:val="none"/>
        </w:rPr>
      </w:pPr>
      <w:r>
        <w:rPr>
          <w:rFonts w:hint="eastAsia" w:ascii="宋体" w:hAnsi="宋体" w:eastAsia="宋体" w:cs="宋体"/>
          <w:color w:val="auto"/>
          <w:kern w:val="2"/>
          <w:sz w:val="21"/>
          <w:szCs w:val="21"/>
          <w:highlight w:val="none"/>
          <w:lang w:val="en-US" w:eastAsia="zh-CN" w:bidi="ar-SA"/>
        </w:rPr>
        <w:t>项目简介：</w:t>
      </w:r>
      <w:r>
        <w:rPr>
          <w:rFonts w:hint="eastAsia" w:hAnsi="宋体" w:cs="Times New Roman"/>
          <w:sz w:val="21"/>
          <w:szCs w:val="21"/>
          <w:u w:val="single"/>
        </w:rPr>
        <w:t>新区近</w:t>
      </w:r>
      <w:r>
        <w:rPr>
          <w:rFonts w:hAnsi="宋体" w:cs="Times New Roman"/>
          <w:sz w:val="21"/>
          <w:szCs w:val="21"/>
          <w:u w:val="single"/>
        </w:rPr>
        <w:t>3</w:t>
      </w:r>
      <w:r>
        <w:rPr>
          <w:rFonts w:hint="eastAsia" w:hAnsi="宋体" w:cs="Times New Roman"/>
          <w:sz w:val="21"/>
          <w:szCs w:val="21"/>
          <w:u w:val="single"/>
        </w:rPr>
        <w:t>年</w:t>
      </w:r>
      <w:r>
        <w:rPr>
          <w:rFonts w:hAnsi="宋体" w:cs="Times New Roman"/>
          <w:sz w:val="21"/>
          <w:szCs w:val="21"/>
          <w:u w:val="single"/>
        </w:rPr>
        <w:t>(2019--2021</w:t>
      </w:r>
      <w:r>
        <w:rPr>
          <w:rFonts w:hint="eastAsia" w:hAnsi="宋体" w:cs="Times New Roman"/>
          <w:sz w:val="21"/>
          <w:szCs w:val="21"/>
          <w:u w:val="single"/>
        </w:rPr>
        <w:t>年</w:t>
      </w:r>
      <w:r>
        <w:rPr>
          <w:rFonts w:hAnsi="宋体" w:cs="Times New Roman"/>
          <w:sz w:val="21"/>
          <w:szCs w:val="21"/>
          <w:u w:val="single"/>
        </w:rPr>
        <w:t>)</w:t>
      </w:r>
      <w:r>
        <w:rPr>
          <w:rFonts w:hint="eastAsia" w:hAnsi="宋体" w:cs="Times New Roman"/>
          <w:sz w:val="21"/>
          <w:szCs w:val="21"/>
          <w:u w:val="single"/>
        </w:rPr>
        <w:t>需开工建设的道路、桥涵、排水、电力排管、地下管廊、路灯、绿化、信号灯、交通标志标线等项目，工程总投资估算约</w:t>
      </w:r>
      <w:r>
        <w:rPr>
          <w:rFonts w:hint="eastAsia" w:cs="Times New Roman"/>
          <w:sz w:val="21"/>
          <w:szCs w:val="21"/>
          <w:u w:val="single"/>
          <w:lang w:val="en-US" w:eastAsia="zh-CN"/>
        </w:rPr>
        <w:t>17.16</w:t>
      </w:r>
      <w:r>
        <w:rPr>
          <w:rFonts w:hint="eastAsia" w:hAnsi="宋体" w:cs="Times New Roman"/>
          <w:sz w:val="21"/>
          <w:szCs w:val="21"/>
          <w:u w:val="single"/>
        </w:rPr>
        <w:t>亿元。</w:t>
      </w:r>
    </w:p>
    <w:p>
      <w:pPr>
        <w:pStyle w:val="6"/>
        <w:spacing w:before="156" w:beforeLines="50" w:after="120"/>
        <w:ind w:firstLine="407" w:firstLineChars="194"/>
        <w:jc w:val="both"/>
        <w:rPr>
          <w:rFonts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现场条件：现场一切条件及运输过程中的各种障碍、各种意想不到的费用等均由投标人自行考虑，费用自行承担。</w:t>
      </w:r>
    </w:p>
    <w:p>
      <w:pPr>
        <w:pStyle w:val="12"/>
        <w:widowControl w:val="0"/>
        <w:tabs>
          <w:tab w:val="left" w:pos="-105"/>
          <w:tab w:val="left" w:pos="440"/>
          <w:tab w:val="left" w:pos="550"/>
        </w:tabs>
        <w:adjustRightInd w:val="0"/>
        <w:snapToGrid w:val="0"/>
        <w:spacing w:before="0" w:after="144"/>
        <w:textAlignment w:val="baseline"/>
        <w:outlineLvl w:val="0"/>
        <w:rPr>
          <w:b/>
          <w:color w:val="auto"/>
          <w:w w:val="90"/>
          <w:highlight w:val="none"/>
          <w:u w:val="double"/>
        </w:rPr>
      </w:pPr>
      <w:r>
        <w:rPr>
          <w:rFonts w:hint="eastAsia"/>
          <w:b/>
          <w:color w:val="auto"/>
          <w:w w:val="90"/>
          <w:highlight w:val="none"/>
          <w:u w:val="double"/>
        </w:rPr>
        <w:t>二、招标形式及招标范围</w:t>
      </w:r>
    </w:p>
    <w:p>
      <w:pPr>
        <w:pStyle w:val="19"/>
        <w:spacing w:beforeLines="0" w:line="400" w:lineRule="exact"/>
        <w:jc w:val="left"/>
        <w:rPr>
          <w:rFonts w:cs="宋体"/>
          <w:color w:val="auto"/>
          <w:highlight w:val="none"/>
        </w:rPr>
      </w:pPr>
      <w:r>
        <w:rPr>
          <w:rFonts w:hint="eastAsia" w:cs="宋体"/>
          <w:color w:val="auto"/>
          <w:highlight w:val="none"/>
        </w:rPr>
        <w:t>1.本招标工程采用公开招标综合评定的方式。</w:t>
      </w:r>
    </w:p>
    <w:p>
      <w:pPr>
        <w:pStyle w:val="19"/>
        <w:spacing w:beforeLines="0" w:line="400" w:lineRule="exact"/>
        <w:jc w:val="left"/>
        <w:rPr>
          <w:rFonts w:cs="宋体"/>
          <w:color w:val="auto"/>
          <w:highlight w:val="none"/>
        </w:rPr>
      </w:pPr>
      <w:r>
        <w:rPr>
          <w:rFonts w:hint="eastAsia" w:cs="宋体"/>
          <w:color w:val="auto"/>
          <w:highlight w:val="none"/>
        </w:rPr>
        <w:t>2.本次招标范围：完成本</w:t>
      </w:r>
      <w:r>
        <w:rPr>
          <w:rFonts w:hint="eastAsia" w:cs="宋体"/>
          <w:color w:val="auto"/>
          <w:highlight w:val="none"/>
          <w:lang w:eastAsia="zh-CN"/>
        </w:rPr>
        <w:t>次</w:t>
      </w:r>
      <w:r>
        <w:rPr>
          <w:rFonts w:hint="eastAsia" w:cs="宋体"/>
          <w:color w:val="auto"/>
          <w:highlight w:val="none"/>
        </w:rPr>
        <w:t>招标工程所需</w:t>
      </w:r>
      <w:r>
        <w:rPr>
          <w:rFonts w:hint="eastAsia" w:cs="宋体"/>
          <w:color w:val="auto"/>
          <w:kern w:val="0"/>
          <w:sz w:val="22"/>
          <w:szCs w:val="22"/>
          <w:highlight w:val="none"/>
          <w:lang w:eastAsia="zh-CN"/>
        </w:rPr>
        <w:t>石灰</w:t>
      </w:r>
      <w:r>
        <w:rPr>
          <w:rFonts w:hint="eastAsia" w:cs="宋体"/>
          <w:color w:val="auto"/>
          <w:highlight w:val="none"/>
        </w:rPr>
        <w:t>的供应清单如下：</w:t>
      </w:r>
    </w:p>
    <w:tbl>
      <w:tblPr>
        <w:tblStyle w:val="14"/>
        <w:tblW w:w="10425" w:type="dxa"/>
        <w:tblInd w:w="-1060" w:type="dxa"/>
        <w:tblLayout w:type="fixed"/>
        <w:tblCellMar>
          <w:top w:w="15" w:type="dxa"/>
          <w:left w:w="15" w:type="dxa"/>
          <w:bottom w:w="15" w:type="dxa"/>
          <w:right w:w="15" w:type="dxa"/>
        </w:tblCellMar>
      </w:tblPr>
      <w:tblGrid>
        <w:gridCol w:w="614"/>
        <w:gridCol w:w="2178"/>
        <w:gridCol w:w="1202"/>
        <w:gridCol w:w="687"/>
        <w:gridCol w:w="1220"/>
        <w:gridCol w:w="1220"/>
        <w:gridCol w:w="1402"/>
        <w:gridCol w:w="837"/>
        <w:gridCol w:w="1065"/>
      </w:tblGrid>
      <w:tr>
        <w:tblPrEx>
          <w:tblCellMar>
            <w:top w:w="15" w:type="dxa"/>
            <w:left w:w="15" w:type="dxa"/>
            <w:bottom w:w="15" w:type="dxa"/>
            <w:right w:w="15" w:type="dxa"/>
          </w:tblCellMar>
        </w:tblPrEx>
        <w:trPr>
          <w:trHeight w:val="441" w:hRule="atLeast"/>
        </w:trPr>
        <w:tc>
          <w:tcPr>
            <w:tcW w:w="6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21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物资名称</w:t>
            </w:r>
          </w:p>
        </w:tc>
        <w:tc>
          <w:tcPr>
            <w:tcW w:w="12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规格型号</w:t>
            </w:r>
          </w:p>
        </w:tc>
        <w:tc>
          <w:tcPr>
            <w:tcW w:w="6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单位</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数量</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（暂定）</w:t>
            </w:r>
          </w:p>
        </w:tc>
        <w:tc>
          <w:tcPr>
            <w:tcW w:w="452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综合单价（元</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w:t>
            </w:r>
          </w:p>
        </w:tc>
      </w:tr>
      <w:tr>
        <w:tblPrEx>
          <w:tblCellMar>
            <w:top w:w="15" w:type="dxa"/>
            <w:left w:w="15" w:type="dxa"/>
            <w:bottom w:w="15" w:type="dxa"/>
            <w:right w:w="15" w:type="dxa"/>
          </w:tblCellMar>
        </w:tblPrEx>
        <w:trPr>
          <w:trHeight w:val="670"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highlight w:val="none"/>
              </w:rPr>
            </w:pPr>
          </w:p>
        </w:tc>
        <w:tc>
          <w:tcPr>
            <w:tcW w:w="21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highlight w:val="none"/>
              </w:rPr>
            </w:pPr>
          </w:p>
        </w:tc>
        <w:tc>
          <w:tcPr>
            <w:tcW w:w="12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highlight w:val="none"/>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单价</w:t>
            </w:r>
            <w:r>
              <w:rPr>
                <w:rFonts w:hint="eastAsia" w:cs="宋体"/>
                <w:b/>
                <w:color w:val="auto"/>
                <w:highlight w:val="none"/>
              </w:rPr>
              <w:t>A</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（不含税）</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发票</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票面税率</w:t>
            </w: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税额</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价税合计</w:t>
            </w:r>
          </w:p>
        </w:tc>
      </w:tr>
      <w:tr>
        <w:tblPrEx>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r>
              <w:rPr>
                <w:rFonts w:hint="eastAsia" w:ascii="宋体" w:hAnsi="宋体" w:eastAsia="宋体" w:cs="宋体"/>
                <w:color w:val="000000"/>
                <w:kern w:val="0"/>
                <w:sz w:val="22"/>
                <w:szCs w:val="22"/>
              </w:rPr>
              <w:t>1</w:t>
            </w:r>
          </w:p>
        </w:tc>
        <w:tc>
          <w:tcPr>
            <w:tcW w:w="21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eastAsia="zh-CN"/>
              </w:rPr>
            </w:pPr>
            <w:r>
              <w:rPr>
                <w:rFonts w:hint="eastAsia" w:ascii="宋体" w:hAnsi="宋体" w:cs="宋体"/>
                <w:i w:val="0"/>
                <w:color w:val="000000"/>
                <w:kern w:val="0"/>
                <w:sz w:val="22"/>
                <w:szCs w:val="22"/>
                <w:u w:val="none"/>
                <w:lang w:val="en-US" w:eastAsia="zh-CN" w:bidi="ar"/>
              </w:rPr>
              <w:t>石灰</w:t>
            </w:r>
          </w:p>
        </w:tc>
        <w:tc>
          <w:tcPr>
            <w:tcW w:w="120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生石灰（</w:t>
            </w:r>
            <w:r>
              <w:rPr>
                <w:rFonts w:hint="eastAsia" w:ascii="宋体" w:hAnsi="宋体" w:eastAsia="宋体" w:cs="宋体"/>
                <w:color w:val="auto"/>
                <w:kern w:val="0"/>
                <w:sz w:val="22"/>
                <w:highlight w:val="none"/>
                <w:lang w:val="en-US" w:eastAsia="zh-CN"/>
              </w:rPr>
              <w:t>Ⅲ</w:t>
            </w:r>
            <w:r>
              <w:rPr>
                <w:rFonts w:hint="eastAsia" w:ascii="宋体" w:hAnsi="宋体" w:cs="宋体"/>
                <w:color w:val="auto"/>
                <w:kern w:val="0"/>
                <w:sz w:val="22"/>
                <w:highlight w:val="none"/>
                <w:lang w:val="en-US" w:eastAsia="zh-CN"/>
              </w:rPr>
              <w:t>级灰），有效钙镁含量</w:t>
            </w:r>
            <w:r>
              <w:rPr>
                <w:rFonts w:hint="eastAsia" w:ascii="宋体" w:hAnsi="宋体" w:eastAsia="宋体" w:cs="宋体"/>
                <w:color w:val="auto"/>
                <w:kern w:val="0"/>
                <w:sz w:val="22"/>
                <w:highlight w:val="none"/>
                <w:lang w:val="en-US" w:eastAsia="zh-CN"/>
              </w:rPr>
              <w:t>≧</w:t>
            </w:r>
            <w:r>
              <w:rPr>
                <w:rFonts w:hint="eastAsia" w:ascii="宋体" w:hAnsi="宋体" w:cs="宋体"/>
                <w:color w:val="auto"/>
                <w:kern w:val="0"/>
                <w:sz w:val="22"/>
                <w:highlight w:val="none"/>
                <w:lang w:val="en-US" w:eastAsia="zh-CN"/>
              </w:rPr>
              <w:t>55</w:t>
            </w:r>
          </w:p>
        </w:tc>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2"/>
                <w:highlight w:val="none"/>
              </w:rPr>
            </w:pPr>
            <w:r>
              <w:rPr>
                <w:rFonts w:hint="eastAsia" w:ascii="宋体" w:hAnsi="宋体" w:eastAsia="宋体" w:cs="宋体"/>
                <w:i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color w:val="auto"/>
                <w:kern w:val="0"/>
                <w:sz w:val="22"/>
                <w:highlight w:val="none"/>
                <w:lang w:val="en-US"/>
              </w:rPr>
            </w:pPr>
            <w:r>
              <w:rPr>
                <w:rFonts w:hint="eastAsia" w:ascii="宋体" w:hAnsi="宋体" w:eastAsia="宋体" w:cs="宋体"/>
                <w:i w:val="0"/>
                <w:color w:val="000000"/>
                <w:kern w:val="0"/>
                <w:sz w:val="22"/>
                <w:szCs w:val="22"/>
                <w:u w:val="none"/>
                <w:lang w:val="en-US" w:eastAsia="zh-CN" w:bidi="ar"/>
              </w:rPr>
              <w:t>17192</w:t>
            </w:r>
          </w:p>
        </w:tc>
        <w:tc>
          <w:tcPr>
            <w:tcW w:w="12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auto"/>
                <w:kern w:val="0"/>
                <w:sz w:val="22"/>
                <w:highlight w:val="none"/>
              </w:rPr>
            </w:pP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color w:val="auto"/>
                <w:kern w:val="0"/>
                <w:sz w:val="20"/>
                <w:szCs w:val="20"/>
                <w:highlight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color w:val="auto"/>
                <w:kern w:val="0"/>
                <w:sz w:val="20"/>
                <w:szCs w:val="20"/>
                <w:highlight w:val="none"/>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Times New Roman"/>
                <w:color w:val="auto"/>
                <w:kern w:val="0"/>
                <w:sz w:val="20"/>
                <w:szCs w:val="20"/>
                <w:highlight w:val="none"/>
              </w:rPr>
            </w:pPr>
          </w:p>
        </w:tc>
      </w:tr>
    </w:tbl>
    <w:p>
      <w:pPr>
        <w:pStyle w:val="19"/>
        <w:spacing w:beforeLines="0" w:line="360" w:lineRule="auto"/>
        <w:ind w:firstLine="0" w:firstLineChars="0"/>
        <w:rPr>
          <w:rFonts w:hint="eastAsia" w:cs="宋体"/>
          <w:color w:val="auto"/>
          <w:highlight w:val="none"/>
        </w:rPr>
      </w:pPr>
      <w:r>
        <w:rPr>
          <w:rFonts w:hint="eastAsia" w:cs="宋体"/>
          <w:color w:val="auto"/>
          <w:highlight w:val="none"/>
        </w:rPr>
        <w:t>说明：</w:t>
      </w:r>
    </w:p>
    <w:p>
      <w:pPr>
        <w:pStyle w:val="19"/>
        <w:numPr>
          <w:ilvl w:val="0"/>
          <w:numId w:val="2"/>
        </w:numPr>
        <w:spacing w:beforeLines="0" w:line="360" w:lineRule="auto"/>
        <w:ind w:firstLine="0" w:firstLineChars="0"/>
        <w:rPr>
          <w:rFonts w:hint="eastAsia"/>
          <w:color w:val="auto"/>
          <w:highlight w:val="none"/>
          <w:lang w:val="en-US" w:eastAsia="zh-CN"/>
        </w:rPr>
      </w:pPr>
      <w:r>
        <w:rPr>
          <w:rFonts w:hint="eastAsia" w:cs="宋体"/>
          <w:color w:val="auto"/>
          <w:highlight w:val="none"/>
        </w:rPr>
        <w:t>本次投标报价采用综合单价。包含但不限于：</w:t>
      </w:r>
      <w:r>
        <w:rPr>
          <w:rFonts w:hint="eastAsia" w:cs="宋体"/>
          <w:color w:val="auto"/>
          <w:highlight w:val="none"/>
          <w:lang w:val="en-US" w:eastAsia="zh-CN"/>
        </w:rPr>
        <w:t>石灰</w:t>
      </w:r>
      <w:r>
        <w:rPr>
          <w:rFonts w:hint="eastAsia" w:cs="宋体"/>
          <w:color w:val="auto"/>
          <w:highlight w:val="none"/>
        </w:rPr>
        <w:t>的材料费、装车费、运输费、</w:t>
      </w:r>
      <w:r>
        <w:rPr>
          <w:rFonts w:hint="eastAsia" w:cs="宋体"/>
          <w:color w:val="auto"/>
          <w:highlight w:val="none"/>
          <w:lang w:eastAsia="zh-CN"/>
        </w:rPr>
        <w:t>卸车费、</w:t>
      </w:r>
      <w:r>
        <w:rPr>
          <w:rFonts w:hint="eastAsia" w:cs="宋体"/>
          <w:color w:val="auto"/>
          <w:highlight w:val="none"/>
        </w:rPr>
        <w:t>材料检测费、厂内保险费、措施费，技术资料费、风险费用、利润、税金等一切费用，投标方不得以任何理由向招标方另行索要其他费用。</w:t>
      </w:r>
    </w:p>
    <w:p>
      <w:pPr>
        <w:pStyle w:val="19"/>
        <w:numPr>
          <w:ilvl w:val="0"/>
          <w:numId w:val="2"/>
        </w:numPr>
        <w:spacing w:beforeLines="0" w:line="360" w:lineRule="auto"/>
        <w:ind w:firstLine="0" w:firstLineChars="0"/>
        <w:rPr>
          <w:rFonts w:hint="eastAsia"/>
          <w:color w:val="auto"/>
          <w:highlight w:val="none"/>
          <w:lang w:val="en-US" w:eastAsia="zh-CN"/>
        </w:rPr>
      </w:pPr>
      <w:r>
        <w:rPr>
          <w:rFonts w:hint="eastAsia"/>
          <w:color w:val="auto"/>
          <w:highlight w:val="none"/>
          <w:lang w:val="en-US" w:eastAsia="zh-CN"/>
        </w:rPr>
        <w:t>不含税单价调整办法如下：投标人投标报价中材料单价低于基准单价：施工期间材料单价涨幅以基准单价为基础超过风险幅度值（+5%），或材料单价跌幅以投标报价（合同约定单价）为基础超过风险幅度值（-5%）时，其超过部分按实调整；投标人投标报价中材料单价高于基准单价：施工期间材料单价跌幅以基准单价为基础超过风险幅度值（-5%），或材料单价涨幅以投标报价（合同约定单价）为基础超过风险幅度值（+5%）时，其超过部分按实调整；投标人投标报价中材料单价等于基准单价：施工期间材料单价涨、跌幅以基准单价为基础超过风险幅度值（±5%）时，其超过部分按实调整；材料基准单价为招标文件发布之日前济宁市最新发布的材料信息价。</w:t>
      </w:r>
      <w:r>
        <w:rPr>
          <w:rFonts w:hint="eastAsia" w:ascii="宋体" w:hAnsi="宋体" w:eastAsia="宋体" w:cs="宋体"/>
          <w:color w:val="auto"/>
          <w:kern w:val="0"/>
          <w:sz w:val="21"/>
          <w:szCs w:val="21"/>
          <w:highlight w:val="none"/>
          <w:lang w:val="en-US" w:eastAsia="zh-CN" w:bidi="ar-SA"/>
        </w:rPr>
        <w:t>且此条款成立的前提为业主（建设单位）对招标方进行差价调整，否则</w:t>
      </w:r>
      <w:r>
        <w:rPr>
          <w:rFonts w:hint="eastAsia" w:ascii="宋体" w:hAnsi="宋体" w:eastAsia="宋体" w:cs="宋体"/>
          <w:color w:val="auto"/>
          <w:kern w:val="0"/>
          <w:sz w:val="21"/>
          <w:szCs w:val="21"/>
          <w:highlight w:val="none"/>
          <w:lang w:val="zh-CN" w:eastAsia="zh-CN" w:bidi="ar-SA"/>
        </w:rPr>
        <w:t>投标方不得以任何理由要求招标方进行材价调整</w:t>
      </w:r>
      <w:r>
        <w:rPr>
          <w:rFonts w:hint="eastAsia" w:ascii="宋体" w:hAnsi="宋体" w:eastAsia="宋体" w:cs="宋体"/>
          <w:color w:val="auto"/>
          <w:kern w:val="0"/>
          <w:sz w:val="21"/>
          <w:szCs w:val="21"/>
          <w:highlight w:val="none"/>
          <w:lang w:val="en-US" w:eastAsia="zh-CN" w:bidi="ar-SA"/>
        </w:rPr>
        <w:t>。</w:t>
      </w:r>
    </w:p>
    <w:p>
      <w:pPr>
        <w:pStyle w:val="12"/>
        <w:widowControl w:val="0"/>
        <w:tabs>
          <w:tab w:val="left" w:pos="-105"/>
          <w:tab w:val="left" w:pos="440"/>
          <w:tab w:val="left" w:pos="550"/>
        </w:tabs>
        <w:adjustRightInd w:val="0"/>
        <w:snapToGrid w:val="0"/>
        <w:spacing w:before="0" w:after="144"/>
        <w:textAlignment w:val="baseline"/>
        <w:outlineLvl w:val="0"/>
        <w:rPr>
          <w:b/>
          <w:color w:val="auto"/>
          <w:w w:val="90"/>
          <w:highlight w:val="none"/>
          <w:u w:val="double"/>
        </w:rPr>
      </w:pPr>
      <w:r>
        <w:rPr>
          <w:rFonts w:hint="eastAsia"/>
          <w:b/>
          <w:color w:val="auto"/>
          <w:w w:val="90"/>
          <w:highlight w:val="none"/>
          <w:u w:val="double"/>
        </w:rPr>
        <w:t>三、投标报价及结算方式</w:t>
      </w:r>
    </w:p>
    <w:p>
      <w:pPr>
        <w:pStyle w:val="19"/>
        <w:spacing w:beforeLines="0" w:line="360" w:lineRule="auto"/>
        <w:jc w:val="left"/>
        <w:rPr>
          <w:rFonts w:cs="宋体"/>
          <w:color w:val="auto"/>
          <w:highlight w:val="none"/>
        </w:rPr>
      </w:pPr>
      <w:r>
        <w:rPr>
          <w:rFonts w:hint="eastAsia" w:cs="宋体"/>
          <w:color w:val="auto"/>
          <w:highlight w:val="none"/>
        </w:rPr>
        <w:t>1.投标报价</w:t>
      </w:r>
    </w:p>
    <w:p>
      <w:pPr>
        <w:pStyle w:val="6"/>
        <w:spacing w:line="360" w:lineRule="auto"/>
        <w:ind w:firstLine="420" w:firstLineChars="200"/>
        <w:jc w:val="both"/>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1.1投标报价的一般原则：按招标文件中各种规格物资详细要求进行报价，投标方所报价格包括石灰的</w:t>
      </w:r>
      <w:r>
        <w:rPr>
          <w:rFonts w:hint="eastAsia" w:cs="宋体"/>
          <w:color w:val="auto"/>
          <w:sz w:val="21"/>
          <w:szCs w:val="21"/>
          <w:highlight w:val="none"/>
        </w:rPr>
        <w:t>材料费、装车费</w:t>
      </w:r>
      <w:r>
        <w:rPr>
          <w:rFonts w:hint="eastAsia" w:ascii="宋体" w:hAnsi="宋体" w:eastAsia="宋体" w:cs="宋体"/>
          <w:snapToGrid/>
          <w:color w:val="auto"/>
          <w:kern w:val="0"/>
          <w:sz w:val="21"/>
          <w:szCs w:val="21"/>
          <w:highlight w:val="none"/>
          <w:lang w:val="en-US" w:eastAsia="zh-CN" w:bidi="ar-SA"/>
        </w:rPr>
        <w:t>、运输费、卸车费、材料检测费、厂内保险费、</w:t>
      </w:r>
      <w:r>
        <w:rPr>
          <w:rFonts w:hint="eastAsia" w:cs="宋体"/>
          <w:color w:val="auto"/>
          <w:highlight w:val="none"/>
          <w:lang w:val="en-US" w:eastAsia="zh-CN"/>
        </w:rPr>
        <w:t>不合格材料返场费、</w:t>
      </w:r>
      <w:r>
        <w:rPr>
          <w:rFonts w:hint="eastAsia" w:ascii="宋体" w:hAnsi="宋体" w:eastAsia="宋体" w:cs="宋体"/>
          <w:snapToGrid/>
          <w:color w:val="auto"/>
          <w:kern w:val="0"/>
          <w:sz w:val="21"/>
          <w:szCs w:val="21"/>
          <w:highlight w:val="none"/>
          <w:lang w:val="en-US" w:eastAsia="zh-CN" w:bidi="ar-SA"/>
        </w:rPr>
        <w:t xml:space="preserve">措施费，技术资料费、风险费用及利润、税金、人工、政府部门的各种收费等所有相关费用。 </w:t>
      </w:r>
    </w:p>
    <w:p>
      <w:pPr>
        <w:pStyle w:val="19"/>
        <w:spacing w:beforeLines="0" w:line="360" w:lineRule="auto"/>
        <w:ind w:firstLine="420" w:firstLineChars="200"/>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1.2本次投标报价采用综合单价。按固定综合单价招标，固定综合单价为物资运至工地的单价,</w:t>
      </w:r>
      <w:r>
        <w:rPr>
          <w:rFonts w:hint="eastAsia" w:cs="宋体"/>
          <w:color w:val="auto"/>
          <w:highlight w:val="none"/>
        </w:rPr>
        <w:t>包含但不限于：</w:t>
      </w:r>
      <w:r>
        <w:rPr>
          <w:rFonts w:hint="eastAsia" w:cs="宋体"/>
          <w:color w:val="auto"/>
          <w:highlight w:val="none"/>
          <w:lang w:eastAsia="zh-CN"/>
        </w:rPr>
        <w:t>石灰</w:t>
      </w:r>
      <w:r>
        <w:rPr>
          <w:rFonts w:hint="eastAsia" w:cs="宋体"/>
          <w:color w:val="auto"/>
          <w:highlight w:val="none"/>
        </w:rPr>
        <w:t>的材料费、装车费、运输费、</w:t>
      </w:r>
      <w:r>
        <w:rPr>
          <w:rFonts w:hint="eastAsia" w:cs="宋体"/>
          <w:color w:val="auto"/>
          <w:highlight w:val="none"/>
          <w:lang w:eastAsia="zh-CN"/>
        </w:rPr>
        <w:t>卸车费、</w:t>
      </w:r>
      <w:r>
        <w:rPr>
          <w:rFonts w:hint="eastAsia" w:cs="宋体"/>
          <w:color w:val="auto"/>
          <w:highlight w:val="none"/>
        </w:rPr>
        <w:t>材料检测费、厂内保险费、</w:t>
      </w:r>
      <w:r>
        <w:rPr>
          <w:rFonts w:hint="eastAsia" w:cs="宋体"/>
          <w:color w:val="auto"/>
          <w:highlight w:val="none"/>
          <w:lang w:val="en-US" w:eastAsia="zh-CN"/>
        </w:rPr>
        <w:t>不合格材料返场费、</w:t>
      </w:r>
      <w:r>
        <w:rPr>
          <w:rFonts w:hint="eastAsia" w:cs="宋体"/>
          <w:color w:val="auto"/>
          <w:highlight w:val="none"/>
        </w:rPr>
        <w:t>措施费，技术资料费、风险费用、利润、税金等一切费用，投标方不得以任何理由向招标方另行索要其他费用。</w:t>
      </w:r>
      <w:r>
        <w:rPr>
          <w:rFonts w:hint="eastAsia" w:ascii="宋体" w:hAnsi="宋体" w:eastAsia="宋体" w:cs="宋体"/>
          <w:snapToGrid/>
          <w:color w:val="auto"/>
          <w:kern w:val="0"/>
          <w:sz w:val="21"/>
          <w:szCs w:val="21"/>
          <w:highlight w:val="none"/>
          <w:lang w:val="en-US" w:eastAsia="zh-CN" w:bidi="ar-SA"/>
        </w:rPr>
        <w:t>投标单位在报价表中填写上述固定综合费用中的费用单价，招标方按此费用单价之和组成的综合单价作为评标的依据。</w:t>
      </w:r>
    </w:p>
    <w:p>
      <w:pPr>
        <w:spacing w:line="360" w:lineRule="auto"/>
        <w:ind w:firstLine="420" w:firstLineChars="200"/>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1.3风险因素：现场一切条件、供货周期、运输过程中的各种障碍、各种意想不到的费用等均由投标方自行考虑，费用自行承担。</w:t>
      </w:r>
    </w:p>
    <w:p>
      <w:pPr>
        <w:spacing w:line="360" w:lineRule="auto"/>
        <w:ind w:firstLine="420" w:firstLineChars="200"/>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1.4</w:t>
      </w:r>
      <w:r>
        <w:rPr>
          <w:rFonts w:hint="eastAsia"/>
          <w:color w:val="auto"/>
          <w:highlight w:val="none"/>
          <w:lang w:val="en-US" w:eastAsia="zh-CN"/>
        </w:rPr>
        <w:t>不含税单价调整办法如下：投标人投标报价中材料单价低于基准单价：施工期间材料单价涨幅以基准单价为基础超过风险幅度值（+5%），或材料单价跌幅以投标报价（合同约定单价）为基础超过风险幅度值（-5%）时，其超过部分按实调整；投标人投标报价中材料单价高于基准单价：施工期间材料单价跌幅以基准单价为基础超过风险幅度值（-5%），或材料单价涨幅以投标报价（合同约定单价）为基础超过风险幅度值（+5%）时，其超过部分按实调整；投标人投标报价中材料单价等于基准单价：施工期间材料单价涨、跌幅以基准单价为基础超过风险幅度值（±5%）时，其超过部分按实调整；材料基准单价为招标文件发布之日前济宁市最新发布的材料信息价。</w:t>
      </w:r>
      <w:r>
        <w:rPr>
          <w:rFonts w:hint="eastAsia" w:ascii="宋体" w:hAnsi="宋体" w:eastAsia="宋体" w:cs="宋体"/>
          <w:color w:val="auto"/>
          <w:kern w:val="0"/>
          <w:sz w:val="21"/>
          <w:szCs w:val="21"/>
          <w:highlight w:val="none"/>
          <w:lang w:val="en-US" w:eastAsia="zh-CN" w:bidi="ar-SA"/>
        </w:rPr>
        <w:t>且此条款成立的前提为业主（建设单位）对招标方进行差价调整，否则</w:t>
      </w:r>
      <w:r>
        <w:rPr>
          <w:rFonts w:hint="eastAsia" w:ascii="宋体" w:hAnsi="宋体" w:eastAsia="宋体" w:cs="宋体"/>
          <w:color w:val="auto"/>
          <w:kern w:val="0"/>
          <w:sz w:val="21"/>
          <w:szCs w:val="21"/>
          <w:highlight w:val="none"/>
          <w:lang w:val="zh-CN" w:eastAsia="zh-CN" w:bidi="ar-SA"/>
        </w:rPr>
        <w:t>投标方不得以任何理由要求招标方进行材价调整</w:t>
      </w:r>
      <w:r>
        <w:rPr>
          <w:rFonts w:hint="eastAsia" w:ascii="宋体" w:hAnsi="宋体" w:eastAsia="宋体" w:cs="宋体"/>
          <w:color w:val="auto"/>
          <w:kern w:val="0"/>
          <w:sz w:val="21"/>
          <w:szCs w:val="21"/>
          <w:highlight w:val="none"/>
          <w:lang w:val="en-US" w:eastAsia="zh-CN" w:bidi="ar-SA"/>
        </w:rPr>
        <w:t>。</w:t>
      </w:r>
    </w:p>
    <w:p>
      <w:pPr>
        <w:pStyle w:val="19"/>
        <w:spacing w:beforeLines="0" w:line="400" w:lineRule="exact"/>
        <w:jc w:val="left"/>
        <w:rPr>
          <w:rFonts w:cs="宋体"/>
          <w:color w:val="auto"/>
          <w:highlight w:val="none"/>
        </w:rPr>
      </w:pPr>
      <w:r>
        <w:rPr>
          <w:rFonts w:hint="eastAsia" w:cs="宋体"/>
          <w:color w:val="auto"/>
          <w:highlight w:val="none"/>
        </w:rPr>
        <w:t>2.结算方式</w:t>
      </w:r>
    </w:p>
    <w:p>
      <w:pPr>
        <w:pStyle w:val="19"/>
        <w:spacing w:beforeLines="0" w:line="400" w:lineRule="exact"/>
        <w:ind w:firstLine="480"/>
        <w:jc w:val="left"/>
        <w:rPr>
          <w:rFonts w:hint="eastAsia" w:cs="宋体"/>
          <w:color w:val="auto"/>
          <w:highlight w:val="none"/>
          <w:lang w:val="en-US" w:eastAsia="zh-CN"/>
        </w:rPr>
      </w:pPr>
      <w:r>
        <w:rPr>
          <w:rFonts w:hint="eastAsia" w:ascii="宋体" w:hAnsi="宋体" w:eastAsia="宋体" w:cs="宋体"/>
          <w:snapToGrid/>
          <w:color w:val="auto"/>
          <w:kern w:val="0"/>
          <w:sz w:val="21"/>
          <w:szCs w:val="21"/>
          <w:highlight w:val="none"/>
          <w:lang w:val="en-US" w:eastAsia="zh-CN" w:bidi="ar-SA"/>
        </w:rPr>
        <w:t>2.</w:t>
      </w:r>
      <w:r>
        <w:rPr>
          <w:rFonts w:hint="eastAsia" w:ascii="宋体" w:hAnsi="宋体" w:cs="宋体"/>
          <w:snapToGrid/>
          <w:color w:val="auto"/>
          <w:kern w:val="0"/>
          <w:sz w:val="21"/>
          <w:szCs w:val="21"/>
          <w:highlight w:val="none"/>
          <w:lang w:val="en-US" w:eastAsia="zh-CN" w:bidi="ar-SA"/>
        </w:rPr>
        <w:t>1</w:t>
      </w:r>
      <w:r>
        <w:rPr>
          <w:rFonts w:hint="eastAsia" w:ascii="宋体" w:hAnsi="宋体" w:eastAsia="宋体" w:cs="宋体"/>
          <w:snapToGrid/>
          <w:color w:val="auto"/>
          <w:kern w:val="0"/>
          <w:sz w:val="21"/>
          <w:szCs w:val="21"/>
          <w:highlight w:val="none"/>
          <w:lang w:val="en-US" w:eastAsia="zh-CN" w:bidi="ar-SA"/>
        </w:rPr>
        <w:t>本次招标物资计量方式</w:t>
      </w:r>
      <w:r>
        <w:rPr>
          <w:rFonts w:hint="eastAsia" w:ascii="宋体" w:hAnsi="宋体" w:cs="宋体"/>
          <w:snapToGrid/>
          <w:color w:val="auto"/>
          <w:kern w:val="0"/>
          <w:sz w:val="21"/>
          <w:szCs w:val="21"/>
          <w:highlight w:val="none"/>
          <w:lang w:val="en-US" w:eastAsia="zh-CN" w:bidi="ar-SA"/>
        </w:rPr>
        <w:t>：</w:t>
      </w:r>
      <w:r>
        <w:rPr>
          <w:rFonts w:hint="eastAsia" w:ascii="宋体" w:hAnsi="宋体" w:eastAsia="宋体" w:cs="宋体"/>
          <w:color w:val="auto"/>
          <w:sz w:val="21"/>
          <w:szCs w:val="21"/>
        </w:rPr>
        <w:t>过磅计量。结算数量以验收合格后买方书面确认的过磅计重数量为准，实际供货数量有效凭证</w:t>
      </w:r>
      <w:r>
        <w:rPr>
          <w:rFonts w:hint="eastAsia" w:ascii="宋体" w:hAnsi="宋体" w:eastAsia="宋体" w:cs="宋体"/>
          <w:color w:val="auto"/>
          <w:sz w:val="21"/>
          <w:szCs w:val="21"/>
          <w:lang w:val="en-US" w:eastAsia="zh-CN"/>
        </w:rPr>
        <w:t>须</w:t>
      </w:r>
      <w:r>
        <w:rPr>
          <w:rFonts w:hint="eastAsia" w:ascii="宋体" w:hAnsi="宋体" w:eastAsia="宋体" w:cs="宋体"/>
          <w:color w:val="auto"/>
          <w:sz w:val="21"/>
          <w:szCs w:val="21"/>
        </w:rPr>
        <w:t>现场指定验收人员签字。</w:t>
      </w:r>
    </w:p>
    <w:p>
      <w:pPr>
        <w:spacing w:line="360" w:lineRule="auto"/>
        <w:ind w:firstLine="420" w:firstLineChars="200"/>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w:t>
      </w:r>
      <w:r>
        <w:rPr>
          <w:rFonts w:hint="eastAsia" w:ascii="宋体" w:hAnsi="宋体" w:cs="宋体"/>
          <w:snapToGrid/>
          <w:color w:val="auto"/>
          <w:kern w:val="0"/>
          <w:sz w:val="21"/>
          <w:szCs w:val="21"/>
          <w:highlight w:val="none"/>
          <w:lang w:val="en-US" w:eastAsia="zh-CN" w:bidi="ar-SA"/>
        </w:rPr>
        <w:t>2</w:t>
      </w:r>
      <w:r>
        <w:rPr>
          <w:rFonts w:hint="eastAsia" w:ascii="宋体" w:hAnsi="宋体" w:eastAsia="宋体" w:cs="宋体"/>
          <w:snapToGrid/>
          <w:color w:val="auto"/>
          <w:kern w:val="0"/>
          <w:sz w:val="21"/>
          <w:szCs w:val="21"/>
          <w:highlight w:val="none"/>
          <w:lang w:val="en-US" w:eastAsia="zh-CN" w:bidi="ar-SA"/>
        </w:rPr>
        <w:t>交货时间及地点由招标人与中标方在采购合同中具体规定。具体的供货数量在合同中规定，结算时以实际供货数量为准。</w:t>
      </w:r>
    </w:p>
    <w:p>
      <w:pPr>
        <w:pStyle w:val="19"/>
        <w:spacing w:beforeLines="0" w:line="400" w:lineRule="exact"/>
        <w:jc w:val="left"/>
        <w:rPr>
          <w:rFonts w:cs="宋体"/>
          <w:color w:val="auto"/>
          <w:highlight w:val="none"/>
        </w:rPr>
      </w:pPr>
      <w:r>
        <w:rPr>
          <w:rFonts w:hint="eastAsia" w:cs="宋体"/>
          <w:color w:val="auto"/>
          <w:highlight w:val="none"/>
        </w:rPr>
        <w:t>3．资金支付方式</w:t>
      </w:r>
    </w:p>
    <w:p>
      <w:pPr>
        <w:pStyle w:val="19"/>
        <w:spacing w:beforeLines="0" w:line="400" w:lineRule="exact"/>
        <w:jc w:val="left"/>
        <w:rPr>
          <w:rFonts w:hint="eastAsia" w:cs="宋体"/>
          <w:color w:val="auto"/>
          <w:highlight w:val="none"/>
        </w:rPr>
      </w:pPr>
      <w:r>
        <w:rPr>
          <w:rFonts w:hint="eastAsia" w:cs="宋体"/>
          <w:color w:val="auto"/>
          <w:highlight w:val="none"/>
        </w:rPr>
        <w:t>3.1结算数量：以</w:t>
      </w:r>
      <w:r>
        <w:rPr>
          <w:rFonts w:hint="eastAsia" w:cs="宋体"/>
          <w:color w:val="auto"/>
          <w:highlight w:val="none"/>
          <w:lang w:eastAsia="zh-CN"/>
        </w:rPr>
        <w:t>招标方</w:t>
      </w:r>
      <w:r>
        <w:rPr>
          <w:rFonts w:hint="eastAsia" w:cs="宋体"/>
          <w:color w:val="auto"/>
          <w:highlight w:val="none"/>
        </w:rPr>
        <w:t>确认的实际</w:t>
      </w:r>
      <w:r>
        <w:rPr>
          <w:rFonts w:hint="eastAsia" w:cs="宋体"/>
          <w:color w:val="auto"/>
          <w:highlight w:val="none"/>
          <w:lang w:eastAsia="zh-CN"/>
        </w:rPr>
        <w:t>计量</w:t>
      </w:r>
      <w:r>
        <w:rPr>
          <w:rFonts w:hint="eastAsia" w:cs="宋体"/>
          <w:color w:val="auto"/>
          <w:highlight w:val="none"/>
        </w:rPr>
        <w:t>数量为准</w:t>
      </w:r>
      <w:r>
        <w:rPr>
          <w:rFonts w:hint="eastAsia" w:cs="宋体"/>
          <w:color w:val="auto"/>
          <w:highlight w:val="none"/>
          <w:lang w:eastAsia="zh-CN"/>
        </w:rPr>
        <w:t>，</w:t>
      </w:r>
      <w:r>
        <w:rPr>
          <w:rFonts w:hint="eastAsia" w:ascii="宋体" w:hAnsi="宋体" w:eastAsia="宋体" w:cs="宋体"/>
          <w:color w:val="auto"/>
          <w:sz w:val="21"/>
          <w:szCs w:val="21"/>
        </w:rPr>
        <w:t>最高不得超出施工图设计数量</w:t>
      </w:r>
      <w:r>
        <w:rPr>
          <w:rFonts w:hint="eastAsia" w:cs="宋体"/>
          <w:color w:val="auto"/>
          <w:highlight w:val="none"/>
        </w:rPr>
        <w:t>。</w:t>
      </w:r>
    </w:p>
    <w:p>
      <w:pPr>
        <w:pStyle w:val="19"/>
        <w:spacing w:beforeLines="0" w:line="400" w:lineRule="exact"/>
        <w:jc w:val="left"/>
        <w:rPr>
          <w:rFonts w:cs="宋体"/>
          <w:color w:val="auto"/>
          <w:highlight w:val="none"/>
          <w:lang w:val="zh-CN"/>
        </w:rPr>
      </w:pPr>
      <w:r>
        <w:rPr>
          <w:rFonts w:hint="eastAsia" w:cs="宋体"/>
          <w:color w:val="auto"/>
          <w:highlight w:val="none"/>
        </w:rPr>
        <w:t>3.2货款支付：实行月结，一票结算。每月15日将上月16日至本月15日所供应的物资及时办理月结手续。本次招标不提供预付款，物资结算支付方式为工程进度款。当完成本月度物资结算手续且分供商提供相应</w:t>
      </w:r>
      <w:r>
        <w:rPr>
          <w:rFonts w:hint="eastAsia" w:cs="宋体"/>
          <w:color w:val="auto"/>
          <w:highlight w:val="none"/>
          <w:lang w:val="en-US" w:eastAsia="zh-CN"/>
        </w:rPr>
        <w:t>等</w:t>
      </w:r>
      <w:r>
        <w:rPr>
          <w:rFonts w:hint="eastAsia" w:cs="宋体"/>
          <w:color w:val="auto"/>
          <w:highlight w:val="none"/>
        </w:rPr>
        <w:t>额的符合国家税法及招标方项目部财务认可的正规有效增值税专用发票以及招标方在收到业主（建设单位）相应款项后，招标方财务按照规定向集团公司报送资金计划，集团审批资金计划后，按照批复结果办理付款手续，并向中标方支付相</w:t>
      </w:r>
      <w:r>
        <w:rPr>
          <w:rFonts w:hint="eastAsia" w:cs="宋体"/>
          <w:color w:val="auto"/>
          <w:highlight w:val="none"/>
          <w:lang w:val="zh-CN"/>
        </w:rPr>
        <w:t>应款项，结算和支付手续不全时，招标方不予支付。</w:t>
      </w:r>
    </w:p>
    <w:p>
      <w:pPr>
        <w:pStyle w:val="19"/>
        <w:spacing w:beforeLines="0" w:line="400" w:lineRule="exact"/>
        <w:jc w:val="left"/>
        <w:rPr>
          <w:rFonts w:hint="eastAsia" w:ascii="宋体" w:hAnsi="宋体" w:cs="宋体"/>
          <w:color w:val="auto"/>
          <w:szCs w:val="21"/>
          <w:highlight w:val="none"/>
        </w:rPr>
      </w:pPr>
      <w:r>
        <w:rPr>
          <w:rFonts w:hint="eastAsia" w:cs="宋体"/>
          <w:color w:val="auto"/>
          <w:highlight w:val="none"/>
          <w:lang w:val="zh-CN"/>
        </w:rPr>
        <w:t>3.3付款比例：所有款项的支付前提均是</w:t>
      </w:r>
      <w:r>
        <w:rPr>
          <w:rFonts w:hint="eastAsia" w:cs="宋体"/>
          <w:color w:val="auto"/>
          <w:highlight w:val="none"/>
          <w:lang w:val="en-US" w:eastAsia="zh-CN"/>
        </w:rPr>
        <w:t>招标方</w:t>
      </w:r>
      <w:r>
        <w:rPr>
          <w:rFonts w:hint="eastAsia" w:cs="宋体"/>
          <w:color w:val="auto"/>
          <w:highlight w:val="none"/>
          <w:lang w:val="zh-CN"/>
        </w:rPr>
        <w:t>已经收到业主（建设单位）支付的相应部分款项。招标方根据业主资金支付情况及项目财务部资金审批计划，对投标方货款进行支付。货到需方指定地点，经检验合格后，</w:t>
      </w:r>
      <w:r>
        <w:rPr>
          <w:rFonts w:hint="eastAsia"/>
          <w:color w:val="auto"/>
          <w:highlight w:val="none"/>
        </w:rPr>
        <w:t>按照</w:t>
      </w:r>
      <w:r>
        <w:rPr>
          <w:rFonts w:hint="eastAsia"/>
          <w:color w:val="auto"/>
          <w:highlight w:val="none"/>
          <w:lang w:eastAsia="zh-CN"/>
        </w:rPr>
        <w:t>业主（建设单位）</w:t>
      </w:r>
      <w:r>
        <w:rPr>
          <w:rFonts w:hint="eastAsia"/>
          <w:color w:val="auto"/>
          <w:highlight w:val="none"/>
        </w:rPr>
        <w:t>拨付的工程款时间、比例，</w:t>
      </w:r>
      <w:r>
        <w:rPr>
          <w:rFonts w:hint="eastAsia"/>
          <w:color w:val="auto"/>
        </w:rPr>
        <w:t>招标人将同期或次月按相应比例进行支付</w:t>
      </w:r>
      <w:r>
        <w:rPr>
          <w:rFonts w:hint="eastAsia" w:cs="宋体"/>
          <w:color w:val="auto"/>
          <w:highlight w:val="none"/>
          <w:lang w:val="zh-CN"/>
        </w:rPr>
        <w:t>。</w:t>
      </w:r>
      <w:r>
        <w:rPr>
          <w:rFonts w:hint="eastAsia" w:cs="宋体"/>
          <w:color w:val="auto"/>
          <w:highlight w:val="none"/>
          <w:lang w:val="en-US" w:eastAsia="zh-CN"/>
        </w:rPr>
        <w:t>支付</w:t>
      </w:r>
      <w:r>
        <w:rPr>
          <w:rFonts w:hint="eastAsia" w:cs="宋体"/>
          <w:color w:val="auto"/>
          <w:highlight w:val="none"/>
          <w:lang w:val="zh-CN"/>
        </w:rPr>
        <w:t>双方每月15日前将当期供货产品及时办理月结，经招标方确认审核合格后，</w:t>
      </w:r>
      <w:r>
        <w:rPr>
          <w:rFonts w:hint="eastAsia"/>
          <w:color w:val="auto"/>
        </w:rPr>
        <w:t>按照上述方式进行支付</w:t>
      </w:r>
      <w:r>
        <w:rPr>
          <w:rFonts w:hint="eastAsia" w:cs="宋体"/>
          <w:color w:val="auto"/>
          <w:highlight w:val="none"/>
          <w:lang w:val="zh-CN"/>
        </w:rPr>
        <w:t>，双方于供货结束全部验收合格且不出现任何质量问题后办理最终结算，并签订《物资买卖合同结算协议书》及办理相关手续</w:t>
      </w:r>
      <w:r>
        <w:rPr>
          <w:rFonts w:hint="eastAsia" w:ascii="宋体" w:hAnsi="宋体" w:cs="宋体"/>
          <w:color w:val="auto"/>
          <w:szCs w:val="21"/>
          <w:highlight w:val="none"/>
        </w:rPr>
        <w:t>。</w:t>
      </w:r>
      <w:r>
        <w:rPr>
          <w:rFonts w:hint="eastAsia" w:ascii="宋体" w:hAnsi="宋体"/>
          <w:b/>
          <w:bCs/>
          <w:color w:val="auto"/>
          <w:sz w:val="24"/>
        </w:rPr>
        <w:t>道路工程雨水污水管网及水稳铺设完成后（桥梁工程为桩基和承台完成后），</w:t>
      </w:r>
      <w:r>
        <w:rPr>
          <w:rFonts w:hint="eastAsia"/>
          <w:b/>
          <w:bCs/>
          <w:color w:val="auto"/>
          <w:sz w:val="24"/>
          <w:lang w:val="en-US" w:eastAsia="zh-CN"/>
        </w:rPr>
        <w:t>支付货款的20%，</w:t>
      </w:r>
      <w:r>
        <w:rPr>
          <w:rFonts w:hint="eastAsia" w:ascii="宋体" w:hAnsi="宋体"/>
          <w:b/>
          <w:bCs/>
          <w:color w:val="auto"/>
          <w:sz w:val="24"/>
        </w:rPr>
        <w:t>单位工程竣工验收合格后</w:t>
      </w:r>
      <w:r>
        <w:rPr>
          <w:rFonts w:ascii="宋体" w:hAnsi="宋体"/>
          <w:b/>
          <w:bCs/>
          <w:color w:val="auto"/>
          <w:sz w:val="24"/>
        </w:rPr>
        <w:t>2</w:t>
      </w:r>
      <w:r>
        <w:rPr>
          <w:rFonts w:hint="eastAsia" w:ascii="宋体" w:hAnsi="宋体"/>
          <w:b/>
          <w:bCs/>
          <w:color w:val="auto"/>
          <w:sz w:val="24"/>
        </w:rPr>
        <w:t>个月内</w:t>
      </w:r>
      <w:r>
        <w:rPr>
          <w:rFonts w:hint="eastAsia"/>
          <w:b/>
          <w:bCs/>
          <w:color w:val="auto"/>
          <w:sz w:val="24"/>
          <w:lang w:val="en-US" w:eastAsia="zh-CN"/>
        </w:rPr>
        <w:t>付至货款的50%，剩余货款分3年支付，每年支付相应货款的</w:t>
      </w:r>
      <w:r>
        <w:rPr>
          <w:rFonts w:ascii="宋体" w:hAnsi="宋体"/>
          <w:b/>
          <w:bCs/>
          <w:color w:val="auto"/>
          <w:sz w:val="24"/>
        </w:rPr>
        <w:t>20%</w:t>
      </w:r>
      <w:r>
        <w:rPr>
          <w:rFonts w:hint="eastAsia" w:ascii="宋体" w:hAnsi="宋体"/>
          <w:b/>
          <w:bCs/>
          <w:color w:val="auto"/>
          <w:sz w:val="24"/>
        </w:rPr>
        <w:t>、</w:t>
      </w:r>
      <w:r>
        <w:rPr>
          <w:rFonts w:ascii="宋体" w:hAnsi="宋体"/>
          <w:b/>
          <w:bCs/>
          <w:color w:val="auto"/>
          <w:sz w:val="24"/>
        </w:rPr>
        <w:t>20%</w:t>
      </w:r>
      <w:r>
        <w:rPr>
          <w:rFonts w:hint="eastAsia" w:ascii="宋体" w:hAnsi="宋体"/>
          <w:b/>
          <w:bCs/>
          <w:color w:val="auto"/>
          <w:sz w:val="24"/>
        </w:rPr>
        <w:t>、</w:t>
      </w:r>
      <w:r>
        <w:rPr>
          <w:rFonts w:ascii="宋体" w:hAnsi="宋体"/>
          <w:b/>
          <w:bCs/>
          <w:color w:val="auto"/>
          <w:sz w:val="24"/>
        </w:rPr>
        <w:t>10%</w:t>
      </w:r>
      <w:r>
        <w:rPr>
          <w:rFonts w:hint="eastAsia" w:ascii="宋体" w:hAnsi="宋体"/>
          <w:b/>
          <w:bCs/>
          <w:color w:val="auto"/>
          <w:sz w:val="24"/>
        </w:rPr>
        <w:t>（第三年按结算金额结清剩余</w:t>
      </w:r>
      <w:r>
        <w:rPr>
          <w:rFonts w:hint="eastAsia"/>
          <w:b/>
          <w:bCs/>
          <w:color w:val="auto"/>
          <w:sz w:val="24"/>
          <w:lang w:val="en-US" w:eastAsia="zh-CN"/>
        </w:rPr>
        <w:t>货款</w:t>
      </w:r>
      <w:r>
        <w:rPr>
          <w:rFonts w:hint="eastAsia" w:ascii="宋体" w:hAnsi="宋体"/>
          <w:b/>
          <w:bCs/>
          <w:color w:val="auto"/>
          <w:sz w:val="24"/>
        </w:rPr>
        <w:t>）</w:t>
      </w:r>
      <w:r>
        <w:rPr>
          <w:rFonts w:hint="eastAsia"/>
          <w:b/>
          <w:bCs/>
          <w:color w:val="auto"/>
          <w:sz w:val="24"/>
          <w:lang w:eastAsia="zh-CN"/>
        </w:rPr>
        <w:t>，</w:t>
      </w:r>
      <w:r>
        <w:rPr>
          <w:rFonts w:hint="eastAsia"/>
          <w:b/>
          <w:bCs/>
          <w:color w:val="auto"/>
          <w:highlight w:val="none"/>
          <w:lang w:val="en-US" w:eastAsia="zh-CN"/>
        </w:rPr>
        <w:t>付款比例如有调整，重新签订补充协议</w:t>
      </w:r>
      <w:r>
        <w:rPr>
          <w:rFonts w:hint="eastAsia"/>
          <w:b/>
          <w:bCs/>
          <w:color w:val="auto"/>
          <w:sz w:val="24"/>
          <w:lang w:eastAsia="zh-CN"/>
        </w:rPr>
        <w:t>。</w:t>
      </w:r>
      <w:r>
        <w:rPr>
          <w:rFonts w:hint="eastAsia" w:ascii="宋体" w:hAnsi="宋体" w:cs="宋体"/>
          <w:color w:val="auto"/>
          <w:szCs w:val="21"/>
          <w:highlight w:val="none"/>
        </w:rPr>
        <w:t>如存在延期支付，招标方不计息支付投标方相应货款。</w:t>
      </w:r>
    </w:p>
    <w:p>
      <w:pPr>
        <w:pStyle w:val="19"/>
        <w:spacing w:beforeLines="0" w:line="400" w:lineRule="exact"/>
        <w:ind w:left="0" w:leftChars="0" w:firstLine="420" w:firstLineChars="200"/>
        <w:jc w:val="left"/>
        <w:rPr>
          <w:rFonts w:cs="宋体"/>
          <w:color w:val="auto"/>
          <w:sz w:val="22"/>
          <w:highlight w:val="none"/>
          <w:lang w:val="zh-CN"/>
        </w:rPr>
      </w:pPr>
      <w:r>
        <w:rPr>
          <w:rFonts w:hint="eastAsia" w:cs="宋体"/>
          <w:color w:val="auto"/>
          <w:highlight w:val="none"/>
        </w:rPr>
        <w:t>3.4</w:t>
      </w:r>
      <w:r>
        <w:rPr>
          <w:rFonts w:hint="eastAsia" w:cs="宋体"/>
          <w:color w:val="auto"/>
          <w:sz w:val="22"/>
          <w:highlight w:val="none"/>
          <w:lang w:val="zh-CN"/>
        </w:rPr>
        <w:t>付款选择</w:t>
      </w:r>
      <w:r>
        <w:rPr>
          <w:rFonts w:hint="eastAsia" w:cs="宋体"/>
          <w:color w:val="auto"/>
          <w:sz w:val="22"/>
          <w:highlight w:val="none"/>
          <w:u w:val="single"/>
          <w:lang w:val="zh-CN"/>
        </w:rPr>
        <w:t xml:space="preserve"> 网上汇款支付 </w:t>
      </w:r>
      <w:r>
        <w:rPr>
          <w:rFonts w:hint="eastAsia" w:cs="宋体"/>
          <w:color w:val="auto"/>
          <w:sz w:val="22"/>
          <w:highlight w:val="none"/>
          <w:lang w:val="zh-CN"/>
        </w:rPr>
        <w:t>方式。汇款应汇至投标方在合同中指定的户名、账号内；对于因投标方不能完整提供以上文件而造成的延期付款后果由</w:t>
      </w:r>
      <w:r>
        <w:rPr>
          <w:rFonts w:hint="eastAsia" w:cs="宋体"/>
          <w:color w:val="auto"/>
          <w:sz w:val="22"/>
          <w:highlight w:val="none"/>
        </w:rPr>
        <w:t>投标方</w:t>
      </w:r>
      <w:r>
        <w:rPr>
          <w:rFonts w:hint="eastAsia" w:cs="宋体"/>
          <w:color w:val="auto"/>
          <w:sz w:val="22"/>
          <w:highlight w:val="none"/>
          <w:lang w:val="zh-CN"/>
        </w:rPr>
        <w:t>自负。</w:t>
      </w:r>
    </w:p>
    <w:p>
      <w:pPr>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3.5 </w:t>
      </w:r>
      <w:r>
        <w:rPr>
          <w:rFonts w:hint="eastAsia" w:ascii="宋体" w:hAnsi="宋体" w:cs="宋体"/>
          <w:color w:val="auto"/>
          <w:kern w:val="0"/>
          <w:szCs w:val="21"/>
          <w:highlight w:val="none"/>
          <w:lang w:val="zh-CN"/>
        </w:rPr>
        <w:t>所有款项的支付前提均是</w:t>
      </w:r>
      <w:r>
        <w:rPr>
          <w:rFonts w:hint="eastAsia" w:ascii="宋体" w:hAnsi="宋体" w:cs="宋体"/>
          <w:color w:val="auto"/>
          <w:kern w:val="0"/>
          <w:szCs w:val="21"/>
          <w:highlight w:val="none"/>
        </w:rPr>
        <w:t>招标</w:t>
      </w:r>
      <w:r>
        <w:rPr>
          <w:rFonts w:hint="eastAsia" w:ascii="宋体" w:hAnsi="宋体" w:cs="宋体"/>
          <w:color w:val="auto"/>
          <w:kern w:val="0"/>
          <w:szCs w:val="21"/>
          <w:highlight w:val="none"/>
          <w:lang w:val="zh-CN"/>
        </w:rPr>
        <w:t>方已经收到业主（建设单位）支付的相应部分款项，此条款是双方签订本合同的最基本前提，任何缓付、迟付的货款，均不计算利息，</w:t>
      </w: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val="zh-CN"/>
        </w:rPr>
        <w:t>方承诺不得以任何理由，如（包括但不限于）：合同付款期限约定不清、</w:t>
      </w: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val="zh-CN"/>
        </w:rPr>
        <w:t>方无法知悉业主方是否已经支付相应部分款项等理由，要求对此前提条件进行否定或变更；本工程款若因业主原因未能支付或缓付、迟付给</w:t>
      </w: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val="zh-CN"/>
        </w:rPr>
        <w:t>方，</w:t>
      </w: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val="zh-CN"/>
        </w:rPr>
        <w:t>方需自行采取措施保证本工程按期完成，不得以此停供和对</w:t>
      </w:r>
      <w:r>
        <w:rPr>
          <w:rFonts w:hint="eastAsia" w:ascii="宋体" w:hAnsi="宋体" w:cs="宋体"/>
          <w:color w:val="auto"/>
          <w:kern w:val="0"/>
          <w:szCs w:val="21"/>
          <w:highlight w:val="none"/>
        </w:rPr>
        <w:t>招标</w:t>
      </w:r>
      <w:r>
        <w:rPr>
          <w:rFonts w:hint="eastAsia" w:ascii="宋体" w:hAnsi="宋体" w:cs="宋体"/>
          <w:color w:val="auto"/>
          <w:kern w:val="0"/>
          <w:szCs w:val="21"/>
          <w:highlight w:val="none"/>
          <w:lang w:val="zh-CN"/>
        </w:rPr>
        <w:t>方进行任何费用方面的索赔。</w:t>
      </w:r>
    </w:p>
    <w:p>
      <w:pPr>
        <w:pStyle w:val="19"/>
        <w:spacing w:beforeLines="0" w:line="400" w:lineRule="exact"/>
        <w:ind w:firstLine="437"/>
        <w:jc w:val="left"/>
        <w:rPr>
          <w:rFonts w:cs="宋体"/>
          <w:b/>
          <w:color w:val="auto"/>
          <w:w w:val="90"/>
          <w:highlight w:val="none"/>
          <w:u w:val="double"/>
        </w:rPr>
      </w:pPr>
      <w:r>
        <w:rPr>
          <w:rFonts w:hint="eastAsia" w:cs="宋体"/>
          <w:b/>
          <w:color w:val="auto"/>
          <w:w w:val="90"/>
          <w:sz w:val="24"/>
          <w:szCs w:val="24"/>
          <w:highlight w:val="none"/>
          <w:u w:val="double"/>
        </w:rPr>
        <w:t>四、投标人应尽的其它义务</w:t>
      </w:r>
    </w:p>
    <w:p>
      <w:pPr>
        <w:pStyle w:val="19"/>
        <w:spacing w:beforeLines="0" w:line="360" w:lineRule="auto"/>
        <w:jc w:val="left"/>
        <w:rPr>
          <w:rFonts w:cs="宋体"/>
          <w:color w:val="auto"/>
          <w:kern w:val="2"/>
          <w:highlight w:val="none"/>
        </w:rPr>
      </w:pPr>
      <w:r>
        <w:rPr>
          <w:rFonts w:hint="eastAsia" w:cs="宋体"/>
          <w:color w:val="auto"/>
          <w:kern w:val="2"/>
          <w:highlight w:val="none"/>
        </w:rPr>
        <w:t>1.投标人一旦中标，在整个合同履约过程中其相关费用已含在标价之内，招标单位不再另行单独给付。</w:t>
      </w:r>
    </w:p>
    <w:p>
      <w:pPr>
        <w:pStyle w:val="19"/>
        <w:spacing w:beforeLines="0" w:line="360" w:lineRule="auto"/>
        <w:jc w:val="left"/>
        <w:rPr>
          <w:rFonts w:cs="宋体"/>
          <w:color w:val="auto"/>
          <w:kern w:val="2"/>
          <w:highlight w:val="none"/>
        </w:rPr>
      </w:pPr>
      <w:r>
        <w:rPr>
          <w:rFonts w:hint="eastAsia" w:cs="宋体"/>
          <w:color w:val="auto"/>
          <w:kern w:val="2"/>
          <w:highlight w:val="none"/>
        </w:rPr>
        <w:t>2.资源保障；投标人应保证</w:t>
      </w:r>
      <w:r>
        <w:rPr>
          <w:rFonts w:hint="eastAsia" w:cs="宋体"/>
          <w:color w:val="auto"/>
          <w:highlight w:val="none"/>
          <w:lang w:eastAsia="zh-CN"/>
        </w:rPr>
        <w:t>石灰</w:t>
      </w:r>
      <w:r>
        <w:rPr>
          <w:rFonts w:hint="eastAsia" w:cs="宋体"/>
          <w:color w:val="auto"/>
          <w:kern w:val="2"/>
          <w:highlight w:val="none"/>
        </w:rPr>
        <w:t>及时到场，并能保证招标人的连续使用。</w:t>
      </w:r>
    </w:p>
    <w:p>
      <w:pPr>
        <w:pStyle w:val="19"/>
        <w:spacing w:beforeLines="0" w:line="360" w:lineRule="auto"/>
        <w:jc w:val="left"/>
        <w:rPr>
          <w:rFonts w:cs="宋体"/>
          <w:color w:val="auto"/>
          <w:kern w:val="2"/>
          <w:highlight w:val="none"/>
        </w:rPr>
      </w:pPr>
      <w:r>
        <w:rPr>
          <w:rFonts w:hint="eastAsia" w:cs="宋体"/>
          <w:color w:val="auto"/>
          <w:kern w:val="2"/>
          <w:highlight w:val="none"/>
        </w:rPr>
        <w:t>3.具备大规模供货能力，具备一定的资金的垫付实力，垫资能力不低于</w:t>
      </w:r>
      <w:r>
        <w:rPr>
          <w:rFonts w:hint="eastAsia" w:cs="宋体"/>
          <w:color w:val="auto"/>
          <w:kern w:val="2"/>
          <w:highlight w:val="none"/>
          <w:lang w:val="en-US" w:eastAsia="zh-CN"/>
        </w:rPr>
        <w:t>3</w:t>
      </w:r>
      <w:r>
        <w:rPr>
          <w:rFonts w:hint="eastAsia" w:cs="宋体"/>
          <w:color w:val="auto"/>
          <w:kern w:val="2"/>
          <w:highlight w:val="none"/>
        </w:rPr>
        <w:t>00万。</w:t>
      </w:r>
    </w:p>
    <w:p>
      <w:pPr>
        <w:pStyle w:val="19"/>
        <w:spacing w:beforeLines="0" w:line="360" w:lineRule="auto"/>
        <w:ind w:firstLine="437"/>
        <w:jc w:val="left"/>
        <w:rPr>
          <w:b/>
          <w:color w:val="auto"/>
          <w:w w:val="90"/>
          <w:sz w:val="24"/>
          <w:szCs w:val="24"/>
          <w:highlight w:val="none"/>
          <w:u w:val="double"/>
        </w:rPr>
      </w:pPr>
      <w:r>
        <w:rPr>
          <w:rFonts w:hint="eastAsia"/>
          <w:b/>
          <w:color w:val="auto"/>
          <w:w w:val="90"/>
          <w:sz w:val="24"/>
          <w:szCs w:val="24"/>
          <w:highlight w:val="none"/>
          <w:u w:val="double"/>
        </w:rPr>
        <w:t>五、工期与质量要求</w:t>
      </w:r>
    </w:p>
    <w:p>
      <w:pPr>
        <w:pStyle w:val="19"/>
        <w:spacing w:beforeLines="0" w:line="400" w:lineRule="exact"/>
        <w:jc w:val="left"/>
        <w:rPr>
          <w:rFonts w:cs="宋体"/>
          <w:color w:val="auto"/>
          <w:highlight w:val="none"/>
        </w:rPr>
      </w:pPr>
      <w:r>
        <w:rPr>
          <w:rFonts w:hint="eastAsia" w:cs="宋体"/>
          <w:color w:val="auto"/>
          <w:highlight w:val="none"/>
        </w:rPr>
        <w:t xml:space="preserve">1.  工期要求： </w:t>
      </w:r>
    </w:p>
    <w:p>
      <w:pPr>
        <w:pStyle w:val="19"/>
        <w:spacing w:beforeLines="0" w:line="400" w:lineRule="exact"/>
        <w:jc w:val="left"/>
        <w:rPr>
          <w:rFonts w:cs="宋体"/>
          <w:color w:val="auto"/>
          <w:kern w:val="2"/>
          <w:highlight w:val="none"/>
        </w:rPr>
      </w:pPr>
      <w:r>
        <w:rPr>
          <w:rFonts w:hint="eastAsia" w:cs="宋体"/>
          <w:color w:val="auto"/>
          <w:kern w:val="2"/>
          <w:highlight w:val="none"/>
        </w:rPr>
        <w:t>具体供货数量按照招标人实际需求计划为准。具体的施工工期以招标方实际开工日期起到所有建安工程竣工止。</w:t>
      </w:r>
    </w:p>
    <w:p>
      <w:pPr>
        <w:pStyle w:val="19"/>
        <w:numPr>
          <w:ilvl w:val="0"/>
          <w:numId w:val="3"/>
        </w:numPr>
        <w:spacing w:beforeLines="0" w:line="400" w:lineRule="exact"/>
        <w:jc w:val="left"/>
        <w:rPr>
          <w:rFonts w:cs="宋体"/>
          <w:color w:val="auto"/>
          <w:highlight w:val="none"/>
        </w:rPr>
      </w:pPr>
      <w:r>
        <w:rPr>
          <w:rFonts w:hint="eastAsia" w:cs="宋体"/>
          <w:color w:val="auto"/>
          <w:highlight w:val="none"/>
        </w:rPr>
        <w:t xml:space="preserve"> 质量要求：</w:t>
      </w:r>
    </w:p>
    <w:p>
      <w:pPr>
        <w:keepNext w:val="0"/>
        <w:keepLines w:val="0"/>
        <w:pageBreakBefore w:val="0"/>
        <w:kinsoku/>
        <w:wordWrap/>
        <w:autoSpaceDE/>
        <w:autoSpaceDN/>
        <w:bidi w:val="0"/>
        <w:spacing w:line="360" w:lineRule="auto"/>
        <w:ind w:left="0" w:leftChars="0" w:firstLine="420" w:firstLineChars="200"/>
        <w:rPr>
          <w:rFonts w:hint="eastAsia" w:ascii="宋体" w:hAnsi="宋体" w:eastAsia="宋体" w:cs="宋体"/>
          <w:snapToGrid/>
          <w:color w:val="auto"/>
          <w:kern w:val="2"/>
          <w:sz w:val="21"/>
          <w:szCs w:val="21"/>
          <w:highlight w:val="none"/>
          <w:lang w:val="en-US" w:eastAsia="zh-CN" w:bidi="ar-SA"/>
        </w:rPr>
      </w:pPr>
      <w:r>
        <w:rPr>
          <w:rFonts w:hint="eastAsia" w:ascii="宋体" w:hAnsi="宋体" w:cs="宋体"/>
          <w:snapToGrid/>
          <w:color w:val="auto"/>
          <w:kern w:val="2"/>
          <w:sz w:val="21"/>
          <w:szCs w:val="21"/>
          <w:highlight w:val="none"/>
          <w:lang w:val="en-US" w:eastAsia="zh-CN" w:bidi="ar-SA"/>
        </w:rPr>
        <w:t>2</w:t>
      </w:r>
      <w:r>
        <w:rPr>
          <w:rFonts w:hint="eastAsia" w:ascii="宋体" w:hAnsi="宋体" w:eastAsia="宋体" w:cs="宋体"/>
          <w:snapToGrid/>
          <w:color w:val="auto"/>
          <w:kern w:val="2"/>
          <w:sz w:val="21"/>
          <w:szCs w:val="21"/>
          <w:highlight w:val="none"/>
          <w:lang w:val="en-US" w:eastAsia="zh-CN" w:bidi="ar-SA"/>
        </w:rPr>
        <w:t>.1</w:t>
      </w:r>
      <w:r>
        <w:rPr>
          <w:rFonts w:hint="eastAsia" w:ascii="宋体" w:hAnsi="宋体" w:cs="宋体"/>
          <w:snapToGrid/>
          <w:color w:val="auto"/>
          <w:kern w:val="2"/>
          <w:sz w:val="21"/>
          <w:szCs w:val="21"/>
          <w:highlight w:val="none"/>
          <w:lang w:val="en-US" w:eastAsia="zh-CN" w:bidi="ar-SA"/>
        </w:rPr>
        <w:t>石灰</w:t>
      </w:r>
      <w:r>
        <w:rPr>
          <w:rFonts w:hint="eastAsia" w:ascii="宋体" w:hAnsi="宋体" w:eastAsia="宋体" w:cs="宋体"/>
          <w:snapToGrid/>
          <w:color w:val="auto"/>
          <w:kern w:val="2"/>
          <w:sz w:val="21"/>
          <w:szCs w:val="21"/>
          <w:highlight w:val="none"/>
          <w:lang w:val="en-US" w:eastAsia="zh-CN" w:bidi="ar-SA"/>
        </w:rPr>
        <w:t>各项指标均须满足国家最新标准。</w:t>
      </w:r>
    </w:p>
    <w:p>
      <w:pPr>
        <w:keepNext w:val="0"/>
        <w:keepLines w:val="0"/>
        <w:pageBreakBefore w:val="0"/>
        <w:kinsoku/>
        <w:wordWrap/>
        <w:autoSpaceDE/>
        <w:autoSpaceDN/>
        <w:bidi w:val="0"/>
        <w:snapToGrid w:val="0"/>
        <w:spacing w:line="360" w:lineRule="auto"/>
        <w:ind w:left="0" w:leftChars="0" w:firstLine="420" w:firstLineChars="20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应承诺严格执行招标人随时提出的计划要求，并对招标人对质量配合提出的问题及时予以解决。</w:t>
      </w:r>
    </w:p>
    <w:p>
      <w:pPr>
        <w:pStyle w:val="18"/>
        <w:keepNext w:val="0"/>
        <w:keepLines w:val="0"/>
        <w:pageBreakBefore w:val="0"/>
        <w:numPr>
          <w:ilvl w:val="0"/>
          <w:numId w:val="0"/>
        </w:numPr>
        <w:kinsoku/>
        <w:wordWrap/>
        <w:autoSpaceDE/>
        <w:autoSpaceDN/>
        <w:bidi w:val="0"/>
        <w:adjustRightInd w:val="0"/>
        <w:snapToGrid w:val="0"/>
        <w:spacing w:beforeLines="0" w:line="360" w:lineRule="auto"/>
        <w:ind w:firstLine="420" w:firstLineChars="200"/>
        <w:jc w:val="left"/>
        <w:rPr>
          <w:rFonts w:hint="eastAsia" w:ascii="宋体" w:hAnsi="宋体" w:eastAsia="宋体" w:cs="宋体"/>
          <w:snapToGrid/>
          <w:color w:val="auto"/>
          <w:kern w:val="2"/>
          <w:sz w:val="21"/>
          <w:szCs w:val="21"/>
          <w:highlight w:val="none"/>
          <w:lang w:val="en-US" w:eastAsia="zh-CN" w:bidi="ar-SA"/>
        </w:rPr>
      </w:pPr>
      <w:r>
        <w:rPr>
          <w:rFonts w:hint="eastAsia" w:cs="宋体"/>
          <w:snapToGrid/>
          <w:color w:val="auto"/>
          <w:kern w:val="2"/>
          <w:sz w:val="21"/>
          <w:szCs w:val="21"/>
          <w:highlight w:val="none"/>
          <w:lang w:val="en-US" w:eastAsia="zh-CN" w:bidi="ar-SA"/>
        </w:rPr>
        <w:t>2</w:t>
      </w:r>
      <w:r>
        <w:rPr>
          <w:rFonts w:hint="eastAsia" w:ascii="宋体" w:hAnsi="宋体" w:eastAsia="宋体" w:cs="宋体"/>
          <w:snapToGrid/>
          <w:color w:val="auto"/>
          <w:kern w:val="2"/>
          <w:sz w:val="21"/>
          <w:szCs w:val="21"/>
          <w:highlight w:val="none"/>
          <w:lang w:val="en-US" w:eastAsia="zh-CN" w:bidi="ar-SA"/>
        </w:rPr>
        <w:t>.2</w:t>
      </w:r>
      <w:r>
        <w:rPr>
          <w:rFonts w:hint="eastAsia" w:cs="宋体"/>
          <w:snapToGrid/>
          <w:color w:val="auto"/>
          <w:kern w:val="2"/>
          <w:sz w:val="21"/>
          <w:szCs w:val="21"/>
          <w:highlight w:val="none"/>
          <w:lang w:val="en-US" w:eastAsia="zh-CN" w:bidi="ar-SA"/>
        </w:rPr>
        <w:t>石灰</w:t>
      </w:r>
      <w:r>
        <w:rPr>
          <w:rFonts w:hint="eastAsia" w:ascii="宋体" w:hAnsi="宋体" w:eastAsia="宋体" w:cs="宋体"/>
          <w:snapToGrid/>
          <w:color w:val="auto"/>
          <w:kern w:val="2"/>
          <w:sz w:val="21"/>
          <w:szCs w:val="21"/>
          <w:highlight w:val="none"/>
          <w:lang w:val="en-US" w:eastAsia="zh-CN" w:bidi="ar-SA"/>
        </w:rPr>
        <w:t>技术规范清单：</w:t>
      </w:r>
    </w:p>
    <w:p>
      <w:pPr>
        <w:pStyle w:val="18"/>
        <w:keepNext w:val="0"/>
        <w:keepLines w:val="0"/>
        <w:pageBreakBefore w:val="0"/>
        <w:numPr>
          <w:ilvl w:val="0"/>
          <w:numId w:val="0"/>
        </w:numPr>
        <w:kinsoku/>
        <w:wordWrap/>
        <w:autoSpaceDE/>
        <w:autoSpaceDN/>
        <w:bidi w:val="0"/>
        <w:adjustRightInd w:val="0"/>
        <w:snapToGrid w:val="0"/>
        <w:spacing w:beforeLines="0" w:line="360" w:lineRule="auto"/>
        <w:ind w:left="582" w:leftChars="199" w:hanging="165" w:hangingChars="79"/>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国家现行设计、施工及验收规范、规程、标准的规定。</w:t>
      </w:r>
    </w:p>
    <w:p>
      <w:pPr>
        <w:keepNext w:val="0"/>
        <w:keepLines w:val="0"/>
        <w:pageBreakBefore w:val="0"/>
        <w:widowControl/>
        <w:kinsoku/>
        <w:wordWrap/>
        <w:autoSpaceDE/>
        <w:autoSpaceDN/>
        <w:bidi w:val="0"/>
        <w:spacing w:line="360" w:lineRule="auto"/>
        <w:ind w:left="0" w:leftChars="0" w:firstLine="420" w:firstLineChars="20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本项目设计图纸。</w:t>
      </w:r>
    </w:p>
    <w:p>
      <w:pPr>
        <w:pStyle w:val="6"/>
        <w:keepNext w:val="0"/>
        <w:keepLines w:val="0"/>
        <w:pageBreakBefore w:val="0"/>
        <w:kinsoku/>
        <w:wordWrap/>
        <w:autoSpaceDE/>
        <w:autoSpaceDN/>
        <w:bidi w:val="0"/>
        <w:spacing w:line="360" w:lineRule="auto"/>
        <w:ind w:left="417" w:leftChars="199" w:firstLine="39" w:firstLineChars="19"/>
        <w:rPr>
          <w:b/>
          <w:color w:val="auto"/>
          <w:w w:val="90"/>
          <w:highlight w:val="none"/>
          <w:u w:val="double"/>
        </w:rPr>
      </w:pPr>
      <w:r>
        <w:rPr>
          <w:rFonts w:hint="eastAsia" w:ascii="宋体" w:hAnsi="宋体" w:eastAsia="宋体" w:cs="宋体"/>
          <w:snapToGrid/>
          <w:color w:val="auto"/>
          <w:kern w:val="2"/>
          <w:sz w:val="21"/>
          <w:szCs w:val="21"/>
          <w:highlight w:val="none"/>
          <w:lang w:val="en-US" w:eastAsia="zh-CN" w:bidi="ar-SA"/>
        </w:rPr>
        <w:t>其他由业主或监理工程师指定的工程规范和技术说明。</w:t>
      </w:r>
      <w:r>
        <w:rPr>
          <w:rFonts w:hint="eastAsia"/>
          <w:b/>
          <w:color w:val="auto"/>
          <w:w w:val="90"/>
          <w:highlight w:val="none"/>
          <w:u w:val="double"/>
        </w:rPr>
        <w:br w:type="page"/>
      </w:r>
      <w:r>
        <w:rPr>
          <w:rFonts w:hint="eastAsia"/>
          <w:b/>
          <w:color w:val="auto"/>
          <w:w w:val="90"/>
          <w:highlight w:val="none"/>
          <w:u w:val="double"/>
        </w:rPr>
        <w:t>六、合同文本</w:t>
      </w:r>
    </w:p>
    <w:p>
      <w:pPr>
        <w:rPr>
          <w:rFonts w:ascii="宋体" w:hAnsi="宋体" w:cs="宋体"/>
          <w:b/>
          <w:bCs/>
          <w:color w:val="auto"/>
          <w:sz w:val="36"/>
          <w:szCs w:val="36"/>
          <w:highlight w:val="none"/>
        </w:rPr>
      </w:pPr>
      <w:r>
        <w:rPr>
          <w:color w:val="auto"/>
          <w:highlight w:val="none"/>
        </w:rPr>
        <w:pict>
          <v:shape id="_x0000_s1027" o:spid="_x0000_s1027" o:spt="202" type="#_x0000_t202" style="position:absolute;left:0pt;margin-left:217.45pt;margin-top:2.6pt;height:22.55pt;width:213.15pt;z-index:251658240;mso-width-relative:page;mso-height-relative:page;" fillcolor="#FFFFFF" filled="t" stroked="t" coordsize="21600,21600" o:gfxdata="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4liq9kAAAAJAQAADwAAAAAAAAABACAAAAAiAAAAZHJzL2Rvd25yZXYueG1sUEsB&#10;AhQAFAAAAAgAh07iQLUmiEj0AQAA9gMAAA4AAAAAAAAAAQAgAAAAKAEAAGRycy9lMm9Eb2MueG1s&#10;UEsFBgAAAAAGAAYAWQEAAI4FAAAAAA==&#10;">
            <v:path/>
            <v:fill on="t" color2="#FFFFFF" focussize="0,0"/>
            <v:stroke color="#000000" joinstyle="miter"/>
            <v:imagedata o:title=""/>
            <o:lock v:ext="edit" aspectratio="f"/>
            <v:textbox>
              <w:txbxContent>
                <w:p>
                  <w:pPr>
                    <w:rPr>
                      <w:rFonts w:hint="eastAsia" w:ascii="宋体" w:hAnsi="宋体" w:eastAsia="宋体"/>
                      <w:lang w:val="en-US" w:eastAsia="zh-CN"/>
                    </w:rPr>
                  </w:pPr>
                  <w:r>
                    <w:rPr>
                      <w:rFonts w:hint="eastAsia" w:ascii="宋体" w:hAnsi="宋体"/>
                    </w:rPr>
                    <w:t>合同编号：ZJLQ-FG-</w:t>
                  </w:r>
                  <w:r>
                    <w:rPr>
                      <w:rFonts w:hint="eastAsia" w:ascii="宋体" w:hAnsi="宋体"/>
                      <w:lang w:val="en-US" w:eastAsia="zh-CN"/>
                    </w:rPr>
                    <w:t>济宁EPC项目</w:t>
                  </w:r>
                  <w:r>
                    <w:rPr>
                      <w:rFonts w:hint="eastAsia" w:ascii="宋体" w:hAnsi="宋体"/>
                    </w:rPr>
                    <w:t>-</w:t>
                  </w:r>
                  <w:r>
                    <w:rPr>
                      <w:rFonts w:hint="eastAsia" w:ascii="宋体" w:hAnsi="宋体"/>
                      <w:lang w:val="en-US" w:eastAsia="zh-CN"/>
                    </w:rPr>
                    <w:t xml:space="preserve">    号</w:t>
                  </w:r>
                </w:p>
              </w:txbxContent>
            </v:textbox>
          </v:shape>
        </w:pict>
      </w:r>
      <w:r>
        <w:rPr>
          <w:rFonts w:hint="eastAsia" w:ascii="宋体" w:hAnsi="宋体" w:cs="宋体"/>
          <w:b/>
          <w:bCs/>
          <w:color w:val="auto"/>
          <w:sz w:val="36"/>
          <w:szCs w:val="36"/>
          <w:highlight w:val="none"/>
        </w:rPr>
        <w:t xml:space="preserve">                                                                                                                                                                                                                                                                                                                                                                                          </w:t>
      </w:r>
    </w:p>
    <w:p>
      <w:pPr>
        <w:jc w:val="center"/>
        <w:rPr>
          <w:rFonts w:ascii="宋体" w:hAnsi="宋体" w:cs="宋体"/>
          <w:b/>
          <w:bCs/>
          <w:color w:val="auto"/>
          <w:sz w:val="36"/>
          <w:szCs w:val="36"/>
          <w:highlight w:val="none"/>
        </w:rPr>
      </w:pPr>
    </w:p>
    <w:p>
      <w:pPr>
        <w:ind w:firstLine="3221" w:firstLineChars="895"/>
        <w:rPr>
          <w:rFonts w:ascii="宋体" w:hAnsi="宋体" w:cs="宋体"/>
          <w:b/>
          <w:color w:val="auto"/>
          <w:sz w:val="36"/>
          <w:szCs w:val="36"/>
          <w:highlight w:val="none"/>
        </w:rPr>
      </w:pPr>
    </w:p>
    <w:p>
      <w:pPr>
        <w:ind w:firstLine="3221" w:firstLineChars="895"/>
        <w:rPr>
          <w:rFonts w:ascii="宋体" w:hAnsi="宋体" w:cs="宋体"/>
          <w:b/>
          <w:color w:val="auto"/>
          <w:sz w:val="36"/>
          <w:szCs w:val="36"/>
          <w:highlight w:val="none"/>
        </w:rPr>
      </w:pPr>
    </w:p>
    <w:p>
      <w:pPr>
        <w:rPr>
          <w:rFonts w:ascii="宋体" w:hAnsi="宋体" w:cs="宋体"/>
          <w:color w:val="auto"/>
          <w:szCs w:val="20"/>
          <w:highlight w:val="none"/>
        </w:rPr>
      </w:pPr>
    </w:p>
    <w:p>
      <w:pPr>
        <w:spacing w:line="220" w:lineRule="atLeast"/>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rPr>
        <w:t>物资购销合同</w:t>
      </w:r>
    </w:p>
    <w:p>
      <w:pPr>
        <w:ind w:firstLine="1680" w:firstLineChars="700"/>
        <w:jc w:val="center"/>
        <w:rPr>
          <w:rFonts w:ascii="宋体" w:hAnsi="宋体" w:cs="宋体"/>
          <w:b/>
          <w:color w:val="auto"/>
          <w:sz w:val="24"/>
          <w:szCs w:val="20"/>
          <w:highlight w:val="none"/>
        </w:rPr>
      </w:pPr>
    </w:p>
    <w:p>
      <w:pPr>
        <w:spacing w:line="220" w:lineRule="atLeast"/>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物资名称：</w:t>
      </w:r>
      <w:r>
        <w:rPr>
          <w:rFonts w:hint="eastAsia" w:ascii="宋体" w:hAnsi="宋体" w:cs="宋体"/>
          <w:color w:val="auto"/>
          <w:sz w:val="30"/>
          <w:szCs w:val="30"/>
          <w:highlight w:val="none"/>
          <w:u w:val="single"/>
          <w:lang w:val="en-US" w:eastAsia="zh-CN"/>
        </w:rPr>
        <w:t>石灰</w:t>
      </w:r>
    </w:p>
    <w:p>
      <w:pPr>
        <w:ind w:firstLine="1680" w:firstLineChars="700"/>
        <w:rPr>
          <w:rFonts w:ascii="宋体" w:hAnsi="宋体" w:cs="宋体"/>
          <w:b/>
          <w:color w:val="auto"/>
          <w:sz w:val="24"/>
          <w:szCs w:val="20"/>
          <w:highlight w:val="non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pStyle w:val="13"/>
        <w:ind w:firstLine="480"/>
        <w:rPr>
          <w:color w:val="auto"/>
          <w:highlight w:val="none"/>
        </w:rPr>
      </w:pPr>
    </w:p>
    <w:p>
      <w:pPr>
        <w:pStyle w:val="13"/>
        <w:ind w:firstLine="480"/>
        <w:rPr>
          <w:color w:val="auto"/>
          <w:highlight w:val="none"/>
        </w:rPr>
      </w:pPr>
    </w:p>
    <w:p>
      <w:pPr>
        <w:pStyle w:val="13"/>
        <w:ind w:firstLine="480"/>
        <w:rPr>
          <w:color w:val="auto"/>
          <w:highlight w:val="none"/>
        </w:rPr>
      </w:pPr>
    </w:p>
    <w:p>
      <w:pPr>
        <w:pStyle w:val="13"/>
        <w:ind w:firstLine="480"/>
        <w:rPr>
          <w:color w:val="auto"/>
          <w:highlight w:val="non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ind w:firstLine="1680" w:firstLineChars="700"/>
        <w:rPr>
          <w:rFonts w:ascii="宋体" w:hAnsi="宋体" w:cs="宋体"/>
          <w:b/>
          <w:color w:val="auto"/>
          <w:sz w:val="24"/>
          <w:szCs w:val="20"/>
          <w:highlight w:val="none"/>
          <w:u w:val="single"/>
        </w:rPr>
      </w:pPr>
    </w:p>
    <w:p>
      <w:pPr>
        <w:spacing w:line="360" w:lineRule="auto"/>
        <w:ind w:left="3780" w:leftChars="1200" w:hanging="1260" w:hangingChars="450"/>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p>
    <w:p>
      <w:pPr>
        <w:spacing w:line="360" w:lineRule="auto"/>
        <w:ind w:firstLine="2520" w:firstLineChars="900"/>
        <w:rPr>
          <w:rFonts w:ascii="宋体" w:hAnsi="宋体"/>
          <w:color w:val="auto"/>
          <w:sz w:val="28"/>
          <w:szCs w:val="28"/>
          <w:highlight w:val="none"/>
          <w:u w:val="singl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p>
    <w:p>
      <w:pPr>
        <w:spacing w:line="360" w:lineRule="auto"/>
        <w:ind w:firstLine="1680" w:firstLineChars="700"/>
        <w:rPr>
          <w:rFonts w:ascii="宋体" w:hAnsi="宋体"/>
          <w:b/>
          <w:color w:val="auto"/>
          <w:sz w:val="24"/>
          <w:highlight w:val="none"/>
          <w:u w:val="single"/>
        </w:rPr>
      </w:pPr>
    </w:p>
    <w:p>
      <w:pPr>
        <w:spacing w:line="360" w:lineRule="auto"/>
        <w:rPr>
          <w:rFonts w:ascii="宋体" w:hAnsi="宋体"/>
          <w:b/>
          <w:color w:val="auto"/>
          <w:sz w:val="24"/>
          <w:highlight w:val="none"/>
          <w:u w:val="single"/>
        </w:rPr>
      </w:pPr>
    </w:p>
    <w:p>
      <w:pPr>
        <w:spacing w:line="360" w:lineRule="auto"/>
        <w:ind w:firstLine="2520" w:firstLineChars="900"/>
        <w:rPr>
          <w:rFonts w:ascii="宋体" w:hAnsi="宋体"/>
          <w:color w:val="auto"/>
          <w:sz w:val="28"/>
          <w:szCs w:val="28"/>
          <w:highlight w:val="none"/>
        </w:rPr>
      </w:pPr>
      <w:r>
        <w:rPr>
          <w:rFonts w:hint="eastAsia" w:ascii="宋体" w:hAnsi="宋体"/>
          <w:color w:val="auto"/>
          <w:sz w:val="28"/>
          <w:szCs w:val="28"/>
          <w:highlight w:val="none"/>
        </w:rPr>
        <w:t>合同订立日期：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line="360" w:lineRule="auto"/>
        <w:ind w:firstLine="2520" w:firstLineChars="900"/>
        <w:rPr>
          <w:rFonts w:ascii="宋体" w:hAnsi="宋体"/>
          <w:color w:val="auto"/>
          <w:sz w:val="28"/>
          <w:szCs w:val="28"/>
          <w:highlight w:val="none"/>
        </w:rPr>
      </w:pPr>
      <w:r>
        <w:rPr>
          <w:rFonts w:hint="eastAsia" w:ascii="宋体" w:hAnsi="宋体"/>
          <w:color w:val="auto"/>
          <w:sz w:val="28"/>
          <w:szCs w:val="28"/>
          <w:highlight w:val="none"/>
        </w:rPr>
        <w:t>合同订立地点：</w:t>
      </w:r>
      <w:r>
        <w:rPr>
          <w:rFonts w:hint="eastAsia" w:ascii="宋体" w:hAnsi="宋体"/>
          <w:color w:val="auto"/>
          <w:sz w:val="28"/>
          <w:szCs w:val="28"/>
          <w:highlight w:val="none"/>
          <w:lang w:val="en-US" w:eastAsia="zh-CN"/>
        </w:rPr>
        <w:t>济宁</w:t>
      </w:r>
      <w:r>
        <w:rPr>
          <w:rFonts w:hint="eastAsia" w:ascii="宋体" w:hAnsi="宋体"/>
          <w:color w:val="auto"/>
          <w:sz w:val="28"/>
          <w:szCs w:val="28"/>
          <w:highlight w:val="none"/>
        </w:rPr>
        <w:t>市</w:t>
      </w:r>
    </w:p>
    <w:p>
      <w:pPr>
        <w:spacing w:line="220" w:lineRule="atLeas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物资购销合同</w:t>
      </w:r>
    </w:p>
    <w:p>
      <w:pPr>
        <w:spacing w:before="249" w:beforeLines="80" w:line="220" w:lineRule="atLeast"/>
        <w:jc w:val="center"/>
        <w:rPr>
          <w:rFonts w:ascii="宋体" w:hAnsi="宋体"/>
          <w:b/>
          <w:color w:val="auto"/>
          <w:sz w:val="30"/>
          <w:szCs w:val="30"/>
          <w:highlight w:val="none"/>
        </w:rPr>
      </w:pPr>
      <w:r>
        <w:rPr>
          <w:rFonts w:hint="eastAsia" w:ascii="宋体" w:hAnsi="宋体"/>
          <w:b/>
          <w:color w:val="auto"/>
          <w:sz w:val="30"/>
          <w:szCs w:val="30"/>
          <w:highlight w:val="none"/>
        </w:rPr>
        <w:t>第一部分  合同</w:t>
      </w:r>
      <w:r>
        <w:rPr>
          <w:rFonts w:ascii="宋体" w:hAnsi="宋体"/>
          <w:b/>
          <w:color w:val="auto"/>
          <w:sz w:val="30"/>
          <w:szCs w:val="30"/>
          <w:highlight w:val="none"/>
        </w:rPr>
        <w:t>协议书</w:t>
      </w:r>
    </w:p>
    <w:p>
      <w:pPr>
        <w:spacing w:line="400" w:lineRule="exact"/>
        <w:rPr>
          <w:rFonts w:ascii="宋体" w:hAnsi="宋体"/>
          <w:color w:val="auto"/>
          <w:szCs w:val="21"/>
          <w:highlight w:val="none"/>
        </w:rPr>
      </w:pPr>
      <w:r>
        <w:rPr>
          <w:rFonts w:hint="eastAsia" w:ascii="宋体" w:hAnsi="宋体"/>
          <w:color w:val="auto"/>
          <w:szCs w:val="21"/>
          <w:highlight w:val="none"/>
        </w:rPr>
        <w:t>甲方（需方）：</w:t>
      </w:r>
      <w:r>
        <w:rPr>
          <w:rFonts w:hint="eastAsia" w:ascii="宋体" w:hAnsi="宋体"/>
          <w:color w:val="auto"/>
          <w:szCs w:val="21"/>
          <w:highlight w:val="none"/>
          <w:u w:val="single"/>
        </w:rPr>
        <w:t xml:space="preserve">                    </w:t>
      </w:r>
    </w:p>
    <w:p>
      <w:pPr>
        <w:tabs>
          <w:tab w:val="center" w:pos="5081"/>
        </w:tabs>
        <w:spacing w:line="400" w:lineRule="exact"/>
        <w:rPr>
          <w:rFonts w:ascii="宋体" w:hAnsi="宋体"/>
          <w:color w:val="auto"/>
          <w:szCs w:val="21"/>
          <w:highlight w:val="none"/>
          <w:u w:val="single"/>
        </w:rPr>
      </w:pPr>
      <w:r>
        <w:rPr>
          <w:rFonts w:hint="eastAsia" w:ascii="宋体" w:hAnsi="宋体"/>
          <w:color w:val="auto"/>
          <w:szCs w:val="21"/>
          <w:highlight w:val="none"/>
        </w:rPr>
        <w:t>乙方（供方）：</w:t>
      </w:r>
      <w:r>
        <w:rPr>
          <w:rFonts w:hint="eastAsia" w:ascii="宋体" w:hAnsi="宋体"/>
          <w:color w:val="auto"/>
          <w:szCs w:val="21"/>
          <w:highlight w:val="none"/>
          <w:u w:val="single"/>
        </w:rPr>
        <w:t xml:space="preserve">                    </w:t>
      </w:r>
    </w:p>
    <w:p>
      <w:pPr>
        <w:pStyle w:val="19"/>
        <w:spacing w:beforeLines="0" w:line="400" w:lineRule="exact"/>
        <w:jc w:val="left"/>
        <w:rPr>
          <w:rFonts w:hint="eastAsia" w:eastAsia="宋体"/>
          <w:color w:val="auto"/>
          <w:highlight w:val="none"/>
          <w:lang w:val="en-US" w:eastAsia="zh-CN"/>
        </w:rPr>
      </w:pPr>
      <w:r>
        <w:rPr>
          <w:rFonts w:hint="eastAsia"/>
          <w:color w:val="auto"/>
          <w:highlight w:val="none"/>
        </w:rPr>
        <w:t>依据《中华人民共和国合同法》及相关法律、法规，遵循平等、自愿、公平和诚实信用的原则，为明确甲方与乙方的权利和义务，经双方协商就物资采购事宜达成一致意见，特签订本合同，双方共同遵照执行。</w:t>
      </w:r>
      <w:r>
        <w:rPr>
          <w:rFonts w:hint="eastAsia"/>
          <w:color w:val="auto"/>
          <w:highlight w:val="none"/>
          <w:lang w:val="en-US" w:eastAsia="zh-CN"/>
        </w:rPr>
        <w:tab/>
      </w:r>
    </w:p>
    <w:p>
      <w:pPr>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一、项目名称和项目地点</w:t>
      </w:r>
    </w:p>
    <w:p>
      <w:pPr>
        <w:spacing w:line="400" w:lineRule="exact"/>
        <w:ind w:firstLine="840" w:firstLineChars="400"/>
        <w:jc w:val="left"/>
        <w:rPr>
          <w:rFonts w:ascii="宋体" w:hAnsi="宋体"/>
          <w:b/>
          <w:color w:val="auto"/>
          <w:szCs w:val="21"/>
          <w:highlight w:val="none"/>
          <w:u w:val="single"/>
        </w:rPr>
      </w:pPr>
      <w:r>
        <w:rPr>
          <w:rFonts w:hint="eastAsia" w:ascii="宋体" w:hAnsi="宋体"/>
          <w:color w:val="auto"/>
          <w:szCs w:val="21"/>
          <w:highlight w:val="none"/>
        </w:rPr>
        <w:t>项目名称：</w:t>
      </w:r>
      <w:r>
        <w:rPr>
          <w:rFonts w:hint="eastAsia" w:ascii="宋体" w:hAnsi="宋体" w:eastAsia="宋体" w:cs="宋体"/>
          <w:sz w:val="21"/>
          <w:szCs w:val="21"/>
          <w:u w:val="single"/>
          <w:lang w:val="en-US" w:eastAsia="zh-CN"/>
        </w:rPr>
        <w:t>济宁市太白湖新区路网、桥梁建设</w:t>
      </w:r>
      <w:r>
        <w:rPr>
          <w:rFonts w:hint="eastAsia" w:ascii="宋体" w:hAnsi="宋体" w:cs="宋体"/>
          <w:sz w:val="21"/>
          <w:szCs w:val="21"/>
          <w:u w:val="single"/>
          <w:lang w:val="en-US" w:eastAsia="zh-CN"/>
        </w:rPr>
        <w:t>EPC项目</w:t>
      </w:r>
    </w:p>
    <w:p>
      <w:pPr>
        <w:spacing w:line="400" w:lineRule="exact"/>
        <w:ind w:firstLine="840" w:firstLineChars="400"/>
        <w:jc w:val="left"/>
        <w:rPr>
          <w:rFonts w:hint="eastAsia" w:ascii="宋体" w:hAnsi="宋体" w:eastAsia="宋体"/>
          <w:b/>
          <w:color w:val="auto"/>
          <w:szCs w:val="21"/>
          <w:highlight w:val="none"/>
          <w:lang w:val="en-US" w:eastAsia="zh-CN"/>
        </w:rPr>
      </w:pPr>
      <w:r>
        <w:rPr>
          <w:rFonts w:hint="eastAsia" w:ascii="宋体" w:hAnsi="宋体"/>
          <w:color w:val="auto"/>
          <w:szCs w:val="21"/>
          <w:highlight w:val="none"/>
        </w:rPr>
        <w:t>项目地点：</w:t>
      </w:r>
      <w:r>
        <w:rPr>
          <w:rFonts w:hint="eastAsia" w:ascii="宋体" w:hAnsi="宋体" w:cs="宋体"/>
          <w:color w:val="auto"/>
          <w:szCs w:val="21"/>
          <w:highlight w:val="none"/>
          <w:u w:val="single"/>
          <w:lang w:eastAsia="zh-CN"/>
        </w:rPr>
        <w:t>山东省</w:t>
      </w:r>
      <w:r>
        <w:rPr>
          <w:rFonts w:hint="eastAsia" w:ascii="宋体" w:hAnsi="宋体" w:cs="宋体"/>
          <w:color w:val="auto"/>
          <w:szCs w:val="21"/>
          <w:highlight w:val="none"/>
          <w:u w:val="single"/>
          <w:lang w:val="en-US" w:eastAsia="zh-CN"/>
        </w:rPr>
        <w:t>济宁市太白湖新区</w:t>
      </w:r>
    </w:p>
    <w:p>
      <w:pPr>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二、物资信息</w:t>
      </w:r>
    </w:p>
    <w:p>
      <w:pPr>
        <w:spacing w:line="400" w:lineRule="exact"/>
        <w:ind w:firstLine="315" w:firstLineChars="15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一)综合单价</w:t>
      </w:r>
    </w:p>
    <w:tbl>
      <w:tblPr>
        <w:tblStyle w:val="14"/>
        <w:tblpPr w:leftFromText="180" w:rightFromText="180" w:vertAnchor="text" w:horzAnchor="page" w:tblpX="1659" w:tblpY="15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692"/>
        <w:gridCol w:w="1141"/>
        <w:gridCol w:w="526"/>
        <w:gridCol w:w="769"/>
        <w:gridCol w:w="1025"/>
        <w:gridCol w:w="898"/>
        <w:gridCol w:w="769"/>
        <w:gridCol w:w="872"/>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92"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物资名称</w:t>
            </w:r>
          </w:p>
        </w:tc>
        <w:tc>
          <w:tcPr>
            <w:tcW w:w="1141"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规格</w:t>
            </w:r>
          </w:p>
        </w:tc>
        <w:tc>
          <w:tcPr>
            <w:tcW w:w="526"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769"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暂定数量</w:t>
            </w:r>
          </w:p>
        </w:tc>
        <w:tc>
          <w:tcPr>
            <w:tcW w:w="3564" w:type="dxa"/>
            <w:gridSpan w:val="4"/>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综合单价（元）</w:t>
            </w:r>
          </w:p>
        </w:tc>
        <w:tc>
          <w:tcPr>
            <w:tcW w:w="1111"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19" w:type="dxa"/>
            <w:vMerge w:val="continue"/>
            <w:vAlign w:val="center"/>
          </w:tcPr>
          <w:p>
            <w:pPr>
              <w:spacing w:line="360" w:lineRule="auto"/>
              <w:jc w:val="center"/>
              <w:rPr>
                <w:rFonts w:ascii="宋体" w:hAnsi="宋体"/>
                <w:color w:val="auto"/>
                <w:szCs w:val="21"/>
                <w:highlight w:val="none"/>
              </w:rPr>
            </w:pPr>
          </w:p>
        </w:tc>
        <w:tc>
          <w:tcPr>
            <w:tcW w:w="1692" w:type="dxa"/>
            <w:vMerge w:val="continue"/>
            <w:vAlign w:val="center"/>
          </w:tcPr>
          <w:p>
            <w:pPr>
              <w:spacing w:line="360" w:lineRule="auto"/>
              <w:jc w:val="center"/>
              <w:rPr>
                <w:rFonts w:ascii="宋体" w:hAnsi="宋体"/>
                <w:color w:val="auto"/>
                <w:szCs w:val="21"/>
                <w:highlight w:val="none"/>
              </w:rPr>
            </w:pPr>
          </w:p>
        </w:tc>
        <w:tc>
          <w:tcPr>
            <w:tcW w:w="1141" w:type="dxa"/>
            <w:vMerge w:val="continue"/>
            <w:vAlign w:val="center"/>
          </w:tcPr>
          <w:p>
            <w:pPr>
              <w:spacing w:line="360" w:lineRule="auto"/>
              <w:jc w:val="center"/>
              <w:rPr>
                <w:rFonts w:ascii="宋体" w:hAnsi="宋体"/>
                <w:color w:val="auto"/>
                <w:szCs w:val="21"/>
                <w:highlight w:val="none"/>
              </w:rPr>
            </w:pPr>
          </w:p>
        </w:tc>
        <w:tc>
          <w:tcPr>
            <w:tcW w:w="526" w:type="dxa"/>
            <w:vMerge w:val="continue"/>
            <w:vAlign w:val="center"/>
          </w:tcPr>
          <w:p>
            <w:pPr>
              <w:spacing w:line="360" w:lineRule="auto"/>
              <w:jc w:val="center"/>
              <w:rPr>
                <w:rFonts w:ascii="宋体" w:hAnsi="宋体"/>
                <w:color w:val="auto"/>
                <w:szCs w:val="21"/>
                <w:highlight w:val="none"/>
              </w:rPr>
            </w:pPr>
          </w:p>
        </w:tc>
        <w:tc>
          <w:tcPr>
            <w:tcW w:w="769" w:type="dxa"/>
            <w:vMerge w:val="continue"/>
            <w:vAlign w:val="center"/>
          </w:tcPr>
          <w:p>
            <w:pPr>
              <w:spacing w:line="360" w:lineRule="auto"/>
              <w:jc w:val="center"/>
              <w:rPr>
                <w:rFonts w:ascii="宋体" w:hAnsi="宋体"/>
                <w:color w:val="auto"/>
                <w:szCs w:val="21"/>
                <w:highlight w:val="none"/>
              </w:rPr>
            </w:pPr>
          </w:p>
        </w:tc>
        <w:tc>
          <w:tcPr>
            <w:tcW w:w="1025"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单价（不含税）</w:t>
            </w:r>
          </w:p>
        </w:tc>
        <w:tc>
          <w:tcPr>
            <w:tcW w:w="898"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olor w:val="auto"/>
                <w:szCs w:val="21"/>
                <w:highlight w:val="none"/>
              </w:rPr>
              <w:t>发票票面税率</w:t>
            </w:r>
          </w:p>
        </w:tc>
        <w:tc>
          <w:tcPr>
            <w:tcW w:w="769"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税额</w:t>
            </w:r>
          </w:p>
        </w:tc>
        <w:tc>
          <w:tcPr>
            <w:tcW w:w="872"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价税合计</w:t>
            </w:r>
          </w:p>
        </w:tc>
        <w:tc>
          <w:tcPr>
            <w:tcW w:w="1111"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19" w:type="dxa"/>
            <w:shd w:val="clear" w:color="auto" w:fill="auto"/>
            <w:vAlign w:val="center"/>
          </w:tcPr>
          <w:p>
            <w:pPr>
              <w:widowControl/>
              <w:jc w:val="center"/>
              <w:rPr>
                <w:rFonts w:ascii="宋体" w:hAnsi="宋体"/>
                <w:color w:val="auto"/>
                <w:szCs w:val="21"/>
                <w:highlight w:val="none"/>
              </w:rPr>
            </w:pPr>
            <w:r>
              <w:rPr>
                <w:rFonts w:hint="eastAsia" w:ascii="宋体" w:hAnsi="宋体" w:eastAsia="宋体" w:cs="宋体"/>
                <w:color w:val="000000"/>
                <w:kern w:val="0"/>
                <w:sz w:val="22"/>
                <w:szCs w:val="22"/>
              </w:rPr>
              <w:t>1</w:t>
            </w:r>
          </w:p>
        </w:tc>
        <w:tc>
          <w:tcPr>
            <w:tcW w:w="1692" w:type="dxa"/>
            <w:shd w:val="clear" w:color="auto" w:fill="auto"/>
            <w:vAlign w:val="center"/>
          </w:tcPr>
          <w:p>
            <w:pPr>
              <w:keepNext w:val="0"/>
              <w:keepLines w:val="0"/>
              <w:widowControl/>
              <w:suppressLineNumbers w:val="0"/>
              <w:jc w:val="center"/>
              <w:textAlignment w:val="center"/>
              <w:rPr>
                <w:rFonts w:hint="eastAsia" w:ascii="宋体" w:hAnsi="宋体" w:eastAsia="宋体"/>
                <w:color w:val="auto"/>
                <w:szCs w:val="21"/>
                <w:highlight w:val="none"/>
                <w:lang w:eastAsia="zh-CN"/>
              </w:rPr>
            </w:pPr>
            <w:r>
              <w:rPr>
                <w:rFonts w:hint="eastAsia" w:ascii="宋体" w:hAnsi="宋体" w:cs="宋体"/>
                <w:i w:val="0"/>
                <w:color w:val="000000"/>
                <w:kern w:val="0"/>
                <w:sz w:val="22"/>
                <w:szCs w:val="22"/>
                <w:u w:val="none"/>
                <w:lang w:val="en-US" w:eastAsia="zh-CN" w:bidi="ar"/>
              </w:rPr>
              <w:t>石灰</w:t>
            </w:r>
          </w:p>
        </w:tc>
        <w:tc>
          <w:tcPr>
            <w:tcW w:w="1141" w:type="dxa"/>
            <w:shd w:val="clear" w:color="auto" w:fill="auto"/>
            <w:vAlign w:val="center"/>
          </w:tcPr>
          <w:p>
            <w:pPr>
              <w:jc w:val="center"/>
              <w:rPr>
                <w:rFonts w:hint="eastAsia" w:ascii="宋体" w:hAnsi="宋体" w:eastAsia="宋体"/>
                <w:color w:val="auto"/>
                <w:szCs w:val="21"/>
                <w:highlight w:val="none"/>
                <w:lang w:val="en-US" w:eastAsia="zh-CN"/>
              </w:rPr>
            </w:pPr>
            <w:r>
              <w:rPr>
                <w:rFonts w:hint="eastAsia" w:ascii="宋体" w:hAnsi="宋体" w:cs="宋体"/>
                <w:color w:val="auto"/>
                <w:kern w:val="0"/>
                <w:sz w:val="22"/>
                <w:highlight w:val="none"/>
                <w:lang w:val="en-US" w:eastAsia="zh-CN"/>
              </w:rPr>
              <w:t>生石灰（</w:t>
            </w:r>
            <w:r>
              <w:rPr>
                <w:rFonts w:hint="eastAsia" w:ascii="宋体" w:hAnsi="宋体" w:eastAsia="宋体" w:cs="宋体"/>
                <w:color w:val="auto"/>
                <w:kern w:val="0"/>
                <w:sz w:val="22"/>
                <w:highlight w:val="none"/>
                <w:lang w:val="en-US" w:eastAsia="zh-CN"/>
              </w:rPr>
              <w:t>Ⅲ</w:t>
            </w:r>
            <w:r>
              <w:rPr>
                <w:rFonts w:hint="eastAsia" w:ascii="宋体" w:hAnsi="宋体" w:cs="宋体"/>
                <w:color w:val="auto"/>
                <w:kern w:val="0"/>
                <w:sz w:val="22"/>
                <w:highlight w:val="none"/>
                <w:lang w:val="en-US" w:eastAsia="zh-CN"/>
              </w:rPr>
              <w:t>级灰），有效钙镁含量</w:t>
            </w:r>
            <w:r>
              <w:rPr>
                <w:rFonts w:hint="eastAsia" w:ascii="宋体" w:hAnsi="宋体" w:eastAsia="宋体" w:cs="宋体"/>
                <w:color w:val="auto"/>
                <w:kern w:val="0"/>
                <w:sz w:val="22"/>
                <w:highlight w:val="none"/>
                <w:lang w:val="en-US" w:eastAsia="zh-CN"/>
              </w:rPr>
              <w:t>≧</w:t>
            </w:r>
            <w:r>
              <w:rPr>
                <w:rFonts w:hint="eastAsia" w:ascii="宋体" w:hAnsi="宋体" w:cs="宋体"/>
                <w:color w:val="auto"/>
                <w:kern w:val="0"/>
                <w:sz w:val="22"/>
                <w:highlight w:val="none"/>
                <w:lang w:val="en-US" w:eastAsia="zh-CN"/>
              </w:rPr>
              <w:t>55</w:t>
            </w:r>
          </w:p>
        </w:tc>
        <w:tc>
          <w:tcPr>
            <w:tcW w:w="526" w:type="dxa"/>
            <w:shd w:val="clear" w:color="auto" w:fill="auto"/>
            <w:vAlign w:val="center"/>
          </w:tcPr>
          <w:p>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color w:val="000000"/>
                <w:kern w:val="0"/>
                <w:sz w:val="22"/>
                <w:szCs w:val="22"/>
                <w:u w:val="none"/>
                <w:lang w:val="en-US" w:eastAsia="zh-CN" w:bidi="ar"/>
              </w:rPr>
              <w:t>t</w:t>
            </w:r>
          </w:p>
        </w:tc>
        <w:tc>
          <w:tcPr>
            <w:tcW w:w="769" w:type="dxa"/>
            <w:shd w:val="clear" w:color="auto" w:fill="auto"/>
            <w:vAlign w:val="center"/>
          </w:tcPr>
          <w:p>
            <w:pPr>
              <w:keepNext w:val="0"/>
              <w:keepLines w:val="0"/>
              <w:widowControl/>
              <w:suppressLineNumbers w:val="0"/>
              <w:jc w:val="center"/>
              <w:textAlignment w:val="center"/>
              <w:rPr>
                <w:rFonts w:hint="default" w:ascii="宋体" w:hAnsi="宋体" w:eastAsiaTheme="minorEastAsia"/>
                <w:color w:val="auto"/>
                <w:szCs w:val="21"/>
                <w:highlight w:val="none"/>
                <w:lang w:val="en-US" w:eastAsia="zh-CN"/>
              </w:rPr>
            </w:pPr>
            <w:r>
              <w:rPr>
                <w:rFonts w:hint="eastAsia" w:ascii="宋体" w:hAnsi="宋体" w:eastAsia="宋体" w:cs="宋体"/>
                <w:i w:val="0"/>
                <w:color w:val="000000"/>
                <w:kern w:val="0"/>
                <w:sz w:val="22"/>
                <w:szCs w:val="22"/>
                <w:u w:val="none"/>
                <w:lang w:val="en-US" w:eastAsia="zh-CN" w:bidi="ar"/>
              </w:rPr>
              <w:t>17192</w:t>
            </w:r>
          </w:p>
        </w:tc>
        <w:tc>
          <w:tcPr>
            <w:tcW w:w="1025"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898"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769"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872"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1111" w:type="dxa"/>
            <w:shd w:val="clear" w:color="auto" w:fill="FFFFFF"/>
            <w:vAlign w:val="center"/>
          </w:tcPr>
          <w:p>
            <w:pPr>
              <w:widowControl/>
              <w:spacing w:line="360" w:lineRule="auto"/>
              <w:jc w:val="left"/>
              <w:textAlignment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不含税金额</w:t>
            </w:r>
            <w:r>
              <w:rPr>
                <w:rFonts w:ascii="宋体" w:hAnsi="宋体"/>
                <w:color w:val="auto"/>
                <w:szCs w:val="21"/>
                <w:highlight w:val="none"/>
              </w:rPr>
              <w:t>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税额</w:t>
            </w:r>
            <w:r>
              <w:rPr>
                <w:rFonts w:ascii="宋体" w:hAnsi="宋体"/>
                <w:color w:val="auto"/>
                <w:szCs w:val="21"/>
                <w:highlight w:val="none"/>
              </w:rPr>
              <w:t>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含税</w:t>
            </w:r>
            <w:r>
              <w:rPr>
                <w:rFonts w:ascii="宋体" w:hAnsi="宋体"/>
                <w:color w:val="auto"/>
                <w:szCs w:val="21"/>
                <w:highlight w:val="none"/>
              </w:rPr>
              <w:t>金额合计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322" w:type="dxa"/>
            <w:gridSpan w:val="10"/>
            <w:vAlign w:val="center"/>
          </w:tcPr>
          <w:p>
            <w:pPr>
              <w:widowControl/>
              <w:spacing w:line="360" w:lineRule="auto"/>
              <w:jc w:val="left"/>
              <w:textAlignment w:val="center"/>
              <w:rPr>
                <w:rFonts w:ascii="宋体" w:hAnsi="宋体" w:cs="宋体"/>
                <w:color w:val="auto"/>
                <w:kern w:val="0"/>
                <w:szCs w:val="21"/>
                <w:highlight w:val="none"/>
              </w:rPr>
            </w:pPr>
            <w:r>
              <w:rPr>
                <w:rFonts w:hint="eastAsia" w:ascii="宋体" w:hAnsi="宋体"/>
                <w:color w:val="auto"/>
                <w:szCs w:val="21"/>
                <w:highlight w:val="none"/>
              </w:rPr>
              <w:t>合同所示的货物数量为暂定数量，最终结算数量以甲方通知进场且实际收到的合格产品数量为准。</w:t>
            </w:r>
          </w:p>
        </w:tc>
      </w:tr>
    </w:tbl>
    <w:p>
      <w:pPr>
        <w:pStyle w:val="19"/>
        <w:spacing w:beforeLines="0" w:line="360" w:lineRule="auto"/>
        <w:ind w:firstLine="0" w:firstLineChars="0"/>
        <w:rPr>
          <w:rFonts w:hint="eastAsia" w:cs="宋体"/>
          <w:color w:val="auto"/>
          <w:highlight w:val="none"/>
        </w:rPr>
      </w:pPr>
      <w:r>
        <w:rPr>
          <w:rFonts w:hint="eastAsia" w:cs="宋体"/>
          <w:color w:val="auto"/>
          <w:highlight w:val="none"/>
        </w:rPr>
        <w:t>说明：</w:t>
      </w:r>
    </w:p>
    <w:p>
      <w:pPr>
        <w:pStyle w:val="19"/>
        <w:numPr>
          <w:ilvl w:val="0"/>
          <w:numId w:val="4"/>
        </w:numPr>
        <w:spacing w:beforeLines="0" w:line="360" w:lineRule="auto"/>
        <w:ind w:firstLine="0" w:firstLineChars="0"/>
        <w:rPr>
          <w:rFonts w:hint="eastAsia"/>
          <w:color w:val="auto"/>
          <w:highlight w:val="none"/>
          <w:lang w:val="en-US" w:eastAsia="zh-CN"/>
        </w:rPr>
      </w:pPr>
      <w:r>
        <w:rPr>
          <w:rFonts w:hint="eastAsia"/>
          <w:color w:val="auto"/>
          <w:highlight w:val="none"/>
        </w:rPr>
        <w:t>合同单价所示的“综合单价”为物资运至工地的单价,</w:t>
      </w:r>
      <w:r>
        <w:rPr>
          <w:rFonts w:hint="eastAsia" w:cs="宋体"/>
          <w:color w:val="auto"/>
          <w:highlight w:val="none"/>
        </w:rPr>
        <w:t>包含但不限于：</w:t>
      </w:r>
      <w:r>
        <w:rPr>
          <w:rFonts w:hint="eastAsia" w:cs="宋体"/>
          <w:color w:val="auto"/>
          <w:highlight w:val="none"/>
          <w:lang w:eastAsia="zh-CN"/>
        </w:rPr>
        <w:t>石灰</w:t>
      </w:r>
      <w:r>
        <w:rPr>
          <w:rFonts w:hint="eastAsia" w:cs="宋体"/>
          <w:color w:val="auto"/>
          <w:highlight w:val="none"/>
        </w:rPr>
        <w:t>的材料费</w:t>
      </w:r>
      <w:r>
        <w:rPr>
          <w:rFonts w:hint="eastAsia" w:cs="宋体"/>
          <w:color w:val="auto"/>
          <w:highlight w:val="none"/>
          <w:lang w:eastAsia="zh-CN"/>
        </w:rPr>
        <w:t>、</w:t>
      </w:r>
      <w:r>
        <w:rPr>
          <w:rFonts w:hint="eastAsia" w:cs="宋体"/>
          <w:color w:val="auto"/>
          <w:highlight w:val="none"/>
        </w:rPr>
        <w:t>场内装车费、运输费、</w:t>
      </w:r>
      <w:r>
        <w:rPr>
          <w:rFonts w:hint="eastAsia" w:cs="宋体"/>
          <w:color w:val="auto"/>
          <w:highlight w:val="none"/>
          <w:lang w:eastAsia="zh-CN"/>
        </w:rPr>
        <w:t>卸车费、</w:t>
      </w:r>
      <w:r>
        <w:rPr>
          <w:rFonts w:hint="eastAsia" w:cs="宋体"/>
          <w:color w:val="auto"/>
          <w:highlight w:val="none"/>
        </w:rPr>
        <w:t>材料检测费、厂内保险费、</w:t>
      </w:r>
      <w:r>
        <w:rPr>
          <w:rFonts w:hint="eastAsia" w:cs="宋体"/>
          <w:color w:val="auto"/>
          <w:highlight w:val="none"/>
          <w:lang w:val="en-US" w:eastAsia="zh-CN"/>
        </w:rPr>
        <w:t>不合格材料返场费、</w:t>
      </w:r>
      <w:r>
        <w:rPr>
          <w:rFonts w:hint="eastAsia" w:cs="宋体"/>
          <w:color w:val="auto"/>
          <w:highlight w:val="none"/>
        </w:rPr>
        <w:t>措施费，技术资料费、风险费用、利润、税金等一切费用，投标方不得以任何理由向招标方另行索要其他费用。</w:t>
      </w:r>
    </w:p>
    <w:p>
      <w:pPr>
        <w:pStyle w:val="19"/>
        <w:numPr>
          <w:ilvl w:val="0"/>
          <w:numId w:val="4"/>
        </w:numPr>
        <w:spacing w:beforeLines="0" w:line="360" w:lineRule="auto"/>
        <w:ind w:firstLine="0" w:firstLineChars="0"/>
        <w:rPr>
          <w:rFonts w:hint="eastAsia"/>
          <w:color w:val="auto"/>
          <w:highlight w:val="none"/>
          <w:lang w:val="en-US" w:eastAsia="zh-CN"/>
        </w:rPr>
      </w:pPr>
      <w:r>
        <w:rPr>
          <w:rFonts w:hint="eastAsia"/>
          <w:color w:val="auto"/>
          <w:highlight w:val="none"/>
          <w:lang w:val="en-US" w:eastAsia="zh-CN"/>
        </w:rPr>
        <w:t>不含税单价调整办法如下：乙方合同约定材料单价低于基准单价：施工期间材料单价涨幅以基准单价为基础超过风险幅度值（+5%），或材料单价跌幅以合同约定材料单价为基础超过风险幅度值（-5%）时，其超过部分按实调整；乙方合同约定材料单价高于基准单价：施工期间材料单价跌幅以基准单价为基础超过风险幅度值（-5%），或材料单价涨幅以合同约定材料单价为基础超过风险幅度值（+5%）时，其超过部分按实调整；乙方合同约定材料单价等于基准单价：施工期间材料单价涨、跌幅以基准单价为基础超过风险幅度值（±5%）时，其超过部分按实调整；材料基准单价为招标文件发布之日前济宁市最新发布的材料信息价。</w:t>
      </w:r>
      <w:r>
        <w:rPr>
          <w:rFonts w:hint="eastAsia" w:ascii="宋体" w:hAnsi="宋体" w:eastAsia="宋体" w:cs="宋体"/>
          <w:color w:val="auto"/>
          <w:kern w:val="0"/>
          <w:sz w:val="21"/>
          <w:szCs w:val="21"/>
          <w:highlight w:val="none"/>
          <w:lang w:val="en-US" w:eastAsia="zh-CN" w:bidi="ar-SA"/>
        </w:rPr>
        <w:t>且此条款成立的前提为业主（建设单位）对</w:t>
      </w:r>
      <w:r>
        <w:rPr>
          <w:rFonts w:hint="eastAsia" w:cs="宋体"/>
          <w:color w:val="auto"/>
          <w:kern w:val="0"/>
          <w:sz w:val="21"/>
          <w:szCs w:val="21"/>
          <w:highlight w:val="none"/>
          <w:lang w:val="en-US" w:eastAsia="zh-CN" w:bidi="ar-SA"/>
        </w:rPr>
        <w:t>甲方</w:t>
      </w:r>
      <w:r>
        <w:rPr>
          <w:rFonts w:hint="eastAsia" w:ascii="宋体" w:hAnsi="宋体" w:eastAsia="宋体" w:cs="宋体"/>
          <w:color w:val="auto"/>
          <w:kern w:val="0"/>
          <w:sz w:val="21"/>
          <w:szCs w:val="21"/>
          <w:highlight w:val="none"/>
          <w:lang w:val="en-US" w:eastAsia="zh-CN" w:bidi="ar-SA"/>
        </w:rPr>
        <w:t>进行差价调整，否则</w:t>
      </w:r>
      <w:r>
        <w:rPr>
          <w:rFonts w:hint="eastAsia" w:cs="宋体"/>
          <w:color w:val="auto"/>
          <w:kern w:val="0"/>
          <w:sz w:val="21"/>
          <w:szCs w:val="21"/>
          <w:highlight w:val="none"/>
          <w:lang w:val="en-US" w:eastAsia="zh-CN" w:bidi="ar-SA"/>
        </w:rPr>
        <w:t>乙方</w:t>
      </w:r>
      <w:r>
        <w:rPr>
          <w:rFonts w:hint="eastAsia" w:ascii="宋体" w:hAnsi="宋体" w:eastAsia="宋体" w:cs="宋体"/>
          <w:color w:val="auto"/>
          <w:kern w:val="0"/>
          <w:sz w:val="21"/>
          <w:szCs w:val="21"/>
          <w:highlight w:val="none"/>
          <w:lang w:val="zh-CN" w:eastAsia="zh-CN" w:bidi="ar-SA"/>
        </w:rPr>
        <w:t>不得以任何理由要求</w:t>
      </w:r>
      <w:r>
        <w:rPr>
          <w:rFonts w:hint="eastAsia" w:cs="宋体"/>
          <w:color w:val="auto"/>
          <w:kern w:val="0"/>
          <w:sz w:val="21"/>
          <w:szCs w:val="21"/>
          <w:highlight w:val="none"/>
          <w:lang w:val="en-US" w:eastAsia="zh-CN" w:bidi="ar-SA"/>
        </w:rPr>
        <w:t>甲方</w:t>
      </w:r>
      <w:r>
        <w:rPr>
          <w:rFonts w:hint="eastAsia" w:ascii="宋体" w:hAnsi="宋体" w:eastAsia="宋体" w:cs="宋体"/>
          <w:color w:val="auto"/>
          <w:kern w:val="0"/>
          <w:sz w:val="21"/>
          <w:szCs w:val="21"/>
          <w:highlight w:val="none"/>
          <w:lang w:val="zh-CN" w:eastAsia="zh-CN" w:bidi="ar-SA"/>
        </w:rPr>
        <w:t>进行材价调整</w:t>
      </w:r>
      <w:r>
        <w:rPr>
          <w:rFonts w:hint="eastAsia" w:ascii="宋体" w:hAnsi="宋体" w:eastAsia="宋体" w:cs="宋体"/>
          <w:color w:val="auto"/>
          <w:kern w:val="0"/>
          <w:sz w:val="21"/>
          <w:szCs w:val="21"/>
          <w:highlight w:val="none"/>
          <w:lang w:val="en-US" w:eastAsia="zh-CN" w:bidi="ar-SA"/>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)乙方所供物资必须为</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公司生产产品。</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三、物资供应及</w:t>
      </w:r>
      <w:r>
        <w:rPr>
          <w:rFonts w:ascii="宋体" w:hAnsi="宋体"/>
          <w:b/>
          <w:color w:val="auto"/>
          <w:szCs w:val="21"/>
          <w:highlight w:val="none"/>
        </w:rPr>
        <w:t>计量方式</w:t>
      </w:r>
    </w:p>
    <w:p>
      <w:pPr>
        <w:spacing w:line="360" w:lineRule="auto"/>
        <w:ind w:firstLine="420" w:firstLineChars="200"/>
        <w:rPr>
          <w:rFonts w:ascii="宋体" w:hAnsi="宋体"/>
          <w:b/>
          <w:color w:val="auto"/>
          <w:szCs w:val="21"/>
          <w:highlight w:val="none"/>
        </w:rPr>
      </w:pPr>
      <w:r>
        <w:rPr>
          <w:rFonts w:hint="eastAsia" w:cs="宋体"/>
          <w:color w:val="auto"/>
          <w:highlight w:val="none"/>
        </w:rPr>
        <w:t>（一）</w:t>
      </w:r>
      <w:r>
        <w:rPr>
          <w:rFonts w:hint="eastAsia" w:ascii="宋体" w:hAnsi="宋体" w:cs="宋体"/>
          <w:color w:val="auto"/>
          <w:szCs w:val="21"/>
          <w:highlight w:val="none"/>
        </w:rPr>
        <w:t>乙方应严格按照甲方发出的物资供应</w:t>
      </w:r>
      <w:r>
        <w:rPr>
          <w:rFonts w:ascii="宋体" w:hAnsi="宋体" w:cs="宋体"/>
          <w:color w:val="auto"/>
          <w:szCs w:val="21"/>
          <w:highlight w:val="none"/>
        </w:rPr>
        <w:t>计划</w:t>
      </w:r>
      <w:r>
        <w:rPr>
          <w:rFonts w:hint="eastAsia" w:ascii="宋体" w:hAnsi="宋体" w:cs="宋体"/>
          <w:color w:val="auto"/>
          <w:szCs w:val="21"/>
          <w:highlight w:val="none"/>
        </w:rPr>
        <w:t>中要求的时间将合同约定的物资保质保量地运至交货地。</w:t>
      </w:r>
    </w:p>
    <w:p>
      <w:pPr>
        <w:pStyle w:val="19"/>
        <w:spacing w:beforeLines="0" w:line="400" w:lineRule="exact"/>
        <w:ind w:firstLine="480"/>
        <w:jc w:val="left"/>
        <w:rPr>
          <w:rFonts w:hint="eastAsia" w:ascii="宋体" w:hAnsi="宋体" w:eastAsia="宋体" w:cs="Times New Roman"/>
          <w:color w:val="auto"/>
          <w:kern w:val="0"/>
          <w:sz w:val="21"/>
          <w:szCs w:val="21"/>
          <w:highlight w:val="none"/>
          <w:lang w:val="en-US" w:eastAsia="zh-CN" w:bidi="ar-SA"/>
        </w:rPr>
      </w:pPr>
      <w:r>
        <w:rPr>
          <w:rFonts w:hint="eastAsia" w:cs="宋体"/>
          <w:color w:val="auto"/>
          <w:highlight w:val="none"/>
        </w:rPr>
        <w:t>（二）</w:t>
      </w:r>
      <w:r>
        <w:rPr>
          <w:rFonts w:hint="eastAsia"/>
          <w:color w:val="auto"/>
          <w:highlight w:val="none"/>
        </w:rPr>
        <w:t>物资</w:t>
      </w:r>
      <w:r>
        <w:rPr>
          <w:rFonts w:hint="eastAsia"/>
          <w:color w:val="auto"/>
          <w:highlight w:val="none"/>
          <w:lang w:eastAsia="zh-CN"/>
        </w:rPr>
        <w:t>计量方式：</w:t>
      </w:r>
      <w:r>
        <w:rPr>
          <w:rFonts w:hint="eastAsia" w:ascii="宋体" w:hAnsi="宋体" w:eastAsia="宋体" w:cs="宋体"/>
          <w:color w:val="auto"/>
          <w:sz w:val="21"/>
          <w:szCs w:val="21"/>
        </w:rPr>
        <w:t>过磅计量。结算数量以验收合格后买方书面确认的过磅计重数量为准，实际供货数量有效凭证</w:t>
      </w:r>
      <w:r>
        <w:rPr>
          <w:rFonts w:hint="eastAsia" w:ascii="宋体" w:hAnsi="宋体" w:eastAsia="宋体" w:cs="宋体"/>
          <w:color w:val="auto"/>
          <w:sz w:val="21"/>
          <w:szCs w:val="21"/>
          <w:lang w:val="en-US" w:eastAsia="zh-CN"/>
        </w:rPr>
        <w:t>须</w:t>
      </w:r>
      <w:r>
        <w:rPr>
          <w:rFonts w:hint="eastAsia" w:ascii="宋体" w:hAnsi="宋体" w:eastAsia="宋体" w:cs="宋体"/>
          <w:color w:val="auto"/>
          <w:sz w:val="21"/>
          <w:szCs w:val="21"/>
        </w:rPr>
        <w:t>现场指定验收人员签字。</w:t>
      </w:r>
    </w:p>
    <w:p>
      <w:pPr>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四、支付、结算</w:t>
      </w:r>
    </w:p>
    <w:p>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w:t>
      </w:r>
      <w:r>
        <w:rPr>
          <w:rFonts w:hint="eastAsia" w:ascii="宋体" w:hAnsi="宋体"/>
          <w:color w:val="auto"/>
          <w:szCs w:val="21"/>
          <w:highlight w:val="none"/>
        </w:rPr>
        <w:t>一)乙方银行信息：单位名称: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；账  号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tabs>
          <w:tab w:val="left" w:pos="765"/>
        </w:tabs>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二)乙方结算人:</w:t>
      </w:r>
      <w:r>
        <w:rPr>
          <w:rFonts w:hint="eastAsia" w:ascii="宋体" w:hAnsi="宋体"/>
          <w:color w:val="auto"/>
          <w:szCs w:val="21"/>
          <w:highlight w:val="none"/>
          <w:u w:val="single"/>
        </w:rPr>
        <w:t xml:space="preserve">          </w:t>
      </w:r>
      <w:r>
        <w:rPr>
          <w:rFonts w:hint="eastAsia" w:ascii="宋体" w:hAnsi="宋体"/>
          <w:color w:val="auto"/>
          <w:szCs w:val="21"/>
          <w:highlight w:val="none"/>
        </w:rPr>
        <w:t>；身份证:</w:t>
      </w:r>
      <w:r>
        <w:rPr>
          <w:rFonts w:hint="eastAsia" w:ascii="宋体" w:hAnsi="宋体"/>
          <w:color w:val="auto"/>
          <w:szCs w:val="21"/>
          <w:highlight w:val="none"/>
          <w:u w:val="single"/>
        </w:rPr>
        <w:t xml:space="preserve">                 </w:t>
      </w: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13"/>
        <w:rPr>
          <w:color w:val="auto"/>
          <w:highlight w:val="none"/>
        </w:rPr>
      </w:pPr>
      <w:r>
        <w:rPr>
          <w:rFonts w:hint="eastAsia"/>
          <w:color w:val="auto"/>
          <w:sz w:val="21"/>
          <w:szCs w:val="18"/>
          <w:highlight w:val="none"/>
        </w:rPr>
        <w:t>(三)乙方通讯地址</w:t>
      </w:r>
      <w:r>
        <w:rPr>
          <w:rFonts w:hint="eastAsia"/>
          <w:color w:val="auto"/>
          <w:szCs w:val="21"/>
          <w:highlight w:val="none"/>
        </w:rPr>
        <w:t>：</w:t>
      </w:r>
      <w:r>
        <w:rPr>
          <w:rFonts w:hint="eastAsia"/>
          <w:color w:val="auto"/>
          <w:szCs w:val="21"/>
          <w:highlight w:val="none"/>
          <w:u w:val="single"/>
        </w:rPr>
        <w:t xml:space="preserve">                                         </w:t>
      </w:r>
    </w:p>
    <w:p>
      <w:pPr>
        <w:tabs>
          <w:tab w:val="left" w:pos="765"/>
        </w:tabs>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四)结算方式：</w:t>
      </w:r>
      <w:r>
        <w:rPr>
          <w:rFonts w:hint="eastAsia" w:ascii="宋体" w:hAnsi="宋体" w:cs="宋体"/>
          <w:color w:val="auto"/>
          <w:szCs w:val="21"/>
          <w:highlight w:val="none"/>
        </w:rPr>
        <w:t>本合同约定按月度结算支付。开始供货后双方每月</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日将上月</w:t>
      </w:r>
      <w:r>
        <w:rPr>
          <w:rFonts w:hint="eastAsia" w:ascii="宋体" w:hAnsi="宋体" w:cs="宋体"/>
          <w:color w:val="auto"/>
          <w:szCs w:val="21"/>
          <w:highlight w:val="none"/>
          <w:u w:val="single"/>
        </w:rPr>
        <w:t xml:space="preserve">16 </w:t>
      </w:r>
      <w:r>
        <w:rPr>
          <w:rFonts w:hint="eastAsia" w:ascii="宋体" w:hAnsi="宋体" w:cs="宋体"/>
          <w:color w:val="auto"/>
          <w:szCs w:val="21"/>
          <w:highlight w:val="none"/>
        </w:rPr>
        <w:t>日至本月</w:t>
      </w:r>
      <w:r>
        <w:rPr>
          <w:rFonts w:hint="eastAsia" w:ascii="宋体" w:hAnsi="宋体"/>
          <w:color w:val="auto"/>
          <w:szCs w:val="21"/>
          <w:highlight w:val="none"/>
          <w:u w:val="single"/>
        </w:rPr>
        <w:t xml:space="preserve"> 15 </w:t>
      </w:r>
      <w:r>
        <w:rPr>
          <w:rFonts w:hint="eastAsia" w:ascii="宋体" w:hAnsi="宋体" w:cs="宋体"/>
          <w:color w:val="auto"/>
          <w:szCs w:val="21"/>
          <w:highlight w:val="none"/>
        </w:rPr>
        <w:t>日的供货数量进行核对并及时办理月结手续，乙方向甲方提交等额的符合甲方财务和国家税法要求的</w:t>
      </w:r>
      <w:r>
        <w:rPr>
          <w:rFonts w:hint="eastAsia" w:ascii="宋体" w:hAnsi="宋体" w:cs="宋体"/>
          <w:b/>
          <w:bCs/>
          <w:color w:val="auto"/>
          <w:szCs w:val="21"/>
          <w:highlight w:val="none"/>
        </w:rPr>
        <w:t>增值税专用发票</w:t>
      </w:r>
      <w:r>
        <w:rPr>
          <w:rFonts w:hint="eastAsia" w:ascii="宋体" w:hAnsi="宋体" w:cs="宋体"/>
          <w:b/>
          <w:color w:val="auto"/>
          <w:szCs w:val="21"/>
          <w:highlight w:val="none"/>
        </w:rPr>
        <w:t>，发票票面税率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b/>
          <w:color w:val="auto"/>
          <w:szCs w:val="21"/>
          <w:highlight w:val="none"/>
        </w:rPr>
        <w:t>%</w:t>
      </w:r>
      <w:r>
        <w:rPr>
          <w:rFonts w:hint="eastAsia" w:ascii="宋体" w:hAnsi="宋体" w:cs="宋体"/>
          <w:color w:val="auto"/>
          <w:szCs w:val="21"/>
          <w:highlight w:val="none"/>
        </w:rPr>
        <w:t>，开票信息如下：</w:t>
      </w:r>
    </w:p>
    <w:p>
      <w:pPr>
        <w:tabs>
          <w:tab w:val="left" w:pos="76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发票抬头：</w:t>
      </w:r>
      <w:r>
        <w:rPr>
          <w:rFonts w:hint="eastAsia" w:ascii="宋体" w:hAnsi="宋体"/>
          <w:color w:val="auto"/>
          <w:szCs w:val="21"/>
          <w:highlight w:val="none"/>
          <w:u w:val="single"/>
        </w:rPr>
        <w:t xml:space="preserve">                    </w:t>
      </w:r>
      <w:r>
        <w:rPr>
          <w:rFonts w:hint="eastAsia" w:ascii="宋体" w:hAnsi="宋体"/>
          <w:color w:val="auto"/>
          <w:szCs w:val="21"/>
          <w:highlight w:val="none"/>
        </w:rPr>
        <w:t>；税号：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tabs>
          <w:tab w:val="left" w:pos="76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tabs>
          <w:tab w:val="left" w:pos="76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开户行：</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840" w:firstLineChars="400"/>
        <w:jc w:val="left"/>
        <w:rPr>
          <w:rFonts w:ascii="宋体" w:hAnsi="宋体" w:cs="宋体"/>
          <w:color w:val="auto"/>
          <w:szCs w:val="21"/>
          <w:highlight w:val="none"/>
        </w:rPr>
      </w:pPr>
      <w:r>
        <w:rPr>
          <w:rFonts w:hint="eastAsia" w:ascii="宋体" w:hAnsi="宋体"/>
          <w:color w:val="auto"/>
          <w:szCs w:val="21"/>
          <w:highlight w:val="none"/>
        </w:rPr>
        <w:t>备注：</w:t>
      </w:r>
      <w:r>
        <w:rPr>
          <w:rFonts w:hint="eastAsia" w:ascii="宋体" w:hAnsi="宋体" w:cs="宋体"/>
          <w:color w:val="auto"/>
          <w:szCs w:val="21"/>
          <w:highlight w:val="none"/>
        </w:rPr>
        <w:t>工程名称：</w:t>
      </w:r>
      <w:r>
        <w:rPr>
          <w:rFonts w:hint="eastAsia" w:ascii="宋体" w:hAnsi="宋体" w:eastAsia="宋体" w:cs="宋体"/>
          <w:sz w:val="21"/>
          <w:szCs w:val="21"/>
          <w:u w:val="single"/>
          <w:lang w:val="en-US" w:eastAsia="zh-CN"/>
        </w:rPr>
        <w:t>济宁市太白湖新区路网、桥梁建设</w:t>
      </w:r>
      <w:r>
        <w:rPr>
          <w:rFonts w:hint="eastAsia" w:ascii="宋体" w:hAnsi="宋体" w:cs="宋体"/>
          <w:sz w:val="21"/>
          <w:szCs w:val="21"/>
          <w:u w:val="single"/>
          <w:lang w:val="en-US" w:eastAsia="zh-CN"/>
        </w:rPr>
        <w:t>EPC项目</w:t>
      </w:r>
    </w:p>
    <w:p>
      <w:pPr>
        <w:tabs>
          <w:tab w:val="left" w:pos="765"/>
        </w:tabs>
        <w:spacing w:line="400" w:lineRule="exact"/>
        <w:ind w:firstLine="1470" w:firstLineChars="7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工程地点：</w:t>
      </w:r>
      <w:r>
        <w:rPr>
          <w:rFonts w:hint="eastAsia" w:ascii="宋体" w:hAnsi="宋体" w:cs="宋体"/>
          <w:color w:val="auto"/>
          <w:szCs w:val="21"/>
          <w:highlight w:val="none"/>
          <w:u w:val="single"/>
          <w:lang w:eastAsia="zh-CN"/>
        </w:rPr>
        <w:t>山东省</w:t>
      </w:r>
      <w:r>
        <w:rPr>
          <w:rFonts w:hint="eastAsia" w:ascii="宋体" w:hAnsi="宋体" w:cs="宋体"/>
          <w:color w:val="auto"/>
          <w:szCs w:val="21"/>
          <w:highlight w:val="none"/>
          <w:u w:val="single"/>
          <w:lang w:val="en-US" w:eastAsia="zh-CN"/>
        </w:rPr>
        <w:t>济宁市太白湖新区</w:t>
      </w:r>
    </w:p>
    <w:p>
      <w:pPr>
        <w:tabs>
          <w:tab w:val="left" w:pos="765"/>
        </w:tabs>
        <w:spacing w:line="400" w:lineRule="exact"/>
        <w:ind w:firstLine="420" w:firstLineChars="200"/>
        <w:jc w:val="left"/>
        <w:rPr>
          <w:color w:val="auto"/>
          <w:highlight w:val="none"/>
        </w:rPr>
      </w:pPr>
      <w:r>
        <w:rPr>
          <w:rFonts w:hint="eastAsia" w:ascii="宋体" w:hAnsi="宋体"/>
          <w:color w:val="auto"/>
          <w:kern w:val="0"/>
          <w:szCs w:val="18"/>
          <w:highlight w:val="none"/>
        </w:rPr>
        <w:t>（五）</w:t>
      </w:r>
      <w:r>
        <w:rPr>
          <w:rFonts w:hint="eastAsia" w:ascii="宋体" w:hAnsi="宋体" w:cs="宋体"/>
          <w:color w:val="auto"/>
          <w:szCs w:val="21"/>
          <w:highlight w:val="none"/>
        </w:rPr>
        <w:t>因非合同约定的正规发票造成的损失全部由乙方承担，并支付“问题发票”等额的违约金给甲方。乙方在向甲方申请本合同下的货款和开据相关发票过程中，发生的各种费用由乙方承担。</w:t>
      </w:r>
    </w:p>
    <w:p>
      <w:pPr>
        <w:pStyle w:val="19"/>
        <w:spacing w:beforeLines="0" w:line="400" w:lineRule="exact"/>
        <w:jc w:val="left"/>
        <w:rPr>
          <w:rFonts w:hint="eastAsia" w:ascii="宋体" w:hAnsi="宋体" w:cs="宋体"/>
          <w:color w:val="auto"/>
          <w:szCs w:val="21"/>
          <w:highlight w:val="none"/>
        </w:rPr>
      </w:pPr>
      <w:r>
        <w:rPr>
          <w:rFonts w:hint="eastAsia" w:cs="宋体"/>
          <w:color w:val="auto"/>
          <w:highlight w:val="none"/>
        </w:rPr>
        <w:t>(六)本合同无预付款。</w:t>
      </w:r>
      <w:r>
        <w:rPr>
          <w:rFonts w:hint="eastAsia" w:cs="宋体"/>
          <w:color w:val="auto"/>
          <w:highlight w:val="none"/>
          <w:lang w:val="zh-CN"/>
        </w:rPr>
        <w:t>所有款项的支付前提均是</w:t>
      </w:r>
      <w:r>
        <w:rPr>
          <w:rFonts w:hint="eastAsia" w:cs="宋体"/>
          <w:color w:val="auto"/>
          <w:highlight w:val="none"/>
        </w:rPr>
        <w:t>甲</w:t>
      </w:r>
      <w:r>
        <w:rPr>
          <w:rFonts w:hint="eastAsia" w:cs="宋体"/>
          <w:color w:val="auto"/>
          <w:highlight w:val="none"/>
          <w:lang w:val="en-US" w:eastAsia="zh-CN"/>
        </w:rPr>
        <w:t>方</w:t>
      </w:r>
      <w:r>
        <w:rPr>
          <w:rFonts w:hint="eastAsia" w:cs="宋体"/>
          <w:color w:val="auto"/>
          <w:highlight w:val="none"/>
          <w:lang w:val="zh-CN"/>
        </w:rPr>
        <w:t>已经收到业主（建设单位）支付的相应部分款项，此条款是双方签订本合同的最基本前提，任何缓付、迟付的货款，均不计算利息。</w:t>
      </w:r>
      <w:r>
        <w:rPr>
          <w:rFonts w:hint="eastAsia" w:cs="宋体"/>
          <w:color w:val="auto"/>
          <w:highlight w:val="none"/>
          <w:lang w:val="en-US" w:eastAsia="zh-CN"/>
        </w:rPr>
        <w:t>甲方</w:t>
      </w:r>
      <w:r>
        <w:rPr>
          <w:rFonts w:hint="eastAsia" w:cs="宋体"/>
          <w:color w:val="auto"/>
          <w:highlight w:val="none"/>
          <w:lang w:val="zh-CN"/>
        </w:rPr>
        <w:t>根据业主资金支付情况及项目财务部资金审批计划，对</w:t>
      </w:r>
      <w:r>
        <w:rPr>
          <w:rFonts w:hint="eastAsia" w:cs="宋体"/>
          <w:color w:val="auto"/>
          <w:highlight w:val="none"/>
          <w:lang w:val="en-US" w:eastAsia="zh-CN"/>
        </w:rPr>
        <w:t>乙方</w:t>
      </w:r>
      <w:r>
        <w:rPr>
          <w:rFonts w:hint="eastAsia" w:cs="宋体"/>
          <w:color w:val="auto"/>
          <w:highlight w:val="none"/>
          <w:lang w:val="zh-CN"/>
        </w:rPr>
        <w:t>货款进行支付。货到需方指定地点，经检验合格后，</w:t>
      </w:r>
      <w:r>
        <w:rPr>
          <w:rFonts w:hint="eastAsia"/>
          <w:color w:val="auto"/>
          <w:highlight w:val="none"/>
        </w:rPr>
        <w:t>按照</w:t>
      </w:r>
      <w:r>
        <w:rPr>
          <w:rFonts w:hint="eastAsia"/>
          <w:color w:val="auto"/>
          <w:highlight w:val="none"/>
          <w:lang w:eastAsia="zh-CN"/>
        </w:rPr>
        <w:t>业主（建设单位）</w:t>
      </w:r>
      <w:r>
        <w:rPr>
          <w:rFonts w:hint="eastAsia"/>
          <w:color w:val="auto"/>
          <w:highlight w:val="none"/>
        </w:rPr>
        <w:t>拨付的工程款时间、比例，</w:t>
      </w:r>
      <w:r>
        <w:rPr>
          <w:rFonts w:hint="eastAsia"/>
          <w:color w:val="auto"/>
          <w:lang w:val="en-US" w:eastAsia="zh-CN"/>
        </w:rPr>
        <w:t>甲方</w:t>
      </w:r>
      <w:r>
        <w:rPr>
          <w:rFonts w:hint="eastAsia"/>
          <w:color w:val="auto"/>
        </w:rPr>
        <w:t>将同期或次月按相应比例进行支付</w:t>
      </w:r>
      <w:r>
        <w:rPr>
          <w:rFonts w:hint="eastAsia" w:cs="宋体"/>
          <w:color w:val="auto"/>
          <w:highlight w:val="none"/>
          <w:lang w:val="zh-CN"/>
        </w:rPr>
        <w:t>。</w:t>
      </w:r>
      <w:r>
        <w:rPr>
          <w:rFonts w:hint="eastAsia" w:cs="宋体"/>
          <w:color w:val="auto"/>
          <w:highlight w:val="none"/>
          <w:lang w:val="en-US" w:eastAsia="zh-CN"/>
        </w:rPr>
        <w:t>支付</w:t>
      </w:r>
      <w:r>
        <w:rPr>
          <w:rFonts w:hint="eastAsia" w:cs="宋体"/>
          <w:color w:val="auto"/>
          <w:highlight w:val="none"/>
          <w:lang w:val="zh-CN"/>
        </w:rPr>
        <w:t>双方每月15日前将当期供货产品及时办理月结，经</w:t>
      </w:r>
      <w:r>
        <w:rPr>
          <w:rFonts w:hint="eastAsia" w:cs="宋体"/>
          <w:color w:val="auto"/>
          <w:highlight w:val="none"/>
          <w:lang w:val="en-US" w:eastAsia="zh-CN"/>
        </w:rPr>
        <w:t>甲方</w:t>
      </w:r>
      <w:r>
        <w:rPr>
          <w:rFonts w:hint="eastAsia" w:cs="宋体"/>
          <w:color w:val="auto"/>
          <w:highlight w:val="none"/>
          <w:lang w:val="zh-CN"/>
        </w:rPr>
        <w:t>确认审核合格后，</w:t>
      </w:r>
      <w:r>
        <w:rPr>
          <w:rFonts w:hint="eastAsia"/>
          <w:color w:val="auto"/>
          <w:highlight w:val="none"/>
          <w:lang w:val="en-US" w:eastAsia="zh-CN"/>
        </w:rPr>
        <w:t>按照上述方式进行支付</w:t>
      </w:r>
      <w:r>
        <w:rPr>
          <w:rFonts w:hint="eastAsia" w:cs="宋体"/>
          <w:color w:val="auto"/>
          <w:highlight w:val="none"/>
          <w:lang w:val="zh-CN"/>
        </w:rPr>
        <w:t>，双方于供货结束全部验收合格且不出现任何质量问题后办理最终结算，并签订《物资买卖合同结算协议书》及办理相关手续</w:t>
      </w:r>
      <w:r>
        <w:rPr>
          <w:rFonts w:hint="eastAsia" w:ascii="宋体" w:hAnsi="宋体" w:cs="宋体"/>
          <w:color w:val="auto"/>
          <w:szCs w:val="21"/>
          <w:highlight w:val="none"/>
        </w:rPr>
        <w:t>。</w:t>
      </w:r>
      <w:r>
        <w:rPr>
          <w:rFonts w:hint="eastAsia" w:ascii="宋体" w:hAnsi="宋体"/>
          <w:b/>
          <w:bCs/>
          <w:color w:val="auto"/>
          <w:sz w:val="24"/>
        </w:rPr>
        <w:t>道路工程雨水污水管网及水稳铺设完成后（桥梁工程为桩基和承台完成后），</w:t>
      </w:r>
      <w:r>
        <w:rPr>
          <w:rFonts w:hint="eastAsia"/>
          <w:b/>
          <w:bCs/>
          <w:color w:val="auto"/>
          <w:sz w:val="24"/>
          <w:lang w:val="en-US" w:eastAsia="zh-CN"/>
        </w:rPr>
        <w:t>支付货款的20%，</w:t>
      </w:r>
      <w:r>
        <w:rPr>
          <w:rFonts w:hint="eastAsia" w:ascii="宋体" w:hAnsi="宋体"/>
          <w:b/>
          <w:bCs/>
          <w:color w:val="auto"/>
          <w:sz w:val="24"/>
        </w:rPr>
        <w:t>单位工程竣工验收合格后</w:t>
      </w:r>
      <w:r>
        <w:rPr>
          <w:rFonts w:ascii="宋体" w:hAnsi="宋体"/>
          <w:b/>
          <w:bCs/>
          <w:color w:val="auto"/>
          <w:sz w:val="24"/>
        </w:rPr>
        <w:t>2</w:t>
      </w:r>
      <w:r>
        <w:rPr>
          <w:rFonts w:hint="eastAsia" w:ascii="宋体" w:hAnsi="宋体"/>
          <w:b/>
          <w:bCs/>
          <w:color w:val="auto"/>
          <w:sz w:val="24"/>
        </w:rPr>
        <w:t>个月内</w:t>
      </w:r>
      <w:r>
        <w:rPr>
          <w:rFonts w:hint="eastAsia"/>
          <w:b/>
          <w:bCs/>
          <w:color w:val="auto"/>
          <w:sz w:val="24"/>
          <w:lang w:val="en-US" w:eastAsia="zh-CN"/>
        </w:rPr>
        <w:t>付至货款的50%，剩余货款分3年支付，每年支付相应货款的</w:t>
      </w:r>
      <w:r>
        <w:rPr>
          <w:rFonts w:ascii="宋体" w:hAnsi="宋体"/>
          <w:b/>
          <w:bCs/>
          <w:color w:val="auto"/>
          <w:sz w:val="24"/>
        </w:rPr>
        <w:t>20%</w:t>
      </w:r>
      <w:r>
        <w:rPr>
          <w:rFonts w:hint="eastAsia" w:ascii="宋体" w:hAnsi="宋体"/>
          <w:b/>
          <w:bCs/>
          <w:color w:val="auto"/>
          <w:sz w:val="24"/>
        </w:rPr>
        <w:t>、</w:t>
      </w:r>
      <w:r>
        <w:rPr>
          <w:rFonts w:ascii="宋体" w:hAnsi="宋体"/>
          <w:b/>
          <w:bCs/>
          <w:color w:val="auto"/>
          <w:sz w:val="24"/>
        </w:rPr>
        <w:t>20%</w:t>
      </w:r>
      <w:r>
        <w:rPr>
          <w:rFonts w:hint="eastAsia" w:ascii="宋体" w:hAnsi="宋体"/>
          <w:b/>
          <w:bCs/>
          <w:color w:val="auto"/>
          <w:sz w:val="24"/>
        </w:rPr>
        <w:t>、</w:t>
      </w:r>
      <w:r>
        <w:rPr>
          <w:rFonts w:ascii="宋体" w:hAnsi="宋体"/>
          <w:b/>
          <w:bCs/>
          <w:color w:val="auto"/>
          <w:sz w:val="24"/>
        </w:rPr>
        <w:t>10%</w:t>
      </w:r>
      <w:r>
        <w:rPr>
          <w:rFonts w:hint="eastAsia" w:ascii="宋体" w:hAnsi="宋体"/>
          <w:b/>
          <w:bCs/>
          <w:color w:val="auto"/>
          <w:sz w:val="24"/>
        </w:rPr>
        <w:t>（第三年按结算金额结清剩余</w:t>
      </w:r>
      <w:r>
        <w:rPr>
          <w:rFonts w:hint="eastAsia"/>
          <w:b/>
          <w:bCs/>
          <w:color w:val="auto"/>
          <w:sz w:val="24"/>
          <w:lang w:val="en-US" w:eastAsia="zh-CN"/>
        </w:rPr>
        <w:t>货款</w:t>
      </w:r>
      <w:r>
        <w:rPr>
          <w:rFonts w:hint="eastAsia" w:ascii="宋体" w:hAnsi="宋体"/>
          <w:b/>
          <w:bCs/>
          <w:color w:val="auto"/>
          <w:sz w:val="24"/>
        </w:rPr>
        <w:t>）</w:t>
      </w:r>
      <w:r>
        <w:rPr>
          <w:rFonts w:hint="eastAsia"/>
          <w:b/>
          <w:bCs/>
          <w:color w:val="auto"/>
          <w:sz w:val="24"/>
          <w:lang w:eastAsia="zh-CN"/>
        </w:rPr>
        <w:t>，</w:t>
      </w:r>
      <w:r>
        <w:rPr>
          <w:rFonts w:hint="eastAsia"/>
          <w:b/>
          <w:bCs/>
          <w:color w:val="auto"/>
          <w:highlight w:val="none"/>
          <w:lang w:val="en-US" w:eastAsia="zh-CN"/>
        </w:rPr>
        <w:t>付款比例如有调整，重新签订补充协议</w:t>
      </w:r>
      <w:r>
        <w:rPr>
          <w:rFonts w:hint="eastAsia"/>
          <w:b/>
          <w:bCs/>
          <w:color w:val="auto"/>
          <w:sz w:val="24"/>
          <w:lang w:eastAsia="zh-CN"/>
        </w:rPr>
        <w:t>。</w:t>
      </w:r>
      <w:r>
        <w:rPr>
          <w:rFonts w:hint="eastAsia" w:ascii="宋体" w:hAnsi="宋体" w:cs="宋体"/>
          <w:color w:val="auto"/>
          <w:szCs w:val="21"/>
          <w:highlight w:val="none"/>
        </w:rPr>
        <w:t>如存在延期支付，招标方不计息支付投标方相应货款。</w:t>
      </w:r>
    </w:p>
    <w:p>
      <w:pPr>
        <w:pStyle w:val="19"/>
        <w:spacing w:beforeLines="0" w:line="400" w:lineRule="exact"/>
        <w:jc w:val="left"/>
        <w:rPr>
          <w:rFonts w:cs="宋体"/>
          <w:color w:val="auto"/>
          <w:highlight w:val="none"/>
          <w:lang w:val="zh-CN"/>
        </w:rPr>
      </w:pPr>
      <w:r>
        <w:rPr>
          <w:color w:val="auto"/>
          <w:highlight w:val="none"/>
        </w:rPr>
        <w:t>(</w:t>
      </w:r>
      <w:r>
        <w:rPr>
          <w:rFonts w:hint="eastAsia"/>
          <w:color w:val="auto"/>
          <w:highlight w:val="none"/>
        </w:rPr>
        <w:t>七)付款方式：按合同约定银行账户转账。甲方向乙方付款采用银行电汇形式，乙方须保证对甲方的资金往来账户与本合同所约定账户一致，开票单位名称与合同约定名称一致。</w:t>
      </w:r>
    </w:p>
    <w:p>
      <w:pPr>
        <w:spacing w:line="400" w:lineRule="exact"/>
        <w:ind w:firstLine="420" w:firstLineChars="200"/>
        <w:rPr>
          <w:rFonts w:ascii="宋体" w:hAnsi="宋体"/>
          <w:color w:val="auto"/>
          <w:szCs w:val="21"/>
          <w:highlight w:val="none"/>
          <w:u w:val="single"/>
        </w:rPr>
      </w:pPr>
      <w:r>
        <w:rPr>
          <w:rFonts w:hint="eastAsia" w:ascii="宋体" w:hAnsi="宋体"/>
          <w:b/>
          <w:color w:val="auto"/>
          <w:szCs w:val="21"/>
          <w:highlight w:val="none"/>
        </w:rPr>
        <w:t>五、履约保证金</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一)本合同履约保证金为中标合同额的5%，由甲方在乙方每期计量款中按照结算金额的5%扣除作为履约保证金，否则本合同无效。待供货完成后5%履约保证金自动转为质保金。</w:t>
      </w:r>
    </w:p>
    <w:p>
      <w:pPr>
        <w:spacing w:line="400" w:lineRule="exact"/>
        <w:ind w:firstLine="420" w:firstLineChars="200"/>
        <w:rPr>
          <w:color w:val="auto"/>
          <w:highlight w:val="none"/>
        </w:rPr>
      </w:pPr>
      <w:r>
        <w:rPr>
          <w:rFonts w:ascii="宋体" w:hAnsi="宋体"/>
          <w:color w:val="auto"/>
          <w:szCs w:val="21"/>
          <w:highlight w:val="none"/>
        </w:rPr>
        <w:t>(</w:t>
      </w:r>
      <w:r>
        <w:rPr>
          <w:rFonts w:hint="eastAsia" w:ascii="宋体" w:hAnsi="宋体"/>
          <w:color w:val="auto"/>
          <w:szCs w:val="21"/>
          <w:highlight w:val="none"/>
        </w:rPr>
        <w:t>二) 在合同完成缺陷责任期满后</w:t>
      </w:r>
      <w:r>
        <w:rPr>
          <w:rFonts w:hint="eastAsia" w:ascii="宋体" w:hAnsi="宋体"/>
          <w:color w:val="auto"/>
          <w:szCs w:val="21"/>
          <w:highlight w:val="none"/>
          <w:u w:val="single"/>
        </w:rPr>
        <w:t xml:space="preserve"> 30 </w:t>
      </w:r>
      <w:r>
        <w:rPr>
          <w:rFonts w:hint="eastAsia" w:ascii="宋体" w:hAnsi="宋体"/>
          <w:color w:val="auto"/>
          <w:szCs w:val="21"/>
          <w:highlight w:val="none"/>
        </w:rPr>
        <w:t>工作日内甲方无息退还乙方质保金。</w:t>
      </w:r>
    </w:p>
    <w:p>
      <w:pPr>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六、违约金</w:t>
      </w:r>
    </w:p>
    <w:p>
      <w:pPr>
        <w:spacing w:line="400" w:lineRule="exact"/>
        <w:ind w:firstLine="420" w:firstLineChars="200"/>
        <w:rPr>
          <w:rFonts w:ascii="宋体" w:cs="宋体"/>
          <w:color w:val="auto"/>
          <w:kern w:val="0"/>
          <w:szCs w:val="21"/>
          <w:highlight w:val="none"/>
        </w:rPr>
      </w:pPr>
      <w:r>
        <w:rPr>
          <w:rFonts w:hint="eastAsia" w:ascii="宋体" w:hAnsi="宋体" w:cs="宋体"/>
          <w:color w:val="auto"/>
          <w:szCs w:val="21"/>
          <w:highlight w:val="none"/>
        </w:rPr>
        <w:t>（一）</w:t>
      </w:r>
      <w:r>
        <w:rPr>
          <w:rFonts w:hint="eastAsia" w:ascii="宋体" w:cs="宋体"/>
          <w:color w:val="auto"/>
          <w:kern w:val="0"/>
          <w:szCs w:val="21"/>
          <w:highlight w:val="none"/>
        </w:rPr>
        <w:t>乙方未能按照甲方物资供应计划供应的，每延误1日历天，乙方按人民币0.5万元/日历天向甲方支付违约金，此违约金在应付货款中直接扣除。</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）乙方所供应物资检测不合格，且48小时内未予处理的，每延误1日历天，乙方按人民币0.2万元/日历天向甲方支付违约金，此违约金在应付货款中直接扣除。</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三</w:t>
      </w:r>
      <w:r>
        <w:rPr>
          <w:rFonts w:hint="eastAsia" w:ascii="宋体" w:hAnsi="宋体" w:cs="宋体"/>
          <w:color w:val="auto"/>
          <w:szCs w:val="21"/>
          <w:highlight w:val="none"/>
        </w:rPr>
        <w:t>）乙方签订本合同后，如乙方违约造成甲方损失的，甲方将扣除乙方已进料款的10%作为违约金。</w:t>
      </w:r>
    </w:p>
    <w:p>
      <w:pPr>
        <w:spacing w:line="400" w:lineRule="exact"/>
        <w:ind w:firstLine="420" w:firstLineChars="200"/>
        <w:rPr>
          <w:color w:val="auto"/>
          <w:highlight w:val="none"/>
        </w:rPr>
      </w:pPr>
      <w:r>
        <w:rPr>
          <w:rFonts w:hint="eastAsia" w:ascii="宋体" w:hAnsi="宋体"/>
          <w:b/>
          <w:color w:val="auto"/>
          <w:szCs w:val="21"/>
          <w:highlight w:val="none"/>
        </w:rPr>
        <w:t>七</w:t>
      </w:r>
      <w:r>
        <w:rPr>
          <w:rFonts w:ascii="宋体" w:hAnsi="宋体"/>
          <w:b/>
          <w:color w:val="auto"/>
          <w:szCs w:val="21"/>
          <w:highlight w:val="none"/>
        </w:rPr>
        <w:t>、</w:t>
      </w:r>
      <w:r>
        <w:rPr>
          <w:rFonts w:hint="eastAsia" w:ascii="宋体" w:hAnsi="宋体"/>
          <w:b/>
          <w:color w:val="auto"/>
          <w:szCs w:val="21"/>
          <w:highlight w:val="none"/>
        </w:rPr>
        <w:t>合同份数：</w:t>
      </w:r>
      <w:r>
        <w:rPr>
          <w:rFonts w:hint="eastAsia" w:ascii="宋体" w:hAnsi="宋体"/>
          <w:color w:val="auto"/>
          <w:szCs w:val="21"/>
          <w:highlight w:val="none"/>
        </w:rPr>
        <w:t>本合同一式</w:t>
      </w:r>
      <w:r>
        <w:rPr>
          <w:rFonts w:hint="eastAsia" w:ascii="宋体" w:hAnsi="宋体"/>
          <w:color w:val="auto"/>
          <w:szCs w:val="21"/>
          <w:highlight w:val="none"/>
          <w:u w:val="single"/>
        </w:rPr>
        <w:t xml:space="preserve">  捌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柒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壹  </w:t>
      </w:r>
      <w:r>
        <w:rPr>
          <w:rFonts w:hint="eastAsia" w:ascii="宋体" w:hAnsi="宋体"/>
          <w:color w:val="auto"/>
          <w:szCs w:val="21"/>
          <w:highlight w:val="none"/>
        </w:rPr>
        <w:t>份。</w:t>
      </w:r>
    </w:p>
    <w:p>
      <w:pPr>
        <w:pStyle w:val="13"/>
        <w:ind w:left="0" w:leftChars="0" w:firstLine="0" w:firstLineChars="0"/>
        <w:rPr>
          <w:color w:val="auto"/>
          <w:highlight w:val="none"/>
        </w:rPr>
      </w:pP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甲方：（盖章）                             乙方：（盖章） </w:t>
      </w:r>
    </w:p>
    <w:p>
      <w:pPr>
        <w:snapToGrid w:val="0"/>
        <w:spacing w:line="400" w:lineRule="exact"/>
        <w:ind w:firstLine="420" w:firstLineChars="200"/>
        <w:jc w:val="left"/>
        <w:rPr>
          <w:rFonts w:ascii="宋体" w:hAnsi="宋体"/>
          <w:color w:val="auto"/>
          <w:szCs w:val="21"/>
          <w:highlight w:val="none"/>
        </w:rPr>
      </w:pP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法定代表人                                 法定代表人 </w:t>
      </w:r>
    </w:p>
    <w:p>
      <w:pPr>
        <w:snapToGrid w:val="0"/>
        <w:spacing w:line="400" w:lineRule="exact"/>
        <w:ind w:firstLine="420" w:firstLineChars="200"/>
        <w:rPr>
          <w:rFonts w:ascii="宋体" w:hAnsi="宋体"/>
          <w:color w:val="auto"/>
          <w:szCs w:val="21"/>
          <w:highlight w:val="none"/>
        </w:rPr>
      </w:pP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或被授权人签字：                           或被授权人签字：</w:t>
      </w:r>
    </w:p>
    <w:p>
      <w:pPr>
        <w:snapToGrid w:val="0"/>
        <w:spacing w:line="400" w:lineRule="exact"/>
        <w:ind w:firstLine="420" w:firstLineChars="200"/>
        <w:rPr>
          <w:rFonts w:ascii="宋体" w:hAnsi="宋体"/>
          <w:color w:val="auto"/>
          <w:szCs w:val="21"/>
          <w:highlight w:val="none"/>
        </w:rPr>
      </w:pPr>
    </w:p>
    <w:p>
      <w:pPr>
        <w:snapToGrid w:val="0"/>
        <w:spacing w:line="400" w:lineRule="exact"/>
        <w:ind w:firstLine="420" w:firstLineChars="200"/>
        <w:rPr>
          <w:rFonts w:ascii="仿宋_GB2312" w:hAnsi="宋体" w:eastAsia="仿宋_GB2312"/>
          <w:color w:val="auto"/>
          <w:sz w:val="24"/>
          <w:highlight w:val="none"/>
        </w:rPr>
      </w:pPr>
      <w:r>
        <w:rPr>
          <w:rFonts w:hint="eastAsia" w:ascii="宋体" w:hAnsi="宋体"/>
          <w:color w:val="auto"/>
          <w:szCs w:val="21"/>
          <w:highlight w:val="none"/>
        </w:rPr>
        <w:t>联系电话：                                 联系电话：</w:t>
      </w:r>
    </w:p>
    <w:p>
      <w:pPr>
        <w:spacing w:line="400" w:lineRule="exact"/>
        <w:ind w:firstLine="420" w:firstLineChars="200"/>
        <w:rPr>
          <w:rFonts w:ascii="宋体" w:hAnsi="宋体"/>
          <w:color w:val="auto"/>
          <w:szCs w:val="21"/>
          <w:highlight w:val="none"/>
          <w:u w:val="single"/>
        </w:rPr>
      </w:pPr>
    </w:p>
    <w:p>
      <w:pPr>
        <w:spacing w:before="249" w:beforeLines="80" w:line="360" w:lineRule="exact"/>
        <w:jc w:val="center"/>
        <w:rPr>
          <w:rFonts w:ascii="宋体" w:hAnsi="宋体"/>
          <w:b/>
          <w:color w:val="auto"/>
          <w:sz w:val="30"/>
          <w:szCs w:val="30"/>
          <w:highlight w:val="none"/>
        </w:rPr>
      </w:pPr>
    </w:p>
    <w:p>
      <w:pPr>
        <w:spacing w:before="249" w:beforeLines="80" w:line="360" w:lineRule="exact"/>
        <w:jc w:val="center"/>
        <w:rPr>
          <w:rFonts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第二部分 通用合同条款</w:t>
      </w:r>
    </w:p>
    <w:p>
      <w:pPr>
        <w:tabs>
          <w:tab w:val="left" w:pos="425"/>
        </w:tabs>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w:t>
      </w:r>
      <w:r>
        <w:rPr>
          <w:rFonts w:hint="eastAsia" w:ascii="宋体" w:hAnsi="宋体"/>
          <w:b/>
          <w:color w:val="auto"/>
          <w:szCs w:val="21"/>
          <w:highlight w:val="none"/>
        </w:rPr>
        <w:t>适用法律法规</w:t>
      </w:r>
    </w:p>
    <w:p>
      <w:pPr>
        <w:tabs>
          <w:tab w:val="left" w:pos="992"/>
        </w:tabs>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1.</w:t>
      </w:r>
      <w:r>
        <w:rPr>
          <w:rFonts w:ascii="宋体" w:hAnsi="宋体"/>
          <w:color w:val="auto"/>
          <w:szCs w:val="21"/>
          <w:highlight w:val="none"/>
        </w:rPr>
        <w:t>1适用于</w:t>
      </w:r>
      <w:r>
        <w:rPr>
          <w:rFonts w:hint="eastAsia" w:ascii="宋体" w:hAnsi="宋体"/>
          <w:color w:val="auto"/>
          <w:szCs w:val="21"/>
          <w:highlight w:val="none"/>
        </w:rPr>
        <w:t>本</w:t>
      </w:r>
      <w:r>
        <w:rPr>
          <w:rFonts w:ascii="宋体" w:hAnsi="宋体"/>
          <w:color w:val="auto"/>
          <w:szCs w:val="21"/>
          <w:highlight w:val="none"/>
        </w:rPr>
        <w:t>合同的法律包括中华人民共和国</w:t>
      </w:r>
      <w:r>
        <w:rPr>
          <w:rFonts w:hint="eastAsia" w:ascii="宋体" w:hAnsi="宋体"/>
          <w:color w:val="auto"/>
          <w:szCs w:val="21"/>
          <w:highlight w:val="none"/>
        </w:rPr>
        <w:t>正式颁布实施的</w:t>
      </w:r>
      <w:r>
        <w:rPr>
          <w:rFonts w:ascii="宋体" w:hAnsi="宋体"/>
          <w:color w:val="auto"/>
          <w:szCs w:val="21"/>
          <w:highlight w:val="none"/>
        </w:rPr>
        <w:t>法律</w:t>
      </w:r>
      <w:r>
        <w:rPr>
          <w:rFonts w:hint="eastAsia" w:ascii="宋体" w:hAnsi="宋体"/>
          <w:color w:val="auto"/>
          <w:szCs w:val="21"/>
          <w:highlight w:val="none"/>
        </w:rPr>
        <w:t>、</w:t>
      </w:r>
      <w:r>
        <w:rPr>
          <w:rFonts w:ascii="宋体" w:hAnsi="宋体"/>
          <w:color w:val="auto"/>
          <w:szCs w:val="21"/>
          <w:highlight w:val="none"/>
        </w:rPr>
        <w:t>行政法规</w:t>
      </w:r>
      <w:r>
        <w:rPr>
          <w:rFonts w:hint="eastAsia" w:ascii="宋体" w:hAnsi="宋体"/>
          <w:color w:val="auto"/>
          <w:szCs w:val="21"/>
          <w:highlight w:val="none"/>
        </w:rPr>
        <w:t>、</w:t>
      </w:r>
      <w:r>
        <w:rPr>
          <w:rFonts w:ascii="宋体" w:hAnsi="宋体"/>
          <w:color w:val="auto"/>
          <w:szCs w:val="21"/>
          <w:highlight w:val="none"/>
        </w:rPr>
        <w:t>部门规章，以及</w:t>
      </w:r>
      <w:r>
        <w:rPr>
          <w:rFonts w:hint="eastAsia" w:ascii="宋体" w:hAnsi="宋体"/>
          <w:color w:val="auto"/>
          <w:szCs w:val="21"/>
          <w:highlight w:val="none"/>
        </w:rPr>
        <w:t>项目</w:t>
      </w:r>
      <w:r>
        <w:rPr>
          <w:rFonts w:ascii="宋体" w:hAnsi="宋体"/>
          <w:color w:val="auto"/>
          <w:szCs w:val="21"/>
          <w:highlight w:val="none"/>
        </w:rPr>
        <w:t>所在地的地方法规</w:t>
      </w:r>
      <w:r>
        <w:rPr>
          <w:rFonts w:hint="eastAsia" w:ascii="宋体" w:hAnsi="宋体"/>
          <w:color w:val="auto"/>
          <w:szCs w:val="21"/>
          <w:highlight w:val="none"/>
        </w:rPr>
        <w:t>、</w:t>
      </w:r>
      <w:r>
        <w:rPr>
          <w:rFonts w:ascii="宋体" w:hAnsi="宋体"/>
          <w:color w:val="auto"/>
          <w:szCs w:val="21"/>
          <w:highlight w:val="none"/>
        </w:rPr>
        <w:t>自治条例</w:t>
      </w:r>
      <w:r>
        <w:rPr>
          <w:rFonts w:hint="eastAsia" w:ascii="宋体" w:hAnsi="宋体"/>
          <w:color w:val="auto"/>
          <w:szCs w:val="21"/>
          <w:highlight w:val="none"/>
        </w:rPr>
        <w:t>、</w:t>
      </w:r>
      <w:r>
        <w:rPr>
          <w:rFonts w:ascii="宋体" w:hAnsi="宋体"/>
          <w:color w:val="auto"/>
          <w:szCs w:val="21"/>
          <w:highlight w:val="none"/>
        </w:rPr>
        <w:t>单行条例和地方政府规章</w:t>
      </w:r>
      <w:r>
        <w:rPr>
          <w:rFonts w:hint="eastAsia" w:ascii="宋体" w:hAnsi="宋体"/>
          <w:color w:val="auto"/>
          <w:szCs w:val="21"/>
          <w:highlight w:val="none"/>
        </w:rPr>
        <w:t>，包括但不限于</w:t>
      </w:r>
      <w:r>
        <w:rPr>
          <w:rFonts w:hint="eastAsia" w:ascii="宋体" w:hAnsi="宋体"/>
          <w:color w:val="auto"/>
          <w:kern w:val="10"/>
          <w:szCs w:val="21"/>
          <w:highlight w:val="none"/>
        </w:rPr>
        <w:t>《中华人民共和国合同法》《中华人民共和国产品质量法》</w:t>
      </w:r>
      <w:r>
        <w:rPr>
          <w:rFonts w:hint="eastAsia" w:ascii="Arial" w:hAnsi="Arial" w:cs="Arial"/>
          <w:color w:val="auto"/>
          <w:highlight w:val="none"/>
        </w:rPr>
        <w:t>等。</w:t>
      </w:r>
    </w:p>
    <w:p>
      <w:pPr>
        <w:tabs>
          <w:tab w:val="left" w:pos="425"/>
          <w:tab w:val="left" w:pos="992"/>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如在合同有效期内，颁布新的法律法规或修订了原有法律法规，则后继的法律法规将自动适用于本合同。</w:t>
      </w:r>
    </w:p>
    <w:p>
      <w:pPr>
        <w:tabs>
          <w:tab w:val="left" w:pos="425"/>
        </w:tabs>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合同文件组成及解释顺序</w:t>
      </w:r>
    </w:p>
    <w:p>
      <w:pPr>
        <w:tabs>
          <w:tab w:val="left" w:pos="425"/>
          <w:tab w:val="left" w:pos="992"/>
        </w:tabs>
        <w:spacing w:line="400" w:lineRule="exact"/>
        <w:ind w:left="420" w:leftChars="200"/>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除专用合同条款另有约定外，组成本合同的文件及优先解释顺序如下：</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2.1.1</w:t>
      </w:r>
      <w:r>
        <w:rPr>
          <w:rFonts w:hint="eastAsia" w:ascii="宋体" w:hAnsi="宋体"/>
          <w:color w:val="auto"/>
          <w:szCs w:val="21"/>
          <w:highlight w:val="none"/>
        </w:rPr>
        <w:t>补充协议文件；</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本</w:t>
      </w:r>
      <w:r>
        <w:rPr>
          <w:rFonts w:ascii="宋体" w:hAnsi="宋体"/>
          <w:color w:val="auto"/>
          <w:szCs w:val="21"/>
          <w:highlight w:val="none"/>
        </w:rPr>
        <w:t>合同</w:t>
      </w:r>
      <w:r>
        <w:rPr>
          <w:rFonts w:hint="eastAsia" w:ascii="宋体" w:hAnsi="宋体"/>
          <w:color w:val="auto"/>
          <w:szCs w:val="21"/>
          <w:highlight w:val="none"/>
        </w:rPr>
        <w:t>；</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2.1.3</w:t>
      </w:r>
      <w:r>
        <w:rPr>
          <w:rFonts w:hint="eastAsia" w:ascii="宋体" w:hAnsi="宋体"/>
          <w:color w:val="auto"/>
          <w:szCs w:val="21"/>
          <w:highlight w:val="none"/>
        </w:rPr>
        <w:t>标准、规范及有关</w:t>
      </w:r>
      <w:r>
        <w:rPr>
          <w:rFonts w:ascii="宋体" w:hAnsi="宋体"/>
          <w:color w:val="auto"/>
          <w:szCs w:val="21"/>
          <w:highlight w:val="none"/>
        </w:rPr>
        <w:t>技术标准和要求；</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2.1.4</w:t>
      </w:r>
      <w:r>
        <w:rPr>
          <w:rFonts w:hint="eastAsia" w:ascii="宋体" w:hAnsi="宋体"/>
          <w:color w:val="auto"/>
          <w:szCs w:val="21"/>
          <w:highlight w:val="none"/>
        </w:rPr>
        <w:t>招标文件及补遗文件；</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2.1.5</w:t>
      </w:r>
      <w:r>
        <w:rPr>
          <w:rFonts w:hint="eastAsia" w:ascii="宋体" w:hAnsi="宋体"/>
          <w:color w:val="auto"/>
          <w:szCs w:val="21"/>
          <w:highlight w:val="none"/>
        </w:rPr>
        <w:t>投标文件；</w:t>
      </w:r>
    </w:p>
    <w:p>
      <w:pPr>
        <w:spacing w:line="400" w:lineRule="exact"/>
        <w:ind w:left="420" w:leftChars="200"/>
        <w:jc w:val="left"/>
        <w:rPr>
          <w:rFonts w:ascii="宋体" w:hAnsi="宋体"/>
          <w:color w:val="auto"/>
          <w:szCs w:val="21"/>
          <w:highlight w:val="none"/>
        </w:rPr>
      </w:pPr>
      <w:r>
        <w:rPr>
          <w:rFonts w:ascii="宋体" w:hAnsi="宋体"/>
          <w:color w:val="auto"/>
          <w:szCs w:val="21"/>
          <w:highlight w:val="none"/>
        </w:rPr>
        <w:t>2.1.6</w:t>
      </w:r>
      <w:r>
        <w:rPr>
          <w:rFonts w:hint="eastAsia" w:ascii="宋体" w:hAnsi="宋体"/>
          <w:color w:val="auto"/>
          <w:szCs w:val="21"/>
          <w:highlight w:val="none"/>
        </w:rPr>
        <w:t>与本合同有关的其他文件。</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20" w:firstLineChars="200"/>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物资质量要求及技术标准</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产品必须满足中华人民共和国国家、地方及行业最新颁布的相关标准及技术规范，如果规范、标准、要求适用于同一种情况，则以标准高者为准。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乙方对质量负责的条件和期限：如甲方在进行质量检验过程中，发现不符合标准要求的物资，乙方必须在48小时内将不合格物资无条件清理出场并予以退换，由此造成的一切损失由乙方负担。</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3.3具体物资质量要求及技术标准见专用条款。</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物资计量验收方式</w:t>
      </w:r>
    </w:p>
    <w:p>
      <w:pPr>
        <w:spacing w:line="400" w:lineRule="exact"/>
        <w:ind w:firstLine="420" w:firstLineChars="200"/>
        <w:rPr>
          <w:rFonts w:ascii="宋体" w:hAnsi="宋体"/>
          <w:bCs/>
          <w:color w:val="auto"/>
          <w:szCs w:val="21"/>
          <w:highlight w:val="none"/>
        </w:rPr>
      </w:pPr>
      <w:r>
        <w:rPr>
          <w:rFonts w:ascii="宋体" w:hAnsi="宋体"/>
          <w:color w:val="auto"/>
          <w:szCs w:val="21"/>
          <w:highlight w:val="none"/>
        </w:rPr>
        <w:t>4.1</w:t>
      </w:r>
      <w:r>
        <w:rPr>
          <w:rFonts w:hint="eastAsia" w:ascii="宋体" w:hAnsi="宋体"/>
          <w:color w:val="auto"/>
          <w:szCs w:val="21"/>
          <w:highlight w:val="none"/>
        </w:rPr>
        <w:t>物资验收地点在甲方指定位置。物资交货时，乙方必须提</w:t>
      </w:r>
      <w:r>
        <w:rPr>
          <w:rFonts w:hint="eastAsia" w:ascii="宋体" w:hAnsi="宋体"/>
          <w:bCs/>
          <w:color w:val="auto"/>
          <w:szCs w:val="21"/>
          <w:highlight w:val="none"/>
        </w:rPr>
        <w:t>供质量证明书、出厂检验报告.材质单等甲方为完成计量、竣工资料等所需要的所有资料，并及时交送到甲方指定负责人处，乙方提供资料均需在有效期内。</w:t>
      </w:r>
    </w:p>
    <w:p>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4.2</w:t>
      </w:r>
      <w:r>
        <w:rPr>
          <w:rFonts w:hint="eastAsia" w:ascii="宋体" w:hAnsi="宋体"/>
          <w:bCs/>
          <w:color w:val="auto"/>
          <w:kern w:val="0"/>
          <w:szCs w:val="21"/>
          <w:highlight w:val="none"/>
        </w:rPr>
        <w:t>甲方组织验收时乙方不到场，又不及时通知甲方，甲方将自行组织进场验收，并视为乙方认同验收结果。</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若物资进场经双倍取样试件不合格，发生相关的试验费用由乙方承担。</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乙方执行合同所承担的任何责任不因甲方进行了物资进场验收而解除或减弱。</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.6</w:t>
      </w:r>
      <w:r>
        <w:rPr>
          <w:rFonts w:hint="eastAsia" w:ascii="宋体" w:hAnsi="宋体"/>
          <w:color w:val="auto"/>
          <w:szCs w:val="21"/>
          <w:highlight w:val="none"/>
        </w:rPr>
        <w:t>具体的物资计量验收</w:t>
      </w:r>
      <w:r>
        <w:rPr>
          <w:rFonts w:ascii="宋体" w:hAnsi="宋体"/>
          <w:color w:val="auto"/>
          <w:szCs w:val="21"/>
          <w:highlight w:val="none"/>
        </w:rPr>
        <w:t>方式</w:t>
      </w:r>
      <w:r>
        <w:rPr>
          <w:rFonts w:hint="eastAsia" w:ascii="宋体" w:hAnsi="宋体"/>
          <w:color w:val="auto"/>
          <w:szCs w:val="21"/>
          <w:highlight w:val="none"/>
        </w:rPr>
        <w:t>见专用条款。</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乙方对验收数量有异议时，可要求甲乙双方共同到有相关资质的第三方处复验，相关费用由过错方承担。最终结算数量以甲方</w:t>
      </w:r>
      <w:r>
        <w:rPr>
          <w:rFonts w:hint="eastAsia" w:ascii="宋体" w:hAnsi="宋体" w:cs="宋体"/>
          <w:color w:val="auto"/>
          <w:szCs w:val="21"/>
          <w:highlight w:val="none"/>
        </w:rPr>
        <w:t>物资供应</w:t>
      </w:r>
      <w:r>
        <w:rPr>
          <w:rFonts w:ascii="宋体" w:hAnsi="宋体" w:cs="宋体"/>
          <w:color w:val="auto"/>
          <w:szCs w:val="21"/>
          <w:highlight w:val="none"/>
        </w:rPr>
        <w:t>计划</w:t>
      </w:r>
      <w:r>
        <w:rPr>
          <w:rFonts w:hint="eastAsia" w:ascii="宋体" w:hAnsi="宋体" w:cs="宋体"/>
          <w:color w:val="auto"/>
          <w:szCs w:val="21"/>
          <w:highlight w:val="none"/>
        </w:rPr>
        <w:t>约定范围内</w:t>
      </w:r>
      <w:r>
        <w:rPr>
          <w:rFonts w:hint="eastAsia" w:ascii="宋体" w:hAnsi="宋体"/>
          <w:color w:val="auto"/>
          <w:szCs w:val="21"/>
          <w:highlight w:val="none"/>
        </w:rPr>
        <w:t>且实际收到的合格产品数量为准。</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包装、运输、卸货</w:t>
      </w:r>
    </w:p>
    <w:p>
      <w:pPr>
        <w:spacing w:line="400" w:lineRule="exact"/>
        <w:ind w:firstLine="420" w:firstLineChars="200"/>
        <w:rPr>
          <w:rFonts w:ascii="宋体" w:hAnsi="宋体"/>
          <w:bCs/>
          <w:color w:val="auto"/>
          <w:szCs w:val="21"/>
          <w:highlight w:val="none"/>
        </w:rPr>
      </w:pPr>
      <w:r>
        <w:rPr>
          <w:rFonts w:ascii="宋体" w:hAnsi="宋体"/>
          <w:bCs/>
          <w:color w:val="auto"/>
          <w:szCs w:val="21"/>
          <w:highlight w:val="none"/>
        </w:rPr>
        <w:t>5.1</w:t>
      </w:r>
      <w:r>
        <w:rPr>
          <w:rFonts w:hint="eastAsia" w:ascii="宋体" w:hAnsi="宋体"/>
          <w:bCs/>
          <w:color w:val="auto"/>
          <w:szCs w:val="21"/>
          <w:highlight w:val="none"/>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乙方应对运输人员进行安全管理和安全教育，运输人员遵守交通法规。若运输过程中发生安全事故，责任全部由乙方承担，与甲方无任何关系。</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乙方不得利用遥控等科技手段控制磅秤增加物资重量，不得进行</w:t>
      </w:r>
      <w:r>
        <w:rPr>
          <w:rFonts w:ascii="宋体" w:hAnsi="宋体" w:cs="宋体"/>
          <w:color w:val="auto"/>
          <w:szCs w:val="21"/>
          <w:highlight w:val="none"/>
        </w:rPr>
        <w:t>任何形式的弄虚作假行为</w:t>
      </w:r>
      <w:r>
        <w:rPr>
          <w:rFonts w:hint="eastAsia" w:ascii="宋体" w:hAnsi="宋体" w:cs="宋体"/>
          <w:color w:val="auto"/>
          <w:szCs w:val="21"/>
          <w:highlight w:val="none"/>
        </w:rPr>
        <w:t>。一经发现，甲方将按发现作弊或</w:t>
      </w:r>
      <w:r>
        <w:rPr>
          <w:rFonts w:ascii="宋体" w:hAnsi="宋体" w:cs="宋体"/>
          <w:color w:val="auto"/>
          <w:szCs w:val="21"/>
          <w:highlight w:val="none"/>
        </w:rPr>
        <w:t>弄虚作假</w:t>
      </w:r>
      <w:r>
        <w:rPr>
          <w:rFonts w:hint="eastAsia" w:ascii="宋体" w:hAnsi="宋体" w:cs="宋体"/>
          <w:color w:val="auto"/>
          <w:szCs w:val="21"/>
          <w:highlight w:val="none"/>
        </w:rPr>
        <w:t>数量占本批次运输物资百分比扣除发现作弊日前物资进场总数量对应的货款，并交由公安机关处理。</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甲方物资管理人员要为物资进场提供必要的便利，及时验收质量与数量，不得无故拖延时间、扣减物资数量。</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乙方不得因双方分歧寻衅滋事，否则，甲方有权随时终止合同。</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color w:val="auto"/>
          <w:highlight w:val="none"/>
        </w:rPr>
        <w:t>乙方必须配合甲方的</w:t>
      </w:r>
      <w:r>
        <w:rPr>
          <w:rFonts w:hint="eastAsia" w:ascii="宋体" w:hAnsi="宋体" w:cs="宋体"/>
          <w:color w:val="auto"/>
          <w:szCs w:val="21"/>
          <w:highlight w:val="none"/>
        </w:rPr>
        <w:t>物资供应</w:t>
      </w:r>
      <w:r>
        <w:rPr>
          <w:rFonts w:ascii="宋体" w:hAnsi="宋体" w:cs="宋体"/>
          <w:color w:val="auto"/>
          <w:szCs w:val="21"/>
          <w:highlight w:val="none"/>
        </w:rPr>
        <w:t>计划</w:t>
      </w:r>
      <w:r>
        <w:rPr>
          <w:rFonts w:hint="eastAsia"/>
          <w:color w:val="auto"/>
          <w:highlight w:val="none"/>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pPr>
        <w:tabs>
          <w:tab w:val="left" w:pos="765"/>
        </w:tabs>
        <w:spacing w:line="400" w:lineRule="exact"/>
        <w:ind w:firstLine="420" w:firstLineChars="200"/>
        <w:jc w:val="left"/>
        <w:rPr>
          <w:rFonts w:asci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．环境﹑安全保护原则</w:t>
      </w:r>
    </w:p>
    <w:p>
      <w:pPr>
        <w:tabs>
          <w:tab w:val="left" w:pos="765"/>
        </w:tabs>
        <w:spacing w:line="400" w:lineRule="exact"/>
        <w:ind w:firstLine="420" w:firstLineChars="200"/>
        <w:jc w:val="left"/>
        <w:rPr>
          <w:color w:val="auto"/>
          <w:highlight w:val="none"/>
        </w:rPr>
      </w:pPr>
      <w:r>
        <w:rPr>
          <w:rFonts w:ascii="宋体" w:hAnsi="宋体"/>
          <w:color w:val="auto"/>
          <w:szCs w:val="21"/>
          <w:highlight w:val="none"/>
        </w:rPr>
        <w:t>6.1</w:t>
      </w:r>
      <w:r>
        <w:rPr>
          <w:rFonts w:hint="eastAsia"/>
          <w:color w:val="auto"/>
          <w:highlight w:val="none"/>
        </w:rPr>
        <w:t>乙方必须遵守环境﹑安全保护的法律法规。</w:t>
      </w:r>
    </w:p>
    <w:p>
      <w:pPr>
        <w:tabs>
          <w:tab w:val="left" w:pos="765"/>
        </w:tabs>
        <w:spacing w:line="400" w:lineRule="exact"/>
        <w:ind w:firstLine="420" w:firstLineChars="200"/>
        <w:jc w:val="left"/>
        <w:rPr>
          <w:rFonts w:ascii="宋体" w:hAnsi="宋体"/>
          <w:color w:val="auto"/>
          <w:highlight w:val="none"/>
        </w:rPr>
      </w:pPr>
      <w:r>
        <w:rPr>
          <w:rFonts w:ascii="宋体" w:hAnsi="宋体"/>
          <w:color w:val="auto"/>
          <w:highlight w:val="none"/>
        </w:rPr>
        <w:t>6.2</w:t>
      </w:r>
      <w:r>
        <w:rPr>
          <w:rFonts w:hint="eastAsia" w:ascii="宋体" w:hAnsi="宋体"/>
          <w:color w:val="auto"/>
          <w:highlight w:val="none"/>
        </w:rPr>
        <w:t>乙方所供物资，在保证质量的同时，还应确保材质符合环境﹑安全保护要求。</w:t>
      </w:r>
    </w:p>
    <w:p>
      <w:pPr>
        <w:tabs>
          <w:tab w:val="left" w:pos="765"/>
        </w:tabs>
        <w:spacing w:line="400" w:lineRule="exact"/>
        <w:ind w:firstLine="420" w:firstLineChars="200"/>
        <w:jc w:val="left"/>
        <w:rPr>
          <w:rFonts w:ascii="宋体" w:hAnsi="宋体"/>
          <w:color w:val="auto"/>
          <w:highlight w:val="none"/>
        </w:rPr>
      </w:pPr>
      <w:r>
        <w:rPr>
          <w:rFonts w:ascii="宋体" w:hAnsi="宋体"/>
          <w:color w:val="auto"/>
          <w:highlight w:val="none"/>
        </w:rPr>
        <w:t>6.3</w:t>
      </w:r>
      <w:r>
        <w:rPr>
          <w:rFonts w:hint="eastAsia" w:ascii="宋体" w:hAnsi="宋体"/>
          <w:color w:val="auto"/>
          <w:highlight w:val="none"/>
        </w:rPr>
        <w:t>乙方供货时，物资的包装必须满足环境﹑安全管理要求，并在外包装商做标志，以便于物资的验证和保管。</w:t>
      </w:r>
    </w:p>
    <w:p>
      <w:pPr>
        <w:tabs>
          <w:tab w:val="left" w:pos="765"/>
        </w:tabs>
        <w:spacing w:line="400" w:lineRule="exact"/>
        <w:ind w:firstLine="420" w:firstLineChars="200"/>
        <w:jc w:val="left"/>
        <w:rPr>
          <w:rFonts w:ascii="宋体" w:hAnsi="宋体"/>
          <w:color w:val="auto"/>
          <w:highlight w:val="none"/>
        </w:rPr>
      </w:pPr>
      <w:r>
        <w:rPr>
          <w:rFonts w:ascii="宋体" w:hAnsi="宋体"/>
          <w:color w:val="auto"/>
          <w:highlight w:val="none"/>
        </w:rPr>
        <w:t>6.4</w:t>
      </w:r>
      <w:r>
        <w:rPr>
          <w:rFonts w:hint="eastAsia" w:ascii="宋体" w:hAnsi="宋体"/>
          <w:color w:val="auto"/>
          <w:highlight w:val="none"/>
        </w:rPr>
        <w:t>在物资运输过程中，粉尘﹑噪声及尾气排放必须满足国家及地方的有关规定</w:t>
      </w:r>
      <w:r>
        <w:rPr>
          <w:rFonts w:hint="eastAsia" w:ascii="宋体" w:hAnsi="宋体"/>
          <w:color w:val="auto"/>
          <w:szCs w:val="21"/>
          <w:highlight w:val="none"/>
        </w:rPr>
        <w:t>采取必要措施防止运输中发生有害物质泄漏，对周边环境造成污染</w:t>
      </w:r>
      <w:r>
        <w:rPr>
          <w:rFonts w:hint="eastAsia" w:ascii="宋体" w:hAnsi="宋体"/>
          <w:color w:val="auto"/>
          <w:highlight w:val="none"/>
        </w:rPr>
        <w:t>。如有违反行为发生，按国家有关规定进行处理，责任由乙方承担。</w:t>
      </w:r>
    </w:p>
    <w:p>
      <w:pPr>
        <w:spacing w:line="400" w:lineRule="exact"/>
        <w:ind w:firstLine="480"/>
        <w:rPr>
          <w:color w:val="auto"/>
          <w:highlight w:val="none"/>
        </w:rPr>
      </w:pPr>
      <w:r>
        <w:rPr>
          <w:rFonts w:ascii="宋体" w:hAnsi="宋体"/>
          <w:color w:val="auto"/>
          <w:highlight w:val="none"/>
        </w:rPr>
        <w:t>6.5</w:t>
      </w:r>
      <w:r>
        <w:rPr>
          <w:rFonts w:hint="eastAsia"/>
          <w:color w:val="auto"/>
          <w:highlight w:val="none"/>
        </w:rPr>
        <w:t>乙方进入施工现场的人员</w:t>
      </w:r>
      <w:r>
        <w:rPr>
          <w:rFonts w:hint="eastAsia" w:ascii="宋体" w:hAnsi="宋体"/>
          <w:color w:val="auto"/>
          <w:szCs w:val="21"/>
          <w:highlight w:val="none"/>
        </w:rPr>
        <w:t>车辆必须听从甲方现场人员的统一指挥和安排、</w:t>
      </w:r>
      <w:r>
        <w:rPr>
          <w:rFonts w:hint="eastAsia"/>
          <w:color w:val="auto"/>
          <w:highlight w:val="none"/>
        </w:rPr>
        <w:t>必须按甲方要求穿戴个人防护物品，做好个人防护。</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6.6</w:t>
      </w:r>
      <w:r>
        <w:rPr>
          <w:rFonts w:hint="eastAsia" w:ascii="宋体" w:hAnsi="宋体"/>
          <w:color w:val="auto"/>
          <w:szCs w:val="21"/>
          <w:highlight w:val="none"/>
        </w:rPr>
        <w:t>当乙方违反上述条款</w:t>
      </w:r>
      <w:r>
        <w:rPr>
          <w:rFonts w:ascii="宋体" w:hAnsi="宋体"/>
          <w:color w:val="auto"/>
          <w:szCs w:val="21"/>
          <w:highlight w:val="none"/>
        </w:rPr>
        <w:t>3</w:t>
      </w:r>
      <w:r>
        <w:rPr>
          <w:rFonts w:hint="eastAsia" w:ascii="宋体" w:hAnsi="宋体"/>
          <w:color w:val="auto"/>
          <w:szCs w:val="21"/>
          <w:highlight w:val="none"/>
        </w:rPr>
        <w:t>次以下</w:t>
      </w:r>
      <w:r>
        <w:rPr>
          <w:rFonts w:ascii="宋体" w:hAnsi="宋体"/>
          <w:color w:val="auto"/>
          <w:szCs w:val="21"/>
          <w:highlight w:val="none"/>
        </w:rPr>
        <w:t>1</w:t>
      </w:r>
      <w:r>
        <w:rPr>
          <w:rFonts w:hint="eastAsia" w:ascii="宋体" w:hAnsi="宋体"/>
          <w:color w:val="auto"/>
          <w:szCs w:val="21"/>
          <w:highlight w:val="none"/>
        </w:rPr>
        <w:t>次以上时（含</w:t>
      </w:r>
      <w:r>
        <w:rPr>
          <w:rFonts w:ascii="宋体" w:hAnsi="宋体"/>
          <w:color w:val="auto"/>
          <w:szCs w:val="21"/>
          <w:highlight w:val="none"/>
        </w:rPr>
        <w:t>1</w:t>
      </w:r>
      <w:r>
        <w:rPr>
          <w:rFonts w:hint="eastAsia" w:ascii="宋体" w:hAnsi="宋体"/>
          <w:color w:val="auto"/>
          <w:szCs w:val="21"/>
          <w:highlight w:val="none"/>
        </w:rPr>
        <w:t>次），甲方将向乙方提出警告；</w:t>
      </w:r>
      <w:r>
        <w:rPr>
          <w:rFonts w:ascii="宋体" w:hAnsi="宋体"/>
          <w:color w:val="auto"/>
          <w:szCs w:val="21"/>
          <w:highlight w:val="none"/>
        </w:rPr>
        <w:t>3</w:t>
      </w:r>
      <w:r>
        <w:rPr>
          <w:rFonts w:hint="eastAsia" w:ascii="宋体" w:hAnsi="宋体"/>
          <w:color w:val="auto"/>
          <w:szCs w:val="21"/>
          <w:highlight w:val="none"/>
        </w:rPr>
        <w:t>次以上（含</w:t>
      </w:r>
      <w:r>
        <w:rPr>
          <w:rFonts w:ascii="宋体" w:hAnsi="宋体"/>
          <w:color w:val="auto"/>
          <w:szCs w:val="21"/>
          <w:highlight w:val="none"/>
        </w:rPr>
        <w:t>3</w:t>
      </w:r>
      <w:r>
        <w:rPr>
          <w:rFonts w:hint="eastAsia" w:ascii="宋体" w:hAnsi="宋体"/>
          <w:color w:val="auto"/>
          <w:szCs w:val="21"/>
          <w:highlight w:val="none"/>
        </w:rPr>
        <w:t>次），甲方将有权终止正在执行的合同，一切后果由乙方承担。</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甲方的责任和义务</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提供物资供应计划。</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2对乙方运抵的物资及时验收并为乙方卸货提供必要的方便。</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7.3</w:t>
      </w:r>
      <w:r>
        <w:rPr>
          <w:rFonts w:hint="eastAsia" w:ascii="宋体" w:hAnsi="宋体"/>
          <w:color w:val="auto"/>
          <w:szCs w:val="21"/>
          <w:highlight w:val="none"/>
        </w:rPr>
        <w:t>及时组织物资质量检测，检测合格，及时签收确认；检测不合格，甲方有权拒收,由此产生的费用全部由乙方承担。</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7.4</w:t>
      </w:r>
      <w:r>
        <w:rPr>
          <w:rFonts w:hint="eastAsia" w:ascii="宋体" w:hAnsi="宋体"/>
          <w:color w:val="auto"/>
          <w:szCs w:val="21"/>
          <w:highlight w:val="none"/>
        </w:rPr>
        <w:t>按约定支付乙方货款。</w:t>
      </w:r>
    </w:p>
    <w:p>
      <w:pPr>
        <w:tabs>
          <w:tab w:val="left" w:pos="765"/>
        </w:tabs>
        <w:spacing w:line="400" w:lineRule="exact"/>
        <w:ind w:firstLine="420" w:firstLineChars="200"/>
        <w:jc w:val="left"/>
        <w:rPr>
          <w:rFonts w:ascii="宋体" w:hAnsi="宋体"/>
          <w:b/>
          <w:color w:val="auto"/>
          <w:szCs w:val="21"/>
          <w:highlight w:val="none"/>
        </w:rPr>
      </w:pPr>
      <w:r>
        <w:rPr>
          <w:rFonts w:ascii="宋体" w:hAnsi="宋体"/>
          <w:b/>
          <w:color w:val="auto"/>
          <w:szCs w:val="21"/>
          <w:highlight w:val="none"/>
        </w:rPr>
        <w:t>8.</w:t>
      </w:r>
      <w:r>
        <w:rPr>
          <w:rFonts w:hint="eastAsia" w:ascii="宋体" w:hAnsi="宋体"/>
          <w:b/>
          <w:color w:val="auto"/>
          <w:szCs w:val="21"/>
          <w:highlight w:val="none"/>
        </w:rPr>
        <w:t>乙方的责任和义务</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.1将物资送至规定地点，配合卸货并码放整齐，保证堆放安全，否则甲方有权不予验收，由此给甲方造成的损失由乙方承担。</w:t>
      </w:r>
    </w:p>
    <w:p>
      <w:pPr>
        <w:tabs>
          <w:tab w:val="left" w:pos="765"/>
        </w:tabs>
        <w:spacing w:line="4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.2发货前应及时通知甲方，以便甲方做好接货准备。乙方不得因甲方要求延期交货而向甲方提出索赔。</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8.3</w:t>
      </w:r>
      <w:r>
        <w:rPr>
          <w:rFonts w:hint="eastAsia" w:ascii="宋体" w:hAnsi="宋体"/>
          <w:color w:val="auto"/>
          <w:szCs w:val="21"/>
          <w:highlight w:val="none"/>
        </w:rPr>
        <w:t>向甲方提供必要的报检证明和结算证明（账户、开户行相关证件复印件及验收单等）。</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8.4</w:t>
      </w:r>
      <w:r>
        <w:rPr>
          <w:rFonts w:hint="eastAsia" w:ascii="宋体" w:hAnsi="宋体"/>
          <w:color w:val="auto"/>
          <w:szCs w:val="21"/>
          <w:highlight w:val="none"/>
        </w:rPr>
        <w:t>供应的物资必须符合中华人民共和国国家、地方及行业最新颁布的相关标准及技术规范和甲方施工要求。</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8.5</w:t>
      </w:r>
      <w:r>
        <w:rPr>
          <w:rFonts w:hint="eastAsia" w:ascii="宋体" w:hAnsi="宋体"/>
          <w:color w:val="auto"/>
          <w:szCs w:val="21"/>
          <w:highlight w:val="none"/>
        </w:rPr>
        <w:t>保证物资在运输过程中不受污染，做好物资运输过程中的防雨、防潮工作。</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8.6</w:t>
      </w:r>
      <w:r>
        <w:rPr>
          <w:rFonts w:hint="eastAsia" w:ascii="宋体" w:hAnsi="宋体"/>
          <w:color w:val="auto"/>
          <w:szCs w:val="21"/>
          <w:highlight w:val="none"/>
        </w:rPr>
        <w:t>承担在供货过程中发生的交通事故、人身伤害、通讯或电力线路损害、污染物泄漏等突发事件造成的损失、罚款及其他一切责任。</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8.7</w:t>
      </w:r>
      <w:r>
        <w:rPr>
          <w:rFonts w:hint="eastAsia" w:ascii="宋体" w:hAnsi="宋体"/>
          <w:color w:val="auto"/>
          <w:szCs w:val="21"/>
          <w:highlight w:val="none"/>
        </w:rPr>
        <w:t>遵守甲方有关的规章制度，并负责己方人员及运输设备的安全。</w:t>
      </w:r>
    </w:p>
    <w:p>
      <w:pPr>
        <w:tabs>
          <w:tab w:val="left" w:pos="765"/>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8.8</w:t>
      </w:r>
      <w:r>
        <w:rPr>
          <w:rFonts w:hint="eastAsia" w:ascii="宋体" w:hAnsi="宋体"/>
          <w:color w:val="auto"/>
          <w:szCs w:val="21"/>
          <w:highlight w:val="none"/>
        </w:rPr>
        <w:t>物资供应必须及时并保证满足甲方施工生产需要，如因乙方问题造成甲方停工待料，除不可抗力外，全部损失由乙方承担。</w:t>
      </w:r>
    </w:p>
    <w:p>
      <w:pPr>
        <w:tabs>
          <w:tab w:val="left" w:pos="810"/>
        </w:tabs>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8.9</w:t>
      </w:r>
      <w:r>
        <w:rPr>
          <w:rFonts w:hint="eastAsia" w:ascii="宋体" w:hAnsi="宋体"/>
          <w:color w:val="auto"/>
          <w:szCs w:val="21"/>
          <w:highlight w:val="none"/>
        </w:rPr>
        <w:t>必须按甲方提供的物资供应计划的数量、时间供货，不得擅自改变计划内容。乙方对超出供货需求量供应的物资承担相应费用和责任，包括但不限于物资进场、退场的运输、装车、保管等。</w:t>
      </w:r>
    </w:p>
    <w:p>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8.10</w:t>
      </w:r>
      <w:r>
        <w:rPr>
          <w:rFonts w:hint="eastAsia" w:ascii="宋体" w:hAnsi="宋体" w:cs="宋体"/>
          <w:color w:val="auto"/>
          <w:szCs w:val="21"/>
          <w:highlight w:val="none"/>
        </w:rPr>
        <w:t>应精心组织物资加工，参照甲方</w:t>
      </w:r>
      <w:r>
        <w:rPr>
          <w:rFonts w:hint="eastAsia" w:ascii="宋体" w:hAnsi="宋体"/>
          <w:color w:val="auto"/>
          <w:szCs w:val="21"/>
          <w:highlight w:val="none"/>
        </w:rPr>
        <w:t>物资供应计划</w:t>
      </w:r>
      <w:r>
        <w:rPr>
          <w:rFonts w:hint="eastAsia" w:ascii="宋体" w:hAnsi="宋体" w:cs="宋体"/>
          <w:color w:val="auto"/>
          <w:szCs w:val="21"/>
          <w:highlight w:val="none"/>
        </w:rPr>
        <w:t>，做好物资的储备工作，合理安排运输力量。如乙方不能按期完成甲方计划，应提前5日历天向甲方说明，甲方将另行组织货源。如由于乙方原因影响甲方工程进度，甲方将扣除乙方相应货款作为违约金。</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8.11</w:t>
      </w:r>
      <w:r>
        <w:rPr>
          <w:rFonts w:hint="eastAsia" w:ascii="宋体" w:hAnsi="宋体"/>
          <w:color w:val="auto"/>
          <w:szCs w:val="21"/>
          <w:highlight w:val="none"/>
        </w:rPr>
        <w:t>必须无条件满足合同内物资的供应，不得以生产商设备检修停产、未安排生产计划等为由在合同约定供货期内停止供货。</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8.12乙方需正确填写发票，因乙方发票填写错误，造成甲方损失的，由乙方进行全额赔偿，并支付“问题发票”等额的违约金给甲方。乙方在申请本合同下的货款和开据发票过程中发生的各种费用由乙方承担。</w:t>
      </w:r>
    </w:p>
    <w:p>
      <w:pPr>
        <w:snapToGrid w:val="0"/>
        <w:spacing w:line="400" w:lineRule="exact"/>
        <w:ind w:firstLine="420" w:firstLineChars="200"/>
        <w:rPr>
          <w:color w:val="auto"/>
          <w:highlight w:val="none"/>
        </w:rPr>
      </w:pPr>
      <w:r>
        <w:rPr>
          <w:rFonts w:hint="eastAsia" w:ascii="宋体" w:hAnsi="宋体"/>
          <w:color w:val="auto"/>
          <w:szCs w:val="21"/>
          <w:highlight w:val="none"/>
        </w:rPr>
        <w:t>8.13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违约责任</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9.1</w:t>
      </w:r>
      <w:r>
        <w:rPr>
          <w:rFonts w:hint="eastAsia" w:ascii="宋体" w:hAnsi="宋体"/>
          <w:color w:val="auto"/>
          <w:szCs w:val="21"/>
          <w:highlight w:val="none"/>
        </w:rPr>
        <w:t>以下情况乙方向甲方支付违约金，具体违约金金额在第一部分合同</w:t>
      </w:r>
      <w:r>
        <w:rPr>
          <w:rFonts w:ascii="宋体" w:hAnsi="宋体"/>
          <w:color w:val="auto"/>
          <w:szCs w:val="21"/>
          <w:highlight w:val="none"/>
        </w:rPr>
        <w:t>协议书</w:t>
      </w:r>
      <w:r>
        <w:rPr>
          <w:rFonts w:hint="eastAsia" w:ascii="宋体" w:hAnsi="宋体"/>
          <w:color w:val="auto"/>
          <w:szCs w:val="21"/>
          <w:highlight w:val="none"/>
        </w:rPr>
        <w:t>中进行约定。此违约金在应付货款中直接扣除，情况严重时甲方有权单方终止合同。</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9.1.1</w:t>
      </w:r>
      <w:r>
        <w:rPr>
          <w:rFonts w:hint="eastAsia" w:ascii="宋体" w:hAnsi="宋体"/>
          <w:color w:val="auto"/>
          <w:szCs w:val="21"/>
          <w:highlight w:val="none"/>
        </w:rPr>
        <w:t>乙方未按甲方物资供应计划要求供应本合同约定物资</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9.1.2</w:t>
      </w:r>
      <w:r>
        <w:rPr>
          <w:rFonts w:hint="eastAsia" w:ascii="宋体" w:hAnsi="宋体"/>
          <w:color w:val="auto"/>
          <w:szCs w:val="21"/>
          <w:highlight w:val="none"/>
        </w:rPr>
        <w:t>乙方所供应物资检测不合格，且48小时</w:t>
      </w:r>
      <w:r>
        <w:rPr>
          <w:rFonts w:hint="eastAsia" w:ascii="宋体" w:hAnsi="宋体"/>
          <w:bCs/>
          <w:color w:val="auto"/>
          <w:kern w:val="0"/>
          <w:szCs w:val="21"/>
          <w:highlight w:val="none"/>
        </w:rPr>
        <w:t>内未予处理的。</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由于乙方原因造成甲方人员人身伤害，乙方应立即采取补救措施，并全额赔偿甲方相关人员损失。</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9.4</w:t>
      </w:r>
      <w:r>
        <w:rPr>
          <w:rFonts w:hint="eastAsia" w:ascii="宋体" w:hAnsi="宋体"/>
          <w:color w:val="auto"/>
          <w:szCs w:val="21"/>
          <w:highlight w:val="none"/>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9.5</w:t>
      </w:r>
      <w:r>
        <w:rPr>
          <w:rFonts w:hint="eastAsia" w:ascii="宋体" w:hAnsi="宋体"/>
          <w:color w:val="auto"/>
          <w:szCs w:val="21"/>
          <w:highlight w:val="none"/>
        </w:rPr>
        <w:t>乙方收到甲方的索赔通知后</w:t>
      </w:r>
      <w:r>
        <w:rPr>
          <w:rFonts w:ascii="宋体" w:hAnsi="宋体"/>
          <w:color w:val="auto"/>
          <w:szCs w:val="21"/>
          <w:highlight w:val="none"/>
        </w:rPr>
        <w:t>10</w:t>
      </w:r>
      <w:r>
        <w:rPr>
          <w:rFonts w:hint="eastAsia" w:ascii="宋体" w:hAnsi="宋体"/>
          <w:color w:val="auto"/>
          <w:szCs w:val="21"/>
          <w:highlight w:val="none"/>
        </w:rPr>
        <w:t>日历天内不作出书面答复，视为乙方同意甲方提出的一切索赔要求。</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9.6</w:t>
      </w:r>
      <w:r>
        <w:rPr>
          <w:rFonts w:hint="eastAsia" w:ascii="宋体" w:hAnsi="宋体"/>
          <w:color w:val="auto"/>
          <w:szCs w:val="21"/>
          <w:highlight w:val="none"/>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9.7如发生以下任何一种情况履约保证金不予退还：</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9.7.1无法正常供货的情况，包括任何原因的不供货或连续5日历天未能按甲方要求的数量供货。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9.7.2供应的物资不符合国家、甲方、业主和监理相关标准和要求，且在规定时间内不予调换、处理的情况。</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9.7.3不服从甲方管理的。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9.7.4因乙方原因给甲方造成损失的。</w:t>
      </w:r>
    </w:p>
    <w:p>
      <w:pPr>
        <w:spacing w:line="400" w:lineRule="exact"/>
        <w:ind w:firstLine="420" w:firstLineChars="200"/>
        <w:jc w:val="left"/>
        <w:rPr>
          <w:rFonts w:ascii="宋体" w:hAnsi="宋体"/>
          <w:b/>
          <w:color w:val="auto"/>
          <w:szCs w:val="21"/>
          <w:highlight w:val="none"/>
        </w:rPr>
      </w:pPr>
      <w:r>
        <w:rPr>
          <w:rFonts w:ascii="宋体" w:hAnsi="宋体"/>
          <w:b/>
          <w:color w:val="auto"/>
          <w:szCs w:val="21"/>
          <w:highlight w:val="none"/>
        </w:rPr>
        <w:t>10.</w:t>
      </w:r>
      <w:r>
        <w:rPr>
          <w:rFonts w:hint="eastAsia" w:ascii="宋体" w:hAnsi="宋体"/>
          <w:b/>
          <w:color w:val="auto"/>
          <w:szCs w:val="21"/>
          <w:highlight w:val="none"/>
        </w:rPr>
        <w:t>通知</w:t>
      </w:r>
    </w:p>
    <w:p>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根据本合同需要发出的双方的往来文件及与本合同有关的通知和要求等，</w:t>
      </w:r>
      <w:r>
        <w:rPr>
          <w:rFonts w:hint="eastAsia" w:ascii="宋体" w:hAnsi="宋体" w:cs="宋体"/>
          <w:color w:val="auto"/>
          <w:szCs w:val="21"/>
          <w:highlight w:val="none"/>
        </w:rPr>
        <w:t>可以选择通过传真、电子邮件、</w:t>
      </w:r>
      <w:r>
        <w:rPr>
          <w:rFonts w:hint="eastAsia" w:ascii="宋体" w:hAnsi="宋体"/>
          <w:color w:val="auto"/>
          <w:szCs w:val="21"/>
          <w:highlight w:val="none"/>
        </w:rPr>
        <w:t>邮寄、当面送交</w:t>
      </w:r>
      <w:r>
        <w:rPr>
          <w:rFonts w:hint="eastAsia" w:ascii="宋体" w:hAnsi="宋体" w:cs="宋体"/>
          <w:color w:val="auto"/>
          <w:szCs w:val="21"/>
          <w:highlight w:val="none"/>
        </w:rPr>
        <w:t>等方式</w:t>
      </w:r>
      <w:r>
        <w:rPr>
          <w:rFonts w:hint="eastAsia" w:ascii="宋体" w:hAnsi="宋体"/>
          <w:color w:val="auto"/>
          <w:szCs w:val="21"/>
          <w:highlight w:val="none"/>
        </w:rPr>
        <w:t>传递。以上方式无法送达的，方可采取公告送达的方式。</w:t>
      </w:r>
    </w:p>
    <w:p>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1.</w:t>
      </w:r>
      <w:r>
        <w:rPr>
          <w:rFonts w:hint="eastAsia" w:ascii="宋体" w:hAnsi="宋体"/>
          <w:b/>
          <w:color w:val="auto"/>
          <w:szCs w:val="21"/>
          <w:highlight w:val="none"/>
        </w:rPr>
        <w:t>争议的处理</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本合同在履行过程中发生的争议或与本合同有关的任何纠纷，由双方当事人协商解决，也可由有关部门调解。协商或调解不成，双方约定依法向石家庄仲裁委员会申请仲裁。</w:t>
      </w:r>
    </w:p>
    <w:p>
      <w:pPr>
        <w:tabs>
          <w:tab w:val="left" w:pos="810"/>
        </w:tabs>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2.</w:t>
      </w:r>
      <w:r>
        <w:rPr>
          <w:rFonts w:hint="eastAsia" w:ascii="宋体" w:hAnsi="宋体"/>
          <w:b/>
          <w:color w:val="auto"/>
          <w:szCs w:val="21"/>
          <w:highlight w:val="none"/>
        </w:rPr>
        <w:t xml:space="preserve">不可抗力 </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3.</w:t>
      </w:r>
      <w:r>
        <w:rPr>
          <w:rFonts w:hint="eastAsia" w:ascii="宋体" w:hAnsi="宋体"/>
          <w:b/>
          <w:color w:val="auto"/>
          <w:szCs w:val="21"/>
          <w:highlight w:val="none"/>
        </w:rPr>
        <w:t>其他约定事项</w:t>
      </w:r>
    </w:p>
    <w:p>
      <w:pPr>
        <w:widowControl/>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本合同未尽事宜，双方另行协商并签订补充协议。当乙方所供</w:t>
      </w:r>
      <w:r>
        <w:rPr>
          <w:rFonts w:ascii="宋体" w:hAnsi="宋体"/>
          <w:color w:val="auto"/>
          <w:szCs w:val="21"/>
          <w:highlight w:val="none"/>
        </w:rPr>
        <w:t>物资</w:t>
      </w:r>
      <w:r>
        <w:rPr>
          <w:rFonts w:hint="eastAsia" w:ascii="宋体" w:hAnsi="宋体"/>
          <w:color w:val="auto"/>
          <w:szCs w:val="21"/>
          <w:highlight w:val="none"/>
        </w:rPr>
        <w:t>超出原合同价款的</w:t>
      </w:r>
      <w:r>
        <w:rPr>
          <w:rFonts w:ascii="宋体" w:hAnsi="宋体"/>
          <w:color w:val="auto"/>
          <w:szCs w:val="21"/>
          <w:highlight w:val="none"/>
        </w:rPr>
        <w:t>10%</w:t>
      </w:r>
      <w:r>
        <w:rPr>
          <w:rFonts w:hint="eastAsia" w:ascii="宋体" w:hAnsi="宋体"/>
          <w:color w:val="auto"/>
          <w:szCs w:val="21"/>
          <w:highlight w:val="none"/>
        </w:rPr>
        <w:t>时，甲乙</w:t>
      </w:r>
      <w:r>
        <w:rPr>
          <w:rFonts w:ascii="宋体" w:hAnsi="宋体"/>
          <w:color w:val="auto"/>
          <w:szCs w:val="21"/>
          <w:highlight w:val="none"/>
        </w:rPr>
        <w:t>双方</w:t>
      </w:r>
      <w:r>
        <w:rPr>
          <w:rFonts w:hint="eastAsia" w:ascii="宋体" w:hAnsi="宋体"/>
          <w:color w:val="auto"/>
          <w:szCs w:val="21"/>
          <w:highlight w:val="none"/>
        </w:rPr>
        <w:t>必须签订补充协议。补充协议作为本合同附件，与本合同具有同等法律效力。</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因工程建设单位、监理单位及相关部门出台的相关规定文件、市场准入制度造成合同不能执行，甲方不承担任何责任。</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szCs w:val="21"/>
          <w:highlight w:val="none"/>
        </w:rPr>
        <w:t>本合同自双方签字盖章之日起生效。</w:t>
      </w:r>
    </w:p>
    <w:p>
      <w:pPr>
        <w:spacing w:line="360" w:lineRule="exact"/>
        <w:ind w:firstLine="409" w:firstLineChars="195"/>
        <w:jc w:val="left"/>
        <w:rPr>
          <w:rFonts w:ascii="宋体" w:hAnsi="宋体"/>
          <w:color w:val="auto"/>
          <w:szCs w:val="21"/>
          <w:highlight w:val="none"/>
        </w:rPr>
      </w:pPr>
      <w:r>
        <w:rPr>
          <w:rFonts w:ascii="宋体" w:hAnsi="宋体"/>
          <w:b/>
          <w:color w:val="auto"/>
          <w:szCs w:val="21"/>
          <w:highlight w:val="none"/>
        </w:rPr>
        <w:t>14</w:t>
      </w:r>
      <w:r>
        <w:rPr>
          <w:rFonts w:hint="eastAsia" w:ascii="宋体" w:hAnsi="宋体"/>
          <w:b/>
          <w:color w:val="auto"/>
          <w:szCs w:val="21"/>
          <w:highlight w:val="none"/>
        </w:rPr>
        <w:t>.附件</w:t>
      </w:r>
      <w:r>
        <w:rPr>
          <w:rFonts w:ascii="宋体" w:hAnsi="宋体"/>
          <w:color w:val="auto"/>
          <w:szCs w:val="21"/>
          <w:highlight w:val="none"/>
        </w:rPr>
        <w:t>：</w:t>
      </w:r>
      <w:r>
        <w:rPr>
          <w:rFonts w:hint="eastAsia" w:ascii="宋体" w:hAnsi="宋体"/>
          <w:color w:val="auto"/>
          <w:szCs w:val="21"/>
          <w:highlight w:val="none"/>
        </w:rPr>
        <w:t>分供</w:t>
      </w:r>
      <w:r>
        <w:rPr>
          <w:rFonts w:ascii="宋体" w:hAnsi="宋体"/>
          <w:color w:val="auto"/>
          <w:szCs w:val="21"/>
          <w:highlight w:val="none"/>
        </w:rPr>
        <w:t>廉政合同</w:t>
      </w:r>
    </w:p>
    <w:p>
      <w:pPr>
        <w:spacing w:line="400" w:lineRule="exact"/>
        <w:ind w:firstLine="420" w:firstLineChars="200"/>
        <w:rPr>
          <w:rFonts w:ascii="宋体" w:hAnsi="宋体"/>
          <w:color w:val="auto"/>
          <w:szCs w:val="21"/>
          <w:highlight w:val="none"/>
        </w:rPr>
      </w:pPr>
    </w:p>
    <w:p>
      <w:pPr>
        <w:pStyle w:val="13"/>
        <w:ind w:firstLine="480"/>
        <w:rPr>
          <w:color w:val="auto"/>
          <w:highlight w:val="none"/>
        </w:rPr>
      </w:pPr>
    </w:p>
    <w:p>
      <w:pPr>
        <w:pStyle w:val="13"/>
        <w:ind w:firstLine="480"/>
        <w:rPr>
          <w:color w:val="auto"/>
          <w:szCs w:val="21"/>
          <w:highlight w:val="none"/>
        </w:rPr>
      </w:pPr>
    </w:p>
    <w:p>
      <w:pPr>
        <w:pStyle w:val="13"/>
        <w:ind w:firstLine="480"/>
        <w:rPr>
          <w:color w:val="auto"/>
          <w:szCs w:val="21"/>
          <w:highlight w:val="none"/>
        </w:rPr>
      </w:pPr>
    </w:p>
    <w:p>
      <w:pPr>
        <w:pStyle w:val="13"/>
        <w:ind w:firstLine="480"/>
        <w:rPr>
          <w:color w:val="auto"/>
          <w:szCs w:val="21"/>
          <w:highlight w:val="none"/>
        </w:rPr>
      </w:pPr>
    </w:p>
    <w:p>
      <w:pPr>
        <w:pStyle w:val="13"/>
        <w:ind w:firstLine="480"/>
        <w:rPr>
          <w:color w:val="auto"/>
          <w:szCs w:val="21"/>
          <w:highlight w:val="none"/>
        </w:rPr>
      </w:pPr>
    </w:p>
    <w:p>
      <w:pPr>
        <w:pStyle w:val="13"/>
        <w:ind w:firstLine="480"/>
        <w:rPr>
          <w:color w:val="auto"/>
          <w:szCs w:val="21"/>
          <w:highlight w:val="none"/>
        </w:rPr>
      </w:pPr>
    </w:p>
    <w:p>
      <w:pPr>
        <w:pStyle w:val="13"/>
        <w:ind w:firstLine="480"/>
        <w:rPr>
          <w:color w:val="auto"/>
          <w:szCs w:val="21"/>
          <w:highlight w:val="none"/>
        </w:rPr>
      </w:pPr>
    </w:p>
    <w:p>
      <w:pPr>
        <w:pStyle w:val="13"/>
        <w:ind w:firstLine="480"/>
        <w:rPr>
          <w:color w:val="auto"/>
          <w:szCs w:val="21"/>
          <w:highlight w:val="none"/>
        </w:rPr>
      </w:pPr>
    </w:p>
    <w:p>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pPr>
        <w:spacing w:line="360" w:lineRule="exact"/>
        <w:jc w:val="center"/>
        <w:rPr>
          <w:rFonts w:ascii="宋体" w:hAnsi="宋体"/>
          <w:b/>
          <w:color w:val="auto"/>
          <w:sz w:val="30"/>
          <w:szCs w:val="30"/>
          <w:highlight w:val="none"/>
        </w:rPr>
      </w:pPr>
      <w:r>
        <w:rPr>
          <w:rFonts w:hint="eastAsia" w:ascii="宋体" w:hAnsi="宋体"/>
          <w:b/>
          <w:color w:val="auto"/>
          <w:sz w:val="30"/>
          <w:szCs w:val="30"/>
          <w:highlight w:val="none"/>
        </w:rPr>
        <w:t>第三部分 专用合同条款</w:t>
      </w:r>
    </w:p>
    <w:p>
      <w:pPr>
        <w:tabs>
          <w:tab w:val="left" w:pos="425"/>
        </w:tabs>
        <w:spacing w:line="400" w:lineRule="exact"/>
        <w:ind w:left="420"/>
        <w:jc w:val="left"/>
        <w:rPr>
          <w:rFonts w:ascii="宋体" w:hAnsi="宋体"/>
          <w:b/>
          <w:color w:val="auto"/>
          <w:szCs w:val="21"/>
          <w:highlight w:val="none"/>
        </w:rPr>
      </w:pPr>
      <w:r>
        <w:rPr>
          <w:rFonts w:hint="eastAsia" w:ascii="宋体" w:hAnsi="宋体"/>
          <w:b/>
          <w:color w:val="auto"/>
          <w:szCs w:val="21"/>
          <w:highlight w:val="none"/>
        </w:rPr>
        <w:t>1.适用法律法规</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u w:val="single"/>
        </w:rPr>
        <w:t>见通用合同条款。</w:t>
      </w:r>
    </w:p>
    <w:p>
      <w:pPr>
        <w:tabs>
          <w:tab w:val="left" w:pos="425"/>
        </w:tabs>
        <w:spacing w:line="400" w:lineRule="exact"/>
        <w:ind w:left="420" w:leftChars="200"/>
        <w:jc w:val="left"/>
        <w:rPr>
          <w:rFonts w:ascii="宋体" w:hAnsi="宋体"/>
          <w:b/>
          <w:color w:val="auto"/>
          <w:szCs w:val="21"/>
          <w:highlight w:val="none"/>
        </w:rPr>
      </w:pPr>
      <w:r>
        <w:rPr>
          <w:rFonts w:hint="eastAsia" w:ascii="宋体" w:hAnsi="宋体"/>
          <w:b/>
          <w:color w:val="auto"/>
          <w:szCs w:val="21"/>
          <w:highlight w:val="none"/>
        </w:rPr>
        <w:t>2.合同文件组成及解释顺序</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见通用合同条款。</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质量要求及技术标准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见通用合同条款。</w:t>
      </w:r>
    </w:p>
    <w:p>
      <w:pPr>
        <w:spacing w:line="400" w:lineRule="exact"/>
        <w:ind w:firstLine="420" w:firstLineChars="200"/>
        <w:rPr>
          <w:rFonts w:ascii="宋体" w:hAnsi="宋体"/>
          <w:color w:val="auto"/>
          <w:szCs w:val="21"/>
          <w:highlight w:val="none"/>
          <w:u w:val="single"/>
        </w:rPr>
      </w:pPr>
      <w:r>
        <w:rPr>
          <w:rFonts w:ascii="宋体" w:hAnsi="宋体"/>
          <w:color w:val="auto"/>
          <w:szCs w:val="21"/>
          <w:highlight w:val="none"/>
        </w:rPr>
        <w:t>3.2</w:t>
      </w:r>
      <w:r>
        <w:rPr>
          <w:rFonts w:hint="eastAsia" w:ascii="宋体" w:hAnsi="宋体"/>
          <w:color w:val="auto"/>
          <w:szCs w:val="21"/>
          <w:highlight w:val="none"/>
        </w:rPr>
        <w:t>物资质量要求及技术标准。</w:t>
      </w:r>
    </w:p>
    <w:p>
      <w:pPr>
        <w:pStyle w:val="6"/>
        <w:spacing w:after="120" w:line="400" w:lineRule="exact"/>
        <w:ind w:firstLineChars="200"/>
        <w:jc w:val="both"/>
        <w:rPr>
          <w:rFonts w:hint="eastAsia" w:ascii="宋体" w:hAnsi="宋体" w:eastAsia="宋体" w:cs="Times New Roman"/>
          <w:snapToGrid/>
          <w:color w:val="auto"/>
          <w:kern w:val="2"/>
          <w:sz w:val="21"/>
          <w:szCs w:val="21"/>
          <w:highlight w:val="none"/>
        </w:rPr>
      </w:pPr>
      <w:r>
        <w:rPr>
          <w:rFonts w:hint="eastAsia" w:ascii="宋体" w:hAnsi="宋体" w:eastAsia="宋体" w:cs="Times New Roman"/>
          <w:snapToGrid/>
          <w:color w:val="auto"/>
          <w:kern w:val="2"/>
          <w:sz w:val="21"/>
          <w:szCs w:val="21"/>
          <w:highlight w:val="none"/>
        </w:rPr>
        <w:t>3.2.3.具体质量要求：</w:t>
      </w:r>
    </w:p>
    <w:p>
      <w:pPr>
        <w:keepNext w:val="0"/>
        <w:keepLines w:val="0"/>
        <w:pageBreakBefore w:val="0"/>
        <w:kinsoku/>
        <w:wordWrap/>
        <w:autoSpaceDE/>
        <w:autoSpaceDN/>
        <w:bidi w:val="0"/>
        <w:spacing w:line="360" w:lineRule="auto"/>
        <w:ind w:left="0" w:leftChars="0" w:firstLine="420" w:firstLineChars="200"/>
        <w:rPr>
          <w:rFonts w:hint="eastAsia" w:ascii="宋体" w:hAnsi="宋体" w:eastAsia="宋体" w:cs="宋体"/>
          <w:snapToGrid/>
          <w:color w:val="auto"/>
          <w:kern w:val="2"/>
          <w:sz w:val="21"/>
          <w:szCs w:val="21"/>
          <w:highlight w:val="none"/>
          <w:lang w:val="en-US" w:eastAsia="zh-CN" w:bidi="ar-SA"/>
        </w:rPr>
      </w:pPr>
      <w:r>
        <w:rPr>
          <w:rFonts w:hint="eastAsia" w:ascii="宋体" w:hAnsi="宋体" w:cs="宋体"/>
          <w:snapToGrid/>
          <w:color w:val="auto"/>
          <w:kern w:val="2"/>
          <w:sz w:val="21"/>
          <w:szCs w:val="21"/>
          <w:highlight w:val="none"/>
          <w:lang w:val="en-US" w:eastAsia="zh-CN" w:bidi="ar-SA"/>
        </w:rPr>
        <w:t>石灰</w:t>
      </w:r>
      <w:r>
        <w:rPr>
          <w:rFonts w:hint="eastAsia" w:ascii="宋体" w:hAnsi="宋体" w:eastAsia="宋体" w:cs="宋体"/>
          <w:snapToGrid/>
          <w:color w:val="auto"/>
          <w:kern w:val="2"/>
          <w:sz w:val="21"/>
          <w:szCs w:val="21"/>
          <w:highlight w:val="none"/>
          <w:lang w:val="en-US" w:eastAsia="zh-CN" w:bidi="ar-SA"/>
        </w:rPr>
        <w:t>各项指标均须满足国家最新标准。</w:t>
      </w:r>
    </w:p>
    <w:p>
      <w:pPr>
        <w:keepNext w:val="0"/>
        <w:keepLines w:val="0"/>
        <w:pageBreakBefore w:val="0"/>
        <w:kinsoku/>
        <w:wordWrap/>
        <w:autoSpaceDE/>
        <w:autoSpaceDN/>
        <w:bidi w:val="0"/>
        <w:snapToGrid w:val="0"/>
        <w:spacing w:line="360" w:lineRule="auto"/>
        <w:ind w:left="0" w:leftChars="0" w:firstLine="420" w:firstLineChars="20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应承诺严格执行招标人随时提出的计划要求，并对招标人对质量配合提出的问题及时予以解决。</w:t>
      </w:r>
    </w:p>
    <w:p>
      <w:pPr>
        <w:pStyle w:val="18"/>
        <w:keepNext w:val="0"/>
        <w:keepLines w:val="0"/>
        <w:pageBreakBefore w:val="0"/>
        <w:numPr>
          <w:ilvl w:val="0"/>
          <w:numId w:val="0"/>
        </w:numPr>
        <w:kinsoku/>
        <w:wordWrap/>
        <w:autoSpaceDE/>
        <w:autoSpaceDN/>
        <w:bidi w:val="0"/>
        <w:adjustRightInd w:val="0"/>
        <w:snapToGrid w:val="0"/>
        <w:spacing w:beforeLines="0" w:line="360" w:lineRule="auto"/>
        <w:ind w:firstLine="420" w:firstLineChars="200"/>
        <w:jc w:val="left"/>
        <w:rPr>
          <w:rFonts w:hint="eastAsia" w:ascii="宋体" w:hAnsi="宋体" w:eastAsia="宋体" w:cs="宋体"/>
          <w:snapToGrid/>
          <w:color w:val="auto"/>
          <w:kern w:val="2"/>
          <w:sz w:val="21"/>
          <w:szCs w:val="21"/>
          <w:highlight w:val="none"/>
          <w:lang w:val="en-US" w:eastAsia="zh-CN" w:bidi="ar-SA"/>
        </w:rPr>
      </w:pPr>
      <w:r>
        <w:rPr>
          <w:rFonts w:hint="eastAsia" w:cs="宋体"/>
          <w:snapToGrid/>
          <w:color w:val="auto"/>
          <w:kern w:val="2"/>
          <w:sz w:val="21"/>
          <w:szCs w:val="21"/>
          <w:highlight w:val="none"/>
          <w:lang w:val="en-US" w:eastAsia="zh-CN" w:bidi="ar-SA"/>
        </w:rPr>
        <w:t>石灰</w:t>
      </w:r>
      <w:r>
        <w:rPr>
          <w:rFonts w:hint="eastAsia" w:ascii="宋体" w:hAnsi="宋体" w:eastAsia="宋体" w:cs="宋体"/>
          <w:snapToGrid/>
          <w:color w:val="auto"/>
          <w:kern w:val="2"/>
          <w:sz w:val="21"/>
          <w:szCs w:val="21"/>
          <w:highlight w:val="none"/>
          <w:lang w:val="en-US" w:eastAsia="zh-CN" w:bidi="ar-SA"/>
        </w:rPr>
        <w:t>技术规范清单：</w:t>
      </w:r>
    </w:p>
    <w:p>
      <w:pPr>
        <w:pStyle w:val="18"/>
        <w:keepNext w:val="0"/>
        <w:keepLines w:val="0"/>
        <w:pageBreakBefore w:val="0"/>
        <w:numPr>
          <w:ilvl w:val="0"/>
          <w:numId w:val="0"/>
        </w:numPr>
        <w:kinsoku/>
        <w:wordWrap/>
        <w:autoSpaceDE/>
        <w:autoSpaceDN/>
        <w:bidi w:val="0"/>
        <w:adjustRightInd w:val="0"/>
        <w:snapToGrid w:val="0"/>
        <w:spacing w:beforeLines="0" w:line="360" w:lineRule="auto"/>
        <w:ind w:left="582" w:leftChars="199" w:hanging="165" w:hangingChars="79"/>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国家现行设计、施工及验收规范、规程、标准的规定。</w:t>
      </w:r>
    </w:p>
    <w:p>
      <w:pPr>
        <w:keepNext w:val="0"/>
        <w:keepLines w:val="0"/>
        <w:pageBreakBefore w:val="0"/>
        <w:widowControl/>
        <w:kinsoku/>
        <w:wordWrap/>
        <w:autoSpaceDE/>
        <w:autoSpaceDN/>
        <w:bidi w:val="0"/>
        <w:spacing w:line="360" w:lineRule="auto"/>
        <w:ind w:left="0" w:leftChars="0" w:firstLine="420" w:firstLineChars="200"/>
        <w:jc w:val="left"/>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本项目设计图纸。</w:t>
      </w:r>
    </w:p>
    <w:p>
      <w:pPr>
        <w:pStyle w:val="6"/>
        <w:keepNext w:val="0"/>
        <w:keepLines w:val="0"/>
        <w:pageBreakBefore w:val="0"/>
        <w:kinsoku/>
        <w:wordWrap/>
        <w:autoSpaceDE/>
        <w:autoSpaceDN/>
        <w:bidi w:val="0"/>
        <w:spacing w:line="360" w:lineRule="auto"/>
        <w:ind w:left="417" w:leftChars="199" w:firstLine="39" w:firstLineChars="19"/>
        <w:rPr>
          <w:rFonts w:hint="eastAsia" w:ascii="宋体" w:hAnsi="宋体" w:eastAsia="宋体" w:cs="Times New Roman"/>
          <w:snapToGrid/>
          <w:color w:val="auto"/>
          <w:kern w:val="2"/>
          <w:sz w:val="21"/>
          <w:szCs w:val="21"/>
          <w:highlight w:val="none"/>
        </w:rPr>
      </w:pPr>
      <w:r>
        <w:rPr>
          <w:rFonts w:hint="eastAsia" w:ascii="宋体" w:hAnsi="宋体" w:eastAsia="宋体" w:cs="宋体"/>
          <w:snapToGrid/>
          <w:color w:val="auto"/>
          <w:kern w:val="2"/>
          <w:sz w:val="21"/>
          <w:szCs w:val="21"/>
          <w:highlight w:val="none"/>
          <w:lang w:val="en-US" w:eastAsia="zh-CN" w:bidi="ar-SA"/>
        </w:rPr>
        <w:t>其他由业主或监理工程师指定的工程规范和技术说明。</w:t>
      </w:r>
    </w:p>
    <w:p>
      <w:pPr>
        <w:pStyle w:val="6"/>
        <w:spacing w:after="120" w:line="400" w:lineRule="exact"/>
        <w:ind w:firstLineChars="200"/>
        <w:rPr>
          <w:rFonts w:ascii="宋体" w:hAnsi="宋体" w:eastAsia="宋体" w:cs="Times New Roman"/>
          <w:snapToGrid/>
          <w:color w:val="auto"/>
          <w:kern w:val="2"/>
          <w:sz w:val="21"/>
          <w:szCs w:val="21"/>
          <w:highlight w:val="none"/>
        </w:rPr>
      </w:pPr>
      <w:r>
        <w:rPr>
          <w:rFonts w:hint="eastAsia" w:ascii="宋体" w:hAnsi="宋体" w:eastAsia="宋体" w:cs="Times New Roman"/>
          <w:snapToGrid/>
          <w:color w:val="auto"/>
          <w:kern w:val="2"/>
          <w:sz w:val="21"/>
          <w:szCs w:val="21"/>
          <w:highlight w:val="none"/>
        </w:rPr>
        <w:t xml:space="preserve">3.2.3.1 乙方所供材料必须具备材质证明、出厂合格证，各种证件以及技术性能合格后方可供货。 </w:t>
      </w:r>
    </w:p>
    <w:p>
      <w:pPr>
        <w:pStyle w:val="6"/>
        <w:spacing w:after="120" w:line="400" w:lineRule="exact"/>
        <w:ind w:firstLineChars="200"/>
        <w:rPr>
          <w:rFonts w:ascii="宋体" w:hAnsi="宋体" w:eastAsia="宋体" w:cs="Times New Roman"/>
          <w:snapToGrid/>
          <w:color w:val="auto"/>
          <w:kern w:val="2"/>
          <w:sz w:val="21"/>
          <w:szCs w:val="21"/>
          <w:highlight w:val="none"/>
        </w:rPr>
      </w:pPr>
      <w:r>
        <w:rPr>
          <w:rFonts w:hint="eastAsia" w:ascii="宋体" w:hAnsi="宋体" w:eastAsia="宋体" w:cs="Times New Roman"/>
          <w:snapToGrid/>
          <w:color w:val="auto"/>
          <w:kern w:val="2"/>
          <w:sz w:val="21"/>
          <w:szCs w:val="21"/>
          <w:highlight w:val="none"/>
        </w:rPr>
        <w:t>3.2.3.2 乙方供应材料的质量必须完全符合国家有关技术标准、规范的要求、达到乙方提供的</w:t>
      </w:r>
      <w:r>
        <w:rPr>
          <w:rFonts w:hint="eastAsia" w:ascii="宋体" w:hAnsi="宋体" w:eastAsia="宋体" w:cs="Times New Roman"/>
          <w:snapToGrid/>
          <w:color w:val="auto"/>
          <w:kern w:val="2"/>
          <w:sz w:val="21"/>
          <w:szCs w:val="21"/>
          <w:highlight w:val="none"/>
          <w:lang w:eastAsia="zh-CN"/>
        </w:rPr>
        <w:t>石灰</w:t>
      </w:r>
      <w:r>
        <w:rPr>
          <w:rFonts w:hint="eastAsia" w:ascii="宋体" w:hAnsi="宋体" w:eastAsia="宋体" w:cs="Times New Roman"/>
          <w:snapToGrid/>
          <w:color w:val="auto"/>
          <w:kern w:val="2"/>
          <w:sz w:val="21"/>
          <w:szCs w:val="21"/>
          <w:highlight w:val="none"/>
        </w:rPr>
        <w:t>资料所述性能，并满足甲方制定的有关技术方案、措施的要求。不合格物资无条件退货，乙方承担所有费用。</w:t>
      </w:r>
    </w:p>
    <w:p>
      <w:pPr>
        <w:pStyle w:val="6"/>
        <w:spacing w:after="120" w:line="400" w:lineRule="exact"/>
        <w:ind w:firstLineChars="200"/>
        <w:jc w:val="both"/>
        <w:rPr>
          <w:color w:val="auto"/>
          <w:highlight w:val="none"/>
        </w:rPr>
      </w:pPr>
      <w:r>
        <w:rPr>
          <w:rFonts w:hint="eastAsia" w:ascii="宋体" w:hAnsi="宋体" w:eastAsia="宋体" w:cs="Times New Roman"/>
          <w:snapToGrid/>
          <w:color w:val="auto"/>
          <w:kern w:val="2"/>
          <w:sz w:val="21"/>
          <w:szCs w:val="21"/>
          <w:highlight w:val="none"/>
        </w:rPr>
        <w:t>3.2.3.3 乙方须担保此等材料在工程所在地任何工作情况或环境下其质量、性能均令甲方满意。乙方必须承担以劣充优，遗留及掩盖隐患所造成的经济损失和法律责任。</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3.3</w:t>
      </w:r>
      <w:r>
        <w:rPr>
          <w:rFonts w:hint="eastAsia" w:ascii="宋体" w:hAnsi="宋体"/>
          <w:color w:val="auto"/>
          <w:szCs w:val="21"/>
          <w:highlight w:val="none"/>
        </w:rPr>
        <w:t>其他说明</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物资计量验收方式</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见通用合同条款。</w:t>
      </w:r>
    </w:p>
    <w:p>
      <w:pPr>
        <w:spacing w:line="400" w:lineRule="exact"/>
        <w:ind w:firstLine="420" w:firstLineChars="200"/>
        <w:rPr>
          <w:rFonts w:ascii="宋体" w:hAnsi="宋体"/>
          <w:color w:val="auto"/>
          <w:szCs w:val="21"/>
          <w:highlight w:val="none"/>
          <w:u w:val="single"/>
        </w:rPr>
      </w:pPr>
      <w:r>
        <w:rPr>
          <w:rFonts w:ascii="宋体" w:hAnsi="宋体"/>
          <w:color w:val="auto"/>
          <w:szCs w:val="21"/>
          <w:highlight w:val="none"/>
        </w:rPr>
        <w:t>4.2</w:t>
      </w:r>
      <w:r>
        <w:rPr>
          <w:rFonts w:hint="eastAsia" w:ascii="宋体" w:hAnsi="宋体"/>
          <w:color w:val="auto"/>
          <w:szCs w:val="21"/>
          <w:highlight w:val="none"/>
        </w:rPr>
        <w:t>物资验收方式。</w:t>
      </w:r>
    </w:p>
    <w:p>
      <w:pPr>
        <w:pStyle w:val="19"/>
        <w:spacing w:beforeLines="0" w:line="400" w:lineRule="exact"/>
        <w:ind w:firstLine="480"/>
        <w:jc w:val="left"/>
        <w:rPr>
          <w:rFonts w:asciiTheme="minorEastAsia" w:hAnsiTheme="minorEastAsia"/>
          <w:color w:val="auto"/>
          <w:szCs w:val="21"/>
          <w:highlight w:val="none"/>
        </w:rPr>
      </w:pPr>
      <w:r>
        <w:rPr>
          <w:rFonts w:hint="eastAsia" w:asciiTheme="minorEastAsia" w:hAnsiTheme="minorEastAsia"/>
          <w:color w:val="auto"/>
          <w:szCs w:val="21"/>
          <w:highlight w:val="none"/>
        </w:rPr>
        <w:t>4.2.1</w:t>
      </w:r>
      <w:r>
        <w:rPr>
          <w:rFonts w:hint="eastAsia"/>
          <w:color w:val="auto"/>
          <w:highlight w:val="none"/>
          <w:lang w:eastAsia="zh-CN"/>
        </w:rPr>
        <w:t>计量方式：</w:t>
      </w:r>
      <w:r>
        <w:rPr>
          <w:rFonts w:hint="eastAsia" w:ascii="宋体" w:hAnsi="宋体" w:eastAsia="宋体" w:cs="宋体"/>
          <w:color w:val="auto"/>
          <w:sz w:val="21"/>
          <w:szCs w:val="21"/>
        </w:rPr>
        <w:t>过磅计量。结算数量以验收合格后买方书面确认的过磅计重数量为准，实际供货数量有效凭证</w:t>
      </w:r>
      <w:r>
        <w:rPr>
          <w:rFonts w:hint="eastAsia" w:ascii="宋体" w:hAnsi="宋体" w:eastAsia="宋体" w:cs="宋体"/>
          <w:color w:val="auto"/>
          <w:sz w:val="21"/>
          <w:szCs w:val="21"/>
          <w:lang w:val="en-US" w:eastAsia="zh-CN"/>
        </w:rPr>
        <w:t>须</w:t>
      </w:r>
      <w:r>
        <w:rPr>
          <w:rFonts w:hint="eastAsia" w:ascii="宋体" w:hAnsi="宋体" w:eastAsia="宋体" w:cs="宋体"/>
          <w:color w:val="auto"/>
          <w:sz w:val="21"/>
          <w:szCs w:val="21"/>
        </w:rPr>
        <w:t>现场指定验收人员签字。</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4.2.2</w:t>
      </w:r>
      <w:r>
        <w:rPr>
          <w:rFonts w:hint="eastAsia" w:cs="宋体" w:asciiTheme="minorEastAsia" w:hAnsiTheme="minorEastAsia"/>
          <w:color w:val="auto"/>
          <w:szCs w:val="21"/>
          <w:highlight w:val="none"/>
          <w:lang w:eastAsia="zh-CN"/>
        </w:rPr>
        <w:t>石灰</w:t>
      </w:r>
      <w:r>
        <w:rPr>
          <w:rFonts w:hint="eastAsia" w:cs="宋体" w:asciiTheme="minorEastAsia" w:hAnsiTheme="minorEastAsia"/>
          <w:color w:val="auto"/>
          <w:szCs w:val="21"/>
          <w:highlight w:val="none"/>
        </w:rPr>
        <w:t>进场时，按合同约定技术标准及质量要求进行验收。乙方提供</w:t>
      </w:r>
      <w:r>
        <w:rPr>
          <w:rFonts w:hint="eastAsia" w:cs="宋体" w:asciiTheme="minorEastAsia" w:hAnsiTheme="minorEastAsia"/>
          <w:color w:val="auto"/>
          <w:szCs w:val="21"/>
          <w:highlight w:val="none"/>
          <w:lang w:eastAsia="zh-CN"/>
        </w:rPr>
        <w:t>石灰</w:t>
      </w:r>
      <w:r>
        <w:rPr>
          <w:rFonts w:hint="eastAsia" w:cs="宋体" w:asciiTheme="minorEastAsia" w:hAnsiTheme="minorEastAsia"/>
          <w:color w:val="auto"/>
          <w:szCs w:val="21"/>
          <w:highlight w:val="none"/>
        </w:rPr>
        <w:t>必须符合本合同技术标准及质量要求，如不符合，乙方应无条件立即更换符合本合同要求的</w:t>
      </w:r>
      <w:r>
        <w:rPr>
          <w:rFonts w:hint="eastAsia" w:cs="宋体" w:asciiTheme="minorEastAsia" w:hAnsiTheme="minorEastAsia"/>
          <w:color w:val="auto"/>
          <w:szCs w:val="21"/>
          <w:highlight w:val="none"/>
          <w:lang w:eastAsia="zh-CN"/>
        </w:rPr>
        <w:t>石灰</w:t>
      </w:r>
      <w:r>
        <w:rPr>
          <w:rFonts w:hint="eastAsia" w:cs="宋体" w:asciiTheme="minorEastAsia" w:hAnsiTheme="minorEastAsia"/>
          <w:color w:val="auto"/>
          <w:szCs w:val="21"/>
          <w:highlight w:val="none"/>
        </w:rPr>
        <w:t>给甲方，本合同</w:t>
      </w:r>
      <w:r>
        <w:rPr>
          <w:rFonts w:hint="eastAsia" w:cs="宋体" w:asciiTheme="minorEastAsia" w:hAnsiTheme="minorEastAsia"/>
          <w:color w:val="auto"/>
          <w:szCs w:val="21"/>
          <w:highlight w:val="none"/>
          <w:lang w:eastAsia="zh-CN"/>
        </w:rPr>
        <w:t>石灰</w:t>
      </w:r>
      <w:r>
        <w:rPr>
          <w:rFonts w:hint="eastAsia" w:cs="宋体" w:asciiTheme="minorEastAsia" w:hAnsiTheme="minorEastAsia"/>
          <w:color w:val="auto"/>
          <w:szCs w:val="21"/>
          <w:highlight w:val="none"/>
        </w:rPr>
        <w:t>交货日期不变。</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4.2.3进场检验</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4.2.3.1甲方有权对到货的产品进行各种检验,乙方必须配合；如检验不合格的检验费用由乙方承担。</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4.2.3.2乙方应在产品进场至少24小时前通知甲方。</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4.2.3.3经甲方验收不合格的产品,乙方负责退货,并承担由此造成的甲方损失。</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4.2.3.4乙方必须在交货前对产品的质量、规格做认真的检验,并随货配备各种检测报告、合格证等资料。产品到场后,如发现其规格、性能与合同及甲方发出的定货单上的要求不符、质量低劣或损坏等情况时,应按以下情况处理:</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产品的种类、规格、质量与甲方要求不符,甲方拒绝接收。由乙方在24小时内自费运出储存地点，并重新供货,保证工程施工的需要。</w:t>
      </w:r>
    </w:p>
    <w:p>
      <w:pPr>
        <w:tabs>
          <w:tab w:val="left" w:pos="675"/>
        </w:tabs>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供应时间晚于甲方规定日期, 乙方应承担因此造成甲方延误工期的损失。</w:t>
      </w:r>
    </w:p>
    <w:p>
      <w:pPr>
        <w:spacing w:line="40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乙</w:t>
      </w:r>
      <w:r>
        <w:rPr>
          <w:rFonts w:hint="eastAsia" w:cs="宋体" w:asciiTheme="minorEastAsia" w:hAnsiTheme="minorEastAsia"/>
          <w:color w:val="auto"/>
          <w:szCs w:val="21"/>
          <w:highlight w:val="none"/>
        </w:rPr>
        <w:t>方产品经甲方验收后，又发现产品的规格型号、质量、等级与甲方要求不符时，乙方仍应承担外运、重新供货的费用，并赔偿因此造成甲方的损失。</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其他说明</w:t>
      </w:r>
    </w:p>
    <w:p>
      <w:pPr>
        <w:pStyle w:val="19"/>
        <w:spacing w:beforeLines="0" w:line="400" w:lineRule="exact"/>
        <w:jc w:val="left"/>
        <w:rPr>
          <w:rFonts w:cs="仿宋"/>
          <w:color w:val="auto"/>
          <w:highlight w:val="none"/>
          <w:u w:val="single"/>
        </w:rPr>
      </w:pPr>
      <w:r>
        <w:rPr>
          <w:rFonts w:hint="eastAsia" w:cs="仿宋"/>
          <w:color w:val="auto"/>
          <w:highlight w:val="none"/>
          <w:u w:val="single"/>
        </w:rPr>
        <w:t>其他见通用合同条款。</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包装、运输、卸货</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见通用合同条款。</w:t>
      </w:r>
    </w:p>
    <w:p>
      <w:pPr>
        <w:numPr>
          <w:ilvl w:val="0"/>
          <w:numId w:val="5"/>
        </w:numPr>
        <w:tabs>
          <w:tab w:val="left" w:pos="765"/>
        </w:tabs>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环境﹑安全保护原则</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其他见通用合同条款。</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甲方的责任和义务</w:t>
      </w:r>
    </w:p>
    <w:p>
      <w:pPr>
        <w:pStyle w:val="13"/>
        <w:rPr>
          <w:color w:val="auto"/>
          <w:highlight w:val="none"/>
        </w:rPr>
      </w:pPr>
      <w:r>
        <w:rPr>
          <w:rFonts w:hint="eastAsia" w:cs="仿宋"/>
          <w:color w:val="auto"/>
          <w:sz w:val="21"/>
          <w:szCs w:val="21"/>
          <w:highlight w:val="none"/>
          <w:u w:val="single"/>
        </w:rPr>
        <w:t>其他见通用合同条款。</w:t>
      </w:r>
    </w:p>
    <w:p>
      <w:pPr>
        <w:tabs>
          <w:tab w:val="left" w:pos="765"/>
        </w:tabs>
        <w:spacing w:line="400" w:lineRule="exact"/>
        <w:ind w:firstLine="420" w:firstLineChars="200"/>
        <w:jc w:val="left"/>
        <w:rPr>
          <w:rFonts w:ascii="宋体" w:hAnsi="宋体"/>
          <w:b/>
          <w:color w:val="auto"/>
          <w:szCs w:val="21"/>
          <w:highlight w:val="none"/>
        </w:rPr>
      </w:pPr>
      <w:r>
        <w:rPr>
          <w:rFonts w:ascii="宋体" w:hAnsi="宋体"/>
          <w:b/>
          <w:color w:val="auto"/>
          <w:szCs w:val="21"/>
          <w:highlight w:val="none"/>
        </w:rPr>
        <w:t>8.</w:t>
      </w:r>
      <w:r>
        <w:rPr>
          <w:rFonts w:hint="eastAsia" w:ascii="宋体" w:hAnsi="宋体"/>
          <w:b/>
          <w:color w:val="auto"/>
          <w:szCs w:val="21"/>
          <w:highlight w:val="none"/>
        </w:rPr>
        <w:t>乙方的责任和义务</w:t>
      </w:r>
    </w:p>
    <w:p>
      <w:pPr>
        <w:pStyle w:val="13"/>
        <w:rPr>
          <w:color w:val="auto"/>
          <w:highlight w:val="none"/>
        </w:rPr>
      </w:pPr>
      <w:r>
        <w:rPr>
          <w:rFonts w:hint="eastAsia" w:cs="仿宋"/>
          <w:color w:val="auto"/>
          <w:sz w:val="21"/>
          <w:szCs w:val="21"/>
          <w:highlight w:val="none"/>
          <w:u w:val="single"/>
        </w:rPr>
        <w:t>其他见通用合同条款。</w:t>
      </w:r>
    </w:p>
    <w:p>
      <w:pPr>
        <w:spacing w:line="400" w:lineRule="exact"/>
        <w:ind w:firstLine="420" w:firstLineChars="200"/>
        <w:rPr>
          <w:rFonts w:ascii="宋体" w:hAnsi="宋体"/>
          <w:b/>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违约责任</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见通用合同条款。</w:t>
      </w:r>
    </w:p>
    <w:p>
      <w:pPr>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0.</w:t>
      </w:r>
      <w:r>
        <w:rPr>
          <w:rFonts w:hint="eastAsia" w:ascii="宋体" w:hAnsi="宋体"/>
          <w:b/>
          <w:color w:val="auto"/>
          <w:szCs w:val="21"/>
          <w:highlight w:val="none"/>
        </w:rPr>
        <w:t>通知</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10.2条款修改为乙方通讯地址：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0" w:firstLineChars="200"/>
        <w:rPr>
          <w:color w:val="auto"/>
          <w:highlight w:val="none"/>
        </w:rPr>
      </w:pPr>
      <w:r>
        <w:rPr>
          <w:rFonts w:hint="eastAsia" w:ascii="宋体" w:hAnsi="宋体"/>
          <w:color w:val="auto"/>
          <w:szCs w:val="21"/>
          <w:highlight w:val="none"/>
          <w:u w:val="single"/>
        </w:rPr>
        <w:t>其他见通用合同条款。</w:t>
      </w:r>
    </w:p>
    <w:p>
      <w:pPr>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1.</w:t>
      </w:r>
      <w:r>
        <w:rPr>
          <w:rFonts w:hint="eastAsia" w:ascii="宋体" w:hAnsi="宋体"/>
          <w:b/>
          <w:color w:val="auto"/>
          <w:szCs w:val="21"/>
          <w:highlight w:val="none"/>
        </w:rPr>
        <w:t>争议的处理</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见通用合同条款。</w:t>
      </w:r>
    </w:p>
    <w:p>
      <w:pPr>
        <w:tabs>
          <w:tab w:val="left" w:pos="810"/>
        </w:tabs>
        <w:spacing w:line="400" w:lineRule="exact"/>
        <w:ind w:firstLine="420" w:firstLineChars="200"/>
        <w:jc w:val="left"/>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2.</w:t>
      </w:r>
      <w:r>
        <w:rPr>
          <w:rFonts w:hint="eastAsia" w:ascii="宋体" w:hAnsi="宋体"/>
          <w:b/>
          <w:color w:val="auto"/>
          <w:szCs w:val="21"/>
          <w:highlight w:val="none"/>
        </w:rPr>
        <w:t xml:space="preserve">不可抗力 </w:t>
      </w:r>
    </w:p>
    <w:p>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见通用合同条款。</w:t>
      </w:r>
    </w:p>
    <w:p>
      <w:pPr>
        <w:numPr>
          <w:ilvl w:val="0"/>
          <w:numId w:val="6"/>
        </w:num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其他约定事项</w:t>
      </w:r>
    </w:p>
    <w:p>
      <w:pPr>
        <w:spacing w:line="400" w:lineRule="exact"/>
        <w:ind w:firstLine="420" w:firstLineChars="200"/>
        <w:rPr>
          <w:rFonts w:hint="eastAsia" w:ascii="宋体" w:hAnsi="宋体"/>
          <w:color w:val="auto"/>
          <w:szCs w:val="21"/>
          <w:highlight w:val="none"/>
          <w:u w:val="single"/>
          <w:lang w:eastAsia="zh-CN"/>
        </w:rPr>
      </w:pPr>
      <w:r>
        <w:rPr>
          <w:rFonts w:hint="eastAsia" w:ascii="宋体" w:hAnsi="宋体"/>
          <w:color w:val="auto"/>
          <w:szCs w:val="21"/>
          <w:highlight w:val="none"/>
          <w:u w:val="single"/>
        </w:rPr>
        <w:t>见通用合同条款</w:t>
      </w:r>
      <w:r>
        <w:rPr>
          <w:rFonts w:hint="eastAsia" w:ascii="宋体" w:hAnsi="宋体"/>
          <w:color w:val="auto"/>
          <w:szCs w:val="21"/>
          <w:highlight w:val="none"/>
          <w:u w:val="single"/>
          <w:lang w:eastAsia="zh-CN"/>
        </w:rPr>
        <w:t>。</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w:t>
      </w:r>
      <w:r>
        <w:rPr>
          <w:rFonts w:ascii="宋体" w:hAnsi="宋体" w:cs="宋体"/>
          <w:color w:val="auto"/>
          <w:sz w:val="21"/>
          <w:szCs w:val="21"/>
          <w:highlight w:val="none"/>
        </w:rPr>
        <w:t>质量保修期责任</w:t>
      </w:r>
      <w:r>
        <w:rPr>
          <w:rFonts w:hint="eastAsia" w:ascii="宋体" w:hAnsi="宋体" w:cs="宋体"/>
          <w:color w:val="auto"/>
          <w:sz w:val="21"/>
          <w:szCs w:val="21"/>
          <w:highlight w:val="none"/>
        </w:rPr>
        <w:t>如下</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13.4.1</w:t>
      </w:r>
      <w:r>
        <w:rPr>
          <w:rFonts w:ascii="宋体" w:hAnsi="宋体" w:cs="宋体"/>
          <w:color w:val="auto"/>
          <w:sz w:val="21"/>
          <w:szCs w:val="21"/>
          <w:highlight w:val="none"/>
        </w:rPr>
        <w:t>除本合同另有约定之外，本合同项下货物的质量保修期为</w:t>
      </w:r>
      <w:r>
        <w:rPr>
          <w:rFonts w:hint="eastAsia" w:ascii="宋体" w:hAnsi="宋体" w:cs="宋体"/>
          <w:color w:val="auto"/>
          <w:sz w:val="21"/>
          <w:szCs w:val="21"/>
          <w:highlight w:val="none"/>
        </w:rPr>
        <w:t>24</w:t>
      </w:r>
      <w:r>
        <w:rPr>
          <w:rFonts w:ascii="宋体" w:hAnsi="宋体" w:cs="宋体"/>
          <w:color w:val="auto"/>
          <w:sz w:val="21"/>
          <w:szCs w:val="21"/>
          <w:highlight w:val="none"/>
        </w:rPr>
        <w:t>个月，从</w:t>
      </w:r>
      <w:r>
        <w:rPr>
          <w:rFonts w:hint="eastAsia" w:ascii="宋体" w:hAnsi="宋体"/>
          <w:color w:val="auto"/>
          <w:sz w:val="21"/>
          <w:szCs w:val="21"/>
          <w:highlight w:val="none"/>
        </w:rPr>
        <w:t>乙方所供当批物资经检验全部合格后开始</w:t>
      </w:r>
      <w:r>
        <w:rPr>
          <w:rFonts w:ascii="宋体" w:hAnsi="宋体" w:cs="宋体"/>
          <w:color w:val="auto"/>
          <w:sz w:val="21"/>
          <w:szCs w:val="21"/>
          <w:highlight w:val="none"/>
        </w:rPr>
        <w:t>计算。</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13.4.2</w:t>
      </w:r>
      <w:r>
        <w:rPr>
          <w:rFonts w:ascii="宋体" w:hAnsi="宋体" w:cs="宋体"/>
          <w:color w:val="auto"/>
          <w:sz w:val="21"/>
          <w:szCs w:val="21"/>
          <w:highlight w:val="none"/>
        </w:rPr>
        <w:t>质量保修期期间，乙方应在接到甲方的报修通知后24小时内派专业技术人员到现场解决问题。</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13.4.3</w:t>
      </w:r>
      <w:r>
        <w:rPr>
          <w:rFonts w:ascii="宋体" w:hAnsi="宋体" w:cs="宋体"/>
          <w:color w:val="auto"/>
          <w:sz w:val="21"/>
          <w:szCs w:val="21"/>
          <w:highlight w:val="none"/>
        </w:rPr>
        <w:t>乙方借故推脱、无理由拒绝甲方提出的请求或乙方技术服务不能满足要求的，甲方或业主可以自行解决，并对维修或更换服务以实际发生费用或市场价计取，甲方可从应支付给乙方的合同款项中扣除相应发生的费用。甲方根据合同规定对乙方行使的其他权利不受影响，并保留进一步索赔的权利。维修或更换后的部分货物的质量保修期相应延长6个月。</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13.4.4</w:t>
      </w:r>
      <w:r>
        <w:rPr>
          <w:rFonts w:ascii="宋体" w:hAnsi="宋体" w:cs="宋体"/>
          <w:color w:val="auto"/>
          <w:sz w:val="21"/>
          <w:szCs w:val="21"/>
          <w:highlight w:val="none"/>
        </w:rPr>
        <w:t>质量保修期期间，除使用不当、故意损坏原因导致的货物质量问题外，乙方均应免费上门维修并更换。</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13.4.5</w:t>
      </w:r>
      <w:r>
        <w:rPr>
          <w:rFonts w:ascii="宋体" w:hAnsi="宋体" w:cs="宋体"/>
          <w:color w:val="auto"/>
          <w:sz w:val="21"/>
          <w:szCs w:val="21"/>
          <w:highlight w:val="none"/>
        </w:rPr>
        <w:t>乙方须向甲方提供制造商出具的书面质量保证书、检测报告、产品合格证等（若有其他要求可自行增加），若为进口产品，乙方需在送货同时提供对应货物原厂地证明以及海关报关单。</w:t>
      </w:r>
    </w:p>
    <w:p>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13.4.6</w:t>
      </w:r>
      <w:r>
        <w:rPr>
          <w:rFonts w:ascii="宋体" w:hAnsi="宋体" w:cs="宋体"/>
          <w:color w:val="auto"/>
          <w:sz w:val="21"/>
          <w:szCs w:val="21"/>
          <w:highlight w:val="none"/>
        </w:rPr>
        <w:t>如果业主、监理、设计及甲方任何一方对本合同供货材料的质量有疑问，业主、监理、设计及甲方将随即抽样对该产品进行官方检测和测试，乙方有责任协助甲方完成相关测试工作，并承担相应的费用。</w:t>
      </w:r>
    </w:p>
    <w:p>
      <w:pPr>
        <w:spacing w:line="400" w:lineRule="exact"/>
        <w:ind w:firstLine="420" w:firstLineChars="200"/>
        <w:rPr>
          <w:rFonts w:hint="eastAsia" w:eastAsia="宋体"/>
          <w:color w:val="auto"/>
          <w:sz w:val="21"/>
          <w:szCs w:val="21"/>
          <w:highlight w:val="none"/>
          <w:u w:val="single"/>
          <w:lang w:val="en-US" w:eastAsia="zh-CN"/>
        </w:rPr>
      </w:pPr>
      <w:r>
        <w:rPr>
          <w:rFonts w:hint="eastAsia" w:ascii="宋体" w:hAnsi="宋体" w:cs="宋体"/>
          <w:color w:val="auto"/>
          <w:sz w:val="21"/>
          <w:szCs w:val="21"/>
          <w:highlight w:val="none"/>
        </w:rPr>
        <w:t>13.4.7</w:t>
      </w:r>
      <w:r>
        <w:rPr>
          <w:rFonts w:ascii="宋体" w:hAnsi="宋体" w:cs="宋体"/>
          <w:color w:val="auto"/>
          <w:sz w:val="21"/>
          <w:szCs w:val="21"/>
          <w:highlight w:val="none"/>
        </w:rPr>
        <w:t>质量保修期后仍应承担售后服务。只要甲方或业主提出书面要求，乙方必须在3日内给予书面答复，并提供相应服务，以达到甲方和业主满意，售后服务费用由乙方承担。</w:t>
      </w:r>
    </w:p>
    <w:p>
      <w:pPr>
        <w:numPr>
          <w:ilvl w:val="0"/>
          <w:numId w:val="7"/>
        </w:numPr>
        <w:spacing w:line="360" w:lineRule="exact"/>
        <w:ind w:firstLine="409" w:firstLineChars="195"/>
        <w:jc w:val="left"/>
        <w:rPr>
          <w:rFonts w:ascii="宋体" w:hAnsi="宋体"/>
          <w:b/>
          <w:bCs/>
          <w:color w:val="auto"/>
          <w:sz w:val="21"/>
          <w:szCs w:val="21"/>
          <w:highlight w:val="none"/>
        </w:rPr>
      </w:pPr>
      <w:r>
        <w:rPr>
          <w:rFonts w:hint="eastAsia" w:ascii="宋体" w:hAnsi="宋体"/>
          <w:b/>
          <w:color w:val="auto"/>
          <w:sz w:val="21"/>
          <w:szCs w:val="21"/>
          <w:highlight w:val="none"/>
        </w:rPr>
        <w:t>附件：</w:t>
      </w:r>
      <w:r>
        <w:rPr>
          <w:rFonts w:hint="eastAsia" w:ascii="宋体" w:hAnsi="宋体"/>
          <w:b/>
          <w:bCs/>
          <w:color w:val="auto"/>
          <w:sz w:val="21"/>
          <w:szCs w:val="21"/>
          <w:highlight w:val="none"/>
        </w:rPr>
        <w:t>分供</w:t>
      </w:r>
      <w:r>
        <w:rPr>
          <w:rFonts w:ascii="宋体" w:hAnsi="宋体"/>
          <w:b/>
          <w:bCs/>
          <w:color w:val="auto"/>
          <w:sz w:val="21"/>
          <w:szCs w:val="21"/>
          <w:highlight w:val="none"/>
        </w:rPr>
        <w:t>廉政合同</w:t>
      </w:r>
    </w:p>
    <w:p>
      <w:pPr>
        <w:rPr>
          <w:rFonts w:hint="eastAsia" w:ascii="宋体" w:hAnsi="宋体"/>
          <w:b/>
          <w:color w:val="auto"/>
          <w:sz w:val="36"/>
          <w:highlight w:val="none"/>
        </w:rPr>
      </w:pPr>
      <w:r>
        <w:rPr>
          <w:rFonts w:hint="eastAsia" w:ascii="宋体" w:hAnsi="宋体"/>
          <w:b/>
          <w:color w:val="auto"/>
          <w:sz w:val="36"/>
          <w:highlight w:val="none"/>
        </w:rPr>
        <w:br w:type="page"/>
      </w:r>
    </w:p>
    <w:p>
      <w:pPr>
        <w:jc w:val="center"/>
        <w:rPr>
          <w:rFonts w:ascii="宋体" w:hAnsi="宋体"/>
          <w:b/>
          <w:color w:val="auto"/>
          <w:sz w:val="36"/>
          <w:highlight w:val="none"/>
        </w:rPr>
      </w:pPr>
      <w:r>
        <w:rPr>
          <w:rFonts w:hint="eastAsia" w:ascii="宋体" w:hAnsi="宋体"/>
          <w:b/>
          <w:color w:val="auto"/>
          <w:sz w:val="36"/>
          <w:highlight w:val="none"/>
        </w:rPr>
        <w:t>廉 政 合 同</w:t>
      </w:r>
    </w:p>
    <w:p>
      <w:pPr>
        <w:ind w:firstLine="3648" w:firstLineChars="1520"/>
        <w:rPr>
          <w:rFonts w:ascii="宋体" w:hAnsi="宋体"/>
          <w:b/>
          <w:bCs/>
          <w:color w:val="auto"/>
          <w:sz w:val="24"/>
          <w:highlight w:val="none"/>
        </w:rPr>
      </w:pP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采购单位</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（以下简称“甲方”）与分供单位</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（以下简称“乙方”），特订立如下廉政合同。</w:t>
      </w:r>
    </w:p>
    <w:p>
      <w:pPr>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1．甲乙双方的权利和义务</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1.1严格遵守党的政策和国家有关法律法规及交通部的有关规定。</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1.2严格执行</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日甲乙方签订的合同文件</w:t>
      </w:r>
      <w:r>
        <w:rPr>
          <w:rFonts w:ascii="宋体" w:hAnsi="宋体" w:cs="Arial"/>
          <w:color w:val="auto"/>
          <w:szCs w:val="21"/>
          <w:highlight w:val="none"/>
        </w:rPr>
        <w:t>(</w:t>
      </w:r>
      <w:r>
        <w:rPr>
          <w:rFonts w:hint="eastAsia" w:ascii="宋体" w:hAnsi="宋体" w:cs="Arial"/>
          <w:color w:val="auto"/>
          <w:szCs w:val="21"/>
          <w:highlight w:val="none"/>
        </w:rPr>
        <w:t>合同号：</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、合同名称；</w:t>
      </w:r>
      <w:r>
        <w:rPr>
          <w:rFonts w:hint="eastAsia" w:ascii="宋体" w:hAnsi="宋体" w:cs="Arial"/>
          <w:color w:val="auto"/>
          <w:szCs w:val="21"/>
          <w:highlight w:val="none"/>
          <w:u w:val="single"/>
        </w:rPr>
        <w:t xml:space="preserve">        </w:t>
      </w:r>
      <w:r>
        <w:rPr>
          <w:rFonts w:ascii="宋体" w:hAnsi="宋体" w:cs="Arial"/>
          <w:color w:val="auto"/>
          <w:szCs w:val="21"/>
          <w:highlight w:val="none"/>
        </w:rPr>
        <w:t>)</w:t>
      </w:r>
      <w:r>
        <w:rPr>
          <w:rFonts w:hint="eastAsia" w:ascii="宋体" w:hAnsi="宋体" w:cs="Arial"/>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自觉按合同办事。</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1.3双方的业务活动坚持公开、公正、诚信、透明的原则（法律认定的商业秘密和合同文件另有规定 ），不得损害国家和集体利益，违反工程建设管理规章制度。</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1.4建立健全廉政制度，开展廉政教育，设立廉政告示牌，公布举报电话，监督并认真查处违法违纪行为。</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1.5发现对方在业务活动中有违反廉政规定的行为，有及时提醒对方纠正的权利和义务。</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1.6发现对方严重违反合同义务条款的行为，有向其上级有关部门举报、建议给予处理并要求告知处理结果的权利。</w:t>
      </w:r>
    </w:p>
    <w:p>
      <w:pPr>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2．甲方的义务</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2.1甲方及其工作人员不得索要或接受乙方的礼金、有价证券和贵重物品，不得在乙方报销任何应由甲方或甲方工作人员个人支付的费用等。</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2.2甲方工作人员不得参加乙方安排的超标准宴请和娱乐活动；不得接受乙方提供的通讯工具、交通工具和高档办公用品等。</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2.3甲方及其工作人员不得要求或者接受乙方为其住房装修、婚丧嫁娶活动、配偶子女的工作安排以及出国出境、旅游等提供方便等。</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2.4甲方及其工作人员不得以任何理由向乙方推荐分包单位或推销材料，不得要求乙方购买合同规定外的材料和设备。</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2.5甲方工作人员及其配偶、子女不得从事与甲方工程有关的材料设备供应、工程分包、劳务等经济活动等。</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2.6甲方工作人员要秉公办事，不准营私舞弊，不准利用职权从事各种个人有偿中介活动和安排个人施工队伍及设备。</w:t>
      </w:r>
    </w:p>
    <w:p>
      <w:pPr>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3．乙方义务</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3.1乙方不得以任何理由向甲方及其工作人员行贿或馈赠礼金、有价证券、贵重礼品。</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3.2乙方不得以任何名义为甲方及其工作人员报销应由甲方单位或个人支付的任何费用。</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3.3乙方不得以任何理由安排甲方工作人员参加超标准宴请及娱乐活动。</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3.4乙方不得为甲方单位和个人购置或提供通讯工具、交通工具和高档办公用品等。</w:t>
      </w:r>
    </w:p>
    <w:p>
      <w:pPr>
        <w:snapToGrid w:val="0"/>
        <w:spacing w:line="400" w:lineRule="exact"/>
        <w:jc w:val="left"/>
        <w:rPr>
          <w:rFonts w:ascii="宋体" w:hAnsi="宋体"/>
          <w:b/>
          <w:color w:val="auto"/>
          <w:szCs w:val="21"/>
          <w:highlight w:val="none"/>
        </w:rPr>
      </w:pPr>
      <w:r>
        <w:rPr>
          <w:rFonts w:hint="eastAsia" w:ascii="宋体" w:hAnsi="宋体"/>
          <w:b/>
          <w:color w:val="auto"/>
          <w:szCs w:val="21"/>
          <w:highlight w:val="none"/>
        </w:rPr>
        <w:t>4．违约责任</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4.1甲方及其工作人员违反本合同，按管理权限，依据有关规定给予党纪、政纪或组织处理；涉嫌犯罪的，移交司法机关追究刑事责任；给乙方单位造成经济损失的，应予以赔偿。</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4.2乙方及其工作人员违反本合同，给甲方单位造成经济损失的，应予以赔偿；情节严重的，给予乙方一至三年内不得参与甲方设备采购活动的处罚。</w:t>
      </w:r>
    </w:p>
    <w:p>
      <w:pPr>
        <w:snapToGrid w:val="0"/>
        <w:spacing w:line="400" w:lineRule="exact"/>
        <w:jc w:val="left"/>
        <w:rPr>
          <w:rFonts w:ascii="宋体" w:hAnsi="宋体"/>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本合同有效期为甲乙双方签署之日起至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合同终止后止。</w:t>
      </w:r>
    </w:p>
    <w:p>
      <w:pPr>
        <w:snapToGrid w:val="0"/>
        <w:spacing w:line="400" w:lineRule="exact"/>
        <w:jc w:val="left"/>
        <w:rPr>
          <w:rFonts w:ascii="宋体" w:hAnsi="宋体"/>
          <w:color w:val="auto"/>
          <w:szCs w:val="21"/>
          <w:highlight w:val="none"/>
        </w:rPr>
      </w:pPr>
      <w:r>
        <w:rPr>
          <w:rFonts w:hint="eastAsia" w:ascii="宋体" w:hAnsi="宋体"/>
          <w:b/>
          <w:color w:val="auto"/>
          <w:szCs w:val="21"/>
          <w:highlight w:val="none"/>
        </w:rPr>
        <w:t>6．</w:t>
      </w:r>
      <w:r>
        <w:rPr>
          <w:rFonts w:hint="eastAsia" w:ascii="宋体" w:hAnsi="宋体"/>
          <w:color w:val="auto"/>
          <w:szCs w:val="21"/>
          <w:highlight w:val="none"/>
        </w:rPr>
        <w:t>本合同作为</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合同的附件，与主合同具有同等的法律效力，双方签署立即生效。</w:t>
      </w:r>
    </w:p>
    <w:p>
      <w:pPr>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7</w:t>
      </w:r>
      <w:r>
        <w:rPr>
          <w:rFonts w:hint="eastAsia" w:ascii="宋体" w:hAnsi="宋体"/>
          <w:color w:val="auto"/>
          <w:szCs w:val="21"/>
          <w:highlight w:val="none"/>
        </w:rPr>
        <w:t>．本合同一式</w:t>
      </w:r>
      <w:r>
        <w:rPr>
          <w:rFonts w:hint="eastAsia" w:ascii="宋体" w:hAnsi="宋体"/>
          <w:color w:val="auto"/>
          <w:szCs w:val="21"/>
          <w:highlight w:val="none"/>
          <w:u w:val="single"/>
        </w:rPr>
        <w:t xml:space="preserve">  捌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柒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壹  </w:t>
      </w:r>
      <w:r>
        <w:rPr>
          <w:rFonts w:hint="eastAsia" w:ascii="宋体" w:hAnsi="宋体"/>
          <w:color w:val="auto"/>
          <w:szCs w:val="21"/>
          <w:highlight w:val="none"/>
        </w:rPr>
        <w:t>份。</w:t>
      </w:r>
    </w:p>
    <w:p>
      <w:pPr>
        <w:snapToGrid w:val="0"/>
        <w:spacing w:line="400" w:lineRule="exact"/>
        <w:jc w:val="left"/>
        <w:rPr>
          <w:rFonts w:ascii="宋体" w:hAnsi="宋体"/>
          <w:color w:val="auto"/>
          <w:szCs w:val="21"/>
          <w:highlight w:val="none"/>
        </w:rPr>
      </w:pPr>
    </w:p>
    <w:p>
      <w:pPr>
        <w:snapToGrid w:val="0"/>
        <w:spacing w:line="400" w:lineRule="exact"/>
        <w:jc w:val="left"/>
        <w:rPr>
          <w:rFonts w:ascii="宋体" w:hAnsi="宋体"/>
          <w:color w:val="auto"/>
          <w:szCs w:val="21"/>
          <w:highlight w:val="none"/>
        </w:rPr>
      </w:pPr>
    </w:p>
    <w:p>
      <w:pPr>
        <w:snapToGrid w:val="0"/>
        <w:spacing w:line="400" w:lineRule="exact"/>
        <w:jc w:val="left"/>
        <w:rPr>
          <w:rFonts w:ascii="宋体" w:hAnsi="宋体"/>
          <w:color w:val="auto"/>
          <w:szCs w:val="21"/>
          <w:highlight w:val="none"/>
        </w:rPr>
      </w:pPr>
    </w:p>
    <w:p>
      <w:pPr>
        <w:snapToGrid w:val="0"/>
        <w:spacing w:line="400" w:lineRule="exact"/>
        <w:jc w:val="left"/>
        <w:rPr>
          <w:rFonts w:ascii="宋体" w:hAnsi="宋体"/>
          <w:color w:val="auto"/>
          <w:szCs w:val="21"/>
          <w:highlight w:val="none"/>
        </w:rPr>
      </w:pPr>
    </w:p>
    <w:p>
      <w:pPr>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u w:val="single"/>
        </w:rPr>
        <w:t xml:space="preserve">             （盖章）</w:t>
      </w:r>
      <w:r>
        <w:rPr>
          <w:rFonts w:hint="eastAsia" w:ascii="宋体" w:hAnsi="宋体"/>
          <w:color w:val="auto"/>
          <w:szCs w:val="21"/>
          <w:highlight w:val="none"/>
        </w:rPr>
        <w:t xml:space="preserve">             乙方：</w:t>
      </w:r>
      <w:r>
        <w:rPr>
          <w:rFonts w:hint="eastAsia" w:ascii="宋体" w:hAnsi="宋体"/>
          <w:color w:val="auto"/>
          <w:szCs w:val="21"/>
          <w:highlight w:val="none"/>
          <w:u w:val="single"/>
        </w:rPr>
        <w:t xml:space="preserve">           （盖章）</w:t>
      </w:r>
    </w:p>
    <w:p>
      <w:pPr>
        <w:snapToGrid w:val="0"/>
        <w:spacing w:line="400" w:lineRule="exact"/>
        <w:jc w:val="left"/>
        <w:rPr>
          <w:rFonts w:ascii="宋体" w:hAnsi="宋体"/>
          <w:color w:val="auto"/>
          <w:szCs w:val="21"/>
          <w:highlight w:val="none"/>
        </w:rPr>
      </w:pPr>
    </w:p>
    <w:p>
      <w:pPr>
        <w:snapToGrid w:val="0"/>
        <w:spacing w:line="400" w:lineRule="exact"/>
        <w:jc w:val="left"/>
        <w:rPr>
          <w:color w:val="auto"/>
          <w:szCs w:val="21"/>
          <w:highlight w:val="none"/>
        </w:rPr>
      </w:pPr>
      <w:r>
        <w:rPr>
          <w:rFonts w:hint="eastAsia" w:ascii="宋体" w:hAnsi="宋体"/>
          <w:color w:val="auto"/>
          <w:szCs w:val="21"/>
          <w:highlight w:val="none"/>
        </w:rPr>
        <w:t>代表人：</w:t>
      </w:r>
      <w:r>
        <w:rPr>
          <w:rFonts w:hint="eastAsia"/>
          <w:color w:val="auto"/>
          <w:szCs w:val="21"/>
          <w:highlight w:val="none"/>
          <w:u w:val="single"/>
        </w:rPr>
        <w:t xml:space="preserve">                   </w:t>
      </w:r>
      <w:r>
        <w:rPr>
          <w:rFonts w:hint="eastAsia"/>
          <w:color w:val="auto"/>
          <w:szCs w:val="21"/>
          <w:highlight w:val="none"/>
        </w:rPr>
        <w:t xml:space="preserve">             代表人： </w:t>
      </w:r>
      <w:r>
        <w:rPr>
          <w:rFonts w:hint="eastAsia"/>
          <w:color w:val="auto"/>
          <w:szCs w:val="21"/>
          <w:highlight w:val="none"/>
          <w:u w:val="single"/>
        </w:rPr>
        <w:t xml:space="preserve">                  </w:t>
      </w:r>
    </w:p>
    <w:p>
      <w:pPr>
        <w:snapToGrid w:val="0"/>
        <w:spacing w:line="400" w:lineRule="exact"/>
        <w:jc w:val="left"/>
        <w:rPr>
          <w:color w:val="auto"/>
          <w:szCs w:val="21"/>
          <w:highlight w:val="none"/>
        </w:rPr>
      </w:pPr>
    </w:p>
    <w:p>
      <w:pPr>
        <w:snapToGrid w:val="0"/>
        <w:spacing w:line="400" w:lineRule="exact"/>
        <w:jc w:val="left"/>
        <w:rPr>
          <w:color w:val="auto"/>
          <w:szCs w:val="21"/>
          <w:highlight w:val="none"/>
          <w:u w:val="singl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 xml:space="preserve">             职务： </w:t>
      </w:r>
      <w:r>
        <w:rPr>
          <w:rFonts w:hint="eastAsia"/>
          <w:color w:val="auto"/>
          <w:szCs w:val="21"/>
          <w:highlight w:val="none"/>
          <w:u w:val="single"/>
        </w:rPr>
        <w:t xml:space="preserve">                    </w:t>
      </w:r>
    </w:p>
    <w:p>
      <w:pPr>
        <w:snapToGrid w:val="0"/>
        <w:spacing w:line="400" w:lineRule="exact"/>
        <w:jc w:val="left"/>
        <w:rPr>
          <w:rFonts w:ascii="宋体" w:hAnsi="宋体"/>
          <w:color w:val="auto"/>
          <w:szCs w:val="21"/>
          <w:highlight w:val="none"/>
        </w:rPr>
      </w:pPr>
    </w:p>
    <w:p>
      <w:pPr>
        <w:snapToGrid w:val="0"/>
        <w:spacing w:line="400" w:lineRule="exact"/>
        <w:jc w:val="left"/>
        <w:rPr>
          <w:rFonts w:ascii="宋体" w:hAnsi="宋体"/>
          <w:b/>
          <w:color w:val="auto"/>
          <w:sz w:val="28"/>
          <w:szCs w:val="28"/>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p>
    <w:p>
      <w:pPr>
        <w:snapToGrid w:val="0"/>
        <w:spacing w:before="100" w:line="360" w:lineRule="exact"/>
        <w:ind w:left="315" w:leftChars="150" w:firstLine="423" w:firstLineChars="196"/>
        <w:rPr>
          <w:rFonts w:ascii="宋体" w:hAnsi="宋体" w:cs="宋体"/>
          <w:b/>
          <w:color w:val="auto"/>
          <w:w w:val="90"/>
          <w:kern w:val="0"/>
          <w:sz w:val="24"/>
          <w:szCs w:val="24"/>
          <w:highlight w:val="none"/>
          <w:u w:val="double"/>
        </w:rPr>
      </w:pPr>
    </w:p>
    <w:p>
      <w:pPr>
        <w:snapToGrid w:val="0"/>
        <w:spacing w:before="100" w:line="360" w:lineRule="exact"/>
        <w:ind w:left="315" w:leftChars="150" w:firstLine="423" w:firstLineChars="196"/>
        <w:rPr>
          <w:rFonts w:ascii="宋体" w:hAnsi="宋体" w:cs="宋体"/>
          <w:b/>
          <w:color w:val="auto"/>
          <w:w w:val="90"/>
          <w:kern w:val="0"/>
          <w:sz w:val="24"/>
          <w:szCs w:val="24"/>
          <w:highlight w:val="none"/>
          <w:u w:val="double"/>
        </w:rPr>
      </w:pPr>
    </w:p>
    <w:p>
      <w:pPr>
        <w:snapToGrid w:val="0"/>
        <w:spacing w:before="100" w:line="360" w:lineRule="exact"/>
        <w:ind w:left="315" w:leftChars="150" w:firstLine="423" w:firstLineChars="196"/>
        <w:rPr>
          <w:rFonts w:ascii="宋体" w:hAnsi="宋体" w:cs="宋体"/>
          <w:b/>
          <w:color w:val="auto"/>
          <w:w w:val="90"/>
          <w:kern w:val="0"/>
          <w:sz w:val="24"/>
          <w:szCs w:val="24"/>
          <w:highlight w:val="none"/>
          <w:u w:val="double"/>
        </w:rPr>
      </w:pPr>
    </w:p>
    <w:p>
      <w:pPr>
        <w:pStyle w:val="13"/>
        <w:ind w:firstLine="437"/>
        <w:rPr>
          <w:rFonts w:cs="宋体"/>
          <w:b/>
          <w:color w:val="auto"/>
          <w:w w:val="90"/>
          <w:highlight w:val="none"/>
          <w:u w:val="double"/>
        </w:rPr>
      </w:pPr>
    </w:p>
    <w:p>
      <w:pPr>
        <w:pStyle w:val="13"/>
        <w:ind w:firstLine="437"/>
        <w:rPr>
          <w:rFonts w:cs="宋体"/>
          <w:b/>
          <w:color w:val="auto"/>
          <w:w w:val="90"/>
          <w:highlight w:val="none"/>
          <w:u w:val="double"/>
        </w:rPr>
      </w:pPr>
    </w:p>
    <w:p>
      <w:pPr>
        <w:pStyle w:val="13"/>
        <w:ind w:firstLine="437"/>
        <w:rPr>
          <w:rFonts w:cs="宋体"/>
          <w:b/>
          <w:color w:val="auto"/>
          <w:w w:val="90"/>
          <w:highlight w:val="none"/>
          <w:u w:val="double"/>
        </w:rPr>
      </w:pPr>
    </w:p>
    <w:p>
      <w:pPr>
        <w:pStyle w:val="13"/>
        <w:ind w:firstLine="437"/>
        <w:rPr>
          <w:rFonts w:cs="宋体"/>
          <w:b/>
          <w:color w:val="auto"/>
          <w:w w:val="90"/>
          <w:highlight w:val="none"/>
          <w:u w:val="double"/>
        </w:rPr>
      </w:pPr>
    </w:p>
    <w:p>
      <w:pPr>
        <w:pStyle w:val="13"/>
        <w:ind w:firstLine="437"/>
        <w:rPr>
          <w:rFonts w:cs="宋体"/>
          <w:b/>
          <w:color w:val="auto"/>
          <w:w w:val="90"/>
          <w:highlight w:val="none"/>
          <w:u w:val="double"/>
        </w:rPr>
      </w:pPr>
    </w:p>
    <w:p>
      <w:pPr>
        <w:pStyle w:val="13"/>
        <w:ind w:firstLine="437"/>
        <w:rPr>
          <w:rFonts w:cs="宋体"/>
          <w:b/>
          <w:color w:val="auto"/>
          <w:w w:val="90"/>
          <w:highlight w:val="none"/>
          <w:u w:val="double"/>
        </w:rPr>
      </w:pPr>
    </w:p>
    <w:p>
      <w:pPr>
        <w:pStyle w:val="13"/>
        <w:ind w:firstLine="0" w:firstLineChars="0"/>
        <w:rPr>
          <w:color w:val="auto"/>
          <w:highlight w:val="none"/>
        </w:rPr>
      </w:pPr>
    </w:p>
    <w:p>
      <w:pPr>
        <w:pStyle w:val="13"/>
        <w:ind w:firstLine="0" w:firstLineChars="0"/>
        <w:rPr>
          <w:color w:val="auto"/>
          <w:highlight w:val="non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color w:val="auto"/>
          <w:w w:val="90"/>
          <w:highlight w:val="none"/>
          <w:u w:val="double"/>
        </w:rPr>
      </w:pPr>
      <w:r>
        <w:rPr>
          <w:rFonts w:hint="eastAsia"/>
          <w:b/>
          <w:color w:val="auto"/>
          <w:w w:val="90"/>
          <w:highlight w:val="none"/>
          <w:u w:val="double"/>
        </w:rPr>
        <w:t>七、附件</w:t>
      </w:r>
    </w:p>
    <w:p>
      <w:pPr>
        <w:snapToGrid w:val="0"/>
        <w:spacing w:after="100"/>
        <w:ind w:left="340" w:leftChars="162" w:firstLine="409" w:firstLineChars="195"/>
        <w:rPr>
          <w:rFonts w:ascii="宋体" w:hAnsi="宋体" w:cs="宋体"/>
          <w:color w:val="auto"/>
          <w:szCs w:val="21"/>
          <w:highlight w:val="none"/>
        </w:rPr>
      </w:pPr>
      <w:r>
        <w:rPr>
          <w:rFonts w:hint="eastAsia" w:ascii="宋体" w:hAnsi="宋体" w:cs="宋体"/>
          <w:color w:val="auto"/>
          <w:szCs w:val="21"/>
          <w:highlight w:val="none"/>
        </w:rPr>
        <w:t>附件一：投标书</w:t>
      </w:r>
    </w:p>
    <w:p>
      <w:pPr>
        <w:snapToGrid w:val="0"/>
        <w:spacing w:after="100"/>
        <w:ind w:left="340" w:leftChars="162" w:firstLine="409" w:firstLineChars="195"/>
        <w:rPr>
          <w:rFonts w:ascii="宋体" w:hAnsi="宋体" w:cs="宋体"/>
          <w:color w:val="auto"/>
          <w:szCs w:val="21"/>
          <w:highlight w:val="none"/>
        </w:rPr>
      </w:pPr>
      <w:r>
        <w:rPr>
          <w:rFonts w:hint="eastAsia" w:ascii="宋体" w:hAnsi="宋体" w:cs="宋体"/>
          <w:color w:val="auto"/>
          <w:szCs w:val="21"/>
          <w:highlight w:val="none"/>
        </w:rPr>
        <w:t>附件二：报价单</w:t>
      </w:r>
    </w:p>
    <w:p>
      <w:pPr>
        <w:snapToGrid w:val="0"/>
        <w:spacing w:after="100"/>
        <w:ind w:left="340" w:leftChars="162" w:firstLine="409" w:firstLineChars="195"/>
        <w:rPr>
          <w:rFonts w:ascii="宋体" w:hAnsi="宋体" w:cs="宋体"/>
          <w:color w:val="auto"/>
          <w:szCs w:val="21"/>
          <w:highlight w:val="none"/>
        </w:rPr>
      </w:pPr>
      <w:r>
        <w:rPr>
          <w:rFonts w:hint="eastAsia" w:ascii="宋体" w:hAnsi="宋体" w:cs="宋体"/>
          <w:color w:val="auto"/>
          <w:szCs w:val="21"/>
          <w:highlight w:val="none"/>
        </w:rPr>
        <w:t>附件三：法定代表人授权书</w:t>
      </w:r>
    </w:p>
    <w:p>
      <w:pPr>
        <w:snapToGrid w:val="0"/>
        <w:spacing w:after="100"/>
        <w:ind w:firstLine="417" w:firstLineChars="199"/>
        <w:rPr>
          <w:rFonts w:ascii="宋体" w:hAnsi="宋体" w:cs="宋体"/>
          <w:color w:val="auto"/>
          <w:szCs w:val="21"/>
          <w:highlight w:val="none"/>
        </w:rPr>
      </w:pPr>
      <w:r>
        <w:rPr>
          <w:rFonts w:hint="eastAsia" w:ascii="宋体" w:hAnsi="宋体" w:cs="宋体"/>
          <w:color w:val="auto"/>
          <w:szCs w:val="21"/>
          <w:highlight w:val="none"/>
        </w:rPr>
        <w:t xml:space="preserve">   附件四：法人身份证（扫描件）、授权代理人身份证（扫描件）</w:t>
      </w:r>
      <w:r>
        <w:rPr>
          <w:rFonts w:hint="eastAsia" w:ascii="宋体" w:hAnsi="宋体" w:cs="宋体"/>
          <w:color w:val="auto"/>
          <w:szCs w:val="21"/>
          <w:highlight w:val="none"/>
        </w:rPr>
        <w:br w:type="page"/>
      </w:r>
    </w:p>
    <w:p>
      <w:pPr>
        <w:spacing w:line="360" w:lineRule="auto"/>
        <w:rPr>
          <w:rFonts w:ascii="宋体" w:hAnsi="宋体" w:cs="宋体"/>
          <w:color w:val="auto"/>
          <w:w w:val="90"/>
          <w:highlight w:val="none"/>
        </w:rPr>
      </w:pPr>
      <w:r>
        <w:rPr>
          <w:rFonts w:hint="eastAsia" w:ascii="宋体" w:hAnsi="宋体" w:cs="宋体"/>
          <w:color w:val="auto"/>
          <w:w w:val="90"/>
          <w:sz w:val="24"/>
          <w:highlight w:val="none"/>
        </w:rPr>
        <w:t xml:space="preserve">附件一   </w:t>
      </w:r>
      <w:r>
        <w:rPr>
          <w:rFonts w:hint="eastAsia" w:ascii="宋体" w:hAnsi="宋体" w:cs="宋体"/>
          <w:color w:val="auto"/>
          <w:w w:val="90"/>
          <w:highlight w:val="none"/>
        </w:rPr>
        <w:t xml:space="preserve">               </w:t>
      </w:r>
    </w:p>
    <w:p>
      <w:pPr>
        <w:spacing w:line="360" w:lineRule="auto"/>
        <w:ind w:left="480" w:leftChars="229" w:firstLine="2899" w:firstLineChars="1534"/>
        <w:rPr>
          <w:rFonts w:ascii="宋体" w:hAnsi="宋体" w:cs="宋体"/>
          <w:color w:val="auto"/>
          <w:sz w:val="44"/>
          <w:highlight w:val="none"/>
        </w:rPr>
      </w:pPr>
      <w:r>
        <w:rPr>
          <w:rFonts w:hint="eastAsia" w:ascii="宋体" w:hAnsi="宋体" w:cs="宋体"/>
          <w:color w:val="auto"/>
          <w:w w:val="90"/>
          <w:highlight w:val="none"/>
        </w:rPr>
        <w:t xml:space="preserve">  </w:t>
      </w:r>
      <w:r>
        <w:rPr>
          <w:rFonts w:hint="eastAsia" w:ascii="宋体" w:hAnsi="宋体" w:cs="宋体"/>
          <w:color w:val="auto"/>
          <w:w w:val="90"/>
          <w:sz w:val="32"/>
          <w:szCs w:val="32"/>
          <w:highlight w:val="none"/>
        </w:rPr>
        <w:t xml:space="preserve"> </w:t>
      </w:r>
      <w:r>
        <w:rPr>
          <w:rFonts w:hint="eastAsia" w:ascii="宋体" w:hAnsi="宋体" w:cs="宋体"/>
          <w:b/>
          <w:color w:val="auto"/>
          <w:sz w:val="32"/>
          <w:szCs w:val="32"/>
          <w:highlight w:val="none"/>
        </w:rPr>
        <w:t>投标书</w:t>
      </w:r>
    </w:p>
    <w:p>
      <w:pPr>
        <w:spacing w:line="360" w:lineRule="auto"/>
        <w:ind w:left="480"/>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rPr>
        <w:t>致：</w:t>
      </w:r>
      <w:r>
        <w:rPr>
          <w:rFonts w:hint="eastAsia" w:ascii="宋体" w:hAnsi="宋体" w:cs="宋体"/>
          <w:color w:val="auto"/>
          <w:szCs w:val="21"/>
          <w:highlight w:val="none"/>
        </w:rPr>
        <w:t>中建路桥集团有限公司</w:t>
      </w:r>
      <w:r>
        <w:rPr>
          <w:rFonts w:hint="eastAsia" w:ascii="宋体" w:hAnsi="宋体" w:cs="宋体"/>
          <w:color w:val="auto"/>
          <w:szCs w:val="21"/>
          <w:highlight w:val="none"/>
          <w:lang w:val="en-US" w:eastAsia="zh-CN"/>
        </w:rPr>
        <w:t>济宁分公司</w:t>
      </w:r>
    </w:p>
    <w:p>
      <w:pPr>
        <w:spacing w:line="360" w:lineRule="auto"/>
        <w:ind w:left="480" w:firstLine="480"/>
        <w:rPr>
          <w:rFonts w:ascii="宋体" w:hAnsi="宋体" w:cs="宋体"/>
          <w:color w:val="auto"/>
          <w:szCs w:val="21"/>
          <w:highlight w:val="none"/>
        </w:rPr>
      </w:pPr>
      <w:r>
        <w:rPr>
          <w:rFonts w:hint="eastAsia" w:ascii="宋体" w:hAnsi="宋体" w:cs="宋体"/>
          <w:color w:val="auto"/>
          <w:szCs w:val="21"/>
          <w:highlight w:val="none"/>
        </w:rPr>
        <w:t>根据已收到的该工程招标文件及所有相关资料，经研究我司愿承担贵司所需</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的供应。具体投标内容如下：</w:t>
      </w:r>
    </w:p>
    <w:p>
      <w:pPr>
        <w:spacing w:line="360" w:lineRule="auto"/>
        <w:ind w:firstLine="411" w:firstLineChars="196"/>
        <w:outlineLvl w:val="0"/>
        <w:rPr>
          <w:rFonts w:ascii="宋体" w:hAnsi="宋体" w:cs="宋体"/>
          <w:b/>
          <w:color w:val="auto"/>
          <w:szCs w:val="21"/>
          <w:highlight w:val="none"/>
        </w:rPr>
      </w:pPr>
      <w:r>
        <w:rPr>
          <w:rFonts w:hint="eastAsia" w:ascii="宋体" w:hAnsi="宋体" w:cs="宋体"/>
          <w:b/>
          <w:color w:val="auto"/>
          <w:szCs w:val="21"/>
          <w:highlight w:val="none"/>
        </w:rPr>
        <w:t>1.对本招标文件投标须知的确认和意见</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1.1 是否确认本招标文件投标须知：      （   ）是   （   ）否</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1.2 如对条款有意见，请列出：</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2.工期：</w:t>
      </w:r>
    </w:p>
    <w:p>
      <w:pPr>
        <w:spacing w:line="360" w:lineRule="auto"/>
        <w:ind w:left="480" w:firstLine="480"/>
        <w:rPr>
          <w:rFonts w:ascii="宋体" w:hAnsi="宋体" w:cs="宋体"/>
          <w:color w:val="auto"/>
          <w:szCs w:val="21"/>
          <w:highlight w:val="none"/>
        </w:rPr>
      </w:pPr>
      <w:r>
        <w:rPr>
          <w:rFonts w:hint="eastAsia" w:ascii="宋体" w:hAnsi="宋体" w:cs="宋体"/>
          <w:color w:val="auto"/>
          <w:szCs w:val="21"/>
          <w:highlight w:val="none"/>
        </w:rPr>
        <w:t>完全满足贵司根据工程进度提出的供应计划要求，按照要求的规格型号、供应进度保质保量供应</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，并承诺对供货迟延造成的工程损失承担全部责任。</w:t>
      </w:r>
    </w:p>
    <w:p>
      <w:pPr>
        <w:spacing w:line="360" w:lineRule="auto"/>
        <w:ind w:firstLine="514" w:firstLineChars="245"/>
        <w:rPr>
          <w:rFonts w:ascii="宋体" w:hAnsi="宋体" w:cs="宋体"/>
          <w:b/>
          <w:color w:val="auto"/>
          <w:szCs w:val="21"/>
          <w:highlight w:val="none"/>
        </w:rPr>
      </w:pPr>
      <w:r>
        <w:rPr>
          <w:rFonts w:hint="eastAsia" w:ascii="宋体" w:hAnsi="宋体" w:cs="宋体"/>
          <w:b/>
          <w:color w:val="auto"/>
          <w:szCs w:val="21"/>
          <w:highlight w:val="none"/>
        </w:rPr>
        <w:t>3.报价：附后</w:t>
      </w:r>
    </w:p>
    <w:p>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4.质量：</w:t>
      </w:r>
    </w:p>
    <w:p>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质量达到贵司招标文件要求的标准，满足投标须知中所列的相应条件，并承诺对产品质量出现问题造成的工程损失承担全部责任。</w:t>
      </w:r>
    </w:p>
    <w:p>
      <w:pPr>
        <w:spacing w:line="360" w:lineRule="auto"/>
        <w:ind w:left="840"/>
        <w:rPr>
          <w:rFonts w:ascii="宋体" w:hAnsi="宋体" w:cs="宋体"/>
          <w:color w:val="auto"/>
          <w:szCs w:val="21"/>
          <w:highlight w:val="none"/>
          <w:u w:val="single"/>
        </w:rPr>
      </w:pPr>
      <w:r>
        <w:rPr>
          <w:rFonts w:hint="eastAsia" w:ascii="宋体" w:hAnsi="宋体" w:cs="宋体"/>
          <w:color w:val="auto"/>
          <w:szCs w:val="21"/>
          <w:highlight w:val="none"/>
        </w:rPr>
        <w:t>进一步的质量承诺：</w:t>
      </w:r>
      <w:r>
        <w:rPr>
          <w:rFonts w:hint="eastAsia" w:ascii="宋体" w:hAnsi="宋体" w:cs="宋体"/>
          <w:color w:val="auto"/>
          <w:szCs w:val="21"/>
          <w:highlight w:val="none"/>
          <w:u w:val="single"/>
        </w:rPr>
        <w:t xml:space="preserve">                                              </w:t>
      </w:r>
    </w:p>
    <w:p>
      <w:pPr>
        <w:spacing w:line="360" w:lineRule="auto"/>
        <w:ind w:left="480" w:leftChars="229"/>
        <w:outlineLvl w:val="0"/>
        <w:rPr>
          <w:rFonts w:ascii="宋体" w:hAnsi="宋体" w:cs="宋体"/>
          <w:b/>
          <w:color w:val="auto"/>
          <w:szCs w:val="21"/>
          <w:highlight w:val="none"/>
        </w:rPr>
      </w:pPr>
      <w:r>
        <w:rPr>
          <w:rFonts w:hint="eastAsia" w:ascii="宋体" w:hAnsi="宋体" w:cs="宋体"/>
          <w:b/>
          <w:color w:val="auto"/>
          <w:szCs w:val="21"/>
          <w:highlight w:val="none"/>
        </w:rPr>
        <w:t>5.交货</w:t>
      </w:r>
    </w:p>
    <w:p>
      <w:pPr>
        <w:spacing w:line="360" w:lineRule="auto"/>
        <w:ind w:left="840"/>
        <w:rPr>
          <w:rFonts w:ascii="宋体" w:hAnsi="宋体" w:cs="宋体"/>
          <w:color w:val="auto"/>
          <w:szCs w:val="21"/>
          <w:highlight w:val="none"/>
        </w:rPr>
      </w:pPr>
      <w:r>
        <w:rPr>
          <w:rFonts w:hint="eastAsia" w:ascii="宋体" w:hAnsi="宋体" w:cs="宋体"/>
          <w:color w:val="auto"/>
          <w:szCs w:val="21"/>
          <w:highlight w:val="none"/>
        </w:rPr>
        <w:t>满足投标须知中所列的相应条件。</w:t>
      </w:r>
    </w:p>
    <w:p>
      <w:pPr>
        <w:spacing w:line="360" w:lineRule="auto"/>
        <w:ind w:left="480"/>
        <w:outlineLvl w:val="0"/>
        <w:rPr>
          <w:rFonts w:ascii="宋体" w:hAnsi="宋体" w:cs="宋体"/>
          <w:b/>
          <w:color w:val="auto"/>
          <w:szCs w:val="21"/>
          <w:highlight w:val="none"/>
        </w:rPr>
      </w:pPr>
      <w:r>
        <w:rPr>
          <w:rFonts w:hint="eastAsia" w:ascii="宋体" w:hAnsi="宋体" w:cs="宋体"/>
          <w:b/>
          <w:color w:val="auto"/>
          <w:szCs w:val="21"/>
          <w:highlight w:val="none"/>
        </w:rPr>
        <w:t>6.服务</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 xml:space="preserve">    本着用户第一、服务至上的原则，投标人保证提供全面的服务。</w:t>
      </w:r>
    </w:p>
    <w:p>
      <w:pPr>
        <w:spacing w:line="360" w:lineRule="auto"/>
        <w:ind w:left="900" w:hanging="420"/>
        <w:rPr>
          <w:rFonts w:ascii="宋体" w:hAnsi="宋体" w:cs="宋体"/>
          <w:color w:val="auto"/>
          <w:szCs w:val="21"/>
          <w:highlight w:val="none"/>
        </w:rPr>
      </w:pPr>
      <w:r>
        <w:rPr>
          <w:rFonts w:hint="eastAsia" w:ascii="宋体" w:hAnsi="宋体" w:cs="宋体"/>
          <w:color w:val="auto"/>
          <w:szCs w:val="21"/>
          <w:highlight w:val="none"/>
        </w:rPr>
        <w:t>6.1遵守贵司及项目关于环保、安全等方面的ISO9001、ISO14001、OHSMS18000认证有关标准之要求。</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按要求保质保量及时送达现场，并卸至贵司指定的位置。</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6.3卸货严格符合项目要求，存放到相应料仓位置中。</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6.4出现问题及时解决。</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6.4.1我司及时委派质检专业人员协同项目查明原因。</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6.4.2质量原因将按照以下程序解决：</w:t>
      </w:r>
    </w:p>
    <w:p>
      <w:pPr>
        <w:spacing w:line="360" w:lineRule="auto"/>
        <w:ind w:left="480"/>
        <w:outlineLvl w:val="0"/>
        <w:rPr>
          <w:rFonts w:ascii="宋体" w:hAnsi="宋体" w:cs="宋体"/>
          <w:color w:val="auto"/>
          <w:szCs w:val="21"/>
          <w:highlight w:val="none"/>
        </w:rPr>
      </w:pPr>
      <w:r>
        <w:rPr>
          <w:rFonts w:hint="eastAsia" w:ascii="宋体" w:hAnsi="宋体" w:cs="宋体"/>
          <w:color w:val="auto"/>
          <w:szCs w:val="21"/>
          <w:highlight w:val="none"/>
        </w:rPr>
        <w:t>6.4.2.1及时将不合格</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退出场外；</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6.4.2.2若贵司同意，我司将在不合格商品</w:t>
      </w:r>
      <w:r>
        <w:rPr>
          <w:rFonts w:hint="eastAsia" w:ascii="宋体" w:hAnsi="宋体" w:cs="宋体"/>
          <w:color w:val="auto"/>
          <w:szCs w:val="21"/>
          <w:highlight w:val="none"/>
          <w:lang w:val="en-US" w:eastAsia="zh-CN"/>
        </w:rPr>
        <w:t>退场</w:t>
      </w:r>
      <w:r>
        <w:rPr>
          <w:rFonts w:hint="eastAsia" w:ascii="宋体" w:hAnsi="宋体" w:cs="宋体"/>
          <w:color w:val="auto"/>
          <w:szCs w:val="21"/>
          <w:highlight w:val="none"/>
        </w:rPr>
        <w:t>的同时提供新的</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w:t>
      </w:r>
    </w:p>
    <w:p>
      <w:pPr>
        <w:spacing w:line="360" w:lineRule="auto"/>
        <w:ind w:left="900" w:hanging="420"/>
        <w:rPr>
          <w:rFonts w:ascii="宋体" w:hAnsi="宋体" w:cs="宋体"/>
          <w:color w:val="auto"/>
          <w:szCs w:val="21"/>
          <w:highlight w:val="none"/>
        </w:rPr>
      </w:pPr>
      <w:r>
        <w:rPr>
          <w:rFonts w:hint="eastAsia" w:ascii="宋体" w:hAnsi="宋体" w:cs="宋体"/>
          <w:color w:val="auto"/>
          <w:szCs w:val="21"/>
          <w:highlight w:val="none"/>
        </w:rPr>
        <w:t>6.4.2.3若由于不合格</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原因造成的检测费用、工程工期延迟、工程损失及其它总包方损失等问题，投标人将承担相应的经济赔偿。</w:t>
      </w:r>
    </w:p>
    <w:p>
      <w:pPr>
        <w:spacing w:line="360" w:lineRule="auto"/>
        <w:ind w:left="480"/>
        <w:rPr>
          <w:rFonts w:ascii="宋体" w:hAnsi="宋体" w:cs="宋体"/>
          <w:color w:val="auto"/>
          <w:szCs w:val="21"/>
          <w:highlight w:val="none"/>
        </w:rPr>
      </w:pPr>
      <w:r>
        <w:rPr>
          <w:rFonts w:hint="eastAsia" w:ascii="宋体" w:hAnsi="宋体" w:cs="宋体"/>
          <w:color w:val="auto"/>
          <w:szCs w:val="21"/>
          <w:highlight w:val="none"/>
        </w:rPr>
        <w:t>6.5竭力满足贵司及项目提出的有关工期及材料的其他要求。</w:t>
      </w:r>
    </w:p>
    <w:p>
      <w:pPr>
        <w:spacing w:line="360" w:lineRule="auto"/>
        <w:ind w:left="480"/>
        <w:outlineLvl w:val="0"/>
        <w:rPr>
          <w:rFonts w:ascii="宋体" w:hAnsi="宋体" w:cs="宋体"/>
          <w:b/>
          <w:color w:val="auto"/>
          <w:szCs w:val="21"/>
          <w:highlight w:val="none"/>
        </w:rPr>
      </w:pPr>
      <w:r>
        <w:rPr>
          <w:rFonts w:hint="eastAsia" w:ascii="宋体" w:hAnsi="宋体" w:cs="宋体"/>
          <w:b/>
          <w:color w:val="auto"/>
          <w:szCs w:val="21"/>
          <w:highlight w:val="none"/>
        </w:rPr>
        <w:t>7.保障</w:t>
      </w:r>
    </w:p>
    <w:p>
      <w:pPr>
        <w:spacing w:line="360" w:lineRule="auto"/>
        <w:ind w:left="900" w:hanging="435"/>
        <w:rPr>
          <w:rFonts w:hint="eastAsia" w:ascii="宋体" w:hAnsi="宋体" w:cs="宋体"/>
          <w:color w:val="auto"/>
          <w:szCs w:val="21"/>
          <w:highlight w:val="none"/>
        </w:rPr>
      </w:pPr>
      <w:r>
        <w:rPr>
          <w:rFonts w:hint="eastAsia" w:ascii="宋体" w:hAnsi="宋体" w:cs="宋体"/>
          <w:color w:val="auto"/>
          <w:szCs w:val="21"/>
          <w:highlight w:val="none"/>
        </w:rPr>
        <w:t>7.1投标人将保证严格按照贵司根据工程材料需用计划提出的要求，按时完成</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的供应工作。</w:t>
      </w:r>
    </w:p>
    <w:p>
      <w:pPr>
        <w:spacing w:line="360" w:lineRule="auto"/>
        <w:ind w:left="900" w:hanging="435"/>
        <w:rPr>
          <w:rFonts w:ascii="宋体" w:hAnsi="宋体" w:cs="宋体"/>
          <w:color w:val="auto"/>
          <w:szCs w:val="21"/>
          <w:highlight w:val="none"/>
        </w:rPr>
      </w:pPr>
      <w:r>
        <w:rPr>
          <w:rFonts w:hint="eastAsia" w:ascii="宋体" w:hAnsi="宋体" w:cs="宋体"/>
          <w:color w:val="auto"/>
          <w:szCs w:val="21"/>
          <w:highlight w:val="none"/>
        </w:rPr>
        <w:t>7.2若投标人在执行合同期间没有供货合同中所要求的</w:t>
      </w:r>
      <w:r>
        <w:rPr>
          <w:rFonts w:hint="eastAsia" w:ascii="宋体" w:hAnsi="宋体" w:cs="宋体"/>
          <w:color w:val="auto"/>
          <w:szCs w:val="21"/>
          <w:highlight w:val="none"/>
          <w:lang w:eastAsia="zh-CN"/>
        </w:rPr>
        <w:t>石灰</w:t>
      </w:r>
      <w:r>
        <w:rPr>
          <w:rFonts w:hint="eastAsia" w:ascii="宋体" w:hAnsi="宋体" w:cs="宋体"/>
          <w:color w:val="auto"/>
          <w:szCs w:val="21"/>
          <w:highlight w:val="none"/>
        </w:rPr>
        <w:t>，投标人将在市场上进行采购以保障贵司工程工期，由此可能造成的经济损失由投标人自行承担。</w:t>
      </w:r>
    </w:p>
    <w:p>
      <w:pPr>
        <w:spacing w:line="360" w:lineRule="auto"/>
        <w:ind w:left="900" w:hanging="435"/>
        <w:rPr>
          <w:rFonts w:ascii="宋体" w:hAnsi="宋体" w:cs="宋体"/>
          <w:color w:val="auto"/>
          <w:szCs w:val="21"/>
          <w:highlight w:val="none"/>
        </w:rPr>
      </w:pPr>
      <w:r>
        <w:rPr>
          <w:rFonts w:hint="eastAsia" w:ascii="宋体" w:hAnsi="宋体" w:cs="宋体"/>
          <w:color w:val="auto"/>
          <w:szCs w:val="21"/>
          <w:highlight w:val="none"/>
        </w:rPr>
        <w:t>7.3未按时供货，可由贵司自行采购，投标人将承担因此增加的一切费用，并承担由此造成的损失。</w:t>
      </w:r>
    </w:p>
    <w:p>
      <w:pPr>
        <w:spacing w:line="360" w:lineRule="auto"/>
        <w:ind w:left="900" w:hanging="435"/>
        <w:rPr>
          <w:rFonts w:ascii="宋体" w:hAnsi="宋体" w:cs="宋体"/>
          <w:color w:val="auto"/>
          <w:szCs w:val="21"/>
          <w:highlight w:val="none"/>
        </w:rPr>
      </w:pPr>
      <w:r>
        <w:rPr>
          <w:rFonts w:hint="eastAsia" w:ascii="宋体" w:hAnsi="宋体" w:cs="宋体"/>
          <w:color w:val="auto"/>
          <w:szCs w:val="21"/>
          <w:highlight w:val="none"/>
        </w:rPr>
        <w:t>7.4投标人认可贵司的材料需用可能与中标时所签合同确定的数量不同，投标人认可此种数量调整，并确保不会因此种调整而影响供货时间和质量及服务水平，也不会因此提出索赔。</w:t>
      </w:r>
    </w:p>
    <w:p>
      <w:pPr>
        <w:spacing w:line="360" w:lineRule="auto"/>
        <w:ind w:firstLine="465"/>
        <w:outlineLvl w:val="0"/>
        <w:rPr>
          <w:rFonts w:ascii="宋体" w:hAnsi="宋体" w:cs="宋体"/>
          <w:b/>
          <w:color w:val="auto"/>
          <w:szCs w:val="21"/>
          <w:highlight w:val="none"/>
        </w:rPr>
      </w:pPr>
      <w:r>
        <w:rPr>
          <w:rFonts w:hint="eastAsia" w:ascii="宋体" w:hAnsi="宋体" w:cs="宋体"/>
          <w:b/>
          <w:color w:val="auto"/>
          <w:szCs w:val="21"/>
          <w:highlight w:val="none"/>
        </w:rPr>
        <w:t>8.结算方式</w:t>
      </w:r>
    </w:p>
    <w:p>
      <w:pPr>
        <w:spacing w:line="360" w:lineRule="auto"/>
        <w:ind w:firstLine="465"/>
        <w:outlineLvl w:val="0"/>
        <w:rPr>
          <w:rFonts w:ascii="宋体" w:hAnsi="宋体" w:cs="宋体"/>
          <w:b/>
          <w:color w:val="auto"/>
          <w:szCs w:val="21"/>
          <w:highlight w:val="none"/>
        </w:rPr>
      </w:pPr>
      <w:r>
        <w:rPr>
          <w:rFonts w:hint="eastAsia" w:ascii="宋体" w:hAnsi="宋体" w:cs="宋体"/>
          <w:color w:val="auto"/>
          <w:szCs w:val="21"/>
          <w:highlight w:val="none"/>
        </w:rPr>
        <w:t>8.1投标人愿意接受贵司采用银行电汇形式作为结算方式</w:t>
      </w:r>
    </w:p>
    <w:p>
      <w:pPr>
        <w:spacing w:line="360" w:lineRule="auto"/>
        <w:ind w:left="900" w:hanging="420"/>
        <w:rPr>
          <w:rFonts w:ascii="宋体" w:hAnsi="宋体" w:cs="宋体"/>
          <w:color w:val="auto"/>
          <w:szCs w:val="21"/>
          <w:highlight w:val="none"/>
        </w:rPr>
      </w:pPr>
      <w:r>
        <w:rPr>
          <w:rFonts w:hint="eastAsia" w:ascii="宋体" w:hAnsi="宋体" w:cs="宋体"/>
          <w:color w:val="auto"/>
          <w:szCs w:val="21"/>
          <w:highlight w:val="none"/>
        </w:rPr>
        <w:t>8.2进一步的承诺：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360"/>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9.报价中未包含内容及其他需要说明的问题</w:t>
      </w:r>
    </w:p>
    <w:p>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u w:val="single"/>
        </w:rPr>
        <w:t xml:space="preserve">                                                              </w:t>
      </w:r>
    </w:p>
    <w:p>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10.投标书附件</w:t>
      </w:r>
    </w:p>
    <w:p>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10.1 详细的报价清单</w:t>
      </w:r>
    </w:p>
    <w:p>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10.2 其他需要说明的事项</w:t>
      </w:r>
    </w:p>
    <w:p>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11.附注</w:t>
      </w:r>
    </w:p>
    <w:p>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11.1本投标书一旦被招标人接纳即成为正式有效的合同文件，且本投标书连同投标人的书面接纳文件将成为约束双方的、具有法律效力的文件。</w:t>
      </w:r>
    </w:p>
    <w:p>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11.2我司同意在递交了投标文件后，将与贵司进一步对所投的全部内容与贵司协商与调整（如贵司要求），并愿意按协商与调整后的结果修改原报价内容。</w:t>
      </w:r>
    </w:p>
    <w:p>
      <w:pPr>
        <w:spacing w:line="360" w:lineRule="auto"/>
        <w:ind w:firstLine="495"/>
        <w:rPr>
          <w:rFonts w:ascii="宋体" w:hAnsi="宋体" w:cs="宋体"/>
          <w:color w:val="auto"/>
          <w:w w:val="90"/>
          <w:sz w:val="24"/>
          <w:highlight w:val="none"/>
        </w:rPr>
      </w:pPr>
    </w:p>
    <w:p>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 xml:space="preserve">投标人（盖章）：                                 </w:t>
      </w:r>
    </w:p>
    <w:p>
      <w:pPr>
        <w:spacing w:line="360" w:lineRule="auto"/>
        <w:ind w:firstLine="3780" w:firstLineChars="1800"/>
        <w:rPr>
          <w:rFonts w:ascii="宋体" w:hAnsi="宋体" w:cs="宋体"/>
          <w:color w:val="auto"/>
          <w:w w:val="90"/>
          <w:sz w:val="24"/>
          <w:highlight w:val="none"/>
        </w:rPr>
      </w:pPr>
      <w:r>
        <w:rPr>
          <w:rFonts w:hint="eastAsia" w:ascii="宋体" w:hAnsi="宋体" w:cs="宋体"/>
          <w:color w:val="auto"/>
          <w:szCs w:val="21"/>
          <w:highlight w:val="none"/>
        </w:rPr>
        <w:t>法人代表：          年    月    日</w:t>
      </w:r>
    </w:p>
    <w:p>
      <w:pPr>
        <w:rPr>
          <w:rFonts w:hint="eastAsia" w:ascii="宋体" w:hAnsi="宋体" w:cs="宋体"/>
          <w:color w:val="auto"/>
          <w:w w:val="90"/>
          <w:sz w:val="24"/>
          <w:highlight w:val="none"/>
        </w:rPr>
      </w:pPr>
      <w:r>
        <w:rPr>
          <w:rFonts w:hint="eastAsia" w:ascii="宋体" w:hAnsi="宋体" w:cs="宋体"/>
          <w:color w:val="auto"/>
          <w:w w:val="90"/>
          <w:sz w:val="24"/>
          <w:highlight w:val="none"/>
        </w:rPr>
        <w:br w:type="page"/>
      </w:r>
    </w:p>
    <w:p>
      <w:pPr>
        <w:spacing w:line="360" w:lineRule="auto"/>
        <w:rPr>
          <w:rFonts w:ascii="宋体" w:hAnsi="宋体" w:cs="宋体"/>
          <w:color w:val="auto"/>
          <w:w w:val="90"/>
          <w:sz w:val="36"/>
          <w:szCs w:val="32"/>
          <w:highlight w:val="none"/>
        </w:rPr>
      </w:pPr>
      <w:r>
        <w:rPr>
          <w:rFonts w:hint="eastAsia" w:ascii="宋体" w:hAnsi="宋体" w:cs="宋体"/>
          <w:color w:val="auto"/>
          <w:w w:val="90"/>
          <w:sz w:val="24"/>
          <w:highlight w:val="none"/>
        </w:rPr>
        <w:t xml:space="preserve">附件二                             </w:t>
      </w:r>
      <w:r>
        <w:rPr>
          <w:rFonts w:hint="eastAsia" w:ascii="宋体" w:hAnsi="宋体" w:cs="宋体"/>
          <w:color w:val="auto"/>
          <w:w w:val="90"/>
          <w:sz w:val="36"/>
          <w:szCs w:val="32"/>
          <w:highlight w:val="none"/>
        </w:rPr>
        <w:t xml:space="preserve"> </w:t>
      </w:r>
      <w:r>
        <w:rPr>
          <w:rFonts w:hint="eastAsia" w:ascii="仿宋" w:hAnsi="仿宋" w:eastAsia="仿宋" w:cs="仿宋"/>
          <w:b/>
          <w:color w:val="auto"/>
          <w:sz w:val="32"/>
          <w:szCs w:val="32"/>
          <w:highlight w:val="none"/>
        </w:rPr>
        <w:t>报价单</w:t>
      </w:r>
    </w:p>
    <w:p>
      <w:pPr>
        <w:spacing w:line="400" w:lineRule="exact"/>
        <w:ind w:firstLine="360" w:firstLineChars="150"/>
        <w:rPr>
          <w:rFonts w:hint="eastAsia" w:ascii="宋体" w:hAnsi="宋体"/>
          <w:color w:val="auto"/>
          <w:szCs w:val="21"/>
          <w:highlight w:val="none"/>
        </w:rPr>
      </w:pPr>
      <w:r>
        <w:rPr>
          <w:rFonts w:hint="eastAsia" w:ascii="宋体" w:hAnsi="宋体" w:cs="宋体"/>
          <w:color w:val="auto"/>
          <w:sz w:val="24"/>
          <w:highlight w:val="none"/>
        </w:rPr>
        <w:t>商品报价清单</w:t>
      </w:r>
      <w:r>
        <w:rPr>
          <w:rFonts w:hint="eastAsia" w:ascii="宋体" w:hAnsi="宋体" w:cs="宋体"/>
          <w:color w:val="auto"/>
          <w:sz w:val="24"/>
          <w:highlight w:val="none"/>
        </w:rPr>
        <w:tab/>
      </w:r>
    </w:p>
    <w:tbl>
      <w:tblPr>
        <w:tblStyle w:val="14"/>
        <w:tblpPr w:leftFromText="180" w:rightFromText="180" w:vertAnchor="text" w:horzAnchor="page" w:tblpX="1659" w:tblpY="15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692"/>
        <w:gridCol w:w="1141"/>
        <w:gridCol w:w="526"/>
        <w:gridCol w:w="769"/>
        <w:gridCol w:w="1025"/>
        <w:gridCol w:w="898"/>
        <w:gridCol w:w="769"/>
        <w:gridCol w:w="872"/>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92"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物资名称</w:t>
            </w:r>
          </w:p>
        </w:tc>
        <w:tc>
          <w:tcPr>
            <w:tcW w:w="1141"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规格</w:t>
            </w:r>
          </w:p>
        </w:tc>
        <w:tc>
          <w:tcPr>
            <w:tcW w:w="526"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769"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暂定数量</w:t>
            </w:r>
          </w:p>
        </w:tc>
        <w:tc>
          <w:tcPr>
            <w:tcW w:w="3564" w:type="dxa"/>
            <w:gridSpan w:val="4"/>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综合单价（元）</w:t>
            </w:r>
          </w:p>
        </w:tc>
        <w:tc>
          <w:tcPr>
            <w:tcW w:w="1111"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19" w:type="dxa"/>
            <w:vMerge w:val="continue"/>
            <w:vAlign w:val="center"/>
          </w:tcPr>
          <w:p>
            <w:pPr>
              <w:spacing w:line="360" w:lineRule="auto"/>
              <w:jc w:val="center"/>
              <w:rPr>
                <w:rFonts w:ascii="宋体" w:hAnsi="宋体"/>
                <w:color w:val="auto"/>
                <w:szCs w:val="21"/>
                <w:highlight w:val="none"/>
              </w:rPr>
            </w:pPr>
          </w:p>
        </w:tc>
        <w:tc>
          <w:tcPr>
            <w:tcW w:w="1692" w:type="dxa"/>
            <w:vMerge w:val="continue"/>
            <w:vAlign w:val="center"/>
          </w:tcPr>
          <w:p>
            <w:pPr>
              <w:spacing w:line="360" w:lineRule="auto"/>
              <w:jc w:val="center"/>
              <w:rPr>
                <w:rFonts w:ascii="宋体" w:hAnsi="宋体"/>
                <w:color w:val="auto"/>
                <w:szCs w:val="21"/>
                <w:highlight w:val="none"/>
              </w:rPr>
            </w:pPr>
          </w:p>
        </w:tc>
        <w:tc>
          <w:tcPr>
            <w:tcW w:w="1141" w:type="dxa"/>
            <w:vMerge w:val="continue"/>
            <w:vAlign w:val="center"/>
          </w:tcPr>
          <w:p>
            <w:pPr>
              <w:spacing w:line="360" w:lineRule="auto"/>
              <w:jc w:val="center"/>
              <w:rPr>
                <w:rFonts w:ascii="宋体" w:hAnsi="宋体"/>
                <w:color w:val="auto"/>
                <w:szCs w:val="21"/>
                <w:highlight w:val="none"/>
              </w:rPr>
            </w:pPr>
          </w:p>
        </w:tc>
        <w:tc>
          <w:tcPr>
            <w:tcW w:w="526" w:type="dxa"/>
            <w:vMerge w:val="continue"/>
            <w:vAlign w:val="center"/>
          </w:tcPr>
          <w:p>
            <w:pPr>
              <w:spacing w:line="360" w:lineRule="auto"/>
              <w:jc w:val="center"/>
              <w:rPr>
                <w:rFonts w:ascii="宋体" w:hAnsi="宋体"/>
                <w:color w:val="auto"/>
                <w:szCs w:val="21"/>
                <w:highlight w:val="none"/>
              </w:rPr>
            </w:pPr>
          </w:p>
        </w:tc>
        <w:tc>
          <w:tcPr>
            <w:tcW w:w="769" w:type="dxa"/>
            <w:vMerge w:val="continue"/>
            <w:vAlign w:val="center"/>
          </w:tcPr>
          <w:p>
            <w:pPr>
              <w:spacing w:line="360" w:lineRule="auto"/>
              <w:jc w:val="center"/>
              <w:rPr>
                <w:rFonts w:ascii="宋体" w:hAnsi="宋体"/>
                <w:color w:val="auto"/>
                <w:szCs w:val="21"/>
                <w:highlight w:val="none"/>
              </w:rPr>
            </w:pPr>
          </w:p>
        </w:tc>
        <w:tc>
          <w:tcPr>
            <w:tcW w:w="1025"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单价（不含税）</w:t>
            </w:r>
          </w:p>
        </w:tc>
        <w:tc>
          <w:tcPr>
            <w:tcW w:w="898"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olor w:val="auto"/>
                <w:szCs w:val="21"/>
                <w:highlight w:val="none"/>
              </w:rPr>
              <w:t>发票票面税率</w:t>
            </w:r>
          </w:p>
        </w:tc>
        <w:tc>
          <w:tcPr>
            <w:tcW w:w="769"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税额</w:t>
            </w:r>
          </w:p>
        </w:tc>
        <w:tc>
          <w:tcPr>
            <w:tcW w:w="872" w:type="dxa"/>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价税合计</w:t>
            </w:r>
          </w:p>
        </w:tc>
        <w:tc>
          <w:tcPr>
            <w:tcW w:w="1111"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19" w:type="dxa"/>
            <w:shd w:val="clear" w:color="auto" w:fill="auto"/>
            <w:vAlign w:val="center"/>
          </w:tcPr>
          <w:p>
            <w:pPr>
              <w:widowControl/>
              <w:jc w:val="center"/>
              <w:rPr>
                <w:rFonts w:ascii="宋体" w:hAnsi="宋体"/>
                <w:color w:val="auto"/>
                <w:szCs w:val="21"/>
                <w:highlight w:val="none"/>
              </w:rPr>
            </w:pPr>
            <w:r>
              <w:rPr>
                <w:rFonts w:hint="eastAsia" w:ascii="宋体" w:hAnsi="宋体" w:eastAsia="宋体" w:cs="宋体"/>
                <w:color w:val="000000"/>
                <w:kern w:val="0"/>
                <w:sz w:val="22"/>
                <w:szCs w:val="22"/>
              </w:rPr>
              <w:t>1</w:t>
            </w:r>
          </w:p>
        </w:tc>
        <w:tc>
          <w:tcPr>
            <w:tcW w:w="1692" w:type="dxa"/>
            <w:shd w:val="clear" w:color="auto" w:fill="auto"/>
            <w:vAlign w:val="center"/>
          </w:tcPr>
          <w:p>
            <w:pPr>
              <w:keepNext w:val="0"/>
              <w:keepLines w:val="0"/>
              <w:widowControl/>
              <w:suppressLineNumbers w:val="0"/>
              <w:jc w:val="center"/>
              <w:textAlignment w:val="center"/>
              <w:rPr>
                <w:rFonts w:hint="eastAsia" w:ascii="宋体" w:hAnsi="宋体" w:eastAsia="宋体"/>
                <w:color w:val="auto"/>
                <w:szCs w:val="21"/>
                <w:highlight w:val="none"/>
                <w:lang w:eastAsia="zh-CN"/>
              </w:rPr>
            </w:pPr>
            <w:r>
              <w:rPr>
                <w:rFonts w:hint="eastAsia" w:ascii="宋体" w:hAnsi="宋体" w:cs="宋体"/>
                <w:i w:val="0"/>
                <w:color w:val="000000"/>
                <w:kern w:val="0"/>
                <w:sz w:val="22"/>
                <w:szCs w:val="22"/>
                <w:u w:val="none"/>
                <w:lang w:val="en-US" w:eastAsia="zh-CN" w:bidi="ar"/>
              </w:rPr>
              <w:t>石灰</w:t>
            </w:r>
          </w:p>
        </w:tc>
        <w:tc>
          <w:tcPr>
            <w:tcW w:w="1141" w:type="dxa"/>
            <w:shd w:val="clear" w:color="auto" w:fill="auto"/>
            <w:vAlign w:val="center"/>
          </w:tcPr>
          <w:p>
            <w:pPr>
              <w:jc w:val="center"/>
              <w:rPr>
                <w:rFonts w:hint="eastAsia" w:ascii="宋体" w:hAnsi="宋体" w:eastAsia="宋体"/>
                <w:color w:val="auto"/>
                <w:szCs w:val="21"/>
                <w:highlight w:val="none"/>
                <w:lang w:val="en-US" w:eastAsia="zh-CN"/>
              </w:rPr>
            </w:pPr>
            <w:r>
              <w:rPr>
                <w:rFonts w:hint="eastAsia" w:ascii="宋体" w:hAnsi="宋体" w:cs="宋体"/>
                <w:color w:val="auto"/>
                <w:kern w:val="0"/>
                <w:sz w:val="22"/>
                <w:highlight w:val="none"/>
                <w:lang w:val="en-US" w:eastAsia="zh-CN"/>
              </w:rPr>
              <w:t>生石灰（</w:t>
            </w:r>
            <w:r>
              <w:rPr>
                <w:rFonts w:hint="eastAsia" w:ascii="宋体" w:hAnsi="宋体" w:eastAsia="宋体" w:cs="宋体"/>
                <w:color w:val="auto"/>
                <w:kern w:val="0"/>
                <w:sz w:val="22"/>
                <w:highlight w:val="none"/>
                <w:lang w:val="en-US" w:eastAsia="zh-CN"/>
              </w:rPr>
              <w:t>Ⅲ</w:t>
            </w:r>
            <w:r>
              <w:rPr>
                <w:rFonts w:hint="eastAsia" w:ascii="宋体" w:hAnsi="宋体" w:cs="宋体"/>
                <w:color w:val="auto"/>
                <w:kern w:val="0"/>
                <w:sz w:val="22"/>
                <w:highlight w:val="none"/>
                <w:lang w:val="en-US" w:eastAsia="zh-CN"/>
              </w:rPr>
              <w:t>级灰），有效钙镁含量</w:t>
            </w:r>
            <w:r>
              <w:rPr>
                <w:rFonts w:hint="eastAsia" w:ascii="宋体" w:hAnsi="宋体" w:eastAsia="宋体" w:cs="宋体"/>
                <w:color w:val="auto"/>
                <w:kern w:val="0"/>
                <w:sz w:val="22"/>
                <w:highlight w:val="none"/>
                <w:lang w:val="en-US" w:eastAsia="zh-CN"/>
              </w:rPr>
              <w:t>≧</w:t>
            </w:r>
            <w:r>
              <w:rPr>
                <w:rFonts w:hint="eastAsia" w:ascii="宋体" w:hAnsi="宋体" w:cs="宋体"/>
                <w:color w:val="auto"/>
                <w:kern w:val="0"/>
                <w:sz w:val="22"/>
                <w:highlight w:val="none"/>
                <w:lang w:val="en-US" w:eastAsia="zh-CN"/>
              </w:rPr>
              <w:t>55</w:t>
            </w:r>
          </w:p>
        </w:tc>
        <w:tc>
          <w:tcPr>
            <w:tcW w:w="526" w:type="dxa"/>
            <w:shd w:val="clear" w:color="auto" w:fill="auto"/>
            <w:vAlign w:val="center"/>
          </w:tcPr>
          <w:p>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color w:val="000000"/>
                <w:kern w:val="0"/>
                <w:sz w:val="22"/>
                <w:szCs w:val="22"/>
                <w:u w:val="none"/>
                <w:lang w:val="en-US" w:eastAsia="zh-CN" w:bidi="ar"/>
              </w:rPr>
              <w:t>t</w:t>
            </w:r>
          </w:p>
        </w:tc>
        <w:tc>
          <w:tcPr>
            <w:tcW w:w="769" w:type="dxa"/>
            <w:shd w:val="clear" w:color="auto" w:fill="auto"/>
            <w:vAlign w:val="center"/>
          </w:tcPr>
          <w:p>
            <w:pPr>
              <w:keepNext w:val="0"/>
              <w:keepLines w:val="0"/>
              <w:widowControl/>
              <w:suppressLineNumbers w:val="0"/>
              <w:jc w:val="center"/>
              <w:textAlignment w:val="center"/>
              <w:rPr>
                <w:rFonts w:hint="default" w:ascii="宋体" w:hAnsi="宋体" w:eastAsiaTheme="minorEastAsia"/>
                <w:color w:val="auto"/>
                <w:szCs w:val="21"/>
                <w:highlight w:val="none"/>
                <w:lang w:val="en-US" w:eastAsia="zh-CN"/>
              </w:rPr>
            </w:pPr>
            <w:r>
              <w:rPr>
                <w:rFonts w:hint="eastAsia" w:ascii="宋体" w:hAnsi="宋体" w:eastAsia="宋体" w:cs="宋体"/>
                <w:i w:val="0"/>
                <w:color w:val="000000"/>
                <w:kern w:val="0"/>
                <w:sz w:val="22"/>
                <w:szCs w:val="22"/>
                <w:u w:val="none"/>
                <w:lang w:val="en-US" w:eastAsia="zh-CN" w:bidi="ar"/>
              </w:rPr>
              <w:t>17192</w:t>
            </w:r>
          </w:p>
        </w:tc>
        <w:tc>
          <w:tcPr>
            <w:tcW w:w="1025"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898"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769"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872" w:type="dxa"/>
            <w:shd w:val="clear" w:color="auto" w:fill="auto"/>
            <w:vAlign w:val="center"/>
          </w:tcPr>
          <w:p>
            <w:pPr>
              <w:adjustRightInd w:val="0"/>
              <w:snapToGrid w:val="0"/>
              <w:spacing w:line="360" w:lineRule="auto"/>
              <w:jc w:val="center"/>
              <w:rPr>
                <w:rFonts w:ascii="宋体" w:hAnsi="宋体"/>
                <w:color w:val="auto"/>
                <w:szCs w:val="21"/>
                <w:highlight w:val="none"/>
              </w:rPr>
            </w:pPr>
          </w:p>
        </w:tc>
        <w:tc>
          <w:tcPr>
            <w:tcW w:w="1111" w:type="dxa"/>
            <w:shd w:val="clear" w:color="auto" w:fill="FFFFFF"/>
            <w:vAlign w:val="center"/>
          </w:tcPr>
          <w:p>
            <w:pPr>
              <w:widowControl/>
              <w:spacing w:line="360" w:lineRule="auto"/>
              <w:jc w:val="left"/>
              <w:textAlignment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不含税金额</w:t>
            </w:r>
            <w:r>
              <w:rPr>
                <w:rFonts w:ascii="宋体" w:hAnsi="宋体"/>
                <w:color w:val="auto"/>
                <w:szCs w:val="21"/>
                <w:highlight w:val="none"/>
              </w:rPr>
              <w:t>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税额</w:t>
            </w:r>
            <w:r>
              <w:rPr>
                <w:rFonts w:ascii="宋体" w:hAnsi="宋体"/>
                <w:color w:val="auto"/>
                <w:szCs w:val="21"/>
                <w:highlight w:val="none"/>
              </w:rPr>
              <w:t>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3352" w:type="dxa"/>
            <w:gridSpan w:val="3"/>
            <w:vAlign w:val="center"/>
          </w:tcPr>
          <w:p>
            <w:pPr>
              <w:tabs>
                <w:tab w:val="left" w:pos="2857"/>
              </w:tabs>
              <w:spacing w:line="360" w:lineRule="auto"/>
              <w:jc w:val="left"/>
              <w:rPr>
                <w:rFonts w:ascii="宋体" w:hAnsi="宋体"/>
                <w:color w:val="auto"/>
                <w:szCs w:val="21"/>
                <w:highlight w:val="none"/>
              </w:rPr>
            </w:pPr>
            <w:r>
              <w:rPr>
                <w:rFonts w:hint="eastAsia" w:ascii="宋体" w:hAnsi="宋体"/>
                <w:color w:val="auto"/>
                <w:szCs w:val="21"/>
                <w:highlight w:val="none"/>
              </w:rPr>
              <w:t>含税</w:t>
            </w:r>
            <w:r>
              <w:rPr>
                <w:rFonts w:ascii="宋体" w:hAnsi="宋体"/>
                <w:color w:val="auto"/>
                <w:szCs w:val="21"/>
                <w:highlight w:val="none"/>
              </w:rPr>
              <w:t>金额合计</w:t>
            </w:r>
          </w:p>
        </w:tc>
        <w:tc>
          <w:tcPr>
            <w:tcW w:w="5970" w:type="dxa"/>
            <w:gridSpan w:val="7"/>
            <w:vAlign w:val="center"/>
          </w:tcPr>
          <w:p>
            <w:pPr>
              <w:tabs>
                <w:tab w:val="left" w:pos="2857"/>
              </w:tabs>
              <w:spacing w:line="360" w:lineRule="auto"/>
              <w:rPr>
                <w:rFonts w:ascii="宋体" w:hAnsi="宋体"/>
                <w:color w:val="auto"/>
                <w:szCs w:val="21"/>
                <w:highlight w:val="none"/>
              </w:rPr>
            </w:pPr>
            <w:r>
              <w:rPr>
                <w:rFonts w:hint="eastAsia" w:ascii="宋体" w:hAnsi="宋体"/>
                <w:color w:val="auto"/>
                <w:szCs w:val="21"/>
                <w:highlight w:val="none"/>
              </w:rPr>
              <w:t>大写：元整，</w:t>
            </w:r>
            <w:r>
              <w:rPr>
                <w:rFonts w:hint="eastAsia" w:ascii="宋体" w:hAnsi="宋体"/>
                <w:color w:val="auto"/>
                <w:szCs w:val="21"/>
                <w:highlight w:val="none"/>
                <w:lang w:val="en-US" w:eastAsia="zh-CN"/>
              </w:rPr>
              <w:t>¥</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322" w:type="dxa"/>
            <w:gridSpan w:val="10"/>
            <w:vAlign w:val="center"/>
          </w:tcPr>
          <w:p>
            <w:pPr>
              <w:widowControl/>
              <w:spacing w:line="360" w:lineRule="auto"/>
              <w:jc w:val="left"/>
              <w:textAlignment w:val="center"/>
              <w:rPr>
                <w:rFonts w:ascii="宋体" w:hAnsi="宋体" w:cs="宋体"/>
                <w:color w:val="auto"/>
                <w:kern w:val="0"/>
                <w:szCs w:val="21"/>
                <w:highlight w:val="none"/>
              </w:rPr>
            </w:pPr>
            <w:r>
              <w:rPr>
                <w:rFonts w:hint="eastAsia" w:ascii="宋体" w:hAnsi="宋体"/>
                <w:color w:val="auto"/>
                <w:szCs w:val="21"/>
                <w:highlight w:val="none"/>
              </w:rPr>
              <w:t>合同所示的货物数量为暂定数量，最终结算数量以甲方通知进场且实际收到的合格产品数量为准。</w:t>
            </w:r>
          </w:p>
        </w:tc>
      </w:tr>
    </w:tbl>
    <w:p>
      <w:pPr>
        <w:pStyle w:val="19"/>
        <w:spacing w:beforeLines="0" w:line="360" w:lineRule="auto"/>
        <w:ind w:firstLine="0" w:firstLineChars="0"/>
        <w:rPr>
          <w:rFonts w:hint="eastAsia" w:cs="宋体"/>
          <w:color w:val="auto"/>
          <w:highlight w:val="none"/>
        </w:rPr>
      </w:pPr>
      <w:r>
        <w:rPr>
          <w:rFonts w:hint="eastAsia" w:cs="宋体"/>
          <w:color w:val="auto"/>
          <w:highlight w:val="none"/>
        </w:rPr>
        <w:t>说明：</w:t>
      </w:r>
    </w:p>
    <w:p>
      <w:pPr>
        <w:pStyle w:val="19"/>
        <w:numPr>
          <w:ilvl w:val="0"/>
          <w:numId w:val="8"/>
        </w:numPr>
        <w:spacing w:beforeLines="0" w:line="360" w:lineRule="auto"/>
        <w:ind w:firstLine="0" w:firstLineChars="0"/>
        <w:rPr>
          <w:rFonts w:hint="eastAsia"/>
          <w:color w:val="auto"/>
          <w:highlight w:val="none"/>
          <w:lang w:val="en-US" w:eastAsia="zh-CN"/>
        </w:rPr>
      </w:pPr>
      <w:r>
        <w:rPr>
          <w:rFonts w:hint="eastAsia" w:cs="宋体"/>
          <w:color w:val="auto"/>
          <w:highlight w:val="none"/>
        </w:rPr>
        <w:t>本合同所示的“综合单价”为物资运至工地的单价，包含但不限于：</w:t>
      </w:r>
      <w:r>
        <w:rPr>
          <w:rFonts w:hint="eastAsia" w:cs="宋体"/>
          <w:color w:val="auto"/>
          <w:highlight w:val="none"/>
          <w:lang w:eastAsia="zh-CN"/>
        </w:rPr>
        <w:t>石灰</w:t>
      </w:r>
      <w:r>
        <w:rPr>
          <w:rFonts w:hint="eastAsia" w:cs="宋体"/>
          <w:color w:val="auto"/>
          <w:highlight w:val="none"/>
        </w:rPr>
        <w:t>的材料费、场内装车费、运输费、</w:t>
      </w:r>
      <w:r>
        <w:rPr>
          <w:rFonts w:hint="eastAsia" w:cs="宋体"/>
          <w:color w:val="auto"/>
          <w:highlight w:val="none"/>
          <w:lang w:eastAsia="zh-CN"/>
        </w:rPr>
        <w:t>卸车费、</w:t>
      </w:r>
      <w:r>
        <w:rPr>
          <w:rFonts w:hint="eastAsia" w:cs="宋体"/>
          <w:color w:val="auto"/>
          <w:highlight w:val="none"/>
        </w:rPr>
        <w:t>材料检测费、厂内保险费、</w:t>
      </w:r>
      <w:r>
        <w:rPr>
          <w:rFonts w:hint="eastAsia" w:cs="宋体"/>
          <w:color w:val="auto"/>
          <w:highlight w:val="none"/>
          <w:lang w:val="en-US" w:eastAsia="zh-CN"/>
        </w:rPr>
        <w:t>不合格材料返场费、</w:t>
      </w:r>
      <w:r>
        <w:rPr>
          <w:rFonts w:hint="eastAsia" w:cs="宋体"/>
          <w:color w:val="auto"/>
          <w:highlight w:val="none"/>
        </w:rPr>
        <w:t>措施费，技术资料费、风险费用、利润、税金等一切费用，投标方不得以任何理由向招标方另行索要其他费用。</w:t>
      </w:r>
    </w:p>
    <w:p>
      <w:pPr>
        <w:pStyle w:val="19"/>
        <w:numPr>
          <w:ilvl w:val="0"/>
          <w:numId w:val="8"/>
        </w:numPr>
        <w:spacing w:beforeLines="0" w:line="360" w:lineRule="auto"/>
        <w:ind w:firstLine="0" w:firstLineChars="0"/>
        <w:rPr>
          <w:color w:val="auto"/>
          <w:highlight w:val="none"/>
        </w:rPr>
      </w:pPr>
      <w:r>
        <w:rPr>
          <w:rFonts w:hint="eastAsia"/>
          <w:color w:val="auto"/>
          <w:highlight w:val="none"/>
          <w:lang w:val="en-US" w:eastAsia="zh-CN"/>
        </w:rPr>
        <w:t>不含税单价调整办法如下：投标人投标报价中材料单价低于基准单价：施工期间材料单价涨幅以基准单价为基础超过风险幅度值（+5%），或材料单价跌幅以投标报价（合同约定单价）为基础超过风险幅度值（-5%）时，其超过部分按实调整；投标人投标报价中材料单价高于基准单价：施工期间材料单价跌幅以基准单价为基础超过风险幅度值（-5%），或材料单价涨幅以投标报价（合同约定单价）为基础超过风险幅度值（+5%）时，其超过部分按实调整；投标人投标报价中材料单价等于基准单价：施工期间材料单价涨、跌幅以基准单价为基础超过风险幅度值（±5%）时，其超过部分按实调整；材料基准单价为招标文件发布之日前济宁市最新发布的材料信息价。</w:t>
      </w:r>
      <w:r>
        <w:rPr>
          <w:rFonts w:hint="eastAsia" w:ascii="宋体" w:hAnsi="宋体" w:eastAsia="宋体" w:cs="宋体"/>
          <w:color w:val="auto"/>
          <w:kern w:val="0"/>
          <w:sz w:val="21"/>
          <w:szCs w:val="21"/>
          <w:highlight w:val="none"/>
          <w:lang w:val="en-US" w:eastAsia="zh-CN" w:bidi="ar-SA"/>
        </w:rPr>
        <w:t>且此条款成立的前提为业主（建设单位）对招标方进行差价调整，否则</w:t>
      </w:r>
      <w:r>
        <w:rPr>
          <w:rFonts w:hint="eastAsia" w:ascii="宋体" w:hAnsi="宋体" w:eastAsia="宋体" w:cs="宋体"/>
          <w:color w:val="auto"/>
          <w:kern w:val="0"/>
          <w:sz w:val="21"/>
          <w:szCs w:val="21"/>
          <w:highlight w:val="none"/>
          <w:lang w:val="zh-CN" w:eastAsia="zh-CN" w:bidi="ar-SA"/>
        </w:rPr>
        <w:t>投标方不得以任何理由要求招标方进行材价调整</w:t>
      </w:r>
      <w:r>
        <w:rPr>
          <w:rFonts w:hint="eastAsia" w:ascii="宋体" w:hAnsi="宋体" w:eastAsia="宋体" w:cs="宋体"/>
          <w:color w:val="auto"/>
          <w:kern w:val="0"/>
          <w:sz w:val="21"/>
          <w:szCs w:val="21"/>
          <w:highlight w:val="none"/>
          <w:lang w:val="en-US" w:eastAsia="zh-CN" w:bidi="ar-SA"/>
        </w:rPr>
        <w:t>。</w:t>
      </w:r>
    </w:p>
    <w:p>
      <w:pPr>
        <w:spacing w:line="360" w:lineRule="auto"/>
        <w:ind w:firstLine="630" w:firstLineChars="300"/>
        <w:rPr>
          <w:rFonts w:ascii="宋体" w:hAnsi="宋体" w:cs="宋体"/>
          <w:color w:val="auto"/>
          <w:w w:val="90"/>
          <w:highlight w:val="none"/>
        </w:rPr>
      </w:pP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投标人</w:t>
      </w:r>
      <w:r>
        <w:rPr>
          <w:rFonts w:hint="eastAsia" w:ascii="宋体" w:hAnsi="宋体" w:cs="宋体"/>
          <w:color w:val="auto"/>
          <w:w w:val="90"/>
          <w:highlight w:val="none"/>
        </w:rPr>
        <w:t xml:space="preserve">：         </w:t>
      </w:r>
      <w:r>
        <w:rPr>
          <w:rFonts w:hint="eastAsia" w:ascii="宋体" w:hAnsi="宋体" w:cs="宋体"/>
          <w:color w:val="auto"/>
          <w:kern w:val="0"/>
          <w:szCs w:val="21"/>
          <w:highlight w:val="none"/>
        </w:rPr>
        <w:t>（盖章）</w:t>
      </w:r>
    </w:p>
    <w:p>
      <w:pPr>
        <w:spacing w:line="360" w:lineRule="auto"/>
        <w:ind w:right="840" w:firstLine="3360" w:firstLineChars="1600"/>
        <w:rPr>
          <w:rFonts w:ascii="宋体" w:hAnsi="宋体" w:cs="宋体"/>
          <w:color w:val="auto"/>
          <w:kern w:val="0"/>
          <w:szCs w:val="21"/>
          <w:highlight w:val="none"/>
        </w:rPr>
      </w:pPr>
      <w:r>
        <w:rPr>
          <w:rFonts w:hint="eastAsia" w:ascii="宋体" w:hAnsi="宋体" w:cs="宋体"/>
          <w:color w:val="auto"/>
          <w:kern w:val="0"/>
          <w:szCs w:val="21"/>
          <w:highlight w:val="none"/>
        </w:rPr>
        <w:t xml:space="preserve">法人代表人或代理人：（签章）             </w:t>
      </w:r>
    </w:p>
    <w:p>
      <w:pPr>
        <w:spacing w:line="360" w:lineRule="auto"/>
        <w:ind w:firstLine="3360" w:firstLineChars="1600"/>
        <w:rPr>
          <w:rFonts w:ascii="宋体" w:hAnsi="宋体" w:cs="宋体"/>
          <w:color w:val="auto"/>
          <w:w w:val="90"/>
          <w:sz w:val="24"/>
          <w:highlight w:val="none"/>
        </w:rPr>
      </w:pPr>
      <w:r>
        <w:rPr>
          <w:rFonts w:hint="eastAsia" w:ascii="宋体" w:hAnsi="宋体" w:cs="宋体"/>
          <w:color w:val="auto"/>
          <w:kern w:val="0"/>
          <w:szCs w:val="21"/>
          <w:highlight w:val="none"/>
        </w:rPr>
        <w:t xml:space="preserve">日期：    年   月     日  </w:t>
      </w:r>
      <w:bookmarkStart w:id="0" w:name="_Toc54280344"/>
      <w:bookmarkStart w:id="1" w:name="_Toc53949160"/>
      <w:bookmarkStart w:id="2" w:name="_Toc53948739"/>
      <w:bookmarkStart w:id="3" w:name="_Toc54280770"/>
      <w:bookmarkStart w:id="4" w:name="_Toc54281196"/>
      <w:bookmarkStart w:id="5" w:name="_Toc54278961"/>
      <w:bookmarkStart w:id="6" w:name="_Toc54281622"/>
      <w:bookmarkStart w:id="7" w:name="_Toc53949581"/>
      <w:bookmarkStart w:id="8" w:name="_Toc54291526"/>
    </w:p>
    <w:p>
      <w:pPr>
        <w:rPr>
          <w:rFonts w:ascii="宋体" w:hAnsi="宋体" w:cs="宋体"/>
          <w:color w:val="auto"/>
          <w:w w:val="90"/>
          <w:sz w:val="24"/>
          <w:highlight w:val="none"/>
        </w:rPr>
      </w:pPr>
      <w:r>
        <w:rPr>
          <w:rFonts w:hint="eastAsia" w:ascii="宋体" w:hAnsi="宋体" w:cs="宋体"/>
          <w:color w:val="auto"/>
          <w:w w:val="90"/>
          <w:sz w:val="24"/>
          <w:highlight w:val="none"/>
        </w:rPr>
        <w:t xml:space="preserve">附件三  </w:t>
      </w:r>
      <w:bookmarkEnd w:id="0"/>
      <w:bookmarkEnd w:id="1"/>
      <w:bookmarkEnd w:id="2"/>
      <w:bookmarkEnd w:id="3"/>
      <w:bookmarkEnd w:id="4"/>
      <w:bookmarkEnd w:id="5"/>
      <w:bookmarkEnd w:id="6"/>
      <w:bookmarkEnd w:id="7"/>
      <w:bookmarkEnd w:id="8"/>
    </w:p>
    <w:p>
      <w:pPr>
        <w:spacing w:line="360" w:lineRule="auto"/>
        <w:jc w:val="center"/>
        <w:rPr>
          <w:rFonts w:ascii="宋体" w:hAnsi="宋体" w:cs="宋体"/>
          <w:b/>
          <w:color w:val="auto"/>
          <w:w w:val="90"/>
          <w:sz w:val="32"/>
          <w:szCs w:val="32"/>
          <w:highlight w:val="none"/>
        </w:rPr>
      </w:pPr>
      <w:bookmarkStart w:id="9" w:name="_Toc18209295"/>
      <w:r>
        <w:rPr>
          <w:rFonts w:hint="eastAsia" w:ascii="宋体" w:hAnsi="宋体" w:cs="宋体"/>
          <w:b/>
          <w:color w:val="auto"/>
          <w:w w:val="90"/>
          <w:sz w:val="32"/>
          <w:szCs w:val="32"/>
          <w:highlight w:val="none"/>
        </w:rPr>
        <w:t>授权委托书</w:t>
      </w:r>
      <w:bookmarkEnd w:id="9"/>
    </w:p>
    <w:p>
      <w:pPr>
        <w:spacing w:line="360" w:lineRule="auto"/>
        <w:rPr>
          <w:rFonts w:ascii="宋体" w:hAnsi="宋体" w:cs="宋体"/>
          <w:color w:val="auto"/>
          <w:sz w:val="24"/>
          <w:highlight w:val="none"/>
        </w:rPr>
      </w:pP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中建路桥集团有限公司</w:t>
      </w:r>
      <w:r>
        <w:rPr>
          <w:rFonts w:hint="eastAsia" w:ascii="宋体" w:hAnsi="宋体" w:cs="宋体"/>
          <w:color w:val="auto"/>
          <w:szCs w:val="21"/>
          <w:highlight w:val="none"/>
          <w:u w:val="single"/>
          <w:lang w:val="en-US" w:eastAsia="zh-CN"/>
        </w:rPr>
        <w:t>济宁分公司</w:t>
      </w:r>
    </w:p>
    <w:p>
      <w:pPr>
        <w:spacing w:line="360" w:lineRule="auto"/>
        <w:ind w:firstLine="480"/>
        <w:rPr>
          <w:rFonts w:ascii="宋体" w:hAnsi="宋体" w:cs="宋体"/>
          <w:color w:val="auto"/>
          <w:szCs w:val="21"/>
          <w:highlight w:val="none"/>
        </w:rPr>
      </w:pPr>
    </w:p>
    <w:p>
      <w:pPr>
        <w:spacing w:line="360" w:lineRule="auto"/>
        <w:ind w:firstLine="525"/>
        <w:jc w:val="left"/>
        <w:rPr>
          <w:rFonts w:ascii="宋体" w:hAnsi="宋体" w:cs="宋体"/>
          <w:color w:val="auto"/>
          <w:sz w:val="28"/>
          <w:szCs w:val="28"/>
          <w:highlight w:val="none"/>
        </w:rPr>
      </w:pPr>
      <w:r>
        <w:rPr>
          <w:rFonts w:hint="eastAsia" w:ascii="宋体" w:hAnsi="宋体" w:cs="宋体"/>
          <w:color w:val="auto"/>
          <w:szCs w:val="21"/>
          <w:highlight w:val="none"/>
        </w:rPr>
        <w:t xml:space="preserve">本授权书宣告：  </w:t>
      </w:r>
      <w:r>
        <w:rPr>
          <w:rFonts w:hint="eastAsia" w:ascii="宋体" w:hAnsi="宋体" w:cs="宋体"/>
          <w:color w:val="auto"/>
          <w:szCs w:val="21"/>
          <w:highlight w:val="none"/>
          <w:u w:val="single"/>
        </w:rPr>
        <w:t>(投标人全称)  (职务)  (姓名)</w:t>
      </w:r>
      <w:r>
        <w:rPr>
          <w:rFonts w:hint="eastAsia" w:ascii="宋体" w:hAnsi="宋体" w:cs="宋体"/>
          <w:color w:val="auto"/>
          <w:szCs w:val="21"/>
          <w:highlight w:val="none"/>
        </w:rPr>
        <w:t xml:space="preserve">合法地代表本单位，授权 </w:t>
      </w:r>
      <w:r>
        <w:rPr>
          <w:rFonts w:hint="eastAsia" w:ascii="宋体" w:hAnsi="宋体" w:cs="宋体"/>
          <w:color w:val="auto"/>
          <w:szCs w:val="21"/>
          <w:highlight w:val="none"/>
          <w:u w:val="single"/>
        </w:rPr>
        <w:t xml:space="preserve">(投标人全称)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(职务) (姓名)</w:t>
      </w:r>
      <w:r>
        <w:rPr>
          <w:rFonts w:hint="eastAsia" w:ascii="宋体" w:hAnsi="宋体" w:cs="宋体"/>
          <w:color w:val="auto"/>
          <w:szCs w:val="21"/>
          <w:highlight w:val="none"/>
        </w:rPr>
        <w:t>为我单位代理人，该代理人有权在</w:t>
      </w:r>
      <w:r>
        <w:rPr>
          <w:rFonts w:hint="eastAsia" w:ascii="宋体" w:hAnsi="宋体" w:cs="宋体"/>
          <w:color w:val="auto"/>
          <w:szCs w:val="21"/>
          <w:highlight w:val="none"/>
          <w:u w:val="single"/>
        </w:rPr>
        <w:t>中建路桥集团有限公司</w:t>
      </w:r>
      <w:r>
        <w:rPr>
          <w:rFonts w:hint="eastAsia"/>
          <w:color w:val="auto"/>
          <w:highlight w:val="none"/>
          <w:u w:val="single"/>
          <w:lang w:val="en-US" w:eastAsia="zh-CN"/>
        </w:rPr>
        <w:t>济宁市太白湖新区路网、桥梁建设EPC项目</w:t>
      </w:r>
      <w:r>
        <w:rPr>
          <w:rFonts w:hint="eastAsia" w:cs="宋体" w:asciiTheme="minorEastAsia" w:hAnsiTheme="minorEastAsia"/>
          <w:color w:val="auto"/>
          <w:szCs w:val="21"/>
          <w:highlight w:val="none"/>
          <w:u w:val="single"/>
          <w:lang w:val="en-US" w:eastAsia="zh-CN"/>
        </w:rPr>
        <w:t>石灰</w:t>
      </w:r>
      <w:r>
        <w:rPr>
          <w:rFonts w:hint="eastAsia" w:ascii="宋体" w:hAnsi="宋体" w:cs="宋体"/>
          <w:color w:val="auto"/>
          <w:szCs w:val="21"/>
          <w:highlight w:val="none"/>
          <w:u w:val="single"/>
        </w:rPr>
        <w:t>采购</w:t>
      </w:r>
      <w:r>
        <w:rPr>
          <w:rFonts w:hint="eastAsia"/>
          <w:color w:val="auto"/>
          <w:highlight w:val="none"/>
          <w:u w:val="single"/>
        </w:rPr>
        <w:t>招标</w:t>
      </w:r>
      <w:r>
        <w:rPr>
          <w:rFonts w:hint="eastAsia"/>
          <w:color w:val="auto"/>
          <w:highlight w:val="none"/>
          <w:u w:val="single"/>
          <w:lang w:val="en-US" w:eastAsia="zh-CN"/>
        </w:rPr>
        <w:t>文</w:t>
      </w:r>
      <w:r>
        <w:rPr>
          <w:rFonts w:hint="eastAsia"/>
          <w:color w:val="auto"/>
          <w:highlight w:val="none"/>
          <w:u w:val="single"/>
        </w:rPr>
        <w:t>件</w:t>
      </w:r>
      <w:r>
        <w:rPr>
          <w:rFonts w:hint="eastAsia" w:ascii="宋体" w:hAnsi="宋体" w:cs="宋体"/>
          <w:color w:val="auto"/>
          <w:szCs w:val="21"/>
          <w:highlight w:val="none"/>
          <w:u w:val="single"/>
        </w:rPr>
        <w:t>（</w:t>
      </w:r>
      <w:r>
        <w:rPr>
          <w:rFonts w:hint="eastAsia" w:ascii="宋体" w:hAnsi="宋体" w:cs="宋体"/>
          <w:color w:val="auto"/>
          <w:highlight w:val="none"/>
        </w:rPr>
        <w:t>招标文件编号</w:t>
      </w:r>
      <w:r>
        <w:rPr>
          <w:rFonts w:hint="eastAsia" w:ascii="宋体" w:hAnsi="宋体" w:cs="宋体"/>
          <w:color w:val="auto"/>
          <w:highlight w:val="none"/>
          <w:lang w:eastAsia="zh-CN"/>
        </w:rPr>
        <w:t>：</w:t>
      </w:r>
      <w:r>
        <w:rPr>
          <w:rFonts w:hint="eastAsia" w:ascii="宋体" w:hAnsi="宋体" w:cs="宋体"/>
          <w:color w:val="auto"/>
          <w:highlight w:val="none"/>
          <w:u w:val="single"/>
          <w:lang w:val="en-US" w:eastAsia="zh-CN"/>
        </w:rPr>
        <w:t>ZJLQ-FGZB-济宁EPC项目-003号</w:t>
      </w:r>
      <w:r>
        <w:rPr>
          <w:rFonts w:hint="eastAsia" w:ascii="宋体" w:hAnsi="宋体" w:cs="宋体"/>
          <w:color w:val="auto"/>
          <w:highlight w:val="none"/>
        </w:rPr>
        <w:t>）</w:t>
      </w:r>
      <w:r>
        <w:rPr>
          <w:rFonts w:hint="eastAsia" w:ascii="宋体" w:hAnsi="宋体" w:cs="宋体"/>
          <w:color w:val="auto"/>
          <w:szCs w:val="21"/>
          <w:highlight w:val="none"/>
        </w:rPr>
        <w:t>工作中，以我单位的名义签署投标函和投标文件、与招标人协商、谈判、签订合同协议书以及执行一切与此有关的事项。</w:t>
      </w: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ind w:firstLine="3878"/>
        <w:jc w:val="lef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w:t>
      </w:r>
    </w:p>
    <w:p>
      <w:pPr>
        <w:spacing w:line="360" w:lineRule="auto"/>
        <w:ind w:firstLine="3878"/>
        <w:jc w:val="left"/>
        <w:rPr>
          <w:rFonts w:ascii="宋体" w:hAnsi="宋体" w:cs="宋体"/>
          <w:color w:val="auto"/>
          <w:szCs w:val="21"/>
          <w:highlight w:val="none"/>
        </w:rPr>
      </w:pPr>
    </w:p>
    <w:p>
      <w:pPr>
        <w:spacing w:line="360" w:lineRule="auto"/>
        <w:ind w:firstLine="3878"/>
        <w:jc w:val="left"/>
        <w:rPr>
          <w:rFonts w:ascii="宋体" w:hAnsi="宋体" w:cs="宋体"/>
          <w:color w:val="auto"/>
          <w:szCs w:val="21"/>
          <w:highlight w:val="none"/>
        </w:rPr>
      </w:pPr>
      <w:r>
        <w:rPr>
          <w:rFonts w:hint="eastAsia" w:ascii="宋体" w:hAnsi="宋体" w:cs="宋体"/>
          <w:color w:val="auto"/>
          <w:szCs w:val="21"/>
          <w:highlight w:val="none"/>
        </w:rPr>
        <w:t>授权人：</w:t>
      </w:r>
      <w:r>
        <w:rPr>
          <w:rFonts w:hint="eastAsia" w:ascii="宋体" w:hAnsi="宋体" w:cs="宋体"/>
          <w:color w:val="auto"/>
          <w:szCs w:val="21"/>
          <w:highlight w:val="none"/>
          <w:u w:val="single"/>
        </w:rPr>
        <w:t xml:space="preserve">                     (签字)</w:t>
      </w:r>
    </w:p>
    <w:p>
      <w:pPr>
        <w:spacing w:line="360" w:lineRule="auto"/>
        <w:ind w:firstLine="3878"/>
        <w:jc w:val="left"/>
        <w:rPr>
          <w:rFonts w:ascii="宋体" w:hAnsi="宋体" w:cs="宋体"/>
          <w:color w:val="auto"/>
          <w:szCs w:val="21"/>
          <w:highlight w:val="none"/>
        </w:rPr>
      </w:pPr>
    </w:p>
    <w:p>
      <w:pPr>
        <w:spacing w:line="360" w:lineRule="auto"/>
        <w:ind w:firstLine="3878"/>
        <w:jc w:val="left"/>
        <w:rPr>
          <w:rFonts w:ascii="宋体" w:hAnsi="宋体" w:cs="宋体"/>
          <w:color w:val="auto"/>
          <w:szCs w:val="21"/>
          <w:highlight w:val="none"/>
          <w:u w:val="single"/>
        </w:rPr>
      </w:pPr>
      <w:r>
        <w:rPr>
          <w:rFonts w:hint="eastAsia" w:ascii="宋体" w:hAnsi="宋体" w:cs="宋体"/>
          <w:color w:val="auto"/>
          <w:szCs w:val="21"/>
          <w:highlight w:val="none"/>
        </w:rPr>
        <w:t>授权代理人：</w:t>
      </w:r>
      <w:r>
        <w:rPr>
          <w:rFonts w:hint="eastAsia" w:ascii="宋体" w:hAnsi="宋体" w:cs="宋体"/>
          <w:color w:val="auto"/>
          <w:szCs w:val="21"/>
          <w:highlight w:val="none"/>
          <w:u w:val="single"/>
        </w:rPr>
        <w:t xml:space="preserve">                 (签字)</w:t>
      </w:r>
    </w:p>
    <w:p>
      <w:pPr>
        <w:spacing w:line="360" w:lineRule="auto"/>
        <w:ind w:firstLine="3878"/>
        <w:jc w:val="left"/>
        <w:rPr>
          <w:rFonts w:ascii="宋体" w:hAnsi="宋体" w:cs="宋体"/>
          <w:color w:val="auto"/>
          <w:szCs w:val="21"/>
          <w:highlight w:val="none"/>
        </w:rPr>
      </w:pPr>
    </w:p>
    <w:p>
      <w:pPr>
        <w:spacing w:line="360" w:lineRule="auto"/>
        <w:ind w:firstLine="3878"/>
        <w:jc w:val="left"/>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ascii="宋体" w:hAnsi="宋体" w:cs="宋体"/>
          <w:color w:val="auto"/>
          <w:w w:val="90"/>
          <w:sz w:val="24"/>
          <w:highlight w:val="none"/>
        </w:rPr>
      </w:pPr>
    </w:p>
    <w:p>
      <w:pPr>
        <w:spacing w:line="360" w:lineRule="auto"/>
        <w:jc w:val="left"/>
        <w:rPr>
          <w:rFonts w:hint="eastAsia" w:ascii="宋体" w:hAnsi="宋体" w:cs="宋体"/>
          <w:color w:val="auto"/>
          <w:w w:val="90"/>
          <w:sz w:val="24"/>
          <w:highlight w:val="none"/>
        </w:rPr>
      </w:pPr>
    </w:p>
    <w:p>
      <w:pPr>
        <w:spacing w:line="360" w:lineRule="auto"/>
        <w:jc w:val="left"/>
        <w:rPr>
          <w:rFonts w:ascii="宋体" w:hAnsi="宋体" w:cs="宋体"/>
          <w:color w:val="auto"/>
          <w:szCs w:val="21"/>
          <w:highlight w:val="none"/>
        </w:rPr>
      </w:pPr>
      <w:r>
        <w:rPr>
          <w:rFonts w:hint="eastAsia" w:ascii="宋体" w:hAnsi="宋体" w:cs="宋体"/>
          <w:color w:val="auto"/>
          <w:w w:val="90"/>
          <w:sz w:val="24"/>
          <w:highlight w:val="none"/>
        </w:rPr>
        <w:t>附件四</w:t>
      </w: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tbl>
      <w:tblPr>
        <w:tblStyle w:val="14"/>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Pr>
          <w:p>
            <w:pPr>
              <w:pStyle w:val="20"/>
              <w:spacing w:before="312" w:beforeLines="100" w:line="360" w:lineRule="auto"/>
              <w:jc w:val="both"/>
              <w:rPr>
                <w:rFonts w:ascii="宋体" w:hAnsi="宋体" w:eastAsia="宋体"/>
                <w:b w:val="0"/>
                <w:color w:val="auto"/>
                <w:highlight w:val="none"/>
              </w:rPr>
            </w:pPr>
            <w:r>
              <w:rPr>
                <w:rFonts w:hint="eastAsia" w:ascii="宋体" w:hAnsi="宋体" w:eastAsia="宋体"/>
                <w:b w:val="0"/>
                <w:color w:val="auto"/>
                <w:highlight w:val="none"/>
              </w:rPr>
              <w:t xml:space="preserve">       </w:t>
            </w:r>
          </w:p>
          <w:p>
            <w:pPr>
              <w:pStyle w:val="20"/>
              <w:spacing w:before="312" w:beforeLines="100" w:line="360" w:lineRule="auto"/>
              <w:jc w:val="both"/>
              <w:rPr>
                <w:rFonts w:ascii="宋体" w:hAnsi="宋体" w:eastAsia="宋体"/>
                <w:b w:val="0"/>
                <w:color w:val="auto"/>
                <w:highlight w:val="none"/>
              </w:rPr>
            </w:pPr>
            <w:r>
              <w:rPr>
                <w:rFonts w:hint="eastAsia" w:ascii="宋体" w:hAnsi="宋体" w:eastAsia="宋体"/>
                <w:b w:val="0"/>
                <w:color w:val="auto"/>
                <w:highlight w:val="none"/>
              </w:rPr>
              <w:t xml:space="preserve">    法人身份证（扫描件）</w:t>
            </w:r>
          </w:p>
        </w:tc>
      </w:tr>
    </w:tbl>
    <w:p>
      <w:pPr>
        <w:rPr>
          <w:vanish/>
          <w:color w:val="auto"/>
          <w:highlight w:val="none"/>
        </w:rPr>
      </w:pPr>
    </w:p>
    <w:tbl>
      <w:tblPr>
        <w:tblStyle w:val="14"/>
        <w:tblpPr w:leftFromText="180" w:rightFromText="180" w:vertAnchor="text" w:horzAnchor="margin" w:tblpXSpec="right" w:tblpY="-2107"/>
        <w:tblOverlap w:val="never"/>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Pr>
          <w:p>
            <w:pPr>
              <w:pStyle w:val="20"/>
              <w:spacing w:before="312" w:beforeLines="100" w:line="360" w:lineRule="auto"/>
              <w:jc w:val="both"/>
              <w:rPr>
                <w:rFonts w:ascii="宋体" w:hAnsi="宋体" w:eastAsia="宋体"/>
                <w:b w:val="0"/>
                <w:color w:val="auto"/>
                <w:highlight w:val="none"/>
              </w:rPr>
            </w:pPr>
          </w:p>
          <w:p>
            <w:pPr>
              <w:pStyle w:val="20"/>
              <w:spacing w:before="312" w:beforeLines="100" w:line="360" w:lineRule="auto"/>
              <w:jc w:val="both"/>
              <w:rPr>
                <w:rFonts w:ascii="宋体" w:hAnsi="宋体" w:eastAsia="宋体"/>
                <w:b w:val="0"/>
                <w:color w:val="auto"/>
                <w:highlight w:val="none"/>
              </w:rPr>
            </w:pPr>
            <w:r>
              <w:rPr>
                <w:rFonts w:hint="eastAsia" w:ascii="宋体" w:hAnsi="宋体" w:eastAsia="宋体"/>
                <w:b w:val="0"/>
                <w:color w:val="auto"/>
                <w:highlight w:val="none"/>
              </w:rPr>
              <w:t xml:space="preserve">  授权代理人身份证（扫描件）</w:t>
            </w:r>
          </w:p>
        </w:tc>
      </w:tr>
    </w:tbl>
    <w:p>
      <w:pPr>
        <w:pStyle w:val="20"/>
        <w:spacing w:before="312" w:beforeLines="100" w:line="360" w:lineRule="auto"/>
        <w:jc w:val="both"/>
        <w:rPr>
          <w:rFonts w:ascii="宋体" w:hAnsi="宋体" w:eastAsia="宋体"/>
          <w:b w:val="0"/>
          <w:color w:val="auto"/>
          <w:highlight w:val="none"/>
        </w:rPr>
      </w:pPr>
      <w:r>
        <w:rPr>
          <w:rFonts w:hint="eastAsia" w:ascii="宋体" w:hAnsi="宋体" w:eastAsia="宋体"/>
          <w:b w:val="0"/>
          <w:color w:val="auto"/>
          <w:highlight w:val="none"/>
        </w:rPr>
        <w:t xml:space="preserve"> </w:t>
      </w:r>
    </w:p>
    <w:p>
      <w:pPr>
        <w:rPr>
          <w:rFonts w:ascii="宋体" w:hAnsi="宋体" w:cs="宋体"/>
          <w:color w:val="auto"/>
          <w:highlight w:val="none"/>
        </w:rPr>
      </w:pPr>
    </w:p>
    <w:p>
      <w:pPr>
        <w:spacing w:before="156" w:beforeLines="50" w:line="276" w:lineRule="auto"/>
        <w:rPr>
          <w:rFonts w:ascii="宋体" w:hAnsi="宋体" w:cs="宋体"/>
          <w:color w:val="auto"/>
          <w:szCs w:val="21"/>
          <w:highlight w:val="none"/>
        </w:rPr>
      </w:pPr>
    </w:p>
    <w:p>
      <w:pPr>
        <w:ind w:firstLine="480"/>
        <w:rPr>
          <w:rFonts w:ascii="宋体" w:hAnsi="宋体" w:cs="宋体"/>
          <w:color w:val="auto"/>
          <w:szCs w:val="21"/>
          <w:highlight w:val="none"/>
        </w:rPr>
      </w:pPr>
    </w:p>
    <w:p>
      <w:pPr>
        <w:rPr>
          <w:color w:val="auto"/>
          <w:highlight w:val="none"/>
        </w:rPr>
      </w:pPr>
    </w:p>
    <w:sectPr>
      <w:headerReference r:id="rId6" w:type="first"/>
      <w:footerReference r:id="rId8" w:type="first"/>
      <w:headerReference r:id="rId5" w:type="default"/>
      <w:footerReference r:id="rId7" w:type="default"/>
      <w:pgSz w:w="11906" w:h="16838"/>
      <w:pgMar w:top="1440" w:right="1800" w:bottom="1327" w:left="180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960" w:firstLineChars="2200"/>
    </w:pPr>
    <w:r>
      <w:pict>
        <v:shape id="_x0000_s2052" o:spid="_x0000_s2052" o:spt="202" type="#_x0000_t202" style="position:absolute;left:0pt;margin-left:171.65pt;margin-top:-2.95pt;height:14.6pt;width:99pt;mso-position-horizontal-relative:margin;z-index:251660288;mso-width-relative:page;mso-height-relative:page;" filled="f" stroked="f" coordsize="21600,21600" o:gfxdata="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zxeR2AAA&#10;AAkBAAAPAAAAAAAAAAEAIAAAACIAAABkcnMvZG93bnJldi54bWxQSwECFAAUAAAACACHTuJAjI59&#10;g6wBAAA7AwAADgAAAAAAAAABACAAAAAnAQAAZHJzL2Uyb0RvYy54bWxQSwUGAAAAAAYABgBZAQAA&#10;RQUAAAAA&#10;">
          <v:path/>
          <v:fill on="f" focussize="0,0"/>
          <v:stroke on="f" joinstyle="miter"/>
          <v:imagedata o:title=""/>
          <o:lock v:ext="edit"/>
          <v:textbox inset="0mm,0mm,0mm,0mm">
            <w:txbxContent>
              <w:p>
                <w:pPr>
                  <w:pStyle w:val="10"/>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rPr>
                    <w:rFonts w:hint="eastAsia"/>
                    <w:lang w:val="en-US" w:eastAsia="zh-CN"/>
                  </w:rPr>
                  <w:t>28</w:t>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right"/>
      <w:rPr>
        <w:lang w:val="zh-CN"/>
      </w:rPr>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IqbapW8AQAAYgMAAA4AAAAAAAAAAQAgAAAAHgEAAGRycy9lMm9Eb2MueG1sUEsFBgAAAAAG&#10;AAYAWQEAAEwFAAAAAA==&#10;">
          <v:path/>
          <v:fill on="f" focussize="0,0"/>
          <v:stroke on="f" joinstyle="miter"/>
          <v:imagedata o:title=""/>
          <o:lock v:ext="edit"/>
          <v:textbox inset="0mm,0mm,0mm,0mm" style="mso-fit-shape-to-text:t;">
            <w:txbxContent>
              <w:p>
                <w:pPr>
                  <w:pStyle w:val="10"/>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w:t>
                </w:r>
                <w:r>
                  <w:rPr>
                    <w:rFonts w:hint="eastAsia"/>
                    <w:lang w:val="en-US" w:eastAsia="zh-CN"/>
                  </w:rPr>
                  <w:t>28</w:t>
                </w:r>
                <w:r>
                  <w:rPr>
                    <w:rFonts w:hint="eastAsia"/>
                  </w:rPr>
                  <w:t>页</w:t>
                </w:r>
              </w:p>
            </w:txbxContent>
          </v:textbox>
        </v:shape>
      </w:pict>
    </w:r>
  </w:p>
  <w:p>
    <w:pPr>
      <w:pStyle w:val="10"/>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 w:firstLineChars="300"/>
      <w:jc w:val="both"/>
    </w:pPr>
    <w:r>
      <w:pict>
        <v:shape id="_x0000_s2057" o:spid="_x0000_s2057" o:spt="75" type="#_x0000_t75" style="position:absolute;left:0pt;margin-left:-3.15pt;margin-top:-14.05pt;height:25.7pt;width:27pt;mso-wrap-distance-bottom:0pt;mso-wrap-distance-top:0pt;z-index:251665408;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57" DrawAspect="Content" ObjectID="_1468075725" r:id="rId1">
          <o:LockedField>false</o:LockedField>
        </o:OLEObject>
      </w:pict>
    </w:r>
    <w:r>
      <w:rPr>
        <w:rFonts w:hint="eastAsia"/>
      </w:rPr>
      <w:t>中建路桥集团有限公司                      宝鸡市虢磻渭河大桥工程商品混凝土采购招标文件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56" w:line="480" w:lineRule="exact"/>
      <w:jc w:val="left"/>
      <w:rPr>
        <w:rFonts w:hint="eastAsia"/>
        <w:sz w:val="18"/>
        <w:szCs w:val="18"/>
      </w:rPr>
    </w:pPr>
    <w:r>
      <w:rPr>
        <w:sz w:val="18"/>
        <w:szCs w:val="18"/>
      </w:rPr>
      <w:pict>
        <v:shape id="_x0000_s2059" o:spid="_x0000_s2059" o:spt="75" type="#_x0000_t75" style="position:absolute;left:0pt;margin-left:-3.15pt;margin-top:-14.05pt;height:25.7pt;width:27pt;mso-wrap-distance-bottom:0pt;mso-wrap-distance-top:0pt;z-index:251668480;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59" DrawAspect="Content" ObjectID="_1468075726" r:id="rId1">
          <o:LockedField>false</o:LockedField>
        </o:OLEObject>
      </w:pict>
    </w:r>
    <w:r>
      <w:rPr>
        <w:rFonts w:hint="eastAsia"/>
        <w:sz w:val="18"/>
        <w:szCs w:val="18"/>
      </w:rPr>
      <w:t>中建路桥集团有限公司</w:t>
    </w:r>
    <w:r>
      <w:rPr>
        <w:rFonts w:hint="eastAsia"/>
        <w:sz w:val="18"/>
        <w:szCs w:val="18"/>
        <w:lang w:val="en-US" w:eastAsia="zh-CN"/>
      </w:rPr>
      <w:t xml:space="preserve">    </w:t>
    </w:r>
    <w:r>
      <w:rPr>
        <w:rFonts w:hint="eastAsia"/>
        <w:sz w:val="20"/>
        <w:szCs w:val="20"/>
        <w:lang w:val="en-US" w:eastAsia="zh-CN"/>
      </w:rPr>
      <w:t>济宁市太白湖新区路网、桥梁建设EPC项目石灰</w:t>
    </w:r>
    <w:r>
      <w:rPr>
        <w:rFonts w:hint="eastAsia"/>
        <w:sz w:val="20"/>
        <w:szCs w:val="20"/>
      </w:rPr>
      <w:t>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720" w:firstLineChars="400"/>
      <w:jc w:val="both"/>
      <w:rPr>
        <w:rFonts w:hint="eastAsia" w:ascii="宋体" w:hAnsi="宋体" w:eastAsia="宋体" w:cs="宋体"/>
        <w:sz w:val="18"/>
        <w:szCs w:val="18"/>
      </w:rPr>
    </w:pPr>
    <w:r>
      <w:rPr>
        <w:sz w:val="18"/>
        <w:szCs w:val="18"/>
      </w:rPr>
      <w:pict>
        <v:shape id="_x0000_s2051" o:spid="_x0000_s2051" o:spt="75" type="#_x0000_t75" style="position:absolute;left:0pt;margin-left:1.35pt;margin-top:-14.8pt;height:27.45pt;width:29pt;mso-wrap-distance-bottom:0pt;mso-wrap-distance-top:0pt;z-index:251659264;mso-width-relative:page;mso-height-relative:page;" o:ole="t" filled="f" o:preferrelative="t" stroked="f" coordsize="21600,21600">
          <v:path/>
          <v:fill on="f" focussize="0,0"/>
          <v:stroke on="f" joinstyle="miter"/>
          <v:imagedata r:id="rId2" o:title=""/>
          <o:lock v:ext="edit" aspectratio="f"/>
          <w10:wrap type="topAndBottom"/>
        </v:shape>
        <o:OLEObject Type="Embed" ProgID="Word.Picture.8" ShapeID="_x0000_s2051" DrawAspect="Content" ObjectID="_1468075727" r:id="rId1">
          <o:LockedField>false</o:LockedField>
        </o:OLEObject>
      </w:pict>
    </w:r>
    <w:r>
      <w:rPr>
        <w:rFonts w:hint="eastAsia"/>
        <w:sz w:val="18"/>
        <w:szCs w:val="18"/>
      </w:rPr>
      <w:t>中建路桥集团有限公司</w:t>
    </w:r>
    <w:r>
      <w:rPr>
        <w:rFonts w:hint="eastAsia"/>
        <w:sz w:val="18"/>
        <w:szCs w:val="18"/>
        <w:lang w:val="en-US" w:eastAsia="zh-CN"/>
      </w:rPr>
      <w:t xml:space="preserve">   </w:t>
    </w:r>
    <w:r>
      <w:rPr>
        <w:rFonts w:hint="eastAsia" w:ascii="宋体" w:hAnsi="宋体" w:eastAsia="宋体" w:cs="宋体"/>
        <w:sz w:val="18"/>
        <w:szCs w:val="18"/>
        <w:lang w:val="en-US" w:eastAsia="zh-CN"/>
      </w:rPr>
      <w:t>济宁市太白湖新区路网、桥梁建设</w:t>
    </w:r>
    <w:r>
      <w:rPr>
        <w:rFonts w:hint="eastAsia" w:ascii="宋体" w:hAnsi="宋体" w:cs="宋体"/>
        <w:sz w:val="18"/>
        <w:szCs w:val="18"/>
        <w:lang w:val="en-US" w:eastAsia="zh-CN"/>
      </w:rPr>
      <w:t>EPC项目石灰</w:t>
    </w:r>
    <w:r>
      <w:rPr>
        <w:rFonts w:hint="eastAsia" w:ascii="宋体" w:hAnsi="宋体" w:eastAsia="宋体" w:cs="宋体"/>
        <w:sz w:val="18"/>
        <w:szCs w:val="18"/>
      </w:rPr>
      <w:t>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40" w:firstLineChars="300"/>
      <w:jc w:val="both"/>
      <w:rPr>
        <w:sz w:val="18"/>
        <w:szCs w:val="18"/>
      </w:rPr>
    </w:pPr>
    <w:r>
      <w:rPr>
        <w:sz w:val="18"/>
        <w:szCs w:val="18"/>
      </w:rPr>
      <w:pict>
        <v:shape id="_x0000_s2049" o:spid="_x0000_s2049" o:spt="75" type="#_x0000_t75" style="position:absolute;left:0pt;margin-left:-3.15pt;margin-top:-14.05pt;height:25.7pt;width:27pt;mso-wrap-distance-bottom:0pt;mso-wrap-distance-top:0pt;z-index:251658240;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49" DrawAspect="Content" ObjectID="_1468075728" r:id="rId1">
          <o:LockedField>false</o:LockedField>
        </o:OLEObject>
      </w:pict>
    </w:r>
    <w:r>
      <w:rPr>
        <w:rFonts w:hint="eastAsia"/>
        <w:sz w:val="18"/>
        <w:szCs w:val="18"/>
      </w:rPr>
      <w:t>中建路桥集团有限公司</w:t>
    </w:r>
    <w:r>
      <w:rPr>
        <w:rFonts w:hint="eastAsia"/>
        <w:sz w:val="18"/>
        <w:szCs w:val="18"/>
        <w:lang w:val="en-US" w:eastAsia="zh-CN"/>
      </w:rPr>
      <w:t xml:space="preserve">     </w:t>
    </w:r>
    <w:r>
      <w:rPr>
        <w:rFonts w:hint="eastAsia" w:ascii="宋体" w:hAnsi="宋体" w:eastAsia="宋体" w:cs="宋体"/>
        <w:sz w:val="18"/>
        <w:szCs w:val="18"/>
        <w:lang w:val="en-US" w:eastAsia="zh-CN"/>
      </w:rPr>
      <w:t>济宁市太白湖新区路网、桥梁建设</w:t>
    </w:r>
    <w:r>
      <w:rPr>
        <w:rFonts w:hint="eastAsia" w:ascii="宋体" w:hAnsi="宋体" w:cs="宋体"/>
        <w:sz w:val="18"/>
        <w:szCs w:val="18"/>
        <w:lang w:val="en-US" w:eastAsia="zh-CN"/>
      </w:rPr>
      <w:t>EPC项目石灰</w:t>
    </w:r>
    <w:r>
      <w:rPr>
        <w:rFonts w:hint="eastAsia" w:ascii="宋体" w:hAnsi="宋体" w:eastAsia="宋体" w:cs="宋体"/>
        <w:sz w:val="18"/>
        <w:szCs w:val="18"/>
      </w:rPr>
      <w:t>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7C675"/>
    <w:multiLevelType w:val="singleLevel"/>
    <w:tmpl w:val="B237C675"/>
    <w:lvl w:ilvl="0" w:tentative="0">
      <w:start w:val="6"/>
      <w:numFmt w:val="decimal"/>
      <w:suff w:val="nothing"/>
      <w:lvlText w:val="%1．"/>
      <w:lvlJc w:val="left"/>
    </w:lvl>
  </w:abstractNum>
  <w:abstractNum w:abstractNumId="1">
    <w:nsid w:val="B76C8CA4"/>
    <w:multiLevelType w:val="singleLevel"/>
    <w:tmpl w:val="B76C8CA4"/>
    <w:lvl w:ilvl="0" w:tentative="0">
      <w:start w:val="1"/>
      <w:numFmt w:val="decimal"/>
      <w:suff w:val="nothing"/>
      <w:lvlText w:val="（%1）"/>
      <w:lvlJc w:val="left"/>
    </w:lvl>
  </w:abstractNum>
  <w:abstractNum w:abstractNumId="2">
    <w:nsid w:val="C9C8D206"/>
    <w:multiLevelType w:val="singleLevel"/>
    <w:tmpl w:val="C9C8D206"/>
    <w:lvl w:ilvl="0" w:tentative="0">
      <w:start w:val="1"/>
      <w:numFmt w:val="decimal"/>
      <w:suff w:val="nothing"/>
      <w:lvlText w:val="（%1）"/>
      <w:lvlJc w:val="left"/>
    </w:lvl>
  </w:abstractNum>
  <w:abstractNum w:abstractNumId="3">
    <w:nsid w:val="073119A9"/>
    <w:multiLevelType w:val="multilevel"/>
    <w:tmpl w:val="073119A9"/>
    <w:lvl w:ilvl="0" w:tentative="0">
      <w:start w:val="1"/>
      <w:numFmt w:val="chineseCountingThousand"/>
      <w:lvlText w:val="第%1条"/>
      <w:lvlJc w:val="left"/>
      <w:pPr>
        <w:ind w:left="704" w:hanging="420"/>
      </w:pPr>
      <w:rPr>
        <w:rFonts w:hint="eastAsia" w:eastAsia="黑体"/>
      </w:rPr>
    </w:lvl>
    <w:lvl w:ilvl="1" w:tentative="0">
      <w:start w:val="1"/>
      <w:numFmt w:val="decimal"/>
      <w:pStyle w:val="4"/>
      <w:isLgl/>
      <w:lvlText w:val="%1.%2"/>
      <w:lvlJc w:val="left"/>
      <w:pPr>
        <w:tabs>
          <w:tab w:val="left" w:pos="567"/>
        </w:tabs>
        <w:ind w:left="567" w:hanging="567"/>
      </w:pPr>
      <w:rPr>
        <w:rFonts w:hint="eastAsia"/>
        <w:color w:val="000000"/>
        <w:sz w:val="21"/>
        <w:szCs w:val="21"/>
        <w:vertAlign w:val="baseline"/>
      </w:rPr>
    </w:lvl>
    <w:lvl w:ilvl="2" w:tentative="0">
      <w:start w:val="1"/>
      <w:numFmt w:val="decimal"/>
      <w:pStyle w:val="5"/>
      <w:isLgl/>
      <w:lvlText w:val="%1.%2.%3"/>
      <w:lvlJc w:val="left"/>
      <w:pPr>
        <w:tabs>
          <w:tab w:val="left" w:pos="1080"/>
        </w:tabs>
        <w:ind w:left="720" w:hanging="720"/>
      </w:pPr>
      <w:rPr>
        <w:rFonts w:hint="eastAsia"/>
        <w:color w:val="auto"/>
      </w:rPr>
    </w:lvl>
    <w:lvl w:ilvl="3" w:tentative="0">
      <w:start w:val="1"/>
      <w:numFmt w:val="decima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94AF5C4"/>
    <w:multiLevelType w:val="singleLevel"/>
    <w:tmpl w:val="094AF5C4"/>
    <w:lvl w:ilvl="0" w:tentative="0">
      <w:start w:val="14"/>
      <w:numFmt w:val="decimal"/>
      <w:lvlText w:val="%1."/>
      <w:lvlJc w:val="left"/>
      <w:pPr>
        <w:tabs>
          <w:tab w:val="left" w:pos="312"/>
        </w:tabs>
      </w:pPr>
    </w:lvl>
  </w:abstractNum>
  <w:abstractNum w:abstractNumId="5">
    <w:nsid w:val="09B0FE98"/>
    <w:multiLevelType w:val="singleLevel"/>
    <w:tmpl w:val="09B0FE98"/>
    <w:lvl w:ilvl="0" w:tentative="0">
      <w:start w:val="13"/>
      <w:numFmt w:val="decimal"/>
      <w:lvlText w:val="%1."/>
      <w:lvlJc w:val="left"/>
      <w:pPr>
        <w:tabs>
          <w:tab w:val="left" w:pos="312"/>
        </w:tabs>
      </w:pPr>
    </w:lvl>
  </w:abstractNum>
  <w:abstractNum w:abstractNumId="6">
    <w:nsid w:val="1A23C099"/>
    <w:multiLevelType w:val="singleLevel"/>
    <w:tmpl w:val="1A23C099"/>
    <w:lvl w:ilvl="0" w:tentative="0">
      <w:start w:val="2"/>
      <w:numFmt w:val="decimal"/>
      <w:suff w:val="space"/>
      <w:lvlText w:val="%1."/>
      <w:lvlJc w:val="left"/>
    </w:lvl>
  </w:abstractNum>
  <w:abstractNum w:abstractNumId="7">
    <w:nsid w:val="29B1D44A"/>
    <w:multiLevelType w:val="singleLevel"/>
    <w:tmpl w:val="29B1D44A"/>
    <w:lvl w:ilvl="0" w:tentative="0">
      <w:start w:val="1"/>
      <w:numFmt w:val="decimal"/>
      <w:suff w:val="nothing"/>
      <w:lvlText w:val="（%1）"/>
      <w:lvlJc w:val="left"/>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17F1"/>
    <w:rsid w:val="0003665D"/>
    <w:rsid w:val="000450E1"/>
    <w:rsid w:val="00061603"/>
    <w:rsid w:val="0006600C"/>
    <w:rsid w:val="00072BCB"/>
    <w:rsid w:val="000A652F"/>
    <w:rsid w:val="000B047F"/>
    <w:rsid w:val="000B4E6D"/>
    <w:rsid w:val="000C1497"/>
    <w:rsid w:val="000D5B15"/>
    <w:rsid w:val="000D5D5E"/>
    <w:rsid w:val="000F4C73"/>
    <w:rsid w:val="001150B0"/>
    <w:rsid w:val="001440BF"/>
    <w:rsid w:val="00156D06"/>
    <w:rsid w:val="00172A27"/>
    <w:rsid w:val="001A7166"/>
    <w:rsid w:val="001C3E44"/>
    <w:rsid w:val="001C3F47"/>
    <w:rsid w:val="001C4790"/>
    <w:rsid w:val="001D05EB"/>
    <w:rsid w:val="001D15C3"/>
    <w:rsid w:val="001F4CB2"/>
    <w:rsid w:val="00201A09"/>
    <w:rsid w:val="002065CF"/>
    <w:rsid w:val="0025783B"/>
    <w:rsid w:val="00274C95"/>
    <w:rsid w:val="00296FF8"/>
    <w:rsid w:val="002A0081"/>
    <w:rsid w:val="002B214D"/>
    <w:rsid w:val="002D4BF9"/>
    <w:rsid w:val="002D74F5"/>
    <w:rsid w:val="002E4EB6"/>
    <w:rsid w:val="002E5106"/>
    <w:rsid w:val="002F3567"/>
    <w:rsid w:val="0030104A"/>
    <w:rsid w:val="00302054"/>
    <w:rsid w:val="003203A7"/>
    <w:rsid w:val="00327231"/>
    <w:rsid w:val="00362ABC"/>
    <w:rsid w:val="0036581B"/>
    <w:rsid w:val="0036710E"/>
    <w:rsid w:val="00386BF6"/>
    <w:rsid w:val="003939DA"/>
    <w:rsid w:val="003A367C"/>
    <w:rsid w:val="003A54A9"/>
    <w:rsid w:val="003C4A39"/>
    <w:rsid w:val="003E4A07"/>
    <w:rsid w:val="004038A4"/>
    <w:rsid w:val="0041294B"/>
    <w:rsid w:val="004166B3"/>
    <w:rsid w:val="00421776"/>
    <w:rsid w:val="00433880"/>
    <w:rsid w:val="00436280"/>
    <w:rsid w:val="0044420A"/>
    <w:rsid w:val="0044511C"/>
    <w:rsid w:val="00480EBE"/>
    <w:rsid w:val="00482BED"/>
    <w:rsid w:val="00483339"/>
    <w:rsid w:val="004A6521"/>
    <w:rsid w:val="004B2208"/>
    <w:rsid w:val="004C00F7"/>
    <w:rsid w:val="004C0B66"/>
    <w:rsid w:val="004D28BA"/>
    <w:rsid w:val="00514530"/>
    <w:rsid w:val="00554DC9"/>
    <w:rsid w:val="00555C29"/>
    <w:rsid w:val="00557EFE"/>
    <w:rsid w:val="005B30C2"/>
    <w:rsid w:val="005E1994"/>
    <w:rsid w:val="0060086C"/>
    <w:rsid w:val="00605631"/>
    <w:rsid w:val="00605CCA"/>
    <w:rsid w:val="0061515C"/>
    <w:rsid w:val="006303B8"/>
    <w:rsid w:val="0063451F"/>
    <w:rsid w:val="0064172F"/>
    <w:rsid w:val="00641C85"/>
    <w:rsid w:val="00683034"/>
    <w:rsid w:val="00691B0A"/>
    <w:rsid w:val="006A76E8"/>
    <w:rsid w:val="006D1FC8"/>
    <w:rsid w:val="006E0D9D"/>
    <w:rsid w:val="006E5ADC"/>
    <w:rsid w:val="00713895"/>
    <w:rsid w:val="0072125E"/>
    <w:rsid w:val="00744346"/>
    <w:rsid w:val="00753224"/>
    <w:rsid w:val="00755C3C"/>
    <w:rsid w:val="00767020"/>
    <w:rsid w:val="00777940"/>
    <w:rsid w:val="00780722"/>
    <w:rsid w:val="00780AFB"/>
    <w:rsid w:val="00786A49"/>
    <w:rsid w:val="007874F6"/>
    <w:rsid w:val="007921BD"/>
    <w:rsid w:val="00793465"/>
    <w:rsid w:val="007B23CC"/>
    <w:rsid w:val="007F6452"/>
    <w:rsid w:val="00820AE6"/>
    <w:rsid w:val="00826DB4"/>
    <w:rsid w:val="00835D23"/>
    <w:rsid w:val="008647FC"/>
    <w:rsid w:val="00871C23"/>
    <w:rsid w:val="008A4246"/>
    <w:rsid w:val="008A60C8"/>
    <w:rsid w:val="008B0B6A"/>
    <w:rsid w:val="008C72DF"/>
    <w:rsid w:val="008E6A40"/>
    <w:rsid w:val="009024BF"/>
    <w:rsid w:val="00953CD4"/>
    <w:rsid w:val="00970C42"/>
    <w:rsid w:val="009827B5"/>
    <w:rsid w:val="0098740F"/>
    <w:rsid w:val="009D458E"/>
    <w:rsid w:val="009E4DF0"/>
    <w:rsid w:val="009F3BC6"/>
    <w:rsid w:val="00A12D09"/>
    <w:rsid w:val="00A17D12"/>
    <w:rsid w:val="00A2671C"/>
    <w:rsid w:val="00A43902"/>
    <w:rsid w:val="00A47B41"/>
    <w:rsid w:val="00A958C3"/>
    <w:rsid w:val="00AA5A8B"/>
    <w:rsid w:val="00AB5906"/>
    <w:rsid w:val="00AC3E85"/>
    <w:rsid w:val="00AC5E0B"/>
    <w:rsid w:val="00B02EB7"/>
    <w:rsid w:val="00B07516"/>
    <w:rsid w:val="00B13EF2"/>
    <w:rsid w:val="00B40EFA"/>
    <w:rsid w:val="00B42AF6"/>
    <w:rsid w:val="00B70C6E"/>
    <w:rsid w:val="00B86268"/>
    <w:rsid w:val="00BA07C7"/>
    <w:rsid w:val="00BB17A2"/>
    <w:rsid w:val="00BE0A03"/>
    <w:rsid w:val="00BE21D5"/>
    <w:rsid w:val="00BE4C73"/>
    <w:rsid w:val="00C1763D"/>
    <w:rsid w:val="00C330EB"/>
    <w:rsid w:val="00C4726B"/>
    <w:rsid w:val="00C47D82"/>
    <w:rsid w:val="00C550AA"/>
    <w:rsid w:val="00C814C6"/>
    <w:rsid w:val="00CC58BA"/>
    <w:rsid w:val="00CF4FB0"/>
    <w:rsid w:val="00D15306"/>
    <w:rsid w:val="00D25CB6"/>
    <w:rsid w:val="00D37675"/>
    <w:rsid w:val="00D37B08"/>
    <w:rsid w:val="00D67ADC"/>
    <w:rsid w:val="00D7685B"/>
    <w:rsid w:val="00D84C9C"/>
    <w:rsid w:val="00D92EBE"/>
    <w:rsid w:val="00DA6803"/>
    <w:rsid w:val="00DB1C5D"/>
    <w:rsid w:val="00DC34EE"/>
    <w:rsid w:val="00DC4920"/>
    <w:rsid w:val="00DD0A86"/>
    <w:rsid w:val="00DD3F93"/>
    <w:rsid w:val="00DE1B1E"/>
    <w:rsid w:val="00DE34D7"/>
    <w:rsid w:val="00DE67FB"/>
    <w:rsid w:val="00E024D6"/>
    <w:rsid w:val="00E135AF"/>
    <w:rsid w:val="00E14A22"/>
    <w:rsid w:val="00E150B2"/>
    <w:rsid w:val="00E25CF4"/>
    <w:rsid w:val="00E32F40"/>
    <w:rsid w:val="00E3515C"/>
    <w:rsid w:val="00E455E1"/>
    <w:rsid w:val="00E668F8"/>
    <w:rsid w:val="00E72A1B"/>
    <w:rsid w:val="00E82243"/>
    <w:rsid w:val="00EA643F"/>
    <w:rsid w:val="00ED1B58"/>
    <w:rsid w:val="00EE7E9F"/>
    <w:rsid w:val="00EF2BCC"/>
    <w:rsid w:val="00F65E4E"/>
    <w:rsid w:val="00F77BB1"/>
    <w:rsid w:val="00F813C0"/>
    <w:rsid w:val="00F85216"/>
    <w:rsid w:val="00F85F06"/>
    <w:rsid w:val="00F861F7"/>
    <w:rsid w:val="00F97263"/>
    <w:rsid w:val="00FC41DE"/>
    <w:rsid w:val="00FC422F"/>
    <w:rsid w:val="00FC42F7"/>
    <w:rsid w:val="00FC6A14"/>
    <w:rsid w:val="00FD4520"/>
    <w:rsid w:val="01423C4D"/>
    <w:rsid w:val="01A7421E"/>
    <w:rsid w:val="01DA6FE1"/>
    <w:rsid w:val="020D7CBA"/>
    <w:rsid w:val="025C15E2"/>
    <w:rsid w:val="02763E93"/>
    <w:rsid w:val="02B45A12"/>
    <w:rsid w:val="0375775A"/>
    <w:rsid w:val="04122B8A"/>
    <w:rsid w:val="043A571F"/>
    <w:rsid w:val="04531C43"/>
    <w:rsid w:val="054C3E16"/>
    <w:rsid w:val="05821C14"/>
    <w:rsid w:val="05E9115F"/>
    <w:rsid w:val="065B0FEC"/>
    <w:rsid w:val="068A6DA5"/>
    <w:rsid w:val="06E00D18"/>
    <w:rsid w:val="07113D20"/>
    <w:rsid w:val="07730215"/>
    <w:rsid w:val="07B2399B"/>
    <w:rsid w:val="08B26556"/>
    <w:rsid w:val="08CD072D"/>
    <w:rsid w:val="09902519"/>
    <w:rsid w:val="09B37CB2"/>
    <w:rsid w:val="09D542FF"/>
    <w:rsid w:val="0A8652E7"/>
    <w:rsid w:val="0A904A29"/>
    <w:rsid w:val="0B397CDE"/>
    <w:rsid w:val="0B6D699D"/>
    <w:rsid w:val="0BE51977"/>
    <w:rsid w:val="0C0E25E2"/>
    <w:rsid w:val="0C5F24B6"/>
    <w:rsid w:val="0D4C530E"/>
    <w:rsid w:val="0D5B79DB"/>
    <w:rsid w:val="0D8D62C5"/>
    <w:rsid w:val="0DE23FEA"/>
    <w:rsid w:val="0E0A64DC"/>
    <w:rsid w:val="0E4F4D42"/>
    <w:rsid w:val="0E5642FA"/>
    <w:rsid w:val="0EB91308"/>
    <w:rsid w:val="0EEF4C58"/>
    <w:rsid w:val="0F214A02"/>
    <w:rsid w:val="0F230850"/>
    <w:rsid w:val="0F613281"/>
    <w:rsid w:val="105E6934"/>
    <w:rsid w:val="10844114"/>
    <w:rsid w:val="10F80594"/>
    <w:rsid w:val="112903A4"/>
    <w:rsid w:val="118B52BA"/>
    <w:rsid w:val="12296935"/>
    <w:rsid w:val="123F1A9C"/>
    <w:rsid w:val="132374F5"/>
    <w:rsid w:val="137001FF"/>
    <w:rsid w:val="13B6043B"/>
    <w:rsid w:val="142B0C23"/>
    <w:rsid w:val="145C1752"/>
    <w:rsid w:val="14880241"/>
    <w:rsid w:val="148A2EF6"/>
    <w:rsid w:val="151813C5"/>
    <w:rsid w:val="15330411"/>
    <w:rsid w:val="15F06D27"/>
    <w:rsid w:val="162E2B44"/>
    <w:rsid w:val="16806098"/>
    <w:rsid w:val="16820F5F"/>
    <w:rsid w:val="16DC5939"/>
    <w:rsid w:val="16F709F6"/>
    <w:rsid w:val="17166770"/>
    <w:rsid w:val="171C1149"/>
    <w:rsid w:val="17CB4B9F"/>
    <w:rsid w:val="17CC5185"/>
    <w:rsid w:val="17D13FB1"/>
    <w:rsid w:val="181A7661"/>
    <w:rsid w:val="182826ED"/>
    <w:rsid w:val="187C785C"/>
    <w:rsid w:val="18B8276B"/>
    <w:rsid w:val="194671AE"/>
    <w:rsid w:val="1968084E"/>
    <w:rsid w:val="198122D4"/>
    <w:rsid w:val="1989208F"/>
    <w:rsid w:val="19BC7D47"/>
    <w:rsid w:val="1A0B4714"/>
    <w:rsid w:val="1A391D10"/>
    <w:rsid w:val="1A7A17C6"/>
    <w:rsid w:val="1AB52B64"/>
    <w:rsid w:val="1AD90BD0"/>
    <w:rsid w:val="1B7878A8"/>
    <w:rsid w:val="1B9A6C4B"/>
    <w:rsid w:val="1C421086"/>
    <w:rsid w:val="1CFF78AF"/>
    <w:rsid w:val="1D3F5835"/>
    <w:rsid w:val="1E4F5B28"/>
    <w:rsid w:val="1F1B2610"/>
    <w:rsid w:val="1F1E4508"/>
    <w:rsid w:val="201D78A6"/>
    <w:rsid w:val="211B7423"/>
    <w:rsid w:val="211B79BE"/>
    <w:rsid w:val="211E503E"/>
    <w:rsid w:val="2184135F"/>
    <w:rsid w:val="22B56E54"/>
    <w:rsid w:val="231A24C7"/>
    <w:rsid w:val="233E78F5"/>
    <w:rsid w:val="23823E80"/>
    <w:rsid w:val="23C771FD"/>
    <w:rsid w:val="23EA07D2"/>
    <w:rsid w:val="240F4088"/>
    <w:rsid w:val="24E53EE6"/>
    <w:rsid w:val="24EE62EC"/>
    <w:rsid w:val="257D1859"/>
    <w:rsid w:val="266F3D1E"/>
    <w:rsid w:val="26D91B3A"/>
    <w:rsid w:val="272F42CB"/>
    <w:rsid w:val="27645D4E"/>
    <w:rsid w:val="27E36302"/>
    <w:rsid w:val="28160357"/>
    <w:rsid w:val="285F04DE"/>
    <w:rsid w:val="28AB1296"/>
    <w:rsid w:val="28B57C38"/>
    <w:rsid w:val="28E80490"/>
    <w:rsid w:val="292127D2"/>
    <w:rsid w:val="295C7E8A"/>
    <w:rsid w:val="29891010"/>
    <w:rsid w:val="2A4A4F98"/>
    <w:rsid w:val="2AA23251"/>
    <w:rsid w:val="2AE93E5D"/>
    <w:rsid w:val="2B285989"/>
    <w:rsid w:val="2C422C9D"/>
    <w:rsid w:val="2C731BB3"/>
    <w:rsid w:val="2CA86A20"/>
    <w:rsid w:val="2CE73CB0"/>
    <w:rsid w:val="2D484145"/>
    <w:rsid w:val="2D8865BC"/>
    <w:rsid w:val="2DC1677C"/>
    <w:rsid w:val="2E4B438D"/>
    <w:rsid w:val="2E8F151E"/>
    <w:rsid w:val="2EC305BA"/>
    <w:rsid w:val="2F571763"/>
    <w:rsid w:val="2F7231BF"/>
    <w:rsid w:val="301E486B"/>
    <w:rsid w:val="30C85E22"/>
    <w:rsid w:val="3180122A"/>
    <w:rsid w:val="31B0663B"/>
    <w:rsid w:val="31BF2BE2"/>
    <w:rsid w:val="32443DF9"/>
    <w:rsid w:val="326358AB"/>
    <w:rsid w:val="33BE7845"/>
    <w:rsid w:val="33F76EAA"/>
    <w:rsid w:val="341E5B08"/>
    <w:rsid w:val="35145EF9"/>
    <w:rsid w:val="355A1BD0"/>
    <w:rsid w:val="35660C6D"/>
    <w:rsid w:val="35EB6BFA"/>
    <w:rsid w:val="374A4D25"/>
    <w:rsid w:val="37587324"/>
    <w:rsid w:val="37B7177E"/>
    <w:rsid w:val="381246ED"/>
    <w:rsid w:val="389F5E89"/>
    <w:rsid w:val="38A32725"/>
    <w:rsid w:val="38D23354"/>
    <w:rsid w:val="38F2104E"/>
    <w:rsid w:val="39C26B57"/>
    <w:rsid w:val="3A0567A2"/>
    <w:rsid w:val="3A274110"/>
    <w:rsid w:val="3A425ECC"/>
    <w:rsid w:val="3A8B3E58"/>
    <w:rsid w:val="3B1D6A38"/>
    <w:rsid w:val="3B2E2091"/>
    <w:rsid w:val="3BED006B"/>
    <w:rsid w:val="3C04723D"/>
    <w:rsid w:val="3C704110"/>
    <w:rsid w:val="3CDC0836"/>
    <w:rsid w:val="3D2A0E7D"/>
    <w:rsid w:val="3D362651"/>
    <w:rsid w:val="3D5A683F"/>
    <w:rsid w:val="3D613D35"/>
    <w:rsid w:val="3D67650B"/>
    <w:rsid w:val="3D7030CE"/>
    <w:rsid w:val="3DAB5F35"/>
    <w:rsid w:val="3DC77ED5"/>
    <w:rsid w:val="3E3B25A5"/>
    <w:rsid w:val="3EA23CDC"/>
    <w:rsid w:val="3EB54D33"/>
    <w:rsid w:val="3EC506A1"/>
    <w:rsid w:val="3F23161F"/>
    <w:rsid w:val="3F8874DF"/>
    <w:rsid w:val="3FB400FC"/>
    <w:rsid w:val="3FBD3B33"/>
    <w:rsid w:val="3FF23CBE"/>
    <w:rsid w:val="4073749C"/>
    <w:rsid w:val="40AC75C0"/>
    <w:rsid w:val="40AD0195"/>
    <w:rsid w:val="40C13C98"/>
    <w:rsid w:val="41086CD8"/>
    <w:rsid w:val="41714F50"/>
    <w:rsid w:val="41C32B02"/>
    <w:rsid w:val="42355699"/>
    <w:rsid w:val="431766D8"/>
    <w:rsid w:val="43BF597C"/>
    <w:rsid w:val="43FB5B75"/>
    <w:rsid w:val="455C18D5"/>
    <w:rsid w:val="461052BD"/>
    <w:rsid w:val="469D4723"/>
    <w:rsid w:val="46A9241E"/>
    <w:rsid w:val="46C8180C"/>
    <w:rsid w:val="46CC1A3B"/>
    <w:rsid w:val="46D9612F"/>
    <w:rsid w:val="478B7C00"/>
    <w:rsid w:val="47973C96"/>
    <w:rsid w:val="47CB63D7"/>
    <w:rsid w:val="480D15EE"/>
    <w:rsid w:val="485C1C2E"/>
    <w:rsid w:val="48A05BD1"/>
    <w:rsid w:val="49C950F9"/>
    <w:rsid w:val="49EF729D"/>
    <w:rsid w:val="4A5A6834"/>
    <w:rsid w:val="4B911CE1"/>
    <w:rsid w:val="4BB629D5"/>
    <w:rsid w:val="4BBB1B7A"/>
    <w:rsid w:val="4BE079C0"/>
    <w:rsid w:val="4C396485"/>
    <w:rsid w:val="4D23725B"/>
    <w:rsid w:val="4D6C1856"/>
    <w:rsid w:val="4D7A0DB8"/>
    <w:rsid w:val="4DDD1261"/>
    <w:rsid w:val="4DDD3DF2"/>
    <w:rsid w:val="4E5225A0"/>
    <w:rsid w:val="4ED50B4E"/>
    <w:rsid w:val="4F1425E7"/>
    <w:rsid w:val="4F73551A"/>
    <w:rsid w:val="4F807B33"/>
    <w:rsid w:val="4FD43565"/>
    <w:rsid w:val="50181E1B"/>
    <w:rsid w:val="50182C86"/>
    <w:rsid w:val="50213FB0"/>
    <w:rsid w:val="50695212"/>
    <w:rsid w:val="50A7268B"/>
    <w:rsid w:val="50AC338B"/>
    <w:rsid w:val="50B73C1E"/>
    <w:rsid w:val="50EB6A06"/>
    <w:rsid w:val="50F83E64"/>
    <w:rsid w:val="5116732A"/>
    <w:rsid w:val="51326A27"/>
    <w:rsid w:val="51991C8E"/>
    <w:rsid w:val="527A2648"/>
    <w:rsid w:val="52952227"/>
    <w:rsid w:val="52CA0B45"/>
    <w:rsid w:val="53491661"/>
    <w:rsid w:val="535D3F4B"/>
    <w:rsid w:val="539C6048"/>
    <w:rsid w:val="539C6367"/>
    <w:rsid w:val="541E5DC0"/>
    <w:rsid w:val="5473714A"/>
    <w:rsid w:val="548753AE"/>
    <w:rsid w:val="549662EF"/>
    <w:rsid w:val="54D05044"/>
    <w:rsid w:val="54FF2B0F"/>
    <w:rsid w:val="550517B7"/>
    <w:rsid w:val="561237BA"/>
    <w:rsid w:val="580755A4"/>
    <w:rsid w:val="593143B0"/>
    <w:rsid w:val="599C74D9"/>
    <w:rsid w:val="59D1677F"/>
    <w:rsid w:val="5A073D91"/>
    <w:rsid w:val="5B093B4A"/>
    <w:rsid w:val="5B646F8D"/>
    <w:rsid w:val="5BB87AB1"/>
    <w:rsid w:val="5BBA3E0D"/>
    <w:rsid w:val="5BF31AB0"/>
    <w:rsid w:val="5D0654DB"/>
    <w:rsid w:val="5D0F41E3"/>
    <w:rsid w:val="5D494899"/>
    <w:rsid w:val="5D8F3DE1"/>
    <w:rsid w:val="5E8D608A"/>
    <w:rsid w:val="5E9C74E6"/>
    <w:rsid w:val="5EDB277A"/>
    <w:rsid w:val="5EE825D9"/>
    <w:rsid w:val="5F76331E"/>
    <w:rsid w:val="5FB631CE"/>
    <w:rsid w:val="5FCA01CC"/>
    <w:rsid w:val="602871AB"/>
    <w:rsid w:val="60D755FB"/>
    <w:rsid w:val="60EF570D"/>
    <w:rsid w:val="61701826"/>
    <w:rsid w:val="61DC3335"/>
    <w:rsid w:val="621E2AA8"/>
    <w:rsid w:val="624C7E5B"/>
    <w:rsid w:val="625E194A"/>
    <w:rsid w:val="62685CED"/>
    <w:rsid w:val="62F72207"/>
    <w:rsid w:val="62F77D9F"/>
    <w:rsid w:val="63D357CA"/>
    <w:rsid w:val="64861143"/>
    <w:rsid w:val="64B45ADD"/>
    <w:rsid w:val="64E31D7E"/>
    <w:rsid w:val="653950EB"/>
    <w:rsid w:val="654112F1"/>
    <w:rsid w:val="662D7C45"/>
    <w:rsid w:val="663A06E1"/>
    <w:rsid w:val="664624F1"/>
    <w:rsid w:val="66F6606D"/>
    <w:rsid w:val="67010705"/>
    <w:rsid w:val="682E32EE"/>
    <w:rsid w:val="69922F07"/>
    <w:rsid w:val="69A015ED"/>
    <w:rsid w:val="69E919F1"/>
    <w:rsid w:val="6A3A6EFA"/>
    <w:rsid w:val="6ADB72AC"/>
    <w:rsid w:val="6AE435DD"/>
    <w:rsid w:val="6B8C6201"/>
    <w:rsid w:val="6C17059C"/>
    <w:rsid w:val="6C5922EE"/>
    <w:rsid w:val="6C8775BC"/>
    <w:rsid w:val="6D1E11E1"/>
    <w:rsid w:val="6DAA4EC7"/>
    <w:rsid w:val="6E0A5344"/>
    <w:rsid w:val="6F273B44"/>
    <w:rsid w:val="6FC26598"/>
    <w:rsid w:val="6FEE5505"/>
    <w:rsid w:val="6FF30C78"/>
    <w:rsid w:val="6FF7135C"/>
    <w:rsid w:val="70667FBE"/>
    <w:rsid w:val="7140313F"/>
    <w:rsid w:val="717D23CD"/>
    <w:rsid w:val="71A911E2"/>
    <w:rsid w:val="722D192F"/>
    <w:rsid w:val="727D7D80"/>
    <w:rsid w:val="731E0D25"/>
    <w:rsid w:val="736C34D5"/>
    <w:rsid w:val="73C06934"/>
    <w:rsid w:val="74320DD0"/>
    <w:rsid w:val="74342D58"/>
    <w:rsid w:val="748022DD"/>
    <w:rsid w:val="74A80273"/>
    <w:rsid w:val="74FD5673"/>
    <w:rsid w:val="758579E5"/>
    <w:rsid w:val="76384832"/>
    <w:rsid w:val="763E6761"/>
    <w:rsid w:val="7695621C"/>
    <w:rsid w:val="769F1D8F"/>
    <w:rsid w:val="76BD7BBA"/>
    <w:rsid w:val="771A636D"/>
    <w:rsid w:val="77C00A76"/>
    <w:rsid w:val="790F4E9D"/>
    <w:rsid w:val="7911222A"/>
    <w:rsid w:val="79B712A6"/>
    <w:rsid w:val="7B1E367A"/>
    <w:rsid w:val="7B8751F5"/>
    <w:rsid w:val="7BAA6185"/>
    <w:rsid w:val="7C820F5B"/>
    <w:rsid w:val="7CC94117"/>
    <w:rsid w:val="7D011643"/>
    <w:rsid w:val="7D0C6DB3"/>
    <w:rsid w:val="7D47432D"/>
    <w:rsid w:val="7D741487"/>
    <w:rsid w:val="7DAA1DE4"/>
    <w:rsid w:val="7DEA6962"/>
    <w:rsid w:val="7E13275C"/>
    <w:rsid w:val="7E43012B"/>
    <w:rsid w:val="7F2B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numPr>
        <w:ilvl w:val="1"/>
        <w:numId w:val="1"/>
      </w:numPr>
      <w:tabs>
        <w:tab w:val="left" w:pos="426"/>
        <w:tab w:val="clear" w:pos="567"/>
      </w:tabs>
      <w:adjustRightInd w:val="0"/>
      <w:spacing w:beforeLines="50"/>
      <w:ind w:left="0" w:firstLine="0"/>
      <w:jc w:val="left"/>
      <w:textAlignment w:val="baseline"/>
      <w:outlineLvl w:val="1"/>
    </w:pPr>
    <w:rPr>
      <w:bCs/>
      <w:kern w:val="0"/>
      <w:szCs w:val="28"/>
    </w:rPr>
  </w:style>
  <w:style w:type="paragraph" w:styleId="5">
    <w:name w:val="heading 3"/>
    <w:basedOn w:val="1"/>
    <w:next w:val="1"/>
    <w:qFormat/>
    <w:uiPriority w:val="0"/>
    <w:pPr>
      <w:numPr>
        <w:ilvl w:val="2"/>
        <w:numId w:val="1"/>
      </w:numPr>
      <w:tabs>
        <w:tab w:val="left" w:pos="567"/>
      </w:tabs>
      <w:adjustRightInd w:val="0"/>
      <w:spacing w:beforeLines="50"/>
      <w:ind w:left="0" w:firstLine="142"/>
      <w:textAlignment w:val="baseline"/>
      <w:outlineLvl w:val="2"/>
    </w:pPr>
    <w:rPr>
      <w:bCs/>
      <w:kern w:val="0"/>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6">
    <w:name w:val="Normal Indent"/>
    <w:basedOn w:val="1"/>
    <w:qFormat/>
    <w:uiPriority w:val="0"/>
    <w:pPr>
      <w:widowControl/>
      <w:ind w:firstLine="420"/>
      <w:jc w:val="left"/>
    </w:pPr>
    <w:rPr>
      <w:rFonts w:ascii="MingLiU" w:hAnsi="MingLiU" w:eastAsia="MingLiU" w:cs="Arial Unicode MS"/>
      <w:snapToGrid w:val="0"/>
      <w:kern w:val="0"/>
      <w:sz w:val="20"/>
      <w:szCs w:val="20"/>
    </w:rPr>
  </w:style>
  <w:style w:type="paragraph" w:styleId="7">
    <w:name w:val="annotation text"/>
    <w:basedOn w:val="1"/>
    <w:qFormat/>
    <w:uiPriority w:val="0"/>
    <w:pPr>
      <w:jc w:val="left"/>
    </w:pPr>
  </w:style>
  <w:style w:type="paragraph" w:styleId="8">
    <w:name w:val="Body Text Indent"/>
    <w:basedOn w:val="1"/>
    <w:qFormat/>
    <w:uiPriority w:val="0"/>
    <w:pPr>
      <w:spacing w:line="440" w:lineRule="exact"/>
      <w:ind w:firstLine="480" w:firstLineChars="200"/>
    </w:pPr>
    <w:rPr>
      <w:rFonts w:ascii="宋体" w:hAnsi="宋体"/>
      <w:kern w:val="0"/>
      <w:sz w:val="24"/>
      <w:szCs w:val="24"/>
    </w:rPr>
  </w:style>
  <w:style w:type="paragraph" w:styleId="9">
    <w:name w:val="Balloon Text"/>
    <w:basedOn w:val="1"/>
    <w:link w:val="2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8"/>
    <w:qFormat/>
    <w:uiPriority w:val="0"/>
    <w:pPr>
      <w:ind w:firstLine="420"/>
    </w:p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qFormat/>
    <w:uiPriority w:val="0"/>
    <w:rPr>
      <w:sz w:val="21"/>
      <w:szCs w:val="21"/>
    </w:rPr>
  </w:style>
  <w:style w:type="paragraph" w:customStyle="1" w:styleId="18">
    <w:name w:val="样式1"/>
    <w:basedOn w:val="19"/>
    <w:qFormat/>
    <w:uiPriority w:val="0"/>
  </w:style>
  <w:style w:type="paragraph" w:customStyle="1" w:styleId="19">
    <w:name w:val="正文 首行缩进"/>
    <w:basedOn w:val="1"/>
    <w:link w:val="22"/>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20">
    <w:name w:val="样式 标题 3 + 仿宋_GB2312 小四 段前: 0 磅 段后: 0 磅"/>
    <w:basedOn w:val="5"/>
    <w:qFormat/>
    <w:uiPriority w:val="0"/>
    <w:pPr>
      <w:keepNext/>
      <w:keepLines/>
      <w:numPr>
        <w:ilvl w:val="0"/>
        <w:numId w:val="0"/>
      </w:numPr>
      <w:tabs>
        <w:tab w:val="clear" w:pos="1080"/>
      </w:tabs>
      <w:adjustRightInd/>
      <w:spacing w:beforeLines="0" w:line="415" w:lineRule="auto"/>
      <w:jc w:val="center"/>
      <w:textAlignment w:val="auto"/>
    </w:pPr>
    <w:rPr>
      <w:rFonts w:ascii="仿宋_GB2312" w:eastAsia="仿宋_GB2312" w:cs="宋体"/>
      <w:b/>
      <w:sz w:val="24"/>
      <w:szCs w:val="20"/>
    </w:rPr>
  </w:style>
  <w:style w:type="character" w:customStyle="1" w:styleId="21">
    <w:name w:val="批注框文本 字符"/>
    <w:basedOn w:val="16"/>
    <w:link w:val="9"/>
    <w:qFormat/>
    <w:uiPriority w:val="0"/>
    <w:rPr>
      <w:kern w:val="2"/>
      <w:sz w:val="18"/>
      <w:szCs w:val="18"/>
    </w:rPr>
  </w:style>
  <w:style w:type="character" w:customStyle="1" w:styleId="22">
    <w:name w:val="正文 首行缩进 Char"/>
    <w:link w:val="19"/>
    <w:qFormat/>
    <w:uiPriority w:val="0"/>
    <w:rPr>
      <w:rFonts w:ascii="宋体" w:hAnsi="宋体"/>
      <w:color w:val="000000"/>
      <w:sz w:val="21"/>
      <w:szCs w:val="21"/>
    </w:rPr>
  </w:style>
  <w:style w:type="paragraph" w:customStyle="1" w:styleId="23">
    <w:name w:val="合同正文"/>
    <w:basedOn w:val="1"/>
    <w:qFormat/>
    <w:uiPriority w:val="0"/>
    <w:pPr>
      <w:spacing w:line="360" w:lineRule="auto"/>
      <w:ind w:firstLine="200" w:firstLineChars="200"/>
    </w:pPr>
    <w:rPr>
      <w:rFonts w:ascii="宋体" w:hAnsi="宋体" w:cs="宋体"/>
      <w:kern w:val="0"/>
      <w:szCs w:val="21"/>
    </w:rPr>
  </w:style>
  <w:style w:type="character" w:customStyle="1" w:styleId="24">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oleObject" Target="embeddings/oleObject3.bin"/></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2059"/>
    <customShpInfo spid="_x0000_s2051"/>
    <customShpInfo spid="_x0000_s2049"/>
    <customShpInfo spid="_x0000_s2052"/>
    <customShpInfo spid="_x0000_s2053"/>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4DC37-ABB0-456B-A0F0-C40E776A32A1}">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16446</Words>
  <Characters>17252</Characters>
  <Lines>196</Lines>
  <Paragraphs>55</Paragraphs>
  <TotalTime>8</TotalTime>
  <ScaleCrop>false</ScaleCrop>
  <LinksUpToDate>false</LinksUpToDate>
  <CharactersWithSpaces>19245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2019-07-20T07:37:00Z</dcterms:created>
  <dc:creator>黄丹</dc:creator>
  <cp:lastModifiedBy>Lenovo</cp:lastModifiedBy>
  <cp:lastPrinted>2019-08-13T10:07:00Z</cp:lastPrinted>
  <dcterms:modified xsi:type="dcterms:W3CDTF">2019-12-03T12:30:04Z</dcterms:modified>
  <cp:revision>991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