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tabs>
          <w:tab w:val="left" w:pos="8100"/>
        </w:tabs>
        <w:spacing w:line="360" w:lineRule="auto"/>
        <w:jc w:val="right"/>
        <w:rPr>
          <w:rFonts w:hint="eastAsia" w:cs="Times New Roman" w:asciiTheme="majorEastAsia" w:hAnsiTheme="majorEastAsia" w:eastAsiaTheme="majorEastAsia"/>
          <w:b/>
          <w:color w:val="000000"/>
          <w:kern w:val="2"/>
          <w:sz w:val="28"/>
          <w:szCs w:val="28"/>
          <w:highlight w:val="none"/>
          <w:u w:val="single"/>
          <w:lang w:val="en-US" w:eastAsia="zh-CN"/>
        </w:rPr>
      </w:pPr>
      <w:r>
        <w:rPr>
          <w:rFonts w:hint="eastAsia" w:cs="Times New Roman" w:asciiTheme="majorEastAsia" w:hAnsiTheme="majorEastAsia" w:eastAsiaTheme="majorEastAsia"/>
          <w:b/>
          <w:color w:val="000000"/>
          <w:kern w:val="2"/>
          <w:sz w:val="28"/>
          <w:szCs w:val="28"/>
          <w:highlight w:val="none"/>
        </w:rPr>
        <w:t>招标编号：</w:t>
      </w:r>
      <w:r>
        <w:rPr>
          <w:rFonts w:hint="eastAsia" w:cs="Times New Roman" w:asciiTheme="majorEastAsia" w:hAnsiTheme="majorEastAsia" w:eastAsiaTheme="majorEastAsia"/>
          <w:b/>
          <w:color w:val="000000"/>
          <w:kern w:val="2"/>
          <w:sz w:val="28"/>
          <w:szCs w:val="28"/>
          <w:highlight w:val="none"/>
          <w:u w:val="single"/>
          <w:lang w:val="en-US" w:eastAsia="zh-CN"/>
        </w:rPr>
        <w:t>ZJLQ-FGZB-资产-霸州项目-2024001</w:t>
      </w:r>
    </w:p>
    <w:p>
      <w:pPr>
        <w:pStyle w:val="30"/>
        <w:tabs>
          <w:tab w:val="left" w:pos="8100"/>
        </w:tabs>
        <w:spacing w:line="360" w:lineRule="auto"/>
        <w:jc w:val="both"/>
        <w:rPr>
          <w:rFonts w:asciiTheme="majorEastAsia" w:hAnsiTheme="majorEastAsia" w:eastAsiaTheme="majorEastAsia"/>
          <w:b/>
          <w:color w:val="000000"/>
          <w:kern w:val="2"/>
          <w:sz w:val="28"/>
          <w:szCs w:val="28"/>
          <w:highlight w:val="none"/>
        </w:rPr>
      </w:pPr>
    </w:p>
    <w:p>
      <w:pPr>
        <w:pStyle w:val="30"/>
        <w:tabs>
          <w:tab w:val="left" w:pos="8100"/>
        </w:tabs>
        <w:spacing w:line="360" w:lineRule="auto"/>
        <w:jc w:val="center"/>
        <w:rPr>
          <w:rFonts w:asciiTheme="majorEastAsia" w:hAnsiTheme="majorEastAsia" w:eastAsiaTheme="majorEastAsia"/>
          <w:b/>
          <w:color w:val="000000"/>
          <w:kern w:val="2"/>
          <w:sz w:val="28"/>
          <w:szCs w:val="28"/>
          <w:highlight w:val="none"/>
        </w:rPr>
      </w:pPr>
    </w:p>
    <w:p>
      <w:pPr>
        <w:pStyle w:val="30"/>
        <w:tabs>
          <w:tab w:val="left" w:pos="8100"/>
        </w:tabs>
        <w:spacing w:line="360" w:lineRule="auto"/>
        <w:jc w:val="both"/>
        <w:rPr>
          <w:rFonts w:cs="Times New Roman" w:asciiTheme="majorEastAsia" w:hAnsiTheme="majorEastAsia" w:eastAsiaTheme="majorEastAsia"/>
          <w:b/>
          <w:color w:val="000000"/>
          <w:kern w:val="2"/>
          <w:sz w:val="48"/>
          <w:szCs w:val="48"/>
          <w:highlight w:val="none"/>
        </w:rPr>
      </w:pPr>
    </w:p>
    <w:p>
      <w:pPr>
        <w:pStyle w:val="30"/>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w:t>
      </w:r>
      <w:r>
        <w:rPr>
          <w:rFonts w:hint="eastAsia" w:cs="Times New Roman" w:asciiTheme="majorEastAsia" w:hAnsiTheme="majorEastAsia" w:eastAsiaTheme="majorEastAsia"/>
          <w:b/>
          <w:color w:val="000000"/>
          <w:kern w:val="2"/>
          <w:sz w:val="44"/>
          <w:szCs w:val="44"/>
          <w:highlight w:val="none"/>
          <w:lang w:val="en-US" w:eastAsia="zh-CN"/>
        </w:rPr>
        <w:t>装配式建筑</w:t>
      </w:r>
      <w:r>
        <w:rPr>
          <w:rFonts w:hint="eastAsia" w:cs="Times New Roman" w:asciiTheme="majorEastAsia" w:hAnsiTheme="majorEastAsia" w:eastAsiaTheme="majorEastAsia"/>
          <w:b/>
          <w:color w:val="000000"/>
          <w:kern w:val="2"/>
          <w:sz w:val="44"/>
          <w:szCs w:val="44"/>
          <w:highlight w:val="none"/>
        </w:rPr>
        <w:t>有限公司</w:t>
      </w:r>
    </w:p>
    <w:p>
      <w:pPr>
        <w:pStyle w:val="30"/>
        <w:tabs>
          <w:tab w:val="left" w:pos="8100"/>
        </w:tabs>
        <w:spacing w:line="360" w:lineRule="auto"/>
        <w:jc w:val="both"/>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霸州</w:t>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lang w:val="en-US" w:eastAsia="zh-CN"/>
        </w:rPr>
        <w:t>沥青混凝土原材</w:t>
      </w:r>
      <w:r>
        <w:rPr>
          <w:rFonts w:hint="eastAsia" w:cs="Times New Roman" w:asciiTheme="majorEastAsia" w:hAnsiTheme="majorEastAsia" w:eastAsiaTheme="majorEastAsia"/>
          <w:b/>
          <w:color w:val="000000"/>
          <w:kern w:val="2"/>
          <w:sz w:val="44"/>
          <w:szCs w:val="44"/>
          <w:highlight w:val="none"/>
        </w:rPr>
        <w:t>采购</w:t>
      </w:r>
    </w:p>
    <w:p>
      <w:pPr>
        <w:pStyle w:val="30"/>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p>
    <w:p>
      <w:pPr>
        <w:pStyle w:val="30"/>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pPr>
        <w:pStyle w:val="2"/>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pPr>
        <w:jc w:val="center"/>
        <w:rPr>
          <w:highlight w:val="none"/>
        </w:rPr>
      </w:pPr>
    </w:p>
    <w:p>
      <w:pPr>
        <w:pStyle w:val="30"/>
        <w:tabs>
          <w:tab w:val="left" w:pos="8100"/>
        </w:tabs>
        <w:spacing w:line="360" w:lineRule="auto"/>
        <w:jc w:val="center"/>
        <w:rPr>
          <w:rFonts w:cs="Times New Roman" w:asciiTheme="majorEastAsia" w:hAnsiTheme="majorEastAsia" w:eastAsiaTheme="majorEastAsia"/>
          <w:b/>
          <w:color w:val="000000"/>
          <w:kern w:val="2"/>
          <w:sz w:val="36"/>
          <w:szCs w:val="36"/>
          <w:highlight w:val="none"/>
        </w:rPr>
      </w:pPr>
      <w:bookmarkStart w:id="0" w:name="_Toc17532"/>
    </w:p>
    <w:p>
      <w:pPr>
        <w:pStyle w:val="30"/>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w:t>
      </w:r>
      <w:r>
        <w:rPr>
          <w:rFonts w:hint="eastAsia" w:cs="Times New Roman" w:asciiTheme="majorEastAsia" w:hAnsiTheme="majorEastAsia" w:eastAsiaTheme="majorEastAsia"/>
          <w:b/>
          <w:color w:val="000000"/>
          <w:kern w:val="2"/>
          <w:sz w:val="28"/>
          <w:szCs w:val="28"/>
          <w:highlight w:val="none"/>
          <w:u w:val="single"/>
          <w:lang w:val="en-US" w:eastAsia="zh-CN"/>
        </w:rPr>
        <w:t>装配式有限公司</w:t>
      </w:r>
    </w:p>
    <w:p>
      <w:pPr>
        <w:pStyle w:val="30"/>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2024</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5</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 xml:space="preserve">17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pPr>
        <w:jc w:val="center"/>
        <w:outlineLvl w:val="0"/>
        <w:rPr>
          <w:rFonts w:cs="黑体" w:asciiTheme="majorEastAsia" w:hAnsiTheme="majorEastAsia" w:eastAsiaTheme="majorEastAsia"/>
          <w:sz w:val="32"/>
          <w:szCs w:val="32"/>
          <w:highlight w:val="none"/>
        </w:rPr>
      </w:pPr>
    </w:p>
    <w:p>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pPr>
        <w:jc w:val="center"/>
        <w:outlineLvl w:val="0"/>
        <w:rPr>
          <w:rFonts w:cs="黑体" w:asciiTheme="majorEastAsia" w:hAnsiTheme="majorEastAsia" w:eastAsiaTheme="majorEastAsia"/>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4"/>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bookmarkStart w:id="1" w:name="_Toc152042304"/>
            <w:bookmarkStart w:id="2" w:name="_Toc238797549"/>
            <w:bookmarkStart w:id="3" w:name="_Toc287545429"/>
            <w:bookmarkStart w:id="4" w:name="_Toc152045528"/>
            <w:bookmarkStart w:id="5" w:name="_Toc144974496"/>
            <w:bookmarkStart w:id="6" w:name="_Toc238552194"/>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2</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left"/>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t xml:space="preserve">                           </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3</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满足</w:t>
            </w:r>
            <w:r>
              <w:rPr>
                <w:rFonts w:hint="eastAsia" w:ascii="仿宋_GB2312" w:eastAsia="仿宋_GB2312" w:cs="宋体" w:hAnsiTheme="minorEastAsia"/>
                <w:sz w:val="21"/>
                <w:szCs w:val="21"/>
                <w:highlight w:val="none"/>
                <w:u w:val="single"/>
                <w:lang w:val="en-US" w:eastAsia="zh-CN"/>
              </w:rPr>
              <w:t>施工</w:t>
            </w:r>
            <w:r>
              <w:rPr>
                <w:rFonts w:hint="eastAsia" w:ascii="仿宋_GB2312" w:eastAsia="仿宋_GB2312" w:cs="宋体" w:hAnsiTheme="minorEastAsia"/>
                <w:sz w:val="21"/>
                <w:szCs w:val="21"/>
                <w:highlight w:val="none"/>
                <w:u w:val="single"/>
              </w:rPr>
              <w:t xml:space="preserve">要求           </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日所供应的物资办理月结手续</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5</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w:t>
            </w:r>
            <w:r>
              <w:rPr>
                <w:rFonts w:hint="eastAsia" w:ascii="仿宋_GB2312" w:eastAsia="仿宋_GB2312" w:cs="宋体" w:hAnsiTheme="minorEastAsia"/>
                <w:sz w:val="21"/>
                <w:szCs w:val="21"/>
                <w:highlight w:val="none"/>
                <w:lang w:val="en-US" w:eastAsia="zh-CN"/>
              </w:rPr>
              <w:t>甲</w:t>
            </w:r>
            <w:r>
              <w:rPr>
                <w:rFonts w:hint="eastAsia" w:ascii="仿宋_GB2312" w:eastAsia="仿宋_GB2312" w:cs="宋体" w:hAnsiTheme="minorEastAsia"/>
                <w:sz w:val="21"/>
                <w:szCs w:val="21"/>
                <w:highlight w:val="none"/>
              </w:rPr>
              <w:t>方按资金审批计划对货款进行支付</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rPr>
              <w:t>付款期限自双方确认结算金额之日起计算，暂定为在甲乙双方完成月度物资结算手续且甲方收到乙</w:t>
            </w:r>
            <w:r>
              <w:rPr>
                <w:rFonts w:hint="eastAsia" w:ascii="仿宋_GB2312" w:eastAsia="仿宋_GB2312" w:cs="宋体" w:hAnsiTheme="minorEastAsia"/>
                <w:color w:val="191919" w:themeColor="background1" w:themeShade="1A"/>
                <w:sz w:val="21"/>
                <w:szCs w:val="21"/>
                <w:highlight w:val="none"/>
              </w:rPr>
              <w:t>方相应全额发票后</w:t>
            </w:r>
            <w:r>
              <w:rPr>
                <w:rFonts w:hint="eastAsia" w:ascii="仿宋_GB2312" w:eastAsia="仿宋_GB2312" w:cs="宋体" w:hAnsiTheme="minorEastAsia"/>
                <w:sz w:val="21"/>
                <w:szCs w:val="21"/>
                <w:highlight w:val="none"/>
              </w:rPr>
              <w:t>，公历2024年12月31日前结清实际货款总额的70%，余款公历2025年6月30日前结清。以银行转账方式支付。</w:t>
            </w:r>
          </w:p>
        </w:tc>
      </w:tr>
      <w:tr>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6</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rPr>
            </w:pPr>
            <w:r>
              <w:rPr>
                <w:rFonts w:hint="eastAsia" w:ascii="仿宋_GB2312" w:eastAsia="仿宋_GB2312" w:cs="宋体" w:hAnsiTheme="minorEastAsia"/>
                <w:color w:val="000000" w:themeColor="text1"/>
                <w:sz w:val="21"/>
                <w:szCs w:val="21"/>
                <w:highlight w:val="none"/>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rPr>
              <w:t>具备使用</w:t>
            </w:r>
            <w:r>
              <w:rPr>
                <w:rFonts w:hint="eastAsia" w:ascii="仿宋_GB2312" w:eastAsia="仿宋_GB2312" w:cs="宋体" w:hAnsiTheme="minorEastAsia"/>
                <w:color w:val="000000" w:themeColor="text1"/>
                <w:sz w:val="21"/>
                <w:szCs w:val="21"/>
                <w:highlight w:val="none"/>
                <w:lang w:val="en-US" w:eastAsia="zh-CN"/>
              </w:rPr>
              <w:t>采用</w:t>
            </w:r>
            <w:r>
              <w:rPr>
                <w:rFonts w:hint="eastAsia" w:ascii="仿宋_GB2312" w:eastAsia="仿宋_GB2312" w:cs="宋体" w:hAnsiTheme="minorEastAsia"/>
                <w:color w:val="000000" w:themeColor="text1"/>
                <w:sz w:val="21"/>
                <w:szCs w:val="21"/>
                <w:highlight w:val="none"/>
              </w:rPr>
              <w:t>承兑汇票</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color w:val="000000" w:themeColor="text1"/>
                <w:sz w:val="21"/>
                <w:szCs w:val="21"/>
                <w:highlight w:val="none"/>
              </w:rPr>
              <w:t>供应链金融</w:t>
            </w:r>
            <w:r>
              <w:rPr>
                <w:rFonts w:hint="eastAsia" w:ascii="仿宋_GB2312" w:eastAsia="仿宋_GB2312" w:cs="宋体" w:hAnsiTheme="minorEastAsia"/>
                <w:color w:val="000000" w:themeColor="text1"/>
                <w:sz w:val="21"/>
                <w:szCs w:val="21"/>
                <w:highlight w:val="none"/>
                <w:lang w:val="en-US" w:eastAsia="zh-CN"/>
              </w:rPr>
              <w:t>等</w:t>
            </w:r>
            <w:r>
              <w:rPr>
                <w:rFonts w:hint="eastAsia" w:ascii="仿宋_GB2312" w:eastAsia="仿宋_GB2312" w:cs="宋体" w:hAnsiTheme="minorEastAsia"/>
                <w:color w:val="000000" w:themeColor="text1"/>
                <w:sz w:val="21"/>
                <w:szCs w:val="21"/>
                <w:highlight w:val="none"/>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rPr>
              <w:t>的</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u w:val="single"/>
                <w:lang w:val="en-US" w:eastAsia="zh-CN"/>
              </w:rPr>
              <w:t>30</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rPr>
              <w:t>%，期限</w:t>
            </w:r>
            <w:r>
              <w:rPr>
                <w:rFonts w:hint="eastAsia" w:ascii="仿宋_GB2312" w:hAnsi="宋体" w:eastAsia="仿宋_GB2312" w:cs="宋体"/>
                <w:color w:val="000000" w:themeColor="text1"/>
                <w:sz w:val="21"/>
                <w:szCs w:val="21"/>
                <w:highlight w:val="none"/>
              </w:rPr>
              <w:t>为</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u w:val="single"/>
                <w:lang w:val="en-US" w:eastAsia="zh-CN"/>
              </w:rPr>
              <w:t>6</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hAnsi="宋体" w:eastAsia="仿宋_GB2312" w:cs="宋体"/>
                <w:color w:val="000000" w:themeColor="text1"/>
                <w:sz w:val="21"/>
                <w:szCs w:val="21"/>
                <w:highlight w:val="none"/>
              </w:rPr>
              <w:t>个</w:t>
            </w:r>
            <w:r>
              <w:rPr>
                <w:rFonts w:hint="eastAsia" w:ascii="仿宋_GB2312" w:eastAsia="仿宋_GB2312" w:cs="宋体" w:hAnsiTheme="minorEastAsia"/>
                <w:color w:val="000000" w:themeColor="text1"/>
                <w:sz w:val="21"/>
                <w:szCs w:val="21"/>
                <w:highlight w:val="none"/>
              </w:rPr>
              <w:t>月，因此产生的相关贴现成本由乙方承担。乙方须保证资金往来账户与约定账户一致，开票单位名称与合同约定名称一致。</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7</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8</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9</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10</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rPr>
              <w:t>9</w:t>
            </w:r>
            <w:r>
              <w:rPr>
                <w:rFonts w:hint="eastAsia" w:ascii="仿宋_GB2312" w:eastAsia="仿宋_GB2312" w:cs="宋体" w:hAnsiTheme="minorEastAsia"/>
                <w:color w:val="000000" w:themeColor="text1"/>
                <w:sz w:val="21"/>
                <w:szCs w:val="21"/>
                <w:highlight w:val="none"/>
              </w:rPr>
              <w:t>0</w:t>
            </w:r>
            <w:r>
              <w:rPr>
                <w:rFonts w:hint="eastAsia" w:ascii="仿宋_GB2312" w:eastAsia="仿宋_GB2312" w:cs="宋体" w:hAnsiTheme="minorEastAsia"/>
                <w:sz w:val="21"/>
                <w:szCs w:val="21"/>
                <w:highlight w:val="none"/>
              </w:rPr>
              <w:t>天</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11</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0.3</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rPr>
              <w:t>7.2。其他相关事项见总则</w:t>
            </w:r>
            <w:r>
              <w:rPr>
                <w:rFonts w:ascii="仿宋_GB2312" w:eastAsia="仿宋_GB2312" w:cs="宋体" w:hAnsiTheme="minorEastAsia"/>
                <w:color w:val="000000" w:themeColor="text1"/>
                <w:sz w:val="21"/>
                <w:szCs w:val="21"/>
                <w:highlight w:val="none"/>
              </w:rPr>
              <w:t>13</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12</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13</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5</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2024</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23</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6</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7</w:t>
            </w:r>
          </w:p>
        </w:tc>
        <w:tc>
          <w:tcPr>
            <w:tcW w:w="941"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8</w:t>
            </w:r>
          </w:p>
        </w:tc>
        <w:tc>
          <w:tcPr>
            <w:tcW w:w="941"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9</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履约保证金：</w:t>
            </w:r>
            <w:r>
              <w:rPr>
                <w:rFonts w:hint="eastAsia" w:ascii="仿宋_GB2312" w:eastAsia="仿宋_GB2312" w:cs="宋体" w:hAnsiTheme="minorEastAsia"/>
                <w:sz w:val="21"/>
                <w:szCs w:val="21"/>
                <w:highlight w:val="none"/>
                <w:lang w:val="en-US" w:eastAsia="zh-CN"/>
              </w:rPr>
              <w:t>/</w:t>
            </w:r>
          </w:p>
        </w:tc>
      </w:tr>
      <w:bookmarkEnd w:id="0"/>
      <w:bookmarkEnd w:id="1"/>
      <w:bookmarkEnd w:id="2"/>
      <w:bookmarkEnd w:id="3"/>
      <w:bookmarkEnd w:id="4"/>
      <w:bookmarkEnd w:id="5"/>
      <w:bookmarkEnd w:id="6"/>
    </w:tbl>
    <w:p>
      <w:pPr>
        <w:widowControl/>
        <w:jc w:val="left"/>
        <w:rPr>
          <w:rFonts w:hint="eastAsia" w:ascii="仿宋_GB2312" w:eastAsia="仿宋_GB2312" w:cs="黑体" w:hAnsiTheme="minorEastAsia"/>
          <w:b/>
          <w:sz w:val="28"/>
          <w:szCs w:val="28"/>
          <w:highlight w:val="none"/>
        </w:rPr>
      </w:pPr>
      <w:bookmarkStart w:id="7" w:name="_Toc214336660"/>
      <w:bookmarkStart w:id="8" w:name="_Toc31831"/>
      <w:bookmarkStart w:id="9" w:name="_Toc214339494"/>
      <w:bookmarkStart w:id="10" w:name="_Toc214333205"/>
    </w:p>
    <w:p>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pPr>
        <w:pStyle w:val="181"/>
        <w:keepNext w:val="0"/>
        <w:keepLines w:val="0"/>
        <w:ind w:firstLine="420" w:firstLineChars="200"/>
        <w:jc w:val="left"/>
        <w:rPr>
          <w:rFonts w:hint="default" w:ascii="仿宋_GB2312" w:eastAsia="仿宋_GB2312" w:cs="宋体" w:hAnsiTheme="minorEastAsia"/>
          <w:sz w:val="21"/>
          <w:szCs w:val="21"/>
          <w:highlight w:val="none"/>
          <w:lang w:val="en-US"/>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lang w:val="en-US" w:eastAsia="zh-CN"/>
        </w:rPr>
        <w:t>ZJLQ-FGZB-资产-霸州项目-2024001</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hAnsi="仿宋" w:eastAsia="仿宋_GB2312"/>
          <w:bCs/>
          <w:color w:val="000000" w:themeColor="text1"/>
          <w:sz w:val="21"/>
          <w:szCs w:val="21"/>
          <w:highlight w:val="none"/>
          <w:u w:val="single"/>
        </w:rPr>
        <w:t>霸州市水毁</w:t>
      </w:r>
      <w:r>
        <w:rPr>
          <w:rFonts w:hint="eastAsia" w:ascii="仿宋_GB2312" w:hAnsi="仿宋" w:eastAsia="仿宋_GB2312"/>
          <w:bCs/>
          <w:color w:val="000000" w:themeColor="text1"/>
          <w:sz w:val="21"/>
          <w:szCs w:val="21"/>
          <w:highlight w:val="none"/>
          <w:u w:val="single"/>
          <w:lang w:val="en-US" w:eastAsia="zh-CN"/>
        </w:rPr>
        <w:t>公</w:t>
      </w:r>
      <w:r>
        <w:rPr>
          <w:rFonts w:hint="eastAsia" w:ascii="仿宋_GB2312" w:hAnsi="仿宋" w:eastAsia="仿宋_GB2312"/>
          <w:bCs/>
          <w:color w:val="000000" w:themeColor="text1"/>
          <w:sz w:val="21"/>
          <w:szCs w:val="21"/>
          <w:highlight w:val="none"/>
          <w:u w:val="single"/>
        </w:rPr>
        <w:t>路恢复重建工程</w:t>
      </w:r>
      <w:r>
        <w:rPr>
          <w:rFonts w:hint="eastAsia" w:ascii="仿宋_GB2312" w:hAnsi="仿宋" w:eastAsia="仿宋_GB2312"/>
          <w:bCs/>
          <w:color w:val="000000" w:themeColor="text1"/>
          <w:sz w:val="21"/>
          <w:szCs w:val="21"/>
          <w:highlight w:val="none"/>
          <w:u w:val="single"/>
          <w:lang w:val="en-US" w:eastAsia="zh-CN"/>
        </w:rPr>
        <w:t>施工</w:t>
      </w:r>
      <w:r>
        <w:rPr>
          <w:rFonts w:hint="eastAsia" w:ascii="仿宋_GB2312" w:hAnsi="仿宋" w:eastAsia="仿宋_GB2312"/>
          <w:bCs/>
          <w:color w:val="000000" w:themeColor="text1"/>
          <w:sz w:val="21"/>
          <w:szCs w:val="21"/>
          <w:highlight w:val="none"/>
          <w:u w:val="single"/>
        </w:rPr>
        <w:t>(第二批次)</w:t>
      </w:r>
    </w:p>
    <w:p>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hAnsi="仿宋" w:eastAsia="仿宋_GB2312"/>
          <w:bCs/>
          <w:color w:val="000000" w:themeColor="text1"/>
          <w:sz w:val="21"/>
          <w:szCs w:val="21"/>
          <w:highlight w:val="none"/>
          <w:u w:val="single"/>
        </w:rPr>
        <w:t>河北省廊坊市霸州市后营村西800米院内</w:t>
      </w:r>
    </w:p>
    <w:p>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lang w:val="en-US" w:eastAsia="zh-CN"/>
        </w:rPr>
        <w:t>范现明</w:t>
      </w:r>
      <w:r>
        <w:rPr>
          <w:rFonts w:hint="eastAsia" w:ascii="仿宋_GB2312" w:eastAsia="仿宋_GB2312" w:cs="宋体" w:hAnsiTheme="minorEastAsia"/>
          <w:sz w:val="21"/>
          <w:szCs w:val="21"/>
          <w:highlight w:val="none"/>
        </w:rPr>
        <w:t>，电话：</w:t>
      </w:r>
      <w:r>
        <w:rPr>
          <w:rFonts w:hint="eastAsia" w:ascii="方正仿宋_GBK" w:hAnsi="方正仿宋_GBK" w:eastAsia="方正仿宋_GBK" w:cs="方正仿宋_GBK"/>
          <w:sz w:val="21"/>
          <w:szCs w:val="21"/>
          <w:highlight w:val="none"/>
          <w:u w:val="single"/>
          <w:lang w:val="en-US" w:eastAsia="zh-CN"/>
        </w:rPr>
        <w:t>15830035162</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pPr>
        <w:spacing w:line="400" w:lineRule="exact"/>
        <w:ind w:firstLine="420" w:firstLineChars="200"/>
        <w:jc w:val="left"/>
        <w:outlineLvl w:val="2"/>
        <w:rPr>
          <w:rFonts w:hint="eastAsia" w:ascii="仿宋_GB2312" w:eastAsia="仿宋_GB2312" w:cs="宋体" w:hAnsiTheme="minorEastAsia"/>
          <w:b w:val="0"/>
          <w:bCs w:val="0"/>
          <w:kern w:val="2"/>
          <w:sz w:val="21"/>
          <w:szCs w:val="21"/>
          <w:highlight w:val="none"/>
          <w:lang w:val="en-US" w:eastAsia="zh-CN" w:bidi="ar-SA"/>
        </w:rPr>
      </w:pPr>
      <w:r>
        <w:rPr>
          <w:rFonts w:hint="eastAsia" w:ascii="仿宋_GB2312" w:eastAsia="仿宋_GB2312" w:cs="宋体" w:hAnsiTheme="minorEastAsia"/>
          <w:b w:val="0"/>
          <w:bCs w:val="0"/>
          <w:kern w:val="2"/>
          <w:sz w:val="21"/>
          <w:szCs w:val="21"/>
          <w:highlight w:val="none"/>
          <w:lang w:val="en-US" w:eastAsia="zh-CN" w:bidi="ar-SA"/>
        </w:rPr>
        <w:t>中建路桥集团装配式建筑有限公司</w:t>
      </w:r>
    </w:p>
    <w:p>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4.1本次招标采购物资为中建路桥集团有限公司</w:t>
      </w:r>
      <w:r>
        <w:rPr>
          <w:rFonts w:hint="eastAsia" w:ascii="仿宋_GB2312" w:eastAsia="仿宋_GB2312" w:hAnsiTheme="minorEastAsia"/>
          <w:sz w:val="21"/>
          <w:szCs w:val="21"/>
          <w:highlight w:val="none"/>
          <w:u w:val="single"/>
          <w:lang w:val="en-US" w:eastAsia="zh-CN"/>
        </w:rPr>
        <w:t>霸州</w:t>
      </w:r>
      <w:r>
        <w:rPr>
          <w:rFonts w:hint="eastAsia" w:ascii="仿宋_GB2312" w:eastAsia="仿宋_GB2312" w:hAnsiTheme="minorEastAsia"/>
          <w:sz w:val="21"/>
          <w:szCs w:val="21"/>
          <w:highlight w:val="none"/>
        </w:rPr>
        <w:t>项目所需</w:t>
      </w:r>
      <w:r>
        <w:rPr>
          <w:rFonts w:hint="eastAsia" w:ascii="仿宋_GB2312" w:eastAsia="仿宋_GB2312" w:hAnsiTheme="minorEastAsia"/>
          <w:b w:val="0"/>
          <w:bCs w:val="0"/>
          <w:sz w:val="21"/>
          <w:szCs w:val="21"/>
          <w:highlight w:val="none"/>
          <w:u w:val="single"/>
          <w:lang w:val="en-US" w:eastAsia="zh-CN"/>
        </w:rPr>
        <w:t>沥青混凝土原材</w:t>
      </w:r>
      <w:r>
        <w:rPr>
          <w:rFonts w:hint="eastAsia" w:ascii="仿宋_GB2312" w:eastAsia="仿宋_GB2312" w:hAnsiTheme="minorEastAsia"/>
          <w:sz w:val="21"/>
          <w:szCs w:val="21"/>
          <w:highlight w:val="none"/>
        </w:rPr>
        <w:t>。具体数量详见下表。</w:t>
      </w:r>
    </w:p>
    <w:tbl>
      <w:tblPr>
        <w:tblStyle w:val="34"/>
        <w:tblW w:w="8869" w:type="dxa"/>
        <w:tblInd w:w="77" w:type="dxa"/>
        <w:tblLayout w:type="fixed"/>
        <w:tblCellMar>
          <w:top w:w="15" w:type="dxa"/>
          <w:left w:w="15" w:type="dxa"/>
          <w:bottom w:w="15" w:type="dxa"/>
          <w:right w:w="15" w:type="dxa"/>
        </w:tblCellMar>
      </w:tblPr>
      <w:tblGrid>
        <w:gridCol w:w="833"/>
        <w:gridCol w:w="2366"/>
        <w:gridCol w:w="1234"/>
        <w:gridCol w:w="800"/>
        <w:gridCol w:w="2076"/>
        <w:gridCol w:w="1560"/>
      </w:tblGrid>
      <w:tr>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2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10" w:firstLineChars="100"/>
              <w:jc w:val="both"/>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2076"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ind w:firstLine="800" w:firstLineChars="381"/>
              <w:jc w:val="both"/>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ind w:firstLine="592" w:firstLineChars="282"/>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p>
        </w:tc>
        <w:tc>
          <w:tcPr>
            <w:tcW w:w="23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沥青</w:t>
            </w:r>
          </w:p>
        </w:tc>
        <w:tc>
          <w:tcPr>
            <w:tcW w:w="12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AH-70号</w:t>
            </w:r>
          </w:p>
        </w:tc>
        <w:tc>
          <w:tcPr>
            <w:tcW w:w="8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吨</w:t>
            </w:r>
          </w:p>
        </w:tc>
        <w:tc>
          <w:tcPr>
            <w:tcW w:w="207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4000</w:t>
            </w:r>
          </w:p>
        </w:tc>
        <w:tc>
          <w:tcPr>
            <w:tcW w:w="1560" w:type="dxa"/>
            <w:tcBorders>
              <w:top w:val="single" w:color="000000" w:sz="4" w:space="0"/>
              <w:left w:val="single" w:color="auto" w:sz="4" w:space="0"/>
              <w:bottom w:val="single" w:color="000000" w:sz="4" w:space="0"/>
              <w:right w:val="single" w:color="000000" w:sz="4" w:space="0"/>
            </w:tcBorders>
            <w:vAlign w:val="center"/>
          </w:tcPr>
          <w:p>
            <w:pPr>
              <w:spacing w:line="500" w:lineRule="exact"/>
              <w:ind w:firstLine="420" w:firstLineChars="200"/>
              <w:jc w:val="left"/>
              <w:rPr>
                <w:rFonts w:ascii="仿宋_GB2312" w:eastAsia="仿宋_GB2312" w:hAnsiTheme="minorHAnsi" w:cstheme="minorBidi"/>
                <w:kern w:val="2"/>
                <w:sz w:val="21"/>
                <w:szCs w:val="21"/>
                <w:highlight w:val="none"/>
                <w:lang w:val="en-US" w:eastAsia="zh-CN" w:bidi="ar-SA"/>
              </w:rPr>
            </w:pPr>
          </w:p>
        </w:tc>
      </w:tr>
      <w:tr>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p>
        </w:tc>
        <w:tc>
          <w:tcPr>
            <w:tcW w:w="23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碎石</w:t>
            </w:r>
          </w:p>
        </w:tc>
        <w:tc>
          <w:tcPr>
            <w:tcW w:w="12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5-10mm</w:t>
            </w:r>
          </w:p>
        </w:tc>
        <w:tc>
          <w:tcPr>
            <w:tcW w:w="8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吨</w:t>
            </w:r>
          </w:p>
        </w:tc>
        <w:tc>
          <w:tcPr>
            <w:tcW w:w="207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5000</w:t>
            </w:r>
          </w:p>
        </w:tc>
        <w:tc>
          <w:tcPr>
            <w:tcW w:w="1560" w:type="dxa"/>
            <w:tcBorders>
              <w:top w:val="single" w:color="000000" w:sz="4" w:space="0"/>
              <w:left w:val="single" w:color="auto" w:sz="4" w:space="0"/>
              <w:bottom w:val="single" w:color="000000" w:sz="4" w:space="0"/>
              <w:right w:val="single" w:color="000000" w:sz="4" w:space="0"/>
            </w:tcBorders>
            <w:vAlign w:val="center"/>
          </w:tcPr>
          <w:p>
            <w:pPr>
              <w:spacing w:line="500" w:lineRule="exact"/>
              <w:ind w:firstLine="420" w:firstLineChars="200"/>
              <w:jc w:val="left"/>
              <w:rPr>
                <w:rFonts w:ascii="仿宋_GB2312" w:eastAsia="仿宋_GB2312" w:hAnsiTheme="minorHAnsi" w:cstheme="minorBidi"/>
                <w:kern w:val="2"/>
                <w:sz w:val="21"/>
                <w:szCs w:val="21"/>
                <w:highlight w:val="none"/>
                <w:lang w:val="en-US" w:eastAsia="zh-CN" w:bidi="ar-SA"/>
              </w:rPr>
            </w:pPr>
          </w:p>
        </w:tc>
      </w:tr>
      <w:tr>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3</w:t>
            </w:r>
          </w:p>
        </w:tc>
        <w:tc>
          <w:tcPr>
            <w:tcW w:w="23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碎石</w:t>
            </w:r>
          </w:p>
        </w:tc>
        <w:tc>
          <w:tcPr>
            <w:tcW w:w="12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10-15mm</w:t>
            </w:r>
          </w:p>
        </w:tc>
        <w:tc>
          <w:tcPr>
            <w:tcW w:w="8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吨</w:t>
            </w:r>
          </w:p>
        </w:tc>
        <w:tc>
          <w:tcPr>
            <w:tcW w:w="207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8000</w:t>
            </w:r>
          </w:p>
        </w:tc>
        <w:tc>
          <w:tcPr>
            <w:tcW w:w="1560" w:type="dxa"/>
            <w:tcBorders>
              <w:top w:val="single" w:color="000000" w:sz="4" w:space="0"/>
              <w:left w:val="single" w:color="auto" w:sz="4" w:space="0"/>
              <w:bottom w:val="single" w:color="000000" w:sz="4" w:space="0"/>
              <w:right w:val="single" w:color="000000" w:sz="4" w:space="0"/>
            </w:tcBorders>
            <w:vAlign w:val="center"/>
          </w:tcPr>
          <w:p>
            <w:pPr>
              <w:spacing w:line="500" w:lineRule="exact"/>
              <w:ind w:firstLine="420" w:firstLineChars="200"/>
              <w:jc w:val="left"/>
              <w:rPr>
                <w:rFonts w:ascii="仿宋_GB2312" w:eastAsia="仿宋_GB2312" w:hAnsiTheme="minorHAnsi" w:cstheme="minorBidi"/>
                <w:kern w:val="2"/>
                <w:sz w:val="21"/>
                <w:szCs w:val="21"/>
                <w:highlight w:val="none"/>
                <w:lang w:val="en-US" w:eastAsia="zh-CN" w:bidi="ar-SA"/>
              </w:rPr>
            </w:pPr>
          </w:p>
        </w:tc>
      </w:tr>
      <w:tr>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val="en-US" w:eastAsia="zh-CN"/>
              </w:rPr>
              <w:t>4</w:t>
            </w:r>
          </w:p>
        </w:tc>
        <w:tc>
          <w:tcPr>
            <w:tcW w:w="23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碎石</w:t>
            </w:r>
          </w:p>
        </w:tc>
        <w:tc>
          <w:tcPr>
            <w:tcW w:w="12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10-20mm</w:t>
            </w:r>
          </w:p>
        </w:tc>
        <w:tc>
          <w:tcPr>
            <w:tcW w:w="8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吨</w:t>
            </w:r>
          </w:p>
        </w:tc>
        <w:tc>
          <w:tcPr>
            <w:tcW w:w="207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7000</w:t>
            </w:r>
          </w:p>
        </w:tc>
        <w:tc>
          <w:tcPr>
            <w:tcW w:w="1560" w:type="dxa"/>
            <w:tcBorders>
              <w:top w:val="single" w:color="000000" w:sz="4" w:space="0"/>
              <w:left w:val="single" w:color="auto" w:sz="4" w:space="0"/>
              <w:bottom w:val="single" w:color="000000" w:sz="4" w:space="0"/>
              <w:right w:val="single" w:color="000000" w:sz="4" w:space="0"/>
            </w:tcBorders>
            <w:vAlign w:val="center"/>
          </w:tcPr>
          <w:p>
            <w:pPr>
              <w:spacing w:line="500" w:lineRule="exact"/>
              <w:ind w:firstLine="420" w:firstLineChars="200"/>
              <w:jc w:val="left"/>
              <w:rPr>
                <w:rFonts w:ascii="仿宋_GB2312" w:eastAsia="仿宋_GB2312" w:hAnsiTheme="minorHAnsi" w:cstheme="minorBidi"/>
                <w:kern w:val="2"/>
                <w:sz w:val="21"/>
                <w:szCs w:val="21"/>
                <w:highlight w:val="none"/>
                <w:lang w:val="en-US" w:eastAsia="zh-CN" w:bidi="ar-SA"/>
              </w:rPr>
            </w:pPr>
          </w:p>
        </w:tc>
      </w:tr>
      <w:tr>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384" w:firstLineChars="183"/>
              <w:jc w:val="left"/>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5</w:t>
            </w:r>
          </w:p>
        </w:tc>
        <w:tc>
          <w:tcPr>
            <w:tcW w:w="23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机制砂</w:t>
            </w:r>
          </w:p>
        </w:tc>
        <w:tc>
          <w:tcPr>
            <w:tcW w:w="12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AH-70号</w:t>
            </w:r>
          </w:p>
        </w:tc>
        <w:tc>
          <w:tcPr>
            <w:tcW w:w="8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吨</w:t>
            </w:r>
          </w:p>
        </w:tc>
        <w:tc>
          <w:tcPr>
            <w:tcW w:w="207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10000</w:t>
            </w:r>
          </w:p>
        </w:tc>
        <w:tc>
          <w:tcPr>
            <w:tcW w:w="1560" w:type="dxa"/>
            <w:tcBorders>
              <w:top w:val="single" w:color="000000" w:sz="4" w:space="0"/>
              <w:left w:val="single" w:color="auto" w:sz="4" w:space="0"/>
              <w:bottom w:val="single" w:color="000000" w:sz="4" w:space="0"/>
              <w:right w:val="single" w:color="000000" w:sz="4" w:space="0"/>
            </w:tcBorders>
            <w:vAlign w:val="center"/>
          </w:tcPr>
          <w:p>
            <w:pPr>
              <w:spacing w:line="500" w:lineRule="exact"/>
              <w:ind w:firstLine="420" w:firstLineChars="200"/>
              <w:jc w:val="left"/>
              <w:rPr>
                <w:rFonts w:ascii="仿宋_GB2312" w:eastAsia="仿宋_GB2312" w:hAnsiTheme="minorHAnsi" w:cstheme="minorBidi"/>
                <w:kern w:val="2"/>
                <w:sz w:val="21"/>
                <w:szCs w:val="21"/>
                <w:highlight w:val="none"/>
                <w:lang w:val="en-US" w:eastAsia="zh-CN" w:bidi="ar-SA"/>
              </w:rPr>
            </w:pPr>
          </w:p>
        </w:tc>
      </w:tr>
      <w:tr>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合计</w:t>
            </w:r>
          </w:p>
        </w:tc>
        <w:tc>
          <w:tcPr>
            <w:tcW w:w="2366"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center"/>
              <w:rPr>
                <w:rFonts w:ascii="仿宋_GB2312" w:hAnsi="仿宋" w:eastAsia="仿宋_GB2312" w:cstheme="minorBidi"/>
                <w:bCs/>
                <w:color w:val="000000" w:themeColor="text1"/>
                <w:kern w:val="2"/>
                <w:sz w:val="21"/>
                <w:szCs w:val="21"/>
                <w:highlight w:val="none"/>
                <w:lang w:val="en-US" w:eastAsia="zh-CN" w:bidi="ar-SA"/>
              </w:rPr>
            </w:pPr>
          </w:p>
        </w:tc>
        <w:tc>
          <w:tcPr>
            <w:tcW w:w="1234"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left"/>
              <w:rPr>
                <w:rFonts w:ascii="仿宋_GB2312" w:hAnsi="仿宋" w:eastAsia="仿宋_GB2312" w:cstheme="minorBidi"/>
                <w:bCs/>
                <w:color w:val="000000" w:themeColor="text1"/>
                <w:kern w:val="2"/>
                <w:sz w:val="21"/>
                <w:szCs w:val="21"/>
                <w:highlight w:val="none"/>
                <w:lang w:val="en-US" w:eastAsia="zh-CN" w:bidi="ar-SA"/>
              </w:rPr>
            </w:pPr>
          </w:p>
        </w:tc>
        <w:tc>
          <w:tcPr>
            <w:tcW w:w="800"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left"/>
              <w:rPr>
                <w:rFonts w:ascii="仿宋_GB2312" w:hAnsi="仿宋" w:eastAsia="仿宋_GB2312" w:cstheme="minorBidi"/>
                <w:bCs/>
                <w:color w:val="000000" w:themeColor="text1"/>
                <w:kern w:val="2"/>
                <w:sz w:val="21"/>
                <w:szCs w:val="21"/>
                <w:highlight w:val="none"/>
                <w:lang w:val="en-US" w:eastAsia="zh-CN" w:bidi="ar-SA"/>
              </w:rPr>
            </w:pPr>
          </w:p>
        </w:tc>
        <w:tc>
          <w:tcPr>
            <w:tcW w:w="2076" w:type="dxa"/>
            <w:tcBorders>
              <w:top w:val="single" w:color="000000" w:sz="4" w:space="0"/>
              <w:left w:val="single" w:color="000000" w:sz="4" w:space="0"/>
              <w:bottom w:val="single" w:color="000000" w:sz="4" w:space="0"/>
              <w:right w:val="single" w:color="auto" w:sz="4" w:space="0"/>
            </w:tcBorders>
            <w:vAlign w:val="center"/>
          </w:tcPr>
          <w:p>
            <w:pPr>
              <w:spacing w:line="500" w:lineRule="exact"/>
              <w:ind w:firstLine="840" w:firstLineChars="400"/>
              <w:jc w:val="both"/>
              <w:rPr>
                <w:rFonts w:hint="eastAsia" w:ascii="方正仿宋_GB2312" w:hAnsi="方正仿宋_GB2312" w:eastAsia="方正仿宋_GB2312" w:cs="方正仿宋_GB2312"/>
                <w:bCs/>
                <w:color w:val="000000" w:themeColor="text1"/>
                <w:kern w:val="2"/>
                <w:sz w:val="21"/>
                <w:szCs w:val="21"/>
                <w:highlight w:val="none"/>
                <w:lang w:val="en-US" w:eastAsia="zh-CN" w:bidi="ar-SA"/>
              </w:rPr>
            </w:pPr>
            <w:r>
              <w:rPr>
                <w:rFonts w:hint="eastAsia" w:ascii="方正仿宋_GB2312" w:hAnsi="方正仿宋_GB2312" w:eastAsia="方正仿宋_GB2312" w:cs="方正仿宋_GB2312"/>
                <w:bCs/>
                <w:color w:val="000000" w:themeColor="text1"/>
                <w:kern w:val="2"/>
                <w:sz w:val="21"/>
                <w:szCs w:val="21"/>
                <w:highlight w:val="none"/>
                <w:lang w:val="en-US" w:eastAsia="zh-CN" w:bidi="ar-SA"/>
              </w:rPr>
              <w:t>34000</w:t>
            </w:r>
          </w:p>
        </w:tc>
        <w:tc>
          <w:tcPr>
            <w:tcW w:w="1560" w:type="dxa"/>
            <w:tcBorders>
              <w:top w:val="single" w:color="000000" w:sz="4" w:space="0"/>
              <w:left w:val="single" w:color="auto" w:sz="4" w:space="0"/>
              <w:bottom w:val="single" w:color="000000" w:sz="4" w:space="0"/>
              <w:right w:val="single" w:color="000000" w:sz="4" w:space="0"/>
            </w:tcBorders>
            <w:vAlign w:val="center"/>
          </w:tcPr>
          <w:p>
            <w:pPr>
              <w:spacing w:line="500" w:lineRule="exact"/>
              <w:ind w:firstLine="420" w:firstLineChars="200"/>
              <w:jc w:val="center"/>
              <w:rPr>
                <w:rFonts w:ascii="仿宋_GB2312" w:hAnsi="仿宋" w:eastAsia="仿宋_GB2312" w:cstheme="minorBidi"/>
                <w:bCs/>
                <w:color w:val="000000" w:themeColor="text1"/>
                <w:kern w:val="2"/>
                <w:sz w:val="21"/>
                <w:szCs w:val="21"/>
                <w:highlight w:val="none"/>
                <w:lang w:val="en-US" w:eastAsia="zh-CN" w:bidi="ar-SA"/>
              </w:rPr>
            </w:pPr>
          </w:p>
        </w:tc>
      </w:tr>
    </w:tbl>
    <w:p>
      <w:pPr>
        <w:spacing w:line="400" w:lineRule="exact"/>
        <w:ind w:firstLine="420" w:firstLineChars="200"/>
        <w:jc w:val="left"/>
        <w:outlineLvl w:val="2"/>
        <w:rPr>
          <w:rFonts w:ascii="仿宋_GB2312" w:eastAsia="仿宋_GB2312" w:hAnsiTheme="minorEastAsia"/>
          <w:sz w:val="21"/>
          <w:szCs w:val="21"/>
          <w:highlight w:val="none"/>
          <w:u w:val="single"/>
        </w:rPr>
      </w:pPr>
      <w:r>
        <w:rPr>
          <w:rFonts w:hint="eastAsia" w:ascii="仿宋_GB2312" w:eastAsia="仿宋_GB2312" w:hAnsiTheme="minorEastAsia"/>
          <w:sz w:val="21"/>
          <w:szCs w:val="21"/>
          <w:highlight w:val="none"/>
        </w:rPr>
        <w:t>4.2交货地点：</w:t>
      </w:r>
      <w:r>
        <w:rPr>
          <w:rFonts w:hint="eastAsia" w:ascii="方正仿宋_GB2312" w:hAnsi="方正仿宋_GB2312" w:eastAsia="方正仿宋_GB2312" w:cs="方正仿宋_GB2312"/>
          <w:sz w:val="21"/>
          <w:szCs w:val="21"/>
          <w:highlight w:val="none"/>
          <w:u w:val="single"/>
        </w:rPr>
        <w:t>河北省廊坊市霸州市后营村西800米院内</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户    名：</w:t>
      </w:r>
      <w:r>
        <w:rPr>
          <w:rFonts w:hint="eastAsia" w:ascii="方正仿宋_GB2312" w:hAnsi="方正仿宋_GB2312" w:eastAsia="方正仿宋_GB2312" w:cs="方正仿宋_GB2312"/>
          <w:b/>
          <w:sz w:val="21"/>
          <w:szCs w:val="21"/>
          <w:u w:val="single"/>
        </w:rPr>
        <w:t>中建路桥集团装配式建筑有限公司</w:t>
      </w:r>
    </w:p>
    <w:p>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    号：</w:t>
      </w:r>
      <w:r>
        <w:rPr>
          <w:rFonts w:hint="eastAsia" w:ascii="方正仿宋_GB2312" w:hAnsi="方正仿宋_GB2312" w:eastAsia="方正仿宋_GB2312" w:cs="方正仿宋_GB2312"/>
          <w:b/>
          <w:sz w:val="21"/>
          <w:szCs w:val="21"/>
          <w:u w:val="single"/>
        </w:rPr>
        <w:t>100674051426</w:t>
      </w:r>
    </w:p>
    <w:p>
      <w:pPr>
        <w:spacing w:line="400" w:lineRule="exact"/>
        <w:ind w:firstLine="422" w:firstLineChars="200"/>
        <w:jc w:val="left"/>
        <w:outlineLvl w:val="2"/>
        <w:rPr>
          <w:rFonts w:hint="eastAsia" w:ascii="方正仿宋_GB2312" w:hAnsi="方正仿宋_GB2312" w:eastAsia="方正仿宋_GB2312" w:cs="方正仿宋_GB2312"/>
          <w:b/>
          <w:sz w:val="21"/>
          <w:szCs w:val="21"/>
          <w:u w:val="single"/>
        </w:rPr>
      </w:pPr>
      <w:r>
        <w:rPr>
          <w:rFonts w:hint="eastAsia" w:ascii="仿宋_GB2312" w:eastAsia="仿宋_GB2312" w:hAnsiTheme="minorEastAsia"/>
          <w:b/>
          <w:sz w:val="21"/>
          <w:szCs w:val="21"/>
          <w:highlight w:val="none"/>
        </w:rPr>
        <w:t>开 户 行：</w:t>
      </w:r>
      <w:bookmarkStart w:id="19" w:name="_Toc238552208"/>
      <w:bookmarkStart w:id="20" w:name="_Toc287545441"/>
      <w:bookmarkStart w:id="21" w:name="_Toc238797563"/>
      <w:r>
        <w:rPr>
          <w:rFonts w:hint="eastAsia" w:ascii="方正仿宋_GB2312" w:hAnsi="方正仿宋_GB2312" w:eastAsia="方正仿宋_GB2312" w:cs="方正仿宋_GB2312"/>
          <w:b/>
          <w:sz w:val="21"/>
          <w:szCs w:val="21"/>
          <w:u w:val="single"/>
        </w:rPr>
        <w:t>中国银行沧州渤海新区支行</w:t>
      </w:r>
    </w:p>
    <w:p>
      <w:pPr>
        <w:pStyle w:val="13"/>
        <w:autoSpaceDE w:val="0"/>
        <w:autoSpaceDN w:val="0"/>
        <w:adjustRightInd w:val="0"/>
        <w:snapToGrid w:val="0"/>
        <w:spacing w:after="0" w:line="400" w:lineRule="exact"/>
        <w:ind w:firstLine="422" w:firstLineChars="200"/>
        <w:rPr>
          <w:rFonts w:hint="eastAsia" w:ascii="方正仿宋_GB2312" w:hAnsi="方正仿宋_GB2312" w:eastAsia="方正仿宋_GB2312" w:cs="方正仿宋_GB2312"/>
        </w:rPr>
      </w:pPr>
      <w:r>
        <w:rPr>
          <w:rFonts w:hint="eastAsia" w:ascii="仿宋_GB2312" w:eastAsia="仿宋_GB2312" w:hAnsiTheme="minorEastAsia" w:cstheme="minorBidi"/>
          <w:b/>
          <w:kern w:val="2"/>
          <w:sz w:val="21"/>
          <w:szCs w:val="21"/>
          <w:highlight w:val="none"/>
          <w:lang w:val="en-US" w:eastAsia="zh-CN" w:bidi="ar-SA"/>
        </w:rPr>
        <w:t>开户行行号</w:t>
      </w:r>
      <w:r>
        <w:rPr>
          <w:rFonts w:hint="eastAsia" w:ascii="方正仿宋_GB2312" w:hAnsi="方正仿宋_GB2312" w:eastAsia="方正仿宋_GB2312" w:cs="方正仿宋_GB2312"/>
          <w:b/>
          <w:kern w:val="2"/>
          <w:sz w:val="21"/>
          <w:szCs w:val="21"/>
        </w:rPr>
        <w:t>：</w:t>
      </w:r>
      <w:r>
        <w:rPr>
          <w:rFonts w:hint="eastAsia" w:ascii="方正仿宋_GB2312" w:hAnsi="方正仿宋_GB2312" w:eastAsia="方正仿宋_GB2312" w:cs="方正仿宋_GB2312"/>
          <w:b/>
          <w:kern w:val="2"/>
          <w:sz w:val="21"/>
          <w:szCs w:val="21"/>
          <w:u w:val="single"/>
        </w:rPr>
        <w:t>104145100010</w:t>
      </w:r>
    </w:p>
    <w:p>
      <w:pPr>
        <w:spacing w:line="400" w:lineRule="exact"/>
        <w:ind w:firstLine="422" w:firstLineChars="200"/>
        <w:jc w:val="left"/>
        <w:outlineLvl w:val="2"/>
        <w:rPr>
          <w:rFonts w:hint="eastAsia" w:ascii="方正仿宋_GB2312" w:hAnsi="方正仿宋_GB2312" w:eastAsia="方正仿宋_GB2312" w:cs="方正仿宋_GB2312"/>
          <w:b/>
          <w:sz w:val="21"/>
          <w:szCs w:val="21"/>
          <w:u w:val="single"/>
        </w:rPr>
      </w:pPr>
      <w:r>
        <w:rPr>
          <w:rFonts w:hint="eastAsia" w:ascii="仿宋_GB2312" w:eastAsia="仿宋_GB2312" w:hAnsiTheme="minorEastAsia" w:cstheme="minorBidi"/>
          <w:b/>
          <w:kern w:val="2"/>
          <w:sz w:val="21"/>
          <w:szCs w:val="21"/>
          <w:highlight w:val="none"/>
          <w:lang w:val="en-US" w:eastAsia="zh-CN" w:bidi="ar-SA"/>
        </w:rPr>
        <w:t>转账备注：</w:t>
      </w:r>
      <w:r>
        <w:rPr>
          <w:rFonts w:hint="eastAsia" w:ascii="方正仿宋_GB2312" w:hAnsi="方正仿宋_GB2312" w:eastAsia="方正仿宋_GB2312" w:cs="方正仿宋_GB2312"/>
          <w:b/>
          <w:kern w:val="2"/>
          <w:sz w:val="21"/>
          <w:szCs w:val="21"/>
          <w:highlight w:val="none"/>
          <w:u w:val="single"/>
          <w:lang w:val="en-US" w:eastAsia="zh-CN" w:bidi="ar-SA"/>
        </w:rPr>
        <w:t>中建路桥集团装配式建筑有限公司霸州项目沥青混凝土原材采购投标保证金</w:t>
      </w:r>
    </w:p>
    <w:p>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14333206"/>
      <w:bookmarkStart w:id="23" w:name="_Toc214339495"/>
      <w:bookmarkStart w:id="24" w:name="_Toc214336661"/>
      <w:bookmarkStart w:id="25" w:name="_Toc28053"/>
    </w:p>
    <w:p>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6662"/>
      <w:bookmarkStart w:id="29" w:name="_Toc214331811"/>
      <w:bookmarkStart w:id="30" w:name="_Toc214339496"/>
      <w:bookmarkStart w:id="31" w:name="_Toc214333207"/>
      <w:bookmarkStart w:id="32" w:name="_Toc214335335"/>
      <w:bookmarkStart w:id="33" w:name="_Toc10683"/>
    </w:p>
    <w:p>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rPr>
        <w:t>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.1、1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.2、1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.3</w:t>
      </w:r>
      <w:r>
        <w:rPr>
          <w:rFonts w:hint="eastAsia" w:ascii="仿宋_GB2312" w:eastAsia="仿宋_GB2312" w:hAnsiTheme="minorEastAsia"/>
          <w:sz w:val="21"/>
          <w:szCs w:val="21"/>
          <w:highlight w:val="none"/>
        </w:rPr>
        <w:t>款的顺序和要求编制投标文件。</w:t>
      </w:r>
    </w:p>
    <w:p>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rPr>
      </w:pPr>
      <w:r>
        <w:rPr>
          <w:rFonts w:hint="eastAsia" w:ascii="仿宋_GB2312" w:hAnsi="华文仿宋" w:eastAsia="仿宋_GB2312"/>
          <w:color w:val="000000" w:themeColor="text1"/>
          <w:sz w:val="21"/>
          <w:szCs w:val="21"/>
          <w:highlight w:val="none"/>
        </w:rPr>
        <w:t>具体内容如下：</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val="0"/>
          <w:bCs/>
          <w:sz w:val="21"/>
          <w:szCs w:val="21"/>
          <w:highlight w:val="none"/>
          <w:u w:val="single"/>
        </w:rPr>
        <w:t xml:space="preserve"> </w:t>
      </w:r>
      <w:r>
        <w:rPr>
          <w:rFonts w:hint="eastAsia" w:ascii="仿宋_GB2312" w:eastAsia="仿宋_GB2312" w:hAnsiTheme="minorEastAsia"/>
          <w:b w:val="0"/>
          <w:bCs/>
          <w:sz w:val="21"/>
          <w:szCs w:val="21"/>
          <w:highlight w:val="none"/>
          <w:u w:val="single"/>
          <w:lang w:val="en-US" w:eastAsia="zh-CN"/>
        </w:rPr>
        <w:t>0.3</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rPr>
        <w:t xml:space="preserve"> </w:t>
      </w:r>
      <w:r>
        <w:rPr>
          <w:rFonts w:hint="eastAsia" w:ascii="方正仿宋_GB2312" w:hAnsi="方正仿宋_GB2312" w:eastAsia="方正仿宋_GB2312" w:cs="方正仿宋_GB2312"/>
          <w:b/>
          <w:sz w:val="21"/>
          <w:szCs w:val="21"/>
          <w:highlight w:val="none"/>
          <w:u w:val="single"/>
          <w:lang w:val="en-US" w:eastAsia="zh-CN"/>
        </w:rPr>
        <w:t>叁仟元整</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pPr>
        <w:spacing w:line="400" w:lineRule="exact"/>
        <w:ind w:firstLine="420" w:firstLineChars="200"/>
        <w:jc w:val="left"/>
        <w:outlineLvl w:val="2"/>
        <w:rPr>
          <w:rFonts w:ascii="仿宋_GB2312" w:eastAsia="仿宋_GB2312" w:cs="宋体" w:hAnsiTheme="minorEastAsia"/>
          <w:color w:val="000000" w:themeColor="text1"/>
          <w:sz w:val="21"/>
          <w:szCs w:val="21"/>
          <w:highlight w:val="none"/>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rPr>
        <w:t>上一年度中建路桥集团有限公司优质</w:t>
      </w:r>
      <w:r>
        <w:rPr>
          <w:rFonts w:hint="eastAsia" w:ascii="仿宋_GB2312" w:eastAsia="仿宋_GB2312" w:cs="宋体" w:hAnsiTheme="minorEastAsia"/>
          <w:color w:val="000000" w:themeColor="text1"/>
          <w:sz w:val="21"/>
          <w:szCs w:val="21"/>
          <w:highlight w:val="none"/>
          <w:lang w:val="en-US" w:eastAsia="zh-CN"/>
        </w:rPr>
        <w:t>分供</w:t>
      </w:r>
      <w:r>
        <w:rPr>
          <w:rFonts w:hint="eastAsia" w:ascii="仿宋_GB2312" w:eastAsia="仿宋_GB2312" w:cs="宋体" w:hAnsiTheme="minorEastAsia"/>
          <w:color w:val="000000" w:themeColor="text1"/>
          <w:sz w:val="21"/>
          <w:szCs w:val="21"/>
          <w:highlight w:val="none"/>
        </w:rPr>
        <w:t>商可免交投标保证金。</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rPr>
        <w:t>上一年度中建路桥集团有限公司优质供应商免交履约保证金。</w:t>
      </w:r>
    </w:p>
    <w:p>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hint="eastAsia" w:ascii="仿宋_GB2312" w:eastAsia="仿宋_GB2312" w:hAnsiTheme="minorEastAsia"/>
          <w:b/>
          <w:bCs/>
          <w:sz w:val="21"/>
          <w:szCs w:val="21"/>
          <w:highlight w:val="none"/>
          <w:u w:val="single"/>
          <w:lang w:val="en-US" w:eastAsia="zh-CN"/>
        </w:rPr>
        <w:t>含工地卸货挂钩卸车人工费、</w:t>
      </w:r>
      <w:r>
        <w:rPr>
          <w:rFonts w:hint="eastAsia" w:ascii="仿宋_GB2312" w:eastAsia="仿宋_GB2312" w:hAnsiTheme="minorEastAsia"/>
          <w:sz w:val="21"/>
          <w:szCs w:val="21"/>
          <w:highlight w:val="none"/>
          <w:lang w:val="en-US" w:eastAsia="zh-CN"/>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 xml:space="preserve">固定单价 </w:t>
      </w:r>
      <w:r>
        <w:rPr>
          <w:rFonts w:hint="eastAsia" w:ascii="仿宋_GB2312" w:eastAsia="仿宋_GB2312" w:hAnsiTheme="minorEastAsia"/>
          <w:b/>
          <w:sz w:val="21"/>
          <w:szCs w:val="21"/>
          <w:highlight w:val="none"/>
        </w:rPr>
        <w:t>报价方式</w:t>
      </w:r>
    </w:p>
    <w:p>
      <w:pPr>
        <w:pStyle w:val="41"/>
        <w:numPr>
          <w:ilvl w:val="0"/>
          <w:numId w:val="0"/>
        </w:numPr>
        <w:spacing w:before="120" w:beforeLines="50" w:after="120" w:afterLines="50" w:line="400" w:lineRule="atLeast"/>
        <w:ind w:leftChars="0" w:firstLine="422" w:firstLineChars="200"/>
        <w:outlineLvl w:val="0"/>
        <w:rPr>
          <w:rFonts w:ascii="仿宋_GB2312" w:eastAsia="仿宋_GB2312" w:cs="Times New Roman" w:hAnsiTheme="minorEastAsia"/>
          <w:sz w:val="21"/>
          <w:szCs w:val="21"/>
          <w:highlight w:val="none"/>
        </w:rPr>
      </w:pPr>
      <w:r>
        <w:rPr>
          <w:rFonts w:hint="eastAsia" w:ascii="仿宋_GB2312" w:eastAsia="仿宋_GB2312" w:hAnsiTheme="minorEastAsia"/>
          <w:b/>
          <w:sz w:val="21"/>
          <w:szCs w:val="21"/>
          <w:highlight w:val="none"/>
          <w:u w:val="single"/>
          <w:lang w:val="en-US" w:eastAsia="zh-CN"/>
        </w:rPr>
        <w:t>组合单价</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u w:val="single"/>
          <w:lang w:val="en-US" w:eastAsia="zh-CN"/>
        </w:rPr>
        <w:t>组合单价</w:t>
      </w:r>
      <w:r>
        <w:rPr>
          <w:rFonts w:hint="eastAsia" w:ascii="仿宋_GB2312" w:eastAsia="仿宋_GB2312" w:hAnsiTheme="minorEastAsia"/>
          <w:b/>
          <w:sz w:val="21"/>
          <w:szCs w:val="21"/>
          <w:highlight w:val="none"/>
        </w:rPr>
        <w:t>。</w:t>
      </w:r>
      <w:r>
        <w:rPr>
          <w:rFonts w:hint="eastAsia" w:ascii="仿宋_GB2312" w:hAnsi="仿宋_GB2312" w:eastAsia="仿宋_GB2312" w:cs="仿宋_GB2312"/>
          <w:color w:val="000000" w:themeColor="text1"/>
          <w:sz w:val="21"/>
          <w:szCs w:val="21"/>
          <w:highlight w:val="none"/>
          <w:u w:val="single"/>
        </w:rPr>
        <w:t>含税综合单价=含税基准价（P1）+含税附加费(P2)+其他。</w:t>
      </w:r>
      <w:r>
        <w:rPr>
          <w:rFonts w:hint="eastAsia" w:ascii="仿宋_GB2312" w:hAnsi="仿宋_GB2312" w:eastAsia="仿宋_GB2312" w:cs="仿宋_GB2312"/>
          <w:color w:val="000000" w:themeColor="text1"/>
          <w:sz w:val="21"/>
          <w:szCs w:val="21"/>
          <w:highlight w:val="none"/>
          <w:u w:val="single"/>
          <w:lang w:eastAsia="zh-CN"/>
        </w:rPr>
        <w:t>（</w:t>
      </w:r>
      <w:r>
        <w:rPr>
          <w:rFonts w:hint="eastAsia" w:ascii="仿宋_GB2312" w:hAnsi="仿宋_GB2312" w:eastAsia="仿宋_GB2312" w:cs="仿宋_GB2312"/>
          <w:color w:val="000000" w:themeColor="text1"/>
          <w:sz w:val="21"/>
          <w:szCs w:val="21"/>
          <w:highlight w:val="none"/>
          <w:u w:val="single"/>
          <w:lang w:val="en-US" w:eastAsia="zh-CN"/>
        </w:rPr>
        <w:t>见报价清单</w:t>
      </w:r>
      <w:r>
        <w:rPr>
          <w:rFonts w:hint="eastAsia" w:ascii="仿宋_GB2312" w:hAnsi="仿宋_GB2312" w:eastAsia="仿宋_GB2312" w:cs="仿宋_GB2312"/>
          <w:color w:val="000000" w:themeColor="text1"/>
          <w:sz w:val="21"/>
          <w:szCs w:val="21"/>
          <w:highlight w:val="none"/>
          <w:u w:val="single"/>
          <w:lang w:eastAsia="zh-CN"/>
        </w:rPr>
        <w:t>）</w:t>
      </w:r>
      <w:r>
        <w:rPr>
          <w:rFonts w:hint="eastAsia" w:ascii="仿宋_GB2312" w:eastAsia="仿宋_GB2312" w:hAnsiTheme="minorEastAsia"/>
          <w:bCs/>
          <w:sz w:val="21"/>
          <w:szCs w:val="21"/>
          <w:highlight w:val="none"/>
        </w:rPr>
        <w:t>报价亦按此模式报价</w:t>
      </w:r>
      <w:r>
        <w:rPr>
          <w:rFonts w:hint="eastAsia" w:ascii="仿宋_GB2312" w:eastAsia="仿宋_GB2312" w:hAnsiTheme="minorEastAsia"/>
          <w:sz w:val="21"/>
          <w:szCs w:val="21"/>
          <w:highlight w:val="none"/>
        </w:rPr>
        <w:t>。</w:t>
      </w:r>
      <w:r>
        <w:rPr>
          <w:rFonts w:hint="eastAsia" w:ascii="仿宋_GB2312" w:eastAsia="仿宋_GB2312" w:hAnsiTheme="minorEastAsia"/>
          <w:bCs/>
          <w:sz w:val="21"/>
          <w:szCs w:val="21"/>
          <w:highlight w:val="none"/>
        </w:rPr>
        <w:t>招标物资</w:t>
      </w:r>
      <w:r>
        <w:rPr>
          <w:rFonts w:hint="eastAsia" w:ascii="仿宋_GB2312" w:eastAsia="仿宋_GB2312" w:hAnsiTheme="minorEastAsia"/>
          <w:bCs/>
          <w:sz w:val="21"/>
          <w:szCs w:val="21"/>
          <w:highlight w:val="none"/>
          <w:lang w:val="en-US" w:eastAsia="zh-CN"/>
        </w:rPr>
        <w:t>含税</w:t>
      </w:r>
      <w:r>
        <w:rPr>
          <w:rFonts w:hint="eastAsia" w:ascii="仿宋_GB2312" w:eastAsia="仿宋_GB2312" w:cs="Times New Roman" w:hAnsiTheme="minorEastAsia"/>
          <w:bCs/>
          <w:sz w:val="21"/>
          <w:szCs w:val="21"/>
          <w:highlight w:val="none"/>
        </w:rPr>
        <w:t>基准价</w:t>
      </w:r>
      <w:r>
        <w:rPr>
          <w:rFonts w:hint="eastAsia" w:ascii="仿宋_GB2312" w:hAnsi="仿宋_GB2312" w:eastAsia="仿宋_GB2312" w:cs="仿宋_GB2312"/>
          <w:color w:val="000000" w:themeColor="text1"/>
          <w:sz w:val="21"/>
          <w:szCs w:val="21"/>
          <w:highlight w:val="none"/>
          <w:u w:val="none"/>
        </w:rPr>
        <w:t>（P1）</w:t>
      </w:r>
      <w:r>
        <w:rPr>
          <w:rFonts w:hint="eastAsia" w:ascii="仿宋_GB2312" w:eastAsia="仿宋_GB2312" w:cs="Times New Roman" w:hAnsiTheme="minorEastAsia"/>
          <w:sz w:val="21"/>
          <w:szCs w:val="21"/>
          <w:highlight w:val="none"/>
        </w:rPr>
        <w:t>采用“</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 xml:space="preserve">/ </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”网站行情价格，即</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sz w:val="21"/>
          <w:szCs w:val="21"/>
          <w:highlight w:val="none"/>
        </w:rPr>
        <w:fldChar w:fldCharType="begin"/>
      </w:r>
      <w:r>
        <w:rPr>
          <w:sz w:val="21"/>
          <w:szCs w:val="21"/>
          <w:highlight w:val="none"/>
        </w:rPr>
        <w:instrText xml:space="preserve"> HYPERLINK "http://www.mysteel.com/" </w:instrText>
      </w:r>
      <w:r>
        <w:rPr>
          <w:sz w:val="21"/>
          <w:szCs w:val="21"/>
          <w:highlight w:val="none"/>
        </w:rPr>
        <w:fldChar w:fldCharType="separate"/>
      </w:r>
      <w:r>
        <w:rPr>
          <w:rFonts w:hint="eastAsia" w:ascii="仿宋_GB2312" w:eastAsia="仿宋_GB2312" w:cs="Times New Roman" w:hAnsiTheme="minorEastAsia"/>
          <w:sz w:val="21"/>
          <w:szCs w:val="21"/>
          <w:highlight w:val="none"/>
        </w:rPr>
        <w:t>网</w:t>
      </w:r>
      <w:r>
        <w:rPr>
          <w:rFonts w:hint="eastAsia" w:ascii="仿宋_GB2312" w:eastAsia="仿宋_GB2312" w:cs="Times New Roman" w:hAnsiTheme="minorEastAsia"/>
          <w:sz w:val="21"/>
          <w:szCs w:val="21"/>
          <w:highlight w:val="none"/>
        </w:rPr>
        <w:fldChar w:fldCharType="end"/>
      </w:r>
      <w:r>
        <w:rPr>
          <w:rFonts w:hint="eastAsia" w:ascii="仿宋_GB2312" w:eastAsia="仿宋_GB2312" w:cs="Times New Roman" w:hAnsiTheme="minorEastAsia"/>
          <w:sz w:val="21"/>
          <w:szCs w:val="21"/>
          <w:highlight w:val="none"/>
        </w:rPr>
        <w:t>提供的</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省</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市</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bCs/>
          <w:sz w:val="21"/>
          <w:szCs w:val="21"/>
          <w:highlight w:val="none"/>
        </w:rPr>
        <w:t>生产企业所报同规格型号同材质</w:t>
      </w:r>
      <w:r>
        <w:rPr>
          <w:rFonts w:hint="eastAsia" w:ascii="仿宋_GB2312" w:eastAsia="仿宋_GB2312" w:cs="Times New Roman" w:hAnsiTheme="minorEastAsia"/>
          <w:sz w:val="21"/>
          <w:szCs w:val="21"/>
          <w:highlight w:val="none"/>
        </w:rPr>
        <w:t>市场行情价格。投标按照</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 xml:space="preserve">/ </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日网站价格填写。</w:t>
      </w:r>
      <w:r>
        <w:rPr>
          <w:rFonts w:hint="eastAsia" w:ascii="仿宋_GB2312" w:hAnsi="仿宋_GB2312" w:eastAsia="仿宋_GB2312" w:cs="仿宋_GB2312"/>
          <w:color w:val="000000" w:themeColor="text1"/>
          <w:kern w:val="0"/>
          <w:sz w:val="21"/>
          <w:szCs w:val="21"/>
          <w:highlight w:val="none"/>
        </w:rPr>
        <w:t>附加费（P2）：</w:t>
      </w:r>
      <w:r>
        <w:rPr>
          <w:rFonts w:hint="eastAsia" w:ascii="仿宋_GB2312" w:hAnsi="仿宋_GB2312" w:eastAsia="仿宋_GB2312" w:cs="仿宋_GB2312"/>
          <w:color w:val="000000" w:themeColor="text1"/>
          <w:kern w:val="0"/>
          <w:sz w:val="21"/>
          <w:szCs w:val="21"/>
          <w:highlight w:val="none"/>
          <w:lang w:val="en-US" w:eastAsia="zh-CN"/>
        </w:rPr>
        <w:t>投标人</w:t>
      </w:r>
      <w:r>
        <w:rPr>
          <w:rFonts w:hint="eastAsia" w:ascii="仿宋_GB2312" w:hAnsi="仿宋_GB2312" w:eastAsia="仿宋_GB2312" w:cs="仿宋_GB2312"/>
          <w:color w:val="000000" w:themeColor="text1"/>
          <w:kern w:val="0"/>
          <w:sz w:val="21"/>
          <w:szCs w:val="21"/>
          <w:highlight w:val="none"/>
        </w:rPr>
        <w:t>综合考虑了出库、运输、装车、</w:t>
      </w:r>
      <w:r>
        <w:rPr>
          <w:rFonts w:hint="eastAsia" w:ascii="仿宋_GB2312" w:hAnsi="仿宋_GB2312" w:eastAsia="仿宋_GB2312" w:cs="仿宋_GB2312"/>
          <w:b/>
          <w:bCs/>
          <w:color w:val="000000" w:themeColor="text1"/>
          <w:kern w:val="0"/>
          <w:sz w:val="21"/>
          <w:szCs w:val="21"/>
          <w:highlight w:val="none"/>
        </w:rPr>
        <w:t>卸车</w:t>
      </w:r>
      <w:r>
        <w:rPr>
          <w:rFonts w:hint="eastAsia" w:ascii="仿宋_GB2312" w:hAnsi="仿宋_GB2312" w:eastAsia="仿宋_GB2312" w:cs="仿宋_GB2312"/>
          <w:color w:val="000000" w:themeColor="text1"/>
          <w:kern w:val="0"/>
          <w:sz w:val="21"/>
          <w:szCs w:val="21"/>
          <w:highlight w:val="none"/>
        </w:rPr>
        <w:t>、增值税金、利润等费用。</w:t>
      </w:r>
    </w:p>
    <w:p>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pPr>
        <w:spacing w:line="400" w:lineRule="exact"/>
        <w:ind w:firstLine="422" w:firstLineChars="200"/>
        <w:jc w:val="left"/>
        <w:outlineLvl w:val="2"/>
        <w:rPr>
          <w:rFonts w:ascii="仿宋_GB2312" w:hAnsi="宋体" w:eastAsia="仿宋_GB2312" w:cs="宋体"/>
          <w:sz w:val="21"/>
          <w:szCs w:val="21"/>
          <w:highlight w:val="none"/>
        </w:rPr>
      </w:pPr>
      <w:r>
        <w:rPr>
          <w:rFonts w:hint="eastAsia" w:ascii="仿宋_GB2312" w:eastAsia="仿宋_GB2312" w:hAnsiTheme="minorEastAsia"/>
          <w:b/>
          <w:sz w:val="21"/>
          <w:szCs w:val="21"/>
          <w:highlight w:val="none"/>
          <w:u w:val="single"/>
          <w:lang w:val="en-US" w:eastAsia="zh-CN"/>
        </w:rPr>
        <w:t>浮动单价</w:t>
      </w:r>
      <w:r>
        <w:rPr>
          <w:rFonts w:hint="eastAsia" w:ascii="仿宋_GB2312" w:eastAsia="仿宋_GB2312" w:hAnsiTheme="minorEastAsia"/>
          <w:b/>
          <w:sz w:val="21"/>
          <w:szCs w:val="21"/>
          <w:highlight w:val="none"/>
        </w:rPr>
        <w:t>。</w:t>
      </w:r>
      <w:r>
        <w:rPr>
          <w:rFonts w:hint="eastAsia" w:ascii="仿宋_GB2312" w:eastAsia="仿宋_GB2312" w:cs="Times New Roman" w:hAnsiTheme="minorEastAsia"/>
          <w:sz w:val="21"/>
          <w:szCs w:val="21"/>
          <w:highlight w:val="none"/>
        </w:rPr>
        <w:t>按照</w:t>
      </w:r>
      <w:r>
        <w:rPr>
          <w:rFonts w:hint="eastAsia" w:ascii="仿宋_GB2312" w:eastAsia="仿宋_GB2312" w:cs="Times New Roman" w:hAnsiTheme="minorEastAsia"/>
          <w:sz w:val="21"/>
          <w:szCs w:val="21"/>
          <w:highlight w:val="none"/>
          <w:lang w:val="en-US" w:eastAsia="zh-CN"/>
        </w:rPr>
        <w:t>浮动单价</w:t>
      </w:r>
      <w:r>
        <w:rPr>
          <w:rFonts w:hint="eastAsia" w:ascii="仿宋_GB2312" w:eastAsia="仿宋_GB2312" w:cs="Times New Roman" w:hAnsiTheme="minorEastAsia"/>
          <w:sz w:val="21"/>
          <w:szCs w:val="21"/>
          <w:highlight w:val="none"/>
        </w:rPr>
        <w:t>报价，</w:t>
      </w:r>
      <w:r>
        <w:rPr>
          <w:rFonts w:hint="eastAsia" w:ascii="仿宋_GB2312" w:hAnsi="宋体" w:eastAsia="仿宋_GB2312" w:cs="宋体"/>
          <w:sz w:val="21"/>
          <w:szCs w:val="21"/>
          <w:highlight w:val="none"/>
        </w:rPr>
        <w:t>材料单价浮动</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u w:val="single"/>
          <w:lang w:val="en-US" w:eastAsia="zh-CN"/>
        </w:rPr>
        <w:t>/</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u w:val="single"/>
          <w:lang w:val="en-US" w:eastAsia="zh-CN"/>
        </w:rPr>
        <w:t xml:space="preserve"> /</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元）以内不予调价，浮动超过</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u w:val="single"/>
          <w:lang w:val="en-US" w:eastAsia="zh-CN"/>
        </w:rPr>
        <w:t>/</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u w:val="single"/>
          <w:lang w:val="en-US" w:eastAsia="zh-CN"/>
        </w:rPr>
        <w:t>/</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元）只对超出部分予以调价。价格变动参照物为招标人指定网站价格及招标人市场调研结果，招标人指定价格变动参照网站是</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u w:val="single"/>
          <w:lang w:val="en-US" w:eastAsia="zh-CN"/>
        </w:rPr>
        <w:t>/</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w:t>
      </w:r>
      <w:r>
        <w:rPr>
          <w:rFonts w:hint="eastAsia" w:ascii="仿宋_GB2312" w:eastAsia="仿宋_GB2312" w:cs="Times New Roman" w:hAnsiTheme="minorEastAsia"/>
          <w:sz w:val="21"/>
          <w:szCs w:val="21"/>
          <w:highlight w:val="none"/>
        </w:rPr>
        <w:t>投标参照价格为</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品牌网站市场价格。</w:t>
      </w:r>
    </w:p>
    <w:p>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付款比例、付款方式见投标人须知前附表</w:t>
      </w:r>
      <w:r>
        <w:rPr>
          <w:rFonts w:hint="eastAsia" w:ascii="仿宋_GB2312" w:eastAsia="仿宋_GB2312" w:hAnsiTheme="minorEastAsia"/>
          <w:sz w:val="21"/>
          <w:szCs w:val="21"/>
          <w:highlight w:val="none"/>
        </w:rPr>
        <w:t>。</w:t>
      </w:r>
    </w:p>
    <w:p>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rPr>
        <w:t>9</w:t>
      </w:r>
      <w:r>
        <w:rPr>
          <w:rFonts w:hint="eastAsia" w:ascii="仿宋_GB2312" w:eastAsia="仿宋_GB2312" w:hAnsiTheme="minorEastAsia"/>
          <w:color w:val="000000" w:themeColor="text1"/>
          <w:sz w:val="21"/>
          <w:szCs w:val="21"/>
          <w:highlight w:val="none"/>
        </w:rPr>
        <w:t>0</w:t>
      </w:r>
      <w:r>
        <w:rPr>
          <w:rFonts w:hint="eastAsia" w:ascii="仿宋_GB2312" w:eastAsia="仿宋_GB2312" w:hAnsiTheme="minorEastAsia"/>
          <w:sz w:val="21"/>
          <w:szCs w:val="21"/>
          <w:highlight w:val="none"/>
        </w:rPr>
        <w:t>天内投标文件有效。有效期内投标人不得自行改变其投标文件内容。</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5336"/>
      <w:bookmarkStart w:id="39" w:name="_Toc31618"/>
      <w:bookmarkStart w:id="40" w:name="_Toc214333208"/>
      <w:bookmarkStart w:id="41" w:name="_Toc214331812"/>
      <w:bookmarkStart w:id="42" w:name="_Hlk38441028"/>
      <w:bookmarkStart w:id="43" w:name="_Toc214336663"/>
      <w:bookmarkStart w:id="44" w:name="_Toc214339497"/>
    </w:p>
    <w:p>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2024</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5</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22</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18</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方正仿宋_GB2312" w:hAnsi="方正仿宋_GB2312" w:eastAsia="方正仿宋_GB2312" w:cs="方正仿宋_GB2312"/>
          <w:strike w:val="0"/>
          <w:dstrike w:val="0"/>
          <w:color w:val="0C0C0C" w:themeColor="text1" w:themeTint="F2"/>
          <w:sz w:val="21"/>
          <w:szCs w:val="21"/>
          <w:highlight w:val="none"/>
          <w:u w:val="single"/>
        </w:rPr>
        <w:t>沧州渤海新区新型建材园内中疏港路与通七路交叉西侧</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214339498"/>
      <w:bookmarkStart w:id="47" w:name="_Toc214335337"/>
      <w:bookmarkStart w:id="48" w:name="_Toc214336664"/>
      <w:bookmarkStart w:id="49" w:name="_Toc4220"/>
      <w:bookmarkStart w:id="50" w:name="_Toc214331813"/>
      <w:bookmarkStart w:id="51" w:name="_Toc214333209"/>
    </w:p>
    <w:p>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pPr>
        <w:pStyle w:val="17"/>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2024</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 xml:space="preserve">5 </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23</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10</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，在中建路桥集团有限公司</w:t>
      </w:r>
      <w:r>
        <w:rPr>
          <w:rFonts w:hint="eastAsia" w:ascii="仿宋_GB2312" w:eastAsia="仿宋_GB2312" w:hAnsiTheme="minorEastAsia"/>
          <w:kern w:val="2"/>
          <w:highlight w:val="none"/>
          <w:u w:val="single"/>
          <w:lang w:val="en-US" w:eastAsia="zh-CN"/>
        </w:rPr>
        <w:t>资产运营部会议室</w:t>
      </w:r>
      <w:r>
        <w:rPr>
          <w:rFonts w:hint="eastAsia" w:ascii="仿宋_GB2312" w:eastAsia="仿宋_GB2312" w:hAnsiTheme="minorEastAsia"/>
          <w:kern w:val="2"/>
          <w:highlight w:val="none"/>
          <w:u w:val="none"/>
        </w:rPr>
        <w:t>公开</w:t>
      </w:r>
      <w:r>
        <w:rPr>
          <w:rFonts w:hint="eastAsia" w:ascii="仿宋_GB2312" w:eastAsia="仿宋_GB2312" w:hAnsiTheme="minorEastAsia"/>
          <w:kern w:val="2"/>
          <w:highlight w:val="none"/>
        </w:rPr>
        <w:t>开标。</w:t>
      </w:r>
    </w:p>
    <w:p>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pPr>
        <w:pStyle w:val="17"/>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w:t>
      </w:r>
      <w:r>
        <w:rPr>
          <w:rFonts w:hint="eastAsia" w:ascii="仿宋_GB2312" w:eastAsia="仿宋_GB2312" w:cs="宋体" w:hAnsiTheme="minorEastAsia"/>
          <w:sz w:val="21"/>
          <w:szCs w:val="21"/>
          <w:highlight w:val="none"/>
          <w:lang w:val="en-US" w:eastAsia="zh-CN"/>
        </w:rPr>
        <w:t>集团官</w:t>
      </w:r>
      <w:r>
        <w:rPr>
          <w:rFonts w:hint="eastAsia" w:ascii="仿宋_GB2312" w:eastAsia="仿宋_GB2312" w:cs="宋体" w:hAnsiTheme="minorEastAsia"/>
          <w:sz w:val="21"/>
          <w:szCs w:val="21"/>
          <w:highlight w:val="none"/>
          <w:lang w:eastAsia="zh-Hans"/>
        </w:rPr>
        <w:t>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w:t>
      </w:r>
    </w:p>
    <w:p>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pPr>
        <w:pStyle w:val="17"/>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pPr>
        <w:pStyle w:val="17"/>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pPr>
        <w:pStyle w:val="17"/>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pPr>
        <w:pStyle w:val="17"/>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pPr>
        <w:pStyle w:val="17"/>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pPr>
        <w:pStyle w:val="17"/>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5338"/>
      <w:bookmarkStart w:id="57" w:name="_Toc214336665"/>
      <w:bookmarkStart w:id="58" w:name="_Toc214339499"/>
      <w:bookmarkStart w:id="59" w:name="_Toc214331814"/>
      <w:bookmarkStart w:id="60" w:name="_Toc4715"/>
      <w:bookmarkStart w:id="61" w:name="_Toc214333210"/>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pPr>
        <w:spacing w:line="400" w:lineRule="exact"/>
        <w:jc w:val="center"/>
        <w:outlineLvl w:val="2"/>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both"/>
        <w:outlineLvl w:val="2"/>
        <w:rPr>
          <w:rFonts w:hint="eastAsia" w:ascii="仿宋_GB2312" w:eastAsia="仿宋_GB2312" w:hAnsiTheme="majorEastAsia"/>
          <w:b/>
          <w:bCs/>
          <w:sz w:val="28"/>
          <w:szCs w:val="28"/>
          <w:highlight w:val="none"/>
        </w:rPr>
      </w:pPr>
    </w:p>
    <w:p>
      <w:pPr>
        <w:spacing w:line="400" w:lineRule="exact"/>
        <w:jc w:val="both"/>
        <w:outlineLvl w:val="2"/>
        <w:rPr>
          <w:rFonts w:hint="eastAsia" w:ascii="仿宋_GB2312" w:eastAsia="仿宋_GB2312" w:hAnsiTheme="majorEastAsia"/>
          <w:b/>
          <w:bCs/>
          <w:sz w:val="28"/>
          <w:szCs w:val="28"/>
          <w:highlight w:val="none"/>
        </w:rPr>
      </w:pPr>
    </w:p>
    <w:p>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pPr>
        <w:pStyle w:val="17"/>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pPr>
        <w:pStyle w:val="17"/>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pPr>
        <w:pStyle w:val="17"/>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pPr>
        <w:pStyle w:val="17"/>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pPr>
        <w:pStyle w:val="17"/>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pPr>
        <w:pStyle w:val="17"/>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pPr>
        <w:pStyle w:val="17"/>
        <w:snapToGrid w:val="0"/>
        <w:spacing w:line="400" w:lineRule="exact"/>
        <w:ind w:firstLine="420" w:firstLineChars="200"/>
        <w:jc w:val="left"/>
        <w:outlineLvl w:val="2"/>
        <w:rPr>
          <w:rFonts w:ascii="仿宋_GB2312" w:hAnsi="宋体" w:eastAsia="仿宋_GB2312"/>
          <w:kern w:val="2"/>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both"/>
        <w:outlineLvl w:val="0"/>
        <w:rPr>
          <w:rFonts w:ascii="仿宋_GB2312" w:eastAsia="仿宋_GB2312" w:hAnsiTheme="majorEastAsia"/>
          <w:b/>
          <w:bCs/>
          <w:sz w:val="36"/>
          <w:szCs w:val="36"/>
          <w:highlight w:val="none"/>
        </w:rPr>
      </w:pPr>
    </w:p>
    <w:p>
      <w:pPr>
        <w:spacing w:line="400" w:lineRule="exact"/>
        <w:jc w:val="both"/>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rPr>
          <w:rFonts w:hint="eastAsia" w:ascii="宋体" w:hAnsi="宋体" w:cs="宋体" w:eastAsiaTheme="minorEastAsia"/>
          <w:color w:val="000000"/>
          <w:sz w:val="36"/>
          <w:szCs w:val="36"/>
          <w:highlight w:val="none"/>
          <w:lang w:val="en-US" w:eastAsia="zh-CN"/>
        </w:rPr>
      </w:pPr>
      <w:r>
        <w:rPr>
          <w:rFonts w:hint="eastAsia" w:ascii="宋体" w:hAnsi="宋体" w:cs="宋体"/>
          <w:color w:val="000000"/>
          <w:sz w:val="36"/>
          <w:szCs w:val="36"/>
          <w:highlight w:val="none"/>
          <w:lang w:val="en-US" w:eastAsia="zh-CN"/>
        </w:rPr>
        <w:t xml:space="preserve"> </w:t>
      </w:r>
    </w:p>
    <w:p>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pPr>
        <w:widowControl/>
        <w:jc w:val="center"/>
        <w:rPr>
          <w:rFonts w:ascii="宋体" w:hAnsi="宋体" w:cs="宋体"/>
          <w:color w:val="000000"/>
          <w:sz w:val="36"/>
          <w:szCs w:val="36"/>
          <w:highlight w:val="none"/>
        </w:rPr>
      </w:pPr>
    </w:p>
    <w:p>
      <w:pPr>
        <w:widowControl/>
        <w:ind w:left="3773" w:leftChars="887" w:hanging="1644" w:hangingChars="546"/>
        <w:rPr>
          <w:rFonts w:ascii="宋体" w:hAnsi="宋体" w:cs="宋体"/>
          <w:b/>
          <w:color w:val="000000"/>
          <w:sz w:val="30"/>
          <w:szCs w:val="30"/>
          <w:highlight w:val="none"/>
        </w:rPr>
      </w:pPr>
    </w:p>
    <w:p>
      <w:pPr>
        <w:widowControl/>
        <w:ind w:left="3840" w:leftChars="1114" w:hanging="1166" w:hangingChars="387"/>
        <w:rPr>
          <w:rFonts w:ascii="宋体" w:hAnsi="宋体" w:cs="宋体"/>
          <w:b/>
          <w:color w:val="000000"/>
          <w:sz w:val="30"/>
          <w:szCs w:val="30"/>
          <w:highlight w:val="none"/>
        </w:rPr>
      </w:pPr>
    </w:p>
    <w:p>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w:t>
      </w:r>
      <w:r>
        <w:rPr>
          <w:rFonts w:hint="eastAsia" w:ascii="宋体" w:hAnsi="宋体" w:cs="宋体"/>
          <w:b/>
          <w:color w:val="000000"/>
          <w:sz w:val="28"/>
          <w:szCs w:val="28"/>
          <w:highlight w:val="none"/>
          <w:lang w:val="en-US" w:eastAsia="zh-CN"/>
        </w:rPr>
        <w:t>装配式</w:t>
      </w:r>
      <w:r>
        <w:rPr>
          <w:rFonts w:hint="eastAsia" w:ascii="宋体" w:hAnsi="宋体" w:cs="宋体"/>
          <w:b/>
          <w:color w:val="000000"/>
          <w:sz w:val="28"/>
          <w:szCs w:val="28"/>
          <w:highlight w:val="none"/>
        </w:rPr>
        <w:t>有限公司</w:t>
      </w:r>
      <w:r>
        <w:rPr>
          <w:rFonts w:hint="eastAsia" w:ascii="宋体" w:hAnsi="宋体" w:cs="宋体"/>
          <w:b/>
          <w:color w:val="000000"/>
          <w:sz w:val="28"/>
          <w:szCs w:val="28"/>
          <w:highlight w:val="none"/>
          <w:u w:val="single"/>
          <w:lang w:val="en-US" w:eastAsia="zh-CN"/>
        </w:rPr>
        <w:t>资产运营部霸州项目沥青混凝土原材</w:t>
      </w:r>
      <w:r>
        <w:rPr>
          <w:rFonts w:hint="eastAsia" w:ascii="宋体" w:hAnsi="宋体" w:cs="宋体"/>
          <w:b/>
          <w:color w:val="000000"/>
          <w:sz w:val="28"/>
          <w:szCs w:val="28"/>
          <w:highlight w:val="none"/>
        </w:rPr>
        <w:t>采购项目</w:t>
      </w:r>
    </w:p>
    <w:p>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cs="Times New Roman" w:asciiTheme="majorEastAsia" w:hAnsiTheme="majorEastAsia" w:eastAsiaTheme="majorEastAsia"/>
          <w:b/>
          <w:color w:val="000000"/>
          <w:kern w:val="2"/>
          <w:sz w:val="28"/>
          <w:szCs w:val="28"/>
          <w:highlight w:val="none"/>
          <w:u w:val="single"/>
          <w:lang w:val="en-US" w:eastAsia="zh-CN"/>
        </w:rPr>
        <w:t>ZJLQ-FGZB-资产-霸州项目-2024001</w:t>
      </w:r>
    </w:p>
    <w:p>
      <w:pPr>
        <w:widowControl/>
        <w:ind w:left="3840" w:leftChars="1114" w:hanging="1166" w:hangingChars="387"/>
        <w:rPr>
          <w:rFonts w:ascii="宋体" w:hAnsi="宋体" w:cs="宋体"/>
          <w:b/>
          <w:color w:val="000000"/>
          <w:sz w:val="30"/>
          <w:szCs w:val="30"/>
          <w:highlight w:val="none"/>
        </w:rPr>
      </w:pPr>
    </w:p>
    <w:p>
      <w:pPr>
        <w:widowControl/>
        <w:ind w:left="4067" w:leftChars="1114" w:hanging="1393" w:hangingChars="387"/>
        <w:rPr>
          <w:rFonts w:ascii="宋体" w:hAnsi="宋体" w:cs="宋体"/>
          <w:color w:val="000000"/>
          <w:sz w:val="36"/>
          <w:szCs w:val="36"/>
          <w:highlight w:val="none"/>
        </w:rPr>
      </w:pPr>
    </w:p>
    <w:p>
      <w:pPr>
        <w:pStyle w:val="33"/>
        <w:ind w:left="480"/>
        <w:rPr>
          <w:highlight w:val="none"/>
        </w:rPr>
      </w:pPr>
    </w:p>
    <w:p>
      <w:pPr>
        <w:widowControl/>
        <w:ind w:left="4067" w:leftChars="1114" w:hanging="1393" w:hangingChars="387"/>
        <w:jc w:val="center"/>
        <w:rPr>
          <w:rFonts w:ascii="宋体" w:hAnsi="宋体" w:cs="宋体"/>
          <w:color w:val="000000"/>
          <w:sz w:val="36"/>
          <w:szCs w:val="36"/>
          <w:highlight w:val="none"/>
        </w:rPr>
      </w:pPr>
    </w:p>
    <w:p>
      <w:pPr>
        <w:widowControl/>
        <w:ind w:left="4067" w:leftChars="1114" w:hanging="1393" w:hangingChars="387"/>
        <w:jc w:val="center"/>
        <w:rPr>
          <w:rFonts w:ascii="宋体" w:hAnsi="宋体" w:cs="宋体"/>
          <w:color w:val="000000"/>
          <w:sz w:val="36"/>
          <w:szCs w:val="36"/>
          <w:highlight w:val="none"/>
        </w:rPr>
      </w:pPr>
    </w:p>
    <w:p>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pPr>
        <w:widowControl/>
        <w:spacing w:line="480" w:lineRule="auto"/>
        <w:ind w:left="3426" w:leftChars="565" w:hanging="2070" w:hangingChars="859"/>
        <w:jc w:val="left"/>
        <w:rPr>
          <w:rFonts w:hint="eastAsia" w:ascii="宋体" w:hAnsi="宋体" w:cs="宋体"/>
          <w:b/>
          <w:color w:val="000000"/>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widowControl/>
        <w:spacing w:line="480" w:lineRule="auto"/>
        <w:ind w:left="3426" w:leftChars="565" w:hanging="2070" w:hangingChars="859"/>
        <w:jc w:val="left"/>
        <w:rPr>
          <w:rFonts w:hint="eastAsia" w:ascii="宋体" w:hAnsi="宋体" w:cs="宋体"/>
          <w:b/>
          <w:color w:val="000000"/>
          <w:highlight w:val="none"/>
          <w:u w:val="single"/>
        </w:rPr>
      </w:pPr>
    </w:p>
    <w:p>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pPr>
        <w:widowControl/>
        <w:jc w:val="left"/>
        <w:rPr>
          <w:rFonts w:ascii="仿宋_GB2312" w:eastAsia="仿宋_GB2312" w:cs="宋体" w:hAnsiTheme="minorEastAsia"/>
          <w:b/>
          <w:w w:val="90"/>
          <w:highlight w:val="none"/>
        </w:rPr>
      </w:pPr>
    </w:p>
    <w:p>
      <w:pPr>
        <w:widowControl/>
        <w:jc w:val="left"/>
        <w:rPr>
          <w:rFonts w:ascii="仿宋_GB2312" w:eastAsia="仿宋_GB2312" w:cs="宋体" w:hAnsiTheme="minorEastAsia"/>
          <w:b/>
          <w:w w:val="90"/>
          <w:highlight w:val="none"/>
        </w:rPr>
      </w:pPr>
    </w:p>
    <w:p>
      <w:pPr>
        <w:widowControl/>
        <w:jc w:val="left"/>
        <w:rPr>
          <w:rFonts w:ascii="仿宋_GB2312" w:eastAsia="仿宋_GB2312" w:cs="宋体" w:hAnsiTheme="minorEastAsia"/>
          <w:b/>
          <w:w w:val="90"/>
          <w:highlight w:val="none"/>
        </w:rPr>
      </w:pPr>
    </w:p>
    <w:p>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装配式建筑</w:t>
      </w:r>
      <w:r>
        <w:rPr>
          <w:rFonts w:hint="eastAsia" w:ascii="仿宋_GB2312" w:eastAsia="仿宋_GB2312" w:cs="宋体" w:hAnsiTheme="minorEastAsia"/>
          <w:sz w:val="21"/>
          <w:szCs w:val="21"/>
          <w:highlight w:val="none"/>
          <w:u w:val="single"/>
        </w:rPr>
        <w:t>有限公司</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的供应。具体投标内容如下：</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5000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2000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30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pPr>
        <w:spacing w:line="360" w:lineRule="auto"/>
        <w:ind w:firstLine="5111" w:firstLineChars="2434"/>
        <w:rPr>
          <w:rFonts w:ascii="仿宋_GB2312" w:eastAsia="仿宋_GB2312" w:cs="宋体" w:hAnsiTheme="minorEastAsia"/>
          <w:sz w:val="21"/>
          <w:szCs w:val="21"/>
          <w:highlight w:val="none"/>
        </w:rPr>
      </w:pPr>
    </w:p>
    <w:p>
      <w:pPr>
        <w:spacing w:line="400" w:lineRule="exact"/>
        <w:ind w:firstLine="5111" w:firstLineChars="2434"/>
        <w:rPr>
          <w:rFonts w:ascii="仿宋_GB2312" w:eastAsia="仿宋_GB2312" w:cs="宋体" w:hAnsiTheme="minorEastAsia"/>
          <w:sz w:val="21"/>
          <w:szCs w:val="21"/>
          <w:highlight w:val="none"/>
        </w:rPr>
      </w:pPr>
    </w:p>
    <w:p>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pPr>
        <w:jc w:val="left"/>
        <w:rPr>
          <w:rFonts w:ascii="仿宋_GB2312" w:eastAsia="仿宋_GB2312" w:cs="宋体" w:hAnsiTheme="minorEastAsia"/>
          <w:szCs w:val="21"/>
          <w:highlight w:val="none"/>
        </w:rPr>
      </w:pPr>
    </w:p>
    <w:p>
      <w:pPr>
        <w:widowControl/>
        <w:jc w:val="left"/>
        <w:rPr>
          <w:rFonts w:hint="eastAsia" w:ascii="仿宋_GB2312" w:eastAsia="仿宋_GB2312" w:cs="宋体" w:hAnsiTheme="minorEastAsia"/>
          <w:b/>
          <w:color w:val="000000" w:themeColor="text1"/>
          <w:w w:val="90"/>
          <w:highlight w:val="none"/>
        </w:rPr>
      </w:pPr>
    </w:p>
    <w:p>
      <w:pPr>
        <w:widowControl/>
        <w:jc w:val="left"/>
        <w:rPr>
          <w:rFonts w:hint="eastAsia" w:ascii="仿宋_GB2312" w:eastAsia="仿宋_GB2312" w:cs="宋体" w:hAnsiTheme="minorEastAsia"/>
          <w:b/>
          <w:color w:val="000000" w:themeColor="text1"/>
          <w:w w:val="90"/>
          <w:highlight w:val="none"/>
        </w:rPr>
      </w:pPr>
    </w:p>
    <w:p>
      <w:pPr>
        <w:spacing w:line="400" w:lineRule="exact"/>
        <w:jc w:val="left"/>
        <w:outlineLvl w:val="2"/>
        <w:rPr>
          <w:rFonts w:hint="eastAsia" w:ascii="仿宋_GB2312" w:eastAsia="仿宋_GB2312" w:cs="宋体" w:hAnsiTheme="minorEastAsia"/>
          <w:b/>
          <w:color w:val="000000" w:themeColor="text1"/>
          <w:w w:val="90"/>
          <w:highlight w:val="none"/>
        </w:rPr>
      </w:pPr>
      <w:bookmarkStart w:id="64" w:name="_Toc53948739"/>
      <w:bookmarkStart w:id="65" w:name="_Toc53949160"/>
      <w:bookmarkStart w:id="66" w:name="_Toc53949581"/>
      <w:bookmarkStart w:id="67" w:name="_Toc54278961"/>
      <w:bookmarkStart w:id="68" w:name="_Toc54280770"/>
      <w:bookmarkStart w:id="69" w:name="_Toc54280344"/>
      <w:bookmarkStart w:id="70" w:name="_Toc54281622"/>
      <w:bookmarkStart w:id="71" w:name="_Toc54291526"/>
      <w:bookmarkStart w:id="72" w:name="_Toc54281196"/>
    </w:p>
    <w:p>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rPr>
        <w:t>2</w:t>
      </w:r>
      <w:r>
        <w:rPr>
          <w:rFonts w:ascii="仿宋_GB2312" w:eastAsia="仿宋_GB2312" w:cs="宋体" w:hAnsiTheme="minorEastAsia"/>
          <w:b/>
          <w:color w:val="000000" w:themeColor="text1"/>
          <w:w w:val="90"/>
          <w:highlight w:val="none"/>
        </w:rPr>
        <w:t>.</w:t>
      </w:r>
      <w:r>
        <w:rPr>
          <w:rFonts w:hint="eastAsia" w:ascii="仿宋_GB2312" w:eastAsia="仿宋_GB2312" w:cs="宋体" w:hAnsiTheme="minorEastAsia"/>
          <w:b/>
          <w:color w:val="000000" w:themeColor="text1"/>
          <w:w w:val="90"/>
          <w:sz w:val="28"/>
          <w:szCs w:val="28"/>
          <w:highlight w:val="none"/>
          <w:lang w:val="en-US" w:eastAsia="zh-CN"/>
        </w:rPr>
        <w:t>投标</w:t>
      </w:r>
      <w:r>
        <w:rPr>
          <w:rFonts w:hint="eastAsia" w:ascii="仿宋_GB2312" w:eastAsia="仿宋_GB2312" w:cs="宋体" w:hAnsiTheme="minorEastAsia"/>
          <w:b/>
          <w:color w:val="000000" w:themeColor="text1"/>
          <w:w w:val="90"/>
          <w:sz w:val="28"/>
          <w:szCs w:val="28"/>
          <w:highlight w:val="none"/>
        </w:rPr>
        <w:t>报价清单</w:t>
      </w:r>
      <w:r>
        <w:rPr>
          <w:rFonts w:hint="eastAsia" w:ascii="仿宋_GB2312" w:eastAsia="仿宋_GB2312" w:cs="宋体" w:hAnsiTheme="minorEastAsia"/>
          <w:b/>
          <w:color w:val="auto"/>
          <w:w w:val="90"/>
          <w:sz w:val="21"/>
          <w:szCs w:val="21"/>
          <w:highlight w:val="green"/>
          <w:lang w:eastAsia="zh-CN"/>
        </w:rPr>
        <w:t>（</w:t>
      </w:r>
      <w:r>
        <w:rPr>
          <w:rFonts w:hint="eastAsia" w:ascii="仿宋_GB2312" w:eastAsia="仿宋_GB2312" w:cs="宋体" w:hAnsiTheme="minorEastAsia"/>
          <w:b/>
          <w:color w:val="auto"/>
          <w:w w:val="90"/>
          <w:sz w:val="21"/>
          <w:szCs w:val="21"/>
          <w:highlight w:val="green"/>
          <w:lang w:val="en-US" w:eastAsia="zh-CN"/>
        </w:rPr>
        <w:t>应选择与本次招标合同选择的计价方式、合同清单一致，予以修改</w:t>
      </w:r>
      <w:r>
        <w:rPr>
          <w:rFonts w:hint="eastAsia" w:ascii="仿宋_GB2312" w:eastAsia="仿宋_GB2312" w:cs="宋体" w:hAnsiTheme="minorEastAsia"/>
          <w:b/>
          <w:color w:val="auto"/>
          <w:w w:val="90"/>
          <w:sz w:val="21"/>
          <w:szCs w:val="21"/>
          <w:highlight w:val="green"/>
          <w:lang w:eastAsia="zh-CN"/>
        </w:rPr>
        <w:t>）</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1080"/>
        <w:gridCol w:w="905"/>
        <w:gridCol w:w="572"/>
        <w:gridCol w:w="834"/>
        <w:gridCol w:w="870"/>
        <w:gridCol w:w="1015"/>
        <w:gridCol w:w="570"/>
        <w:gridCol w:w="1146"/>
        <w:gridCol w:w="841"/>
        <w:gridCol w:w="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pPr>
              <w:pStyle w:val="41"/>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b/>
                <w:bCs/>
                <w:color w:val="000000" w:themeColor="text1"/>
                <w:highlight w:val="none"/>
                <w:lang w:val="en-US" w:eastAsia="zh-CN"/>
              </w:rPr>
              <w:t>方式一：</w:t>
            </w:r>
            <w:r>
              <w:rPr>
                <w:rFonts w:hint="eastAsia" w:ascii="仿宋_GB2312" w:hAnsi="仿宋_GB2312" w:eastAsia="仿宋_GB2312" w:cs="仿宋_GB2312"/>
                <w:b/>
                <w:bCs/>
                <w:color w:val="000000" w:themeColor="text1"/>
                <w:highlight w:val="none"/>
                <w:lang w:eastAsia="zh-Hans"/>
              </w:rPr>
              <w:t>固定</w:t>
            </w:r>
            <w:r>
              <w:rPr>
                <w:rFonts w:hint="eastAsia" w:ascii="仿宋_GB2312" w:hAnsi="仿宋_GB2312" w:eastAsia="仿宋_GB2312" w:cs="仿宋_GB2312"/>
                <w:b/>
                <w:bCs/>
                <w:color w:val="000000" w:themeColor="text1"/>
                <w:highlight w:val="none"/>
              </w:rPr>
              <w:t>单价</w:t>
            </w:r>
            <w:r>
              <w:rPr>
                <w:rFonts w:hint="eastAsia" w:ascii="仿宋_GB2312" w:hAnsi="仿宋_GB2312" w:eastAsia="仿宋_GB2312" w:cs="仿宋_GB2312"/>
                <w:b/>
                <w:bCs/>
                <w:color w:val="000000" w:themeColor="text1"/>
                <w:highlight w:val="none"/>
                <w:lang w:val="en-US" w:eastAsia="zh-CN"/>
              </w:rPr>
              <w:t>方式投标报价清单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51"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序号</w:t>
            </w:r>
          </w:p>
        </w:tc>
        <w:tc>
          <w:tcPr>
            <w:tcW w:w="610" w:type="pct"/>
            <w:shd w:val="clear" w:color="auto" w:fill="auto"/>
            <w:vAlign w:val="center"/>
          </w:tcPr>
          <w:p>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名称</w:t>
            </w:r>
          </w:p>
        </w:tc>
        <w:tc>
          <w:tcPr>
            <w:tcW w:w="511" w:type="pct"/>
            <w:shd w:val="clear" w:color="auto" w:fill="auto"/>
            <w:vAlign w:val="center"/>
          </w:tcPr>
          <w:p>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规格参数</w:t>
            </w:r>
          </w:p>
        </w:tc>
        <w:tc>
          <w:tcPr>
            <w:tcW w:w="323"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计量</w:t>
            </w:r>
          </w:p>
          <w:p>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单位</w:t>
            </w:r>
          </w:p>
        </w:tc>
        <w:tc>
          <w:tcPr>
            <w:tcW w:w="471"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暂定</w:t>
            </w:r>
          </w:p>
          <w:p>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数量</w:t>
            </w:r>
          </w:p>
        </w:tc>
        <w:tc>
          <w:tcPr>
            <w:tcW w:w="491"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573"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322"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增值</w:t>
            </w:r>
          </w:p>
          <w:p>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税率</w:t>
            </w:r>
          </w:p>
        </w:tc>
        <w:tc>
          <w:tcPr>
            <w:tcW w:w="647"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475"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323" w:type="pct"/>
            <w:shd w:val="clear" w:color="auto" w:fill="auto"/>
            <w:vAlign w:val="center"/>
          </w:tcPr>
          <w:p>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1"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1</w:t>
            </w:r>
          </w:p>
        </w:tc>
        <w:tc>
          <w:tcPr>
            <w:tcW w:w="610"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 xml:space="preserve"> </w:t>
            </w:r>
          </w:p>
        </w:tc>
        <w:tc>
          <w:tcPr>
            <w:tcW w:w="511"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323"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471" w:type="pct"/>
            <w:shd w:val="clear" w:color="auto" w:fill="auto"/>
            <w:vAlign w:val="center"/>
          </w:tcPr>
          <w:p>
            <w:pPr>
              <w:widowControl/>
              <w:spacing w:line="400" w:lineRule="atLeast"/>
              <w:jc w:val="center"/>
              <w:textAlignment w:val="center"/>
              <w:rPr>
                <w:rFonts w:ascii="仿宋_GB2312" w:hAnsi="仿宋_GB2312" w:eastAsia="仿宋_GB2312" w:cs="仿宋_GB2312"/>
                <w:color w:val="000000" w:themeColor="text1"/>
                <w:sz w:val="18"/>
                <w:szCs w:val="18"/>
                <w:highlight w:val="none"/>
              </w:rPr>
            </w:pPr>
          </w:p>
        </w:tc>
        <w:tc>
          <w:tcPr>
            <w:tcW w:w="491"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pPr>
              <w:widowControl/>
              <w:jc w:val="center"/>
              <w:textAlignment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pPr>
              <w:widowControl/>
              <w:jc w:val="center"/>
              <w:textAlignment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pPr>
              <w:widowControl/>
              <w:jc w:val="center"/>
              <w:textAlignment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pPr>
              <w:widowControl/>
              <w:jc w:val="center"/>
              <w:textAlignment w:val="center"/>
              <w:rPr>
                <w:rFonts w:ascii="仿宋_GB2312" w:hAnsi="仿宋_GB2312" w:eastAsia="仿宋_GB2312" w:cs="仿宋_GB2312"/>
                <w:color w:val="000000" w:themeColor="text1"/>
                <w:sz w:val="18"/>
                <w:szCs w:val="18"/>
                <w:highlight w:val="none"/>
              </w:rPr>
            </w:pPr>
          </w:p>
        </w:tc>
        <w:tc>
          <w:tcPr>
            <w:tcW w:w="323" w:type="pct"/>
            <w:shd w:val="clear" w:color="auto" w:fill="auto"/>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2</w:t>
            </w:r>
          </w:p>
        </w:tc>
        <w:tc>
          <w:tcPr>
            <w:tcW w:w="610"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511"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323" w:type="pct"/>
            <w:shd w:val="clear" w:color="auto" w:fill="auto"/>
            <w:noWrap/>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471" w:type="pct"/>
            <w:shd w:val="clear" w:color="auto" w:fill="auto"/>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491"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1"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合计</w:t>
            </w:r>
          </w:p>
        </w:tc>
        <w:tc>
          <w:tcPr>
            <w:tcW w:w="610"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511"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323" w:type="pct"/>
            <w:shd w:val="clear" w:color="auto" w:fill="auto"/>
            <w:noWrap/>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471" w:type="pct"/>
            <w:shd w:val="clear" w:color="auto" w:fill="auto"/>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491"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pPr>
              <w:widowControl/>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不含增值税总价（暂定）</w:t>
            </w:r>
            <w:r>
              <w:rPr>
                <w:rFonts w:hint="eastAsia" w:ascii="仿宋_GB2312" w:hAnsi="宋体" w:eastAsia="仿宋_GB2312"/>
                <w:color w:val="000000" w:themeColor="text1"/>
                <w:sz w:val="18"/>
                <w:szCs w:val="18"/>
                <w:highlight w:val="none"/>
              </w:rPr>
              <w:t>：人民币</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856" w:type="dxa"/>
            <w:gridSpan w:val="11"/>
            <w:shd w:val="clear" w:color="auto" w:fill="auto"/>
            <w:vAlign w:val="center"/>
          </w:tcPr>
          <w:p>
            <w:pPr>
              <w:widowControl/>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含增值税总价（暂定）</w:t>
            </w:r>
            <w:r>
              <w:rPr>
                <w:rFonts w:hint="eastAsia" w:ascii="仿宋_GB2312" w:hAnsi="宋体" w:eastAsia="仿宋_GB2312"/>
                <w:color w:val="000000" w:themeColor="text1"/>
                <w:sz w:val="18"/>
                <w:szCs w:val="18"/>
                <w:highlight w:val="none"/>
              </w:rPr>
              <w:t>：</w:t>
            </w:r>
            <w:r>
              <w:rPr>
                <w:rFonts w:hint="eastAsia" w:ascii="仿宋_GB2312" w:hAnsi="仿宋_GB2312" w:eastAsia="仿宋_GB2312" w:cs="仿宋_GB2312"/>
                <w:color w:val="000000" w:themeColor="text1"/>
                <w:sz w:val="18"/>
                <w:szCs w:val="18"/>
                <w:highlight w:val="none"/>
              </w:rPr>
              <w:t>不含增值税暂定总价*（1+增值税税率）=</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856" w:type="dxa"/>
            <w:gridSpan w:val="11"/>
            <w:shd w:val="clear" w:color="auto" w:fill="auto"/>
            <w:vAlign w:val="center"/>
          </w:tcPr>
          <w:p>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b/>
                <w:bCs/>
                <w:sz w:val="21"/>
                <w:szCs w:val="21"/>
                <w:highlight w:val="none"/>
                <w:lang w:val="en-US" w:eastAsia="zh-CN"/>
              </w:rPr>
              <w:t>投</w:t>
            </w:r>
            <w:r>
              <w:rPr>
                <w:rFonts w:hint="eastAsia" w:ascii="仿宋_GB2312" w:eastAsia="仿宋_GB2312" w:cs="宋体" w:hAnsiTheme="minorEastAsia"/>
                <w:b/>
                <w:bCs/>
                <w:sz w:val="21"/>
                <w:szCs w:val="21"/>
                <w:highlight w:val="none"/>
              </w:rPr>
              <w:t>标方负责卸车</w:t>
            </w: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kern w:val="0"/>
                <w:sz w:val="21"/>
                <w:szCs w:val="21"/>
                <w:highlight w:val="none"/>
              </w:rPr>
              <w:t xml:space="preserve">  </w:t>
            </w:r>
          </w:p>
          <w:p>
            <w:pPr>
              <w:widowControl/>
              <w:jc w:val="left"/>
              <w:rPr>
                <w:rFonts w:hint="eastAsia" w:ascii="仿宋_GB2312" w:hAnsi="宋体" w:eastAsia="仿宋_GB2312"/>
                <w:b/>
                <w:bCs/>
                <w:color w:val="000000" w:themeColor="text1"/>
                <w:sz w:val="18"/>
                <w:szCs w:val="18"/>
                <w:highlight w:val="none"/>
              </w:rPr>
            </w:pPr>
            <w:r>
              <w:rPr>
                <w:rFonts w:hint="eastAsia" w:ascii="仿宋_GB2312" w:eastAsia="仿宋_GB2312" w:cs="宋体" w:hAnsiTheme="minorEastAsia"/>
                <w:b/>
                <w:kern w:val="0"/>
                <w:sz w:val="21"/>
                <w:szCs w:val="21"/>
                <w:highlight w:val="none"/>
              </w:rPr>
              <w:t>或：</w:t>
            </w:r>
            <w:r>
              <w:rPr>
                <w:rFonts w:hint="eastAsia" w:ascii="仿宋_GB2312" w:eastAsia="仿宋_GB2312" w:cs="Times New Roman" w:hAnsiTheme="minorEastAsia"/>
                <w:sz w:val="21"/>
                <w:szCs w:val="21"/>
                <w:highlight w:val="none"/>
              </w:rPr>
              <w:t>按照</w:t>
            </w:r>
            <w:r>
              <w:rPr>
                <w:rFonts w:hint="eastAsia" w:ascii="仿宋_GB2312" w:eastAsia="仿宋_GB2312" w:cs="Times New Roman" w:hAnsiTheme="minorEastAsia"/>
                <w:sz w:val="21"/>
                <w:szCs w:val="21"/>
                <w:highlight w:val="none"/>
                <w:lang w:val="en-US" w:eastAsia="zh-CN"/>
              </w:rPr>
              <w:t>浮动</w:t>
            </w:r>
            <w:r>
              <w:rPr>
                <w:rFonts w:hint="eastAsia" w:ascii="仿宋_GB2312" w:eastAsia="仿宋_GB2312" w:cs="Times New Roman" w:hAnsiTheme="minorEastAsia"/>
                <w:sz w:val="21"/>
                <w:szCs w:val="21"/>
                <w:highlight w:val="none"/>
              </w:rPr>
              <w:t>方式报价，</w:t>
            </w:r>
            <w:r>
              <w:rPr>
                <w:rFonts w:hint="eastAsia" w:ascii="仿宋_GB2312" w:hAnsi="宋体" w:eastAsia="仿宋_GB2312" w:cs="宋体"/>
                <w:sz w:val="21"/>
                <w:szCs w:val="21"/>
                <w:highlight w:val="none"/>
              </w:rPr>
              <w:t>材料单价浮动</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元）以内不予调价，浮动超过</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元）只对超出部分予以调价。价格变动参照物为招标人指定网站价格及招标人市场调研结果，招标人指定价格变动参照网站是</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w:t>
            </w:r>
            <w:r>
              <w:rPr>
                <w:rFonts w:hint="eastAsia" w:ascii="仿宋_GB2312" w:eastAsia="仿宋_GB2312" w:cs="Times New Roman" w:hAnsiTheme="minorEastAsia"/>
                <w:sz w:val="21"/>
                <w:szCs w:val="21"/>
                <w:highlight w:val="none"/>
              </w:rPr>
              <w:t>投标参照价格为</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品牌网站市场价格。</w:t>
            </w:r>
            <w:r>
              <w:rPr>
                <w:rFonts w:hint="eastAsia" w:ascii="仿宋_GB2312" w:eastAsia="仿宋_GB2312" w:cs="宋体" w:hAnsiTheme="minorEastAsia"/>
                <w:b/>
                <w:bCs/>
                <w:sz w:val="21"/>
                <w:szCs w:val="21"/>
                <w:highlight w:val="none"/>
                <w:u w:val="single"/>
                <w:lang w:val="en-US" w:eastAsia="zh-CN"/>
              </w:rPr>
              <w:t>投标</w:t>
            </w:r>
            <w:r>
              <w:rPr>
                <w:rFonts w:hint="eastAsia" w:ascii="仿宋_GB2312" w:eastAsia="仿宋_GB2312" w:cs="宋体" w:hAnsiTheme="minorEastAsia"/>
                <w:b/>
                <w:bCs/>
                <w:sz w:val="21"/>
                <w:szCs w:val="21"/>
                <w:highlight w:val="none"/>
                <w:u w:val="single"/>
              </w:rPr>
              <w:t>方</w:t>
            </w:r>
            <w:r>
              <w:rPr>
                <w:rFonts w:hint="eastAsia" w:ascii="仿宋_GB2312" w:eastAsia="仿宋_GB2312" w:cs="宋体" w:hAnsiTheme="minorEastAsia"/>
                <w:sz w:val="21"/>
                <w:szCs w:val="21"/>
                <w:highlight w:val="none"/>
              </w:rPr>
              <w:t>负责卸车。</w:t>
            </w:r>
          </w:p>
        </w:tc>
      </w:tr>
    </w:tbl>
    <w:p>
      <w:pPr>
        <w:spacing w:line="400" w:lineRule="exact"/>
        <w:jc w:val="center"/>
        <w:rPr>
          <w:rFonts w:hint="eastAsia" w:ascii="仿宋_GB2312" w:eastAsia="仿宋_GB2312" w:cs="宋体" w:hAnsiTheme="minorEastAsia"/>
          <w:b/>
          <w:color w:val="000000" w:themeColor="text1"/>
          <w:sz w:val="21"/>
          <w:szCs w:val="21"/>
          <w:highlight w:val="none"/>
        </w:rPr>
      </w:pPr>
    </w:p>
    <w:p>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pPr>
        <w:spacing w:line="400" w:lineRule="exact"/>
        <w:ind w:firstLine="5880" w:firstLineChars="2800"/>
        <w:jc w:val="left"/>
        <w:rPr>
          <w:rFonts w:hint="eastAsia" w:ascii="仿宋_GB2312" w:eastAsia="仿宋_GB2312" w:cs="宋体" w:hAnsiTheme="minorEastAsia"/>
          <w:kern w:val="0"/>
          <w:sz w:val="21"/>
          <w:szCs w:val="21"/>
          <w:highlight w:val="none"/>
        </w:rPr>
      </w:pPr>
    </w:p>
    <w:p>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pPr>
        <w:spacing w:line="400" w:lineRule="exact"/>
        <w:ind w:firstLine="6720" w:firstLineChars="2800"/>
        <w:jc w:val="left"/>
        <w:rPr>
          <w:highlight w:val="none"/>
        </w:rPr>
      </w:pPr>
    </w:p>
    <w:p>
      <w:pPr>
        <w:spacing w:line="400" w:lineRule="exact"/>
        <w:jc w:val="left"/>
        <w:rPr>
          <w:highlight w:val="none"/>
        </w:rPr>
      </w:pPr>
    </w:p>
    <w:p>
      <w:pPr>
        <w:spacing w:line="400" w:lineRule="exact"/>
        <w:ind w:firstLine="6720" w:firstLineChars="2800"/>
        <w:jc w:val="left"/>
        <w:rPr>
          <w:highlight w:val="none"/>
        </w:rPr>
      </w:pPr>
    </w:p>
    <w:p>
      <w:pPr>
        <w:spacing w:line="400" w:lineRule="exact"/>
        <w:ind w:firstLine="6720" w:firstLineChars="2800"/>
        <w:jc w:val="left"/>
        <w:rPr>
          <w:highlight w:val="none"/>
        </w:rPr>
      </w:pPr>
    </w:p>
    <w:p>
      <w:pPr>
        <w:spacing w:line="400" w:lineRule="exact"/>
        <w:ind w:firstLine="6720" w:firstLineChars="2800"/>
        <w:jc w:val="left"/>
        <w:rPr>
          <w:highlight w:val="none"/>
        </w:rPr>
      </w:pPr>
    </w:p>
    <w:p>
      <w:pPr>
        <w:spacing w:line="400" w:lineRule="exact"/>
        <w:ind w:firstLine="6720" w:firstLineChars="2800"/>
        <w:jc w:val="left"/>
        <w:rPr>
          <w:highlight w:val="none"/>
        </w:rPr>
      </w:pPr>
    </w:p>
    <w:p>
      <w:pPr>
        <w:pStyle w:val="311"/>
        <w:spacing w:line="276" w:lineRule="auto"/>
        <w:ind w:firstLine="0" w:firstLineChars="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p>
    <w:p>
      <w:pPr>
        <w:pStyle w:val="17"/>
        <w:rPr>
          <w:rFonts w:ascii="仿宋_GB2312" w:eastAsia="仿宋_GB2312" w:cs="宋体" w:hAnsiTheme="minorEastAsia"/>
          <w:b/>
          <w:color w:val="000000" w:themeColor="text1"/>
          <w:w w:val="90"/>
          <w:highlight w:val="none"/>
        </w:rPr>
      </w:pPr>
    </w:p>
    <w:tbl>
      <w:tblPr>
        <w:tblStyle w:val="34"/>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713"/>
        <w:gridCol w:w="700"/>
        <w:gridCol w:w="583"/>
        <w:gridCol w:w="469"/>
        <w:gridCol w:w="595"/>
        <w:gridCol w:w="758"/>
        <w:gridCol w:w="729"/>
        <w:gridCol w:w="727"/>
        <w:gridCol w:w="1033"/>
        <w:gridCol w:w="925"/>
        <w:gridCol w:w="865"/>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9120" w:type="dxa"/>
            <w:gridSpan w:val="13"/>
            <w:vAlign w:val="center"/>
          </w:tcPr>
          <w:p>
            <w:pPr>
              <w:pStyle w:val="41"/>
              <w:numPr>
                <w:ilvl w:val="255"/>
                <w:numId w:val="0"/>
              </w:numPr>
              <w:spacing w:line="400" w:lineRule="atLeast"/>
              <w:rPr>
                <w:rFonts w:hint="default" w:ascii="仿宋_GB2312" w:hAnsi="仿宋_GB2312" w:eastAsia="仿宋_GB2312" w:cs="仿宋_GB2312"/>
                <w:color w:val="000000" w:themeColor="text1"/>
                <w:kern w:val="0"/>
                <w:sz w:val="18"/>
                <w:szCs w:val="18"/>
                <w:highlight w:val="none"/>
                <w:lang w:val="en-US" w:eastAsia="zh-CN" w:bidi="ar"/>
              </w:rPr>
            </w:pPr>
            <w:bookmarkStart w:id="73" w:name="_Hlk126833074"/>
            <w:r>
              <w:rPr>
                <w:rFonts w:hint="eastAsia" w:ascii="仿宋_GB2312" w:hAnsi="仿宋_GB2312" w:eastAsia="仿宋_GB2312" w:cs="仿宋_GB2312"/>
                <w:b/>
                <w:bCs/>
                <w:color w:val="000000" w:themeColor="text1"/>
                <w:highlight w:val="none"/>
                <w:lang w:val="en-US" w:eastAsia="zh-CN"/>
              </w:rPr>
              <w:t>方式二：组合单价方式投标报价清单：</w:t>
            </w:r>
            <w:r>
              <w:rPr>
                <w:rFonts w:hint="eastAsia" w:ascii="仿宋_GB2312" w:hAnsi="仿宋_GB2312" w:eastAsia="仿宋_GB2312" w:cs="仿宋_GB2312"/>
                <w:color w:val="000000" w:themeColor="text1"/>
                <w:highlight w:val="none"/>
                <w:u w:val="single"/>
              </w:rPr>
              <w:t>含税综合单价=含税基准价（P1）+含税附加费(P2)。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396" w:type="dxa"/>
            <w:vMerge w:val="restart"/>
            <w:vAlign w:val="center"/>
          </w:tcPr>
          <w:p>
            <w:pPr>
              <w:widowControl/>
              <w:jc w:val="center"/>
              <w:textAlignment w:val="center"/>
              <w:rPr>
                <w:rFonts w:ascii="仿宋_GB2312" w:hAnsi="宋体" w:eastAsia="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序号</w:t>
            </w:r>
          </w:p>
        </w:tc>
        <w:tc>
          <w:tcPr>
            <w:tcW w:w="713" w:type="dxa"/>
            <w:vMerge w:val="restart"/>
            <w:vAlign w:val="center"/>
          </w:tcPr>
          <w:p>
            <w:pPr>
              <w:widowControl/>
              <w:jc w:val="center"/>
              <w:textAlignment w:val="center"/>
              <w:rPr>
                <w:rFonts w:ascii="仿宋_GB2312" w:hAnsi="宋体" w:eastAsia="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货物名称</w:t>
            </w:r>
          </w:p>
        </w:tc>
        <w:tc>
          <w:tcPr>
            <w:tcW w:w="700" w:type="dxa"/>
            <w:vMerge w:val="restart"/>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货物</w:t>
            </w:r>
          </w:p>
          <w:p>
            <w:pPr>
              <w:widowControl/>
              <w:jc w:val="center"/>
              <w:textAlignment w:val="center"/>
              <w:rPr>
                <w:rFonts w:ascii="仿宋_GB2312" w:hAnsi="宋体" w:eastAsia="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规格参数</w:t>
            </w:r>
          </w:p>
        </w:tc>
        <w:tc>
          <w:tcPr>
            <w:tcW w:w="583" w:type="dxa"/>
            <w:vMerge w:val="restart"/>
            <w:vAlign w:val="top"/>
          </w:tcPr>
          <w:p>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               </w:t>
            </w:r>
          </w:p>
          <w:p>
            <w:pPr>
              <w:widowControl/>
              <w:ind w:firstLine="360" w:firstLineChars="200"/>
              <w:jc w:val="both"/>
              <w:textAlignment w:val="center"/>
              <w:rPr>
                <w:rFonts w:ascii="仿宋_GB2312" w:hAnsi="宋体" w:eastAsia="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 xml:space="preserve"> </w:t>
            </w:r>
            <w:r>
              <w:rPr>
                <w:rFonts w:hint="eastAsia" w:ascii="仿宋_GB2312" w:hAnsi="仿宋_GB2312" w:eastAsia="仿宋_GB2312" w:cs="仿宋_GB2312"/>
                <w:color w:val="000000" w:themeColor="text1"/>
                <w:kern w:val="0"/>
                <w:sz w:val="18"/>
                <w:szCs w:val="18"/>
                <w:highlight w:val="none"/>
                <w:lang w:bidi="ar"/>
              </w:rPr>
              <w:t>包装形式</w:t>
            </w:r>
          </w:p>
        </w:tc>
        <w:tc>
          <w:tcPr>
            <w:tcW w:w="469" w:type="dxa"/>
            <w:vMerge w:val="restart"/>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计量</w:t>
            </w:r>
          </w:p>
          <w:p>
            <w:pPr>
              <w:widowControl/>
              <w:jc w:val="center"/>
              <w:textAlignment w:val="center"/>
              <w:rPr>
                <w:rFonts w:ascii="仿宋_GB2312" w:hAnsi="宋体" w:eastAsia="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单位</w:t>
            </w:r>
          </w:p>
        </w:tc>
        <w:tc>
          <w:tcPr>
            <w:tcW w:w="595" w:type="dxa"/>
            <w:vAlign w:val="center"/>
          </w:tcPr>
          <w:p>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数量</w:t>
            </w:r>
          </w:p>
        </w:tc>
        <w:tc>
          <w:tcPr>
            <w:tcW w:w="758" w:type="dxa"/>
            <w:vAlign w:val="center"/>
          </w:tcPr>
          <w:p>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含税基准价</w:t>
            </w:r>
          </w:p>
          <w:p>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(元)</w:t>
            </w:r>
          </w:p>
        </w:tc>
        <w:tc>
          <w:tcPr>
            <w:tcW w:w="729" w:type="dxa"/>
            <w:vAlign w:val="center"/>
          </w:tcPr>
          <w:p>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含税附加费</w:t>
            </w:r>
          </w:p>
          <w:p>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(元)</w:t>
            </w:r>
          </w:p>
        </w:tc>
        <w:tc>
          <w:tcPr>
            <w:tcW w:w="727" w:type="dxa"/>
            <w:vAlign w:val="center"/>
          </w:tcPr>
          <w:p>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税率</w:t>
            </w:r>
          </w:p>
          <w:p>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w:t>
            </w:r>
          </w:p>
        </w:tc>
        <w:tc>
          <w:tcPr>
            <w:tcW w:w="1033" w:type="dxa"/>
            <w:vAlign w:val="center"/>
          </w:tcPr>
          <w:p>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不含税综合单价</w:t>
            </w:r>
          </w:p>
          <w:p>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(元)</w:t>
            </w:r>
          </w:p>
        </w:tc>
        <w:tc>
          <w:tcPr>
            <w:tcW w:w="925" w:type="dxa"/>
            <w:vAlign w:val="center"/>
          </w:tcPr>
          <w:p>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含税综合单价</w:t>
            </w:r>
          </w:p>
          <w:p>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(元)</w:t>
            </w:r>
          </w:p>
        </w:tc>
        <w:tc>
          <w:tcPr>
            <w:tcW w:w="865" w:type="dxa"/>
            <w:vAlign w:val="center"/>
          </w:tcPr>
          <w:p>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含税合价</w:t>
            </w:r>
          </w:p>
          <w:p>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(元)</w:t>
            </w:r>
          </w:p>
        </w:tc>
        <w:tc>
          <w:tcPr>
            <w:tcW w:w="627" w:type="dxa"/>
            <w:vAlign w:val="center"/>
          </w:tcPr>
          <w:p>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396" w:type="dxa"/>
            <w:vMerge w:val="continue"/>
            <w:tcBorders>
              <w:bottom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713" w:type="dxa"/>
            <w:vMerge w:val="continue"/>
            <w:tcBorders>
              <w:bottom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700" w:type="dxa"/>
            <w:vMerge w:val="continue"/>
            <w:tcBorders>
              <w:bottom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583" w:type="dxa"/>
            <w:vMerge w:val="continue"/>
            <w:tcBorders>
              <w:bottom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469" w:type="dxa"/>
            <w:vMerge w:val="continue"/>
            <w:tcBorders>
              <w:bottom w:val="single" w:color="auto" w:sz="4" w:space="0"/>
            </w:tcBorders>
          </w:tcPr>
          <w:p>
            <w:pPr>
              <w:tabs>
                <w:tab w:val="left" w:pos="2857"/>
              </w:tabs>
              <w:jc w:val="center"/>
              <w:rPr>
                <w:rFonts w:ascii="仿宋_GB2312" w:hAnsi="宋体" w:eastAsia="仿宋_GB2312"/>
                <w:b/>
                <w:color w:val="000000" w:themeColor="text1"/>
                <w:sz w:val="18"/>
                <w:szCs w:val="18"/>
                <w:highlight w:val="none"/>
              </w:rPr>
            </w:pPr>
          </w:p>
        </w:tc>
        <w:tc>
          <w:tcPr>
            <w:tcW w:w="595" w:type="dxa"/>
            <w:tcBorders>
              <w:bottom w:val="single" w:color="auto" w:sz="4" w:space="0"/>
            </w:tcBorders>
            <w:vAlign w:val="center"/>
          </w:tcPr>
          <w:p>
            <w:pPr>
              <w:tabs>
                <w:tab w:val="left" w:pos="2857"/>
              </w:tabs>
              <w:jc w:val="center"/>
              <w:rPr>
                <w:rFonts w:ascii="仿宋_GB2312" w:hAnsi="宋体" w:eastAsia="仿宋_GB2312"/>
                <w:b/>
                <w:color w:val="000000" w:themeColor="text1"/>
                <w:sz w:val="18"/>
                <w:szCs w:val="18"/>
                <w:highlight w:val="none"/>
              </w:rPr>
            </w:pPr>
            <w:r>
              <w:rPr>
                <w:rFonts w:hint="eastAsia" w:ascii="仿宋_GB2312" w:hAnsi="宋体" w:eastAsia="仿宋_GB2312"/>
                <w:b/>
                <w:color w:val="000000" w:themeColor="text1"/>
                <w:sz w:val="18"/>
                <w:szCs w:val="18"/>
                <w:highlight w:val="none"/>
              </w:rPr>
              <w:t>A</w:t>
            </w:r>
          </w:p>
        </w:tc>
        <w:tc>
          <w:tcPr>
            <w:tcW w:w="758" w:type="dxa"/>
            <w:tcBorders>
              <w:bottom w:val="single" w:color="auto" w:sz="4" w:space="0"/>
            </w:tcBorders>
            <w:vAlign w:val="center"/>
          </w:tcPr>
          <w:p>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P1</w:t>
            </w:r>
          </w:p>
        </w:tc>
        <w:tc>
          <w:tcPr>
            <w:tcW w:w="729" w:type="dxa"/>
            <w:tcBorders>
              <w:bottom w:val="single" w:color="auto" w:sz="4" w:space="0"/>
            </w:tcBorders>
            <w:vAlign w:val="center"/>
          </w:tcPr>
          <w:p>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P2</w:t>
            </w:r>
          </w:p>
        </w:tc>
        <w:tc>
          <w:tcPr>
            <w:tcW w:w="727" w:type="dxa"/>
            <w:tcBorders>
              <w:bottom w:val="single" w:color="auto" w:sz="4" w:space="0"/>
            </w:tcBorders>
            <w:vAlign w:val="center"/>
          </w:tcPr>
          <w:p>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B</w:t>
            </w:r>
          </w:p>
        </w:tc>
        <w:tc>
          <w:tcPr>
            <w:tcW w:w="1033" w:type="dxa"/>
            <w:tcBorders>
              <w:bottom w:val="single" w:color="auto" w:sz="4" w:space="0"/>
            </w:tcBorders>
            <w:vAlign w:val="center"/>
          </w:tcPr>
          <w:p>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C</w:t>
            </w:r>
            <w:r>
              <w:rPr>
                <w:rFonts w:hint="eastAsia" w:ascii="仿宋_GB2312" w:hAnsi="宋体" w:eastAsia="仿宋_GB2312"/>
                <w:b/>
                <w:color w:val="000000" w:themeColor="text1"/>
                <w:sz w:val="18"/>
                <w:szCs w:val="18"/>
                <w:highlight w:val="none"/>
              </w:rPr>
              <w:t>=</w:t>
            </w:r>
            <w:r>
              <w:rPr>
                <w:rFonts w:ascii="仿宋_GB2312" w:hAnsi="宋体" w:eastAsia="仿宋_GB2312"/>
                <w:b/>
                <w:color w:val="000000" w:themeColor="text1"/>
                <w:sz w:val="18"/>
                <w:szCs w:val="18"/>
                <w:highlight w:val="none"/>
              </w:rPr>
              <w:t>D</w:t>
            </w:r>
            <w:r>
              <w:rPr>
                <w:rFonts w:hint="eastAsia" w:ascii="仿宋_GB2312" w:hAnsi="宋体" w:eastAsia="仿宋_GB2312"/>
                <w:b/>
                <w:color w:val="000000" w:themeColor="text1"/>
                <w:sz w:val="18"/>
                <w:szCs w:val="18"/>
                <w:highlight w:val="none"/>
              </w:rPr>
              <w:t>/(1+</w:t>
            </w:r>
            <w:r>
              <w:rPr>
                <w:rFonts w:ascii="仿宋_GB2312" w:hAnsi="宋体" w:eastAsia="仿宋_GB2312"/>
                <w:b/>
                <w:color w:val="000000" w:themeColor="text1"/>
                <w:sz w:val="18"/>
                <w:szCs w:val="18"/>
                <w:highlight w:val="none"/>
              </w:rPr>
              <w:t>B</w:t>
            </w:r>
            <w:r>
              <w:rPr>
                <w:rFonts w:hint="eastAsia" w:ascii="仿宋_GB2312" w:hAnsi="宋体" w:eastAsia="仿宋_GB2312"/>
                <w:b/>
                <w:color w:val="000000" w:themeColor="text1"/>
                <w:sz w:val="18"/>
                <w:szCs w:val="18"/>
                <w:highlight w:val="none"/>
              </w:rPr>
              <w:t>)</w:t>
            </w:r>
          </w:p>
        </w:tc>
        <w:tc>
          <w:tcPr>
            <w:tcW w:w="925" w:type="dxa"/>
            <w:tcBorders>
              <w:bottom w:val="single" w:color="auto" w:sz="4" w:space="0"/>
            </w:tcBorders>
            <w:vAlign w:val="center"/>
          </w:tcPr>
          <w:p>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D</w:t>
            </w:r>
            <w:r>
              <w:rPr>
                <w:rFonts w:hint="eastAsia" w:ascii="仿宋_GB2312" w:hAnsi="宋体" w:eastAsia="仿宋_GB2312"/>
                <w:b/>
                <w:color w:val="000000" w:themeColor="text1"/>
                <w:sz w:val="18"/>
                <w:szCs w:val="18"/>
                <w:highlight w:val="none"/>
              </w:rPr>
              <w:t>=</w:t>
            </w:r>
            <w:r>
              <w:rPr>
                <w:rFonts w:ascii="仿宋_GB2312" w:hAnsi="宋体" w:eastAsia="仿宋_GB2312"/>
                <w:b/>
                <w:color w:val="000000" w:themeColor="text1"/>
                <w:sz w:val="18"/>
                <w:szCs w:val="18"/>
                <w:highlight w:val="none"/>
              </w:rPr>
              <w:t>P1+P2</w:t>
            </w:r>
          </w:p>
        </w:tc>
        <w:tc>
          <w:tcPr>
            <w:tcW w:w="865" w:type="dxa"/>
            <w:tcBorders>
              <w:bottom w:val="single" w:color="auto" w:sz="4" w:space="0"/>
            </w:tcBorders>
            <w:vAlign w:val="center"/>
          </w:tcPr>
          <w:p>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E</w:t>
            </w:r>
            <w:r>
              <w:rPr>
                <w:rFonts w:hint="eastAsia" w:ascii="仿宋_GB2312" w:hAnsi="宋体" w:eastAsia="仿宋_GB2312"/>
                <w:b/>
                <w:color w:val="000000" w:themeColor="text1"/>
                <w:sz w:val="18"/>
                <w:szCs w:val="18"/>
                <w:highlight w:val="none"/>
              </w:rPr>
              <w:t>=A*D</w:t>
            </w:r>
          </w:p>
        </w:tc>
        <w:tc>
          <w:tcPr>
            <w:tcW w:w="627" w:type="dxa"/>
            <w:tcBorders>
              <w:bottom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1</w:t>
            </w: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olor w:val="000000" w:themeColor="text1"/>
                <w:sz w:val="18"/>
                <w:szCs w:val="18"/>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olor w:val="000000" w:themeColor="text1"/>
                <w:sz w:val="18"/>
                <w:szCs w:val="18"/>
                <w:highlight w:val="none"/>
              </w:rPr>
            </w:pPr>
          </w:p>
        </w:tc>
        <w:tc>
          <w:tcPr>
            <w:tcW w:w="583"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center"/>
              <w:textAlignment w:val="center"/>
              <w:rPr>
                <w:rFonts w:ascii="仿宋_GB2312" w:hAnsi="宋体" w:eastAsia="仿宋_GB2312"/>
                <w:color w:val="000000" w:themeColor="text1"/>
                <w:sz w:val="18"/>
                <w:szCs w:val="18"/>
                <w:highlight w:val="none"/>
              </w:rPr>
            </w:pPr>
          </w:p>
        </w:tc>
        <w:tc>
          <w:tcPr>
            <w:tcW w:w="46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595"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758"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72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2</w:t>
            </w:r>
          </w:p>
        </w:tc>
        <w:tc>
          <w:tcPr>
            <w:tcW w:w="713"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center"/>
              <w:rPr>
                <w:rFonts w:ascii="仿宋_GB2312" w:hAnsi="宋体" w:eastAsia="仿宋_GB2312"/>
                <w:color w:val="000000" w:themeColor="text1"/>
                <w:sz w:val="18"/>
                <w:szCs w:val="18"/>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center"/>
              <w:textAlignment w:val="center"/>
              <w:rPr>
                <w:rFonts w:ascii="仿宋_GB2312" w:hAnsi="宋体" w:eastAsia="仿宋_GB2312"/>
                <w:color w:val="000000" w:themeColor="text1"/>
                <w:sz w:val="18"/>
                <w:szCs w:val="18"/>
                <w:highlight w:val="none"/>
              </w:rPr>
            </w:pPr>
          </w:p>
        </w:tc>
        <w:tc>
          <w:tcPr>
            <w:tcW w:w="583"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center"/>
              <w:rPr>
                <w:rFonts w:ascii="仿宋_GB2312" w:hAnsi="宋体" w:eastAsia="仿宋_GB2312"/>
                <w:color w:val="000000" w:themeColor="text1"/>
                <w:sz w:val="18"/>
                <w:szCs w:val="18"/>
                <w:highlight w:val="none"/>
              </w:rPr>
            </w:pPr>
          </w:p>
        </w:tc>
        <w:tc>
          <w:tcPr>
            <w:tcW w:w="46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595"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758"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72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3</w:t>
            </w:r>
          </w:p>
        </w:tc>
        <w:tc>
          <w:tcPr>
            <w:tcW w:w="713"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center"/>
              <w:rPr>
                <w:rFonts w:ascii="仿宋_GB2312" w:hAnsi="宋体" w:eastAsia="仿宋_GB2312"/>
                <w:color w:val="000000" w:themeColor="text1"/>
                <w:sz w:val="18"/>
                <w:szCs w:val="18"/>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center"/>
              <w:textAlignment w:val="center"/>
              <w:rPr>
                <w:rFonts w:ascii="仿宋_GB2312" w:hAnsi="宋体" w:eastAsia="仿宋_GB2312"/>
                <w:color w:val="000000" w:themeColor="text1"/>
                <w:sz w:val="18"/>
                <w:szCs w:val="18"/>
                <w:highlight w:val="none"/>
              </w:rPr>
            </w:pPr>
          </w:p>
        </w:tc>
        <w:tc>
          <w:tcPr>
            <w:tcW w:w="583"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center"/>
              <w:rPr>
                <w:rFonts w:ascii="仿宋_GB2312" w:hAnsi="宋体" w:eastAsia="仿宋_GB2312"/>
                <w:color w:val="000000" w:themeColor="text1"/>
                <w:sz w:val="18"/>
                <w:szCs w:val="18"/>
                <w:highlight w:val="none"/>
              </w:rPr>
            </w:pPr>
          </w:p>
        </w:tc>
        <w:tc>
          <w:tcPr>
            <w:tcW w:w="46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595"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758"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72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1996" w:type="dxa"/>
            <w:gridSpan w:val="3"/>
            <w:tcBorders>
              <w:top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合计</w:t>
            </w:r>
          </w:p>
        </w:tc>
        <w:tc>
          <w:tcPr>
            <w:tcW w:w="469" w:type="dxa"/>
            <w:tcBorders>
              <w:top w:val="single" w:color="auto" w:sz="4" w:space="0"/>
            </w:tcBorders>
          </w:tcPr>
          <w:p>
            <w:pPr>
              <w:tabs>
                <w:tab w:val="left" w:pos="2857"/>
              </w:tabs>
              <w:jc w:val="center"/>
              <w:rPr>
                <w:rFonts w:ascii="仿宋_GB2312" w:hAnsi="宋体" w:eastAsia="仿宋_GB2312"/>
                <w:color w:val="000000" w:themeColor="text1"/>
                <w:sz w:val="18"/>
                <w:szCs w:val="18"/>
                <w:highlight w:val="none"/>
              </w:rPr>
            </w:pPr>
          </w:p>
        </w:tc>
        <w:tc>
          <w:tcPr>
            <w:tcW w:w="595" w:type="dxa"/>
            <w:tcBorders>
              <w:top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758" w:type="dxa"/>
            <w:tcBorders>
              <w:top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729" w:type="dxa"/>
            <w:tcBorders>
              <w:top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727" w:type="dxa"/>
            <w:tcBorders>
              <w:top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1033" w:type="dxa"/>
            <w:tcBorders>
              <w:top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925" w:type="dxa"/>
            <w:tcBorders>
              <w:top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865" w:type="dxa"/>
            <w:tcBorders>
              <w:top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627" w:type="dxa"/>
            <w:tcBorders>
              <w:top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pPr>
              <w:tabs>
                <w:tab w:val="left" w:pos="2857"/>
              </w:tabs>
              <w:jc w:val="left"/>
              <w:rPr>
                <w:rFonts w:ascii="仿宋_GB2312" w:hAnsi="宋体" w:eastAsia="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不含增值税总价（暂定）</w:t>
            </w:r>
            <w:r>
              <w:rPr>
                <w:rFonts w:hint="eastAsia" w:ascii="仿宋_GB2312" w:hAnsi="宋体" w:eastAsia="仿宋_GB2312"/>
                <w:color w:val="000000" w:themeColor="text1"/>
                <w:sz w:val="18"/>
                <w:szCs w:val="18"/>
                <w:highlight w:val="none"/>
              </w:rPr>
              <w:t>：人民币</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 xml:space="preserve">元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pPr>
              <w:tabs>
                <w:tab w:val="left" w:pos="2857"/>
              </w:tabs>
              <w:jc w:val="left"/>
              <w:rPr>
                <w:rFonts w:ascii="仿宋_GB2312" w:hAnsi="宋体" w:eastAsia="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含增值税总价（暂定）</w:t>
            </w:r>
            <w:r>
              <w:rPr>
                <w:rFonts w:hint="eastAsia" w:ascii="仿宋_GB2312" w:hAnsi="宋体" w:eastAsia="仿宋_GB2312"/>
                <w:color w:val="000000" w:themeColor="text1"/>
                <w:sz w:val="18"/>
                <w:szCs w:val="18"/>
                <w:highlight w:val="none"/>
              </w:rPr>
              <w:t>：人民币</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9120" w:type="dxa"/>
            <w:gridSpan w:val="13"/>
            <w:vAlign w:val="center"/>
          </w:tcPr>
          <w:p>
            <w:pPr>
              <w:tabs>
                <w:tab w:val="left" w:pos="2857"/>
              </w:tabs>
              <w:jc w:val="left"/>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注：</w:t>
            </w:r>
            <w:r>
              <w:rPr>
                <w:rFonts w:hint="eastAsia" w:ascii="仿宋_GB2312" w:eastAsia="仿宋_GB2312" w:cs="宋体" w:hAnsiTheme="minorEastAsia"/>
                <w:color w:val="000000"/>
                <w:sz w:val="21"/>
                <w:szCs w:val="21"/>
                <w:highlight w:val="none"/>
              </w:rPr>
              <w:t>物资数量为暂定数量，浮动单价</w:t>
            </w:r>
            <w:r>
              <w:rPr>
                <w:rFonts w:hint="eastAsia" w:ascii="仿宋_GB2312" w:eastAsia="仿宋_GB2312" w:cs="宋体" w:hAnsiTheme="minorEastAsia"/>
                <w:sz w:val="21"/>
                <w:szCs w:val="21"/>
                <w:highlight w:val="none"/>
              </w:rPr>
              <w:t>按照</w:t>
            </w:r>
            <w:r>
              <w:rPr>
                <w:rFonts w:hint="eastAsia" w:ascii="仿宋_GB2312" w:eastAsia="仿宋_GB2312" w:cs="Times New Roman" w:hAnsiTheme="minorEastAsia"/>
                <w:sz w:val="21"/>
                <w:szCs w:val="21"/>
                <w:highlight w:val="none"/>
              </w:rPr>
              <w:t>即</w:t>
            </w:r>
            <w:r>
              <w:rPr>
                <w:rFonts w:hint="eastAsia" w:ascii="仿宋_GB2312" w:eastAsia="仿宋_GB2312" w:cs="Times New Roman" w:hAnsiTheme="minorEastAsia"/>
                <w:sz w:val="21"/>
                <w:szCs w:val="21"/>
                <w:highlight w:val="none"/>
                <w:u w:val="single"/>
              </w:rPr>
              <w:t xml:space="preserve">       </w:t>
            </w:r>
            <w:r>
              <w:rPr>
                <w:highlight w:val="none"/>
              </w:rPr>
              <w:fldChar w:fldCharType="begin"/>
            </w:r>
            <w:r>
              <w:rPr>
                <w:highlight w:val="none"/>
              </w:rPr>
              <w:instrText xml:space="preserve"> HYPERLINK "http://www.mysteel.com/" </w:instrText>
            </w:r>
            <w:r>
              <w:rPr>
                <w:highlight w:val="none"/>
              </w:rPr>
              <w:fldChar w:fldCharType="separate"/>
            </w:r>
            <w:r>
              <w:rPr>
                <w:rFonts w:hint="eastAsia" w:ascii="仿宋_GB2312" w:eastAsia="仿宋_GB2312" w:cs="Times New Roman" w:hAnsiTheme="minorEastAsia"/>
                <w:sz w:val="21"/>
                <w:szCs w:val="21"/>
                <w:highlight w:val="none"/>
              </w:rPr>
              <w:t>网</w:t>
            </w:r>
            <w:r>
              <w:rPr>
                <w:rFonts w:hint="eastAsia" w:ascii="仿宋_GB2312" w:eastAsia="仿宋_GB2312" w:cs="Times New Roman" w:hAnsiTheme="minorEastAsia"/>
                <w:sz w:val="21"/>
                <w:szCs w:val="21"/>
                <w:highlight w:val="none"/>
              </w:rPr>
              <w:fldChar w:fldCharType="end"/>
            </w:r>
            <w:r>
              <w:rPr>
                <w:rFonts w:hint="eastAsia" w:ascii="仿宋_GB2312" w:eastAsia="仿宋_GB2312" w:cs="Times New Roman" w:hAnsiTheme="minorEastAsia"/>
                <w:sz w:val="21"/>
                <w:szCs w:val="21"/>
                <w:highlight w:val="none"/>
              </w:rPr>
              <w:t>提供的</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省</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市</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bCs/>
                <w:sz w:val="21"/>
                <w:szCs w:val="21"/>
                <w:highlight w:val="none"/>
              </w:rPr>
              <w:t>生产企业所报同规格型号同材质</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Times New Roman" w:hAnsiTheme="minorEastAsia"/>
                <w:sz w:val="21"/>
                <w:szCs w:val="21"/>
                <w:highlight w:val="none"/>
              </w:rPr>
              <w:t>市场行情价格</w:t>
            </w:r>
            <w:r>
              <w:rPr>
                <w:rFonts w:hint="eastAsia" w:ascii="仿宋_GB2312" w:eastAsia="仿宋_GB2312" w:cs="宋体" w:hAnsiTheme="minorEastAsia"/>
                <w:color w:val="000000"/>
                <w:sz w:val="21"/>
                <w:szCs w:val="21"/>
                <w:highlight w:val="none"/>
              </w:rPr>
              <w:t>填写。</w:t>
            </w:r>
            <w:r>
              <w:rPr>
                <w:rFonts w:hint="eastAsia" w:ascii="仿宋_GB2312" w:eastAsia="仿宋_GB2312" w:cs="宋体" w:hAnsiTheme="minorEastAsia"/>
                <w:b/>
                <w:bCs/>
                <w:sz w:val="21"/>
                <w:szCs w:val="21"/>
                <w:highlight w:val="none"/>
                <w:u w:val="single"/>
                <w:lang w:val="en-US" w:eastAsia="zh-CN"/>
              </w:rPr>
              <w:t>投</w:t>
            </w:r>
            <w:r>
              <w:rPr>
                <w:rFonts w:hint="eastAsia" w:ascii="仿宋_GB2312" w:eastAsia="仿宋_GB2312" w:cs="宋体" w:hAnsiTheme="minorEastAsia"/>
                <w:b/>
                <w:bCs/>
                <w:sz w:val="21"/>
                <w:szCs w:val="21"/>
                <w:highlight w:val="none"/>
                <w:u w:val="single"/>
              </w:rPr>
              <w:t>标方</w:t>
            </w:r>
            <w:r>
              <w:rPr>
                <w:rFonts w:hint="eastAsia" w:ascii="仿宋_GB2312" w:eastAsia="仿宋_GB2312" w:cs="宋体" w:hAnsiTheme="minorEastAsia"/>
                <w:sz w:val="21"/>
                <w:szCs w:val="21"/>
                <w:highlight w:val="none"/>
              </w:rPr>
              <w:t>负责卸车</w:t>
            </w:r>
            <w:r>
              <w:rPr>
                <w:rFonts w:hint="eastAsia" w:ascii="宋体" w:hAnsi="宋体" w:eastAsia="宋体" w:cs="宋体"/>
                <w:kern w:val="0"/>
                <w:sz w:val="21"/>
                <w:szCs w:val="21"/>
                <w:highlight w:val="none"/>
              </w:rPr>
              <w:t>。</w:t>
            </w:r>
          </w:p>
        </w:tc>
      </w:tr>
      <w:bookmarkEnd w:id="73"/>
    </w:tbl>
    <w:p>
      <w:pPr>
        <w:spacing w:line="400" w:lineRule="exact"/>
        <w:jc w:val="center"/>
        <w:rPr>
          <w:rFonts w:hint="eastAsia" w:ascii="仿宋_GB2312" w:eastAsia="仿宋_GB2312" w:cs="宋体" w:hAnsiTheme="minorEastAsia"/>
          <w:highlight w:val="none"/>
        </w:rPr>
      </w:pPr>
      <w:r>
        <w:rPr>
          <w:rFonts w:hint="eastAsia" w:ascii="仿宋_GB2312" w:eastAsia="仿宋_GB2312" w:cs="宋体" w:hAnsiTheme="minorEastAsia"/>
          <w:highlight w:val="none"/>
        </w:rPr>
        <w:tab/>
      </w:r>
    </w:p>
    <w:p>
      <w:pPr>
        <w:spacing w:line="400" w:lineRule="exact"/>
        <w:jc w:val="center"/>
        <w:rPr>
          <w:rFonts w:hint="eastAsia" w:ascii="仿宋_GB2312" w:eastAsia="仿宋_GB2312" w:cs="宋体" w:hAnsiTheme="minorEastAsia"/>
          <w:highlight w:val="none"/>
        </w:rPr>
      </w:pPr>
    </w:p>
    <w:p>
      <w:pPr>
        <w:spacing w:line="400" w:lineRule="exact"/>
        <w:ind w:left="7140" w:hanging="7140" w:hangingChars="34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pPr>
        <w:spacing w:line="400" w:lineRule="exact"/>
        <w:ind w:left="5292" w:hanging="5292" w:hangingChars="2800"/>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日  </w:t>
      </w:r>
    </w:p>
    <w:p>
      <w:pPr>
        <w:spacing w:line="400" w:lineRule="exact"/>
        <w:ind w:firstLine="5880" w:firstLineChars="2800"/>
        <w:jc w:val="left"/>
        <w:rPr>
          <w:rFonts w:ascii="仿宋_GB2312" w:eastAsia="仿宋_GB2312" w:cs="宋体" w:hAnsiTheme="minorEastAsia"/>
          <w:kern w:val="0"/>
          <w:sz w:val="21"/>
          <w:szCs w:val="21"/>
          <w:highlight w:val="none"/>
        </w:rPr>
      </w:pPr>
    </w:p>
    <w:p>
      <w:pPr>
        <w:spacing w:line="400" w:lineRule="exact"/>
        <w:ind w:firstLine="5880" w:firstLineChars="2800"/>
        <w:jc w:val="left"/>
        <w:rPr>
          <w:rFonts w:ascii="仿宋_GB2312" w:eastAsia="仿宋_GB2312" w:cs="宋体" w:hAnsiTheme="minorEastAsia"/>
          <w:kern w:val="0"/>
          <w:sz w:val="21"/>
          <w:szCs w:val="21"/>
          <w:highlight w:val="none"/>
        </w:rPr>
      </w:pPr>
    </w:p>
    <w:p>
      <w:pPr>
        <w:spacing w:line="400" w:lineRule="exact"/>
        <w:ind w:firstLine="5880" w:firstLineChars="2800"/>
        <w:jc w:val="left"/>
        <w:rPr>
          <w:rFonts w:ascii="仿宋_GB2312" w:eastAsia="仿宋_GB2312" w:cs="宋体" w:hAnsiTheme="minorEastAsia"/>
          <w:kern w:val="0"/>
          <w:sz w:val="21"/>
          <w:szCs w:val="21"/>
          <w:highlight w:val="none"/>
        </w:rPr>
      </w:pPr>
    </w:p>
    <w:p>
      <w:pPr>
        <w:spacing w:line="400" w:lineRule="exact"/>
        <w:ind w:firstLine="5880" w:firstLineChars="2800"/>
        <w:jc w:val="left"/>
        <w:rPr>
          <w:rFonts w:ascii="仿宋_GB2312" w:eastAsia="仿宋_GB2312" w:cs="宋体" w:hAnsiTheme="minorEastAsia"/>
          <w:kern w:val="0"/>
          <w:sz w:val="21"/>
          <w:szCs w:val="21"/>
          <w:highlight w:val="none"/>
        </w:rPr>
      </w:pPr>
    </w:p>
    <w:p>
      <w:pPr>
        <w:spacing w:line="400" w:lineRule="exact"/>
        <w:ind w:firstLine="5880" w:firstLineChars="2800"/>
        <w:jc w:val="left"/>
        <w:rPr>
          <w:rFonts w:ascii="仿宋_GB2312" w:eastAsia="仿宋_GB2312" w:cs="宋体" w:hAnsiTheme="minorEastAsia"/>
          <w:kern w:val="0"/>
          <w:sz w:val="21"/>
          <w:szCs w:val="21"/>
          <w:highlight w:val="none"/>
        </w:rPr>
      </w:pPr>
    </w:p>
    <w:p>
      <w:pPr>
        <w:pStyle w:val="311"/>
        <w:spacing w:line="276" w:lineRule="auto"/>
        <w:ind w:firstLine="0" w:firstLineChars="0"/>
        <w:rPr>
          <w:rFonts w:hint="eastAsia" w:ascii="仿宋_GB2312" w:eastAsia="仿宋_GB2312" w:cs="宋体" w:hAnsiTheme="minorEastAsia"/>
          <w:kern w:val="0"/>
          <w:sz w:val="21"/>
          <w:szCs w:val="21"/>
          <w:highlight w:val="none"/>
        </w:rPr>
      </w:pPr>
    </w:p>
    <w:p>
      <w:pPr>
        <w:pStyle w:val="311"/>
        <w:spacing w:line="276" w:lineRule="auto"/>
        <w:ind w:firstLine="0" w:firstLineChars="0"/>
        <w:rPr>
          <w:rFonts w:hint="eastAsia" w:cs="宋体" w:hAnsiTheme="minorEastAsia"/>
          <w:b/>
          <w:bCs/>
          <w:kern w:val="0"/>
          <w:sz w:val="21"/>
          <w:szCs w:val="21"/>
          <w:highlight w:val="none"/>
          <w:lang w:val="en-US" w:eastAsia="zh-CN"/>
        </w:rPr>
      </w:pPr>
    </w:p>
    <w:p>
      <w:pPr>
        <w:pStyle w:val="311"/>
        <w:spacing w:line="276" w:lineRule="auto"/>
        <w:ind w:firstLine="0" w:firstLineChars="0"/>
        <w:rPr>
          <w:rFonts w:hint="eastAsia" w:cs="宋体" w:hAnsiTheme="minorEastAsia"/>
          <w:b/>
          <w:bCs/>
          <w:kern w:val="0"/>
          <w:sz w:val="21"/>
          <w:szCs w:val="21"/>
          <w:highlight w:val="none"/>
          <w:lang w:val="en-US" w:eastAsia="zh-CN"/>
        </w:rPr>
      </w:pPr>
    </w:p>
    <w:p>
      <w:pPr>
        <w:pStyle w:val="311"/>
        <w:spacing w:line="276" w:lineRule="auto"/>
        <w:ind w:firstLine="0" w:firstLineChars="0"/>
        <w:rPr>
          <w:rFonts w:hint="eastAsia" w:cs="宋体" w:hAnsiTheme="minorEastAsia"/>
          <w:b/>
          <w:bCs/>
          <w:kern w:val="0"/>
          <w:sz w:val="21"/>
          <w:szCs w:val="21"/>
          <w:highlight w:val="none"/>
          <w:lang w:val="en-US" w:eastAsia="zh-CN"/>
        </w:rPr>
      </w:pPr>
    </w:p>
    <w:p>
      <w:pPr>
        <w:pStyle w:val="311"/>
        <w:spacing w:line="276" w:lineRule="auto"/>
        <w:ind w:firstLine="0" w:firstLineChars="0"/>
        <w:rPr>
          <w:rFonts w:hint="eastAsia" w:cs="宋体" w:hAnsiTheme="minorEastAsia"/>
          <w:b/>
          <w:bCs/>
          <w:kern w:val="0"/>
          <w:sz w:val="21"/>
          <w:szCs w:val="21"/>
          <w:highlight w:val="none"/>
          <w:lang w:val="en-US" w:eastAsia="zh-CN"/>
        </w:rPr>
      </w:pPr>
    </w:p>
    <w:p>
      <w:pPr>
        <w:pStyle w:val="311"/>
        <w:spacing w:line="276" w:lineRule="auto"/>
        <w:ind w:firstLine="0" w:firstLineChars="0"/>
        <w:rPr>
          <w:rFonts w:hint="eastAsia" w:cs="宋体" w:hAnsiTheme="minorEastAsia"/>
          <w:b/>
          <w:bCs/>
          <w:kern w:val="0"/>
          <w:sz w:val="21"/>
          <w:szCs w:val="21"/>
          <w:highlight w:val="none"/>
          <w:lang w:val="en-US" w:eastAsia="zh-CN"/>
        </w:rPr>
      </w:pPr>
    </w:p>
    <w:p>
      <w:pPr>
        <w:pStyle w:val="311"/>
        <w:spacing w:line="276" w:lineRule="auto"/>
        <w:ind w:firstLine="0" w:firstLineChars="0"/>
        <w:rPr>
          <w:rFonts w:hint="eastAsia" w:cs="宋体" w:hAnsiTheme="minorEastAsia"/>
          <w:b/>
          <w:bCs/>
          <w:kern w:val="0"/>
          <w:sz w:val="21"/>
          <w:szCs w:val="21"/>
          <w:highlight w:val="none"/>
          <w:lang w:val="en-US" w:eastAsia="zh-CN"/>
        </w:rPr>
      </w:pPr>
    </w:p>
    <w:p>
      <w:pPr>
        <w:pStyle w:val="311"/>
        <w:spacing w:line="276" w:lineRule="auto"/>
        <w:ind w:firstLine="0" w:firstLineChars="0"/>
        <w:rPr>
          <w:rFonts w:hint="eastAsia" w:cs="宋体" w:hAnsiTheme="minorEastAsia"/>
          <w:b/>
          <w:bCs/>
          <w:kern w:val="0"/>
          <w:sz w:val="21"/>
          <w:szCs w:val="21"/>
          <w:highlight w:val="none"/>
          <w:lang w:val="en-US" w:eastAsia="zh-CN"/>
        </w:rPr>
      </w:pPr>
    </w:p>
    <w:bookmarkEnd w:id="64"/>
    <w:bookmarkEnd w:id="65"/>
    <w:bookmarkEnd w:id="66"/>
    <w:bookmarkEnd w:id="67"/>
    <w:bookmarkEnd w:id="68"/>
    <w:bookmarkEnd w:id="69"/>
    <w:bookmarkEnd w:id="70"/>
    <w:bookmarkEnd w:id="71"/>
    <w:bookmarkEnd w:id="72"/>
    <w:p>
      <w:pPr>
        <w:pStyle w:val="311"/>
        <w:spacing w:line="276" w:lineRule="auto"/>
        <w:ind w:firstLine="0" w:firstLineChars="0"/>
        <w:rPr>
          <w:rFonts w:hint="eastAsia" w:ascii="仿宋_GB2312" w:eastAsia="仿宋_GB2312" w:cs="宋体" w:hAnsiTheme="minorEastAsia"/>
          <w:kern w:val="0"/>
          <w:sz w:val="21"/>
          <w:szCs w:val="21"/>
          <w:highlight w:val="none"/>
        </w:rPr>
      </w:pPr>
      <w:bookmarkStart w:id="74" w:name="_Toc18209295"/>
    </w:p>
    <w:p>
      <w:pPr>
        <w:pStyle w:val="311"/>
        <w:spacing w:line="276" w:lineRule="auto"/>
        <w:ind w:firstLine="0" w:firstLineChars="0"/>
        <w:rPr>
          <w:rFonts w:hint="eastAsia" w:ascii="仿宋_GB2312" w:eastAsia="仿宋_GB2312" w:cs="宋体" w:hAnsiTheme="minorEastAsia"/>
          <w:kern w:val="0"/>
          <w:sz w:val="21"/>
          <w:szCs w:val="21"/>
          <w:highlight w:val="none"/>
        </w:rPr>
      </w:pPr>
    </w:p>
    <w:p>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4"/>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pPr>
              <w:widowControl/>
              <w:jc w:val="center"/>
              <w:rPr>
                <w:rFonts w:ascii="仿宋" w:hAnsi="仿宋" w:eastAsia="仿宋"/>
                <w:b/>
                <w:bCs/>
                <w:color w:val="000000"/>
                <w:kern w:val="0"/>
                <w:sz w:val="21"/>
                <w:szCs w:val="21"/>
                <w:highlight w:val="none"/>
              </w:rPr>
            </w:pPr>
            <w:bookmarkStart w:id="75" w:name="RANGE!A1:O13"/>
            <w:r>
              <w:rPr>
                <w:rFonts w:hint="eastAsia" w:ascii="仿宋" w:hAnsi="仿宋" w:eastAsia="仿宋"/>
                <w:b/>
                <w:bCs/>
                <w:color w:val="000000"/>
                <w:kern w:val="0"/>
                <w:sz w:val="21"/>
                <w:szCs w:val="21"/>
                <w:highlight w:val="none"/>
              </w:rPr>
              <w:t>投标单价组成明细表</w:t>
            </w:r>
            <w:bookmarkEnd w:id="75"/>
          </w:p>
        </w:tc>
      </w:tr>
      <w:tr>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pPr>
              <w:widowControl/>
              <w:jc w:val="left"/>
              <w:rPr>
                <w:rFonts w:ascii="仿宋" w:hAnsi="仿宋" w:eastAsia="仿宋"/>
                <w:b/>
                <w:bCs/>
                <w:color w:val="000000"/>
                <w:kern w:val="0"/>
                <w:sz w:val="21"/>
                <w:szCs w:val="21"/>
                <w:highlight w:val="none"/>
              </w:rPr>
            </w:pPr>
          </w:p>
        </w:tc>
      </w:tr>
      <w:tr>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pPr>
              <w:widowControl/>
              <w:jc w:val="center"/>
              <w:rPr>
                <w:rFonts w:ascii="仿宋" w:hAnsi="仿宋" w:eastAsia="仿宋"/>
                <w:color w:val="000000"/>
                <w:kern w:val="0"/>
                <w:sz w:val="21"/>
                <w:szCs w:val="21"/>
                <w:highlight w:val="none"/>
              </w:rPr>
            </w:pPr>
          </w:p>
        </w:tc>
      </w:tr>
      <w:tr>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pPr>
              <w:widowControl/>
              <w:jc w:val="center"/>
              <w:rPr>
                <w:rFonts w:ascii="仿宋" w:hAnsi="仿宋" w:eastAsia="仿宋"/>
                <w:color w:val="000000"/>
                <w:kern w:val="0"/>
                <w:sz w:val="21"/>
                <w:szCs w:val="21"/>
                <w:highlight w:val="none"/>
              </w:rPr>
            </w:pPr>
          </w:p>
        </w:tc>
      </w:tr>
      <w:tr>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r>
      <w:tr>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r>
    </w:tbl>
    <w:p>
      <w:pPr>
        <w:pStyle w:val="311"/>
        <w:spacing w:line="276" w:lineRule="auto"/>
        <w:ind w:firstLine="0" w:firstLineChars="0"/>
        <w:rPr>
          <w:rFonts w:hAnsi="仿宋" w:cs="仿宋_GB2312"/>
          <w:b/>
          <w:bCs/>
          <w:highlight w:val="none"/>
        </w:rPr>
      </w:pPr>
    </w:p>
    <w:p>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pPr>
        <w:pStyle w:val="311"/>
        <w:spacing w:line="276" w:lineRule="auto"/>
        <w:ind w:firstLine="0" w:firstLineChars="0"/>
        <w:rPr>
          <w:rFonts w:ascii="仿宋" w:hAnsi="仿宋" w:eastAsia="仿宋" w:cs="仿宋_GB2312"/>
          <w:b/>
          <w:bCs/>
          <w:highlight w:val="none"/>
        </w:rPr>
      </w:pPr>
    </w:p>
    <w:p>
      <w:pPr>
        <w:pStyle w:val="311"/>
        <w:spacing w:line="276" w:lineRule="auto"/>
        <w:ind w:firstLine="0" w:firstLineChars="0"/>
        <w:rPr>
          <w:rFonts w:ascii="仿宋" w:hAnsi="仿宋" w:eastAsia="仿宋" w:cs="仿宋_GB2312"/>
          <w:b/>
          <w:bCs/>
          <w:highlight w:val="none"/>
        </w:rPr>
      </w:pPr>
    </w:p>
    <w:p>
      <w:pPr>
        <w:pStyle w:val="311"/>
        <w:spacing w:line="276" w:lineRule="auto"/>
        <w:ind w:firstLine="0" w:firstLineChars="0"/>
        <w:rPr>
          <w:rFonts w:ascii="仿宋" w:hAnsi="仿宋" w:eastAsia="仿宋" w:cs="仿宋_GB2312"/>
          <w:b/>
          <w:bCs/>
          <w:highlight w:val="none"/>
        </w:rPr>
      </w:pPr>
    </w:p>
    <w:p>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pPr>
        <w:pStyle w:val="311"/>
        <w:spacing w:line="276" w:lineRule="auto"/>
        <w:ind w:firstLine="482"/>
        <w:jc w:val="right"/>
        <w:rPr>
          <w:rFonts w:ascii="仿宋" w:hAnsi="仿宋" w:eastAsia="仿宋" w:cs="仿宋_GB2312"/>
          <w:b/>
          <w:bCs/>
          <w:highlight w:val="none"/>
          <w:u w:val="single"/>
        </w:rPr>
      </w:pPr>
    </w:p>
    <w:p>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pPr>
        <w:pStyle w:val="311"/>
        <w:spacing w:line="276" w:lineRule="auto"/>
        <w:ind w:firstLine="0" w:firstLineChars="0"/>
        <w:rPr>
          <w:rFonts w:ascii="仿宋" w:hAnsi="仿宋" w:eastAsia="仿宋" w:cs="仿宋_GB2312"/>
          <w:b/>
          <w:bCs/>
          <w:highlight w:val="none"/>
        </w:rPr>
      </w:pPr>
    </w:p>
    <w:p>
      <w:pPr>
        <w:pStyle w:val="311"/>
        <w:spacing w:line="276" w:lineRule="auto"/>
        <w:ind w:firstLine="0" w:firstLineChars="0"/>
        <w:rPr>
          <w:rFonts w:ascii="仿宋" w:hAnsi="仿宋" w:eastAsia="仿宋" w:cs="仿宋_GB2312"/>
          <w:b/>
          <w:bCs/>
          <w:highlight w:val="none"/>
        </w:rPr>
      </w:pPr>
    </w:p>
    <w:p>
      <w:pPr>
        <w:pStyle w:val="311"/>
        <w:wordWrap w:val="0"/>
        <w:spacing w:line="276" w:lineRule="auto"/>
        <w:ind w:right="482" w:firstLine="0" w:firstLineChars="0"/>
        <w:jc w:val="center"/>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4"/>
    </w:p>
    <w:p>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装配式建筑</w:t>
      </w:r>
      <w:r>
        <w:rPr>
          <w:rFonts w:hint="eastAsia" w:ascii="仿宋_GB2312" w:eastAsia="仿宋_GB2312" w:cs="宋体" w:hAnsiTheme="minorEastAsia"/>
          <w:sz w:val="21"/>
          <w:szCs w:val="21"/>
          <w:highlight w:val="none"/>
          <w:u w:val="single"/>
        </w:rPr>
        <w:t>有限公司</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装配式</w:t>
      </w:r>
      <w:r>
        <w:rPr>
          <w:rFonts w:hint="eastAsia" w:ascii="仿宋_GB2312" w:eastAsia="仿宋_GB2312" w:cs="宋体" w:hAnsiTheme="minorEastAsia"/>
          <w:sz w:val="21"/>
          <w:szCs w:val="21"/>
          <w:highlight w:val="none"/>
          <w:u w:val="single"/>
        </w:rPr>
        <w:t>有限公司</w:t>
      </w:r>
      <w:r>
        <w:rPr>
          <w:rFonts w:hint="eastAsia" w:ascii="仿宋_GB2312" w:eastAsia="仿宋_GB2312" w:cs="宋体" w:hAnsiTheme="minorEastAsia"/>
          <w:sz w:val="21"/>
          <w:szCs w:val="21"/>
          <w:highlight w:val="none"/>
          <w:u w:val="single"/>
          <w:lang w:val="en-US" w:eastAsia="zh-CN"/>
        </w:rPr>
        <w:t>资产运营部霸州项目沥青混凝土原材</w:t>
      </w:r>
      <w:r>
        <w:rPr>
          <w:rFonts w:hint="eastAsia" w:ascii="仿宋_GB2312" w:eastAsia="仿宋_GB2312" w:cs="宋体" w:hAnsiTheme="minorEastAsia"/>
          <w:sz w:val="21"/>
          <w:szCs w:val="21"/>
          <w:highlight w:val="none"/>
          <w:u w:val="single"/>
        </w:rPr>
        <w:t>物资采购招标</w:t>
      </w:r>
      <w:r>
        <w:rPr>
          <w:rFonts w:hint="eastAsia" w:ascii="仿宋_GB2312" w:eastAsia="仿宋_GB2312" w:cs="宋体" w:hAnsiTheme="minorEastAsia"/>
          <w:sz w:val="21"/>
          <w:szCs w:val="21"/>
          <w:highlight w:val="none"/>
        </w:rPr>
        <w:t>（招标文件编号：</w:t>
      </w:r>
      <w:r>
        <w:rPr>
          <w:rFonts w:hint="eastAsia" w:ascii="仿宋_GB2312" w:eastAsia="仿宋_GB2312" w:cs="宋体" w:hAnsiTheme="minorEastAsia"/>
          <w:sz w:val="21"/>
          <w:szCs w:val="21"/>
          <w:highlight w:val="none"/>
          <w:u w:val="single"/>
          <w:lang w:val="en-US" w:eastAsia="zh-CN"/>
        </w:rPr>
        <w:t>ZJLQ-FGZB-资产-霸州项目-2024001</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pPr>
        <w:spacing w:line="400" w:lineRule="exact"/>
        <w:ind w:firstLine="420" w:firstLineChars="200"/>
        <w:rPr>
          <w:rFonts w:ascii="仿宋_GB2312" w:hAnsi="仿宋_GB2312" w:eastAsia="仿宋_GB2312" w:cs="仿宋_GB2312"/>
          <w:color w:val="000000" w:themeColor="text1"/>
          <w:sz w:val="21"/>
          <w:szCs w:val="21"/>
          <w:highlight w:val="none"/>
        </w:rPr>
      </w:pPr>
      <w:r>
        <w:rPr>
          <w:rFonts w:hint="eastAsia" w:ascii="仿宋_GB2312" w:hAnsi="仿宋_GB2312" w:eastAsia="仿宋_GB2312" w:cs="仿宋_GB2312"/>
          <w:color w:val="000000" w:themeColor="text1"/>
          <w:sz w:val="21"/>
          <w:szCs w:val="21"/>
          <w:highlight w:val="none"/>
        </w:rPr>
        <w:t>代理人无转委托权。</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rPr>
        <w:t>特此授权。</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pPr>
        <w:spacing w:line="360" w:lineRule="auto"/>
        <w:jc w:val="center"/>
        <w:rPr>
          <w:rFonts w:ascii="仿宋_GB2312" w:eastAsia="仿宋_GB2312" w:cs="宋体" w:hAnsiTheme="minorEastAsia"/>
          <w:w w:val="90"/>
          <w:szCs w:val="22"/>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both"/>
        <w:rPr>
          <w:rFonts w:ascii="仿宋_GB2312" w:eastAsia="仿宋_GB2312" w:cs="宋体" w:hAnsiTheme="minorEastAsia"/>
          <w:highlight w:val="none"/>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pPr>
        <w:rPr>
          <w:rFonts w:ascii="仿宋_GB2312" w:eastAsia="仿宋_GB2312" w:cs="Times New Roman" w:hAnsiTheme="minorEastAsia"/>
          <w:vanish/>
          <w:sz w:val="21"/>
          <w:szCs w:val="22"/>
          <w:highlight w:val="none"/>
        </w:rPr>
      </w:pPr>
    </w:p>
    <w:tbl>
      <w:tblPr>
        <w:tblStyle w:val="34"/>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pPr>
              <w:pStyle w:val="308"/>
              <w:keepNext w:val="0"/>
              <w:keepLines w:val="0"/>
              <w:spacing w:beforeLines="100" w:line="360" w:lineRule="auto"/>
              <w:jc w:val="both"/>
              <w:rPr>
                <w:rFonts w:hAnsiTheme="minorEastAsia"/>
                <w:b w:val="0"/>
                <w:highlight w:val="none"/>
              </w:rPr>
            </w:pPr>
          </w:p>
          <w:p>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pPr>
        <w:spacing w:line="360" w:lineRule="auto"/>
        <w:jc w:val="center"/>
        <w:rPr>
          <w:rFonts w:ascii="仿宋_GB2312" w:eastAsia="仿宋_GB2312" w:cs="宋体" w:hAnsiTheme="minorEastAsia"/>
          <w:b/>
          <w:sz w:val="32"/>
          <w:szCs w:val="32"/>
          <w:highlight w:val="none"/>
        </w:rPr>
      </w:pPr>
    </w:p>
    <w:p>
      <w:pPr>
        <w:spacing w:line="360" w:lineRule="auto"/>
        <w:jc w:val="left"/>
        <w:rPr>
          <w:rFonts w:ascii="仿宋_GB2312" w:eastAsia="仿宋_GB2312" w:cs="宋体" w:hAnsiTheme="minorEastAsia"/>
          <w:b/>
          <w:sz w:val="32"/>
          <w:szCs w:val="32"/>
          <w:highlight w:val="none"/>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4"/>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bl>
    <w:p>
      <w:pPr>
        <w:outlineLvl w:val="1"/>
        <w:rPr>
          <w:rFonts w:hint="eastAsia" w:ascii="仿宋_GB2312" w:hAnsi="华文仿宋" w:eastAsia="仿宋_GB2312" w:cs="Times New Roman"/>
          <w:highlight w:val="none"/>
        </w:rPr>
      </w:pPr>
    </w:p>
    <w:p>
      <w:pPr>
        <w:jc w:val="both"/>
        <w:rPr>
          <w:rFonts w:hint="eastAsia" w:ascii="仿宋_GB2312" w:hAnsi="华文仿宋" w:eastAsia="仿宋_GB2312"/>
          <w:sz w:val="21"/>
          <w:szCs w:val="21"/>
          <w:highlight w:val="none"/>
        </w:rPr>
      </w:pPr>
    </w:p>
    <w:p>
      <w:pPr>
        <w:jc w:val="center"/>
        <w:rPr>
          <w:rFonts w:hint="eastAsia" w:ascii="仿宋_GB2312" w:hAnsi="华文仿宋" w:eastAsia="仿宋_GB2312"/>
          <w:sz w:val="21"/>
          <w:szCs w:val="21"/>
          <w:highlight w:val="none"/>
        </w:rPr>
      </w:pPr>
    </w:p>
    <w:p>
      <w:pPr>
        <w:jc w:val="center"/>
        <w:rPr>
          <w:rFonts w:hint="eastAsia" w:ascii="仿宋_GB2312" w:hAnsi="华文仿宋" w:eastAsia="仿宋_GB2312"/>
          <w:sz w:val="21"/>
          <w:szCs w:val="21"/>
          <w:highlight w:val="none"/>
        </w:rPr>
      </w:pPr>
    </w:p>
    <w:p>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4"/>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bl>
    <w:p>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pPr>
        <w:spacing w:line="400" w:lineRule="exact"/>
        <w:ind w:firstLine="200"/>
        <w:jc w:val="left"/>
        <w:rPr>
          <w:rFonts w:ascii="仿宋_GB2312" w:eastAsia="仿宋_GB2312" w:cs="宋体" w:hAnsiTheme="minorEastAsia"/>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pPr>
        <w:spacing w:line="360" w:lineRule="auto"/>
        <w:jc w:val="left"/>
        <w:rPr>
          <w:rFonts w:hint="eastAsia" w:eastAsia="仿宋_GB2312"/>
          <w:bCs/>
          <w:color w:val="000000"/>
          <w:sz w:val="28"/>
          <w:szCs w:val="28"/>
          <w:highlight w:val="none"/>
          <w:u w:val="single"/>
        </w:rPr>
      </w:pPr>
      <w:bookmarkStart w:id="76" w:name="_Hlk126831517"/>
      <w:r>
        <w:rPr>
          <w:rFonts w:hint="eastAsia" w:eastAsia="仿宋_GB2312"/>
          <w:bCs/>
          <w:color w:val="000000"/>
          <w:sz w:val="28"/>
          <w:szCs w:val="28"/>
          <w:highlight w:val="none"/>
        </w:rPr>
        <w:t>合同编号：</w:t>
      </w:r>
      <w:r>
        <w:rPr>
          <w:rFonts w:hint="eastAsia" w:eastAsia="仿宋_GB2312"/>
          <w:bCs/>
          <w:color w:val="000000"/>
          <w:sz w:val="28"/>
          <w:szCs w:val="28"/>
          <w:highlight w:val="none"/>
          <w:u w:val="single"/>
        </w:rPr>
        <w:t xml:space="preserve"> </w:t>
      </w:r>
      <w:r>
        <w:rPr>
          <w:rFonts w:hint="eastAsia" w:ascii="方正仿宋_GB2312" w:hAnsi="方正仿宋_GB2312" w:eastAsia="方正仿宋_GB2312" w:cs="方正仿宋_GB2312"/>
          <w:b/>
          <w:color w:val="000000"/>
          <w:kern w:val="2"/>
          <w:sz w:val="28"/>
          <w:szCs w:val="28"/>
          <w:highlight w:val="none"/>
          <w:u w:val="single"/>
          <w:lang w:val="en-US" w:eastAsia="zh-CN"/>
        </w:rPr>
        <w:t>ZJLQ-FGZB-资产-霸州项目-2024001</w:t>
      </w:r>
    </w:p>
    <w:p>
      <w:pPr>
        <w:wordWrap w:val="0"/>
        <w:spacing w:line="640" w:lineRule="exact"/>
        <w:jc w:val="both"/>
        <w:rPr>
          <w:rFonts w:ascii="仿宋_GB2312" w:hAnsi="仿宋" w:eastAsia="仿宋_GB2312" w:cs="仿宋"/>
          <w:color w:val="000000" w:themeColor="text1"/>
          <w:sz w:val="24"/>
          <w:szCs w:val="24"/>
          <w:highlight w:val="none"/>
        </w:rPr>
      </w:pPr>
      <w:r>
        <w:rPr>
          <w:rFonts w:hint="eastAsia" w:eastAsia="仿宋_GB2312"/>
          <w:bCs/>
          <w:color w:val="000000"/>
          <w:sz w:val="28"/>
          <w:szCs w:val="28"/>
          <w:highlight w:val="none"/>
        </w:rPr>
        <w:t>框架协议：</w:t>
      </w:r>
      <w:r>
        <w:rPr>
          <w:rFonts w:hint="eastAsia" w:eastAsia="仿宋_GB2312"/>
          <w:bCs/>
          <w:color w:val="000000"/>
          <w:sz w:val="28"/>
          <w:szCs w:val="28"/>
          <w:highlight w:val="none"/>
          <w:u w:val="single"/>
        </w:rPr>
        <w:t xml:space="preserve">                    </w:t>
      </w:r>
    </w:p>
    <w:p>
      <w:pPr>
        <w:spacing w:line="360" w:lineRule="auto"/>
        <w:jc w:val="left"/>
        <w:rPr>
          <w:rFonts w:hint="eastAsia"/>
          <w:highlight w:val="none"/>
        </w:rPr>
      </w:pPr>
      <w:r>
        <w:rPr>
          <w:highlight w:val="none"/>
        </w:rPr>
        <w:pict>
          <v:shape id="_x0000_s1026" o:spid="_x0000_s1026" o:spt="136" type="#_x0000_t136" style="position:absolute;left:0pt;margin-left:100pt;margin-top:100pt;height:100pt;width:200pt;z-index:251662336;mso-width-relative:page;mso-height-relative:page;" coordsize="21600,21600">
            <v:path/>
            <v:fill opacity="32768f" focussize="0,0"/>
            <v:stroke/>
            <v:imagedata o:title=""/>
            <o:lock v:ext="edit"/>
            <v:textpath on="t" fitshape="t" fitpath="t" trim="t" xscale="f" string="" style="font-size:36pt;v-text-align:center;"/>
          </v:shape>
        </w:pict>
      </w:r>
    </w:p>
    <w:p>
      <w:pPr>
        <w:pStyle w:val="13"/>
        <w:rPr>
          <w:rFonts w:hint="eastAsia"/>
          <w:highlight w:val="none"/>
        </w:rPr>
      </w:pPr>
    </w:p>
    <w:p>
      <w:pPr>
        <w:spacing w:line="360" w:lineRule="auto"/>
        <w:jc w:val="center"/>
        <w:rPr>
          <w:rFonts w:hint="eastAsia" w:ascii="华文中宋" w:hAnsi="华文中宋" w:eastAsia="华文中宋" w:cs="华文中宋"/>
          <w:b/>
          <w:sz w:val="52"/>
          <w:szCs w:val="52"/>
          <w:highlight w:val="none"/>
        </w:rPr>
      </w:pPr>
      <w:r>
        <w:rPr>
          <w:rFonts w:hint="eastAsia" w:ascii="华文中宋" w:hAnsi="华文中宋" w:eastAsia="华文中宋" w:cs="华文中宋"/>
          <w:b/>
          <w:sz w:val="52"/>
          <w:szCs w:val="52"/>
          <w:highlight w:val="none"/>
        </w:rPr>
        <w:t>【</w:t>
      </w:r>
      <w:r>
        <w:rPr>
          <w:rFonts w:hint="eastAsia" w:ascii="华文中宋" w:hAnsi="华文中宋" w:eastAsia="华文中宋" w:cs="华文中宋"/>
          <w:b/>
          <w:sz w:val="52"/>
          <w:szCs w:val="52"/>
          <w:highlight w:val="none"/>
          <w:lang w:val="en-US" w:eastAsia="zh-CN"/>
        </w:rPr>
        <w:t>沥青混凝土原材</w:t>
      </w:r>
      <w:r>
        <w:rPr>
          <w:rFonts w:hint="eastAsia" w:ascii="华文中宋" w:hAnsi="华文中宋" w:eastAsia="华文中宋" w:cs="华文中宋"/>
          <w:b/>
          <w:sz w:val="52"/>
          <w:szCs w:val="52"/>
          <w:highlight w:val="none"/>
        </w:rPr>
        <w:t>】采购与供应合同</w:t>
      </w:r>
    </w:p>
    <w:p>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1312" behindDoc="1" locked="0" layoutInCell="1" allowOverlap="1">
            <wp:simplePos x="0" y="0"/>
            <wp:positionH relativeFrom="column">
              <wp:posOffset>1829435</wp:posOffset>
            </wp:positionH>
            <wp:positionV relativeFrom="paragraph">
              <wp:posOffset>245745</wp:posOffset>
            </wp:positionV>
            <wp:extent cx="1685925" cy="2352675"/>
            <wp:effectExtent l="0" t="0" r="571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8">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pPr>
        <w:spacing w:line="360" w:lineRule="auto"/>
        <w:jc w:val="center"/>
        <w:rPr>
          <w:rFonts w:hint="eastAsia" w:ascii="宋体" w:hAnsi="宋体" w:cs="宋体"/>
          <w:b/>
          <w:sz w:val="28"/>
          <w:szCs w:val="28"/>
          <w:highlight w:val="none"/>
        </w:rPr>
      </w:pPr>
    </w:p>
    <w:p>
      <w:pPr>
        <w:spacing w:line="360" w:lineRule="auto"/>
        <w:jc w:val="center"/>
        <w:rPr>
          <w:rFonts w:hint="eastAsia" w:ascii="宋体" w:hAnsi="宋体" w:cs="宋体"/>
          <w:b/>
          <w:sz w:val="28"/>
          <w:szCs w:val="28"/>
          <w:highlight w:val="none"/>
        </w:rPr>
      </w:pPr>
    </w:p>
    <w:p>
      <w:pPr>
        <w:spacing w:line="360" w:lineRule="auto"/>
        <w:jc w:val="center"/>
        <w:rPr>
          <w:rFonts w:hint="eastAsia" w:ascii="宋体" w:hAnsi="宋体" w:cs="宋体"/>
          <w:b/>
          <w:sz w:val="28"/>
          <w:szCs w:val="28"/>
          <w:highlight w:val="none"/>
        </w:rPr>
      </w:pPr>
    </w:p>
    <w:p>
      <w:pPr>
        <w:spacing w:line="360" w:lineRule="auto"/>
        <w:jc w:val="center"/>
        <w:rPr>
          <w:rFonts w:hint="eastAsia" w:ascii="宋体" w:hAnsi="宋体" w:cs="宋体"/>
          <w:b/>
          <w:sz w:val="28"/>
          <w:szCs w:val="28"/>
          <w:highlight w:val="none"/>
        </w:rPr>
      </w:pPr>
    </w:p>
    <w:p>
      <w:pPr>
        <w:spacing w:line="360" w:lineRule="auto"/>
        <w:rPr>
          <w:rFonts w:hint="eastAsia" w:ascii="宋体" w:hAnsi="宋体" w:cs="宋体"/>
          <w:b/>
          <w:sz w:val="28"/>
          <w:szCs w:val="28"/>
          <w:highlight w:val="none"/>
        </w:rPr>
      </w:pPr>
    </w:p>
    <w:p>
      <w:pPr>
        <w:pStyle w:val="17"/>
        <w:spacing w:after="120"/>
        <w:ind w:firstLine="560"/>
        <w:rPr>
          <w:rFonts w:hint="eastAsia" w:ascii="宋体" w:hAnsi="宋体" w:cs="宋体"/>
          <w:b/>
          <w:sz w:val="28"/>
          <w:szCs w:val="28"/>
          <w:highlight w:val="none"/>
        </w:rPr>
      </w:pPr>
    </w:p>
    <w:p>
      <w:pPr>
        <w:pStyle w:val="17"/>
        <w:spacing w:after="120"/>
        <w:ind w:firstLine="560"/>
        <w:rPr>
          <w:rFonts w:hint="eastAsia" w:ascii="宋体" w:hAnsi="宋体" w:cs="宋体"/>
          <w:b/>
          <w:sz w:val="28"/>
          <w:szCs w:val="28"/>
          <w:highlight w:val="none"/>
        </w:rPr>
      </w:pPr>
    </w:p>
    <w:p>
      <w:pPr>
        <w:spacing w:line="360" w:lineRule="auto"/>
        <w:rPr>
          <w:rFonts w:hint="eastAsia" w:ascii="仿宋_GB2312" w:hAnsi="仿宋_GB2312" w:eastAsia="仿宋_GB2312" w:cs="仿宋_GB2312"/>
          <w:b/>
          <w:bCs/>
          <w:sz w:val="28"/>
          <w:szCs w:val="28"/>
          <w:highlight w:val="none"/>
        </w:rPr>
      </w:pPr>
    </w:p>
    <w:p>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                                  】</w:t>
      </w:r>
    </w:p>
    <w:p>
      <w:pPr>
        <w:spacing w:line="360" w:lineRule="auto"/>
        <w:ind w:firstLine="562" w:firstLineChars="200"/>
        <w:jc w:val="both"/>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bCs/>
          <w:sz w:val="28"/>
          <w:szCs w:val="28"/>
          <w:highlight w:val="none"/>
        </w:rPr>
        <w:t>中建路桥集团</w:t>
      </w:r>
      <w:r>
        <w:rPr>
          <w:rFonts w:hint="eastAsia" w:ascii="仿宋_GB2312" w:hAnsi="仿宋_GB2312" w:eastAsia="仿宋_GB2312" w:cs="仿宋_GB2312"/>
          <w:b/>
          <w:bCs/>
          <w:sz w:val="28"/>
          <w:szCs w:val="28"/>
          <w:highlight w:val="none"/>
          <w:lang w:val="en-US" w:eastAsia="zh-CN"/>
        </w:rPr>
        <w:t>装配式建筑</w:t>
      </w:r>
      <w:r>
        <w:rPr>
          <w:rFonts w:hint="eastAsia" w:ascii="仿宋_GB2312" w:hAnsi="仿宋_GB2312" w:eastAsia="仿宋_GB2312" w:cs="仿宋_GB2312"/>
          <w:b/>
          <w:bCs/>
          <w:sz w:val="28"/>
          <w:szCs w:val="28"/>
          <w:highlight w:val="none"/>
        </w:rPr>
        <w:t xml:space="preserve">有限公司 </w:t>
      </w:r>
      <w:r>
        <w:rPr>
          <w:rFonts w:hint="eastAsia" w:ascii="仿宋_GB2312" w:hAnsi="仿宋_GB2312" w:eastAsia="仿宋_GB2312" w:cs="仿宋_GB2312"/>
          <w:b/>
          <w:color w:val="000000"/>
          <w:sz w:val="28"/>
          <w:szCs w:val="28"/>
          <w:highlight w:val="none"/>
          <w:u w:val="none"/>
        </w:rPr>
        <w:t xml:space="preserve"> </w:t>
      </w:r>
      <w:r>
        <w:rPr>
          <w:rFonts w:hint="eastAsia" w:ascii="仿宋_GB2312" w:hAnsi="仿宋_GB2312" w:eastAsia="仿宋_GB2312" w:cs="仿宋_GB2312"/>
          <w:b/>
          <w:color w:val="000000"/>
          <w:sz w:val="28"/>
          <w:szCs w:val="28"/>
          <w:highlight w:val="none"/>
        </w:rPr>
        <w:t>】</w:t>
      </w:r>
    </w:p>
    <w:p>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w:t>
      </w:r>
    </w:p>
    <w:p>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石家庄市</w:t>
      </w:r>
      <w:r>
        <w:rPr>
          <w:rFonts w:hint="eastAsia" w:ascii="仿宋_GB2312" w:hAnsi="仿宋_GB2312" w:eastAsia="仿宋_GB2312" w:cs="仿宋_GB2312"/>
          <w:b/>
          <w:bCs/>
          <w:sz w:val="28"/>
          <w:szCs w:val="28"/>
          <w:highlight w:val="none"/>
          <w:lang w:val="en-US" w:eastAsia="zh-CN"/>
        </w:rPr>
        <w:t>桥西区</w:t>
      </w:r>
      <w:r>
        <w:rPr>
          <w:rFonts w:hint="eastAsia" w:ascii="仿宋_GB2312" w:hAnsi="仿宋_GB2312" w:eastAsia="仿宋_GB2312" w:cs="仿宋_GB2312"/>
          <w:b/>
          <w:color w:val="000000"/>
          <w:sz w:val="28"/>
          <w:szCs w:val="28"/>
          <w:highlight w:val="none"/>
        </w:rPr>
        <w:t xml:space="preserve">       】</w:t>
      </w:r>
    </w:p>
    <w:bookmarkEnd w:id="76"/>
    <w:p>
      <w:pPr>
        <w:spacing w:line="480" w:lineRule="auto"/>
        <w:ind w:firstLine="1280" w:firstLineChars="400"/>
        <w:jc w:val="left"/>
        <w:textAlignment w:val="baseline"/>
        <w:rPr>
          <w:rFonts w:ascii="仿宋_GB2312" w:hAnsi="仿宋" w:eastAsia="仿宋_GB2312" w:cs="仿宋"/>
          <w:bCs/>
          <w:color w:val="000000" w:themeColor="text1"/>
          <w:sz w:val="32"/>
          <w:szCs w:val="24"/>
          <w:highlight w:val="none"/>
          <w:u w:val="single"/>
        </w:rPr>
      </w:pPr>
    </w:p>
    <w:p>
      <w:pPr>
        <w:spacing w:line="480" w:lineRule="auto"/>
        <w:ind w:firstLine="1280" w:firstLineChars="400"/>
        <w:jc w:val="left"/>
        <w:textAlignment w:val="baseline"/>
        <w:rPr>
          <w:rFonts w:ascii="仿宋_GB2312" w:hAnsi="仿宋" w:eastAsia="仿宋_GB2312" w:cs="仿宋"/>
          <w:bCs/>
          <w:color w:val="000000" w:themeColor="text1"/>
          <w:sz w:val="32"/>
          <w:szCs w:val="24"/>
          <w:highlight w:val="none"/>
          <w:u w:val="single"/>
        </w:rPr>
        <w:sectPr>
          <w:headerReference r:id="rId4" w:type="first"/>
          <w:footerReference r:id="rId6" w:type="first"/>
          <w:headerReference r:id="rId3" w:type="default"/>
          <w:footerReference r:id="rId5" w:type="default"/>
          <w:pgSz w:w="11906" w:h="16838"/>
          <w:pgMar w:top="1440" w:right="1800" w:bottom="1440" w:left="1800" w:header="850" w:footer="975" w:gutter="0"/>
          <w:pgNumType w:start="1"/>
          <w:cols w:space="0" w:num="1"/>
          <w:titlePg/>
          <w:docGrid w:linePitch="312" w:charSpace="0"/>
        </w:sectPr>
      </w:pPr>
    </w:p>
    <w:sdt>
      <w:sdtPr>
        <w:rPr>
          <w:rFonts w:asciiTheme="minorHAnsi" w:hAnsiTheme="minorHAnsi" w:eastAsiaTheme="minorEastAsia" w:cstheme="minorBidi"/>
          <w:szCs w:val="22"/>
          <w:highlight w:val="none"/>
        </w:rPr>
        <w:id w:val="147479450"/>
        <w15:color w:val="DBDBDB"/>
        <w:docPartObj>
          <w:docPartGallery w:val="Table of Contents"/>
          <w:docPartUnique/>
        </w:docPartObj>
      </w:sdtPr>
      <w:sdtEndPr>
        <w:rPr>
          <w:rFonts w:ascii="仿宋" w:hAnsi="仿宋" w:eastAsia="仿宋" w:cs="仿宋"/>
          <w:color w:val="000000" w:themeColor="text1"/>
          <w:szCs w:val="22"/>
          <w:highlight w:val="none"/>
        </w:rPr>
      </w:sdtEndPr>
      <w:sdtContent>
        <w:p>
          <w:pPr>
            <w:pStyle w:val="17"/>
            <w:rPr>
              <w:highlight w:val="none"/>
            </w:rPr>
          </w:pPr>
        </w:p>
        <w:p>
          <w:pPr>
            <w:jc w:val="center"/>
            <w:rPr>
              <w:rFonts w:ascii="黑体" w:hAnsi="黑体" w:eastAsia="黑体" w:cs="黑体"/>
              <w:b/>
              <w:bCs/>
              <w:color w:val="000000" w:themeColor="text1"/>
              <w:sz w:val="36"/>
              <w:szCs w:val="36"/>
              <w:highlight w:val="none"/>
            </w:rPr>
          </w:pPr>
          <w:r>
            <w:rPr>
              <w:rFonts w:hint="eastAsia" w:ascii="黑体" w:hAnsi="黑体" w:eastAsia="黑体" w:cs="黑体"/>
              <w:b/>
              <w:bCs/>
              <w:color w:val="000000" w:themeColor="text1"/>
              <w:sz w:val="36"/>
              <w:szCs w:val="36"/>
              <w:highlight w:val="none"/>
            </w:rPr>
            <w:t>目</w:t>
          </w:r>
          <w:r>
            <w:rPr>
              <w:rFonts w:ascii="黑体" w:hAnsi="黑体" w:eastAsia="黑体" w:cs="黑体"/>
              <w:b/>
              <w:bCs/>
              <w:color w:val="000000" w:themeColor="text1"/>
              <w:sz w:val="36"/>
              <w:szCs w:val="36"/>
              <w:highlight w:val="none"/>
            </w:rPr>
            <w:t xml:space="preserve">  </w:t>
          </w:r>
          <w:r>
            <w:rPr>
              <w:rFonts w:hint="eastAsia" w:ascii="黑体" w:hAnsi="黑体" w:eastAsia="黑体" w:cs="黑体"/>
              <w:b/>
              <w:bCs/>
              <w:color w:val="000000" w:themeColor="text1"/>
              <w:sz w:val="36"/>
              <w:szCs w:val="36"/>
              <w:highlight w:val="none"/>
            </w:rPr>
            <w:t>录</w:t>
          </w:r>
        </w:p>
        <w:p>
          <w:pPr>
            <w:pStyle w:val="17"/>
            <w:rPr>
              <w:highlight w:val="none"/>
            </w:rPr>
          </w:pPr>
        </w:p>
        <w:p>
          <w:pPr>
            <w:pStyle w:val="24"/>
            <w:tabs>
              <w:tab w:val="right" w:leader="dot" w:pos="8306"/>
            </w:tabs>
            <w:spacing w:line="312" w:lineRule="auto"/>
            <w:rPr>
              <w:highlight w:val="none"/>
            </w:rPr>
          </w:pPr>
          <w:r>
            <w:rPr>
              <w:rFonts w:hint="eastAsia" w:ascii="仿宋" w:hAnsi="仿宋" w:eastAsia="仿宋" w:cs="仿宋"/>
              <w:color w:val="000000" w:themeColor="text1"/>
              <w:highlight w:val="none"/>
            </w:rPr>
            <w:fldChar w:fldCharType="begin"/>
          </w:r>
          <w:r>
            <w:rPr>
              <w:rFonts w:hint="eastAsia" w:ascii="仿宋" w:hAnsi="仿宋" w:eastAsia="仿宋" w:cs="仿宋"/>
              <w:color w:val="000000" w:themeColor="text1"/>
              <w:highlight w:val="none"/>
            </w:rPr>
            <w:instrText xml:space="preserve">TOC \o "1-1" \h \u </w:instrText>
          </w:r>
          <w:r>
            <w:rPr>
              <w:rFonts w:hint="eastAsia" w:ascii="仿宋" w:hAnsi="仿宋" w:eastAsia="仿宋" w:cs="仿宋"/>
              <w:color w:val="000000" w:themeColor="text1"/>
              <w:highlight w:val="none"/>
            </w:rPr>
            <w:fldChar w:fldCharType="separate"/>
          </w:r>
          <w:r>
            <w:rPr>
              <w:highlight w:val="none"/>
            </w:rPr>
            <w:fldChar w:fldCharType="begin"/>
          </w:r>
          <w:r>
            <w:rPr>
              <w:highlight w:val="none"/>
            </w:rPr>
            <w:instrText xml:space="preserve"> HYPERLINK \l "_Toc5953" </w:instrText>
          </w:r>
          <w:r>
            <w:rPr>
              <w:highlight w:val="none"/>
            </w:rPr>
            <w:fldChar w:fldCharType="separate"/>
          </w:r>
          <w:r>
            <w:rPr>
              <w:rFonts w:hint="eastAsia" w:ascii="黑体" w:hAnsi="黑体" w:eastAsia="黑体" w:cs="黑体"/>
              <w:bCs/>
              <w:sz w:val="30"/>
              <w:szCs w:val="30"/>
              <w:highlight w:val="none"/>
            </w:rPr>
            <w:t>第一部分 专用条款</w:t>
          </w:r>
          <w:r>
            <w:rPr>
              <w:highlight w:val="none"/>
            </w:rPr>
            <w:tab/>
          </w:r>
          <w:r>
            <w:rPr>
              <w:highlight w:val="none"/>
            </w:rPr>
            <w:fldChar w:fldCharType="begin"/>
          </w:r>
          <w:r>
            <w:rPr>
              <w:highlight w:val="none"/>
            </w:rPr>
            <w:instrText xml:space="preserve"> PAGEREF _Toc5953 \h </w:instrText>
          </w:r>
          <w:r>
            <w:rPr>
              <w:highlight w:val="none"/>
            </w:rPr>
            <w:fldChar w:fldCharType="separate"/>
          </w:r>
          <w:r>
            <w:rPr>
              <w:highlight w:val="none"/>
            </w:rPr>
            <w:t>1</w:t>
          </w:r>
          <w:r>
            <w:rPr>
              <w:highlight w:val="none"/>
            </w:rPr>
            <w:fldChar w:fldCharType="end"/>
          </w:r>
          <w:r>
            <w:rPr>
              <w:highlight w:val="none"/>
            </w:rPr>
            <w:fldChar w:fldCharType="end"/>
          </w:r>
        </w:p>
        <w:p>
          <w:pPr>
            <w:pStyle w:val="24"/>
            <w:tabs>
              <w:tab w:val="right" w:leader="dot" w:pos="8306"/>
            </w:tabs>
            <w:spacing w:line="312" w:lineRule="auto"/>
            <w:rPr>
              <w:highlight w:val="none"/>
            </w:rPr>
          </w:pPr>
          <w:r>
            <w:rPr>
              <w:highlight w:val="none"/>
            </w:rPr>
            <w:fldChar w:fldCharType="begin"/>
          </w:r>
          <w:r>
            <w:rPr>
              <w:highlight w:val="none"/>
            </w:rPr>
            <w:instrText xml:space="preserve"> HYPERLINK \l "_Toc640" </w:instrText>
          </w:r>
          <w:r>
            <w:rPr>
              <w:highlight w:val="none"/>
            </w:rPr>
            <w:fldChar w:fldCharType="separate"/>
          </w:r>
          <w:r>
            <w:rPr>
              <w:rFonts w:hint="eastAsia" w:ascii="仿宋_GB2312" w:hAnsi="仿宋_GB2312" w:eastAsia="仿宋_GB2312" w:cs="仿宋_GB2312"/>
              <w:kern w:val="0"/>
              <w:sz w:val="28"/>
              <w:szCs w:val="28"/>
              <w:highlight w:val="none"/>
            </w:rPr>
            <w:t>一、工程概况</w:t>
          </w:r>
          <w:r>
            <w:rPr>
              <w:highlight w:val="none"/>
            </w:rPr>
            <w:tab/>
          </w:r>
          <w:r>
            <w:rPr>
              <w:highlight w:val="none"/>
            </w:rPr>
            <w:fldChar w:fldCharType="begin"/>
          </w:r>
          <w:r>
            <w:rPr>
              <w:highlight w:val="none"/>
            </w:rPr>
            <w:instrText xml:space="preserve"> PAGEREF _Toc640 \h </w:instrText>
          </w:r>
          <w:r>
            <w:rPr>
              <w:highlight w:val="none"/>
            </w:rPr>
            <w:fldChar w:fldCharType="separate"/>
          </w:r>
          <w:r>
            <w:rPr>
              <w:highlight w:val="none"/>
            </w:rPr>
            <w:t>1</w:t>
          </w:r>
          <w:r>
            <w:rPr>
              <w:highlight w:val="none"/>
            </w:rPr>
            <w:fldChar w:fldCharType="end"/>
          </w:r>
          <w:r>
            <w:rPr>
              <w:highlight w:val="none"/>
            </w:rPr>
            <w:fldChar w:fldCharType="end"/>
          </w:r>
        </w:p>
        <w:p>
          <w:pPr>
            <w:pStyle w:val="24"/>
            <w:tabs>
              <w:tab w:val="right" w:leader="dot" w:pos="8306"/>
            </w:tabs>
            <w:spacing w:line="312" w:lineRule="auto"/>
            <w:rPr>
              <w:highlight w:val="none"/>
            </w:rPr>
          </w:pPr>
          <w:r>
            <w:rPr>
              <w:highlight w:val="none"/>
            </w:rPr>
            <w:fldChar w:fldCharType="begin"/>
          </w:r>
          <w:r>
            <w:rPr>
              <w:highlight w:val="none"/>
            </w:rPr>
            <w:instrText xml:space="preserve"> HYPERLINK \l "_Toc6010" </w:instrText>
          </w:r>
          <w:r>
            <w:rPr>
              <w:highlight w:val="none"/>
            </w:rPr>
            <w:fldChar w:fldCharType="separate"/>
          </w:r>
          <w:r>
            <w:rPr>
              <w:rFonts w:hint="eastAsia" w:ascii="仿宋_GB2312" w:hAnsi="仿宋_GB2312" w:eastAsia="仿宋_GB2312" w:cs="仿宋_GB2312"/>
              <w:kern w:val="0"/>
              <w:sz w:val="28"/>
              <w:szCs w:val="28"/>
              <w:highlight w:val="none"/>
            </w:rPr>
            <w:t>二、货物清单</w:t>
          </w:r>
          <w:r>
            <w:rPr>
              <w:highlight w:val="none"/>
            </w:rPr>
            <w:tab/>
          </w:r>
          <w:r>
            <w:rPr>
              <w:rFonts w:hint="eastAsia"/>
              <w:highlight w:val="none"/>
              <w:lang w:val="en-US" w:eastAsia="zh-CN"/>
            </w:rPr>
            <w:t>1</w:t>
          </w:r>
          <w:r>
            <w:rPr>
              <w:highlight w:val="none"/>
            </w:rPr>
            <w:fldChar w:fldCharType="end"/>
          </w:r>
        </w:p>
        <w:p>
          <w:pPr>
            <w:pStyle w:val="24"/>
            <w:tabs>
              <w:tab w:val="right" w:leader="dot" w:pos="8306"/>
            </w:tabs>
            <w:spacing w:line="312" w:lineRule="auto"/>
            <w:rPr>
              <w:highlight w:val="none"/>
            </w:rPr>
          </w:pPr>
          <w:r>
            <w:rPr>
              <w:highlight w:val="none"/>
            </w:rPr>
            <w:fldChar w:fldCharType="begin"/>
          </w:r>
          <w:r>
            <w:rPr>
              <w:highlight w:val="none"/>
            </w:rPr>
            <w:instrText xml:space="preserve"> HYPERLINK \l "_Toc23444" </w:instrText>
          </w:r>
          <w:r>
            <w:rPr>
              <w:highlight w:val="none"/>
            </w:rPr>
            <w:fldChar w:fldCharType="separate"/>
          </w:r>
          <w:r>
            <w:rPr>
              <w:rFonts w:hint="eastAsia" w:ascii="仿宋_GB2312" w:hAnsi="仿宋_GB2312" w:eastAsia="仿宋_GB2312" w:cs="仿宋_GB2312"/>
              <w:kern w:val="0"/>
              <w:sz w:val="28"/>
              <w:szCs w:val="28"/>
              <w:highlight w:val="none"/>
            </w:rPr>
            <w:t>三、货物供应</w:t>
          </w:r>
          <w:r>
            <w:rPr>
              <w:highlight w:val="none"/>
            </w:rPr>
            <w:tab/>
          </w:r>
          <w:r>
            <w:rPr>
              <w:highlight w:val="none"/>
            </w:rPr>
            <w:fldChar w:fldCharType="begin"/>
          </w:r>
          <w:r>
            <w:rPr>
              <w:highlight w:val="none"/>
            </w:rPr>
            <w:instrText xml:space="preserve"> PAGEREF _Toc23444 \h </w:instrText>
          </w:r>
          <w:r>
            <w:rPr>
              <w:highlight w:val="none"/>
            </w:rPr>
            <w:fldChar w:fldCharType="separate"/>
          </w:r>
          <w:r>
            <w:rPr>
              <w:highlight w:val="none"/>
            </w:rPr>
            <w:t>4</w:t>
          </w:r>
          <w:r>
            <w:rPr>
              <w:highlight w:val="none"/>
            </w:rPr>
            <w:fldChar w:fldCharType="end"/>
          </w:r>
          <w:r>
            <w:rPr>
              <w:highlight w:val="none"/>
            </w:rPr>
            <w:fldChar w:fldCharType="end"/>
          </w:r>
        </w:p>
        <w:p>
          <w:pPr>
            <w:pStyle w:val="24"/>
            <w:tabs>
              <w:tab w:val="right" w:leader="dot" w:pos="8306"/>
            </w:tabs>
            <w:spacing w:line="312" w:lineRule="auto"/>
            <w:rPr>
              <w:highlight w:val="none"/>
            </w:rPr>
          </w:pPr>
          <w:r>
            <w:rPr>
              <w:highlight w:val="none"/>
            </w:rPr>
            <w:fldChar w:fldCharType="begin"/>
          </w:r>
          <w:r>
            <w:rPr>
              <w:highlight w:val="none"/>
            </w:rPr>
            <w:instrText xml:space="preserve"> HYPERLINK \l "_Toc12447" </w:instrText>
          </w:r>
          <w:r>
            <w:rPr>
              <w:highlight w:val="none"/>
            </w:rPr>
            <w:fldChar w:fldCharType="separate"/>
          </w:r>
          <w:r>
            <w:rPr>
              <w:rFonts w:hint="eastAsia" w:ascii="仿宋_GB2312" w:hAnsi="仿宋_GB2312" w:eastAsia="仿宋_GB2312" w:cs="仿宋_GB2312"/>
              <w:kern w:val="0"/>
              <w:sz w:val="28"/>
              <w:szCs w:val="28"/>
              <w:highlight w:val="none"/>
            </w:rPr>
            <w:t>四、货物质量</w:t>
          </w:r>
          <w:r>
            <w:rPr>
              <w:highlight w:val="none"/>
            </w:rPr>
            <w:tab/>
          </w:r>
          <w:r>
            <w:rPr>
              <w:highlight w:val="none"/>
            </w:rPr>
            <w:fldChar w:fldCharType="begin"/>
          </w:r>
          <w:r>
            <w:rPr>
              <w:highlight w:val="none"/>
            </w:rPr>
            <w:instrText xml:space="preserve"> PAGEREF _Toc12447 \h </w:instrText>
          </w:r>
          <w:r>
            <w:rPr>
              <w:highlight w:val="none"/>
            </w:rPr>
            <w:fldChar w:fldCharType="separate"/>
          </w:r>
          <w:r>
            <w:rPr>
              <w:highlight w:val="none"/>
            </w:rPr>
            <w:t>6</w:t>
          </w:r>
          <w:r>
            <w:rPr>
              <w:highlight w:val="none"/>
            </w:rPr>
            <w:fldChar w:fldCharType="end"/>
          </w:r>
          <w:r>
            <w:rPr>
              <w:highlight w:val="none"/>
            </w:rPr>
            <w:fldChar w:fldCharType="end"/>
          </w:r>
        </w:p>
        <w:p>
          <w:pPr>
            <w:pStyle w:val="24"/>
            <w:tabs>
              <w:tab w:val="right" w:leader="dot" w:pos="8306"/>
            </w:tabs>
            <w:spacing w:line="312" w:lineRule="auto"/>
            <w:rPr>
              <w:highlight w:val="none"/>
            </w:rPr>
          </w:pPr>
          <w:r>
            <w:rPr>
              <w:highlight w:val="none"/>
            </w:rPr>
            <w:fldChar w:fldCharType="begin"/>
          </w:r>
          <w:r>
            <w:rPr>
              <w:highlight w:val="none"/>
            </w:rPr>
            <w:instrText xml:space="preserve"> HYPERLINK \l "_Toc3621" </w:instrText>
          </w:r>
          <w:r>
            <w:rPr>
              <w:highlight w:val="none"/>
            </w:rPr>
            <w:fldChar w:fldCharType="separate"/>
          </w:r>
          <w:r>
            <w:rPr>
              <w:rFonts w:hint="eastAsia" w:ascii="仿宋_GB2312" w:hAnsi="仿宋_GB2312" w:eastAsia="仿宋_GB2312" w:cs="仿宋_GB2312"/>
              <w:kern w:val="0"/>
              <w:sz w:val="28"/>
              <w:szCs w:val="28"/>
              <w:highlight w:val="none"/>
            </w:rPr>
            <w:t>五、货物验收</w:t>
          </w:r>
          <w:r>
            <w:rPr>
              <w:highlight w:val="none"/>
            </w:rPr>
            <w:tab/>
          </w:r>
          <w:r>
            <w:rPr>
              <w:highlight w:val="none"/>
            </w:rPr>
            <w:fldChar w:fldCharType="begin"/>
          </w:r>
          <w:r>
            <w:rPr>
              <w:highlight w:val="none"/>
            </w:rPr>
            <w:instrText xml:space="preserve"> PAGEREF _Toc3621 \h </w:instrText>
          </w:r>
          <w:r>
            <w:rPr>
              <w:highlight w:val="none"/>
            </w:rPr>
            <w:fldChar w:fldCharType="separate"/>
          </w:r>
          <w:r>
            <w:rPr>
              <w:highlight w:val="none"/>
            </w:rPr>
            <w:t>7</w:t>
          </w:r>
          <w:r>
            <w:rPr>
              <w:highlight w:val="none"/>
            </w:rPr>
            <w:fldChar w:fldCharType="end"/>
          </w:r>
          <w:r>
            <w:rPr>
              <w:highlight w:val="none"/>
            </w:rPr>
            <w:fldChar w:fldCharType="end"/>
          </w:r>
        </w:p>
        <w:p>
          <w:pPr>
            <w:pStyle w:val="24"/>
            <w:tabs>
              <w:tab w:val="right" w:leader="dot" w:pos="8306"/>
            </w:tabs>
            <w:spacing w:line="312" w:lineRule="auto"/>
            <w:rPr>
              <w:highlight w:val="none"/>
            </w:rPr>
          </w:pPr>
          <w:r>
            <w:rPr>
              <w:highlight w:val="none"/>
            </w:rPr>
            <w:fldChar w:fldCharType="begin"/>
          </w:r>
          <w:r>
            <w:rPr>
              <w:highlight w:val="none"/>
            </w:rPr>
            <w:instrText xml:space="preserve"> HYPERLINK \l "_Toc23953" </w:instrText>
          </w:r>
          <w:r>
            <w:rPr>
              <w:highlight w:val="none"/>
            </w:rPr>
            <w:fldChar w:fldCharType="separate"/>
          </w:r>
          <w:r>
            <w:rPr>
              <w:rFonts w:hint="eastAsia" w:ascii="仿宋_GB2312" w:hAnsi="仿宋_GB2312" w:eastAsia="仿宋_GB2312" w:cs="仿宋_GB2312"/>
              <w:kern w:val="0"/>
              <w:sz w:val="28"/>
              <w:szCs w:val="28"/>
              <w:highlight w:val="none"/>
            </w:rPr>
            <w:t>六、货物结算</w:t>
          </w:r>
          <w:r>
            <w:rPr>
              <w:highlight w:val="none"/>
            </w:rPr>
            <w:tab/>
          </w:r>
          <w:r>
            <w:rPr>
              <w:highlight w:val="none"/>
            </w:rPr>
            <w:fldChar w:fldCharType="begin"/>
          </w:r>
          <w:r>
            <w:rPr>
              <w:highlight w:val="none"/>
            </w:rPr>
            <w:instrText xml:space="preserve"> PAGEREF _Toc23953 \h </w:instrText>
          </w:r>
          <w:r>
            <w:rPr>
              <w:highlight w:val="none"/>
            </w:rPr>
            <w:fldChar w:fldCharType="separate"/>
          </w:r>
          <w:r>
            <w:rPr>
              <w:highlight w:val="none"/>
            </w:rPr>
            <w:t>9</w:t>
          </w:r>
          <w:r>
            <w:rPr>
              <w:highlight w:val="none"/>
            </w:rPr>
            <w:fldChar w:fldCharType="end"/>
          </w:r>
          <w:r>
            <w:rPr>
              <w:highlight w:val="none"/>
            </w:rPr>
            <w:fldChar w:fldCharType="end"/>
          </w:r>
        </w:p>
        <w:p>
          <w:pPr>
            <w:pStyle w:val="24"/>
            <w:tabs>
              <w:tab w:val="right" w:leader="dot" w:pos="8306"/>
            </w:tabs>
            <w:spacing w:line="312" w:lineRule="auto"/>
            <w:rPr>
              <w:highlight w:val="none"/>
            </w:rPr>
          </w:pPr>
          <w:r>
            <w:rPr>
              <w:highlight w:val="none"/>
            </w:rPr>
            <w:fldChar w:fldCharType="begin"/>
          </w:r>
          <w:r>
            <w:rPr>
              <w:highlight w:val="none"/>
            </w:rPr>
            <w:instrText xml:space="preserve"> HYPERLINK \l "_Toc32138" </w:instrText>
          </w:r>
          <w:r>
            <w:rPr>
              <w:highlight w:val="none"/>
            </w:rPr>
            <w:fldChar w:fldCharType="separate"/>
          </w:r>
          <w:r>
            <w:rPr>
              <w:rFonts w:hint="eastAsia" w:ascii="仿宋_GB2312" w:hAnsi="仿宋_GB2312" w:eastAsia="仿宋_GB2312" w:cs="仿宋_GB2312"/>
              <w:kern w:val="0"/>
              <w:sz w:val="28"/>
              <w:szCs w:val="28"/>
              <w:highlight w:val="none"/>
            </w:rPr>
            <w:t>七、货物付款</w:t>
          </w:r>
          <w:r>
            <w:rPr>
              <w:highlight w:val="none"/>
            </w:rPr>
            <w:tab/>
          </w:r>
          <w:r>
            <w:rPr>
              <w:highlight w:val="none"/>
            </w:rPr>
            <w:fldChar w:fldCharType="begin"/>
          </w:r>
          <w:r>
            <w:rPr>
              <w:highlight w:val="none"/>
            </w:rPr>
            <w:instrText xml:space="preserve"> PAGEREF _Toc32138 \h </w:instrText>
          </w:r>
          <w:r>
            <w:rPr>
              <w:highlight w:val="none"/>
            </w:rPr>
            <w:fldChar w:fldCharType="separate"/>
          </w:r>
          <w:r>
            <w:rPr>
              <w:highlight w:val="none"/>
            </w:rPr>
            <w:t>11</w:t>
          </w:r>
          <w:r>
            <w:rPr>
              <w:highlight w:val="none"/>
            </w:rPr>
            <w:fldChar w:fldCharType="end"/>
          </w:r>
          <w:r>
            <w:rPr>
              <w:highlight w:val="none"/>
            </w:rPr>
            <w:fldChar w:fldCharType="end"/>
          </w:r>
        </w:p>
        <w:p>
          <w:pPr>
            <w:pStyle w:val="24"/>
            <w:tabs>
              <w:tab w:val="right" w:leader="dot" w:pos="8306"/>
            </w:tabs>
            <w:spacing w:line="312" w:lineRule="auto"/>
            <w:rPr>
              <w:highlight w:val="none"/>
            </w:rPr>
          </w:pPr>
          <w:r>
            <w:rPr>
              <w:highlight w:val="none"/>
            </w:rPr>
            <w:fldChar w:fldCharType="begin"/>
          </w:r>
          <w:r>
            <w:rPr>
              <w:highlight w:val="none"/>
            </w:rPr>
            <w:instrText xml:space="preserve"> HYPERLINK \l "_Toc24664" </w:instrText>
          </w:r>
          <w:r>
            <w:rPr>
              <w:highlight w:val="none"/>
            </w:rPr>
            <w:fldChar w:fldCharType="separate"/>
          </w:r>
          <w:r>
            <w:rPr>
              <w:rFonts w:hint="eastAsia" w:ascii="仿宋_GB2312" w:hAnsi="仿宋_GB2312" w:eastAsia="仿宋_GB2312" w:cs="仿宋_GB2312"/>
              <w:kern w:val="0"/>
              <w:sz w:val="28"/>
              <w:szCs w:val="28"/>
              <w:highlight w:val="none"/>
            </w:rPr>
            <w:t>八、通知与送达</w:t>
          </w:r>
          <w:r>
            <w:rPr>
              <w:highlight w:val="none"/>
            </w:rPr>
            <w:tab/>
          </w:r>
          <w:r>
            <w:rPr>
              <w:highlight w:val="none"/>
            </w:rPr>
            <w:fldChar w:fldCharType="begin"/>
          </w:r>
          <w:r>
            <w:rPr>
              <w:highlight w:val="none"/>
            </w:rPr>
            <w:instrText xml:space="preserve"> PAGEREF _Toc24664 \h </w:instrText>
          </w:r>
          <w:r>
            <w:rPr>
              <w:highlight w:val="none"/>
            </w:rPr>
            <w:fldChar w:fldCharType="separate"/>
          </w:r>
          <w:r>
            <w:rPr>
              <w:highlight w:val="none"/>
            </w:rPr>
            <w:t>13</w:t>
          </w:r>
          <w:r>
            <w:rPr>
              <w:highlight w:val="none"/>
            </w:rPr>
            <w:fldChar w:fldCharType="end"/>
          </w:r>
          <w:r>
            <w:rPr>
              <w:highlight w:val="none"/>
            </w:rPr>
            <w:fldChar w:fldCharType="end"/>
          </w:r>
        </w:p>
        <w:p>
          <w:pPr>
            <w:pStyle w:val="24"/>
            <w:tabs>
              <w:tab w:val="right" w:leader="dot" w:pos="8306"/>
            </w:tabs>
            <w:spacing w:line="312" w:lineRule="auto"/>
            <w:rPr>
              <w:highlight w:val="none"/>
            </w:rPr>
          </w:pPr>
          <w:r>
            <w:rPr>
              <w:highlight w:val="none"/>
            </w:rPr>
            <w:fldChar w:fldCharType="begin"/>
          </w:r>
          <w:r>
            <w:rPr>
              <w:highlight w:val="none"/>
            </w:rPr>
            <w:instrText xml:space="preserve"> HYPERLINK \l "_Toc26478" </w:instrText>
          </w:r>
          <w:r>
            <w:rPr>
              <w:highlight w:val="none"/>
            </w:rPr>
            <w:fldChar w:fldCharType="separate"/>
          </w:r>
          <w:r>
            <w:rPr>
              <w:rFonts w:hint="eastAsia" w:ascii="仿宋_GB2312" w:hAnsi="仿宋_GB2312" w:eastAsia="仿宋_GB2312" w:cs="仿宋_GB2312"/>
              <w:kern w:val="0"/>
              <w:sz w:val="28"/>
              <w:szCs w:val="28"/>
              <w:highlight w:val="none"/>
            </w:rPr>
            <w:t>九、合同生效</w:t>
          </w:r>
          <w:r>
            <w:rPr>
              <w:highlight w:val="none"/>
            </w:rPr>
            <w:tab/>
          </w:r>
          <w:r>
            <w:rPr>
              <w:highlight w:val="none"/>
            </w:rPr>
            <w:fldChar w:fldCharType="begin"/>
          </w:r>
          <w:r>
            <w:rPr>
              <w:highlight w:val="none"/>
            </w:rPr>
            <w:instrText xml:space="preserve"> PAGEREF _Toc26478 \h </w:instrText>
          </w:r>
          <w:r>
            <w:rPr>
              <w:highlight w:val="none"/>
            </w:rPr>
            <w:fldChar w:fldCharType="separate"/>
          </w:r>
          <w:r>
            <w:rPr>
              <w:highlight w:val="none"/>
            </w:rPr>
            <w:t>13</w:t>
          </w:r>
          <w:r>
            <w:rPr>
              <w:highlight w:val="none"/>
            </w:rPr>
            <w:fldChar w:fldCharType="end"/>
          </w:r>
          <w:r>
            <w:rPr>
              <w:highlight w:val="none"/>
            </w:rPr>
            <w:fldChar w:fldCharType="end"/>
          </w:r>
        </w:p>
        <w:p>
          <w:pPr>
            <w:pStyle w:val="24"/>
            <w:tabs>
              <w:tab w:val="right" w:leader="dot" w:pos="8306"/>
            </w:tabs>
            <w:spacing w:line="312" w:lineRule="auto"/>
            <w:rPr>
              <w:highlight w:val="none"/>
            </w:rPr>
          </w:pPr>
          <w:r>
            <w:rPr>
              <w:highlight w:val="none"/>
            </w:rPr>
            <w:fldChar w:fldCharType="begin"/>
          </w:r>
          <w:r>
            <w:rPr>
              <w:highlight w:val="none"/>
            </w:rPr>
            <w:instrText xml:space="preserve"> HYPERLINK \l "_Toc7321" </w:instrText>
          </w:r>
          <w:r>
            <w:rPr>
              <w:highlight w:val="none"/>
            </w:rPr>
            <w:fldChar w:fldCharType="separate"/>
          </w:r>
          <w:r>
            <w:rPr>
              <w:rFonts w:hint="eastAsia" w:ascii="仿宋_GB2312" w:hAnsi="仿宋_GB2312" w:eastAsia="仿宋_GB2312" w:cs="仿宋_GB2312"/>
              <w:kern w:val="0"/>
              <w:sz w:val="28"/>
              <w:szCs w:val="28"/>
              <w:highlight w:val="none"/>
            </w:rPr>
            <w:t>附件一 授权委托书</w:t>
          </w:r>
          <w:r>
            <w:rPr>
              <w:highlight w:val="none"/>
            </w:rPr>
            <w:tab/>
          </w:r>
          <w:r>
            <w:rPr>
              <w:highlight w:val="none"/>
            </w:rPr>
            <w:fldChar w:fldCharType="begin"/>
          </w:r>
          <w:r>
            <w:rPr>
              <w:highlight w:val="none"/>
            </w:rPr>
            <w:instrText xml:space="preserve"> PAGEREF _Toc7321 \h </w:instrText>
          </w:r>
          <w:r>
            <w:rPr>
              <w:highlight w:val="none"/>
            </w:rPr>
            <w:fldChar w:fldCharType="separate"/>
          </w:r>
          <w:r>
            <w:rPr>
              <w:highlight w:val="none"/>
            </w:rPr>
            <w:t>14</w:t>
          </w:r>
          <w:r>
            <w:rPr>
              <w:highlight w:val="none"/>
            </w:rPr>
            <w:fldChar w:fldCharType="end"/>
          </w:r>
          <w:r>
            <w:rPr>
              <w:highlight w:val="none"/>
            </w:rPr>
            <w:fldChar w:fldCharType="end"/>
          </w:r>
        </w:p>
        <w:p>
          <w:pPr>
            <w:pStyle w:val="24"/>
            <w:tabs>
              <w:tab w:val="right" w:leader="dot" w:pos="8306"/>
            </w:tabs>
            <w:spacing w:line="312" w:lineRule="auto"/>
            <w:rPr>
              <w:highlight w:val="none"/>
            </w:rPr>
          </w:pPr>
          <w:r>
            <w:rPr>
              <w:highlight w:val="none"/>
            </w:rPr>
            <w:fldChar w:fldCharType="begin"/>
          </w:r>
          <w:r>
            <w:rPr>
              <w:highlight w:val="none"/>
            </w:rPr>
            <w:instrText xml:space="preserve"> HYPERLINK \l "_Toc21254" </w:instrText>
          </w:r>
          <w:r>
            <w:rPr>
              <w:highlight w:val="none"/>
            </w:rPr>
            <w:fldChar w:fldCharType="separate"/>
          </w:r>
          <w:r>
            <w:rPr>
              <w:rFonts w:hint="eastAsia" w:ascii="仿宋_GB2312" w:hAnsi="仿宋_GB2312" w:eastAsia="仿宋_GB2312" w:cs="仿宋_GB2312"/>
              <w:kern w:val="0"/>
              <w:sz w:val="28"/>
              <w:szCs w:val="28"/>
              <w:highlight w:val="none"/>
            </w:rPr>
            <w:t>附件二 项目部合规权限告知书</w:t>
          </w:r>
          <w:r>
            <w:rPr>
              <w:highlight w:val="none"/>
            </w:rPr>
            <w:tab/>
          </w:r>
          <w:r>
            <w:rPr>
              <w:highlight w:val="none"/>
            </w:rPr>
            <w:fldChar w:fldCharType="begin"/>
          </w:r>
          <w:r>
            <w:rPr>
              <w:highlight w:val="none"/>
            </w:rPr>
            <w:instrText xml:space="preserve"> PAGEREF _Toc21254 \h </w:instrText>
          </w:r>
          <w:r>
            <w:rPr>
              <w:highlight w:val="none"/>
            </w:rPr>
            <w:fldChar w:fldCharType="separate"/>
          </w:r>
          <w:r>
            <w:rPr>
              <w:highlight w:val="none"/>
            </w:rPr>
            <w:t>16</w:t>
          </w:r>
          <w:r>
            <w:rPr>
              <w:highlight w:val="none"/>
            </w:rPr>
            <w:fldChar w:fldCharType="end"/>
          </w:r>
          <w:r>
            <w:rPr>
              <w:highlight w:val="none"/>
            </w:rPr>
            <w:fldChar w:fldCharType="end"/>
          </w:r>
        </w:p>
        <w:p>
          <w:pPr>
            <w:pStyle w:val="24"/>
            <w:tabs>
              <w:tab w:val="right" w:leader="dot" w:pos="8306"/>
            </w:tabs>
            <w:spacing w:line="312" w:lineRule="auto"/>
            <w:rPr>
              <w:highlight w:val="none"/>
            </w:rPr>
          </w:pPr>
          <w:r>
            <w:rPr>
              <w:highlight w:val="none"/>
            </w:rPr>
            <w:fldChar w:fldCharType="begin"/>
          </w:r>
          <w:r>
            <w:rPr>
              <w:highlight w:val="none"/>
            </w:rPr>
            <w:instrText xml:space="preserve"> HYPERLINK \l "_Toc20069" </w:instrText>
          </w:r>
          <w:r>
            <w:rPr>
              <w:highlight w:val="none"/>
            </w:rPr>
            <w:fldChar w:fldCharType="separate"/>
          </w:r>
          <w:r>
            <w:rPr>
              <w:rFonts w:hint="eastAsia" w:ascii="仿宋_GB2312" w:hAnsi="仿宋_GB2312" w:eastAsia="仿宋_GB2312" w:cs="仿宋_GB2312"/>
              <w:kern w:val="0"/>
              <w:sz w:val="28"/>
              <w:szCs w:val="28"/>
              <w:highlight w:val="none"/>
            </w:rPr>
            <w:t>附件三 安全管理协议书</w:t>
          </w:r>
          <w:r>
            <w:rPr>
              <w:highlight w:val="none"/>
            </w:rPr>
            <w:tab/>
          </w:r>
          <w:r>
            <w:rPr>
              <w:highlight w:val="none"/>
            </w:rPr>
            <w:fldChar w:fldCharType="begin"/>
          </w:r>
          <w:r>
            <w:rPr>
              <w:highlight w:val="none"/>
            </w:rPr>
            <w:instrText xml:space="preserve"> PAGEREF _Toc20069 \h </w:instrText>
          </w:r>
          <w:r>
            <w:rPr>
              <w:highlight w:val="none"/>
            </w:rPr>
            <w:fldChar w:fldCharType="separate"/>
          </w:r>
          <w:r>
            <w:rPr>
              <w:highlight w:val="none"/>
            </w:rPr>
            <w:t>19</w:t>
          </w:r>
          <w:r>
            <w:rPr>
              <w:highlight w:val="none"/>
            </w:rPr>
            <w:fldChar w:fldCharType="end"/>
          </w:r>
          <w:r>
            <w:rPr>
              <w:highlight w:val="none"/>
            </w:rPr>
            <w:fldChar w:fldCharType="end"/>
          </w:r>
        </w:p>
        <w:p>
          <w:pPr>
            <w:pStyle w:val="24"/>
            <w:tabs>
              <w:tab w:val="right" w:leader="dot" w:pos="8306"/>
            </w:tabs>
            <w:spacing w:line="312" w:lineRule="auto"/>
            <w:rPr>
              <w:highlight w:val="none"/>
            </w:rPr>
          </w:pPr>
          <w:r>
            <w:rPr>
              <w:highlight w:val="none"/>
            </w:rPr>
            <w:fldChar w:fldCharType="begin"/>
          </w:r>
          <w:r>
            <w:rPr>
              <w:highlight w:val="none"/>
            </w:rPr>
            <w:instrText xml:space="preserve"> HYPERLINK \l "_Toc24322" </w:instrText>
          </w:r>
          <w:r>
            <w:rPr>
              <w:highlight w:val="none"/>
            </w:rPr>
            <w:fldChar w:fldCharType="separate"/>
          </w:r>
          <w:r>
            <w:rPr>
              <w:rFonts w:hint="eastAsia" w:ascii="仿宋_GB2312" w:hAnsi="仿宋_GB2312" w:eastAsia="仿宋_GB2312" w:cs="仿宋_GB2312"/>
              <w:kern w:val="0"/>
              <w:sz w:val="28"/>
              <w:szCs w:val="28"/>
              <w:highlight w:val="none"/>
            </w:rPr>
            <w:t xml:space="preserve">附件四 </w:t>
          </w:r>
          <w:r>
            <w:rPr>
              <w:rFonts w:hint="eastAsia" w:ascii="仿宋_GB2312" w:hAnsi="仿宋_GB2312" w:eastAsia="仿宋_GB2312" w:cs="仿宋_GB2312"/>
              <w:sz w:val="28"/>
              <w:szCs w:val="28"/>
              <w:highlight w:val="none"/>
            </w:rPr>
            <w:t>廉洁从业共建协议</w:t>
          </w:r>
          <w:r>
            <w:rPr>
              <w:highlight w:val="none"/>
            </w:rPr>
            <w:tab/>
          </w:r>
          <w:r>
            <w:rPr>
              <w:highlight w:val="none"/>
            </w:rPr>
            <w:fldChar w:fldCharType="begin"/>
          </w:r>
          <w:r>
            <w:rPr>
              <w:highlight w:val="none"/>
            </w:rPr>
            <w:instrText xml:space="preserve"> PAGEREF _Toc24322 \h </w:instrText>
          </w:r>
          <w:r>
            <w:rPr>
              <w:highlight w:val="none"/>
            </w:rPr>
            <w:fldChar w:fldCharType="separate"/>
          </w:r>
          <w:r>
            <w:rPr>
              <w:highlight w:val="none"/>
            </w:rPr>
            <w:t>23</w:t>
          </w:r>
          <w:r>
            <w:rPr>
              <w:highlight w:val="none"/>
            </w:rPr>
            <w:fldChar w:fldCharType="end"/>
          </w:r>
          <w:r>
            <w:rPr>
              <w:highlight w:val="none"/>
            </w:rPr>
            <w:fldChar w:fldCharType="end"/>
          </w:r>
        </w:p>
        <w:p>
          <w:pPr>
            <w:pStyle w:val="24"/>
            <w:tabs>
              <w:tab w:val="right" w:leader="dot" w:pos="8306"/>
            </w:tabs>
            <w:spacing w:line="312" w:lineRule="auto"/>
            <w:rPr>
              <w:highlight w:val="none"/>
            </w:rPr>
          </w:pPr>
          <w:r>
            <w:rPr>
              <w:highlight w:val="none"/>
            </w:rPr>
            <w:fldChar w:fldCharType="begin"/>
          </w:r>
          <w:r>
            <w:rPr>
              <w:highlight w:val="none"/>
            </w:rPr>
            <w:instrText xml:space="preserve"> HYPERLINK \l "_Toc18674" </w:instrText>
          </w:r>
          <w:r>
            <w:rPr>
              <w:highlight w:val="none"/>
            </w:rPr>
            <w:fldChar w:fldCharType="separate"/>
          </w:r>
          <w:r>
            <w:rPr>
              <w:rFonts w:hint="eastAsia" w:ascii="黑体" w:hAnsi="黑体" w:eastAsia="黑体" w:cs="黑体"/>
              <w:bCs/>
              <w:sz w:val="30"/>
              <w:szCs w:val="30"/>
              <w:highlight w:val="none"/>
            </w:rPr>
            <w:t>第二部分 通用条款</w:t>
          </w:r>
          <w:r>
            <w:rPr>
              <w:highlight w:val="none"/>
            </w:rPr>
            <w:tab/>
          </w:r>
          <w:r>
            <w:rPr>
              <w:highlight w:val="none"/>
            </w:rPr>
            <w:fldChar w:fldCharType="begin"/>
          </w:r>
          <w:r>
            <w:rPr>
              <w:highlight w:val="none"/>
            </w:rPr>
            <w:instrText xml:space="preserve"> PAGEREF _Toc18674 \h </w:instrText>
          </w:r>
          <w:r>
            <w:rPr>
              <w:highlight w:val="none"/>
            </w:rPr>
            <w:fldChar w:fldCharType="separate"/>
          </w:r>
          <w:r>
            <w:rPr>
              <w:highlight w:val="none"/>
            </w:rPr>
            <w:t>26</w:t>
          </w:r>
          <w:r>
            <w:rPr>
              <w:highlight w:val="none"/>
            </w:rPr>
            <w:fldChar w:fldCharType="end"/>
          </w:r>
          <w:r>
            <w:rPr>
              <w:highlight w:val="none"/>
            </w:rPr>
            <w:fldChar w:fldCharType="end"/>
          </w:r>
        </w:p>
        <w:p>
          <w:pPr>
            <w:pStyle w:val="24"/>
            <w:tabs>
              <w:tab w:val="right" w:leader="dot" w:pos="8306"/>
            </w:tabs>
            <w:spacing w:line="312" w:lineRule="auto"/>
            <w:rPr>
              <w:highlight w:val="none"/>
            </w:rPr>
          </w:pPr>
          <w:r>
            <w:rPr>
              <w:highlight w:val="none"/>
            </w:rPr>
            <w:fldChar w:fldCharType="begin"/>
          </w:r>
          <w:r>
            <w:rPr>
              <w:highlight w:val="none"/>
            </w:rPr>
            <w:instrText xml:space="preserve"> HYPERLINK \l "_Toc3066" </w:instrText>
          </w:r>
          <w:r>
            <w:rPr>
              <w:highlight w:val="none"/>
            </w:rPr>
            <w:fldChar w:fldCharType="separate"/>
          </w:r>
          <w:r>
            <w:rPr>
              <w:rFonts w:hint="eastAsia" w:ascii="仿宋_GB2312" w:hAnsi="仿宋_GB2312" w:eastAsia="仿宋_GB2312" w:cs="仿宋_GB2312"/>
              <w:kern w:val="0"/>
              <w:sz w:val="28"/>
              <w:szCs w:val="28"/>
              <w:highlight w:val="none"/>
            </w:rPr>
            <w:t>一、货物合同附随义务</w:t>
          </w:r>
          <w:r>
            <w:rPr>
              <w:highlight w:val="none"/>
            </w:rPr>
            <w:tab/>
          </w:r>
          <w:r>
            <w:rPr>
              <w:highlight w:val="none"/>
            </w:rPr>
            <w:fldChar w:fldCharType="begin"/>
          </w:r>
          <w:r>
            <w:rPr>
              <w:highlight w:val="none"/>
            </w:rPr>
            <w:instrText xml:space="preserve"> PAGEREF _Toc3066 \h </w:instrText>
          </w:r>
          <w:r>
            <w:rPr>
              <w:highlight w:val="none"/>
            </w:rPr>
            <w:fldChar w:fldCharType="separate"/>
          </w:r>
          <w:r>
            <w:rPr>
              <w:highlight w:val="none"/>
            </w:rPr>
            <w:t>26</w:t>
          </w:r>
          <w:r>
            <w:rPr>
              <w:highlight w:val="none"/>
            </w:rPr>
            <w:fldChar w:fldCharType="end"/>
          </w:r>
          <w:r>
            <w:rPr>
              <w:highlight w:val="none"/>
            </w:rPr>
            <w:fldChar w:fldCharType="end"/>
          </w:r>
        </w:p>
        <w:p>
          <w:pPr>
            <w:pStyle w:val="24"/>
            <w:tabs>
              <w:tab w:val="right" w:leader="dot" w:pos="8306"/>
            </w:tabs>
            <w:spacing w:line="312" w:lineRule="auto"/>
            <w:rPr>
              <w:highlight w:val="none"/>
            </w:rPr>
          </w:pPr>
          <w:r>
            <w:rPr>
              <w:highlight w:val="none"/>
            </w:rPr>
            <w:fldChar w:fldCharType="begin"/>
          </w:r>
          <w:r>
            <w:rPr>
              <w:highlight w:val="none"/>
            </w:rPr>
            <w:instrText xml:space="preserve"> HYPERLINK \l "_Toc965" </w:instrText>
          </w:r>
          <w:r>
            <w:rPr>
              <w:highlight w:val="none"/>
            </w:rPr>
            <w:fldChar w:fldCharType="separate"/>
          </w:r>
          <w:r>
            <w:rPr>
              <w:rFonts w:hint="eastAsia" w:ascii="仿宋_GB2312" w:hAnsi="仿宋_GB2312" w:eastAsia="仿宋_GB2312" w:cs="仿宋_GB2312"/>
              <w:kern w:val="0"/>
              <w:sz w:val="28"/>
              <w:szCs w:val="28"/>
              <w:highlight w:val="none"/>
            </w:rPr>
            <w:t>二、货物违约责任</w:t>
          </w:r>
          <w:r>
            <w:rPr>
              <w:highlight w:val="none"/>
            </w:rPr>
            <w:tab/>
          </w:r>
          <w:r>
            <w:rPr>
              <w:highlight w:val="none"/>
            </w:rPr>
            <w:fldChar w:fldCharType="begin"/>
          </w:r>
          <w:r>
            <w:rPr>
              <w:highlight w:val="none"/>
            </w:rPr>
            <w:instrText xml:space="preserve"> PAGEREF _Toc965 \h </w:instrText>
          </w:r>
          <w:r>
            <w:rPr>
              <w:highlight w:val="none"/>
            </w:rPr>
            <w:fldChar w:fldCharType="separate"/>
          </w:r>
          <w:r>
            <w:rPr>
              <w:highlight w:val="none"/>
            </w:rPr>
            <w:t>27</w:t>
          </w:r>
          <w:r>
            <w:rPr>
              <w:highlight w:val="none"/>
            </w:rPr>
            <w:fldChar w:fldCharType="end"/>
          </w:r>
          <w:r>
            <w:rPr>
              <w:highlight w:val="none"/>
            </w:rPr>
            <w:fldChar w:fldCharType="end"/>
          </w:r>
        </w:p>
        <w:p>
          <w:pPr>
            <w:pStyle w:val="24"/>
            <w:tabs>
              <w:tab w:val="right" w:leader="dot" w:pos="8306"/>
            </w:tabs>
            <w:spacing w:line="312" w:lineRule="auto"/>
            <w:rPr>
              <w:highlight w:val="none"/>
            </w:rPr>
          </w:pPr>
          <w:r>
            <w:rPr>
              <w:highlight w:val="none"/>
            </w:rPr>
            <w:fldChar w:fldCharType="begin"/>
          </w:r>
          <w:r>
            <w:rPr>
              <w:highlight w:val="none"/>
            </w:rPr>
            <w:instrText xml:space="preserve"> HYPERLINK \l "_Toc20335" </w:instrText>
          </w:r>
          <w:r>
            <w:rPr>
              <w:highlight w:val="none"/>
            </w:rPr>
            <w:fldChar w:fldCharType="separate"/>
          </w:r>
          <w:r>
            <w:rPr>
              <w:rFonts w:hint="eastAsia" w:ascii="仿宋_GB2312" w:hAnsi="仿宋_GB2312" w:eastAsia="仿宋_GB2312" w:cs="仿宋_GB2312"/>
              <w:kern w:val="0"/>
              <w:sz w:val="28"/>
              <w:szCs w:val="28"/>
              <w:highlight w:val="none"/>
            </w:rPr>
            <w:t>三、货物缺陷索赔</w:t>
          </w:r>
          <w:r>
            <w:rPr>
              <w:highlight w:val="none"/>
            </w:rPr>
            <w:tab/>
          </w:r>
          <w:r>
            <w:rPr>
              <w:highlight w:val="none"/>
            </w:rPr>
            <w:fldChar w:fldCharType="begin"/>
          </w:r>
          <w:r>
            <w:rPr>
              <w:highlight w:val="none"/>
            </w:rPr>
            <w:instrText xml:space="preserve"> PAGEREF _Toc20335 \h </w:instrText>
          </w:r>
          <w:r>
            <w:rPr>
              <w:highlight w:val="none"/>
            </w:rPr>
            <w:fldChar w:fldCharType="separate"/>
          </w:r>
          <w:r>
            <w:rPr>
              <w:highlight w:val="none"/>
            </w:rPr>
            <w:t>28</w:t>
          </w:r>
          <w:r>
            <w:rPr>
              <w:highlight w:val="none"/>
            </w:rPr>
            <w:fldChar w:fldCharType="end"/>
          </w:r>
          <w:r>
            <w:rPr>
              <w:highlight w:val="none"/>
            </w:rPr>
            <w:fldChar w:fldCharType="end"/>
          </w:r>
        </w:p>
        <w:p>
          <w:pPr>
            <w:pStyle w:val="24"/>
            <w:tabs>
              <w:tab w:val="right" w:leader="dot" w:pos="8306"/>
            </w:tabs>
            <w:spacing w:line="312" w:lineRule="auto"/>
            <w:rPr>
              <w:highlight w:val="none"/>
            </w:rPr>
          </w:pPr>
          <w:r>
            <w:rPr>
              <w:highlight w:val="none"/>
            </w:rPr>
            <w:fldChar w:fldCharType="begin"/>
          </w:r>
          <w:r>
            <w:rPr>
              <w:highlight w:val="none"/>
            </w:rPr>
            <w:instrText xml:space="preserve"> HYPERLINK \l "_Toc12864" </w:instrText>
          </w:r>
          <w:r>
            <w:rPr>
              <w:highlight w:val="none"/>
            </w:rPr>
            <w:fldChar w:fldCharType="separate"/>
          </w:r>
          <w:r>
            <w:rPr>
              <w:rFonts w:hint="eastAsia" w:ascii="仿宋_GB2312" w:hAnsi="仿宋_GB2312" w:eastAsia="仿宋_GB2312" w:cs="仿宋_GB2312"/>
              <w:kern w:val="0"/>
              <w:sz w:val="28"/>
              <w:szCs w:val="28"/>
              <w:highlight w:val="none"/>
            </w:rPr>
            <w:t>四、合同变更</w:t>
          </w:r>
          <w:r>
            <w:rPr>
              <w:highlight w:val="none"/>
            </w:rPr>
            <w:tab/>
          </w:r>
          <w:r>
            <w:rPr>
              <w:highlight w:val="none"/>
            </w:rPr>
            <w:fldChar w:fldCharType="begin"/>
          </w:r>
          <w:r>
            <w:rPr>
              <w:highlight w:val="none"/>
            </w:rPr>
            <w:instrText xml:space="preserve"> PAGEREF _Toc12864 \h </w:instrText>
          </w:r>
          <w:r>
            <w:rPr>
              <w:highlight w:val="none"/>
            </w:rPr>
            <w:fldChar w:fldCharType="separate"/>
          </w:r>
          <w:r>
            <w:rPr>
              <w:highlight w:val="none"/>
            </w:rPr>
            <w:t>30</w:t>
          </w:r>
          <w:r>
            <w:rPr>
              <w:highlight w:val="none"/>
            </w:rPr>
            <w:fldChar w:fldCharType="end"/>
          </w:r>
          <w:r>
            <w:rPr>
              <w:highlight w:val="none"/>
            </w:rPr>
            <w:fldChar w:fldCharType="end"/>
          </w:r>
        </w:p>
        <w:p>
          <w:pPr>
            <w:pStyle w:val="24"/>
            <w:tabs>
              <w:tab w:val="right" w:leader="dot" w:pos="8306"/>
            </w:tabs>
            <w:spacing w:line="312" w:lineRule="auto"/>
            <w:rPr>
              <w:highlight w:val="none"/>
            </w:rPr>
          </w:pPr>
          <w:r>
            <w:rPr>
              <w:highlight w:val="none"/>
            </w:rPr>
            <w:fldChar w:fldCharType="begin"/>
          </w:r>
          <w:r>
            <w:rPr>
              <w:highlight w:val="none"/>
            </w:rPr>
            <w:instrText xml:space="preserve"> HYPERLINK \l "_Toc23441" </w:instrText>
          </w:r>
          <w:r>
            <w:rPr>
              <w:highlight w:val="none"/>
            </w:rPr>
            <w:fldChar w:fldCharType="separate"/>
          </w:r>
          <w:r>
            <w:rPr>
              <w:rFonts w:hint="eastAsia" w:ascii="仿宋_GB2312" w:hAnsi="仿宋_GB2312" w:eastAsia="仿宋_GB2312" w:cs="仿宋_GB2312"/>
              <w:kern w:val="0"/>
              <w:sz w:val="28"/>
              <w:szCs w:val="28"/>
              <w:highlight w:val="none"/>
            </w:rPr>
            <w:t>五、合同解除</w:t>
          </w:r>
          <w:r>
            <w:rPr>
              <w:highlight w:val="none"/>
            </w:rPr>
            <w:tab/>
          </w:r>
          <w:r>
            <w:rPr>
              <w:highlight w:val="none"/>
            </w:rPr>
            <w:fldChar w:fldCharType="begin"/>
          </w:r>
          <w:r>
            <w:rPr>
              <w:highlight w:val="none"/>
            </w:rPr>
            <w:instrText xml:space="preserve"> PAGEREF _Toc23441 \h </w:instrText>
          </w:r>
          <w:r>
            <w:rPr>
              <w:highlight w:val="none"/>
            </w:rPr>
            <w:fldChar w:fldCharType="separate"/>
          </w:r>
          <w:r>
            <w:rPr>
              <w:highlight w:val="none"/>
            </w:rPr>
            <w:t>30</w:t>
          </w:r>
          <w:r>
            <w:rPr>
              <w:highlight w:val="none"/>
            </w:rPr>
            <w:fldChar w:fldCharType="end"/>
          </w:r>
          <w:r>
            <w:rPr>
              <w:highlight w:val="none"/>
            </w:rPr>
            <w:fldChar w:fldCharType="end"/>
          </w:r>
        </w:p>
        <w:p>
          <w:pPr>
            <w:pStyle w:val="24"/>
            <w:tabs>
              <w:tab w:val="right" w:leader="dot" w:pos="8306"/>
            </w:tabs>
            <w:spacing w:line="312" w:lineRule="auto"/>
            <w:rPr>
              <w:highlight w:val="none"/>
            </w:rPr>
          </w:pPr>
          <w:r>
            <w:rPr>
              <w:highlight w:val="none"/>
            </w:rPr>
            <w:fldChar w:fldCharType="begin"/>
          </w:r>
          <w:r>
            <w:rPr>
              <w:highlight w:val="none"/>
            </w:rPr>
            <w:instrText xml:space="preserve"> HYPERLINK \l "_Toc16580" </w:instrText>
          </w:r>
          <w:r>
            <w:rPr>
              <w:highlight w:val="none"/>
            </w:rPr>
            <w:fldChar w:fldCharType="separate"/>
          </w:r>
          <w:r>
            <w:rPr>
              <w:rFonts w:hint="eastAsia" w:ascii="仿宋_GB2312" w:hAnsi="仿宋_GB2312" w:eastAsia="仿宋_GB2312" w:cs="仿宋_GB2312"/>
              <w:kern w:val="0"/>
              <w:sz w:val="28"/>
              <w:szCs w:val="28"/>
              <w:highlight w:val="none"/>
            </w:rPr>
            <w:t>六、不可抗力</w:t>
          </w:r>
          <w:r>
            <w:rPr>
              <w:highlight w:val="none"/>
            </w:rPr>
            <w:tab/>
          </w:r>
          <w:r>
            <w:rPr>
              <w:highlight w:val="none"/>
            </w:rPr>
            <w:fldChar w:fldCharType="begin"/>
          </w:r>
          <w:r>
            <w:rPr>
              <w:highlight w:val="none"/>
            </w:rPr>
            <w:instrText xml:space="preserve"> PAGEREF _Toc16580 \h </w:instrText>
          </w:r>
          <w:r>
            <w:rPr>
              <w:highlight w:val="none"/>
            </w:rPr>
            <w:fldChar w:fldCharType="separate"/>
          </w:r>
          <w:r>
            <w:rPr>
              <w:highlight w:val="none"/>
            </w:rPr>
            <w:t>31</w:t>
          </w:r>
          <w:r>
            <w:rPr>
              <w:highlight w:val="none"/>
            </w:rPr>
            <w:fldChar w:fldCharType="end"/>
          </w:r>
          <w:r>
            <w:rPr>
              <w:highlight w:val="none"/>
            </w:rPr>
            <w:fldChar w:fldCharType="end"/>
          </w:r>
        </w:p>
        <w:p>
          <w:pPr>
            <w:pStyle w:val="24"/>
            <w:tabs>
              <w:tab w:val="right" w:leader="dot" w:pos="8306"/>
            </w:tabs>
            <w:spacing w:line="312" w:lineRule="auto"/>
            <w:rPr>
              <w:highlight w:val="none"/>
            </w:rPr>
          </w:pPr>
          <w:r>
            <w:rPr>
              <w:highlight w:val="none"/>
            </w:rPr>
            <w:fldChar w:fldCharType="begin"/>
          </w:r>
          <w:r>
            <w:rPr>
              <w:highlight w:val="none"/>
            </w:rPr>
            <w:instrText xml:space="preserve"> HYPERLINK \l "_Toc10852" </w:instrText>
          </w:r>
          <w:r>
            <w:rPr>
              <w:highlight w:val="none"/>
            </w:rPr>
            <w:fldChar w:fldCharType="separate"/>
          </w:r>
          <w:r>
            <w:rPr>
              <w:rFonts w:hint="eastAsia" w:ascii="仿宋_GB2312" w:hAnsi="仿宋_GB2312" w:eastAsia="仿宋_GB2312" w:cs="仿宋_GB2312"/>
              <w:kern w:val="0"/>
              <w:sz w:val="28"/>
              <w:szCs w:val="28"/>
              <w:highlight w:val="none"/>
            </w:rPr>
            <w:t>七、争议解决</w:t>
          </w:r>
          <w:r>
            <w:rPr>
              <w:highlight w:val="none"/>
            </w:rPr>
            <w:tab/>
          </w:r>
          <w:r>
            <w:rPr>
              <w:highlight w:val="none"/>
            </w:rPr>
            <w:fldChar w:fldCharType="begin"/>
          </w:r>
          <w:r>
            <w:rPr>
              <w:highlight w:val="none"/>
            </w:rPr>
            <w:instrText xml:space="preserve"> PAGEREF _Toc10852 \h </w:instrText>
          </w:r>
          <w:r>
            <w:rPr>
              <w:highlight w:val="none"/>
            </w:rPr>
            <w:fldChar w:fldCharType="separate"/>
          </w:r>
          <w:r>
            <w:rPr>
              <w:highlight w:val="none"/>
            </w:rPr>
            <w:t>31</w:t>
          </w:r>
          <w:r>
            <w:rPr>
              <w:highlight w:val="none"/>
            </w:rPr>
            <w:fldChar w:fldCharType="end"/>
          </w:r>
          <w:r>
            <w:rPr>
              <w:highlight w:val="none"/>
            </w:rPr>
            <w:fldChar w:fldCharType="end"/>
          </w:r>
        </w:p>
        <w:p>
          <w:pPr>
            <w:pStyle w:val="24"/>
            <w:tabs>
              <w:tab w:val="right" w:leader="dot" w:pos="8306"/>
            </w:tabs>
            <w:spacing w:line="312" w:lineRule="auto"/>
            <w:rPr>
              <w:highlight w:val="none"/>
            </w:rPr>
          </w:pPr>
          <w:r>
            <w:rPr>
              <w:highlight w:val="none"/>
            </w:rPr>
            <w:fldChar w:fldCharType="begin"/>
          </w:r>
          <w:r>
            <w:rPr>
              <w:highlight w:val="none"/>
            </w:rPr>
            <w:instrText xml:space="preserve"> HYPERLINK \l "_Toc11207" </w:instrText>
          </w:r>
          <w:r>
            <w:rPr>
              <w:highlight w:val="none"/>
            </w:rPr>
            <w:fldChar w:fldCharType="separate"/>
          </w:r>
          <w:r>
            <w:rPr>
              <w:rFonts w:hint="eastAsia" w:ascii="仿宋_GB2312" w:hAnsi="仿宋_GB2312" w:eastAsia="仿宋_GB2312" w:cs="仿宋_GB2312"/>
              <w:kern w:val="0"/>
              <w:sz w:val="28"/>
              <w:szCs w:val="28"/>
              <w:highlight w:val="none"/>
            </w:rPr>
            <w:t>八、保密义务</w:t>
          </w:r>
          <w:r>
            <w:rPr>
              <w:highlight w:val="none"/>
            </w:rPr>
            <w:tab/>
          </w:r>
          <w:r>
            <w:rPr>
              <w:highlight w:val="none"/>
            </w:rPr>
            <w:fldChar w:fldCharType="begin"/>
          </w:r>
          <w:r>
            <w:rPr>
              <w:highlight w:val="none"/>
            </w:rPr>
            <w:instrText xml:space="preserve"> PAGEREF _Toc11207 \h </w:instrText>
          </w:r>
          <w:r>
            <w:rPr>
              <w:highlight w:val="none"/>
            </w:rPr>
            <w:fldChar w:fldCharType="separate"/>
          </w:r>
          <w:r>
            <w:rPr>
              <w:highlight w:val="none"/>
            </w:rPr>
            <w:t>32</w:t>
          </w:r>
          <w:r>
            <w:rPr>
              <w:highlight w:val="none"/>
            </w:rPr>
            <w:fldChar w:fldCharType="end"/>
          </w:r>
          <w:r>
            <w:rPr>
              <w:highlight w:val="none"/>
            </w:rPr>
            <w:fldChar w:fldCharType="end"/>
          </w:r>
        </w:p>
        <w:p>
          <w:pPr>
            <w:pStyle w:val="24"/>
            <w:tabs>
              <w:tab w:val="right" w:leader="dot" w:pos="8306"/>
            </w:tabs>
            <w:spacing w:line="312" w:lineRule="auto"/>
            <w:rPr>
              <w:highlight w:val="none"/>
            </w:rPr>
          </w:pPr>
          <w:r>
            <w:rPr>
              <w:highlight w:val="none"/>
            </w:rPr>
            <w:fldChar w:fldCharType="begin"/>
          </w:r>
          <w:r>
            <w:rPr>
              <w:highlight w:val="none"/>
            </w:rPr>
            <w:instrText xml:space="preserve"> HYPERLINK \l "_Toc3848" </w:instrText>
          </w:r>
          <w:r>
            <w:rPr>
              <w:highlight w:val="none"/>
            </w:rPr>
            <w:fldChar w:fldCharType="separate"/>
          </w:r>
          <w:r>
            <w:rPr>
              <w:rFonts w:hint="eastAsia" w:ascii="仿宋_GB2312" w:hAnsi="仿宋_GB2312" w:eastAsia="仿宋_GB2312" w:cs="仿宋_GB2312"/>
              <w:kern w:val="0"/>
              <w:sz w:val="28"/>
              <w:szCs w:val="28"/>
              <w:highlight w:val="none"/>
            </w:rPr>
            <w:t>九、其他条款</w:t>
          </w:r>
          <w:r>
            <w:rPr>
              <w:highlight w:val="none"/>
            </w:rPr>
            <w:tab/>
          </w:r>
          <w:r>
            <w:rPr>
              <w:highlight w:val="none"/>
            </w:rPr>
            <w:fldChar w:fldCharType="begin"/>
          </w:r>
          <w:r>
            <w:rPr>
              <w:highlight w:val="none"/>
            </w:rPr>
            <w:instrText xml:space="preserve"> PAGEREF _Toc3848 \h </w:instrText>
          </w:r>
          <w:r>
            <w:rPr>
              <w:highlight w:val="none"/>
            </w:rPr>
            <w:fldChar w:fldCharType="separate"/>
          </w:r>
          <w:r>
            <w:rPr>
              <w:highlight w:val="none"/>
            </w:rPr>
            <w:t>33</w:t>
          </w:r>
          <w:r>
            <w:rPr>
              <w:highlight w:val="none"/>
            </w:rPr>
            <w:fldChar w:fldCharType="end"/>
          </w:r>
          <w:r>
            <w:rPr>
              <w:highlight w:val="none"/>
            </w:rPr>
            <w:fldChar w:fldCharType="end"/>
          </w:r>
        </w:p>
        <w:p>
          <w:pPr>
            <w:spacing w:line="312" w:lineRule="auto"/>
            <w:jc w:val="center"/>
            <w:rPr>
              <w:rFonts w:ascii="仿宋" w:hAnsi="仿宋" w:eastAsia="仿宋" w:cs="仿宋"/>
              <w:color w:val="000000" w:themeColor="text1"/>
              <w:highlight w:val="none"/>
            </w:rPr>
            <w:sectPr>
              <w:headerReference r:id="rId7" w:type="first"/>
              <w:footerReference r:id="rId9" w:type="first"/>
              <w:footerReference r:id="rId8" w:type="default"/>
              <w:pgSz w:w="11906" w:h="16838"/>
              <w:pgMar w:top="1440" w:right="1800" w:bottom="1440" w:left="1800" w:header="850" w:footer="975" w:gutter="0"/>
              <w:pgNumType w:start="1"/>
              <w:cols w:space="0" w:num="1"/>
              <w:titlePg/>
              <w:docGrid w:linePitch="312" w:charSpace="0"/>
            </w:sectPr>
          </w:pPr>
          <w:r>
            <w:rPr>
              <w:rFonts w:hint="eastAsia" w:ascii="仿宋" w:hAnsi="仿宋" w:eastAsia="仿宋" w:cs="仿宋"/>
              <w:color w:val="000000" w:themeColor="text1"/>
              <w:highlight w:val="none"/>
            </w:rPr>
            <w:fldChar w:fldCharType="end"/>
          </w:r>
        </w:p>
      </w:sdtContent>
    </w:sdt>
    <w:p>
      <w:pPr>
        <w:pStyle w:val="41"/>
        <w:jc w:val="center"/>
        <w:outlineLvl w:val="0"/>
        <w:rPr>
          <w:rFonts w:ascii="仿宋" w:hAnsi="仿宋" w:eastAsia="仿宋" w:cs="仿宋"/>
          <w:b/>
          <w:bCs/>
          <w:color w:val="000000" w:themeColor="text1"/>
          <w:sz w:val="32"/>
          <w:szCs w:val="32"/>
          <w:highlight w:val="none"/>
        </w:rPr>
      </w:pPr>
      <w:bookmarkStart w:id="77" w:name="_Toc22574"/>
      <w:bookmarkStart w:id="78" w:name="_Toc31405"/>
      <w:bookmarkStart w:id="79" w:name="_Toc5953"/>
      <w:r>
        <w:rPr>
          <w:rFonts w:hint="eastAsia" w:ascii="黑体" w:hAnsi="黑体" w:eastAsia="黑体" w:cs="黑体"/>
          <w:b/>
          <w:bCs/>
          <w:color w:val="000000" w:themeColor="text1"/>
          <w:sz w:val="32"/>
          <w:szCs w:val="32"/>
          <w:highlight w:val="none"/>
        </w:rPr>
        <w:t>第一部分</w:t>
      </w:r>
      <w:bookmarkEnd w:id="77"/>
      <w:r>
        <w:rPr>
          <w:rFonts w:hint="eastAsia" w:ascii="黑体" w:hAnsi="黑体" w:eastAsia="黑体" w:cs="黑体"/>
          <w:b/>
          <w:bCs/>
          <w:color w:val="000000" w:themeColor="text1"/>
          <w:sz w:val="32"/>
          <w:szCs w:val="32"/>
          <w:highlight w:val="none"/>
        </w:rPr>
        <w:t xml:space="preserve"> 专用条款</w:t>
      </w:r>
      <w:bookmarkEnd w:id="78"/>
      <w:bookmarkEnd w:id="79"/>
    </w:p>
    <w:p>
      <w:pPr>
        <w:pStyle w:val="41"/>
        <w:spacing w:before="240" w:beforeLines="100" w:line="400" w:lineRule="atLeast"/>
        <w:rPr>
          <w:rFonts w:hint="default" w:ascii="仿宋_GB2312" w:hAnsi="仿宋_GB2312" w:eastAsia="仿宋_GB2312" w:cs="仿宋_GB2312"/>
          <w:color w:val="000000" w:themeColor="text1"/>
          <w:highlight w:val="none"/>
          <w:lang w:val="en-US" w:eastAsia="zh-CN"/>
        </w:rPr>
      </w:pPr>
      <w:r>
        <w:rPr>
          <w:rFonts w:hint="eastAsia" w:ascii="仿宋_GB2312" w:hAnsi="仿宋_GB2312" w:eastAsia="仿宋_GB2312" w:cs="仿宋_GB2312"/>
          <w:color w:val="000000" w:themeColor="text1"/>
          <w:highlight w:val="none"/>
        </w:rPr>
        <w:t xml:space="preserve">甲方（买方）： </w:t>
      </w:r>
      <w:r>
        <w:rPr>
          <w:rFonts w:hint="eastAsia" w:ascii="仿宋_GB2312" w:hAnsi="仿宋_GB2312" w:eastAsia="仿宋_GB2312" w:cs="仿宋_GB2312"/>
          <w:color w:val="000000" w:themeColor="text1"/>
          <w:highlight w:val="none"/>
          <w:u w:val="single"/>
        </w:rPr>
        <w:t xml:space="preserve"> 中建</w:t>
      </w:r>
      <w:r>
        <w:rPr>
          <w:rFonts w:hint="eastAsia" w:ascii="仿宋_GB2312" w:hAnsi="仿宋_GB2312" w:eastAsia="仿宋_GB2312" w:cs="仿宋_GB2312"/>
          <w:color w:val="000000" w:themeColor="text1"/>
          <w:highlight w:val="none"/>
          <w:u w:val="single"/>
          <w:lang w:val="en-US" w:eastAsia="zh-CN"/>
        </w:rPr>
        <w:t>路桥</w:t>
      </w:r>
      <w:r>
        <w:rPr>
          <w:rFonts w:hint="eastAsia" w:ascii="仿宋_GB2312" w:hAnsi="仿宋_GB2312" w:eastAsia="仿宋_GB2312" w:cs="仿宋_GB2312"/>
          <w:color w:val="000000" w:themeColor="text1"/>
          <w:highlight w:val="none"/>
          <w:u w:val="single"/>
        </w:rPr>
        <w:t>集团</w:t>
      </w:r>
      <w:r>
        <w:rPr>
          <w:rFonts w:hint="eastAsia" w:ascii="仿宋_GB2312" w:hAnsi="仿宋_GB2312" w:eastAsia="仿宋_GB2312" w:cs="仿宋_GB2312"/>
          <w:color w:val="000000" w:themeColor="text1"/>
          <w:highlight w:val="none"/>
          <w:u w:val="single"/>
          <w:lang w:val="en-US" w:eastAsia="zh-CN"/>
        </w:rPr>
        <w:t>装配式建筑</w:t>
      </w:r>
      <w:r>
        <w:rPr>
          <w:rFonts w:hint="eastAsia" w:ascii="仿宋_GB2312" w:hAnsi="仿宋_GB2312" w:eastAsia="仿宋_GB2312" w:cs="仿宋_GB2312"/>
          <w:color w:val="000000" w:themeColor="text1"/>
          <w:highlight w:val="none"/>
          <w:u w:val="single"/>
        </w:rPr>
        <w:t xml:space="preserve">有限公司  </w:t>
      </w:r>
      <w:r>
        <w:rPr>
          <w:rFonts w:hint="eastAsia" w:ascii="仿宋_GB2312" w:hAnsi="仿宋_GB2312" w:eastAsia="仿宋_GB2312" w:cs="仿宋_GB2312"/>
          <w:color w:val="000000" w:themeColor="text1"/>
          <w:highlight w:val="none"/>
          <w:u w:val="single"/>
          <w:lang w:val="en-US" w:eastAsia="zh-CN"/>
        </w:rPr>
        <w:t xml:space="preserve">    </w:t>
      </w:r>
    </w:p>
    <w:p>
      <w:pPr>
        <w:pStyle w:val="41"/>
        <w:spacing w:line="400" w:lineRule="atLeast"/>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 xml:space="preserve">乙方（卖方）： </w:t>
      </w:r>
      <w:r>
        <w:rPr>
          <w:rFonts w:hint="eastAsia" w:ascii="仿宋_GB2312" w:hAnsi="仿宋_GB2312" w:eastAsia="仿宋_GB2312" w:cs="仿宋_GB2312"/>
          <w:color w:val="000000" w:themeColor="text1"/>
          <w:highlight w:val="none"/>
          <w:u w:val="single"/>
        </w:rPr>
        <w:t xml:space="preserve">   </w:t>
      </w:r>
      <w:r>
        <w:rPr>
          <w:rFonts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u w:val="single"/>
        </w:rPr>
        <w:t xml:space="preserve">  </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根据《中华人民共和国民法典》及有关法律规定，遵循平等、自愿、公平和诚实信用的原则，在对本合同进行充分理解的基础上，双方经友好协商一致，订立本合同并共同遵守。</w:t>
      </w:r>
    </w:p>
    <w:p>
      <w:pPr>
        <w:pStyle w:val="4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rPr>
      </w:pPr>
      <w:bookmarkStart w:id="80" w:name="_Toc29946"/>
      <w:bookmarkStart w:id="81" w:name="_Toc640"/>
      <w:bookmarkStart w:id="82" w:name="_Toc17203"/>
      <w:r>
        <w:rPr>
          <w:rFonts w:hint="eastAsia" w:ascii="仿宋_GB2312" w:hAnsi="仿宋_GB2312" w:eastAsia="仿宋_GB2312" w:cs="仿宋_GB2312"/>
          <w:b/>
          <w:bCs/>
          <w:color w:val="000000" w:themeColor="text1"/>
          <w:highlight w:val="none"/>
        </w:rPr>
        <w:t>工程概况</w:t>
      </w:r>
      <w:bookmarkEnd w:id="80"/>
      <w:bookmarkEnd w:id="81"/>
      <w:bookmarkEnd w:id="82"/>
    </w:p>
    <w:p>
      <w:pPr>
        <w:pStyle w:val="41"/>
        <w:spacing w:line="400" w:lineRule="atLeast"/>
        <w:ind w:firstLine="482"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1、工程名称：</w:t>
      </w:r>
      <w:r>
        <w:rPr>
          <w:rFonts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w:t>
      </w:r>
    </w:p>
    <w:p>
      <w:pPr>
        <w:pStyle w:val="41"/>
        <w:spacing w:line="400" w:lineRule="atLeast"/>
        <w:ind w:firstLine="482"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2、工程地点：</w:t>
      </w:r>
      <w:r>
        <w:rPr>
          <w:rFonts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w:t>
      </w:r>
    </w:p>
    <w:p>
      <w:pPr>
        <w:pStyle w:val="41"/>
        <w:numPr>
          <w:ilvl w:val="0"/>
          <w:numId w:val="1"/>
        </w:numPr>
        <w:spacing w:before="120" w:beforeLines="50" w:after="120" w:afterLines="50" w:line="400" w:lineRule="atLeast"/>
        <w:ind w:firstLine="482" w:firstLineChars="200"/>
        <w:outlineLvl w:val="0"/>
        <w:rPr>
          <w:rFonts w:hint="default" w:ascii="仿宋_GB2312" w:hAnsi="仿宋_GB2312" w:eastAsia="仿宋_GB2312" w:cs="仿宋_GB2312"/>
          <w:color w:val="000000" w:themeColor="text1"/>
          <w:highlight w:val="none"/>
          <w:u w:val="single"/>
          <w:lang w:val="en-US" w:eastAsia="zh-CN"/>
        </w:rPr>
      </w:pPr>
      <w:r>
        <w:rPr>
          <w:rFonts w:hint="eastAsia" w:ascii="仿宋_GB2312" w:hAnsi="仿宋_GB2312" w:eastAsia="仿宋_GB2312" w:cs="仿宋_GB2312"/>
          <w:b/>
          <w:bCs/>
          <w:color w:val="000000" w:themeColor="text1"/>
          <w:highlight w:val="none"/>
        </w:rPr>
        <w:t>货物清单</w:t>
      </w:r>
      <w:r>
        <w:rPr>
          <w:rFonts w:hint="eastAsia" w:ascii="仿宋_GB2312" w:hAnsi="仿宋_GB2312" w:eastAsia="仿宋_GB2312" w:cs="仿宋_GB2312"/>
          <w:b/>
          <w:bCs/>
          <w:color w:val="000000" w:themeColor="text1"/>
          <w:highlight w:val="none"/>
          <w:lang w:eastAsia="zh-CN"/>
        </w:rPr>
        <w:t>、</w:t>
      </w:r>
      <w:r>
        <w:rPr>
          <w:rFonts w:hint="eastAsia" w:ascii="仿宋_GB2312" w:hAnsi="仿宋_GB2312" w:eastAsia="仿宋_GB2312" w:cs="仿宋_GB2312"/>
          <w:b/>
          <w:bCs/>
          <w:color w:val="000000" w:themeColor="text1"/>
          <w:highlight w:val="none"/>
          <w:lang w:val="en-US" w:eastAsia="zh-CN"/>
        </w:rPr>
        <w:t>价款、计价方式</w:t>
      </w:r>
    </w:p>
    <w:p>
      <w:pPr>
        <w:pStyle w:val="41"/>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highlight w:val="none"/>
          <w:u w:val="none"/>
          <w:lang w:val="en-US" w:eastAsia="zh-CN"/>
        </w:rPr>
      </w:pPr>
      <w:r>
        <w:rPr>
          <w:rFonts w:hint="eastAsia" w:ascii="仿宋_GB2312" w:hAnsi="仿宋_GB2312" w:eastAsia="仿宋_GB2312" w:cs="仿宋_GB2312"/>
          <w:b/>
          <w:bCs/>
          <w:color w:val="000000" w:themeColor="text1"/>
          <w:highlight w:val="none"/>
          <w:lang w:val="en-US" w:eastAsia="zh-CN"/>
        </w:rPr>
        <w:t>1、 合同单价</w:t>
      </w:r>
      <w:r>
        <w:rPr>
          <w:rFonts w:hint="eastAsia" w:ascii="仿宋_GB2312" w:hAnsi="仿宋_GB2312" w:eastAsia="仿宋_GB2312" w:cs="仿宋_GB2312"/>
          <w:b/>
          <w:bCs/>
          <w:color w:val="000000" w:themeColor="text1"/>
          <w:highlight w:val="none"/>
        </w:rPr>
        <w:t>：</w:t>
      </w:r>
      <w:r>
        <w:rPr>
          <w:rFonts w:hint="eastAsia" w:ascii="仿宋_GB2312" w:hAnsi="仿宋_GB2312" w:eastAsia="仿宋_GB2312" w:cs="仿宋_GB2312"/>
          <w:color w:val="000000" w:themeColor="text1"/>
          <w:highlight w:val="none"/>
        </w:rPr>
        <w:t>本合同适用</w:t>
      </w:r>
      <w:r>
        <w:rPr>
          <w:rFonts w:hint="eastAsia" w:ascii="仿宋_GB2312" w:hAnsi="仿宋_GB2312" w:eastAsia="仿宋_GB2312" w:cs="仿宋_GB2312"/>
          <w:color w:val="000000" w:themeColor="text1"/>
          <w:highlight w:val="none"/>
          <w:lang w:val="en-US" w:eastAsia="zh-CN"/>
        </w:rPr>
        <w:t>以下</w:t>
      </w:r>
      <w:r>
        <w:rPr>
          <w:rFonts w:hint="eastAsia" w:ascii="仿宋_GB2312" w:hAnsi="仿宋_GB2312" w:eastAsia="仿宋_GB2312" w:cs="仿宋_GB2312"/>
          <w:color w:val="000000" w:themeColor="text1"/>
          <w:highlight w:val="none"/>
        </w:rPr>
        <w:t>第</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u w:val="single"/>
          <w:lang w:val="en-US" w:eastAsia="zh-CN"/>
        </w:rPr>
        <w:t xml:space="preserve"> </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u w:val="none"/>
          <w:lang w:val="en-US" w:eastAsia="zh-CN"/>
        </w:rPr>
        <w:t>条方式</w:t>
      </w:r>
      <w:r>
        <w:rPr>
          <w:rFonts w:hint="eastAsia" w:ascii="仿宋_GB2312" w:hAnsi="仿宋_GB2312" w:eastAsia="仿宋_GB2312" w:cs="仿宋_GB2312"/>
          <w:color w:val="000000" w:themeColor="text1"/>
          <w:highlight w:val="none"/>
          <w:u w:val="single"/>
          <w:lang w:val="en-US" w:eastAsia="zh-CN"/>
        </w:rPr>
        <w:t xml:space="preserve">    </w:t>
      </w:r>
      <w:r>
        <w:rPr>
          <w:rFonts w:hint="eastAsia" w:ascii="仿宋_GB2312" w:hAnsi="仿宋_GB2312" w:eastAsia="仿宋_GB2312" w:cs="仿宋_GB2312"/>
          <w:color w:val="000000" w:themeColor="text1"/>
          <w:highlight w:val="none"/>
          <w:u w:val="none"/>
          <w:lang w:val="en-US" w:eastAsia="zh-CN"/>
        </w:rPr>
        <w:t xml:space="preserve"> ：</w:t>
      </w:r>
      <w:r>
        <w:rPr>
          <w:rFonts w:hint="eastAsia" w:ascii="仿宋_GB2312" w:hAnsi="仿宋_GB2312" w:eastAsia="仿宋_GB2312" w:cs="仿宋_GB2312"/>
          <w:color w:val="000000" w:themeColor="text1"/>
          <w:highlight w:val="none"/>
          <w:u w:val="single"/>
          <w:lang w:val="en-US" w:eastAsia="zh-CN"/>
        </w:rPr>
        <w:t xml:space="preserve">           </w:t>
      </w:r>
      <w:r>
        <w:rPr>
          <w:rFonts w:hint="eastAsia" w:ascii="仿宋_GB2312" w:hAnsi="仿宋_GB2312" w:eastAsia="仿宋_GB2312" w:cs="仿宋_GB2312"/>
          <w:color w:val="000000" w:themeColor="text1"/>
          <w:highlight w:val="none"/>
          <w:u w:val="none"/>
          <w:lang w:val="en-US" w:eastAsia="zh-CN"/>
        </w:rPr>
        <w:t>单价方式。</w:t>
      </w:r>
    </w:p>
    <w:p>
      <w:pPr>
        <w:pStyle w:val="41"/>
        <w:numPr>
          <w:ilvl w:val="1"/>
          <w:numId w:val="2"/>
        </w:numPr>
        <w:spacing w:before="120" w:beforeLines="50" w:after="120" w:afterLines="50" w:line="400" w:lineRule="atLeast"/>
        <w:outlineLvl w:val="0"/>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lang w:val="en-US" w:eastAsia="zh-CN"/>
        </w:rPr>
        <w:t>方式一：</w:t>
      </w:r>
      <w:r>
        <w:rPr>
          <w:rFonts w:hint="eastAsia" w:ascii="仿宋_GB2312" w:hAnsi="仿宋_GB2312" w:eastAsia="仿宋_GB2312" w:cs="仿宋_GB2312"/>
          <w:b/>
          <w:bCs/>
          <w:color w:val="000000" w:themeColor="text1"/>
          <w:highlight w:val="none"/>
          <w:lang w:eastAsia="zh-Hans"/>
        </w:rPr>
        <w:t>固定</w:t>
      </w:r>
      <w:r>
        <w:rPr>
          <w:rFonts w:hint="eastAsia" w:ascii="仿宋_GB2312" w:hAnsi="仿宋_GB2312" w:eastAsia="仿宋_GB2312" w:cs="仿宋_GB2312"/>
          <w:b/>
          <w:bCs/>
          <w:color w:val="000000" w:themeColor="text1"/>
          <w:highlight w:val="none"/>
        </w:rPr>
        <w:t>单价合同</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914"/>
        <w:gridCol w:w="967"/>
        <w:gridCol w:w="435"/>
        <w:gridCol w:w="878"/>
        <w:gridCol w:w="888"/>
        <w:gridCol w:w="941"/>
        <w:gridCol w:w="511"/>
        <w:gridCol w:w="1069"/>
        <w:gridCol w:w="888"/>
        <w:gridCol w:w="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11"/>
            <w:shd w:val="clear" w:color="auto" w:fill="auto"/>
            <w:vAlign w:val="center"/>
          </w:tcPr>
          <w:p>
            <w:pPr>
              <w:widowControl/>
              <w:jc w:val="left"/>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b/>
                <w:bCs/>
                <w:color w:val="000000" w:themeColor="text1"/>
                <w:kern w:val="0"/>
                <w:sz w:val="24"/>
                <w:szCs w:val="24"/>
                <w:highlight w:val="none"/>
                <w:lang w:val="en-US" w:eastAsia="zh-CN" w:bidi="ar-SA"/>
              </w:rPr>
              <w:t>方式一：</w:t>
            </w:r>
            <w:r>
              <w:rPr>
                <w:rFonts w:hint="eastAsia" w:ascii="仿宋_GB2312" w:hAnsi="仿宋_GB2312" w:eastAsia="仿宋_GB2312" w:cs="仿宋_GB2312"/>
                <w:b/>
                <w:bCs/>
                <w:color w:val="000000" w:themeColor="text1"/>
                <w:kern w:val="0"/>
                <w:sz w:val="24"/>
                <w:szCs w:val="24"/>
                <w:highlight w:val="none"/>
                <w:lang w:val="en-US" w:eastAsia="zh-Hans" w:bidi="ar-SA"/>
              </w:rPr>
              <w:t>固定</w:t>
            </w:r>
            <w:r>
              <w:rPr>
                <w:rFonts w:hint="eastAsia" w:ascii="仿宋_GB2312" w:hAnsi="仿宋_GB2312" w:eastAsia="仿宋_GB2312" w:cs="仿宋_GB2312"/>
                <w:b/>
                <w:bCs/>
                <w:color w:val="000000" w:themeColor="text1"/>
                <w:kern w:val="0"/>
                <w:sz w:val="24"/>
                <w:szCs w:val="24"/>
                <w:highlight w:val="none"/>
                <w:lang w:val="en-US" w:eastAsia="zh-CN" w:bidi="ar-SA"/>
              </w:rPr>
              <w:t>单价合同清单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313"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序号</w:t>
            </w:r>
          </w:p>
        </w:tc>
        <w:tc>
          <w:tcPr>
            <w:tcW w:w="536" w:type="pct"/>
            <w:shd w:val="clear" w:color="auto" w:fill="auto"/>
            <w:vAlign w:val="center"/>
          </w:tcPr>
          <w:p>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货物名称</w:t>
            </w:r>
          </w:p>
        </w:tc>
        <w:tc>
          <w:tcPr>
            <w:tcW w:w="567"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货物</w:t>
            </w:r>
          </w:p>
          <w:p>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规格参数</w:t>
            </w:r>
          </w:p>
        </w:tc>
        <w:tc>
          <w:tcPr>
            <w:tcW w:w="255"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计量</w:t>
            </w:r>
          </w:p>
          <w:p>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单位</w:t>
            </w:r>
          </w:p>
        </w:tc>
        <w:tc>
          <w:tcPr>
            <w:tcW w:w="515"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暂定</w:t>
            </w:r>
          </w:p>
          <w:p>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数量</w:t>
            </w:r>
          </w:p>
        </w:tc>
        <w:tc>
          <w:tcPr>
            <w:tcW w:w="521"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552"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300"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增值</w:t>
            </w:r>
          </w:p>
          <w:p>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税率</w:t>
            </w:r>
          </w:p>
        </w:tc>
        <w:tc>
          <w:tcPr>
            <w:tcW w:w="627"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521"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289" w:type="pct"/>
            <w:shd w:val="clear" w:color="auto" w:fill="auto"/>
            <w:vAlign w:val="center"/>
          </w:tcPr>
          <w:p>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313" w:type="pct"/>
            <w:shd w:val="clear" w:color="auto" w:fill="auto"/>
            <w:vAlign w:val="center"/>
          </w:tcPr>
          <w:p>
            <w:pPr>
              <w:widowControl/>
              <w:spacing w:line="400" w:lineRule="atLeast"/>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sz w:val="18"/>
                <w:szCs w:val="18"/>
                <w:highlight w:val="none"/>
              </w:rPr>
              <w:t>1</w:t>
            </w:r>
          </w:p>
        </w:tc>
        <w:tc>
          <w:tcPr>
            <w:tcW w:w="536" w:type="pct"/>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沥青</w:t>
            </w:r>
          </w:p>
        </w:tc>
        <w:tc>
          <w:tcPr>
            <w:tcW w:w="567" w:type="pct"/>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AH-70号</w:t>
            </w:r>
          </w:p>
        </w:tc>
        <w:tc>
          <w:tcPr>
            <w:tcW w:w="255" w:type="pct"/>
            <w:shd w:val="clear" w:color="auto" w:fill="auto"/>
            <w:vAlign w:val="center"/>
          </w:tcPr>
          <w:p>
            <w:pPr>
              <w:widowControl/>
              <w:spacing w:line="400" w:lineRule="atLeast"/>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宋体" w:eastAsia="仿宋_GB2312"/>
                <w:color w:val="000000" w:themeColor="text1"/>
                <w:sz w:val="18"/>
                <w:szCs w:val="18"/>
                <w:highlight w:val="none"/>
              </w:rPr>
              <w:t>吨</w:t>
            </w:r>
          </w:p>
        </w:tc>
        <w:tc>
          <w:tcPr>
            <w:tcW w:w="515" w:type="pct"/>
            <w:shd w:val="clear" w:color="auto" w:fill="auto"/>
            <w:vAlign w:val="center"/>
          </w:tcPr>
          <w:p>
            <w:pPr>
              <w:widowControl/>
              <w:spacing w:line="400" w:lineRule="atLeast"/>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sz w:val="18"/>
                <w:szCs w:val="18"/>
                <w:highlight w:val="none"/>
              </w:rPr>
              <w:t>4000</w:t>
            </w:r>
          </w:p>
        </w:tc>
        <w:tc>
          <w:tcPr>
            <w:tcW w:w="521"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552" w:type="pct"/>
            <w:shd w:val="clear" w:color="auto" w:fill="auto"/>
            <w:noWrap/>
            <w:vAlign w:val="center"/>
          </w:tcPr>
          <w:p>
            <w:pPr>
              <w:widowControl/>
              <w:jc w:val="center"/>
              <w:textAlignment w:val="center"/>
              <w:rPr>
                <w:rFonts w:ascii="仿宋_GB2312" w:hAnsi="仿宋_GB2312" w:eastAsia="仿宋_GB2312" w:cs="仿宋_GB2312"/>
                <w:color w:val="000000" w:themeColor="text1"/>
                <w:sz w:val="18"/>
                <w:szCs w:val="18"/>
                <w:highlight w:val="none"/>
              </w:rPr>
            </w:pPr>
          </w:p>
        </w:tc>
        <w:tc>
          <w:tcPr>
            <w:tcW w:w="300" w:type="pct"/>
            <w:shd w:val="clear" w:color="auto" w:fill="auto"/>
            <w:noWrap/>
            <w:vAlign w:val="center"/>
          </w:tcPr>
          <w:p>
            <w:pPr>
              <w:widowControl/>
              <w:jc w:val="center"/>
              <w:textAlignment w:val="center"/>
              <w:rPr>
                <w:rFonts w:ascii="仿宋_GB2312" w:hAnsi="仿宋_GB2312" w:eastAsia="仿宋_GB2312" w:cs="仿宋_GB2312"/>
                <w:color w:val="000000" w:themeColor="text1"/>
                <w:sz w:val="18"/>
                <w:szCs w:val="18"/>
                <w:highlight w:val="none"/>
              </w:rPr>
            </w:pPr>
          </w:p>
        </w:tc>
        <w:tc>
          <w:tcPr>
            <w:tcW w:w="627" w:type="pct"/>
            <w:shd w:val="clear" w:color="auto" w:fill="auto"/>
            <w:noWrap/>
            <w:vAlign w:val="center"/>
          </w:tcPr>
          <w:p>
            <w:pPr>
              <w:widowControl/>
              <w:jc w:val="center"/>
              <w:textAlignment w:val="center"/>
              <w:rPr>
                <w:rFonts w:ascii="仿宋_GB2312" w:hAnsi="仿宋_GB2312" w:eastAsia="仿宋_GB2312" w:cs="仿宋_GB2312"/>
                <w:color w:val="000000" w:themeColor="text1"/>
                <w:sz w:val="18"/>
                <w:szCs w:val="18"/>
                <w:highlight w:val="none"/>
              </w:rPr>
            </w:pPr>
          </w:p>
        </w:tc>
        <w:tc>
          <w:tcPr>
            <w:tcW w:w="521" w:type="pct"/>
            <w:shd w:val="clear" w:color="auto" w:fill="auto"/>
            <w:noWrap/>
            <w:vAlign w:val="center"/>
          </w:tcPr>
          <w:p>
            <w:pPr>
              <w:widowControl/>
              <w:jc w:val="center"/>
              <w:textAlignment w:val="center"/>
              <w:rPr>
                <w:rFonts w:ascii="仿宋_GB2312" w:hAnsi="仿宋_GB2312" w:eastAsia="仿宋_GB2312" w:cs="仿宋_GB2312"/>
                <w:color w:val="000000" w:themeColor="text1"/>
                <w:sz w:val="18"/>
                <w:szCs w:val="18"/>
                <w:highlight w:val="none"/>
              </w:rPr>
            </w:pPr>
          </w:p>
        </w:tc>
        <w:tc>
          <w:tcPr>
            <w:tcW w:w="289" w:type="pct"/>
            <w:shd w:val="clear" w:color="auto" w:fill="auto"/>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313" w:type="pct"/>
            <w:shd w:val="clear" w:color="auto" w:fill="auto"/>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sz w:val="18"/>
                <w:szCs w:val="18"/>
                <w:highlight w:val="none"/>
              </w:rPr>
              <w:t>2</w:t>
            </w:r>
          </w:p>
        </w:tc>
        <w:tc>
          <w:tcPr>
            <w:tcW w:w="536" w:type="pct"/>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碎石</w:t>
            </w:r>
          </w:p>
        </w:tc>
        <w:tc>
          <w:tcPr>
            <w:tcW w:w="567" w:type="pct"/>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5-10mm</w:t>
            </w:r>
          </w:p>
        </w:tc>
        <w:tc>
          <w:tcPr>
            <w:tcW w:w="255"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sz w:val="18"/>
                <w:szCs w:val="18"/>
                <w:highlight w:val="none"/>
              </w:rPr>
              <w:t>吨</w:t>
            </w:r>
          </w:p>
        </w:tc>
        <w:tc>
          <w:tcPr>
            <w:tcW w:w="515" w:type="pct"/>
            <w:shd w:val="clear" w:color="auto" w:fill="auto"/>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sz w:val="18"/>
                <w:szCs w:val="18"/>
                <w:highlight w:val="none"/>
              </w:rPr>
              <w:t>5000</w:t>
            </w:r>
          </w:p>
        </w:tc>
        <w:tc>
          <w:tcPr>
            <w:tcW w:w="521"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552"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300"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627"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521"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289"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313" w:type="pct"/>
            <w:shd w:val="clear" w:color="auto" w:fill="auto"/>
            <w:vAlign w:val="center"/>
          </w:tcPr>
          <w:p>
            <w:pPr>
              <w:widowControl/>
              <w:spacing w:line="400" w:lineRule="atLeast"/>
              <w:jc w:val="center"/>
              <w:rPr>
                <w:rFonts w:hint="eastAsia" w:ascii="仿宋_GB2312" w:hAnsi="仿宋_GB2312" w:eastAsia="仿宋_GB2312" w:cs="仿宋_GB2312"/>
                <w:color w:val="000000" w:themeColor="text1"/>
                <w:sz w:val="18"/>
                <w:szCs w:val="18"/>
                <w:highlight w:val="none"/>
                <w:lang w:val="en-US" w:eastAsia="zh-CN"/>
              </w:rPr>
            </w:pPr>
            <w:r>
              <w:rPr>
                <w:rFonts w:hint="eastAsia" w:ascii="仿宋_GB2312" w:hAnsi="仿宋_GB2312" w:eastAsia="仿宋_GB2312" w:cs="仿宋_GB2312"/>
                <w:color w:val="000000" w:themeColor="text1"/>
                <w:sz w:val="18"/>
                <w:szCs w:val="18"/>
                <w:highlight w:val="none"/>
                <w:lang w:val="en-US" w:eastAsia="zh-CN"/>
              </w:rPr>
              <w:t>3</w:t>
            </w:r>
          </w:p>
        </w:tc>
        <w:tc>
          <w:tcPr>
            <w:tcW w:w="536" w:type="pct"/>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碎石</w:t>
            </w:r>
          </w:p>
        </w:tc>
        <w:tc>
          <w:tcPr>
            <w:tcW w:w="567" w:type="pct"/>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10-15mm</w:t>
            </w:r>
          </w:p>
        </w:tc>
        <w:tc>
          <w:tcPr>
            <w:tcW w:w="255"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sz w:val="18"/>
                <w:szCs w:val="18"/>
                <w:highlight w:val="none"/>
              </w:rPr>
              <w:t>吨</w:t>
            </w:r>
          </w:p>
        </w:tc>
        <w:tc>
          <w:tcPr>
            <w:tcW w:w="515" w:type="pct"/>
            <w:shd w:val="clear" w:color="auto" w:fill="auto"/>
            <w:vAlign w:val="center"/>
          </w:tcPr>
          <w:p>
            <w:pPr>
              <w:jc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sz w:val="18"/>
                <w:szCs w:val="18"/>
                <w:highlight w:val="none"/>
              </w:rPr>
              <w:t>8000</w:t>
            </w:r>
          </w:p>
        </w:tc>
        <w:tc>
          <w:tcPr>
            <w:tcW w:w="521"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552"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300"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627"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521"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289"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313" w:type="pct"/>
            <w:shd w:val="clear" w:color="auto" w:fill="auto"/>
            <w:vAlign w:val="center"/>
          </w:tcPr>
          <w:p>
            <w:pPr>
              <w:widowControl/>
              <w:spacing w:line="400" w:lineRule="atLeast"/>
              <w:jc w:val="center"/>
              <w:rPr>
                <w:rFonts w:hint="eastAsia" w:ascii="仿宋_GB2312" w:hAnsi="仿宋_GB2312" w:eastAsia="仿宋_GB2312" w:cs="仿宋_GB2312"/>
                <w:color w:val="000000" w:themeColor="text1"/>
                <w:sz w:val="18"/>
                <w:szCs w:val="18"/>
                <w:highlight w:val="none"/>
                <w:lang w:val="en-US" w:eastAsia="zh-CN"/>
              </w:rPr>
            </w:pPr>
            <w:r>
              <w:rPr>
                <w:rFonts w:hint="eastAsia" w:ascii="仿宋_GB2312" w:hAnsi="仿宋_GB2312" w:eastAsia="仿宋_GB2312" w:cs="仿宋_GB2312"/>
                <w:color w:val="000000" w:themeColor="text1"/>
                <w:sz w:val="18"/>
                <w:szCs w:val="18"/>
                <w:highlight w:val="none"/>
                <w:lang w:val="en-US" w:eastAsia="zh-CN"/>
              </w:rPr>
              <w:t>4</w:t>
            </w:r>
          </w:p>
        </w:tc>
        <w:tc>
          <w:tcPr>
            <w:tcW w:w="536" w:type="pct"/>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碎石</w:t>
            </w:r>
          </w:p>
        </w:tc>
        <w:tc>
          <w:tcPr>
            <w:tcW w:w="567" w:type="pct"/>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10-20mm</w:t>
            </w:r>
          </w:p>
        </w:tc>
        <w:tc>
          <w:tcPr>
            <w:tcW w:w="255"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sz w:val="18"/>
                <w:szCs w:val="18"/>
                <w:highlight w:val="none"/>
              </w:rPr>
              <w:t>吨</w:t>
            </w:r>
          </w:p>
        </w:tc>
        <w:tc>
          <w:tcPr>
            <w:tcW w:w="515" w:type="pct"/>
            <w:shd w:val="clear" w:color="auto" w:fill="auto"/>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sz w:val="18"/>
                <w:szCs w:val="18"/>
                <w:highlight w:val="none"/>
              </w:rPr>
              <w:t>7000</w:t>
            </w:r>
          </w:p>
        </w:tc>
        <w:tc>
          <w:tcPr>
            <w:tcW w:w="521"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552"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300"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627"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521"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289"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313" w:type="pct"/>
            <w:shd w:val="clear" w:color="auto" w:fill="auto"/>
            <w:vAlign w:val="center"/>
          </w:tcPr>
          <w:p>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rPr>
            </w:pPr>
            <w:r>
              <w:rPr>
                <w:rFonts w:hint="eastAsia" w:ascii="仿宋_GB2312" w:hAnsi="仿宋_GB2312" w:eastAsia="仿宋_GB2312" w:cs="仿宋_GB2312"/>
                <w:color w:val="000000" w:themeColor="text1"/>
                <w:sz w:val="18"/>
                <w:szCs w:val="18"/>
                <w:highlight w:val="none"/>
                <w:lang w:val="en-US" w:eastAsia="zh-CN"/>
              </w:rPr>
              <w:t>5</w:t>
            </w:r>
          </w:p>
        </w:tc>
        <w:tc>
          <w:tcPr>
            <w:tcW w:w="536" w:type="pct"/>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机制砂</w:t>
            </w:r>
          </w:p>
        </w:tc>
        <w:tc>
          <w:tcPr>
            <w:tcW w:w="567" w:type="pct"/>
            <w:shd w:val="clear" w:color="auto" w:fill="auto"/>
            <w:vAlign w:val="center"/>
          </w:tcPr>
          <w:p>
            <w:pPr>
              <w:jc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255"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sz w:val="18"/>
                <w:szCs w:val="18"/>
                <w:highlight w:val="none"/>
              </w:rPr>
              <w:t>吨</w:t>
            </w:r>
          </w:p>
        </w:tc>
        <w:tc>
          <w:tcPr>
            <w:tcW w:w="515" w:type="pct"/>
            <w:shd w:val="clear" w:color="auto" w:fill="auto"/>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sz w:val="18"/>
                <w:szCs w:val="18"/>
                <w:highlight w:val="none"/>
              </w:rPr>
              <w:t>10000</w:t>
            </w:r>
          </w:p>
        </w:tc>
        <w:tc>
          <w:tcPr>
            <w:tcW w:w="521"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552"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300"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627"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521"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289"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13" w:type="pct"/>
            <w:shd w:val="clear" w:color="auto" w:fill="auto"/>
            <w:vAlign w:val="center"/>
          </w:tcPr>
          <w:p>
            <w:pPr>
              <w:widowControl/>
              <w:spacing w:line="400" w:lineRule="atLeast"/>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合计</w:t>
            </w:r>
          </w:p>
        </w:tc>
        <w:tc>
          <w:tcPr>
            <w:tcW w:w="536" w:type="pct"/>
            <w:shd w:val="clear" w:color="auto" w:fill="auto"/>
            <w:vAlign w:val="center"/>
          </w:tcPr>
          <w:p>
            <w:pPr>
              <w:widowControl/>
              <w:spacing w:line="400" w:lineRule="atLeast"/>
              <w:jc w:val="center"/>
              <w:textAlignment w:val="center"/>
              <w:rPr>
                <w:rFonts w:ascii="仿宋_GB2312" w:hAnsi="仿宋_GB2312" w:eastAsia="仿宋_GB2312" w:cs="仿宋_GB2312"/>
                <w:color w:val="000000" w:themeColor="text1"/>
                <w:sz w:val="18"/>
                <w:szCs w:val="18"/>
                <w:highlight w:val="none"/>
              </w:rPr>
            </w:pPr>
          </w:p>
        </w:tc>
        <w:tc>
          <w:tcPr>
            <w:tcW w:w="567" w:type="pct"/>
            <w:shd w:val="clear" w:color="auto" w:fill="auto"/>
            <w:vAlign w:val="center"/>
          </w:tcPr>
          <w:p>
            <w:pPr>
              <w:widowControl/>
              <w:spacing w:line="400" w:lineRule="atLeast"/>
              <w:jc w:val="center"/>
              <w:textAlignment w:val="center"/>
              <w:rPr>
                <w:rFonts w:ascii="仿宋_GB2312" w:hAnsi="仿宋_GB2312" w:eastAsia="仿宋_GB2312" w:cs="仿宋_GB2312"/>
                <w:color w:val="000000" w:themeColor="text1"/>
                <w:sz w:val="18"/>
                <w:szCs w:val="18"/>
                <w:highlight w:val="none"/>
              </w:rPr>
            </w:pPr>
          </w:p>
        </w:tc>
        <w:tc>
          <w:tcPr>
            <w:tcW w:w="255"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515" w:type="pct"/>
            <w:shd w:val="clear" w:color="auto" w:fill="auto"/>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521"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552"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300"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627"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521"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289"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pPr>
              <w:widowControl/>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不含增值税总价（暂定）</w:t>
            </w:r>
            <w:r>
              <w:rPr>
                <w:rFonts w:hint="eastAsia" w:ascii="仿宋_GB2312" w:hAnsi="宋体" w:eastAsia="仿宋_GB2312"/>
                <w:color w:val="000000" w:themeColor="text1"/>
                <w:sz w:val="18"/>
                <w:szCs w:val="18"/>
                <w:highlight w:val="none"/>
              </w:rPr>
              <w:t>：人民币</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pPr>
              <w:widowControl/>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含增值税总价（暂定）</w:t>
            </w:r>
            <w:r>
              <w:rPr>
                <w:rFonts w:hint="eastAsia" w:ascii="仿宋_GB2312" w:hAnsi="宋体" w:eastAsia="仿宋_GB2312"/>
                <w:color w:val="000000" w:themeColor="text1"/>
                <w:sz w:val="18"/>
                <w:szCs w:val="18"/>
                <w:highlight w:val="none"/>
              </w:rPr>
              <w:t>：</w:t>
            </w:r>
            <w:r>
              <w:rPr>
                <w:rFonts w:hint="eastAsia" w:ascii="仿宋_GB2312" w:hAnsi="仿宋_GB2312" w:eastAsia="仿宋_GB2312" w:cs="仿宋_GB2312"/>
                <w:color w:val="000000" w:themeColor="text1"/>
                <w:sz w:val="18"/>
                <w:szCs w:val="18"/>
                <w:highlight w:val="none"/>
              </w:rPr>
              <w:t>不含增值税暂定总价*（1+增值税税率）=</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w:t>
            </w:r>
          </w:p>
        </w:tc>
      </w:tr>
    </w:tbl>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说明：</w:t>
      </w:r>
    </w:p>
    <w:p>
      <w:pPr>
        <w:pStyle w:val="41"/>
        <w:numPr>
          <w:ilvl w:val="255"/>
          <w:numId w:val="0"/>
        </w:numPr>
        <w:spacing w:line="400" w:lineRule="atLeast"/>
        <w:ind w:firstLine="482" w:firstLineChars="200"/>
        <w:outlineLvl w:val="2"/>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1.</w:t>
      </w:r>
      <w:r>
        <w:rPr>
          <w:rFonts w:hint="eastAsia" w:ascii="仿宋_GB2312" w:hAnsi="仿宋_GB2312" w:eastAsia="仿宋_GB2312" w:cs="仿宋_GB2312"/>
          <w:b/>
          <w:bCs/>
          <w:color w:val="000000" w:themeColor="text1"/>
          <w:highlight w:val="none"/>
          <w:lang w:val="en-US" w:eastAsia="zh-CN"/>
        </w:rPr>
        <w:t>1.</w:t>
      </w:r>
      <w:r>
        <w:rPr>
          <w:rFonts w:hint="eastAsia" w:ascii="仿宋_GB2312" w:hAnsi="仿宋_GB2312" w:eastAsia="仿宋_GB2312" w:cs="仿宋_GB2312"/>
          <w:b/>
          <w:bCs/>
          <w:color w:val="000000" w:themeColor="text1"/>
          <w:highlight w:val="none"/>
        </w:rPr>
        <w:t>1本合同为</w:t>
      </w:r>
      <w:r>
        <w:rPr>
          <w:rFonts w:hint="eastAsia" w:ascii="仿宋_GB2312" w:hAnsi="仿宋_GB2312" w:eastAsia="仿宋_GB2312" w:cs="仿宋_GB2312"/>
          <w:b/>
          <w:bCs/>
          <w:color w:val="000000" w:themeColor="text1"/>
          <w:highlight w:val="none"/>
          <w:lang w:eastAsia="zh-Hans"/>
        </w:rPr>
        <w:t>固定</w:t>
      </w:r>
      <w:r>
        <w:rPr>
          <w:rFonts w:hint="eastAsia" w:ascii="仿宋_GB2312" w:hAnsi="仿宋_GB2312" w:eastAsia="仿宋_GB2312" w:cs="仿宋_GB2312"/>
          <w:b/>
          <w:bCs/>
          <w:color w:val="000000" w:themeColor="text1"/>
          <w:highlight w:val="none"/>
        </w:rPr>
        <w:t>单价合同；</w:t>
      </w:r>
      <w:r>
        <w:rPr>
          <w:rFonts w:hint="eastAsia" w:ascii="仿宋_GB2312" w:hAnsi="仿宋_GB2312" w:eastAsia="仿宋_GB2312" w:cs="仿宋_GB2312"/>
          <w:b/>
          <w:bCs/>
          <w:color w:val="000000" w:themeColor="text1"/>
          <w:highlight w:val="none"/>
          <w:u w:val="single"/>
        </w:rPr>
        <w:t>不</w:t>
      </w:r>
      <w:bookmarkStart w:id="83" w:name="_Hlk127188815"/>
      <w:r>
        <w:rPr>
          <w:rFonts w:hint="eastAsia" w:ascii="仿宋_GB2312" w:hAnsi="仿宋_GB2312" w:eastAsia="仿宋_GB2312" w:cs="仿宋_GB2312"/>
          <w:b/>
          <w:bCs/>
          <w:highlight w:val="none"/>
          <w:u w:val="single"/>
        </w:rPr>
        <w:t>含增值税综合单价</w:t>
      </w:r>
      <w:r>
        <w:rPr>
          <w:rFonts w:hint="eastAsia" w:ascii="仿宋_GB2312" w:hAnsi="仿宋_GB2312" w:eastAsia="仿宋_GB2312" w:cs="仿宋_GB2312"/>
          <w:b/>
          <w:bCs/>
          <w:color w:val="000000" w:themeColor="text1"/>
          <w:highlight w:val="none"/>
          <w:u w:val="single"/>
        </w:rPr>
        <w:t>为物资运至工地的单价包括</w:t>
      </w:r>
      <w:r>
        <w:rPr>
          <w:rFonts w:hint="eastAsia" w:ascii="仿宋_GB2312" w:hAnsi="仿宋_GB2312" w:eastAsia="仿宋_GB2312" w:cs="仿宋_GB2312"/>
          <w:b/>
          <w:bCs/>
          <w:color w:val="000000" w:themeColor="text1"/>
          <w:highlight w:val="none"/>
          <w:u w:val="single"/>
          <w:lang w:val="en-US" w:eastAsia="zh-CN"/>
        </w:rPr>
        <w:t>但不限于</w:t>
      </w:r>
      <w:r>
        <w:rPr>
          <w:rFonts w:hint="eastAsia" w:ascii="仿宋_GB2312" w:hAnsi="仿宋_GB2312" w:eastAsia="仿宋_GB2312" w:cs="仿宋_GB2312"/>
          <w:b/>
          <w:bCs/>
          <w:highlight w:val="none"/>
          <w:u w:val="single"/>
        </w:rPr>
        <w:t>材料费（或设备费）、包装回收费、卸货前损耗费、安装指导费、调试费、测试费（如有）、卸货前保管费</w:t>
      </w:r>
      <w:r>
        <w:rPr>
          <w:rFonts w:hint="eastAsia" w:ascii="仿宋_GB2312" w:hAnsi="仿宋_GB2312" w:eastAsia="仿宋_GB2312" w:cs="仿宋_GB2312"/>
          <w:b/>
          <w:bCs/>
          <w:color w:val="000000" w:themeColor="text1"/>
          <w:highlight w:val="none"/>
          <w:u w:val="single"/>
        </w:rPr>
        <w:t>（如有）、税金、包装费、上车人力及机械资费（由乙方自行协调，甲方只进行指定场地和材料验收工作）、出库费、出厂检测费（包括但不限于到场后的第三方检测费用）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b/>
          <w:bCs/>
          <w:color w:val="000000" w:themeColor="text1"/>
          <w:highlight w:val="none"/>
          <w:u w:val="single"/>
          <w:lang w:eastAsia="zh-CN"/>
        </w:rPr>
        <w:t>、码放费、现场倒运费用、保险费、</w:t>
      </w:r>
      <w:r>
        <w:rPr>
          <w:rFonts w:hint="eastAsia" w:ascii="仿宋_GB2312" w:hAnsi="仿宋_GB2312" w:eastAsia="仿宋_GB2312" w:cs="仿宋_GB2312"/>
          <w:b/>
          <w:bCs/>
          <w:color w:val="000000" w:themeColor="text1"/>
          <w:highlight w:val="none"/>
          <w:u w:val="single"/>
          <w:lang w:val="en-US" w:eastAsia="zh-CN"/>
        </w:rPr>
        <w:t>中转</w:t>
      </w:r>
      <w:r>
        <w:rPr>
          <w:rFonts w:hint="eastAsia" w:ascii="仿宋_GB2312" w:hAnsi="仿宋_GB2312" w:eastAsia="仿宋_GB2312" w:cs="仿宋_GB2312"/>
          <w:b/>
          <w:bCs/>
          <w:color w:val="000000" w:themeColor="text1"/>
          <w:highlight w:val="none"/>
          <w:u w:val="single"/>
          <w:lang w:eastAsia="zh-CN"/>
        </w:rPr>
        <w:t>仓储费、驻厂监造费、运输造成的道路污染的清理及维修费用、</w:t>
      </w:r>
      <w:r>
        <w:rPr>
          <w:rFonts w:hint="eastAsia" w:ascii="仿宋_GB2312" w:hAnsi="仿宋_GB2312" w:eastAsia="仿宋_GB2312" w:cs="仿宋_GB2312"/>
          <w:b/>
          <w:bCs/>
          <w:color w:val="000000" w:themeColor="text1"/>
          <w:highlight w:val="none"/>
          <w:u w:val="single"/>
        </w:rPr>
        <w:t>出库吊装费、运输费、过江过桥费、高速公路费等，含工地卸货费挂钩卸车人工费</w:t>
      </w:r>
      <w:r>
        <w:rPr>
          <w:rFonts w:hint="eastAsia" w:ascii="仿宋_GB2312" w:hAnsi="仿宋_GB2312" w:eastAsia="仿宋_GB2312" w:cs="仿宋_GB2312"/>
          <w:b/>
          <w:bCs/>
          <w:color w:val="000000" w:themeColor="text1"/>
          <w:highlight w:val="none"/>
          <w:u w:val="single"/>
          <w:lang w:eastAsia="zh-CN"/>
        </w:rPr>
        <w:t>、</w:t>
      </w:r>
      <w:r>
        <w:rPr>
          <w:rFonts w:hint="eastAsia" w:ascii="仿宋_GB2312" w:hAnsi="仿宋_GB2312" w:eastAsia="仿宋_GB2312" w:cs="仿宋_GB2312"/>
          <w:b/>
          <w:bCs/>
          <w:color w:val="000000" w:themeColor="text1"/>
          <w:highlight w:val="none"/>
          <w:u w:val="single"/>
          <w:lang w:val="en-US" w:eastAsia="zh-CN"/>
        </w:rPr>
        <w:t>资料费、财务费、</w:t>
      </w:r>
      <w:r>
        <w:rPr>
          <w:rFonts w:hint="eastAsia" w:ascii="仿宋_GB2312" w:hAnsi="仿宋_GB2312" w:eastAsia="仿宋_GB2312" w:cs="仿宋_GB2312"/>
          <w:b/>
          <w:bCs/>
          <w:color w:val="000000" w:themeColor="text1"/>
          <w:highlight w:val="none"/>
          <w:u w:val="single"/>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b/>
          <w:bCs/>
          <w:color w:val="000000" w:themeColor="text1"/>
          <w:highlight w:val="none"/>
          <w:u w:val="single"/>
          <w:lang w:val="en-US" w:eastAsia="zh-CN"/>
        </w:rPr>
        <w:t>等一切费用</w:t>
      </w:r>
      <w:r>
        <w:rPr>
          <w:rFonts w:hint="eastAsia" w:ascii="仿宋_GB2312" w:hAnsi="仿宋_GB2312" w:eastAsia="仿宋_GB2312" w:cs="仿宋_GB2312"/>
          <w:b/>
          <w:bCs/>
          <w:color w:val="000000" w:themeColor="text1"/>
          <w:highlight w:val="none"/>
          <w:u w:val="single"/>
        </w:rPr>
        <w:t>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pPr>
        <w:pStyle w:val="41"/>
        <w:numPr>
          <w:ilvl w:val="255"/>
          <w:numId w:val="0"/>
        </w:numPr>
        <w:spacing w:line="400" w:lineRule="atLeast"/>
        <w:ind w:firstLine="482" w:firstLineChars="200"/>
        <w:outlineLvl w:val="2"/>
        <w:rPr>
          <w:highlight w:val="none"/>
        </w:rPr>
      </w:pPr>
      <w:r>
        <w:rPr>
          <w:rFonts w:hint="eastAsia" w:ascii="仿宋_GB2312" w:hAnsi="仿宋_GB2312" w:eastAsia="仿宋_GB2312" w:cs="仿宋_GB2312"/>
          <w:b/>
          <w:bCs/>
          <w:color w:val="000000" w:themeColor="text1"/>
          <w:highlight w:val="none"/>
          <w:lang w:val="en-US" w:eastAsia="zh-CN"/>
        </w:rPr>
        <w:t>1.1.2</w:t>
      </w:r>
      <w:r>
        <w:rPr>
          <w:rFonts w:hint="eastAsia" w:ascii="仿宋_GB2312" w:hAnsi="仿宋_GB2312" w:eastAsia="仿宋_GB2312" w:cs="仿宋_GB2312"/>
          <w:b/>
          <w:bCs/>
          <w:color w:val="000000" w:themeColor="text1"/>
          <w:highlight w:val="none"/>
        </w:rPr>
        <w:t>本合同约定的“</w:t>
      </w:r>
      <w:r>
        <w:rPr>
          <w:rFonts w:hint="eastAsia" w:ascii="仿宋_GB2312" w:hAnsi="仿宋_GB2312" w:eastAsia="仿宋_GB2312" w:cs="仿宋_GB2312"/>
          <w:b/>
          <w:bCs/>
          <w:color w:val="000000" w:themeColor="text1"/>
          <w:highlight w:val="none"/>
          <w:lang w:val="en-US" w:eastAsia="zh-CN"/>
        </w:rPr>
        <w:t>不含税</w:t>
      </w:r>
      <w:r>
        <w:rPr>
          <w:rFonts w:hint="eastAsia" w:ascii="仿宋_GB2312" w:hAnsi="仿宋_GB2312" w:eastAsia="仿宋_GB2312" w:cs="仿宋_GB2312"/>
          <w:b/>
          <w:bCs/>
          <w:color w:val="000000" w:themeColor="text1"/>
          <w:highlight w:val="none"/>
        </w:rPr>
        <w:t>综合单价”为固定单价，即不受市场变化影响，且无论进场数量多少价格亦不发生变化</w:t>
      </w:r>
      <w:r>
        <w:rPr>
          <w:rFonts w:hint="eastAsia" w:ascii="仿宋_GB2312" w:hAnsi="仿宋_GB2312" w:eastAsia="仿宋_GB2312" w:cs="仿宋_GB2312"/>
          <w:b/>
          <w:bCs/>
          <w:color w:val="000000" w:themeColor="text1"/>
          <w:highlight w:val="none"/>
          <w:lang w:eastAsia="zh-CN"/>
        </w:rPr>
        <w:t>。</w:t>
      </w:r>
    </w:p>
    <w:p>
      <w:pPr>
        <w:pStyle w:val="41"/>
        <w:numPr>
          <w:ilvl w:val="0"/>
          <w:numId w:val="0"/>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kern w:val="0"/>
          <w:sz w:val="24"/>
          <w:szCs w:val="24"/>
          <w:highlight w:val="none"/>
          <w:u w:val="single"/>
          <w:lang w:val="en-US" w:eastAsia="zh-CN"/>
        </w:rPr>
      </w:pPr>
      <w:r>
        <w:rPr>
          <w:rFonts w:hint="eastAsia" w:ascii="仿宋_GB2312" w:hAnsi="仿宋_GB2312" w:eastAsia="仿宋_GB2312" w:cs="仿宋_GB2312"/>
          <w:b/>
          <w:bCs/>
          <w:color w:val="000000" w:themeColor="text1"/>
          <w:kern w:val="0"/>
          <w:sz w:val="24"/>
          <w:szCs w:val="24"/>
          <w:highlight w:val="none"/>
          <w:lang w:val="en-US" w:eastAsia="zh-CN"/>
        </w:rPr>
        <w:t>1.1.3</w:t>
      </w:r>
      <w:r>
        <w:rPr>
          <w:rFonts w:hint="eastAsia" w:ascii="仿宋_GB2312" w:hAnsi="仿宋_GB2312" w:eastAsia="仿宋_GB2312" w:cs="仿宋_GB2312"/>
          <w:b/>
          <w:bCs/>
          <w:color w:val="000000" w:themeColor="text1"/>
          <w:kern w:val="0"/>
          <w:sz w:val="24"/>
          <w:szCs w:val="24"/>
          <w:highlight w:val="none"/>
        </w:rPr>
        <w:t>其他：</w:t>
      </w:r>
      <w:r>
        <w:rPr>
          <w:rFonts w:hint="eastAsia" w:ascii="仿宋_GB2312" w:hAnsi="仿宋_GB2312" w:eastAsia="仿宋_GB2312" w:cs="仿宋_GB2312"/>
          <w:b/>
          <w:bCs/>
          <w:color w:val="000000" w:themeColor="text1"/>
          <w:kern w:val="0"/>
          <w:sz w:val="24"/>
          <w:szCs w:val="24"/>
          <w:highlight w:val="none"/>
          <w:u w:val="single"/>
          <w:lang w:val="en-US" w:eastAsia="zh-CN"/>
        </w:rPr>
        <w:t xml:space="preserve">                                                   </w:t>
      </w:r>
    </w:p>
    <w:p>
      <w:pPr>
        <w:pStyle w:val="41"/>
        <w:numPr>
          <w:ilvl w:val="1"/>
          <w:numId w:val="2"/>
        </w:numPr>
        <w:spacing w:before="120" w:beforeLines="50" w:after="120" w:afterLines="50" w:line="400" w:lineRule="atLeast"/>
        <w:outlineLvl w:val="0"/>
        <w:rPr>
          <w:rFonts w:hint="default" w:ascii="仿宋_GB2312" w:hAnsi="仿宋_GB2312" w:eastAsia="仿宋_GB2312" w:cs="仿宋_GB2312"/>
          <w:b/>
          <w:bCs/>
          <w:color w:val="000000" w:themeColor="text1"/>
          <w:highlight w:val="none"/>
          <w:lang w:val="en-US" w:eastAsia="zh-CN"/>
        </w:rPr>
      </w:pPr>
      <w:r>
        <w:rPr>
          <w:rFonts w:hint="eastAsia" w:ascii="仿宋_GB2312" w:hAnsi="仿宋_GB2312" w:eastAsia="仿宋_GB2312" w:cs="仿宋_GB2312"/>
          <w:b/>
          <w:bCs/>
          <w:color w:val="000000" w:themeColor="text1"/>
          <w:highlight w:val="none"/>
          <w:lang w:val="en-US" w:eastAsia="zh-CN"/>
        </w:rPr>
        <w:t>方式二：组合单价合同</w:t>
      </w:r>
      <w:r>
        <w:rPr>
          <w:rFonts w:hint="eastAsia" w:ascii="仿宋_GB2312" w:hAnsi="仿宋_GB2312" w:eastAsia="仿宋_GB2312" w:cs="仿宋_GB2312"/>
          <w:color w:val="000000" w:themeColor="text1"/>
          <w:highlight w:val="none"/>
          <w:u w:val="single"/>
        </w:rPr>
        <w:t>含税综合单价=含税基准价（P1）+含税附加费(P2)+其他。</w:t>
      </w:r>
    </w:p>
    <w:tbl>
      <w:tblPr>
        <w:tblStyle w:val="34"/>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618"/>
        <w:gridCol w:w="1205"/>
        <w:gridCol w:w="586"/>
        <w:gridCol w:w="586"/>
        <w:gridCol w:w="747"/>
        <w:gridCol w:w="720"/>
        <w:gridCol w:w="718"/>
        <w:gridCol w:w="1077"/>
        <w:gridCol w:w="988"/>
        <w:gridCol w:w="861"/>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9120" w:type="dxa"/>
            <w:gridSpan w:val="12"/>
            <w:vAlign w:val="center"/>
          </w:tcPr>
          <w:p>
            <w:pPr>
              <w:pStyle w:val="41"/>
              <w:numPr>
                <w:ilvl w:val="0"/>
                <w:numId w:val="0"/>
              </w:numPr>
              <w:spacing w:before="120" w:beforeLines="50" w:after="120" w:afterLines="50" w:line="400" w:lineRule="atLeast"/>
              <w:ind w:left="0" w:leftChars="0" w:firstLine="0" w:firstLineChars="0"/>
              <w:outlineLvl w:val="0"/>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b/>
                <w:bCs/>
                <w:color w:val="000000" w:themeColor="text1"/>
                <w:highlight w:val="none"/>
                <w:lang w:val="en-US" w:eastAsia="zh-CN"/>
              </w:rPr>
              <w:t>方式二：组合单价合同清单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396" w:type="dxa"/>
            <w:vMerge w:val="restart"/>
            <w:vAlign w:val="center"/>
          </w:tcPr>
          <w:p>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序</w:t>
            </w:r>
          </w:p>
          <w:p>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号</w:t>
            </w:r>
          </w:p>
        </w:tc>
        <w:tc>
          <w:tcPr>
            <w:tcW w:w="628" w:type="dxa"/>
            <w:vMerge w:val="restart"/>
            <w:vAlign w:val="center"/>
          </w:tcPr>
          <w:p>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lang w:val="en-US" w:eastAsia="zh-CN"/>
              </w:rPr>
              <w:t>货物</w:t>
            </w:r>
            <w:r>
              <w:rPr>
                <w:rFonts w:hint="eastAsia" w:ascii="仿宋_GB2312" w:hAnsi="宋体" w:eastAsia="仿宋_GB2312"/>
                <w:color w:val="000000" w:themeColor="text1"/>
                <w:sz w:val="18"/>
                <w:szCs w:val="18"/>
                <w:highlight w:val="none"/>
              </w:rPr>
              <w:t>名称</w:t>
            </w:r>
          </w:p>
        </w:tc>
        <w:tc>
          <w:tcPr>
            <w:tcW w:w="1242" w:type="dxa"/>
            <w:vMerge w:val="restart"/>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货物</w:t>
            </w:r>
          </w:p>
          <w:p>
            <w:pPr>
              <w:tabs>
                <w:tab w:val="left" w:pos="2857"/>
              </w:tabs>
              <w:jc w:val="center"/>
              <w:rPr>
                <w:rFonts w:ascii="仿宋_GB2312" w:hAnsi="宋体" w:eastAsia="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规格参数</w:t>
            </w:r>
          </w:p>
          <w:p>
            <w:pPr>
              <w:tabs>
                <w:tab w:val="left" w:pos="2857"/>
              </w:tabs>
              <w:jc w:val="center"/>
              <w:rPr>
                <w:rFonts w:ascii="仿宋_GB2312" w:hAnsi="宋体" w:eastAsia="仿宋_GB2312"/>
                <w:color w:val="000000" w:themeColor="text1"/>
                <w:sz w:val="18"/>
                <w:szCs w:val="18"/>
                <w:highlight w:val="none"/>
              </w:rPr>
            </w:pPr>
          </w:p>
        </w:tc>
        <w:tc>
          <w:tcPr>
            <w:tcW w:w="595" w:type="dxa"/>
            <w:vMerge w:val="restart"/>
            <w:vAlign w:val="center"/>
          </w:tcPr>
          <w:p>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计量单位</w:t>
            </w:r>
          </w:p>
        </w:tc>
        <w:tc>
          <w:tcPr>
            <w:tcW w:w="595" w:type="dxa"/>
            <w:vAlign w:val="center"/>
          </w:tcPr>
          <w:p>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数量</w:t>
            </w:r>
          </w:p>
        </w:tc>
        <w:tc>
          <w:tcPr>
            <w:tcW w:w="758" w:type="dxa"/>
            <w:vAlign w:val="center"/>
          </w:tcPr>
          <w:p>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含税基准价</w:t>
            </w:r>
          </w:p>
          <w:p>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(元)</w:t>
            </w:r>
          </w:p>
        </w:tc>
        <w:tc>
          <w:tcPr>
            <w:tcW w:w="729" w:type="dxa"/>
            <w:vAlign w:val="center"/>
          </w:tcPr>
          <w:p>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含税附加费</w:t>
            </w:r>
          </w:p>
          <w:p>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(元)</w:t>
            </w:r>
          </w:p>
        </w:tc>
        <w:tc>
          <w:tcPr>
            <w:tcW w:w="727" w:type="dxa"/>
            <w:vAlign w:val="center"/>
          </w:tcPr>
          <w:p>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税率</w:t>
            </w:r>
          </w:p>
          <w:p>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w:t>
            </w:r>
          </w:p>
        </w:tc>
        <w:tc>
          <w:tcPr>
            <w:tcW w:w="1033" w:type="dxa"/>
            <w:vAlign w:val="center"/>
          </w:tcPr>
          <w:p>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不含税综合单价</w:t>
            </w:r>
          </w:p>
          <w:p>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(元)</w:t>
            </w:r>
          </w:p>
        </w:tc>
        <w:tc>
          <w:tcPr>
            <w:tcW w:w="925" w:type="dxa"/>
            <w:vAlign w:val="center"/>
          </w:tcPr>
          <w:p>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含税综合单价</w:t>
            </w:r>
          </w:p>
          <w:p>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(元)</w:t>
            </w:r>
          </w:p>
        </w:tc>
        <w:tc>
          <w:tcPr>
            <w:tcW w:w="865" w:type="dxa"/>
            <w:vAlign w:val="center"/>
          </w:tcPr>
          <w:p>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含税合价</w:t>
            </w:r>
          </w:p>
          <w:p>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(元)</w:t>
            </w:r>
          </w:p>
        </w:tc>
        <w:tc>
          <w:tcPr>
            <w:tcW w:w="627" w:type="dxa"/>
            <w:vAlign w:val="center"/>
          </w:tcPr>
          <w:p>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396" w:type="dxa"/>
            <w:vMerge w:val="continue"/>
            <w:tcBorders>
              <w:bottom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628" w:type="dxa"/>
            <w:vMerge w:val="continue"/>
            <w:tcBorders>
              <w:bottom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1242" w:type="dxa"/>
            <w:vMerge w:val="continue"/>
            <w:tcBorders>
              <w:bottom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595" w:type="dxa"/>
            <w:vMerge w:val="continue"/>
            <w:tcBorders>
              <w:bottom w:val="single" w:color="auto" w:sz="4" w:space="0"/>
            </w:tcBorders>
          </w:tcPr>
          <w:p>
            <w:pPr>
              <w:tabs>
                <w:tab w:val="left" w:pos="2857"/>
              </w:tabs>
              <w:jc w:val="center"/>
              <w:rPr>
                <w:rFonts w:ascii="仿宋_GB2312" w:hAnsi="宋体" w:eastAsia="仿宋_GB2312"/>
                <w:b/>
                <w:color w:val="000000" w:themeColor="text1"/>
                <w:sz w:val="18"/>
                <w:szCs w:val="18"/>
                <w:highlight w:val="none"/>
              </w:rPr>
            </w:pPr>
          </w:p>
        </w:tc>
        <w:tc>
          <w:tcPr>
            <w:tcW w:w="595" w:type="dxa"/>
            <w:tcBorders>
              <w:bottom w:val="single" w:color="auto" w:sz="4" w:space="0"/>
            </w:tcBorders>
            <w:vAlign w:val="center"/>
          </w:tcPr>
          <w:p>
            <w:pPr>
              <w:tabs>
                <w:tab w:val="left" w:pos="2857"/>
              </w:tabs>
              <w:jc w:val="center"/>
              <w:rPr>
                <w:rFonts w:ascii="仿宋_GB2312" w:hAnsi="宋体" w:eastAsia="仿宋_GB2312"/>
                <w:b/>
                <w:color w:val="000000" w:themeColor="text1"/>
                <w:sz w:val="18"/>
                <w:szCs w:val="18"/>
                <w:highlight w:val="none"/>
              </w:rPr>
            </w:pPr>
            <w:r>
              <w:rPr>
                <w:rFonts w:hint="eastAsia" w:ascii="仿宋_GB2312" w:hAnsi="宋体" w:eastAsia="仿宋_GB2312"/>
                <w:b/>
                <w:color w:val="000000" w:themeColor="text1"/>
                <w:sz w:val="18"/>
                <w:szCs w:val="18"/>
                <w:highlight w:val="none"/>
              </w:rPr>
              <w:t>A</w:t>
            </w:r>
          </w:p>
        </w:tc>
        <w:tc>
          <w:tcPr>
            <w:tcW w:w="758" w:type="dxa"/>
            <w:tcBorders>
              <w:bottom w:val="single" w:color="auto" w:sz="4" w:space="0"/>
            </w:tcBorders>
            <w:vAlign w:val="center"/>
          </w:tcPr>
          <w:p>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P1</w:t>
            </w:r>
          </w:p>
        </w:tc>
        <w:tc>
          <w:tcPr>
            <w:tcW w:w="729" w:type="dxa"/>
            <w:tcBorders>
              <w:bottom w:val="single" w:color="auto" w:sz="4" w:space="0"/>
            </w:tcBorders>
            <w:vAlign w:val="center"/>
          </w:tcPr>
          <w:p>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P2</w:t>
            </w:r>
          </w:p>
        </w:tc>
        <w:tc>
          <w:tcPr>
            <w:tcW w:w="727" w:type="dxa"/>
            <w:tcBorders>
              <w:bottom w:val="single" w:color="auto" w:sz="4" w:space="0"/>
            </w:tcBorders>
            <w:vAlign w:val="center"/>
          </w:tcPr>
          <w:p>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B</w:t>
            </w:r>
          </w:p>
        </w:tc>
        <w:tc>
          <w:tcPr>
            <w:tcW w:w="1033" w:type="dxa"/>
            <w:tcBorders>
              <w:bottom w:val="single" w:color="auto" w:sz="4" w:space="0"/>
            </w:tcBorders>
            <w:vAlign w:val="center"/>
          </w:tcPr>
          <w:p>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C</w:t>
            </w:r>
            <w:r>
              <w:rPr>
                <w:rFonts w:hint="eastAsia" w:ascii="仿宋_GB2312" w:hAnsi="宋体" w:eastAsia="仿宋_GB2312"/>
                <w:b/>
                <w:color w:val="000000" w:themeColor="text1"/>
                <w:sz w:val="18"/>
                <w:szCs w:val="18"/>
                <w:highlight w:val="none"/>
              </w:rPr>
              <w:t>=</w:t>
            </w:r>
            <w:r>
              <w:rPr>
                <w:rFonts w:ascii="仿宋_GB2312" w:hAnsi="宋体" w:eastAsia="仿宋_GB2312"/>
                <w:b/>
                <w:color w:val="000000" w:themeColor="text1"/>
                <w:sz w:val="18"/>
                <w:szCs w:val="18"/>
                <w:highlight w:val="none"/>
              </w:rPr>
              <w:t>D</w:t>
            </w:r>
            <w:r>
              <w:rPr>
                <w:rFonts w:hint="eastAsia" w:ascii="仿宋_GB2312" w:hAnsi="宋体" w:eastAsia="仿宋_GB2312"/>
                <w:b/>
                <w:color w:val="000000" w:themeColor="text1"/>
                <w:sz w:val="18"/>
                <w:szCs w:val="18"/>
                <w:highlight w:val="none"/>
              </w:rPr>
              <w:t>/(1+</w:t>
            </w:r>
            <w:r>
              <w:rPr>
                <w:rFonts w:ascii="仿宋_GB2312" w:hAnsi="宋体" w:eastAsia="仿宋_GB2312"/>
                <w:b/>
                <w:color w:val="000000" w:themeColor="text1"/>
                <w:sz w:val="18"/>
                <w:szCs w:val="18"/>
                <w:highlight w:val="none"/>
              </w:rPr>
              <w:t>B</w:t>
            </w:r>
            <w:r>
              <w:rPr>
                <w:rFonts w:hint="eastAsia" w:ascii="仿宋_GB2312" w:hAnsi="宋体" w:eastAsia="仿宋_GB2312"/>
                <w:b/>
                <w:color w:val="000000" w:themeColor="text1"/>
                <w:sz w:val="18"/>
                <w:szCs w:val="18"/>
                <w:highlight w:val="none"/>
              </w:rPr>
              <w:t>)</w:t>
            </w:r>
          </w:p>
        </w:tc>
        <w:tc>
          <w:tcPr>
            <w:tcW w:w="925" w:type="dxa"/>
            <w:tcBorders>
              <w:bottom w:val="single" w:color="auto" w:sz="4" w:space="0"/>
            </w:tcBorders>
            <w:vAlign w:val="center"/>
          </w:tcPr>
          <w:p>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D</w:t>
            </w:r>
            <w:r>
              <w:rPr>
                <w:rFonts w:hint="eastAsia" w:ascii="仿宋_GB2312" w:hAnsi="宋体" w:eastAsia="仿宋_GB2312"/>
                <w:b/>
                <w:color w:val="000000" w:themeColor="text1"/>
                <w:sz w:val="18"/>
                <w:szCs w:val="18"/>
                <w:highlight w:val="none"/>
              </w:rPr>
              <w:t>=</w:t>
            </w:r>
            <w:r>
              <w:rPr>
                <w:rFonts w:ascii="仿宋_GB2312" w:hAnsi="宋体" w:eastAsia="仿宋_GB2312"/>
                <w:b/>
                <w:color w:val="000000" w:themeColor="text1"/>
                <w:sz w:val="18"/>
                <w:szCs w:val="18"/>
                <w:highlight w:val="none"/>
              </w:rPr>
              <w:t>P1+P2</w:t>
            </w:r>
          </w:p>
        </w:tc>
        <w:tc>
          <w:tcPr>
            <w:tcW w:w="865" w:type="dxa"/>
            <w:tcBorders>
              <w:bottom w:val="single" w:color="auto" w:sz="4" w:space="0"/>
            </w:tcBorders>
            <w:vAlign w:val="center"/>
          </w:tcPr>
          <w:p>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E</w:t>
            </w:r>
            <w:r>
              <w:rPr>
                <w:rFonts w:hint="eastAsia" w:ascii="仿宋_GB2312" w:hAnsi="宋体" w:eastAsia="仿宋_GB2312"/>
                <w:b/>
                <w:color w:val="000000" w:themeColor="text1"/>
                <w:sz w:val="18"/>
                <w:szCs w:val="18"/>
                <w:highlight w:val="none"/>
              </w:rPr>
              <w:t>=A*D</w:t>
            </w:r>
          </w:p>
        </w:tc>
        <w:tc>
          <w:tcPr>
            <w:tcW w:w="627" w:type="dxa"/>
            <w:tcBorders>
              <w:bottom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1</w:t>
            </w:r>
          </w:p>
        </w:tc>
        <w:tc>
          <w:tcPr>
            <w:tcW w:w="628"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18"/>
                <w:szCs w:val="18"/>
                <w:highlight w:val="none"/>
              </w:rPr>
            </w:pPr>
          </w:p>
        </w:tc>
        <w:tc>
          <w:tcPr>
            <w:tcW w:w="595"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吨</w:t>
            </w:r>
          </w:p>
        </w:tc>
        <w:tc>
          <w:tcPr>
            <w:tcW w:w="595"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758"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72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2</w:t>
            </w:r>
          </w:p>
        </w:tc>
        <w:tc>
          <w:tcPr>
            <w:tcW w:w="628"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18"/>
                <w:szCs w:val="18"/>
                <w:highlight w:val="none"/>
              </w:rPr>
            </w:pPr>
          </w:p>
        </w:tc>
        <w:tc>
          <w:tcPr>
            <w:tcW w:w="595"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吨</w:t>
            </w:r>
          </w:p>
        </w:tc>
        <w:tc>
          <w:tcPr>
            <w:tcW w:w="595"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758"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72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3</w:t>
            </w:r>
          </w:p>
        </w:tc>
        <w:tc>
          <w:tcPr>
            <w:tcW w:w="628"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18"/>
                <w:szCs w:val="18"/>
                <w:highlight w:val="none"/>
              </w:rPr>
            </w:pPr>
          </w:p>
        </w:tc>
        <w:tc>
          <w:tcPr>
            <w:tcW w:w="595"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吨</w:t>
            </w:r>
          </w:p>
        </w:tc>
        <w:tc>
          <w:tcPr>
            <w:tcW w:w="595"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758"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72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4</w:t>
            </w:r>
          </w:p>
        </w:tc>
        <w:tc>
          <w:tcPr>
            <w:tcW w:w="628"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18"/>
                <w:szCs w:val="18"/>
                <w:highlight w:val="none"/>
              </w:rPr>
            </w:pPr>
          </w:p>
        </w:tc>
        <w:tc>
          <w:tcPr>
            <w:tcW w:w="595"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吨</w:t>
            </w:r>
          </w:p>
        </w:tc>
        <w:tc>
          <w:tcPr>
            <w:tcW w:w="595"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758"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72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5</w:t>
            </w:r>
          </w:p>
        </w:tc>
        <w:tc>
          <w:tcPr>
            <w:tcW w:w="628"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18"/>
                <w:szCs w:val="18"/>
                <w:highlight w:val="none"/>
              </w:rPr>
            </w:pPr>
          </w:p>
        </w:tc>
        <w:tc>
          <w:tcPr>
            <w:tcW w:w="595"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吨</w:t>
            </w:r>
          </w:p>
        </w:tc>
        <w:tc>
          <w:tcPr>
            <w:tcW w:w="595"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758"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72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1870" w:type="dxa"/>
            <w:gridSpan w:val="2"/>
            <w:tcBorders>
              <w:top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合计</w:t>
            </w:r>
          </w:p>
        </w:tc>
        <w:tc>
          <w:tcPr>
            <w:tcW w:w="595" w:type="dxa"/>
            <w:tcBorders>
              <w:top w:val="single" w:color="auto" w:sz="4" w:space="0"/>
            </w:tcBorders>
          </w:tcPr>
          <w:p>
            <w:pPr>
              <w:tabs>
                <w:tab w:val="left" w:pos="2857"/>
              </w:tabs>
              <w:jc w:val="center"/>
              <w:rPr>
                <w:rFonts w:ascii="仿宋_GB2312" w:hAnsi="宋体" w:eastAsia="仿宋_GB2312"/>
                <w:color w:val="000000" w:themeColor="text1"/>
                <w:sz w:val="18"/>
                <w:szCs w:val="18"/>
                <w:highlight w:val="none"/>
              </w:rPr>
            </w:pPr>
          </w:p>
        </w:tc>
        <w:tc>
          <w:tcPr>
            <w:tcW w:w="595" w:type="dxa"/>
            <w:tcBorders>
              <w:top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758" w:type="dxa"/>
            <w:tcBorders>
              <w:top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729" w:type="dxa"/>
            <w:tcBorders>
              <w:top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727" w:type="dxa"/>
            <w:tcBorders>
              <w:top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1033" w:type="dxa"/>
            <w:tcBorders>
              <w:top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925" w:type="dxa"/>
            <w:tcBorders>
              <w:top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865" w:type="dxa"/>
            <w:tcBorders>
              <w:top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c>
          <w:tcPr>
            <w:tcW w:w="627" w:type="dxa"/>
            <w:tcBorders>
              <w:top w:val="single" w:color="auto" w:sz="4" w:space="0"/>
            </w:tcBorders>
            <w:vAlign w:val="center"/>
          </w:tcPr>
          <w:p>
            <w:pPr>
              <w:tabs>
                <w:tab w:val="left" w:pos="2857"/>
              </w:tabs>
              <w:jc w:val="center"/>
              <w:rPr>
                <w:rFonts w:ascii="仿宋_GB2312" w:hAnsi="宋体" w:eastAsia="仿宋_GB2312"/>
                <w:color w:val="000000" w:themeColor="text1"/>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2"/>
            <w:vAlign w:val="center"/>
          </w:tcPr>
          <w:p>
            <w:pPr>
              <w:tabs>
                <w:tab w:val="left" w:pos="2857"/>
              </w:tabs>
              <w:jc w:val="left"/>
              <w:rPr>
                <w:rFonts w:ascii="仿宋_GB2312" w:hAnsi="宋体" w:eastAsia="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不含增值税总价（暂定）</w:t>
            </w:r>
            <w:r>
              <w:rPr>
                <w:rFonts w:hint="eastAsia" w:ascii="仿宋_GB2312" w:hAnsi="宋体" w:eastAsia="仿宋_GB2312"/>
                <w:color w:val="000000" w:themeColor="text1"/>
                <w:sz w:val="18"/>
                <w:szCs w:val="18"/>
                <w:highlight w:val="none"/>
              </w:rPr>
              <w:t>：人民币</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 xml:space="preserve">元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2"/>
            <w:vAlign w:val="center"/>
          </w:tcPr>
          <w:p>
            <w:pPr>
              <w:tabs>
                <w:tab w:val="left" w:pos="2857"/>
              </w:tabs>
              <w:jc w:val="left"/>
              <w:rPr>
                <w:rFonts w:ascii="仿宋_GB2312" w:hAnsi="宋体" w:eastAsia="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含增值税总价（暂定）</w:t>
            </w:r>
            <w:r>
              <w:rPr>
                <w:rFonts w:hint="eastAsia" w:ascii="仿宋_GB2312" w:hAnsi="宋体" w:eastAsia="仿宋_GB2312"/>
                <w:color w:val="000000" w:themeColor="text1"/>
                <w:sz w:val="18"/>
                <w:szCs w:val="18"/>
                <w:highlight w:val="none"/>
              </w:rPr>
              <w:t>：人民币</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120" w:type="dxa"/>
            <w:gridSpan w:val="12"/>
            <w:vAlign w:val="center"/>
          </w:tcPr>
          <w:p>
            <w:pPr>
              <w:tabs>
                <w:tab w:val="left" w:pos="2857"/>
              </w:tabs>
              <w:jc w:val="left"/>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注：含税附加费内包含卸车费</w:t>
            </w:r>
            <w:r>
              <w:rPr>
                <w:rFonts w:hint="eastAsia" w:ascii="仿宋_GB2312" w:hAnsi="宋体" w:eastAsia="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元/吨</w:t>
            </w:r>
          </w:p>
        </w:tc>
      </w:tr>
    </w:tbl>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说明：</w:t>
      </w:r>
    </w:p>
    <w:p>
      <w:pPr>
        <w:pStyle w:val="41"/>
        <w:numPr>
          <w:ilvl w:val="255"/>
          <w:numId w:val="0"/>
        </w:numPr>
        <w:spacing w:line="400" w:lineRule="atLeast"/>
        <w:ind w:firstLine="482"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1.2.1包干内容：</w:t>
      </w:r>
      <w:r>
        <w:rPr>
          <w:rFonts w:hint="eastAsia" w:ascii="仿宋_GB2312" w:hAnsi="仿宋_GB2312" w:eastAsia="仿宋_GB2312" w:cs="仿宋_GB2312"/>
          <w:color w:val="000000" w:themeColor="text1"/>
          <w:highlight w:val="none"/>
        </w:rPr>
        <w:t>含增值税综合单价</w:t>
      </w:r>
      <w:r>
        <w:rPr>
          <w:rFonts w:hint="eastAsia" w:ascii="仿宋_GB2312" w:hAnsi="仿宋_GB2312" w:eastAsia="仿宋_GB2312" w:cs="仿宋_GB2312"/>
          <w:b w:val="0"/>
          <w:bCs w:val="0"/>
          <w:color w:val="000000" w:themeColor="text1"/>
          <w:highlight w:val="none"/>
          <w:u w:val="none"/>
        </w:rPr>
        <w:t>为物资运至工地的</w:t>
      </w:r>
      <w:r>
        <w:rPr>
          <w:rFonts w:hint="eastAsia" w:ascii="仿宋_GB2312" w:hAnsi="仿宋_GB2312" w:eastAsia="仿宋_GB2312" w:cs="仿宋_GB2312"/>
          <w:b w:val="0"/>
          <w:bCs w:val="0"/>
          <w:color w:val="000000" w:themeColor="text1"/>
          <w:highlight w:val="none"/>
          <w:u w:val="none"/>
          <w:lang w:val="en-US" w:eastAsia="zh-CN"/>
        </w:rPr>
        <w:t>含税</w:t>
      </w:r>
      <w:r>
        <w:rPr>
          <w:rFonts w:hint="eastAsia" w:ascii="仿宋_GB2312" w:hAnsi="仿宋_GB2312" w:eastAsia="仿宋_GB2312" w:cs="仿宋_GB2312"/>
          <w:b w:val="0"/>
          <w:bCs w:val="0"/>
          <w:color w:val="000000" w:themeColor="text1"/>
          <w:highlight w:val="none"/>
          <w:u w:val="none"/>
        </w:rPr>
        <w:t>单价包括</w:t>
      </w:r>
      <w:r>
        <w:rPr>
          <w:rFonts w:hint="eastAsia" w:ascii="仿宋_GB2312" w:hAnsi="仿宋_GB2312" w:eastAsia="仿宋_GB2312" w:cs="仿宋_GB2312"/>
          <w:b w:val="0"/>
          <w:bCs w:val="0"/>
          <w:color w:val="000000" w:themeColor="text1"/>
          <w:highlight w:val="none"/>
          <w:u w:val="none"/>
          <w:lang w:val="en-US" w:eastAsia="zh-CN"/>
        </w:rPr>
        <w:t>但不限于</w:t>
      </w:r>
      <w:r>
        <w:rPr>
          <w:rFonts w:hint="eastAsia" w:ascii="仿宋_GB2312" w:hAnsi="仿宋_GB2312" w:eastAsia="仿宋_GB2312" w:cs="仿宋_GB2312"/>
          <w:color w:val="000000" w:themeColor="text1"/>
          <w:highlight w:val="none"/>
        </w:rPr>
        <w:t>材料款、税金、包装费、上车人力及机械资费（由乙方自行协调，甲方只进行指定场地和材料验收工作）、出库费、出厂检测费（包括但不限于到场后的第三方检测费用）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color w:val="000000" w:themeColor="text1"/>
          <w:highlight w:val="none"/>
          <w:lang w:eastAsia="zh-CN"/>
        </w:rPr>
        <w:t>、码放费、现场倒运费用、保险费、</w:t>
      </w:r>
      <w:r>
        <w:rPr>
          <w:rFonts w:hint="eastAsia" w:ascii="仿宋_GB2312" w:hAnsi="仿宋_GB2312" w:eastAsia="仿宋_GB2312" w:cs="仿宋_GB2312"/>
          <w:color w:val="000000" w:themeColor="text1"/>
          <w:highlight w:val="none"/>
          <w:lang w:val="en-US" w:eastAsia="zh-CN"/>
        </w:rPr>
        <w:t>中转</w:t>
      </w:r>
      <w:r>
        <w:rPr>
          <w:rFonts w:hint="eastAsia" w:ascii="仿宋_GB2312" w:hAnsi="仿宋_GB2312" w:eastAsia="仿宋_GB2312" w:cs="仿宋_GB2312"/>
          <w:color w:val="000000" w:themeColor="text1"/>
          <w:highlight w:val="none"/>
          <w:lang w:eastAsia="zh-CN"/>
        </w:rPr>
        <w:t>仓储费、驻厂监造费、运输造成的道路污染的清理及维修费用、</w:t>
      </w:r>
      <w:r>
        <w:rPr>
          <w:rFonts w:hint="eastAsia" w:ascii="仿宋_GB2312" w:hAnsi="仿宋_GB2312" w:eastAsia="仿宋_GB2312" w:cs="仿宋_GB2312"/>
          <w:color w:val="000000" w:themeColor="text1"/>
          <w:highlight w:val="none"/>
        </w:rPr>
        <w:t>出库吊装费、运输费、过江过桥费、高速公路费等，含工地卸货费挂钩卸车人工费</w:t>
      </w:r>
      <w:r>
        <w:rPr>
          <w:rFonts w:hint="eastAsia" w:ascii="仿宋_GB2312" w:hAnsi="仿宋_GB2312" w:eastAsia="仿宋_GB2312" w:cs="仿宋_GB2312"/>
          <w:color w:val="000000" w:themeColor="text1"/>
          <w:highlight w:val="none"/>
          <w:lang w:eastAsia="zh-CN"/>
        </w:rPr>
        <w:t>、</w:t>
      </w:r>
      <w:r>
        <w:rPr>
          <w:rFonts w:hint="eastAsia" w:ascii="仿宋_GB2312" w:hAnsi="仿宋_GB2312" w:eastAsia="仿宋_GB2312" w:cs="仿宋_GB2312"/>
          <w:color w:val="000000" w:themeColor="text1"/>
          <w:highlight w:val="none"/>
          <w:lang w:val="en-US" w:eastAsia="zh-CN"/>
        </w:rPr>
        <w:t>资料费、财务费、</w:t>
      </w:r>
      <w:r>
        <w:rPr>
          <w:rFonts w:hint="eastAsia" w:ascii="仿宋_GB2312" w:hAnsi="仿宋_GB2312" w:eastAsia="仿宋_GB2312" w:cs="仿宋_GB2312"/>
          <w:color w:val="000000" w:themeColor="text1"/>
          <w:highlight w:val="none"/>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color w:val="000000" w:themeColor="text1"/>
          <w:highlight w:val="none"/>
          <w:lang w:val="en-US" w:eastAsia="zh-CN"/>
        </w:rPr>
        <w:t>等一切费用</w:t>
      </w:r>
      <w:r>
        <w:rPr>
          <w:rFonts w:hint="eastAsia" w:ascii="仿宋_GB2312" w:hAnsi="仿宋_GB2312" w:eastAsia="仿宋_GB2312" w:cs="仿宋_GB2312"/>
          <w:color w:val="000000" w:themeColor="text1"/>
          <w:highlight w:val="none"/>
        </w:rPr>
        <w:t>，除本合同规定的因素外，不得因政府政策变动、市场环境改变、税率调整等而调整。除合同条款另有约定外，乙方在合同签订前和签订时已确定采用的专利、专有技术、技术秘密的使用费已包含在签约合同价中。</w:t>
      </w:r>
    </w:p>
    <w:p>
      <w:pPr>
        <w:spacing w:line="360" w:lineRule="auto"/>
        <w:ind w:firstLine="482" w:firstLineChars="200"/>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b/>
          <w:bCs/>
          <w:color w:val="000000" w:themeColor="text1"/>
          <w:kern w:val="0"/>
          <w:sz w:val="24"/>
          <w:szCs w:val="24"/>
          <w:highlight w:val="none"/>
        </w:rPr>
        <w:t>1.2.2单价依据</w:t>
      </w:r>
      <w:r>
        <w:rPr>
          <w:rFonts w:hint="eastAsia" w:ascii="仿宋_GB2312" w:hAnsi="仿宋_GB2312" w:eastAsia="仿宋_GB2312" w:cs="仿宋_GB2312"/>
          <w:color w:val="000000" w:themeColor="text1"/>
          <w:kern w:val="0"/>
          <w:sz w:val="24"/>
          <w:szCs w:val="24"/>
          <w:highlight w:val="none"/>
        </w:rPr>
        <w:t>：</w:t>
      </w:r>
    </w:p>
    <w:p>
      <w:pPr>
        <w:spacing w:line="360" w:lineRule="auto"/>
        <w:ind w:firstLine="480" w:firstLineChars="200"/>
        <w:rPr>
          <w:rFonts w:hint="eastAsia" w:ascii="仿宋_GB2312" w:hAnsi="仿宋_GB2312" w:eastAsia="仿宋_GB2312" w:cs="仿宋_GB2312"/>
          <w:color w:val="000000" w:themeColor="text1"/>
          <w:kern w:val="0"/>
          <w:sz w:val="24"/>
          <w:szCs w:val="24"/>
          <w:highlight w:val="none"/>
        </w:rPr>
      </w:pPr>
      <w:bookmarkStart w:id="84" w:name="_Hlk126832804"/>
      <w:r>
        <w:rPr>
          <w:rFonts w:hint="eastAsia" w:ascii="仿宋_GB2312" w:hAnsi="仿宋_GB2312" w:eastAsia="仿宋_GB2312" w:cs="仿宋_GB2312"/>
          <w:color w:val="000000" w:themeColor="text1"/>
          <w:kern w:val="0"/>
          <w:sz w:val="24"/>
          <w:szCs w:val="24"/>
          <w:highlight w:val="none"/>
        </w:rPr>
        <w:t>含税基准价（P1）：</w:t>
      </w:r>
      <w:r>
        <w:rPr>
          <w:rFonts w:hint="eastAsia" w:ascii="仿宋_GB2312" w:hAnsi="仿宋_GB2312" w:eastAsia="仿宋_GB2312" w:cs="仿宋_GB2312"/>
          <w:color w:val="000000" w:themeColor="text1"/>
          <w:kern w:val="0"/>
          <w:sz w:val="24"/>
          <w:szCs w:val="24"/>
          <w:highlight w:val="none"/>
          <w:lang w:eastAsia="zh-CN"/>
        </w:rPr>
        <w:t>（</w:t>
      </w:r>
      <w:r>
        <w:rPr>
          <w:rFonts w:hint="eastAsia" w:ascii="仿宋_GB2312" w:hAnsi="仿宋_GB2312" w:eastAsia="仿宋_GB2312" w:cs="仿宋_GB2312"/>
          <w:color w:val="000000" w:themeColor="text1"/>
          <w:kern w:val="0"/>
          <w:sz w:val="24"/>
          <w:szCs w:val="24"/>
          <w:highlight w:val="none"/>
          <w:lang w:val="en-US" w:eastAsia="zh-CN"/>
        </w:rPr>
        <w:t>1）</w:t>
      </w:r>
      <w:r>
        <w:rPr>
          <w:rFonts w:hint="eastAsia" w:ascii="仿宋_GB2312" w:hAnsi="仿宋_GB2312" w:eastAsia="仿宋_GB2312" w:cs="仿宋_GB2312"/>
          <w:color w:val="000000" w:themeColor="text1"/>
          <w:kern w:val="0"/>
          <w:sz w:val="24"/>
          <w:szCs w:val="24"/>
          <w:highlight w:val="none"/>
        </w:rPr>
        <w:t>货物清单中</w:t>
      </w:r>
      <w:r>
        <w:rPr>
          <w:rFonts w:hint="eastAsia" w:ascii="仿宋_GB2312" w:hAnsi="仿宋_GB2312" w:eastAsia="仿宋_GB2312" w:cs="仿宋_GB2312"/>
          <w:color w:val="000000" w:themeColor="text1"/>
          <w:kern w:val="0"/>
          <w:sz w:val="24"/>
          <w:szCs w:val="24"/>
          <w:highlight w:val="none"/>
          <w:u w:val="single"/>
          <w:lang w:val="en-US" w:eastAsia="zh-CN"/>
        </w:rPr>
        <w:t xml:space="preserve">       </w:t>
      </w:r>
      <w:r>
        <w:rPr>
          <w:rFonts w:hint="eastAsia" w:ascii="仿宋_GB2312" w:hAnsi="仿宋_GB2312" w:eastAsia="仿宋_GB2312" w:cs="仿宋_GB2312"/>
          <w:color w:val="000000" w:themeColor="text1"/>
          <w:kern w:val="0"/>
          <w:sz w:val="24"/>
          <w:szCs w:val="24"/>
          <w:highlight w:val="none"/>
          <w:u w:val="none"/>
          <w:lang w:val="en-US" w:eastAsia="zh-CN"/>
        </w:rPr>
        <w:t>沥青</w:t>
      </w:r>
      <w:r>
        <w:rPr>
          <w:rFonts w:hint="eastAsia" w:ascii="仿宋_GB2312" w:hAnsi="仿宋_GB2312" w:eastAsia="仿宋_GB2312" w:cs="仿宋_GB2312"/>
          <w:color w:val="000000" w:themeColor="text1"/>
          <w:kern w:val="0"/>
          <w:sz w:val="24"/>
          <w:szCs w:val="24"/>
          <w:highlight w:val="none"/>
        </w:rPr>
        <w:t xml:space="preserve">的含税基准价是 </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kern w:val="0"/>
          <w:sz w:val="24"/>
          <w:szCs w:val="24"/>
          <w:highlight w:val="none"/>
        </w:rPr>
        <w:t>年</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kern w:val="0"/>
          <w:sz w:val="24"/>
          <w:szCs w:val="24"/>
          <w:highlight w:val="none"/>
        </w:rPr>
        <w:t>月</w:t>
      </w:r>
    </w:p>
    <w:p>
      <w:pPr>
        <w:spacing w:line="360" w:lineRule="auto"/>
        <w:ind w:firstLine="480" w:firstLineChars="200"/>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kern w:val="0"/>
          <w:sz w:val="24"/>
          <w:szCs w:val="24"/>
          <w:highlight w:val="none"/>
        </w:rPr>
        <w:t>日（双方约定的）</w:t>
      </w:r>
      <w:r>
        <w:rPr>
          <w:rFonts w:hint="eastAsia" w:ascii="仿宋_GB2312" w:hAnsi="仿宋_GB2312" w:eastAsia="仿宋_GB2312" w:cs="仿宋_GB2312"/>
          <w:color w:val="000000" w:themeColor="text1"/>
          <w:kern w:val="0"/>
          <w:sz w:val="24"/>
          <w:szCs w:val="24"/>
          <w:highlight w:val="none"/>
          <w:u w:val="single"/>
          <w:lang w:val="en-US" w:eastAsia="zh-CN"/>
        </w:rPr>
        <w:t xml:space="preserve">            </w:t>
      </w:r>
      <w:r>
        <w:rPr>
          <w:rFonts w:hint="eastAsia" w:ascii="仿宋_GB2312" w:hAnsi="仿宋_GB2312" w:eastAsia="仿宋_GB2312" w:cs="仿宋_GB2312"/>
          <w:color w:val="000000" w:themeColor="text1"/>
          <w:kern w:val="0"/>
          <w:sz w:val="24"/>
          <w:szCs w:val="24"/>
          <w:highlight w:val="none"/>
        </w:rPr>
        <w:t>网</w:t>
      </w:r>
      <w:r>
        <w:rPr>
          <w:rFonts w:hint="eastAsia" w:ascii="仿宋_GB2312" w:hAnsi="仿宋_GB2312" w:eastAsia="仿宋_GB2312" w:cs="仿宋_GB2312"/>
          <w:color w:val="000000" w:themeColor="text1"/>
          <w:kern w:val="0"/>
          <w:sz w:val="24"/>
          <w:szCs w:val="24"/>
          <w:highlight w:val="none"/>
          <w:u w:val="single"/>
          <w:lang w:val="en-US" w:eastAsia="zh-CN"/>
        </w:rPr>
        <w:t>（产品名称、厂家、规格、地区）</w:t>
      </w:r>
      <w:r>
        <w:rPr>
          <w:rFonts w:hint="eastAsia" w:ascii="仿宋_GB2312" w:hAnsi="仿宋_GB2312" w:eastAsia="仿宋_GB2312" w:cs="仿宋_GB2312"/>
          <w:color w:val="000000" w:themeColor="text1"/>
          <w:kern w:val="0"/>
          <w:sz w:val="24"/>
          <w:szCs w:val="24"/>
          <w:highlight w:val="none"/>
          <w:lang w:val="en-US" w:eastAsia="zh-CN"/>
        </w:rPr>
        <w:t>沥青网价</w:t>
      </w:r>
      <w:r>
        <w:rPr>
          <w:rFonts w:hint="eastAsia" w:ascii="仿宋_GB2312" w:hAnsi="仿宋_GB2312" w:eastAsia="仿宋_GB2312" w:cs="仿宋_GB2312"/>
          <w:color w:val="000000" w:themeColor="text1"/>
          <w:kern w:val="0"/>
          <w:sz w:val="24"/>
          <w:szCs w:val="24"/>
          <w:highlight w:val="none"/>
        </w:rPr>
        <w:t>公布的价格</w:t>
      </w:r>
      <w:r>
        <w:rPr>
          <w:rFonts w:hint="eastAsia" w:ascii="仿宋_GB2312" w:hAnsi="仿宋_GB2312" w:eastAsia="仿宋_GB2312" w:cs="仿宋_GB2312"/>
          <w:color w:val="000000" w:themeColor="text1"/>
          <w:kern w:val="0"/>
          <w:sz w:val="24"/>
          <w:szCs w:val="24"/>
          <w:highlight w:val="none"/>
          <w:lang w:eastAsia="zh-CN"/>
        </w:rPr>
        <w:t>；（</w:t>
      </w:r>
      <w:r>
        <w:rPr>
          <w:rFonts w:hint="eastAsia" w:ascii="仿宋_GB2312" w:hAnsi="仿宋_GB2312" w:eastAsia="仿宋_GB2312" w:cs="仿宋_GB2312"/>
          <w:color w:val="000000" w:themeColor="text1"/>
          <w:kern w:val="0"/>
          <w:sz w:val="24"/>
          <w:szCs w:val="24"/>
          <w:highlight w:val="none"/>
          <w:lang w:val="en-US" w:eastAsia="zh-CN"/>
        </w:rPr>
        <w:t>2）</w:t>
      </w:r>
      <w:r>
        <w:rPr>
          <w:rFonts w:hint="eastAsia" w:ascii="仿宋_GB2312" w:hAnsi="仿宋_GB2312" w:eastAsia="仿宋_GB2312" w:cs="仿宋_GB2312"/>
          <w:color w:val="000000" w:themeColor="text1"/>
          <w:kern w:val="0"/>
          <w:sz w:val="24"/>
          <w:szCs w:val="24"/>
          <w:highlight w:val="none"/>
        </w:rPr>
        <w:t>货物清单中</w:t>
      </w:r>
      <w:r>
        <w:rPr>
          <w:rFonts w:hint="eastAsia" w:ascii="仿宋_GB2312" w:hAnsi="仿宋_GB2312" w:eastAsia="仿宋_GB2312" w:cs="仿宋_GB2312"/>
          <w:color w:val="000000" w:themeColor="text1"/>
          <w:kern w:val="0"/>
          <w:sz w:val="24"/>
          <w:szCs w:val="24"/>
          <w:highlight w:val="none"/>
          <w:u w:val="single"/>
          <w:lang w:val="en-US" w:eastAsia="zh-CN"/>
        </w:rPr>
        <w:t xml:space="preserve">       </w:t>
      </w:r>
      <w:r>
        <w:rPr>
          <w:rFonts w:hint="eastAsia" w:ascii="仿宋_GB2312" w:hAnsi="仿宋_GB2312" w:eastAsia="仿宋_GB2312" w:cs="仿宋_GB2312"/>
          <w:color w:val="000000" w:themeColor="text1"/>
          <w:kern w:val="0"/>
          <w:sz w:val="24"/>
          <w:szCs w:val="24"/>
          <w:highlight w:val="none"/>
          <w:u w:val="none"/>
          <w:lang w:val="en-US" w:eastAsia="zh-CN"/>
        </w:rPr>
        <w:t>沥青</w:t>
      </w:r>
      <w:r>
        <w:rPr>
          <w:rFonts w:hint="eastAsia" w:ascii="仿宋_GB2312" w:hAnsi="仿宋_GB2312" w:eastAsia="仿宋_GB2312" w:cs="仿宋_GB2312"/>
          <w:color w:val="000000" w:themeColor="text1"/>
          <w:kern w:val="0"/>
          <w:sz w:val="24"/>
          <w:szCs w:val="24"/>
          <w:highlight w:val="none"/>
        </w:rPr>
        <w:t xml:space="preserve">的含税基准价是 </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kern w:val="0"/>
          <w:sz w:val="24"/>
          <w:szCs w:val="24"/>
          <w:highlight w:val="none"/>
        </w:rPr>
        <w:t>年</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kern w:val="0"/>
          <w:sz w:val="24"/>
          <w:szCs w:val="24"/>
          <w:highlight w:val="none"/>
        </w:rPr>
        <w:t>月</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kern w:val="0"/>
          <w:sz w:val="24"/>
          <w:szCs w:val="24"/>
          <w:highlight w:val="none"/>
        </w:rPr>
        <w:t>日（双方约定的）</w:t>
      </w:r>
      <w:r>
        <w:rPr>
          <w:rFonts w:hint="eastAsia" w:ascii="仿宋_GB2312" w:hAnsi="仿宋_GB2312" w:eastAsia="仿宋_GB2312" w:cs="仿宋_GB2312"/>
          <w:color w:val="000000" w:themeColor="text1"/>
          <w:kern w:val="0"/>
          <w:sz w:val="24"/>
          <w:szCs w:val="24"/>
          <w:highlight w:val="none"/>
          <w:u w:val="single"/>
          <w:lang w:val="en-US" w:eastAsia="zh-CN"/>
        </w:rPr>
        <w:t xml:space="preserve">            </w:t>
      </w:r>
      <w:r>
        <w:rPr>
          <w:rFonts w:hint="eastAsia" w:ascii="仿宋_GB2312" w:hAnsi="仿宋_GB2312" w:eastAsia="仿宋_GB2312" w:cs="仿宋_GB2312"/>
          <w:color w:val="000000" w:themeColor="text1"/>
          <w:kern w:val="0"/>
          <w:sz w:val="24"/>
          <w:szCs w:val="24"/>
          <w:highlight w:val="none"/>
        </w:rPr>
        <w:t>网</w:t>
      </w:r>
      <w:r>
        <w:rPr>
          <w:rFonts w:hint="eastAsia" w:ascii="仿宋_GB2312" w:hAnsi="仿宋_GB2312" w:eastAsia="仿宋_GB2312" w:cs="仿宋_GB2312"/>
          <w:color w:val="000000" w:themeColor="text1"/>
          <w:kern w:val="0"/>
          <w:sz w:val="24"/>
          <w:szCs w:val="24"/>
          <w:highlight w:val="none"/>
          <w:u w:val="single"/>
          <w:lang w:val="en-US" w:eastAsia="zh-CN"/>
        </w:rPr>
        <w:t xml:space="preserve"> （产品名称、厂家、规格、地区）</w:t>
      </w:r>
      <w:r>
        <w:rPr>
          <w:rFonts w:hint="eastAsia" w:ascii="仿宋_GB2312" w:hAnsi="仿宋_GB2312" w:eastAsia="仿宋_GB2312" w:cs="仿宋_GB2312"/>
          <w:color w:val="000000" w:themeColor="text1"/>
          <w:kern w:val="0"/>
          <w:sz w:val="24"/>
          <w:szCs w:val="24"/>
          <w:highlight w:val="none"/>
          <w:lang w:val="en-US" w:eastAsia="zh-CN"/>
        </w:rPr>
        <w:t>沥青网价</w:t>
      </w:r>
      <w:r>
        <w:rPr>
          <w:rFonts w:hint="eastAsia" w:ascii="仿宋_GB2312" w:hAnsi="仿宋_GB2312" w:eastAsia="仿宋_GB2312" w:cs="仿宋_GB2312"/>
          <w:color w:val="000000" w:themeColor="text1"/>
          <w:kern w:val="0"/>
          <w:sz w:val="24"/>
          <w:szCs w:val="24"/>
          <w:highlight w:val="none"/>
        </w:rPr>
        <w:t>公布的价格</w:t>
      </w:r>
      <w:r>
        <w:rPr>
          <w:rFonts w:hint="eastAsia" w:ascii="仿宋_GB2312" w:hAnsi="仿宋_GB2312" w:eastAsia="仿宋_GB2312" w:cs="仿宋_GB2312"/>
          <w:color w:val="000000" w:themeColor="text1"/>
          <w:kern w:val="0"/>
          <w:sz w:val="24"/>
          <w:szCs w:val="24"/>
          <w:highlight w:val="none"/>
          <w:lang w:eastAsia="zh-CN"/>
        </w:rPr>
        <w:t>；</w:t>
      </w:r>
      <w:r>
        <w:rPr>
          <w:rFonts w:hint="eastAsia" w:ascii="仿宋_GB2312" w:hAnsi="仿宋_GB2312" w:eastAsia="仿宋_GB2312" w:cs="仿宋_GB2312"/>
          <w:color w:val="000000" w:themeColor="text1"/>
          <w:kern w:val="0"/>
          <w:sz w:val="24"/>
          <w:szCs w:val="24"/>
          <w:highlight w:val="none"/>
        </w:rPr>
        <w:t>此价格只用来暂估合同总额，实际结算价格以供应计划中双方约定的到货当日</w:t>
      </w:r>
      <w:r>
        <w:rPr>
          <w:rFonts w:hint="eastAsia" w:ascii="仿宋_GB2312" w:hAnsi="仿宋_GB2312" w:eastAsia="仿宋_GB2312" w:cs="仿宋_GB2312"/>
          <w:color w:val="000000" w:themeColor="text1"/>
          <w:kern w:val="0"/>
          <w:sz w:val="24"/>
          <w:szCs w:val="24"/>
          <w:highlight w:val="none"/>
          <w:u w:val="single"/>
          <w:lang w:val="en-US" w:eastAsia="zh-CN"/>
        </w:rPr>
        <w:t xml:space="preserve">            </w:t>
      </w:r>
      <w:r>
        <w:rPr>
          <w:rFonts w:hint="eastAsia" w:ascii="仿宋_GB2312" w:hAnsi="仿宋_GB2312" w:eastAsia="仿宋_GB2312" w:cs="仿宋_GB2312"/>
          <w:color w:val="000000" w:themeColor="text1"/>
          <w:kern w:val="0"/>
          <w:sz w:val="24"/>
          <w:szCs w:val="24"/>
          <w:highlight w:val="none"/>
        </w:rPr>
        <w:t>网</w:t>
      </w:r>
      <w:r>
        <w:rPr>
          <w:rFonts w:hint="eastAsia" w:ascii="仿宋_GB2312" w:hAnsi="仿宋_GB2312" w:eastAsia="仿宋_GB2312" w:cs="仿宋_GB2312"/>
          <w:color w:val="000000" w:themeColor="text1"/>
          <w:kern w:val="0"/>
          <w:sz w:val="24"/>
          <w:szCs w:val="24"/>
          <w:highlight w:val="none"/>
          <w:u w:val="single"/>
          <w:lang w:val="en-US" w:eastAsia="zh-CN"/>
        </w:rPr>
        <w:t>（产品名称、厂家、规格、地区）</w:t>
      </w:r>
      <w:r>
        <w:rPr>
          <w:rFonts w:hint="eastAsia" w:ascii="仿宋_GB2312" w:hAnsi="仿宋_GB2312" w:eastAsia="仿宋_GB2312" w:cs="仿宋_GB2312"/>
          <w:color w:val="000000" w:themeColor="text1"/>
          <w:kern w:val="0"/>
          <w:sz w:val="24"/>
          <w:szCs w:val="24"/>
          <w:highlight w:val="none"/>
          <w:lang w:val="en-US" w:eastAsia="zh-CN"/>
        </w:rPr>
        <w:t>沥青网价</w:t>
      </w:r>
      <w:r>
        <w:rPr>
          <w:rFonts w:hint="eastAsia" w:ascii="仿宋_GB2312" w:hAnsi="仿宋_GB2312" w:eastAsia="仿宋_GB2312" w:cs="仿宋_GB2312"/>
          <w:color w:val="000000" w:themeColor="text1"/>
          <w:kern w:val="0"/>
          <w:sz w:val="24"/>
          <w:szCs w:val="24"/>
          <w:highlight w:val="none"/>
        </w:rPr>
        <w:t>公布的价格</w:t>
      </w:r>
      <w:r>
        <w:rPr>
          <w:rFonts w:hint="eastAsia" w:ascii="仿宋_GB2312" w:hAnsi="仿宋_GB2312" w:eastAsia="仿宋_GB2312" w:cs="仿宋_GB2312"/>
          <w:color w:val="000000" w:themeColor="text1"/>
          <w:kern w:val="0"/>
          <w:sz w:val="24"/>
          <w:szCs w:val="24"/>
          <w:highlight w:val="none"/>
          <w:lang w:eastAsia="zh-CN"/>
        </w:rPr>
        <w:t>，</w:t>
      </w:r>
      <w:r>
        <w:rPr>
          <w:rFonts w:hint="eastAsia" w:ascii="仿宋_GB2312" w:hAnsi="仿宋_GB2312" w:eastAsia="仿宋_GB2312" w:cs="仿宋_GB2312"/>
          <w:color w:val="000000" w:themeColor="text1"/>
          <w:kern w:val="0"/>
          <w:sz w:val="24"/>
          <w:szCs w:val="24"/>
          <w:highlight w:val="none"/>
        </w:rPr>
        <w:t>市场</w:t>
      </w:r>
      <w:r>
        <w:rPr>
          <w:rFonts w:hint="eastAsia" w:ascii="仿宋_GB2312" w:hAnsi="仿宋_GB2312" w:eastAsia="仿宋_GB2312" w:cs="仿宋_GB2312"/>
          <w:color w:val="000000" w:themeColor="text1"/>
          <w:kern w:val="0"/>
          <w:sz w:val="24"/>
          <w:szCs w:val="24"/>
          <w:highlight w:val="none"/>
          <w:lang w:val="en-US" w:eastAsia="zh-CN"/>
        </w:rPr>
        <w:t>沥青网价</w:t>
      </w:r>
      <w:r>
        <w:rPr>
          <w:rFonts w:hint="eastAsia" w:ascii="仿宋_GB2312" w:hAnsi="仿宋_GB2312" w:eastAsia="仿宋_GB2312" w:cs="仿宋_GB2312"/>
          <w:color w:val="000000" w:themeColor="text1"/>
          <w:kern w:val="0"/>
          <w:sz w:val="24"/>
          <w:szCs w:val="24"/>
          <w:highlight w:val="none"/>
        </w:rPr>
        <w:t>公布的同</w:t>
      </w:r>
      <w:r>
        <w:rPr>
          <w:rFonts w:hint="eastAsia" w:ascii="仿宋_GB2312" w:hAnsi="仿宋_GB2312" w:eastAsia="仿宋_GB2312" w:cs="仿宋_GB2312"/>
          <w:color w:val="000000" w:themeColor="text1"/>
          <w:kern w:val="0"/>
          <w:sz w:val="24"/>
          <w:szCs w:val="24"/>
          <w:highlight w:val="none"/>
          <w:lang w:val="en-US" w:eastAsia="zh-CN"/>
        </w:rPr>
        <w:t>产品名称、同厂家、同</w:t>
      </w:r>
      <w:r>
        <w:rPr>
          <w:rFonts w:hint="eastAsia" w:ascii="仿宋_GB2312" w:hAnsi="仿宋_GB2312" w:eastAsia="仿宋_GB2312" w:cs="仿宋_GB2312"/>
          <w:color w:val="000000" w:themeColor="text1"/>
          <w:kern w:val="0"/>
          <w:sz w:val="24"/>
          <w:szCs w:val="24"/>
          <w:highlight w:val="none"/>
        </w:rPr>
        <w:t>规格、</w:t>
      </w:r>
      <w:r>
        <w:rPr>
          <w:rFonts w:hint="eastAsia" w:ascii="仿宋_GB2312" w:hAnsi="仿宋_GB2312" w:eastAsia="仿宋_GB2312" w:cs="仿宋_GB2312"/>
          <w:color w:val="000000" w:themeColor="text1"/>
          <w:kern w:val="0"/>
          <w:sz w:val="24"/>
          <w:szCs w:val="24"/>
          <w:highlight w:val="none"/>
          <w:lang w:val="en-US" w:eastAsia="zh-CN"/>
        </w:rPr>
        <w:t>同级别、同地区</w:t>
      </w:r>
      <w:r>
        <w:rPr>
          <w:rFonts w:hint="eastAsia" w:ascii="仿宋_GB2312" w:hAnsi="仿宋_GB2312" w:eastAsia="仿宋_GB2312" w:cs="仿宋_GB2312"/>
          <w:color w:val="000000" w:themeColor="text1"/>
          <w:kern w:val="0"/>
          <w:sz w:val="24"/>
          <w:szCs w:val="24"/>
          <w:highlight w:val="none"/>
        </w:rPr>
        <w:t>网</w:t>
      </w:r>
      <w:r>
        <w:rPr>
          <w:rFonts w:hint="eastAsia" w:ascii="仿宋_GB2312" w:hAnsi="仿宋_GB2312" w:eastAsia="仿宋_GB2312" w:cs="仿宋_GB2312"/>
          <w:color w:val="000000" w:themeColor="text1"/>
          <w:kern w:val="0"/>
          <w:sz w:val="24"/>
          <w:szCs w:val="24"/>
          <w:highlight w:val="none"/>
          <w:lang w:val="en-US" w:eastAsia="zh-CN"/>
        </w:rPr>
        <w:t>络</w:t>
      </w:r>
      <w:r>
        <w:rPr>
          <w:rFonts w:hint="eastAsia" w:ascii="仿宋_GB2312" w:hAnsi="仿宋_GB2312" w:eastAsia="仿宋_GB2312" w:cs="仿宋_GB2312"/>
          <w:color w:val="000000" w:themeColor="text1"/>
          <w:kern w:val="0"/>
          <w:sz w:val="24"/>
          <w:szCs w:val="24"/>
          <w:highlight w:val="none"/>
        </w:rPr>
        <w:t>价格为基准价，当一天中有多次挂牌</w:t>
      </w:r>
      <w:r>
        <w:rPr>
          <w:rFonts w:hint="eastAsia" w:ascii="仿宋_GB2312" w:hAnsi="仿宋_GB2312" w:eastAsia="仿宋_GB2312" w:cs="仿宋_GB2312"/>
          <w:color w:val="000000" w:themeColor="text1"/>
          <w:kern w:val="0"/>
          <w:sz w:val="24"/>
          <w:szCs w:val="24"/>
          <w:highlight w:val="none"/>
          <w:lang w:val="en-US" w:eastAsia="zh-CN"/>
        </w:rPr>
        <w:t>网</w:t>
      </w:r>
      <w:r>
        <w:rPr>
          <w:rFonts w:hint="eastAsia" w:ascii="仿宋_GB2312" w:hAnsi="仿宋_GB2312" w:eastAsia="仿宋_GB2312" w:cs="仿宋_GB2312"/>
          <w:color w:val="000000" w:themeColor="text1"/>
          <w:kern w:val="0"/>
          <w:sz w:val="24"/>
          <w:szCs w:val="24"/>
          <w:highlight w:val="none"/>
        </w:rPr>
        <w:t>价时，采用当日平均价；若当日没有网价时，采用该日前最近一日的最后一次挂牌</w:t>
      </w:r>
      <w:r>
        <w:rPr>
          <w:rFonts w:hint="eastAsia" w:ascii="仿宋_GB2312" w:hAnsi="仿宋_GB2312" w:eastAsia="仿宋_GB2312" w:cs="仿宋_GB2312"/>
          <w:color w:val="000000" w:themeColor="text1"/>
          <w:kern w:val="0"/>
          <w:sz w:val="24"/>
          <w:szCs w:val="24"/>
          <w:highlight w:val="none"/>
          <w:lang w:val="en-US" w:eastAsia="zh-CN"/>
        </w:rPr>
        <w:t>网</w:t>
      </w:r>
      <w:r>
        <w:rPr>
          <w:rFonts w:hint="eastAsia" w:ascii="仿宋_GB2312" w:hAnsi="仿宋_GB2312" w:eastAsia="仿宋_GB2312" w:cs="仿宋_GB2312"/>
          <w:color w:val="000000" w:themeColor="text1"/>
          <w:kern w:val="0"/>
          <w:sz w:val="24"/>
          <w:szCs w:val="24"/>
          <w:highlight w:val="none"/>
        </w:rPr>
        <w:t>价与该日后最近一日的第一次挂牌</w:t>
      </w:r>
      <w:r>
        <w:rPr>
          <w:rFonts w:hint="eastAsia" w:ascii="仿宋_GB2312" w:hAnsi="仿宋_GB2312" w:eastAsia="仿宋_GB2312" w:cs="仿宋_GB2312"/>
          <w:color w:val="000000" w:themeColor="text1"/>
          <w:kern w:val="0"/>
          <w:sz w:val="24"/>
          <w:szCs w:val="24"/>
          <w:highlight w:val="none"/>
          <w:lang w:val="en-US" w:eastAsia="zh-CN"/>
        </w:rPr>
        <w:t>网</w:t>
      </w:r>
      <w:r>
        <w:rPr>
          <w:rFonts w:hint="eastAsia" w:ascii="仿宋_GB2312" w:hAnsi="仿宋_GB2312" w:eastAsia="仿宋_GB2312" w:cs="仿宋_GB2312"/>
          <w:color w:val="000000" w:themeColor="text1"/>
          <w:kern w:val="0"/>
          <w:sz w:val="24"/>
          <w:szCs w:val="24"/>
          <w:highlight w:val="none"/>
        </w:rPr>
        <w:t>价的平均价为准。若乙方产品超过约定到货当日后送达，送达当日网价高于约定到货当日网价的、按约定到货当日网价执行，送达当日网价低于约定到货当日网价的、按送达当日网价执行。若供应的</w:t>
      </w:r>
      <w:r>
        <w:rPr>
          <w:rFonts w:hint="eastAsia" w:ascii="仿宋_GB2312" w:hAnsi="仿宋_GB2312" w:eastAsia="仿宋_GB2312" w:cs="仿宋_GB2312"/>
          <w:color w:val="000000" w:themeColor="text1"/>
          <w:kern w:val="0"/>
          <w:sz w:val="24"/>
          <w:szCs w:val="24"/>
          <w:highlight w:val="none"/>
          <w:lang w:val="en-US" w:eastAsia="zh-CN"/>
        </w:rPr>
        <w:t>沥青</w:t>
      </w:r>
      <w:r>
        <w:rPr>
          <w:rFonts w:hint="eastAsia" w:ascii="仿宋_GB2312" w:hAnsi="仿宋_GB2312" w:eastAsia="仿宋_GB2312" w:cs="仿宋_GB2312"/>
          <w:color w:val="000000" w:themeColor="text1"/>
          <w:kern w:val="0"/>
          <w:sz w:val="24"/>
          <w:szCs w:val="24"/>
          <w:highlight w:val="none"/>
        </w:rPr>
        <w:t>品牌没有发布相对应</w:t>
      </w:r>
      <w:r>
        <w:rPr>
          <w:rFonts w:hint="eastAsia" w:ascii="仿宋_GB2312" w:hAnsi="仿宋_GB2312" w:eastAsia="仿宋_GB2312" w:cs="仿宋_GB2312"/>
          <w:color w:val="000000" w:themeColor="text1"/>
          <w:kern w:val="0"/>
          <w:sz w:val="24"/>
          <w:szCs w:val="24"/>
          <w:highlight w:val="none"/>
          <w:lang w:val="en-US" w:eastAsia="zh-CN"/>
        </w:rPr>
        <w:t>同</w:t>
      </w:r>
      <w:r>
        <w:rPr>
          <w:rFonts w:hint="eastAsia" w:ascii="仿宋_GB2312" w:hAnsi="仿宋_GB2312" w:eastAsia="仿宋_GB2312" w:cs="仿宋_GB2312"/>
          <w:color w:val="000000" w:themeColor="text1"/>
          <w:kern w:val="0"/>
          <w:sz w:val="24"/>
          <w:szCs w:val="24"/>
          <w:highlight w:val="none"/>
        </w:rPr>
        <w:t>规格、</w:t>
      </w:r>
      <w:r>
        <w:rPr>
          <w:rFonts w:hint="eastAsia" w:ascii="仿宋_GB2312" w:hAnsi="仿宋_GB2312" w:eastAsia="仿宋_GB2312" w:cs="仿宋_GB2312"/>
          <w:color w:val="000000" w:themeColor="text1"/>
          <w:kern w:val="0"/>
          <w:sz w:val="24"/>
          <w:szCs w:val="24"/>
          <w:highlight w:val="none"/>
          <w:lang w:val="en-US" w:eastAsia="zh-CN"/>
        </w:rPr>
        <w:t>同级别、同地区</w:t>
      </w:r>
      <w:r>
        <w:rPr>
          <w:rFonts w:hint="eastAsia" w:ascii="仿宋_GB2312" w:hAnsi="仿宋_GB2312" w:eastAsia="仿宋_GB2312" w:cs="仿宋_GB2312"/>
          <w:color w:val="000000" w:themeColor="text1"/>
          <w:kern w:val="0"/>
          <w:sz w:val="24"/>
          <w:szCs w:val="24"/>
          <w:highlight w:val="none"/>
        </w:rPr>
        <w:t>网价时，则以对应同地区</w:t>
      </w:r>
      <w:r>
        <w:rPr>
          <w:rFonts w:hint="eastAsia" w:ascii="仿宋_GB2312" w:hAnsi="仿宋_GB2312" w:eastAsia="仿宋_GB2312" w:cs="仿宋_GB2312"/>
          <w:color w:val="000000" w:themeColor="text1"/>
          <w:kern w:val="0"/>
          <w:sz w:val="24"/>
          <w:szCs w:val="24"/>
          <w:highlight w:val="none"/>
          <w:lang w:val="en-US" w:eastAsia="zh-CN"/>
        </w:rPr>
        <w:t>同</w:t>
      </w:r>
      <w:r>
        <w:rPr>
          <w:rFonts w:hint="eastAsia" w:ascii="仿宋_GB2312" w:hAnsi="仿宋_GB2312" w:eastAsia="仿宋_GB2312" w:cs="仿宋_GB2312"/>
          <w:color w:val="000000" w:themeColor="text1"/>
          <w:kern w:val="0"/>
          <w:sz w:val="24"/>
          <w:szCs w:val="24"/>
          <w:highlight w:val="none"/>
        </w:rPr>
        <w:t>规格、</w:t>
      </w:r>
      <w:r>
        <w:rPr>
          <w:rFonts w:hint="eastAsia" w:ascii="仿宋_GB2312" w:hAnsi="仿宋_GB2312" w:eastAsia="仿宋_GB2312" w:cs="仿宋_GB2312"/>
          <w:color w:val="000000" w:themeColor="text1"/>
          <w:kern w:val="0"/>
          <w:sz w:val="24"/>
          <w:szCs w:val="24"/>
          <w:highlight w:val="none"/>
          <w:lang w:val="en-US" w:eastAsia="zh-CN"/>
        </w:rPr>
        <w:t>同级别沥青</w:t>
      </w:r>
      <w:r>
        <w:rPr>
          <w:rFonts w:hint="eastAsia" w:ascii="仿宋_GB2312" w:hAnsi="仿宋_GB2312" w:eastAsia="仿宋_GB2312" w:cs="仿宋_GB2312"/>
          <w:color w:val="000000" w:themeColor="text1"/>
          <w:kern w:val="0"/>
          <w:sz w:val="24"/>
          <w:szCs w:val="24"/>
          <w:highlight w:val="none"/>
        </w:rPr>
        <w:t>行情中，</w:t>
      </w:r>
      <w:r>
        <w:rPr>
          <w:rFonts w:hint="eastAsia" w:ascii="仿宋_GB2312" w:hAnsi="仿宋_GB2312" w:eastAsia="仿宋_GB2312" w:cs="仿宋_GB2312"/>
          <w:color w:val="000000" w:themeColor="text1"/>
          <w:kern w:val="0"/>
          <w:sz w:val="24"/>
          <w:szCs w:val="24"/>
          <w:highlight w:val="none"/>
          <w:lang w:val="en-US" w:eastAsia="zh-CN"/>
        </w:rPr>
        <w:t>同</w:t>
      </w:r>
      <w:r>
        <w:rPr>
          <w:rFonts w:hint="eastAsia" w:ascii="仿宋_GB2312" w:hAnsi="仿宋_GB2312" w:eastAsia="仿宋_GB2312" w:cs="仿宋_GB2312"/>
          <w:color w:val="000000" w:themeColor="text1"/>
          <w:kern w:val="0"/>
          <w:sz w:val="24"/>
          <w:szCs w:val="24"/>
          <w:highlight w:val="none"/>
        </w:rPr>
        <w:t>规格、</w:t>
      </w:r>
      <w:r>
        <w:rPr>
          <w:rFonts w:hint="eastAsia" w:ascii="仿宋_GB2312" w:hAnsi="仿宋_GB2312" w:eastAsia="仿宋_GB2312" w:cs="仿宋_GB2312"/>
          <w:color w:val="000000" w:themeColor="text1"/>
          <w:kern w:val="0"/>
          <w:sz w:val="24"/>
          <w:szCs w:val="24"/>
          <w:highlight w:val="none"/>
          <w:lang w:val="en-US" w:eastAsia="zh-CN"/>
        </w:rPr>
        <w:t>同级别</w:t>
      </w:r>
      <w:r>
        <w:rPr>
          <w:rFonts w:hint="eastAsia" w:ascii="仿宋_GB2312" w:hAnsi="仿宋_GB2312" w:eastAsia="仿宋_GB2312" w:cs="仿宋_GB2312"/>
          <w:color w:val="000000" w:themeColor="text1"/>
          <w:kern w:val="0"/>
          <w:sz w:val="24"/>
          <w:szCs w:val="24"/>
          <w:highlight w:val="none"/>
        </w:rPr>
        <w:t>最低价为基准价。</w:t>
      </w:r>
    </w:p>
    <w:p>
      <w:pPr>
        <w:spacing w:line="360" w:lineRule="auto"/>
        <w:ind w:firstLine="480" w:firstLineChars="200"/>
        <w:rPr>
          <w:rFonts w:hint="eastAsia"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rPr>
        <w:t>附加费（P2）：乙方综合考虑了出库、运输、装车、卸车、增值税金、利润等费用。</w:t>
      </w:r>
    </w:p>
    <w:p>
      <w:pPr>
        <w:autoSpaceDE w:val="0"/>
        <w:autoSpaceDN w:val="0"/>
        <w:adjustRightInd w:val="0"/>
        <w:spacing w:line="400" w:lineRule="atLeast"/>
        <w:ind w:firstLine="482" w:firstLineChars="200"/>
        <w:rPr>
          <w:rFonts w:hint="eastAsia" w:ascii="仿宋_GB2312" w:hAnsi="仿宋_GB2312" w:eastAsia="仿宋_GB2312" w:cs="仿宋_GB2312"/>
          <w:b w:val="0"/>
          <w:bCs w:val="0"/>
          <w:color w:val="000000" w:themeColor="text1"/>
          <w:kern w:val="0"/>
          <w:sz w:val="24"/>
          <w:szCs w:val="24"/>
          <w:highlight w:val="none"/>
          <w:lang w:val="en-US" w:eastAsia="zh-CN"/>
        </w:rPr>
      </w:pPr>
      <w:r>
        <w:rPr>
          <w:rFonts w:hint="eastAsia" w:ascii="仿宋_GB2312" w:hAnsi="仿宋_GB2312" w:eastAsia="仿宋_GB2312" w:cs="仿宋_GB2312"/>
          <w:b/>
          <w:bCs/>
          <w:color w:val="000000" w:themeColor="text1"/>
          <w:kern w:val="0"/>
          <w:sz w:val="24"/>
          <w:szCs w:val="24"/>
          <w:highlight w:val="none"/>
          <w:lang w:val="en-US" w:eastAsia="zh-CN"/>
        </w:rPr>
        <w:t>1.2.3合同价格调整：</w:t>
      </w:r>
      <w:r>
        <w:rPr>
          <w:rFonts w:hint="eastAsia" w:ascii="仿宋_GB2312" w:hAnsi="仿宋_GB2312" w:eastAsia="仿宋_GB2312" w:cs="仿宋_GB2312"/>
          <w:b w:val="0"/>
          <w:bCs w:val="0"/>
          <w:color w:val="000000" w:themeColor="text1"/>
          <w:kern w:val="0"/>
          <w:sz w:val="24"/>
          <w:szCs w:val="24"/>
          <w:highlight w:val="none"/>
          <w:lang w:val="en-US" w:eastAsia="zh-CN"/>
        </w:rPr>
        <w:t>若甲方年度集采或相关同区域最新集采定标发布后，根据定标执行日期以及框架协议价格调整合同单价，合同暂定总价不调整。</w:t>
      </w:r>
    </w:p>
    <w:p>
      <w:pPr>
        <w:autoSpaceDE w:val="0"/>
        <w:autoSpaceDN w:val="0"/>
        <w:adjustRightInd w:val="0"/>
        <w:spacing w:line="400" w:lineRule="atLeast"/>
        <w:ind w:firstLine="482" w:firstLineChars="200"/>
        <w:rPr>
          <w:rFonts w:hint="default" w:ascii="仿宋_GB2312" w:hAnsi="仿宋_GB2312" w:eastAsia="仿宋_GB2312" w:cs="仿宋_GB2312"/>
          <w:b/>
          <w:bCs/>
          <w:color w:val="000000" w:themeColor="text1"/>
          <w:kern w:val="0"/>
          <w:sz w:val="24"/>
          <w:szCs w:val="24"/>
          <w:highlight w:val="none"/>
          <w:lang w:val="en-US" w:eastAsia="zh-CN"/>
        </w:rPr>
      </w:pPr>
      <w:r>
        <w:rPr>
          <w:rFonts w:hint="eastAsia" w:ascii="仿宋_GB2312" w:hAnsi="仿宋_GB2312" w:eastAsia="仿宋_GB2312" w:cs="仿宋_GB2312"/>
          <w:b/>
          <w:bCs/>
          <w:color w:val="000000" w:themeColor="text1"/>
          <w:kern w:val="0"/>
          <w:sz w:val="24"/>
          <w:szCs w:val="24"/>
          <w:highlight w:val="none"/>
          <w:lang w:val="en-US" w:eastAsia="zh-CN"/>
        </w:rPr>
        <w:t>1.3其它方式：</w:t>
      </w:r>
      <w:r>
        <w:rPr>
          <w:rFonts w:hint="eastAsia" w:ascii="仿宋_GB2312" w:hAnsi="仿宋_GB2312" w:eastAsia="仿宋_GB2312" w:cs="仿宋_GB2312"/>
          <w:b/>
          <w:bCs/>
          <w:color w:val="000000" w:themeColor="text1"/>
          <w:kern w:val="0"/>
          <w:sz w:val="24"/>
          <w:szCs w:val="24"/>
          <w:highlight w:val="none"/>
          <w:u w:val="single"/>
          <w:lang w:val="en-US" w:eastAsia="zh-CN"/>
        </w:rPr>
        <w:t xml:space="preserve">                                               </w:t>
      </w:r>
      <w:r>
        <w:rPr>
          <w:rFonts w:hint="eastAsia" w:ascii="仿宋_GB2312" w:hAnsi="仿宋_GB2312" w:eastAsia="仿宋_GB2312" w:cs="仿宋_GB2312"/>
          <w:b/>
          <w:bCs/>
          <w:color w:val="000000" w:themeColor="text1"/>
          <w:kern w:val="0"/>
          <w:sz w:val="24"/>
          <w:szCs w:val="24"/>
          <w:highlight w:val="none"/>
          <w:lang w:val="en-US" w:eastAsia="zh-CN"/>
        </w:rPr>
        <w:t xml:space="preserve"> 。</w:t>
      </w:r>
    </w:p>
    <w:bookmarkEnd w:id="84"/>
    <w:p>
      <w:pPr>
        <w:autoSpaceDE w:val="0"/>
        <w:autoSpaceDN w:val="0"/>
        <w:adjustRightInd w:val="0"/>
        <w:spacing w:line="400" w:lineRule="atLeast"/>
        <w:ind w:firstLine="482" w:firstLineChars="200"/>
        <w:rPr>
          <w:rFonts w:hint="eastAsia" w:ascii="仿宋_GB2312" w:hAnsi="仿宋_GB2312" w:eastAsia="仿宋_GB2312" w:cs="仿宋_GB2312"/>
          <w:b/>
          <w:bCs/>
          <w:color w:val="000000" w:themeColor="text1"/>
          <w:kern w:val="0"/>
          <w:sz w:val="24"/>
          <w:szCs w:val="24"/>
          <w:highlight w:val="none"/>
          <w:lang w:val="en-US" w:eastAsia="zh-CN"/>
        </w:rPr>
      </w:pPr>
      <w:r>
        <w:rPr>
          <w:rFonts w:hint="eastAsia" w:ascii="仿宋_GB2312" w:hAnsi="仿宋_GB2312" w:eastAsia="仿宋_GB2312" w:cs="仿宋_GB2312"/>
          <w:b/>
          <w:bCs/>
          <w:color w:val="000000" w:themeColor="text1"/>
          <w:kern w:val="0"/>
          <w:sz w:val="24"/>
          <w:szCs w:val="24"/>
          <w:highlight w:val="none"/>
          <w:lang w:val="en-US" w:eastAsia="zh-CN"/>
        </w:rPr>
        <w:t>2、乙方所供物资必须为</w:t>
      </w:r>
      <w:r>
        <w:rPr>
          <w:rFonts w:hint="eastAsia" w:ascii="仿宋_GB2312" w:hAnsi="仿宋_GB2312" w:eastAsia="仿宋_GB2312" w:cs="仿宋_GB2312"/>
          <w:b/>
          <w:bCs/>
          <w:color w:val="000000" w:themeColor="text1"/>
          <w:kern w:val="0"/>
          <w:sz w:val="24"/>
          <w:szCs w:val="24"/>
          <w:highlight w:val="none"/>
          <w:u w:val="single"/>
          <w:lang w:val="en-US" w:eastAsia="zh-CN"/>
        </w:rPr>
        <w:t xml:space="preserve">                     </w:t>
      </w:r>
      <w:r>
        <w:rPr>
          <w:rFonts w:hint="eastAsia" w:ascii="仿宋_GB2312" w:hAnsi="仿宋_GB2312" w:eastAsia="仿宋_GB2312" w:cs="仿宋_GB2312"/>
          <w:b/>
          <w:bCs/>
          <w:color w:val="000000" w:themeColor="text1"/>
          <w:kern w:val="0"/>
          <w:sz w:val="24"/>
          <w:szCs w:val="24"/>
          <w:highlight w:val="none"/>
          <w:lang w:val="en-US" w:eastAsia="zh-CN"/>
        </w:rPr>
        <w:t>公司生产产品。</w:t>
      </w:r>
    </w:p>
    <w:p>
      <w:pPr>
        <w:autoSpaceDE w:val="0"/>
        <w:autoSpaceDN w:val="0"/>
        <w:adjustRightInd w:val="0"/>
        <w:spacing w:line="400" w:lineRule="atLeast"/>
        <w:ind w:firstLine="480" w:firstLineChars="200"/>
        <w:rPr>
          <w:rFonts w:ascii="仿宋_GB2312" w:hAnsi="仿宋_GB2312" w:eastAsia="仿宋_GB2312" w:cs="仿宋_GB2312"/>
          <w:b/>
          <w:bCs/>
          <w:color w:val="000000" w:themeColor="text1"/>
          <w:highlight w:val="none"/>
        </w:rPr>
      </w:pPr>
      <w:r>
        <w:rPr>
          <w:rFonts w:hint="eastAsia" w:ascii="仿宋_GB2312" w:hAnsi="仿宋_GB2312" w:eastAsia="仿宋_GB2312" w:cs="仿宋_GB2312"/>
          <w:color w:val="000000" w:themeColor="text1"/>
          <w:kern w:val="0"/>
          <w:sz w:val="24"/>
          <w:szCs w:val="24"/>
          <w:highlight w:val="none"/>
        </w:rPr>
        <w:t>如乙方在实际供货过程中，因厂家品牌货源原因需供应本项目指定厂家之外其他</w:t>
      </w:r>
      <w:r>
        <w:rPr>
          <w:rFonts w:hint="eastAsia" w:ascii="仿宋_GB2312" w:hAnsi="仿宋_GB2312" w:eastAsia="仿宋_GB2312" w:cs="仿宋_GB2312"/>
          <w:color w:val="000000" w:themeColor="text1"/>
          <w:kern w:val="0"/>
          <w:sz w:val="24"/>
          <w:szCs w:val="24"/>
          <w:highlight w:val="none"/>
          <w:lang w:val="en-US" w:eastAsia="zh-CN"/>
        </w:rPr>
        <w:t>厂家</w:t>
      </w:r>
      <w:r>
        <w:rPr>
          <w:rFonts w:hint="eastAsia" w:ascii="仿宋_GB2312" w:hAnsi="仿宋_GB2312" w:eastAsia="仿宋_GB2312" w:cs="仿宋_GB2312"/>
          <w:color w:val="000000" w:themeColor="text1"/>
          <w:kern w:val="0"/>
          <w:sz w:val="24"/>
          <w:szCs w:val="24"/>
          <w:highlight w:val="none"/>
        </w:rPr>
        <w:t>的产品时，需提前向甲方提出增加品牌的申请，并提供厂家介绍、生产企业资质证书、产品检验报告、复检资料等有效材料，经甲方书面批准同意后方可供应乙方申请增加的品牌，否则不予验收。</w:t>
      </w:r>
    </w:p>
    <w:p>
      <w:pPr>
        <w:pStyle w:val="41"/>
        <w:spacing w:line="400" w:lineRule="atLeast"/>
        <w:ind w:firstLine="482" w:firstLineChars="200"/>
        <w:rPr>
          <w:rFonts w:hint="eastAsia" w:ascii="仿宋_GB2312" w:hAnsi="仿宋_GB2312" w:eastAsia="仿宋_GB2312" w:cs="仿宋_GB2312"/>
          <w:b/>
          <w:bCs/>
          <w:color w:val="000000" w:themeColor="text1"/>
          <w:kern w:val="0"/>
          <w:sz w:val="24"/>
          <w:szCs w:val="24"/>
          <w:highlight w:val="none"/>
          <w:u w:val="single"/>
          <w:lang w:val="en-US" w:eastAsia="zh-CN"/>
        </w:rPr>
      </w:pPr>
      <w:r>
        <w:rPr>
          <w:rFonts w:hint="eastAsia" w:ascii="仿宋_GB2312" w:hAnsi="仿宋_GB2312" w:eastAsia="仿宋_GB2312" w:cs="仿宋_GB2312"/>
          <w:b/>
          <w:bCs/>
          <w:color w:val="000000" w:themeColor="text1"/>
          <w:kern w:val="0"/>
          <w:sz w:val="24"/>
          <w:szCs w:val="24"/>
          <w:highlight w:val="none"/>
          <w:lang w:val="en-US" w:eastAsia="zh-CN" w:bidi="ar-SA"/>
        </w:rPr>
        <w:t>3、其他：</w:t>
      </w:r>
      <w:r>
        <w:rPr>
          <w:rFonts w:hint="eastAsia" w:ascii="仿宋_GB2312" w:hAnsi="仿宋_GB2312" w:eastAsia="仿宋_GB2312" w:cs="仿宋_GB2312"/>
          <w:color w:val="000000" w:themeColor="text1"/>
          <w:highlight w:val="none"/>
          <w:u w:val="single"/>
        </w:rPr>
        <w:t xml:space="preserve"> /                              </w:t>
      </w:r>
    </w:p>
    <w:p>
      <w:pPr>
        <w:pStyle w:val="41"/>
        <w:numPr>
          <w:ilvl w:val="0"/>
          <w:numId w:val="0"/>
        </w:numPr>
        <w:spacing w:line="400" w:lineRule="atLeast"/>
        <w:ind w:firstLine="482" w:firstLineChars="200"/>
        <w:outlineLvl w:val="1"/>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lang w:val="en-US" w:eastAsia="zh-CN"/>
        </w:rPr>
        <w:t>4、</w:t>
      </w:r>
      <w:r>
        <w:rPr>
          <w:rFonts w:hint="eastAsia" w:ascii="仿宋_GB2312" w:hAnsi="仿宋_GB2312" w:eastAsia="仿宋_GB2312" w:cs="仿宋_GB2312"/>
          <w:b/>
          <w:bCs/>
          <w:color w:val="000000" w:themeColor="text1"/>
          <w:highlight w:val="none"/>
        </w:rPr>
        <w:t>合同工程量：</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lang w:val="en-US" w:eastAsia="zh-CN"/>
        </w:rPr>
        <w:t>4</w:t>
      </w:r>
      <w:r>
        <w:rPr>
          <w:rFonts w:hint="eastAsia" w:ascii="仿宋_GB2312" w:hAnsi="仿宋_GB2312" w:eastAsia="仿宋_GB2312" w:cs="仿宋_GB2312"/>
          <w:color w:val="000000" w:themeColor="text1"/>
          <w:highlight w:val="none"/>
        </w:rPr>
        <w:t>.1本合同中约定货物工程量为暂定数量；甲乙双方最终结算数量以甲方最终签收的实际数量，并依据合同约定扣除不合格产品、损失等费用后的书面结算数额为准，</w:t>
      </w:r>
      <w:r>
        <w:rPr>
          <w:rFonts w:hint="eastAsia" w:ascii="仿宋_GB2312" w:hAnsi="仿宋_GB2312" w:eastAsia="仿宋_GB2312" w:cs="仿宋_GB2312"/>
          <w:b/>
          <w:bCs/>
          <w:color w:val="000000" w:themeColor="text1"/>
          <w:highlight w:val="none"/>
        </w:rPr>
        <w:t>乙方不得以合同暂定数量或合同暂定总金额为依据要求甲方支付任何款项，否则按合同第二部分第二条违约条款承担违约责任。</w:t>
      </w:r>
      <w:bookmarkEnd w:id="83"/>
      <w:r>
        <w:rPr>
          <w:rFonts w:hint="eastAsia" w:ascii="仿宋_GB2312" w:hAnsi="仿宋_GB2312" w:eastAsia="仿宋_GB2312" w:cs="仿宋_GB2312"/>
          <w:b/>
          <w:bCs/>
          <w:color w:val="000000" w:themeColor="text1"/>
          <w:highlight w:val="none"/>
        </w:rPr>
        <w:t xml:space="preserve"> </w:t>
      </w:r>
    </w:p>
    <w:p>
      <w:pPr>
        <w:pStyle w:val="4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rPr>
      </w:pPr>
      <w:bookmarkStart w:id="85" w:name="_Toc23444"/>
      <w:bookmarkStart w:id="86" w:name="_Toc15703"/>
      <w:bookmarkStart w:id="87" w:name="_Toc13168"/>
      <w:r>
        <w:rPr>
          <w:rFonts w:hint="eastAsia" w:ascii="仿宋_GB2312" w:hAnsi="仿宋_GB2312" w:eastAsia="仿宋_GB2312" w:cs="仿宋_GB2312"/>
          <w:b/>
          <w:bCs/>
          <w:color w:val="000000" w:themeColor="text1"/>
          <w:highlight w:val="none"/>
        </w:rPr>
        <w:t>货物供应</w:t>
      </w:r>
      <w:bookmarkEnd w:id="85"/>
      <w:bookmarkEnd w:id="86"/>
      <w:bookmarkEnd w:id="87"/>
    </w:p>
    <w:p>
      <w:pPr>
        <w:pStyle w:val="41"/>
        <w:spacing w:line="400" w:lineRule="atLeast"/>
        <w:ind w:firstLine="482"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1、交货方式：</w:t>
      </w:r>
      <w:r>
        <w:rPr>
          <w:rFonts w:hint="eastAsia" w:ascii="仿宋_GB2312" w:hAnsi="仿宋_GB2312" w:eastAsia="仿宋_GB2312" w:cs="仿宋_GB2312"/>
          <w:color w:val="000000" w:themeColor="text1"/>
          <w:highlight w:val="none"/>
        </w:rPr>
        <w:t>双方协商一致，执行第</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u w:val="single"/>
          <w:lang w:val="en-US" w:eastAsia="zh-CN"/>
        </w:rPr>
        <w:t xml:space="preserve">   </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种交货方式；</w:t>
      </w:r>
    </w:p>
    <w:p>
      <w:pPr>
        <w:pStyle w:val="41"/>
        <w:spacing w:line="400" w:lineRule="atLeast"/>
        <w:ind w:firstLine="482"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1.1送货卸车：</w:t>
      </w:r>
      <w:r>
        <w:rPr>
          <w:rFonts w:hint="eastAsia" w:ascii="仿宋_GB2312" w:hAnsi="仿宋_GB2312" w:eastAsia="仿宋_GB2312" w:cs="仿宋_GB2312"/>
          <w:color w:val="000000" w:themeColor="text1"/>
          <w:highlight w:val="none"/>
        </w:rPr>
        <w:t>乙方送货至甲方指定地点；合同综合单价已含卸车费用，卸车工作由乙方负责，若由甲方负责卸车，发生的相应费用结算款中扣除。</w:t>
      </w:r>
    </w:p>
    <w:p>
      <w:pPr>
        <w:pStyle w:val="41"/>
        <w:spacing w:line="400" w:lineRule="atLeast"/>
        <w:ind w:firstLine="482"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1.2送货不卸车：</w:t>
      </w:r>
      <w:r>
        <w:rPr>
          <w:rFonts w:hint="eastAsia" w:ascii="仿宋_GB2312" w:hAnsi="仿宋_GB2312" w:eastAsia="仿宋_GB2312" w:cs="仿宋_GB2312"/>
          <w:color w:val="000000" w:themeColor="text1"/>
          <w:highlight w:val="none"/>
        </w:rPr>
        <w:t>合同综合单价不含卸车费用，卸车工作由甲方组织。</w:t>
      </w:r>
    </w:p>
    <w:p>
      <w:pPr>
        <w:pStyle w:val="41"/>
        <w:spacing w:line="400" w:lineRule="atLeast"/>
        <w:ind w:firstLine="482" w:firstLineChars="200"/>
        <w:outlineLvl w:val="1"/>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2、交货时间：</w:t>
      </w:r>
      <w:r>
        <w:rPr>
          <w:rFonts w:hint="eastAsia" w:ascii="仿宋_GB2312" w:hAnsi="仿宋_GB2312" w:eastAsia="仿宋_GB2312" w:cs="仿宋_GB2312"/>
          <w:color w:val="000000" w:themeColor="text1"/>
          <w:highlight w:val="none"/>
        </w:rPr>
        <w:t>甲方施工现场材料负责人提前</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u w:val="single"/>
          <w:lang w:val="en-US" w:eastAsia="zh-CN"/>
        </w:rPr>
        <w:t xml:space="preserve"> </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天向乙方提供每批次的需用计划（云筑网订单、计划联系函、电子邮件等），乙方根据甲方所提供的需用计划及时将货物配送至甲方指定堆场。</w:t>
      </w:r>
      <w:r>
        <w:rPr>
          <w:rFonts w:hint="eastAsia" w:ascii="仿宋_GB2312" w:hAnsi="仿宋_GB2312" w:eastAsia="仿宋_GB2312" w:cs="仿宋_GB2312"/>
          <w:b/>
          <w:bCs/>
          <w:color w:val="000000" w:themeColor="text1"/>
          <w:highlight w:val="none"/>
        </w:rPr>
        <w:t>乙方延期供货次数不超过2次，否则乙方按合同第二部分第二条违约条款承担违约责任。乙方不得因甲方更改需用计划及要求卖方延期交货而向甲方提出索赔</w:t>
      </w:r>
      <w:r>
        <w:rPr>
          <w:rFonts w:hint="eastAsia" w:ascii="仿宋_GB2312" w:hAnsi="仿宋_GB2312" w:eastAsia="仿宋_GB2312" w:cs="仿宋_GB2312"/>
          <w:color w:val="000000" w:themeColor="text1"/>
          <w:highlight w:val="none"/>
        </w:rPr>
        <w:t>。</w:t>
      </w:r>
      <w:r>
        <w:rPr>
          <w:rFonts w:hint="eastAsia" w:ascii="仿宋_GB2312" w:hAnsi="仿宋_GB2312" w:eastAsia="仿宋_GB2312" w:cs="仿宋_GB2312"/>
          <w:b/>
          <w:bCs/>
          <w:color w:val="000000" w:themeColor="text1"/>
          <w:highlight w:val="none"/>
        </w:rPr>
        <w:t>根据工程项目施工需要，甲方对所采购物资的数量和送货时间如有变更，及时书面通知乙方，乙方按变更后的数量和送货时间供货，新增或减少的物资价格不变。</w:t>
      </w:r>
    </w:p>
    <w:p>
      <w:pPr>
        <w:pStyle w:val="41"/>
        <w:spacing w:line="400" w:lineRule="atLeast"/>
        <w:ind w:firstLine="482" w:firstLineChars="200"/>
        <w:outlineLvl w:val="1"/>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3、交货地点：</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（工程所在地或甲方指定的其他地点）。</w:t>
      </w:r>
    </w:p>
    <w:p>
      <w:pPr>
        <w:pStyle w:val="41"/>
        <w:spacing w:line="400" w:lineRule="atLeast"/>
        <w:ind w:firstLine="482" w:firstLineChars="200"/>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4、交货内容：</w:t>
      </w:r>
      <w:r>
        <w:rPr>
          <w:rFonts w:hint="eastAsia" w:ascii="仿宋_GB2312" w:hAnsi="仿宋_GB2312" w:eastAsia="仿宋_GB2312" w:cs="仿宋_GB2312"/>
          <w:color w:val="000000" w:themeColor="text1"/>
          <w:highlight w:val="none"/>
        </w:rPr>
        <w:t>交货产品、配套产品及配套服务如下；</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w:t>
      </w:r>
    </w:p>
    <w:p>
      <w:pPr>
        <w:pStyle w:val="41"/>
        <w:spacing w:line="400" w:lineRule="atLeast"/>
        <w:ind w:firstLine="482" w:firstLineChars="200"/>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5、双方代表：</w:t>
      </w:r>
    </w:p>
    <w:p>
      <w:pPr>
        <w:spacing w:line="400" w:lineRule="atLeast"/>
        <w:ind w:firstLine="480" w:firstLineChars="200"/>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rPr>
        <w:t>甲方指定收货联系人：</w:t>
      </w:r>
      <w:r>
        <w:rPr>
          <w:rFonts w:hint="eastAsia" w:ascii="仿宋_GB2312" w:hAnsi="仿宋_GB2312" w:eastAsia="仿宋_GB2312" w:cs="仿宋_GB2312"/>
          <w:color w:val="000000" w:themeColor="text1"/>
          <w:kern w:val="0"/>
          <w:sz w:val="24"/>
          <w:szCs w:val="24"/>
          <w:highlight w:val="none"/>
          <w:u w:val="single"/>
        </w:rPr>
        <w:t xml:space="preserve">     </w:t>
      </w:r>
      <w:r>
        <w:rPr>
          <w:rFonts w:hint="eastAsia" w:ascii="仿宋_GB2312" w:hAnsi="仿宋_GB2312" w:eastAsia="仿宋_GB2312" w:cs="仿宋_GB2312"/>
          <w:color w:val="000000" w:themeColor="text1"/>
          <w:kern w:val="0"/>
          <w:sz w:val="24"/>
          <w:szCs w:val="24"/>
          <w:highlight w:val="none"/>
        </w:rPr>
        <w:t>，电话：</w:t>
      </w:r>
      <w:r>
        <w:rPr>
          <w:rFonts w:hint="eastAsia" w:ascii="仿宋_GB2312" w:hAnsi="仿宋_GB2312" w:eastAsia="仿宋_GB2312" w:cs="仿宋_GB2312"/>
          <w:color w:val="000000" w:themeColor="text1"/>
          <w:kern w:val="0"/>
          <w:sz w:val="24"/>
          <w:szCs w:val="24"/>
          <w:highlight w:val="none"/>
          <w:u w:val="single"/>
        </w:rPr>
        <w:t xml:space="preserve">    </w:t>
      </w:r>
      <w:r>
        <w:rPr>
          <w:rFonts w:hint="eastAsia" w:ascii="仿宋_GB2312" w:hAnsi="仿宋_GB2312" w:eastAsia="仿宋_GB2312" w:cs="仿宋_GB2312"/>
          <w:color w:val="000000" w:themeColor="text1"/>
          <w:kern w:val="0"/>
          <w:sz w:val="24"/>
          <w:szCs w:val="24"/>
          <w:highlight w:val="none"/>
        </w:rPr>
        <w:t>，电子邮箱：</w:t>
      </w:r>
      <w:r>
        <w:rPr>
          <w:rFonts w:hint="eastAsia" w:ascii="仿宋_GB2312" w:hAnsi="仿宋_GB2312" w:eastAsia="仿宋_GB2312" w:cs="仿宋_GB2312"/>
          <w:color w:val="000000" w:themeColor="text1"/>
          <w:kern w:val="0"/>
          <w:sz w:val="24"/>
          <w:szCs w:val="24"/>
          <w:highlight w:val="none"/>
          <w:u w:val="single"/>
        </w:rPr>
        <w:t xml:space="preserve">    </w:t>
      </w:r>
      <w:r>
        <w:rPr>
          <w:rFonts w:hint="eastAsia" w:ascii="仿宋_GB2312" w:hAnsi="仿宋_GB2312" w:eastAsia="仿宋_GB2312" w:cs="仿宋_GB2312"/>
          <w:color w:val="000000" w:themeColor="text1"/>
          <w:kern w:val="0"/>
          <w:sz w:val="24"/>
          <w:szCs w:val="24"/>
          <w:highlight w:val="none"/>
        </w:rPr>
        <w:t>。</w:t>
      </w:r>
    </w:p>
    <w:p>
      <w:pPr>
        <w:spacing w:line="400" w:lineRule="atLeast"/>
        <w:ind w:firstLine="480" w:firstLineChars="200"/>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rPr>
        <w:t>乙方指定发货联系人：</w:t>
      </w:r>
      <w:r>
        <w:rPr>
          <w:rFonts w:hint="eastAsia" w:ascii="仿宋_GB2312" w:hAnsi="仿宋_GB2312" w:eastAsia="仿宋_GB2312" w:cs="仿宋_GB2312"/>
          <w:color w:val="000000" w:themeColor="text1"/>
          <w:kern w:val="0"/>
          <w:sz w:val="24"/>
          <w:szCs w:val="24"/>
          <w:highlight w:val="none"/>
          <w:u w:val="single"/>
        </w:rPr>
        <w:t xml:space="preserve">     </w:t>
      </w:r>
      <w:r>
        <w:rPr>
          <w:rFonts w:hint="eastAsia" w:ascii="仿宋_GB2312" w:hAnsi="仿宋_GB2312" w:eastAsia="仿宋_GB2312" w:cs="仿宋_GB2312"/>
          <w:color w:val="000000" w:themeColor="text1"/>
          <w:kern w:val="0"/>
          <w:sz w:val="24"/>
          <w:szCs w:val="24"/>
          <w:highlight w:val="none"/>
        </w:rPr>
        <w:t>，电话：</w:t>
      </w:r>
      <w:r>
        <w:rPr>
          <w:rFonts w:hint="eastAsia" w:ascii="仿宋_GB2312" w:hAnsi="仿宋_GB2312" w:eastAsia="仿宋_GB2312" w:cs="仿宋_GB2312"/>
          <w:color w:val="000000" w:themeColor="text1"/>
          <w:kern w:val="0"/>
          <w:sz w:val="24"/>
          <w:szCs w:val="24"/>
          <w:highlight w:val="none"/>
          <w:u w:val="single"/>
        </w:rPr>
        <w:t xml:space="preserve">    </w:t>
      </w:r>
      <w:r>
        <w:rPr>
          <w:rFonts w:hint="eastAsia" w:ascii="仿宋_GB2312" w:hAnsi="仿宋_GB2312" w:eastAsia="仿宋_GB2312" w:cs="仿宋_GB2312"/>
          <w:color w:val="000000" w:themeColor="text1"/>
          <w:kern w:val="0"/>
          <w:sz w:val="24"/>
          <w:szCs w:val="24"/>
          <w:highlight w:val="none"/>
        </w:rPr>
        <w:t>，电子邮箱：</w:t>
      </w:r>
      <w:r>
        <w:rPr>
          <w:rFonts w:hint="eastAsia" w:ascii="仿宋_GB2312" w:hAnsi="仿宋_GB2312" w:eastAsia="仿宋_GB2312" w:cs="仿宋_GB2312"/>
          <w:color w:val="000000" w:themeColor="text1"/>
          <w:kern w:val="0"/>
          <w:sz w:val="24"/>
          <w:szCs w:val="24"/>
          <w:highlight w:val="none"/>
          <w:u w:val="single"/>
        </w:rPr>
        <w:t xml:space="preserve">    </w:t>
      </w:r>
      <w:r>
        <w:rPr>
          <w:rFonts w:hint="eastAsia" w:ascii="仿宋_GB2312" w:hAnsi="仿宋_GB2312" w:eastAsia="仿宋_GB2312" w:cs="仿宋_GB2312"/>
          <w:color w:val="000000" w:themeColor="text1"/>
          <w:kern w:val="0"/>
          <w:sz w:val="24"/>
          <w:szCs w:val="24"/>
          <w:highlight w:val="none"/>
        </w:rPr>
        <w:t>。</w:t>
      </w:r>
    </w:p>
    <w:p>
      <w:pPr>
        <w:pStyle w:val="41"/>
        <w:spacing w:line="400" w:lineRule="atLeast"/>
        <w:ind w:firstLine="480" w:firstLineChars="200"/>
        <w:rPr>
          <w:rFonts w:ascii="仿宋_GB2312" w:hAnsi="仿宋_GB2312" w:eastAsia="仿宋_GB2312" w:cs="仿宋_GB2312"/>
          <w:color w:val="000000" w:themeColor="text1"/>
          <w:highlight w:val="none"/>
        </w:rPr>
      </w:pPr>
      <w:bookmarkStart w:id="88" w:name="_Hlk126833838"/>
      <w:r>
        <w:rPr>
          <w:rFonts w:hint="eastAsia" w:ascii="仿宋_GB2312" w:hAnsi="仿宋_GB2312" w:eastAsia="仿宋_GB2312" w:cs="仿宋_GB2312"/>
          <w:color w:val="000000" w:themeColor="text1"/>
          <w:highlight w:val="none"/>
        </w:rPr>
        <w:t>合同双方更换代表时应及时书面通知对方，保证货物交接顺利。</w:t>
      </w:r>
      <w:r>
        <w:rPr>
          <w:rFonts w:hint="eastAsia" w:ascii="仿宋_GB2312" w:hAnsi="仿宋_GB2312" w:eastAsia="仿宋_GB2312" w:cs="仿宋_GB2312"/>
          <w:b/>
          <w:bCs/>
          <w:color w:val="000000" w:themeColor="text1"/>
          <w:highlight w:val="none"/>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hint="eastAsia" w:ascii="仿宋_GB2312" w:hAnsi="仿宋_GB2312" w:eastAsia="仿宋_GB2312" w:cs="仿宋_GB2312"/>
          <w:color w:val="000000" w:themeColor="text1"/>
          <w:highlight w:val="none"/>
        </w:rPr>
        <w:t>为避免货物供应争议，甲方保留拒绝乙方非指定联系人供货的权利，由此产生的费用由乙方承担。甲乙双方授权内容详见附件一、附件二</w:t>
      </w:r>
      <w:bookmarkEnd w:id="88"/>
      <w:r>
        <w:rPr>
          <w:rFonts w:hint="eastAsia" w:ascii="仿宋_GB2312" w:hAnsi="仿宋_GB2312" w:eastAsia="仿宋_GB2312" w:cs="仿宋_GB2312"/>
          <w:color w:val="000000" w:themeColor="text1"/>
          <w:highlight w:val="none"/>
        </w:rPr>
        <w:t>。</w:t>
      </w:r>
    </w:p>
    <w:p>
      <w:pPr>
        <w:pStyle w:val="41"/>
        <w:spacing w:line="400" w:lineRule="atLeast"/>
        <w:ind w:firstLine="482" w:firstLineChars="200"/>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6、运输要求：</w:t>
      </w:r>
    </w:p>
    <w:p>
      <w:pPr>
        <w:pStyle w:val="41"/>
        <w:spacing w:line="400" w:lineRule="atLeast"/>
        <w:ind w:firstLine="482"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6.1运输形式：</w:t>
      </w:r>
      <w:r>
        <w:rPr>
          <w:rFonts w:hint="eastAsia" w:ascii="仿宋_GB2312" w:hAnsi="仿宋_GB2312" w:eastAsia="仿宋_GB2312" w:cs="仿宋_GB2312"/>
          <w:color w:val="000000" w:themeColor="text1"/>
          <w:highlight w:val="none"/>
        </w:rPr>
        <w:t>乙方须组织专用的运输工具将货物运至甲方指定的地点（工程所在地或甲方指定的其他地点），并应当和甲方共同协商，合理安排送货路线、停车地点。</w:t>
      </w:r>
    </w:p>
    <w:p>
      <w:pPr>
        <w:pStyle w:val="41"/>
        <w:spacing w:line="400" w:lineRule="atLeast"/>
        <w:ind w:firstLine="482" w:firstLineChars="200"/>
        <w:rPr>
          <w:rFonts w:hint="eastAsia"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6.2注意事项：</w:t>
      </w:r>
      <w:r>
        <w:rPr>
          <w:rFonts w:hint="eastAsia" w:ascii="仿宋_GB2312" w:hAnsi="仿宋_GB2312" w:eastAsia="仿宋_GB2312" w:cs="仿宋_GB2312"/>
          <w:color w:val="000000" w:themeColor="text1"/>
          <w:highlight w:val="none"/>
        </w:rPr>
        <w:t>乙方应自行勘察现场，熟悉施工现场位置和周围环境，货物运输过程中，要遵守工程所在地政府、建设单位及甲方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89" w:name="_Hlk127189046"/>
      <w:r>
        <w:rPr>
          <w:rFonts w:hint="eastAsia" w:ascii="仿宋_GB2312" w:hAnsi="仿宋_GB2312" w:eastAsia="仿宋_GB2312" w:cs="仿宋_GB2312"/>
          <w:b/>
          <w:bCs/>
          <w:color w:val="000000" w:themeColor="text1"/>
          <w:highlight w:val="none"/>
        </w:rPr>
        <w:t>乙方无法按甲方要求将产品送到指定地点卸货的，甲方有权不予验收，由此给甲方造成的损失由乙方承担</w:t>
      </w:r>
      <w:bookmarkEnd w:id="89"/>
      <w:r>
        <w:rPr>
          <w:rFonts w:hint="eastAsia" w:ascii="仿宋_GB2312" w:hAnsi="仿宋_GB2312" w:eastAsia="仿宋_GB2312" w:cs="仿宋_GB2312"/>
          <w:b/>
          <w:bCs/>
          <w:color w:val="000000" w:themeColor="text1"/>
          <w:highlight w:val="none"/>
        </w:rPr>
        <w:t>。</w:t>
      </w:r>
    </w:p>
    <w:p>
      <w:pPr>
        <w:pStyle w:val="4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rPr>
      </w:pPr>
      <w:r>
        <w:rPr>
          <w:rFonts w:hint="eastAsia" w:ascii="仿宋_GB2312" w:hAnsi="仿宋_GB2312" w:eastAsia="仿宋_GB2312" w:cs="仿宋_GB2312"/>
          <w:b w:val="0"/>
          <w:bCs w:val="0"/>
          <w:color w:val="000000" w:themeColor="text1"/>
          <w:highlight w:val="none"/>
          <w:lang w:val="en-US" w:eastAsia="zh-CN"/>
        </w:rPr>
        <w:t>6.3货物的装车、运输、车辆返回全过程出现的安全事故或其它任何意外均由乙方承担责任。装车和运输途中的物资品质发生变化或丢失由乙方负责，由此造成的损失由乙方承担。</w:t>
      </w:r>
    </w:p>
    <w:p>
      <w:pPr>
        <w:pStyle w:val="4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rPr>
      </w:pPr>
      <w:r>
        <w:rPr>
          <w:rFonts w:hint="eastAsia" w:ascii="仿宋_GB2312" w:hAnsi="仿宋_GB2312" w:eastAsia="仿宋_GB2312" w:cs="仿宋_GB2312"/>
          <w:b w:val="0"/>
          <w:bCs w:val="0"/>
          <w:color w:val="000000" w:themeColor="text1"/>
          <w:highlight w:val="none"/>
          <w:lang w:val="en-US" w:eastAsia="zh-CN"/>
        </w:rPr>
        <w:t>6.4乙方应对运输人员进行安全管理和安全教育，运输人员遵守交通法规。</w:t>
      </w:r>
    </w:p>
    <w:p>
      <w:pPr>
        <w:pStyle w:val="41"/>
        <w:spacing w:line="400" w:lineRule="atLeast"/>
        <w:rPr>
          <w:rFonts w:hint="eastAsia" w:ascii="仿宋_GB2312" w:hAnsi="仿宋_GB2312" w:eastAsia="仿宋_GB2312" w:cs="仿宋_GB2312"/>
          <w:b w:val="0"/>
          <w:bCs w:val="0"/>
          <w:color w:val="000000" w:themeColor="text1"/>
          <w:highlight w:val="none"/>
          <w:lang w:val="en-US" w:eastAsia="zh-CN"/>
        </w:rPr>
      </w:pPr>
      <w:r>
        <w:rPr>
          <w:rFonts w:hint="eastAsia" w:ascii="仿宋_GB2312" w:hAnsi="仿宋_GB2312" w:eastAsia="仿宋_GB2312" w:cs="仿宋_GB2312"/>
          <w:b w:val="0"/>
          <w:bCs w:val="0"/>
          <w:color w:val="000000" w:themeColor="text1"/>
          <w:highlight w:val="none"/>
          <w:lang w:val="en-US" w:eastAsia="zh-CN"/>
        </w:rPr>
        <w:t>应当给负责运送货物的车辆办理交强险及商业保险。如因运载车辆事故、卸货等</w:t>
      </w:r>
    </w:p>
    <w:p>
      <w:pPr>
        <w:pStyle w:val="41"/>
        <w:spacing w:line="400" w:lineRule="atLeast"/>
        <w:rPr>
          <w:rFonts w:hint="eastAsia" w:ascii="仿宋_GB2312" w:hAnsi="仿宋_GB2312" w:eastAsia="仿宋_GB2312" w:cs="仿宋_GB2312"/>
          <w:b w:val="0"/>
          <w:bCs w:val="0"/>
          <w:color w:val="000000" w:themeColor="text1"/>
          <w:highlight w:val="none"/>
          <w:lang w:val="en-US" w:eastAsia="zh-CN"/>
        </w:rPr>
      </w:pPr>
      <w:r>
        <w:rPr>
          <w:rFonts w:hint="eastAsia" w:ascii="仿宋_GB2312" w:hAnsi="仿宋_GB2312" w:eastAsia="仿宋_GB2312" w:cs="仿宋_GB2312"/>
          <w:b w:val="0"/>
          <w:bCs w:val="0"/>
          <w:color w:val="000000" w:themeColor="text1"/>
          <w:highlight w:val="none"/>
          <w:lang w:val="en-US" w:eastAsia="zh-CN"/>
        </w:rPr>
        <w:t>原因导致的乙方及任何第三方的人身伤害及经济损失均由乙方负责，并补偿甲方</w:t>
      </w:r>
    </w:p>
    <w:p>
      <w:pPr>
        <w:pStyle w:val="41"/>
        <w:spacing w:line="400" w:lineRule="atLeast"/>
        <w:rPr>
          <w:rFonts w:hint="eastAsia" w:ascii="仿宋_GB2312" w:hAnsi="仿宋_GB2312" w:eastAsia="仿宋_GB2312" w:cs="仿宋_GB2312"/>
          <w:b w:val="0"/>
          <w:bCs w:val="0"/>
          <w:color w:val="000000" w:themeColor="text1"/>
          <w:highlight w:val="none"/>
          <w:lang w:val="en-US" w:eastAsia="zh-CN"/>
        </w:rPr>
      </w:pPr>
      <w:r>
        <w:rPr>
          <w:rFonts w:hint="eastAsia" w:ascii="仿宋_GB2312" w:hAnsi="仿宋_GB2312" w:eastAsia="仿宋_GB2312" w:cs="仿宋_GB2312"/>
          <w:b w:val="0"/>
          <w:bCs w:val="0"/>
          <w:color w:val="000000" w:themeColor="text1"/>
          <w:highlight w:val="none"/>
          <w:lang w:val="en-US" w:eastAsia="zh-CN"/>
        </w:rPr>
        <w:t>及其他方因此造成的损失。</w:t>
      </w:r>
    </w:p>
    <w:p>
      <w:pPr>
        <w:pStyle w:val="4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rPr>
      </w:pPr>
      <w:r>
        <w:rPr>
          <w:rFonts w:hint="eastAsia" w:ascii="仿宋_GB2312" w:hAnsi="仿宋_GB2312" w:eastAsia="仿宋_GB2312" w:cs="仿宋_GB2312"/>
          <w:b w:val="0"/>
          <w:bCs w:val="0"/>
          <w:color w:val="000000" w:themeColor="text1"/>
          <w:highlight w:val="none"/>
          <w:lang w:val="en-US" w:eastAsia="zh-CN"/>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pPr>
        <w:pStyle w:val="4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rPr>
      </w:pPr>
      <w:r>
        <w:rPr>
          <w:rFonts w:hint="eastAsia" w:ascii="仿宋_GB2312" w:hAnsi="仿宋_GB2312" w:eastAsia="仿宋_GB2312" w:cs="仿宋_GB2312"/>
          <w:b w:val="0"/>
          <w:bCs w:val="0"/>
          <w:color w:val="000000" w:themeColor="text1"/>
          <w:highlight w:val="none"/>
          <w:lang w:val="en-US" w:eastAsia="zh-CN"/>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pPr>
        <w:pStyle w:val="41"/>
        <w:spacing w:line="400" w:lineRule="atLeast"/>
        <w:ind w:firstLine="480" w:firstLineChars="200"/>
        <w:rPr>
          <w:rFonts w:hint="eastAsia" w:ascii="仿宋_GB2312" w:hAnsi="仿宋_GB2312" w:eastAsia="仿宋_GB2312" w:cs="仿宋_GB2312"/>
          <w:b w:val="0"/>
          <w:bCs w:val="0"/>
          <w:color w:val="000000" w:themeColor="text1"/>
          <w:highlight w:val="none"/>
        </w:rPr>
      </w:pPr>
      <w:r>
        <w:rPr>
          <w:rFonts w:hint="eastAsia" w:ascii="仿宋_GB2312" w:hAnsi="仿宋_GB2312" w:eastAsia="仿宋_GB2312" w:cs="仿宋_GB2312"/>
          <w:b w:val="0"/>
          <w:bCs w:val="0"/>
          <w:color w:val="000000" w:themeColor="text1"/>
          <w:highlight w:val="none"/>
          <w:lang w:val="en-US" w:eastAsia="zh-CN"/>
        </w:rPr>
        <w:t>6.7</w:t>
      </w:r>
      <w:r>
        <w:rPr>
          <w:rFonts w:hint="eastAsia" w:ascii="仿宋_GB2312" w:hAnsi="仿宋_GB2312" w:eastAsia="仿宋_GB2312" w:cs="仿宋_GB2312"/>
          <w:b w:val="0"/>
          <w:bCs w:val="0"/>
          <w:color w:val="000000" w:themeColor="text1"/>
          <w:highlight w:val="none"/>
        </w:rPr>
        <w:t>乙方保证在运输和卸货过程中应采取相应的环保措施，符合国家环保要求。车辆在进入项目现场要保证不沾泥土和脏物，车辆出入项目现场必须在项目大门内现场洗车。乙方在卸货过程中保证噪声白天小于或等于</w:t>
      </w:r>
      <w:r>
        <w:rPr>
          <w:rFonts w:hint="eastAsia" w:ascii="仿宋_GB2312" w:hAnsi="仿宋_GB2312" w:eastAsia="仿宋_GB2312" w:cs="仿宋_GB2312"/>
          <w:color w:val="000000" w:themeColor="text1"/>
          <w:kern w:val="0"/>
          <w:sz w:val="24"/>
          <w:szCs w:val="24"/>
          <w:highlight w:val="none"/>
          <w:u w:val="single"/>
          <w:lang w:val="en-US" w:eastAsia="zh-CN"/>
        </w:rPr>
        <w:t>85</w:t>
      </w:r>
      <w:r>
        <w:rPr>
          <w:rFonts w:hint="eastAsia" w:ascii="仿宋_GB2312" w:hAnsi="仿宋_GB2312" w:eastAsia="仿宋_GB2312" w:cs="仿宋_GB2312"/>
          <w:b w:val="0"/>
          <w:bCs w:val="0"/>
          <w:color w:val="000000" w:themeColor="text1"/>
          <w:highlight w:val="none"/>
        </w:rPr>
        <w:t>dB、夜间小于或等于</w:t>
      </w:r>
      <w:r>
        <w:rPr>
          <w:rFonts w:hint="eastAsia" w:ascii="仿宋_GB2312" w:hAnsi="仿宋_GB2312" w:eastAsia="仿宋_GB2312" w:cs="仿宋_GB2312"/>
          <w:color w:val="000000" w:themeColor="text1"/>
          <w:kern w:val="0"/>
          <w:sz w:val="24"/>
          <w:szCs w:val="24"/>
          <w:highlight w:val="none"/>
          <w:u w:val="single"/>
          <w:lang w:val="en-US" w:eastAsia="zh-CN"/>
        </w:rPr>
        <w:t>55</w:t>
      </w:r>
      <w:r>
        <w:rPr>
          <w:rFonts w:hint="eastAsia" w:ascii="仿宋_GB2312" w:hAnsi="仿宋_GB2312" w:eastAsia="仿宋_GB2312" w:cs="仿宋_GB2312"/>
          <w:b w:val="0"/>
          <w:bCs w:val="0"/>
          <w:color w:val="000000" w:themeColor="text1"/>
          <w:highlight w:val="none"/>
        </w:rPr>
        <w:t>dB。乙方保证乙方人员以及车辆进入本工地现场，应遵守现场的一切卫生环保、文明施工的规定，因违反环保要求所造成的一切罚款由乙方承担。</w:t>
      </w:r>
    </w:p>
    <w:p>
      <w:pPr>
        <w:pStyle w:val="41"/>
        <w:spacing w:line="400" w:lineRule="atLeast"/>
        <w:ind w:firstLine="480" w:firstLineChars="200"/>
        <w:rPr>
          <w:rFonts w:hint="default" w:ascii="仿宋_GB2312" w:hAnsi="仿宋_GB2312" w:eastAsia="仿宋_GB2312" w:cs="仿宋_GB2312"/>
          <w:b w:val="0"/>
          <w:bCs w:val="0"/>
          <w:color w:val="000000" w:themeColor="text1"/>
          <w:highlight w:val="none"/>
          <w:u w:val="single"/>
          <w:lang w:val="en-US" w:eastAsia="zh-CN"/>
        </w:rPr>
      </w:pPr>
      <w:r>
        <w:rPr>
          <w:rFonts w:hint="eastAsia" w:ascii="仿宋_GB2312" w:hAnsi="仿宋_GB2312" w:eastAsia="仿宋_GB2312" w:cs="仿宋_GB2312"/>
          <w:b w:val="0"/>
          <w:bCs w:val="0"/>
          <w:color w:val="000000" w:themeColor="text1"/>
          <w:highlight w:val="none"/>
          <w:lang w:val="en-US" w:eastAsia="zh-CN"/>
        </w:rPr>
        <w:t>6.8沥青到指定地点卸车温度应不低于</w:t>
      </w:r>
      <w:r>
        <w:rPr>
          <w:rFonts w:hint="eastAsia" w:ascii="仿宋_GB2312" w:hAnsi="仿宋_GB2312" w:eastAsia="仿宋_GB2312" w:cs="仿宋_GB2312"/>
          <w:b w:val="0"/>
          <w:bCs w:val="0"/>
          <w:color w:val="000000" w:themeColor="text1"/>
          <w:highlight w:val="none"/>
          <w:u w:val="single"/>
          <w:lang w:val="en-US" w:eastAsia="zh-CN"/>
        </w:rPr>
        <w:t xml:space="preserve">          </w:t>
      </w:r>
      <w:r>
        <w:rPr>
          <w:rFonts w:hint="eastAsia" w:ascii="仿宋_GB2312" w:hAnsi="仿宋_GB2312" w:eastAsia="仿宋_GB2312" w:cs="仿宋_GB2312"/>
          <w:b w:val="0"/>
          <w:bCs w:val="0"/>
          <w:color w:val="000000" w:themeColor="text1"/>
          <w:highlight w:val="none"/>
          <w:u w:val="none"/>
          <w:lang w:val="en-US" w:eastAsia="zh-CN"/>
        </w:rPr>
        <w:t>。</w:t>
      </w:r>
    </w:p>
    <w:p>
      <w:pPr>
        <w:pStyle w:val="41"/>
        <w:spacing w:line="400" w:lineRule="atLeast"/>
        <w:ind w:firstLine="482" w:firstLineChars="200"/>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7、货物包装：</w:t>
      </w:r>
    </w:p>
    <w:p>
      <w:pPr>
        <w:spacing w:line="400" w:lineRule="atLeast"/>
        <w:ind w:firstLine="482" w:firstLineChars="200"/>
        <w:jc w:val="lef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7.1包装标准：</w:t>
      </w:r>
      <w:r>
        <w:rPr>
          <w:rFonts w:hint="eastAsia" w:ascii="仿宋_GB2312" w:hAnsi="仿宋_GB2312" w:eastAsia="仿宋_GB2312" w:cs="仿宋_GB2312"/>
          <w:color w:val="000000" w:themeColor="text1"/>
          <w:sz w:val="24"/>
          <w:szCs w:val="24"/>
          <w:highlight w:val="none"/>
        </w:rPr>
        <w:t>乙方按照国家或业务主管部门的技术规定执行（标准代号、标准编号及标准名称为</w:t>
      </w:r>
      <w:r>
        <w:rPr>
          <w:rFonts w:hint="eastAsia" w:ascii="仿宋_GB2312" w:hAnsi="仿宋_GB2312" w:eastAsia="仿宋_GB2312" w:cs="仿宋_GB2312"/>
          <w:color w:val="000000" w:themeColor="text1"/>
          <w:sz w:val="24"/>
          <w:szCs w:val="24"/>
          <w:highlight w:val="none"/>
          <w:u w:val="single"/>
        </w:rPr>
        <w:t xml:space="preserve">    /  </w:t>
      </w:r>
      <w:r>
        <w:rPr>
          <w:rFonts w:hint="eastAsia" w:ascii="仿宋_GB2312" w:hAnsi="仿宋_GB2312" w:eastAsia="仿宋_GB2312" w:cs="仿宋_GB2312"/>
          <w:color w:val="000000" w:themeColor="text1"/>
          <w:sz w:val="24"/>
          <w:szCs w:val="24"/>
          <w:highlight w:val="none"/>
        </w:rPr>
        <w:t>）；没有上述标准的，或虽有上述标准，但甲方对包装有特殊要求，按如下约定执行：</w:t>
      </w:r>
      <w:r>
        <w:rPr>
          <w:rFonts w:hint="eastAsia" w:ascii="仿宋_GB2312" w:hAnsi="仿宋_GB2312" w:eastAsia="仿宋_GB2312" w:cs="仿宋_GB2312"/>
          <w:color w:val="000000" w:themeColor="text1"/>
          <w:sz w:val="24"/>
          <w:szCs w:val="24"/>
          <w:highlight w:val="none"/>
          <w:u w:val="single"/>
        </w:rPr>
        <w:t xml:space="preserve">   /  </w:t>
      </w:r>
      <w:r>
        <w:rPr>
          <w:rFonts w:hint="eastAsia" w:ascii="仿宋_GB2312" w:hAnsi="仿宋_GB2312" w:eastAsia="仿宋_GB2312" w:cs="仿宋_GB2312"/>
          <w:color w:val="000000" w:themeColor="text1"/>
          <w:sz w:val="24"/>
          <w:szCs w:val="24"/>
          <w:highlight w:val="none"/>
        </w:rPr>
        <w:t>。</w:t>
      </w:r>
    </w:p>
    <w:p>
      <w:pPr>
        <w:pStyle w:val="41"/>
        <w:spacing w:line="400" w:lineRule="atLeast"/>
        <w:ind w:firstLine="48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000000" w:themeColor="text1"/>
          <w:highlight w:val="none"/>
        </w:rPr>
        <w:t>7.2包装回收：</w:t>
      </w:r>
      <w:r>
        <w:rPr>
          <w:rFonts w:hint="eastAsia" w:ascii="仿宋_GB2312" w:hAnsi="仿宋_GB2312" w:eastAsia="仿宋_GB2312" w:cs="仿宋_GB2312"/>
          <w:color w:val="000000" w:themeColor="text1"/>
          <w:highlight w:val="none"/>
          <w:u w:val="single"/>
        </w:rPr>
        <w:t>乙方无特别注明视为无包装物回收，有包装物回收时乙方应在收到甲方通知7天内完成包装</w:t>
      </w:r>
      <w:r>
        <w:rPr>
          <w:rFonts w:hint="eastAsia" w:ascii="仿宋_GB2312" w:hAnsi="仿宋_GB2312" w:eastAsia="仿宋_GB2312" w:cs="仿宋_GB2312"/>
          <w:color w:val="auto"/>
          <w:highlight w:val="none"/>
          <w:u w:val="single"/>
        </w:rPr>
        <w:t>回收。</w:t>
      </w:r>
    </w:p>
    <w:p>
      <w:pPr>
        <w:pStyle w:val="41"/>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8、安装要求：</w:t>
      </w:r>
      <w:r>
        <w:rPr>
          <w:rFonts w:hint="eastAsia" w:ascii="仿宋_GB2312" w:hAnsi="仿宋_GB2312" w:eastAsia="仿宋_GB2312" w:cs="仿宋_GB2312"/>
          <w:color w:val="auto"/>
          <w:highlight w:val="none"/>
        </w:rPr>
        <w:t>若货物附带安装工作内容，单价已综合考虑不另计价，具体安装内容及要求如下：</w:t>
      </w:r>
      <w:r>
        <w:rPr>
          <w:rFonts w:hint="eastAsia" w:ascii="仿宋_GB2312" w:hAnsi="仿宋_GB2312" w:eastAsia="仿宋_GB2312" w:cs="仿宋_GB2312"/>
          <w:color w:val="auto"/>
          <w:highlight w:val="none"/>
          <w:u w:val="single"/>
        </w:rPr>
        <w:t xml:space="preserve">   /   </w:t>
      </w:r>
      <w:r>
        <w:rPr>
          <w:rFonts w:hint="eastAsia" w:ascii="仿宋_GB2312" w:hAnsi="仿宋_GB2312" w:eastAsia="仿宋_GB2312" w:cs="仿宋_GB2312"/>
          <w:color w:val="auto"/>
          <w:highlight w:val="none"/>
        </w:rPr>
        <w:t>。</w:t>
      </w:r>
    </w:p>
    <w:p>
      <w:pPr>
        <w:pStyle w:val="41"/>
        <w:spacing w:line="400" w:lineRule="atLeast"/>
        <w:ind w:firstLine="482" w:firstLineChars="200"/>
        <w:outlineLvl w:val="1"/>
        <w:rPr>
          <w:rFonts w:ascii="仿宋_GB2312" w:hAnsi="仿宋_GB2312" w:eastAsia="仿宋_GB2312" w:cs="仿宋_GB2312"/>
          <w:color w:val="000000" w:themeColor="text1"/>
          <w:highlight w:val="none"/>
        </w:rPr>
      </w:pPr>
      <w:r>
        <w:rPr>
          <w:rFonts w:hint="eastAsia" w:ascii="仿宋_GB2312" w:hAnsi="仿宋_GB2312" w:eastAsia="仿宋_GB2312" w:cs="仿宋_GB2312"/>
          <w:b/>
          <w:bCs/>
          <w:highlight w:val="none"/>
        </w:rPr>
        <w:t>9、货物意外灭失风险：</w:t>
      </w:r>
      <w:r>
        <w:rPr>
          <w:rFonts w:hint="eastAsia" w:ascii="仿宋_GB2312" w:hAnsi="仿宋_GB2312" w:eastAsia="仿宋_GB2312" w:cs="仿宋_GB2312"/>
          <w:highlight w:val="none"/>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r>
        <w:rPr>
          <w:rFonts w:hint="eastAsia" w:ascii="仿宋_GB2312" w:hAnsi="仿宋_GB2312" w:eastAsia="仿宋_GB2312" w:cs="仿宋_GB2312"/>
          <w:color w:val="000000" w:themeColor="text1"/>
          <w:highlight w:val="none"/>
        </w:rPr>
        <w:t>。</w:t>
      </w:r>
    </w:p>
    <w:p>
      <w:pPr>
        <w:pStyle w:val="4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rPr>
      </w:pPr>
      <w:bookmarkStart w:id="90" w:name="_Toc15437"/>
      <w:bookmarkStart w:id="91" w:name="_Toc29361"/>
      <w:bookmarkStart w:id="92" w:name="_Toc12447"/>
      <w:r>
        <w:rPr>
          <w:rFonts w:hint="eastAsia" w:ascii="仿宋_GB2312" w:hAnsi="仿宋_GB2312" w:eastAsia="仿宋_GB2312" w:cs="仿宋_GB2312"/>
          <w:b/>
          <w:bCs/>
          <w:color w:val="000000" w:themeColor="text1"/>
          <w:highlight w:val="none"/>
        </w:rPr>
        <w:t>货物质量</w:t>
      </w:r>
      <w:bookmarkEnd w:id="90"/>
      <w:bookmarkEnd w:id="91"/>
      <w:bookmarkEnd w:id="92"/>
    </w:p>
    <w:p>
      <w:pPr>
        <w:pStyle w:val="41"/>
        <w:spacing w:line="400" w:lineRule="atLeast"/>
        <w:ind w:firstLine="482" w:firstLineChars="200"/>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1、质量要求及技术标准：</w:t>
      </w:r>
    </w:p>
    <w:p>
      <w:pPr>
        <w:pStyle w:val="41"/>
        <w:spacing w:line="400" w:lineRule="atLeast"/>
        <w:ind w:firstLine="480" w:firstLineChars="200"/>
        <w:rPr>
          <w:rFonts w:ascii="仿宋_GB2312" w:hAnsi="仿宋_GB2312" w:eastAsia="仿宋_GB2312" w:cs="仿宋_GB2312"/>
          <w:color w:val="000000" w:themeColor="text1"/>
          <w:highlight w:val="none"/>
          <w:u w:val="single"/>
        </w:rPr>
      </w:pPr>
      <w:r>
        <w:rPr>
          <w:rFonts w:hint="eastAsia" w:ascii="仿宋_GB2312" w:hAnsi="仿宋_GB2312" w:eastAsia="仿宋_GB2312" w:cs="仿宋_GB2312"/>
          <w:color w:val="000000" w:themeColor="text1"/>
          <w:highlight w:val="none"/>
        </w:rPr>
        <w:t>1.1按照</w:t>
      </w:r>
      <w:r>
        <w:rPr>
          <w:rFonts w:hint="eastAsia" w:ascii="仿宋_GB2312" w:hAnsi="仿宋_GB2312" w:eastAsia="仿宋_GB2312" w:cs="仿宋_GB2312"/>
          <w:highlight w:val="none"/>
        </w:rPr>
        <w:t>国家标准执行</w:t>
      </w:r>
      <w:r>
        <w:rPr>
          <w:rFonts w:hint="eastAsia" w:ascii="仿宋_GB2312" w:hAnsi="仿宋_GB2312" w:eastAsia="仿宋_GB2312" w:cs="仿宋_GB2312"/>
          <w:color w:val="000000" w:themeColor="text1"/>
          <w:highlight w:val="none"/>
        </w:rPr>
        <w:t>（标准代号、标准编号及标准名称为</w:t>
      </w:r>
      <w:r>
        <w:rPr>
          <w:rFonts w:hint="eastAsia" w:ascii="仿宋_GB2312" w:hAnsi="仿宋_GB2312" w:eastAsia="仿宋_GB2312" w:cs="仿宋_GB2312"/>
          <w:color w:val="000000" w:themeColor="text1"/>
          <w:highlight w:val="none"/>
          <w:u w:val="single"/>
        </w:rPr>
        <w:t>《重交通道路石油沥青》GB/T 15180-2010、《公路沥青路面施工技术规范》JTG F40-2004、《公路工程沥青及沥青混合料试验规程》JTG E20-2011、《建设用砂》GB/T14684-2011、《普通混凝土用砂、石质量及检验方法标准》JGJ522006）、《建设用碎石、卵石》GB/T 14685-2011、《普通混凝土用砂、石质量及检验方法标准》JGJ 52-2006、</w:t>
      </w:r>
      <w:r>
        <w:rPr>
          <w:rFonts w:hint="eastAsia" w:ascii="仿宋_GB2312" w:hAnsi="仿宋_GB2312" w:eastAsia="仿宋_GB2312" w:cs="仿宋_GB2312"/>
          <w:color w:val="000000" w:themeColor="text1"/>
          <w:highlight w:val="none"/>
        </w:rPr>
        <w:t>。</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1.2无国家标准而有部颁标准的，按部颁标准执行。</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1.3无国家和部颁标准的，按企业标准执行。</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1.4没有上述标准的，或虽有上述标准，但甲方有特殊要求的，按甲乙双方在合同中商定的技术条件、样品或补充的技术要求执行（具体要求</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1.5如乙方有通过国家相关质量体系认证的企业标准，且其标准高于上述标准的，按乙方企业标准执行。</w:t>
      </w:r>
    </w:p>
    <w:p>
      <w:pPr>
        <w:pStyle w:val="3"/>
        <w:keepNext w:val="0"/>
        <w:keepLines w:val="0"/>
        <w:spacing w:line="240" w:lineRule="auto"/>
        <w:ind w:firstLine="480"/>
        <w:rPr>
          <w:rFonts w:ascii="仿宋_GB2312" w:eastAsia="仿宋_GB2312"/>
          <w:b w:val="0"/>
          <w:bCs w:val="0"/>
          <w:color w:val="000000" w:themeColor="text1"/>
          <w:sz w:val="24"/>
          <w:szCs w:val="24"/>
          <w:highlight w:val="none"/>
        </w:rPr>
      </w:pPr>
      <w:r>
        <w:rPr>
          <w:rFonts w:hint="eastAsia" w:ascii="仿宋_GB2312" w:eastAsia="仿宋_GB2312"/>
          <w:b w:val="0"/>
          <w:bCs w:val="0"/>
          <w:color w:val="000000" w:themeColor="text1"/>
          <w:sz w:val="24"/>
          <w:szCs w:val="24"/>
          <w:highlight w:val="none"/>
        </w:rPr>
        <w:t>1.6改性石油沥青（SBS）及石油石油沥青（A级）具体技术要求如下：</w:t>
      </w:r>
    </w:p>
    <w:p>
      <w:pPr>
        <w:ind w:firstLine="317" w:firstLineChars="196"/>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SBS改性石油沥青技术要求</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5"/>
        <w:gridCol w:w="738"/>
        <w:gridCol w:w="1485"/>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指标</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单位</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SBS类（I-C类）</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实验方法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jc w:val="left"/>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针入度（25℃，5s，100g）</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0.1mm</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60~80</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T0604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jc w:val="left"/>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针入度指数PI，不小于</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-0.4</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T0604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jc w:val="left"/>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延度5℃，5cm/min不小于</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cm</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30</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T0605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jc w:val="left"/>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软化度不小于</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75</w:t>
            </w:r>
          </w:p>
        </w:tc>
        <w:tc>
          <w:tcPr>
            <w:tcW w:w="0" w:type="auto"/>
            <w:tcBorders>
              <w:bottom w:val="single" w:color="auto" w:sz="4" w:space="0"/>
            </w:tcBorders>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T0606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0" w:type="auto"/>
            <w:vAlign w:val="center"/>
          </w:tcPr>
          <w:p>
            <w:pPr>
              <w:jc w:val="left"/>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运动粘度135℃，不大于</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Pa·s</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3</w:t>
            </w:r>
          </w:p>
        </w:tc>
        <w:tc>
          <w:tcPr>
            <w:tcW w:w="0" w:type="auto"/>
            <w:tcBorders>
              <w:bottom w:val="single" w:color="auto" w:sz="4" w:space="0"/>
            </w:tcBorders>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T0625</w:t>
            </w:r>
          </w:p>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T0619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jc w:val="left"/>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闪点，不小于</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230</w:t>
            </w:r>
          </w:p>
        </w:tc>
        <w:tc>
          <w:tcPr>
            <w:tcW w:w="0" w:type="auto"/>
            <w:tcBorders>
              <w:top w:val="single" w:color="auto" w:sz="4" w:space="0"/>
            </w:tcBorders>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T0611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jc w:val="left"/>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溶解度，不小于</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99</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T0607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jc w:val="left"/>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弹性恢复25℃，不小于</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65</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T0662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jc w:val="left"/>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贮存稳定性离析，48h软化点差，不大于</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2.5</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T0661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4"/>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TFOT(或R TFOT)后残留物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jc w:val="left"/>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质量变化，不大于</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±1.0</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T0610</w:t>
            </w:r>
          </w:p>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T0609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jc w:val="left"/>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针入度比25℃，不小于</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60</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T0604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jc w:val="left"/>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延度5℃，不小于</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cm</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20</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T0605</w:t>
            </w:r>
          </w:p>
        </w:tc>
      </w:tr>
    </w:tbl>
    <w:p>
      <w:pPr>
        <w:ind w:firstLine="319" w:firstLineChars="196"/>
        <w:jc w:val="right"/>
        <w:rPr>
          <w:rFonts w:ascii="仿宋_GB2312" w:hAnsi="仿宋_GB2312" w:eastAsia="仿宋_GB2312" w:cs="仿宋_GB2312"/>
          <w:b/>
          <w:color w:val="000000" w:themeColor="text1"/>
          <w:w w:val="90"/>
          <w:sz w:val="18"/>
          <w:szCs w:val="18"/>
          <w:highlight w:val="none"/>
        </w:rPr>
      </w:pPr>
    </w:p>
    <w:p>
      <w:pPr>
        <w:ind w:firstLine="317" w:firstLineChars="196"/>
        <w:jc w:val="center"/>
        <w:rPr>
          <w:rFonts w:ascii="仿宋_GB2312" w:hAnsi="仿宋_GB2312" w:eastAsia="仿宋_GB2312" w:cs="仿宋_GB2312"/>
          <w:bCs/>
          <w:color w:val="000000" w:themeColor="text1"/>
          <w:w w:val="90"/>
          <w:sz w:val="18"/>
          <w:szCs w:val="18"/>
          <w:highlight w:val="none"/>
        </w:rPr>
      </w:pPr>
      <w:r>
        <w:rPr>
          <w:rFonts w:hint="eastAsia" w:ascii="仿宋_GB2312" w:hAnsi="仿宋_GB2312" w:eastAsia="仿宋_GB2312" w:cs="仿宋_GB2312"/>
          <w:bCs/>
          <w:color w:val="000000" w:themeColor="text1"/>
          <w:w w:val="90"/>
          <w:sz w:val="18"/>
          <w:szCs w:val="18"/>
          <w:highlight w:val="none"/>
        </w:rPr>
        <w:t>70号A级道路石油石油沥青技术要求</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2"/>
        <w:gridCol w:w="738"/>
        <w:gridCol w:w="595"/>
        <w:gridCol w:w="442"/>
        <w:gridCol w:w="442"/>
        <w:gridCol w:w="451"/>
        <w:gridCol w:w="451"/>
        <w:gridCol w:w="451"/>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202" w:type="dxa"/>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指标</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单位</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等级</w:t>
            </w:r>
          </w:p>
        </w:tc>
        <w:tc>
          <w:tcPr>
            <w:tcW w:w="0" w:type="auto"/>
            <w:gridSpan w:val="5"/>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石油沥青标号（70号）</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实验方法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jc w:val="left"/>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针入度（25℃，5s，100g）</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0.1mm</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A</w:t>
            </w:r>
          </w:p>
        </w:tc>
        <w:tc>
          <w:tcPr>
            <w:tcW w:w="0" w:type="auto"/>
            <w:gridSpan w:val="5"/>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60~80</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T0604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jc w:val="left"/>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适用的气候分区</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p>
        </w:tc>
        <w:tc>
          <w:tcPr>
            <w:tcW w:w="0" w:type="auto"/>
            <w:vAlign w:val="center"/>
          </w:tcPr>
          <w:p>
            <w:pPr>
              <w:jc w:val="center"/>
              <w:rPr>
                <w:rFonts w:ascii="仿宋_GB2312" w:hAnsi="仿宋_GB2312" w:eastAsia="仿宋_GB2312" w:cs="仿宋_GB2312"/>
                <w:color w:val="000000" w:themeColor="text1"/>
                <w:w w:val="90"/>
                <w:sz w:val="18"/>
                <w:szCs w:val="18"/>
                <w:highlight w:val="none"/>
              </w:rPr>
            </w:pP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1-3</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1-4</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2-2</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2-3</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2-4</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Merge w:val="restart"/>
            <w:vAlign w:val="center"/>
          </w:tcPr>
          <w:p>
            <w:pPr>
              <w:jc w:val="left"/>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针入度指数PI</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A</w:t>
            </w:r>
          </w:p>
        </w:tc>
        <w:tc>
          <w:tcPr>
            <w:tcW w:w="0" w:type="auto"/>
            <w:gridSpan w:val="5"/>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-1.5~＋1.0</w:t>
            </w:r>
          </w:p>
        </w:tc>
        <w:tc>
          <w:tcPr>
            <w:tcW w:w="0" w:type="auto"/>
            <w:vMerge w:val="restart"/>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T0604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Merge w:val="continue"/>
            <w:vAlign w:val="center"/>
          </w:tcPr>
          <w:p>
            <w:pPr>
              <w:jc w:val="left"/>
              <w:rPr>
                <w:rFonts w:ascii="仿宋_GB2312" w:hAnsi="仿宋_GB2312" w:eastAsia="仿宋_GB2312" w:cs="仿宋_GB2312"/>
                <w:color w:val="000000" w:themeColor="text1"/>
                <w:w w:val="90"/>
                <w:sz w:val="18"/>
                <w:szCs w:val="18"/>
                <w:highlight w:val="none"/>
              </w:rPr>
            </w:pPr>
          </w:p>
        </w:tc>
        <w:tc>
          <w:tcPr>
            <w:tcW w:w="0" w:type="auto"/>
            <w:vAlign w:val="center"/>
          </w:tcPr>
          <w:p>
            <w:pPr>
              <w:jc w:val="center"/>
              <w:rPr>
                <w:rFonts w:ascii="仿宋_GB2312" w:hAnsi="仿宋_GB2312" w:eastAsia="仿宋_GB2312" w:cs="仿宋_GB2312"/>
                <w:color w:val="000000" w:themeColor="text1"/>
                <w:w w:val="90"/>
                <w:sz w:val="18"/>
                <w:szCs w:val="18"/>
                <w:highlight w:val="none"/>
              </w:rPr>
            </w:pP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B</w:t>
            </w:r>
          </w:p>
        </w:tc>
        <w:tc>
          <w:tcPr>
            <w:tcW w:w="0" w:type="auto"/>
            <w:gridSpan w:val="5"/>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-1.8~＋1.0</w:t>
            </w:r>
          </w:p>
        </w:tc>
        <w:tc>
          <w:tcPr>
            <w:tcW w:w="0" w:type="auto"/>
            <w:vMerge w:val="continue"/>
            <w:vAlign w:val="center"/>
          </w:tcPr>
          <w:p>
            <w:pPr>
              <w:jc w:val="center"/>
              <w:rPr>
                <w:rFonts w:ascii="仿宋_GB2312" w:hAnsi="仿宋_GB2312" w:eastAsia="仿宋_GB2312" w:cs="仿宋_GB2312"/>
                <w:color w:val="000000" w:themeColor="text1"/>
                <w:w w:val="9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Merge w:val="restart"/>
            <w:vAlign w:val="center"/>
          </w:tcPr>
          <w:p>
            <w:pPr>
              <w:jc w:val="left"/>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软化度 不小于</w:t>
            </w:r>
          </w:p>
        </w:tc>
        <w:tc>
          <w:tcPr>
            <w:tcW w:w="0" w:type="auto"/>
            <w:vMerge w:val="restart"/>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A</w:t>
            </w:r>
          </w:p>
        </w:tc>
        <w:tc>
          <w:tcPr>
            <w:tcW w:w="0" w:type="auto"/>
            <w:gridSpan w:val="2"/>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46</w:t>
            </w:r>
          </w:p>
        </w:tc>
        <w:tc>
          <w:tcPr>
            <w:tcW w:w="0" w:type="auto"/>
            <w:gridSpan w:val="3"/>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45</w:t>
            </w:r>
          </w:p>
        </w:tc>
        <w:tc>
          <w:tcPr>
            <w:tcW w:w="0" w:type="auto"/>
            <w:vMerge w:val="restart"/>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T0606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Merge w:val="continue"/>
            <w:vAlign w:val="center"/>
          </w:tcPr>
          <w:p>
            <w:pPr>
              <w:jc w:val="left"/>
              <w:rPr>
                <w:rFonts w:ascii="仿宋_GB2312" w:hAnsi="仿宋_GB2312" w:eastAsia="仿宋_GB2312" w:cs="仿宋_GB2312"/>
                <w:color w:val="000000" w:themeColor="text1"/>
                <w:w w:val="90"/>
                <w:sz w:val="18"/>
                <w:szCs w:val="18"/>
                <w:highlight w:val="none"/>
              </w:rPr>
            </w:pPr>
          </w:p>
        </w:tc>
        <w:tc>
          <w:tcPr>
            <w:tcW w:w="0" w:type="auto"/>
            <w:vMerge w:val="continue"/>
            <w:vAlign w:val="center"/>
          </w:tcPr>
          <w:p>
            <w:pPr>
              <w:jc w:val="center"/>
              <w:rPr>
                <w:rFonts w:ascii="仿宋_GB2312" w:hAnsi="仿宋_GB2312" w:eastAsia="仿宋_GB2312" w:cs="仿宋_GB2312"/>
                <w:color w:val="000000" w:themeColor="text1"/>
                <w:w w:val="90"/>
                <w:sz w:val="18"/>
                <w:szCs w:val="18"/>
                <w:highlight w:val="none"/>
              </w:rPr>
            </w:pP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B</w:t>
            </w:r>
          </w:p>
        </w:tc>
        <w:tc>
          <w:tcPr>
            <w:tcW w:w="0" w:type="auto"/>
            <w:gridSpan w:val="2"/>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44</w:t>
            </w:r>
          </w:p>
        </w:tc>
        <w:tc>
          <w:tcPr>
            <w:tcW w:w="0" w:type="auto"/>
            <w:gridSpan w:val="3"/>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43</w:t>
            </w:r>
          </w:p>
        </w:tc>
        <w:tc>
          <w:tcPr>
            <w:tcW w:w="0" w:type="auto"/>
            <w:vMerge w:val="continue"/>
            <w:vAlign w:val="center"/>
          </w:tcPr>
          <w:p>
            <w:pPr>
              <w:jc w:val="center"/>
              <w:rPr>
                <w:rFonts w:ascii="仿宋_GB2312" w:hAnsi="仿宋_GB2312" w:eastAsia="仿宋_GB2312" w:cs="仿宋_GB2312"/>
                <w:color w:val="000000" w:themeColor="text1"/>
                <w:w w:val="9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jc w:val="left"/>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60℃运动粘度 不小于</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Pa·s</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A</w:t>
            </w:r>
          </w:p>
        </w:tc>
        <w:tc>
          <w:tcPr>
            <w:tcW w:w="0" w:type="auto"/>
            <w:gridSpan w:val="2"/>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180</w:t>
            </w:r>
          </w:p>
        </w:tc>
        <w:tc>
          <w:tcPr>
            <w:tcW w:w="0" w:type="auto"/>
            <w:gridSpan w:val="3"/>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180</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T0620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Merge w:val="restart"/>
            <w:vAlign w:val="center"/>
          </w:tcPr>
          <w:p>
            <w:pPr>
              <w:jc w:val="left"/>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10℃延度 不小于</w:t>
            </w:r>
          </w:p>
        </w:tc>
        <w:tc>
          <w:tcPr>
            <w:tcW w:w="0" w:type="auto"/>
            <w:vMerge w:val="restart"/>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cm</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A</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20</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15</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25</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20</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15</w:t>
            </w:r>
          </w:p>
        </w:tc>
        <w:tc>
          <w:tcPr>
            <w:tcW w:w="0" w:type="auto"/>
            <w:vMerge w:val="restart"/>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T0605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Merge w:val="continue"/>
            <w:vAlign w:val="center"/>
          </w:tcPr>
          <w:p>
            <w:pPr>
              <w:jc w:val="left"/>
              <w:rPr>
                <w:rFonts w:ascii="仿宋_GB2312" w:hAnsi="仿宋_GB2312" w:eastAsia="仿宋_GB2312" w:cs="仿宋_GB2312"/>
                <w:color w:val="000000" w:themeColor="text1"/>
                <w:w w:val="90"/>
                <w:sz w:val="18"/>
                <w:szCs w:val="18"/>
                <w:highlight w:val="none"/>
              </w:rPr>
            </w:pPr>
          </w:p>
        </w:tc>
        <w:tc>
          <w:tcPr>
            <w:tcW w:w="0" w:type="auto"/>
            <w:vMerge w:val="continue"/>
            <w:vAlign w:val="center"/>
          </w:tcPr>
          <w:p>
            <w:pPr>
              <w:jc w:val="center"/>
              <w:rPr>
                <w:rFonts w:ascii="仿宋_GB2312" w:hAnsi="仿宋_GB2312" w:eastAsia="仿宋_GB2312" w:cs="仿宋_GB2312"/>
                <w:color w:val="000000" w:themeColor="text1"/>
                <w:w w:val="90"/>
                <w:sz w:val="18"/>
                <w:szCs w:val="18"/>
                <w:highlight w:val="none"/>
              </w:rPr>
            </w:pP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B</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15</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10</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20</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15</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10</w:t>
            </w:r>
          </w:p>
        </w:tc>
        <w:tc>
          <w:tcPr>
            <w:tcW w:w="0" w:type="auto"/>
            <w:vMerge w:val="continue"/>
            <w:vAlign w:val="center"/>
          </w:tcPr>
          <w:p>
            <w:pPr>
              <w:jc w:val="center"/>
              <w:rPr>
                <w:rFonts w:ascii="仿宋_GB2312" w:hAnsi="仿宋_GB2312" w:eastAsia="仿宋_GB2312" w:cs="仿宋_GB2312"/>
                <w:color w:val="000000" w:themeColor="text1"/>
                <w:w w:val="9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jc w:val="left"/>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15℃延度 不小于</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cm</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A、B</w:t>
            </w:r>
          </w:p>
        </w:tc>
        <w:tc>
          <w:tcPr>
            <w:tcW w:w="0" w:type="auto"/>
            <w:gridSpan w:val="5"/>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100</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T0605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Merge w:val="restart"/>
            <w:vAlign w:val="center"/>
          </w:tcPr>
          <w:p>
            <w:pPr>
              <w:jc w:val="left"/>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蜡含量（蒸馏法）不大于</w:t>
            </w:r>
          </w:p>
        </w:tc>
        <w:tc>
          <w:tcPr>
            <w:tcW w:w="0" w:type="auto"/>
            <w:vMerge w:val="restart"/>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A</w:t>
            </w:r>
          </w:p>
        </w:tc>
        <w:tc>
          <w:tcPr>
            <w:tcW w:w="0" w:type="auto"/>
            <w:gridSpan w:val="5"/>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2.2</w:t>
            </w:r>
          </w:p>
        </w:tc>
        <w:tc>
          <w:tcPr>
            <w:tcW w:w="0" w:type="auto"/>
            <w:vMerge w:val="restart"/>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T0615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Merge w:val="continue"/>
            <w:vAlign w:val="center"/>
          </w:tcPr>
          <w:p>
            <w:pPr>
              <w:jc w:val="left"/>
              <w:rPr>
                <w:rFonts w:ascii="仿宋_GB2312" w:hAnsi="仿宋_GB2312" w:eastAsia="仿宋_GB2312" w:cs="仿宋_GB2312"/>
                <w:color w:val="000000" w:themeColor="text1"/>
                <w:w w:val="90"/>
                <w:sz w:val="18"/>
                <w:szCs w:val="18"/>
                <w:highlight w:val="none"/>
              </w:rPr>
            </w:pPr>
          </w:p>
        </w:tc>
        <w:tc>
          <w:tcPr>
            <w:tcW w:w="0" w:type="auto"/>
            <w:vMerge w:val="continue"/>
            <w:vAlign w:val="center"/>
          </w:tcPr>
          <w:p>
            <w:pPr>
              <w:jc w:val="center"/>
              <w:rPr>
                <w:rFonts w:ascii="仿宋_GB2312" w:hAnsi="仿宋_GB2312" w:eastAsia="仿宋_GB2312" w:cs="仿宋_GB2312"/>
                <w:color w:val="000000" w:themeColor="text1"/>
                <w:w w:val="90"/>
                <w:sz w:val="18"/>
                <w:szCs w:val="18"/>
                <w:highlight w:val="none"/>
              </w:rPr>
            </w:pP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B</w:t>
            </w:r>
          </w:p>
        </w:tc>
        <w:tc>
          <w:tcPr>
            <w:tcW w:w="0" w:type="auto"/>
            <w:gridSpan w:val="5"/>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3.0</w:t>
            </w:r>
          </w:p>
        </w:tc>
        <w:tc>
          <w:tcPr>
            <w:tcW w:w="0" w:type="auto"/>
            <w:vMerge w:val="continue"/>
            <w:vAlign w:val="center"/>
          </w:tcPr>
          <w:p>
            <w:pPr>
              <w:jc w:val="center"/>
              <w:rPr>
                <w:rFonts w:ascii="仿宋_GB2312" w:hAnsi="仿宋_GB2312" w:eastAsia="仿宋_GB2312" w:cs="仿宋_GB2312"/>
                <w:color w:val="000000" w:themeColor="text1"/>
                <w:w w:val="9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jc w:val="left"/>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闪点 不小于</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p>
        </w:tc>
        <w:tc>
          <w:tcPr>
            <w:tcW w:w="0" w:type="auto"/>
            <w:gridSpan w:val="5"/>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260</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T0611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jc w:val="left"/>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溶解度 不小于</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p>
        </w:tc>
        <w:tc>
          <w:tcPr>
            <w:tcW w:w="0" w:type="auto"/>
            <w:gridSpan w:val="5"/>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99.5</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T0607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jc w:val="left"/>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密度（15℃）</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g/cm³</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p>
        </w:tc>
        <w:tc>
          <w:tcPr>
            <w:tcW w:w="0" w:type="auto"/>
            <w:gridSpan w:val="5"/>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实测记录</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T0603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jc w:val="left"/>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质量变化 不大于</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p>
        </w:tc>
        <w:tc>
          <w:tcPr>
            <w:tcW w:w="0" w:type="auto"/>
            <w:gridSpan w:val="5"/>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±0.8</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T0609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Merge w:val="restart"/>
            <w:vAlign w:val="center"/>
          </w:tcPr>
          <w:p>
            <w:pPr>
              <w:jc w:val="left"/>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残留针入度比（25℃） 不小于</w:t>
            </w:r>
          </w:p>
        </w:tc>
        <w:tc>
          <w:tcPr>
            <w:tcW w:w="0" w:type="auto"/>
            <w:vMerge w:val="restart"/>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A</w:t>
            </w:r>
          </w:p>
        </w:tc>
        <w:tc>
          <w:tcPr>
            <w:tcW w:w="0" w:type="auto"/>
            <w:gridSpan w:val="5"/>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61</w:t>
            </w:r>
          </w:p>
        </w:tc>
        <w:tc>
          <w:tcPr>
            <w:tcW w:w="0" w:type="auto"/>
            <w:vMerge w:val="restart"/>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T0604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Merge w:val="continue"/>
            <w:vAlign w:val="center"/>
          </w:tcPr>
          <w:p>
            <w:pPr>
              <w:jc w:val="left"/>
              <w:rPr>
                <w:rFonts w:ascii="仿宋_GB2312" w:hAnsi="仿宋_GB2312" w:eastAsia="仿宋_GB2312" w:cs="仿宋_GB2312"/>
                <w:color w:val="000000" w:themeColor="text1"/>
                <w:w w:val="90"/>
                <w:sz w:val="18"/>
                <w:szCs w:val="18"/>
                <w:highlight w:val="none"/>
              </w:rPr>
            </w:pPr>
          </w:p>
        </w:tc>
        <w:tc>
          <w:tcPr>
            <w:tcW w:w="0" w:type="auto"/>
            <w:vMerge w:val="continue"/>
            <w:vAlign w:val="center"/>
          </w:tcPr>
          <w:p>
            <w:pPr>
              <w:jc w:val="center"/>
              <w:rPr>
                <w:rFonts w:ascii="仿宋_GB2312" w:hAnsi="仿宋_GB2312" w:eastAsia="仿宋_GB2312" w:cs="仿宋_GB2312"/>
                <w:color w:val="000000" w:themeColor="text1"/>
                <w:w w:val="90"/>
                <w:sz w:val="18"/>
                <w:szCs w:val="18"/>
                <w:highlight w:val="none"/>
              </w:rPr>
            </w:pP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B</w:t>
            </w:r>
          </w:p>
        </w:tc>
        <w:tc>
          <w:tcPr>
            <w:tcW w:w="0" w:type="auto"/>
            <w:gridSpan w:val="5"/>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58</w:t>
            </w:r>
          </w:p>
        </w:tc>
        <w:tc>
          <w:tcPr>
            <w:tcW w:w="0" w:type="auto"/>
            <w:vMerge w:val="continue"/>
            <w:vAlign w:val="center"/>
          </w:tcPr>
          <w:p>
            <w:pPr>
              <w:jc w:val="center"/>
              <w:rPr>
                <w:rFonts w:ascii="仿宋_GB2312" w:hAnsi="仿宋_GB2312" w:eastAsia="仿宋_GB2312" w:cs="仿宋_GB2312"/>
                <w:color w:val="000000" w:themeColor="text1"/>
                <w:w w:val="9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Merge w:val="restart"/>
            <w:vAlign w:val="center"/>
          </w:tcPr>
          <w:p>
            <w:pPr>
              <w:jc w:val="left"/>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残留延度（10℃） 不小于</w:t>
            </w:r>
          </w:p>
        </w:tc>
        <w:tc>
          <w:tcPr>
            <w:tcW w:w="0" w:type="auto"/>
            <w:vMerge w:val="restart"/>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cm</w:t>
            </w: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A</w:t>
            </w:r>
          </w:p>
        </w:tc>
        <w:tc>
          <w:tcPr>
            <w:tcW w:w="0" w:type="auto"/>
            <w:gridSpan w:val="5"/>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6</w:t>
            </w:r>
          </w:p>
        </w:tc>
        <w:tc>
          <w:tcPr>
            <w:tcW w:w="0" w:type="auto"/>
            <w:vMerge w:val="restart"/>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T0605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Merge w:val="continue"/>
            <w:vAlign w:val="center"/>
          </w:tcPr>
          <w:p>
            <w:pPr>
              <w:jc w:val="center"/>
              <w:rPr>
                <w:rFonts w:ascii="仿宋_GB2312" w:hAnsi="仿宋_GB2312" w:eastAsia="仿宋_GB2312" w:cs="仿宋_GB2312"/>
                <w:b/>
                <w:color w:val="000000" w:themeColor="text1"/>
                <w:w w:val="90"/>
                <w:sz w:val="18"/>
                <w:szCs w:val="18"/>
                <w:highlight w:val="none"/>
              </w:rPr>
            </w:pPr>
          </w:p>
        </w:tc>
        <w:tc>
          <w:tcPr>
            <w:tcW w:w="0" w:type="auto"/>
            <w:vMerge w:val="continue"/>
            <w:vAlign w:val="center"/>
          </w:tcPr>
          <w:p>
            <w:pPr>
              <w:jc w:val="center"/>
              <w:rPr>
                <w:rFonts w:ascii="仿宋_GB2312" w:hAnsi="仿宋_GB2312" w:eastAsia="仿宋_GB2312" w:cs="仿宋_GB2312"/>
                <w:b/>
                <w:color w:val="000000" w:themeColor="text1"/>
                <w:w w:val="90"/>
                <w:sz w:val="18"/>
                <w:szCs w:val="18"/>
                <w:highlight w:val="none"/>
              </w:rPr>
            </w:pPr>
          </w:p>
        </w:tc>
        <w:tc>
          <w:tcPr>
            <w:tcW w:w="0" w:type="auto"/>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B</w:t>
            </w:r>
          </w:p>
        </w:tc>
        <w:tc>
          <w:tcPr>
            <w:tcW w:w="0" w:type="auto"/>
            <w:gridSpan w:val="5"/>
            <w:vAlign w:val="center"/>
          </w:tcPr>
          <w:p>
            <w:pPr>
              <w:jc w:val="center"/>
              <w:rPr>
                <w:rFonts w:ascii="仿宋_GB2312" w:hAnsi="仿宋_GB2312" w:eastAsia="仿宋_GB2312" w:cs="仿宋_GB2312"/>
                <w:color w:val="000000" w:themeColor="text1"/>
                <w:w w:val="90"/>
                <w:sz w:val="18"/>
                <w:szCs w:val="18"/>
                <w:highlight w:val="none"/>
              </w:rPr>
            </w:pPr>
            <w:r>
              <w:rPr>
                <w:rFonts w:hint="eastAsia" w:ascii="仿宋_GB2312" w:hAnsi="仿宋_GB2312" w:eastAsia="仿宋_GB2312" w:cs="仿宋_GB2312"/>
                <w:color w:val="000000" w:themeColor="text1"/>
                <w:w w:val="90"/>
                <w:sz w:val="18"/>
                <w:szCs w:val="18"/>
                <w:highlight w:val="none"/>
              </w:rPr>
              <w:t>4</w:t>
            </w:r>
          </w:p>
        </w:tc>
        <w:tc>
          <w:tcPr>
            <w:tcW w:w="0" w:type="auto"/>
            <w:vMerge w:val="continue"/>
            <w:vAlign w:val="center"/>
          </w:tcPr>
          <w:p>
            <w:pPr>
              <w:jc w:val="center"/>
              <w:rPr>
                <w:rFonts w:ascii="仿宋_GB2312" w:hAnsi="仿宋_GB2312" w:eastAsia="仿宋_GB2312" w:cs="仿宋_GB2312"/>
                <w:b/>
                <w:color w:val="000000" w:themeColor="text1"/>
                <w:w w:val="90"/>
                <w:sz w:val="18"/>
                <w:szCs w:val="18"/>
                <w:highlight w:val="none"/>
              </w:rPr>
            </w:pPr>
          </w:p>
        </w:tc>
      </w:tr>
    </w:tbl>
    <w:p>
      <w:pPr>
        <w:pStyle w:val="41"/>
        <w:spacing w:line="400" w:lineRule="atLeast"/>
        <w:ind w:firstLine="480" w:firstLineChars="200"/>
        <w:rPr>
          <w:rFonts w:hint="eastAsia" w:ascii="仿宋_GB2312" w:hAnsi="仿宋_GB2312" w:eastAsia="仿宋_GB2312" w:cs="仿宋_GB2312"/>
          <w:color w:val="000000" w:themeColor="text1"/>
          <w:highlight w:val="none"/>
          <w:u w:val="single"/>
          <w:lang w:val="en-US" w:eastAsia="zh-CN"/>
        </w:rPr>
      </w:pPr>
      <w:r>
        <w:rPr>
          <w:rFonts w:hint="eastAsia" w:ascii="仿宋_GB2312" w:hAnsi="仿宋_GB2312" w:eastAsia="仿宋_GB2312" w:cs="仿宋_GB2312"/>
          <w:color w:val="000000" w:themeColor="text1"/>
          <w:highlight w:val="none"/>
        </w:rPr>
        <w:t>1.7其他：</w:t>
      </w:r>
      <w:r>
        <w:rPr>
          <w:rFonts w:hint="eastAsia" w:ascii="仿宋_GB2312" w:hAnsi="仿宋_GB2312" w:eastAsia="仿宋_GB2312" w:cs="仿宋_GB2312"/>
          <w:color w:val="000000" w:themeColor="text1"/>
          <w:highlight w:val="none"/>
          <w:lang w:val="en-US" w:eastAsia="zh-CN"/>
        </w:rPr>
        <w:t>1.1</w:t>
      </w:r>
      <w:r>
        <w:rPr>
          <w:rFonts w:hint="eastAsia" w:ascii="仿宋_GB2312" w:hAnsi="仿宋_GB2312" w:eastAsia="仿宋_GB2312" w:cs="仿宋_GB2312"/>
          <w:color w:val="000000" w:themeColor="text1"/>
          <w:highlight w:val="none"/>
          <w:u w:val="none"/>
          <w:lang w:val="en-US" w:eastAsia="zh-CN"/>
        </w:rPr>
        <w:t>用砂标准：</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1.</w:t>
      </w:r>
      <w:r>
        <w:rPr>
          <w:rFonts w:hint="eastAsia" w:ascii="仿宋_GB2312" w:hAnsi="仿宋_GB2312" w:eastAsia="仿宋_GB2312" w:cs="仿宋_GB2312"/>
          <w:color w:val="000000" w:themeColor="text1"/>
          <w:highlight w:val="none"/>
          <w:lang w:val="en-US" w:eastAsia="zh-CN"/>
        </w:rPr>
        <w:t>1</w:t>
      </w:r>
      <w:r>
        <w:rPr>
          <w:rFonts w:hint="eastAsia" w:ascii="仿宋_GB2312" w:hAnsi="仿宋_GB2312" w:eastAsia="仿宋_GB2312" w:cs="仿宋_GB2312"/>
          <w:color w:val="000000" w:themeColor="text1"/>
          <w:highlight w:val="none"/>
        </w:rPr>
        <w:t>.1颗粒级配要求：符合《建设用砂》（GB/T14684-2011）之级配之规定。</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1.</w:t>
      </w:r>
      <w:r>
        <w:rPr>
          <w:rFonts w:hint="eastAsia" w:ascii="仿宋_GB2312" w:hAnsi="仿宋_GB2312" w:eastAsia="仿宋_GB2312" w:cs="仿宋_GB2312"/>
          <w:color w:val="000000" w:themeColor="text1"/>
          <w:highlight w:val="none"/>
          <w:lang w:val="en-US" w:eastAsia="zh-CN"/>
        </w:rPr>
        <w:t>1</w:t>
      </w:r>
      <w:r>
        <w:rPr>
          <w:rFonts w:hint="eastAsia" w:ascii="仿宋_GB2312" w:hAnsi="仿宋_GB2312" w:eastAsia="仿宋_GB2312" w:cs="仿宋_GB2312"/>
          <w:color w:val="000000" w:themeColor="text1"/>
          <w:highlight w:val="none"/>
        </w:rPr>
        <w:t>.2含泥量、泥块含量（按质量计）：天然砂的含泥量不大于3％，泥块含量不大于1％；机制砂亚甲蓝（MB）值&lt;1.4或快速法试验合格时，石粉含量和泥块含量应符合下表1的规定；机制砂MB值&gt;1.4或快速法试验不合格时，石粉含量和泥块含量应符合下表2的规定。</w:t>
      </w:r>
    </w:p>
    <w:p>
      <w:pPr>
        <w:spacing w:line="360" w:lineRule="auto"/>
        <w:ind w:left="720"/>
        <w:outlineLvl w:val="0"/>
        <w:rPr>
          <w:rFonts w:ascii="仿宋_GB2312" w:hAnsi="仿宋_GB2312" w:eastAsia="仿宋_GB2312" w:cs="仿宋_GB2312"/>
          <w:color w:val="000000" w:themeColor="text1"/>
          <w:kern w:val="0"/>
          <w:sz w:val="24"/>
          <w:szCs w:val="24"/>
          <w:highlight w:val="none"/>
        </w:rPr>
      </w:pPr>
      <w:bookmarkStart w:id="93" w:name="bookmark0"/>
      <w:r>
        <w:rPr>
          <w:rFonts w:hint="eastAsia" w:ascii="仿宋_GB2312" w:hAnsi="仿宋_GB2312" w:eastAsia="仿宋_GB2312" w:cs="仿宋_GB2312"/>
          <w:color w:val="000000" w:themeColor="text1"/>
          <w:kern w:val="0"/>
          <w:sz w:val="24"/>
          <w:szCs w:val="24"/>
          <w:highlight w:val="none"/>
        </w:rPr>
        <w:t>表1：</w:t>
      </w:r>
      <w:r>
        <w:rPr>
          <w:rFonts w:hint="eastAsia" w:ascii="仿宋_GB2312" w:hAnsi="仿宋_GB2312" w:eastAsia="仿宋_GB2312" w:cs="仿宋_GB2312"/>
          <w:color w:val="000000" w:themeColor="text1"/>
          <w:kern w:val="0"/>
          <w:sz w:val="24"/>
          <w:szCs w:val="24"/>
          <w:highlight w:val="none"/>
          <w:lang w:val="zh-TW" w:eastAsia="zh-TW"/>
        </w:rPr>
        <w:t>石粉含</w:t>
      </w:r>
      <w:r>
        <w:rPr>
          <w:rFonts w:hint="eastAsia" w:ascii="仿宋_GB2312" w:hAnsi="仿宋_GB2312" w:eastAsia="仿宋_GB2312" w:cs="仿宋_GB2312"/>
          <w:color w:val="000000" w:themeColor="text1"/>
          <w:kern w:val="0"/>
          <w:sz w:val="24"/>
          <w:szCs w:val="24"/>
          <w:highlight w:val="none"/>
        </w:rPr>
        <w:t>量</w:t>
      </w:r>
      <w:r>
        <w:rPr>
          <w:rFonts w:hint="eastAsia" w:ascii="仿宋_GB2312" w:hAnsi="仿宋_GB2312" w:eastAsia="仿宋_GB2312" w:cs="仿宋_GB2312"/>
          <w:color w:val="000000" w:themeColor="text1"/>
          <w:kern w:val="0"/>
          <w:sz w:val="24"/>
          <w:szCs w:val="24"/>
          <w:highlight w:val="none"/>
          <w:lang w:val="zh-TW" w:eastAsia="zh-TW"/>
        </w:rPr>
        <w:t>和泥块含</w:t>
      </w:r>
      <w:r>
        <w:rPr>
          <w:rFonts w:hint="eastAsia" w:ascii="仿宋_GB2312" w:hAnsi="仿宋_GB2312" w:eastAsia="仿宋_GB2312" w:cs="仿宋_GB2312"/>
          <w:color w:val="000000" w:themeColor="text1"/>
          <w:kern w:val="0"/>
          <w:sz w:val="24"/>
          <w:szCs w:val="24"/>
          <w:highlight w:val="none"/>
        </w:rPr>
        <w:t>量(MB</w:t>
      </w:r>
      <w:r>
        <w:rPr>
          <w:rFonts w:hint="eastAsia" w:ascii="仿宋_GB2312" w:hAnsi="仿宋_GB2312" w:eastAsia="仿宋_GB2312" w:cs="仿宋_GB2312"/>
          <w:color w:val="000000" w:themeColor="text1"/>
          <w:kern w:val="0"/>
          <w:sz w:val="24"/>
          <w:szCs w:val="24"/>
          <w:highlight w:val="none"/>
          <w:lang w:val="zh-TW" w:eastAsia="zh-TW"/>
        </w:rPr>
        <w:t>值</w:t>
      </w:r>
      <w:r>
        <w:rPr>
          <w:rFonts w:hint="eastAsia" w:ascii="仿宋_GB2312" w:hAnsi="仿宋_GB2312" w:eastAsia="仿宋_GB2312" w:cs="仿宋_GB2312"/>
          <w:color w:val="000000" w:themeColor="text1"/>
          <w:kern w:val="0"/>
          <w:sz w:val="24"/>
          <w:szCs w:val="24"/>
          <w:highlight w:val="none"/>
        </w:rPr>
        <w:t>&lt;1.4</w:t>
      </w:r>
      <w:r>
        <w:rPr>
          <w:rFonts w:hint="eastAsia" w:ascii="仿宋_GB2312" w:hAnsi="仿宋_GB2312" w:eastAsia="仿宋_GB2312" w:cs="仿宋_GB2312"/>
          <w:color w:val="000000" w:themeColor="text1"/>
          <w:kern w:val="0"/>
          <w:sz w:val="24"/>
          <w:szCs w:val="24"/>
          <w:highlight w:val="none"/>
          <w:lang w:val="zh-TW" w:eastAsia="zh-TW"/>
        </w:rPr>
        <w:t>或快速法试验合格)</w:t>
      </w:r>
      <w:bookmarkEnd w:id="93"/>
    </w:p>
    <w:tbl>
      <w:tblPr>
        <w:tblStyle w:val="34"/>
        <w:tblW w:w="0" w:type="auto"/>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35"/>
        <w:gridCol w:w="1276"/>
        <w:gridCol w:w="1001"/>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3" w:hRule="atLeast"/>
        </w:trPr>
        <w:tc>
          <w:tcPr>
            <w:tcW w:w="2835" w:type="dxa"/>
            <w:shd w:val="clear" w:color="auto" w:fill="FFFFFF"/>
          </w:tcPr>
          <w:p>
            <w:pPr>
              <w:spacing w:line="360" w:lineRule="auto"/>
              <w:jc w:val="center"/>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lang w:val="zh-TW" w:eastAsia="zh-TW"/>
              </w:rPr>
              <w:t>类别</w:t>
            </w:r>
          </w:p>
        </w:tc>
        <w:tc>
          <w:tcPr>
            <w:tcW w:w="1276" w:type="dxa"/>
            <w:shd w:val="clear" w:color="auto" w:fill="FFFFFF"/>
          </w:tcPr>
          <w:p>
            <w:pPr>
              <w:spacing w:line="360" w:lineRule="auto"/>
              <w:jc w:val="center"/>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lang w:val="zh-TW"/>
              </w:rPr>
              <w:t>Ⅰ</w:t>
            </w:r>
          </w:p>
        </w:tc>
        <w:tc>
          <w:tcPr>
            <w:tcW w:w="1001" w:type="dxa"/>
            <w:shd w:val="clear" w:color="auto" w:fill="FFFFFF"/>
          </w:tcPr>
          <w:p>
            <w:pPr>
              <w:spacing w:line="360" w:lineRule="auto"/>
              <w:jc w:val="center"/>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rPr>
              <w:t>Ⅱ</w:t>
            </w:r>
          </w:p>
        </w:tc>
        <w:tc>
          <w:tcPr>
            <w:tcW w:w="2118" w:type="dxa"/>
            <w:shd w:val="clear" w:color="auto" w:fill="FFFFFF"/>
          </w:tcPr>
          <w:p>
            <w:pPr>
              <w:spacing w:line="360" w:lineRule="auto"/>
              <w:jc w:val="center"/>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2835" w:type="dxa"/>
            <w:shd w:val="clear" w:color="auto" w:fill="FFFFFF"/>
          </w:tcPr>
          <w:p>
            <w:pPr>
              <w:spacing w:line="360" w:lineRule="auto"/>
              <w:jc w:val="center"/>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lang w:eastAsia="en-US"/>
              </w:rPr>
              <w:t>MB</w:t>
            </w:r>
            <w:r>
              <w:rPr>
                <w:rFonts w:hint="eastAsia" w:ascii="仿宋_GB2312" w:hAnsi="仿宋_GB2312" w:eastAsia="仿宋_GB2312" w:cs="仿宋_GB2312"/>
                <w:color w:val="000000" w:themeColor="text1"/>
                <w:kern w:val="0"/>
                <w:sz w:val="24"/>
                <w:szCs w:val="24"/>
                <w:highlight w:val="none"/>
                <w:lang w:val="zh-TW" w:eastAsia="zh-TW"/>
              </w:rPr>
              <w:t>值</w:t>
            </w:r>
          </w:p>
        </w:tc>
        <w:tc>
          <w:tcPr>
            <w:tcW w:w="1276" w:type="dxa"/>
            <w:shd w:val="clear" w:color="auto" w:fill="FFFFFF"/>
          </w:tcPr>
          <w:p>
            <w:pPr>
              <w:spacing w:line="360" w:lineRule="auto"/>
              <w:jc w:val="center"/>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lang w:eastAsia="en-US"/>
              </w:rPr>
              <w:t>&lt;0.5</w:t>
            </w:r>
          </w:p>
        </w:tc>
        <w:tc>
          <w:tcPr>
            <w:tcW w:w="1001" w:type="dxa"/>
            <w:shd w:val="clear" w:color="auto" w:fill="FFFFFF"/>
          </w:tcPr>
          <w:p>
            <w:pPr>
              <w:spacing w:line="360" w:lineRule="auto"/>
              <w:jc w:val="center"/>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lang w:eastAsia="en-US"/>
              </w:rPr>
              <w:t>&lt;1.0</w:t>
            </w:r>
          </w:p>
        </w:tc>
        <w:tc>
          <w:tcPr>
            <w:tcW w:w="2118" w:type="dxa"/>
            <w:shd w:val="clear" w:color="auto" w:fill="FFFFFF"/>
          </w:tcPr>
          <w:p>
            <w:pPr>
              <w:spacing w:line="360" w:lineRule="auto"/>
              <w:jc w:val="center"/>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lang w:eastAsia="en-US"/>
              </w:rPr>
              <w:t>&lt;1.4</w:t>
            </w:r>
            <w:r>
              <w:rPr>
                <w:rFonts w:hint="eastAsia" w:ascii="仿宋_GB2312" w:hAnsi="仿宋_GB2312" w:eastAsia="仿宋_GB2312" w:cs="仿宋_GB2312"/>
                <w:color w:val="000000" w:themeColor="text1"/>
                <w:kern w:val="0"/>
                <w:sz w:val="24"/>
                <w:szCs w:val="24"/>
                <w:highlight w:val="none"/>
                <w:lang w:val="zh-TW" w:eastAsia="zh-TW"/>
              </w:rPr>
              <w:t>或合格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trPr>
        <w:tc>
          <w:tcPr>
            <w:tcW w:w="2835" w:type="dxa"/>
            <w:shd w:val="clear" w:color="auto" w:fill="FFFFFF"/>
          </w:tcPr>
          <w:p>
            <w:pPr>
              <w:spacing w:line="360" w:lineRule="auto"/>
              <w:ind w:left="120" w:hanging="120" w:hangingChars="50"/>
              <w:jc w:val="center"/>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lang w:val="zh-TW" w:eastAsia="zh-TW"/>
              </w:rPr>
              <w:t>石粉含</w:t>
            </w:r>
            <w:r>
              <w:rPr>
                <w:rFonts w:hint="eastAsia" w:ascii="仿宋_GB2312" w:hAnsi="仿宋_GB2312" w:eastAsia="仿宋_GB2312" w:cs="仿宋_GB2312"/>
                <w:color w:val="000000" w:themeColor="text1"/>
                <w:kern w:val="0"/>
                <w:sz w:val="24"/>
                <w:szCs w:val="24"/>
                <w:highlight w:val="none"/>
                <w:lang w:eastAsia="en-US"/>
              </w:rPr>
              <w:t>量</w:t>
            </w:r>
            <w:r>
              <w:rPr>
                <w:rFonts w:hint="eastAsia" w:ascii="仿宋_GB2312" w:hAnsi="仿宋_GB2312" w:eastAsia="仿宋_GB2312" w:cs="仿宋_GB2312"/>
                <w:color w:val="000000" w:themeColor="text1"/>
                <w:kern w:val="0"/>
                <w:sz w:val="24"/>
                <w:szCs w:val="24"/>
                <w:highlight w:val="none"/>
                <w:lang w:val="zh-TW" w:eastAsia="zh-TW"/>
              </w:rPr>
              <w:t>(按质</w:t>
            </w:r>
            <w:r>
              <w:rPr>
                <w:rFonts w:hint="eastAsia" w:ascii="仿宋_GB2312" w:hAnsi="仿宋_GB2312" w:eastAsia="仿宋_GB2312" w:cs="仿宋_GB2312"/>
                <w:color w:val="000000" w:themeColor="text1"/>
                <w:kern w:val="0"/>
                <w:sz w:val="24"/>
                <w:szCs w:val="24"/>
                <w:highlight w:val="none"/>
              </w:rPr>
              <w:t>量</w:t>
            </w:r>
            <w:r>
              <w:rPr>
                <w:rFonts w:hint="eastAsia" w:ascii="仿宋_GB2312" w:hAnsi="仿宋_GB2312" w:eastAsia="仿宋_GB2312" w:cs="仿宋_GB2312"/>
                <w:color w:val="000000" w:themeColor="text1"/>
                <w:kern w:val="0"/>
                <w:sz w:val="24"/>
                <w:szCs w:val="24"/>
                <w:highlight w:val="none"/>
                <w:lang w:val="zh-TW" w:eastAsia="zh-TW"/>
              </w:rPr>
              <w:t>计</w:t>
            </w:r>
            <w:r>
              <w:rPr>
                <w:rFonts w:hint="eastAsia" w:ascii="仿宋_GB2312" w:hAnsi="仿宋_GB2312" w:eastAsia="仿宋_GB2312" w:cs="仿宋_GB2312"/>
                <w:color w:val="000000" w:themeColor="text1"/>
                <w:kern w:val="0"/>
                <w:sz w:val="24"/>
                <w:szCs w:val="24"/>
                <w:highlight w:val="none"/>
                <w:lang w:eastAsia="en-US"/>
              </w:rPr>
              <w:t>)/</w:t>
            </w:r>
            <w:r>
              <w:rPr>
                <w:rFonts w:hint="eastAsia" w:ascii="仿宋_GB2312" w:hAnsi="仿宋_GB2312" w:eastAsia="仿宋_GB2312" w:cs="仿宋_GB2312"/>
                <w:color w:val="000000" w:themeColor="text1"/>
                <w:kern w:val="0"/>
                <w:sz w:val="24"/>
                <w:szCs w:val="24"/>
                <w:highlight w:val="none"/>
              </w:rPr>
              <w:t>％</w:t>
            </w:r>
          </w:p>
        </w:tc>
        <w:tc>
          <w:tcPr>
            <w:tcW w:w="4395" w:type="dxa"/>
            <w:gridSpan w:val="3"/>
            <w:shd w:val="clear" w:color="auto" w:fill="FFFFFF"/>
          </w:tcPr>
          <w:p>
            <w:pPr>
              <w:spacing w:line="360" w:lineRule="auto"/>
              <w:jc w:val="center"/>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lang w:eastAsia="en-US"/>
              </w:rPr>
              <w:t>&lt;10.0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 w:hRule="atLeast"/>
        </w:trPr>
        <w:tc>
          <w:tcPr>
            <w:tcW w:w="2835" w:type="dxa"/>
            <w:shd w:val="clear" w:color="auto" w:fill="FFFFFF"/>
          </w:tcPr>
          <w:p>
            <w:pPr>
              <w:spacing w:line="360" w:lineRule="auto"/>
              <w:jc w:val="center"/>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lang w:val="zh-TW" w:eastAsia="zh-TW"/>
              </w:rPr>
              <w:t>泥块含</w:t>
            </w:r>
            <w:r>
              <w:rPr>
                <w:rFonts w:hint="eastAsia" w:ascii="仿宋_GB2312" w:hAnsi="仿宋_GB2312" w:eastAsia="仿宋_GB2312" w:cs="仿宋_GB2312"/>
                <w:color w:val="000000" w:themeColor="text1"/>
                <w:kern w:val="0"/>
                <w:sz w:val="24"/>
                <w:szCs w:val="24"/>
                <w:highlight w:val="none"/>
                <w:lang w:eastAsia="en-US"/>
              </w:rPr>
              <w:t>量</w:t>
            </w:r>
            <w:r>
              <w:rPr>
                <w:rFonts w:hint="eastAsia" w:ascii="仿宋_GB2312" w:hAnsi="仿宋_GB2312" w:eastAsia="仿宋_GB2312" w:cs="仿宋_GB2312"/>
                <w:color w:val="000000" w:themeColor="text1"/>
                <w:kern w:val="0"/>
                <w:sz w:val="24"/>
                <w:szCs w:val="24"/>
                <w:highlight w:val="none"/>
                <w:lang w:val="zh-TW" w:eastAsia="zh-TW"/>
              </w:rPr>
              <w:t>(按质位计</w:t>
            </w:r>
            <w:r>
              <w:rPr>
                <w:rFonts w:hint="eastAsia" w:ascii="仿宋_GB2312" w:hAnsi="仿宋_GB2312" w:eastAsia="仿宋_GB2312" w:cs="仿宋_GB2312"/>
                <w:color w:val="000000" w:themeColor="text1"/>
                <w:kern w:val="0"/>
                <w:sz w:val="24"/>
                <w:szCs w:val="24"/>
                <w:highlight w:val="none"/>
                <w:lang w:val="zh-TW"/>
              </w:rPr>
              <w:t>)</w:t>
            </w:r>
            <w:r>
              <w:rPr>
                <w:rFonts w:hint="eastAsia" w:ascii="仿宋_GB2312" w:hAnsi="仿宋_GB2312" w:eastAsia="仿宋_GB2312" w:cs="仿宋_GB2312"/>
                <w:color w:val="000000" w:themeColor="text1"/>
                <w:kern w:val="0"/>
                <w:sz w:val="24"/>
                <w:szCs w:val="24"/>
                <w:highlight w:val="none"/>
                <w:lang w:val="zh-TW" w:eastAsia="zh-TW"/>
              </w:rPr>
              <w:t>/</w:t>
            </w:r>
            <w:r>
              <w:rPr>
                <w:rFonts w:hint="eastAsia" w:ascii="仿宋_GB2312" w:hAnsi="仿宋_GB2312" w:eastAsia="仿宋_GB2312" w:cs="仿宋_GB2312"/>
                <w:color w:val="000000" w:themeColor="text1"/>
                <w:kern w:val="0"/>
                <w:sz w:val="24"/>
                <w:szCs w:val="24"/>
                <w:highlight w:val="none"/>
                <w:lang w:val="zh-TW"/>
              </w:rPr>
              <w:t>％</w:t>
            </w:r>
          </w:p>
        </w:tc>
        <w:tc>
          <w:tcPr>
            <w:tcW w:w="1276" w:type="dxa"/>
            <w:shd w:val="clear" w:color="auto" w:fill="FFFFFF"/>
          </w:tcPr>
          <w:p>
            <w:pPr>
              <w:spacing w:line="360" w:lineRule="auto"/>
              <w:jc w:val="center"/>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lang w:val="zh-TW" w:eastAsia="zh-TW"/>
              </w:rPr>
              <w:t>0</w:t>
            </w:r>
          </w:p>
        </w:tc>
        <w:tc>
          <w:tcPr>
            <w:tcW w:w="1001" w:type="dxa"/>
            <w:shd w:val="clear" w:color="auto" w:fill="FFFFFF"/>
          </w:tcPr>
          <w:p>
            <w:pPr>
              <w:spacing w:line="360" w:lineRule="auto"/>
              <w:jc w:val="center"/>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lang w:eastAsia="en-US"/>
              </w:rPr>
              <w:t>&lt;1.0</w:t>
            </w:r>
          </w:p>
        </w:tc>
        <w:tc>
          <w:tcPr>
            <w:tcW w:w="2118" w:type="dxa"/>
            <w:shd w:val="clear" w:color="auto" w:fill="FFFFFF"/>
          </w:tcPr>
          <w:p>
            <w:pPr>
              <w:spacing w:line="360" w:lineRule="auto"/>
              <w:jc w:val="center"/>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lang w:eastAsia="en-US"/>
              </w:rPr>
              <w:t>&lt;2.0</w:t>
            </w:r>
          </w:p>
        </w:tc>
      </w:tr>
    </w:tbl>
    <w:p>
      <w:pPr>
        <w:spacing w:line="360" w:lineRule="auto"/>
        <w:ind w:left="720"/>
        <w:outlineLvl w:val="0"/>
        <w:rPr>
          <w:rFonts w:ascii="仿宋_GB2312" w:hAnsi="仿宋_GB2312" w:eastAsia="仿宋_GB2312" w:cs="仿宋_GB2312"/>
          <w:color w:val="000000" w:themeColor="text1"/>
          <w:kern w:val="0"/>
          <w:sz w:val="24"/>
          <w:szCs w:val="24"/>
          <w:highlight w:val="none"/>
        </w:rPr>
      </w:pPr>
      <w:bookmarkStart w:id="94" w:name="bookmark1"/>
      <w:r>
        <w:rPr>
          <w:rFonts w:hint="eastAsia" w:ascii="仿宋_GB2312" w:hAnsi="仿宋_GB2312" w:eastAsia="仿宋_GB2312" w:cs="仿宋_GB2312"/>
          <w:color w:val="000000" w:themeColor="text1"/>
          <w:kern w:val="0"/>
          <w:sz w:val="24"/>
          <w:szCs w:val="24"/>
          <w:highlight w:val="none"/>
        </w:rPr>
        <w:t>表2：</w:t>
      </w:r>
      <w:r>
        <w:rPr>
          <w:rFonts w:hint="eastAsia" w:ascii="仿宋_GB2312" w:hAnsi="仿宋_GB2312" w:eastAsia="仿宋_GB2312" w:cs="仿宋_GB2312"/>
          <w:color w:val="000000" w:themeColor="text1"/>
          <w:kern w:val="0"/>
          <w:sz w:val="24"/>
          <w:szCs w:val="24"/>
          <w:highlight w:val="none"/>
          <w:lang w:val="zh-TW" w:eastAsia="zh-TW"/>
        </w:rPr>
        <w:t>石粉含</w:t>
      </w:r>
      <w:r>
        <w:rPr>
          <w:rFonts w:hint="eastAsia" w:ascii="仿宋_GB2312" w:hAnsi="仿宋_GB2312" w:eastAsia="仿宋_GB2312" w:cs="仿宋_GB2312"/>
          <w:color w:val="000000" w:themeColor="text1"/>
          <w:kern w:val="0"/>
          <w:sz w:val="24"/>
          <w:szCs w:val="24"/>
          <w:highlight w:val="none"/>
        </w:rPr>
        <w:t>量</w:t>
      </w:r>
      <w:r>
        <w:rPr>
          <w:rFonts w:hint="eastAsia" w:ascii="仿宋_GB2312" w:hAnsi="仿宋_GB2312" w:eastAsia="仿宋_GB2312" w:cs="仿宋_GB2312"/>
          <w:color w:val="000000" w:themeColor="text1"/>
          <w:kern w:val="0"/>
          <w:sz w:val="24"/>
          <w:szCs w:val="24"/>
          <w:highlight w:val="none"/>
          <w:lang w:val="zh-TW" w:eastAsia="zh-TW"/>
        </w:rPr>
        <w:t>和泥块含</w:t>
      </w:r>
      <w:r>
        <w:rPr>
          <w:rFonts w:hint="eastAsia" w:ascii="仿宋_GB2312" w:hAnsi="仿宋_GB2312" w:eastAsia="仿宋_GB2312" w:cs="仿宋_GB2312"/>
          <w:color w:val="000000" w:themeColor="text1"/>
          <w:kern w:val="0"/>
          <w:sz w:val="24"/>
          <w:szCs w:val="24"/>
          <w:highlight w:val="none"/>
        </w:rPr>
        <w:t>量(MB</w:t>
      </w:r>
      <w:r>
        <w:rPr>
          <w:rFonts w:hint="eastAsia" w:ascii="仿宋_GB2312" w:hAnsi="仿宋_GB2312" w:eastAsia="仿宋_GB2312" w:cs="仿宋_GB2312"/>
          <w:color w:val="000000" w:themeColor="text1"/>
          <w:kern w:val="0"/>
          <w:sz w:val="24"/>
          <w:szCs w:val="24"/>
          <w:highlight w:val="none"/>
          <w:lang w:val="zh-TW" w:eastAsia="zh-TW"/>
        </w:rPr>
        <w:t>值</w:t>
      </w:r>
      <w:r>
        <w:rPr>
          <w:rFonts w:hint="eastAsia" w:ascii="仿宋_GB2312" w:hAnsi="仿宋_GB2312" w:eastAsia="仿宋_GB2312" w:cs="仿宋_GB2312"/>
          <w:color w:val="000000" w:themeColor="text1"/>
          <w:kern w:val="0"/>
          <w:sz w:val="24"/>
          <w:szCs w:val="24"/>
          <w:highlight w:val="none"/>
        </w:rPr>
        <w:t>&gt;1.</w:t>
      </w:r>
      <w:r>
        <w:rPr>
          <w:rFonts w:hint="eastAsia" w:ascii="仿宋_GB2312" w:hAnsi="仿宋_GB2312" w:eastAsia="仿宋_GB2312" w:cs="仿宋_GB2312"/>
          <w:color w:val="000000" w:themeColor="text1"/>
          <w:kern w:val="0"/>
          <w:sz w:val="24"/>
          <w:szCs w:val="24"/>
          <w:highlight w:val="none"/>
          <w:lang w:val="zh-TW" w:eastAsia="zh-TW"/>
        </w:rPr>
        <w:t>4或快速法试验不合格</w:t>
      </w:r>
      <w:r>
        <w:rPr>
          <w:rFonts w:hint="eastAsia" w:ascii="仿宋_GB2312" w:hAnsi="仿宋_GB2312" w:eastAsia="仿宋_GB2312" w:cs="仿宋_GB2312"/>
          <w:color w:val="000000" w:themeColor="text1"/>
          <w:kern w:val="0"/>
          <w:sz w:val="24"/>
          <w:szCs w:val="24"/>
          <w:highlight w:val="none"/>
        </w:rPr>
        <w:t>）</w:t>
      </w:r>
      <w:bookmarkEnd w:id="94"/>
    </w:p>
    <w:tbl>
      <w:tblPr>
        <w:tblStyle w:val="34"/>
        <w:tblW w:w="0" w:type="auto"/>
        <w:tblInd w:w="714" w:type="dxa"/>
        <w:tblLayout w:type="fixed"/>
        <w:tblCellMar>
          <w:top w:w="0" w:type="dxa"/>
          <w:left w:w="0" w:type="dxa"/>
          <w:bottom w:w="0" w:type="dxa"/>
          <w:right w:w="0" w:type="dxa"/>
        </w:tblCellMar>
      </w:tblPr>
      <w:tblGrid>
        <w:gridCol w:w="2835"/>
        <w:gridCol w:w="1276"/>
        <w:gridCol w:w="1005"/>
        <w:gridCol w:w="2114"/>
      </w:tblGrid>
      <w:tr>
        <w:tblPrEx>
          <w:tblCellMar>
            <w:top w:w="0" w:type="dxa"/>
            <w:left w:w="0" w:type="dxa"/>
            <w:bottom w:w="0" w:type="dxa"/>
            <w:right w:w="0" w:type="dxa"/>
          </w:tblCellMar>
        </w:tblPrEx>
        <w:trPr>
          <w:trHeight w:val="292" w:hRule="atLeast"/>
        </w:trPr>
        <w:tc>
          <w:tcPr>
            <w:tcW w:w="2835" w:type="dxa"/>
            <w:tcBorders>
              <w:top w:val="single" w:color="auto" w:sz="4" w:space="0"/>
              <w:left w:val="single" w:color="auto" w:sz="4" w:space="0"/>
              <w:bottom w:val="nil"/>
              <w:right w:val="nil"/>
            </w:tcBorders>
            <w:shd w:val="clear" w:color="auto" w:fill="FFFFFF"/>
          </w:tcPr>
          <w:p>
            <w:pPr>
              <w:spacing w:line="360" w:lineRule="auto"/>
              <w:jc w:val="center"/>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lang w:val="zh-TW" w:eastAsia="zh-TW"/>
              </w:rPr>
              <w:t>类别</w:t>
            </w:r>
          </w:p>
        </w:tc>
        <w:tc>
          <w:tcPr>
            <w:tcW w:w="1276" w:type="dxa"/>
            <w:tcBorders>
              <w:top w:val="single" w:color="auto" w:sz="4" w:space="0"/>
              <w:left w:val="single" w:color="auto" w:sz="4" w:space="0"/>
              <w:bottom w:val="nil"/>
              <w:right w:val="nil"/>
            </w:tcBorders>
            <w:shd w:val="clear" w:color="auto" w:fill="FFFFFF"/>
          </w:tcPr>
          <w:p>
            <w:pPr>
              <w:spacing w:line="360" w:lineRule="auto"/>
              <w:jc w:val="center"/>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lang w:val="zh-TW"/>
              </w:rPr>
              <w:t>Ⅰ</w:t>
            </w:r>
          </w:p>
        </w:tc>
        <w:tc>
          <w:tcPr>
            <w:tcW w:w="1005" w:type="dxa"/>
            <w:tcBorders>
              <w:top w:val="single" w:color="auto" w:sz="4" w:space="0"/>
              <w:left w:val="single" w:color="auto" w:sz="4" w:space="0"/>
              <w:bottom w:val="nil"/>
              <w:right w:val="nil"/>
            </w:tcBorders>
            <w:shd w:val="clear" w:color="auto" w:fill="FFFFFF"/>
          </w:tcPr>
          <w:p>
            <w:pPr>
              <w:spacing w:line="360" w:lineRule="auto"/>
              <w:jc w:val="center"/>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rPr>
              <w:t>Ⅱ</w:t>
            </w:r>
          </w:p>
        </w:tc>
        <w:tc>
          <w:tcPr>
            <w:tcW w:w="2114" w:type="dxa"/>
            <w:tcBorders>
              <w:top w:val="single" w:color="auto" w:sz="4" w:space="0"/>
              <w:left w:val="single" w:color="auto" w:sz="4" w:space="0"/>
              <w:bottom w:val="nil"/>
              <w:right w:val="single" w:color="auto" w:sz="4" w:space="0"/>
            </w:tcBorders>
            <w:shd w:val="clear" w:color="auto" w:fill="FFFFFF"/>
          </w:tcPr>
          <w:p>
            <w:pPr>
              <w:spacing w:line="360" w:lineRule="auto"/>
              <w:jc w:val="center"/>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rPr>
              <w:t>Ⅲ</w:t>
            </w:r>
          </w:p>
        </w:tc>
      </w:tr>
      <w:tr>
        <w:tblPrEx>
          <w:tblCellMar>
            <w:top w:w="0" w:type="dxa"/>
            <w:left w:w="0" w:type="dxa"/>
            <w:bottom w:w="0" w:type="dxa"/>
            <w:right w:w="0" w:type="dxa"/>
          </w:tblCellMar>
        </w:tblPrEx>
        <w:trPr>
          <w:trHeight w:val="271" w:hRule="atLeast"/>
        </w:trPr>
        <w:tc>
          <w:tcPr>
            <w:tcW w:w="2835" w:type="dxa"/>
            <w:tcBorders>
              <w:top w:val="single" w:color="auto" w:sz="4" w:space="0"/>
              <w:left w:val="single" w:color="auto" w:sz="4" w:space="0"/>
              <w:bottom w:val="nil"/>
              <w:right w:val="nil"/>
            </w:tcBorders>
            <w:shd w:val="clear" w:color="auto" w:fill="FFFFFF"/>
          </w:tcPr>
          <w:p>
            <w:pPr>
              <w:spacing w:line="360" w:lineRule="auto"/>
              <w:jc w:val="center"/>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lang w:val="zh-TW" w:eastAsia="zh-TW"/>
              </w:rPr>
              <w:t>石粉含</w:t>
            </w:r>
            <w:r>
              <w:rPr>
                <w:rFonts w:hint="eastAsia" w:ascii="仿宋_GB2312" w:hAnsi="仿宋_GB2312" w:eastAsia="仿宋_GB2312" w:cs="仿宋_GB2312"/>
                <w:color w:val="000000" w:themeColor="text1"/>
                <w:kern w:val="0"/>
                <w:sz w:val="24"/>
                <w:szCs w:val="24"/>
                <w:highlight w:val="none"/>
                <w:lang w:eastAsia="en-US"/>
              </w:rPr>
              <w:t>量</w:t>
            </w:r>
            <w:r>
              <w:rPr>
                <w:rFonts w:hint="eastAsia" w:ascii="仿宋_GB2312" w:hAnsi="仿宋_GB2312" w:eastAsia="仿宋_GB2312" w:cs="仿宋_GB2312"/>
                <w:color w:val="000000" w:themeColor="text1"/>
                <w:kern w:val="0"/>
                <w:sz w:val="24"/>
                <w:szCs w:val="24"/>
                <w:highlight w:val="none"/>
                <w:lang w:val="zh-TW" w:eastAsia="zh-TW"/>
              </w:rPr>
              <w:t>(按质</w:t>
            </w:r>
            <w:r>
              <w:rPr>
                <w:rFonts w:hint="eastAsia" w:ascii="仿宋_GB2312" w:hAnsi="仿宋_GB2312" w:eastAsia="仿宋_GB2312" w:cs="仿宋_GB2312"/>
                <w:color w:val="000000" w:themeColor="text1"/>
                <w:kern w:val="0"/>
                <w:sz w:val="24"/>
                <w:szCs w:val="24"/>
                <w:highlight w:val="none"/>
                <w:lang w:eastAsia="en-US"/>
              </w:rPr>
              <w:t>量</w:t>
            </w:r>
            <w:r>
              <w:rPr>
                <w:rFonts w:hint="eastAsia" w:ascii="仿宋_GB2312" w:hAnsi="仿宋_GB2312" w:eastAsia="仿宋_GB2312" w:cs="仿宋_GB2312"/>
                <w:color w:val="000000" w:themeColor="text1"/>
                <w:kern w:val="0"/>
                <w:sz w:val="24"/>
                <w:szCs w:val="24"/>
                <w:highlight w:val="none"/>
                <w:lang w:val="zh-TW" w:eastAsia="zh-TW"/>
              </w:rPr>
              <w:t>计</w:t>
            </w:r>
            <w:r>
              <w:rPr>
                <w:rFonts w:hint="eastAsia" w:ascii="仿宋_GB2312" w:hAnsi="仿宋_GB2312" w:eastAsia="仿宋_GB2312" w:cs="仿宋_GB2312"/>
                <w:color w:val="000000" w:themeColor="text1"/>
                <w:kern w:val="0"/>
                <w:sz w:val="24"/>
                <w:szCs w:val="24"/>
                <w:highlight w:val="none"/>
                <w:lang w:eastAsia="en-US"/>
              </w:rPr>
              <w:t>)/</w:t>
            </w:r>
            <w:r>
              <w:rPr>
                <w:rFonts w:hint="eastAsia" w:ascii="仿宋_GB2312" w:hAnsi="仿宋_GB2312" w:eastAsia="仿宋_GB2312" w:cs="仿宋_GB2312"/>
                <w:color w:val="000000" w:themeColor="text1"/>
                <w:kern w:val="0"/>
                <w:sz w:val="24"/>
                <w:szCs w:val="24"/>
                <w:highlight w:val="none"/>
              </w:rPr>
              <w:t>％</w:t>
            </w:r>
          </w:p>
        </w:tc>
        <w:tc>
          <w:tcPr>
            <w:tcW w:w="1276" w:type="dxa"/>
            <w:tcBorders>
              <w:top w:val="single" w:color="auto" w:sz="4" w:space="0"/>
              <w:left w:val="single" w:color="auto" w:sz="4" w:space="0"/>
              <w:bottom w:val="nil"/>
              <w:right w:val="nil"/>
            </w:tcBorders>
            <w:shd w:val="clear" w:color="auto" w:fill="FFFFFF"/>
          </w:tcPr>
          <w:p>
            <w:pPr>
              <w:spacing w:line="360" w:lineRule="auto"/>
              <w:jc w:val="center"/>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lang w:eastAsia="en-US"/>
              </w:rPr>
              <w:t>&lt;1.0</w:t>
            </w:r>
          </w:p>
        </w:tc>
        <w:tc>
          <w:tcPr>
            <w:tcW w:w="1005" w:type="dxa"/>
            <w:tcBorders>
              <w:top w:val="single" w:color="auto" w:sz="4" w:space="0"/>
              <w:left w:val="single" w:color="auto" w:sz="4" w:space="0"/>
              <w:bottom w:val="nil"/>
              <w:right w:val="nil"/>
            </w:tcBorders>
            <w:shd w:val="clear" w:color="auto" w:fill="FFFFFF"/>
          </w:tcPr>
          <w:p>
            <w:pPr>
              <w:spacing w:line="360" w:lineRule="auto"/>
              <w:jc w:val="center"/>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lang w:eastAsia="en-US"/>
              </w:rPr>
              <w:t>&lt;3.0</w:t>
            </w:r>
          </w:p>
        </w:tc>
        <w:tc>
          <w:tcPr>
            <w:tcW w:w="2114" w:type="dxa"/>
            <w:tcBorders>
              <w:top w:val="single" w:color="auto" w:sz="4" w:space="0"/>
              <w:left w:val="single" w:color="auto" w:sz="4" w:space="0"/>
              <w:bottom w:val="nil"/>
              <w:right w:val="single" w:color="auto" w:sz="4" w:space="0"/>
            </w:tcBorders>
            <w:shd w:val="clear" w:color="auto" w:fill="FFFFFF"/>
          </w:tcPr>
          <w:p>
            <w:pPr>
              <w:spacing w:line="360" w:lineRule="auto"/>
              <w:jc w:val="center"/>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lang w:eastAsia="en-US"/>
              </w:rPr>
              <w:t>&lt;5.0</w:t>
            </w:r>
          </w:p>
        </w:tc>
      </w:tr>
      <w:tr>
        <w:tblPrEx>
          <w:tblCellMar>
            <w:top w:w="0" w:type="dxa"/>
            <w:left w:w="0" w:type="dxa"/>
            <w:bottom w:w="0" w:type="dxa"/>
            <w:right w:w="0" w:type="dxa"/>
          </w:tblCellMar>
        </w:tblPrEx>
        <w:trPr>
          <w:trHeight w:val="284" w:hRule="atLeast"/>
        </w:trPr>
        <w:tc>
          <w:tcPr>
            <w:tcW w:w="2835" w:type="dxa"/>
            <w:tcBorders>
              <w:top w:val="single" w:color="auto" w:sz="4" w:space="0"/>
              <w:left w:val="single" w:color="auto" w:sz="4" w:space="0"/>
              <w:bottom w:val="single" w:color="auto" w:sz="4" w:space="0"/>
              <w:right w:val="nil"/>
            </w:tcBorders>
            <w:shd w:val="clear" w:color="auto" w:fill="FFFFFF"/>
          </w:tcPr>
          <w:p>
            <w:pPr>
              <w:spacing w:line="360" w:lineRule="auto"/>
              <w:jc w:val="center"/>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lang w:val="zh-TW" w:eastAsia="zh-TW"/>
              </w:rPr>
              <w:t>泥块含</w:t>
            </w:r>
            <w:r>
              <w:rPr>
                <w:rFonts w:hint="eastAsia" w:ascii="仿宋_GB2312" w:hAnsi="仿宋_GB2312" w:eastAsia="仿宋_GB2312" w:cs="仿宋_GB2312"/>
                <w:color w:val="000000" w:themeColor="text1"/>
                <w:kern w:val="0"/>
                <w:sz w:val="24"/>
                <w:szCs w:val="24"/>
                <w:highlight w:val="none"/>
                <w:lang w:eastAsia="en-US"/>
              </w:rPr>
              <w:t>量</w:t>
            </w:r>
            <w:r>
              <w:rPr>
                <w:rFonts w:hint="eastAsia" w:ascii="仿宋_GB2312" w:hAnsi="仿宋_GB2312" w:eastAsia="仿宋_GB2312" w:cs="仿宋_GB2312"/>
                <w:color w:val="000000" w:themeColor="text1"/>
                <w:kern w:val="0"/>
                <w:sz w:val="24"/>
                <w:szCs w:val="24"/>
                <w:highlight w:val="none"/>
                <w:lang w:val="zh-TW" w:eastAsia="zh-TW"/>
              </w:rPr>
              <w:t>(按质</w:t>
            </w:r>
            <w:r>
              <w:rPr>
                <w:rFonts w:hint="eastAsia" w:ascii="仿宋_GB2312" w:hAnsi="仿宋_GB2312" w:eastAsia="仿宋_GB2312" w:cs="仿宋_GB2312"/>
                <w:color w:val="000000" w:themeColor="text1"/>
                <w:kern w:val="0"/>
                <w:sz w:val="24"/>
                <w:szCs w:val="24"/>
                <w:highlight w:val="none"/>
                <w:lang w:eastAsia="en-US"/>
              </w:rPr>
              <w:t>量</w:t>
            </w:r>
            <w:r>
              <w:rPr>
                <w:rFonts w:hint="eastAsia" w:ascii="仿宋_GB2312" w:hAnsi="仿宋_GB2312" w:eastAsia="仿宋_GB2312" w:cs="仿宋_GB2312"/>
                <w:color w:val="000000" w:themeColor="text1"/>
                <w:kern w:val="0"/>
                <w:sz w:val="24"/>
                <w:szCs w:val="24"/>
                <w:highlight w:val="none"/>
                <w:lang w:val="zh-TW" w:eastAsia="zh-TW"/>
              </w:rPr>
              <w:t>计)</w:t>
            </w:r>
            <w:r>
              <w:rPr>
                <w:rFonts w:hint="eastAsia" w:ascii="仿宋_GB2312" w:hAnsi="仿宋_GB2312" w:eastAsia="仿宋_GB2312" w:cs="仿宋_GB2312"/>
                <w:color w:val="000000" w:themeColor="text1"/>
                <w:kern w:val="0"/>
                <w:sz w:val="24"/>
                <w:szCs w:val="24"/>
                <w:highlight w:val="none"/>
                <w:lang w:eastAsia="en-US"/>
              </w:rPr>
              <w:t>/</w:t>
            </w:r>
            <w:r>
              <w:rPr>
                <w:rFonts w:hint="eastAsia" w:ascii="仿宋_GB2312" w:hAnsi="仿宋_GB2312" w:eastAsia="仿宋_GB2312" w:cs="仿宋_GB2312"/>
                <w:color w:val="000000" w:themeColor="text1"/>
                <w:kern w:val="0"/>
                <w:sz w:val="24"/>
                <w:szCs w:val="24"/>
                <w:highlight w:val="none"/>
              </w:rPr>
              <w:t>％</w:t>
            </w:r>
          </w:p>
        </w:tc>
        <w:tc>
          <w:tcPr>
            <w:tcW w:w="1276" w:type="dxa"/>
            <w:tcBorders>
              <w:top w:val="single" w:color="auto" w:sz="4" w:space="0"/>
              <w:left w:val="single" w:color="auto" w:sz="4" w:space="0"/>
              <w:bottom w:val="single" w:color="auto" w:sz="4" w:space="0"/>
              <w:right w:val="nil"/>
            </w:tcBorders>
            <w:shd w:val="clear" w:color="auto" w:fill="FFFFFF"/>
          </w:tcPr>
          <w:p>
            <w:pPr>
              <w:spacing w:line="360" w:lineRule="auto"/>
              <w:jc w:val="center"/>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lang w:val="zh-TW" w:eastAsia="zh-TW"/>
              </w:rPr>
              <w:t>0</w:t>
            </w:r>
          </w:p>
        </w:tc>
        <w:tc>
          <w:tcPr>
            <w:tcW w:w="1005" w:type="dxa"/>
            <w:tcBorders>
              <w:top w:val="single" w:color="auto" w:sz="4" w:space="0"/>
              <w:left w:val="single" w:color="auto" w:sz="4" w:space="0"/>
              <w:bottom w:val="single" w:color="auto" w:sz="4" w:space="0"/>
              <w:right w:val="nil"/>
            </w:tcBorders>
            <w:shd w:val="clear" w:color="auto" w:fill="FFFFFF"/>
          </w:tcPr>
          <w:p>
            <w:pPr>
              <w:spacing w:line="360" w:lineRule="auto"/>
              <w:jc w:val="center"/>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lang w:eastAsia="en-US"/>
              </w:rPr>
              <w:t>&lt;1.0</w:t>
            </w:r>
          </w:p>
        </w:tc>
        <w:tc>
          <w:tcPr>
            <w:tcW w:w="2114" w:type="dxa"/>
            <w:tcBorders>
              <w:top w:val="single" w:color="auto" w:sz="4" w:space="0"/>
              <w:left w:val="single" w:color="auto" w:sz="4" w:space="0"/>
              <w:bottom w:val="single" w:color="auto" w:sz="4" w:space="0"/>
              <w:right w:val="single" w:color="auto" w:sz="4" w:space="0"/>
            </w:tcBorders>
            <w:shd w:val="clear" w:color="auto" w:fill="FFFFFF"/>
          </w:tcPr>
          <w:p>
            <w:pPr>
              <w:spacing w:line="360" w:lineRule="auto"/>
              <w:jc w:val="center"/>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lang w:eastAsia="en-US"/>
              </w:rPr>
              <w:t>&lt;2.0</w:t>
            </w:r>
          </w:p>
        </w:tc>
      </w:tr>
    </w:tbl>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1.</w:t>
      </w:r>
      <w:r>
        <w:rPr>
          <w:rFonts w:hint="eastAsia" w:ascii="仿宋_GB2312" w:hAnsi="仿宋_GB2312" w:eastAsia="仿宋_GB2312" w:cs="仿宋_GB2312"/>
          <w:color w:val="000000" w:themeColor="text1"/>
          <w:highlight w:val="none"/>
          <w:lang w:val="en-US" w:eastAsia="zh-CN"/>
        </w:rPr>
        <w:t>1</w:t>
      </w:r>
      <w:r>
        <w:rPr>
          <w:rFonts w:hint="eastAsia" w:ascii="仿宋_GB2312" w:hAnsi="仿宋_GB2312" w:eastAsia="仿宋_GB2312" w:cs="仿宋_GB2312"/>
          <w:color w:val="000000" w:themeColor="text1"/>
          <w:highlight w:val="none"/>
        </w:rPr>
        <w:t>.3有害物资含量：砂不应混有草根、树叶、树枝、塑料、煤块、炉渣等杂物。砂中如含有云母、轻物质、有机物、琉化物及硫酸盐、氣盐等，其含量应符《建设用砂》（GB/T14684-2011）之规定。</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1.</w:t>
      </w:r>
      <w:r>
        <w:rPr>
          <w:rFonts w:hint="eastAsia" w:ascii="仿宋_GB2312" w:hAnsi="仿宋_GB2312" w:eastAsia="仿宋_GB2312" w:cs="仿宋_GB2312"/>
          <w:color w:val="000000" w:themeColor="text1"/>
          <w:highlight w:val="none"/>
          <w:lang w:val="en-US" w:eastAsia="zh-CN"/>
        </w:rPr>
        <w:t>1</w:t>
      </w:r>
      <w:r>
        <w:rPr>
          <w:rFonts w:hint="eastAsia" w:ascii="仿宋_GB2312" w:hAnsi="仿宋_GB2312" w:eastAsia="仿宋_GB2312" w:cs="仿宋_GB2312"/>
          <w:color w:val="000000" w:themeColor="text1"/>
          <w:highlight w:val="none"/>
        </w:rPr>
        <w:t>.4坚固性：采用硫酸钠溶液法进行试验，砂的质量损失不大于8％，机制砂还要满足单级最大压碎指标不大于25％。</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1.</w:t>
      </w:r>
      <w:r>
        <w:rPr>
          <w:rFonts w:hint="eastAsia" w:ascii="仿宋_GB2312" w:hAnsi="仿宋_GB2312" w:eastAsia="仿宋_GB2312" w:cs="仿宋_GB2312"/>
          <w:color w:val="000000" w:themeColor="text1"/>
          <w:highlight w:val="none"/>
          <w:lang w:val="en-US" w:eastAsia="zh-CN"/>
        </w:rPr>
        <w:t>1</w:t>
      </w:r>
      <w:r>
        <w:rPr>
          <w:rFonts w:hint="eastAsia" w:ascii="仿宋_GB2312" w:hAnsi="仿宋_GB2312" w:eastAsia="仿宋_GB2312" w:cs="仿宋_GB2312"/>
          <w:color w:val="000000" w:themeColor="text1"/>
          <w:highlight w:val="none"/>
        </w:rPr>
        <w:t>.5表观密度、堆积密度、空隙率应符合：表观密度不小于2500 kg/m3；松散堆积密度不小于1400 kg/m3；空隙率不大于44％。</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1.</w:t>
      </w:r>
      <w:r>
        <w:rPr>
          <w:rFonts w:hint="eastAsia" w:ascii="仿宋_GB2312" w:hAnsi="仿宋_GB2312" w:eastAsia="仿宋_GB2312" w:cs="仿宋_GB2312"/>
          <w:color w:val="000000" w:themeColor="text1"/>
          <w:highlight w:val="none"/>
          <w:lang w:val="en-US" w:eastAsia="zh-CN"/>
        </w:rPr>
        <w:t>1</w:t>
      </w:r>
      <w:r>
        <w:rPr>
          <w:rFonts w:hint="eastAsia" w:ascii="仿宋_GB2312" w:hAnsi="仿宋_GB2312" w:eastAsia="仿宋_GB2312" w:cs="仿宋_GB2312"/>
          <w:color w:val="000000" w:themeColor="text1"/>
          <w:highlight w:val="none"/>
        </w:rPr>
        <w:t>.6碱集料反应：经碱集料反应试验后，试件应无裂缝、酥裂、胶体外溢等现象，在规定的试验龄期膨胀率应小于10％。</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1.</w:t>
      </w:r>
      <w:r>
        <w:rPr>
          <w:rFonts w:hint="eastAsia" w:ascii="仿宋_GB2312" w:hAnsi="仿宋_GB2312" w:eastAsia="仿宋_GB2312" w:cs="仿宋_GB2312"/>
          <w:color w:val="000000" w:themeColor="text1"/>
          <w:highlight w:val="none"/>
          <w:lang w:val="en-US" w:eastAsia="zh-CN"/>
        </w:rPr>
        <w:t>1</w:t>
      </w:r>
      <w:r>
        <w:rPr>
          <w:rFonts w:hint="eastAsia" w:ascii="仿宋_GB2312" w:hAnsi="仿宋_GB2312" w:eastAsia="仿宋_GB2312" w:cs="仿宋_GB2312"/>
          <w:color w:val="000000" w:themeColor="text1"/>
          <w:highlight w:val="none"/>
        </w:rPr>
        <w:t>.7砂中氯离子含量（以干砂的质量百分率计）：对于钢筋混凝土用砂，氯离子含量不得大于0.06％。对于预应力混凝土用砂，其氯离子含量不得大于0.02％。</w:t>
      </w:r>
    </w:p>
    <w:p>
      <w:pPr>
        <w:tabs>
          <w:tab w:val="left" w:pos="1190"/>
          <w:tab w:val="right" w:pos="8306"/>
        </w:tabs>
        <w:spacing w:line="560" w:lineRule="exact"/>
        <w:ind w:firstLine="480" w:firstLineChars="200"/>
        <w:rPr>
          <w:rFonts w:hint="eastAsia" w:ascii="仿宋_GB2312" w:hAnsi="仿宋_GB2312" w:eastAsia="仿宋_GB2312" w:cs="仿宋_GB2312"/>
          <w:color w:val="000000" w:themeColor="text1"/>
          <w:kern w:val="0"/>
          <w:sz w:val="24"/>
          <w:szCs w:val="24"/>
          <w:highlight w:val="none"/>
          <w:lang w:eastAsia="zh-Hans"/>
        </w:rPr>
      </w:pPr>
      <w:r>
        <w:rPr>
          <w:rFonts w:hint="eastAsia" w:ascii="仿宋_GB2312" w:hAnsi="仿宋_GB2312" w:eastAsia="仿宋_GB2312" w:cs="仿宋_GB2312"/>
          <w:color w:val="000000" w:themeColor="text1"/>
          <w:sz w:val="24"/>
          <w:szCs w:val="24"/>
          <w:highlight w:val="none"/>
        </w:rPr>
        <w:t>1.</w:t>
      </w:r>
      <w:r>
        <w:rPr>
          <w:rFonts w:hint="eastAsia" w:ascii="仿宋_GB2312" w:hAnsi="仿宋_GB2312" w:eastAsia="仿宋_GB2312" w:cs="仿宋_GB2312"/>
          <w:color w:val="000000" w:themeColor="text1"/>
          <w:sz w:val="24"/>
          <w:szCs w:val="24"/>
          <w:highlight w:val="none"/>
          <w:lang w:val="en-US" w:eastAsia="zh-CN"/>
        </w:rPr>
        <w:t>1</w:t>
      </w:r>
      <w:r>
        <w:rPr>
          <w:rFonts w:hint="eastAsia" w:ascii="仿宋_GB2312" w:hAnsi="仿宋_GB2312" w:eastAsia="仿宋_GB2312" w:cs="仿宋_GB2312"/>
          <w:color w:val="000000" w:themeColor="text1"/>
          <w:sz w:val="24"/>
          <w:szCs w:val="24"/>
          <w:highlight w:val="none"/>
        </w:rPr>
        <w:t>.8含水率的规定：含水率应小于0.3％</w:t>
      </w:r>
      <w:r>
        <w:rPr>
          <w:rFonts w:hint="eastAsia" w:ascii="仿宋_GB2312" w:hAnsi="仿宋_GB2312" w:eastAsia="仿宋_GB2312" w:cs="仿宋_GB2312"/>
          <w:color w:val="000000" w:themeColor="text1"/>
          <w:kern w:val="0"/>
          <w:sz w:val="24"/>
          <w:szCs w:val="24"/>
          <w:highlight w:val="none"/>
          <w:lang w:eastAsia="zh-Hans"/>
        </w:rPr>
        <w:t>。</w:t>
      </w:r>
    </w:p>
    <w:p>
      <w:pPr>
        <w:tabs>
          <w:tab w:val="left" w:pos="1190"/>
          <w:tab w:val="right" w:pos="8306"/>
        </w:tabs>
        <w:spacing w:line="560" w:lineRule="exact"/>
        <w:ind w:firstLine="480" w:firstLineChars="200"/>
        <w:rPr>
          <w:rFonts w:hint="eastAsia" w:ascii="仿宋_GB2312" w:hAnsi="仿宋_GB2312" w:eastAsia="仿宋_GB2312" w:cs="仿宋_GB2312"/>
          <w:color w:val="000000" w:themeColor="text1"/>
          <w:kern w:val="0"/>
          <w:sz w:val="24"/>
          <w:szCs w:val="24"/>
          <w:highlight w:val="none"/>
          <w:lang w:val="en-US" w:eastAsia="zh-CN"/>
        </w:rPr>
      </w:pPr>
      <w:r>
        <w:rPr>
          <w:rFonts w:hint="eastAsia" w:ascii="仿宋_GB2312" w:hAnsi="仿宋_GB2312" w:eastAsia="仿宋_GB2312" w:cs="仿宋_GB2312"/>
          <w:color w:val="000000" w:themeColor="text1"/>
          <w:kern w:val="0"/>
          <w:sz w:val="24"/>
          <w:szCs w:val="24"/>
          <w:highlight w:val="none"/>
          <w:lang w:val="en-US" w:eastAsia="zh-CN"/>
        </w:rPr>
        <w:t>1.2碎石标准</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颗粒级配应符合下表规定：</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drawing>
          <wp:inline distT="0" distB="0" distL="0" distR="0">
            <wp:extent cx="5274310" cy="2722880"/>
            <wp:effectExtent l="0" t="0" r="13970" b="508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274310" cy="2722880"/>
                    </a:xfrm>
                    <a:prstGeom prst="rect">
                      <a:avLst/>
                    </a:prstGeom>
                    <a:noFill/>
                    <a:ln>
                      <a:noFill/>
                    </a:ln>
                  </pic:spPr>
                </pic:pic>
              </a:graphicData>
            </a:graphic>
          </wp:inline>
        </w:drawing>
      </w:r>
    </w:p>
    <w:p>
      <w:pPr>
        <w:pStyle w:val="41"/>
        <w:spacing w:line="400" w:lineRule="atLeast"/>
        <w:ind w:firstLine="960" w:firstLineChars="4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含泥量和泥块含量应符合下表规定：</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drawing>
          <wp:inline distT="0" distB="0" distL="0" distR="0">
            <wp:extent cx="5274310" cy="657225"/>
            <wp:effectExtent l="0" t="0" r="13970" b="1333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274310" cy="657225"/>
                    </a:xfrm>
                    <a:prstGeom prst="rect">
                      <a:avLst/>
                    </a:prstGeom>
                    <a:noFill/>
                    <a:ln>
                      <a:noFill/>
                    </a:ln>
                  </pic:spPr>
                </pic:pic>
              </a:graphicData>
            </a:graphic>
          </wp:inline>
        </w:drawing>
      </w:r>
    </w:p>
    <w:p>
      <w:pPr>
        <w:pStyle w:val="41"/>
        <w:spacing w:line="400" w:lineRule="atLeast"/>
        <w:ind w:firstLine="960" w:firstLineChars="4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针、片状颗粒含量应符合下表要规定：</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drawing>
          <wp:inline distT="0" distB="0" distL="0" distR="0">
            <wp:extent cx="5274310" cy="609600"/>
            <wp:effectExtent l="0" t="0" r="1397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274310" cy="609600"/>
                    </a:xfrm>
                    <a:prstGeom prst="rect">
                      <a:avLst/>
                    </a:prstGeom>
                    <a:noFill/>
                    <a:ln>
                      <a:noFill/>
                    </a:ln>
                  </pic:spPr>
                </pic:pic>
              </a:graphicData>
            </a:graphic>
          </wp:inline>
        </w:drawing>
      </w:r>
    </w:p>
    <w:p>
      <w:pPr>
        <w:pStyle w:val="41"/>
        <w:spacing w:line="400" w:lineRule="atLeast"/>
        <w:ind w:firstLine="960" w:firstLineChars="4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有害物质限量应符合下表规定：</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drawing>
          <wp:inline distT="0" distB="0" distL="0" distR="0">
            <wp:extent cx="5267325" cy="809625"/>
            <wp:effectExtent l="0" t="0" r="5715" b="1333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267325" cy="809625"/>
                    </a:xfrm>
                    <a:prstGeom prst="rect">
                      <a:avLst/>
                    </a:prstGeom>
                    <a:noFill/>
                    <a:ln>
                      <a:noFill/>
                    </a:ln>
                  </pic:spPr>
                </pic:pic>
              </a:graphicData>
            </a:graphic>
          </wp:inline>
        </w:drawing>
      </w:r>
    </w:p>
    <w:p>
      <w:pPr>
        <w:pStyle w:val="41"/>
        <w:spacing w:line="400" w:lineRule="atLeast"/>
        <w:ind w:firstLine="720" w:firstLineChars="3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采用硫酸钠溶液法进行试验，卵石、碎石的质量损失应符合下5的规定：</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drawing>
          <wp:inline distT="0" distB="0" distL="0" distR="0">
            <wp:extent cx="5267325" cy="466725"/>
            <wp:effectExtent l="0" t="0" r="5715" b="571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267325" cy="466725"/>
                    </a:xfrm>
                    <a:prstGeom prst="rect">
                      <a:avLst/>
                    </a:prstGeom>
                    <a:noFill/>
                    <a:ln>
                      <a:noFill/>
                    </a:ln>
                  </pic:spPr>
                </pic:pic>
              </a:graphicData>
            </a:graphic>
          </wp:inline>
        </w:drawing>
      </w:r>
    </w:p>
    <w:p>
      <w:pPr>
        <w:pStyle w:val="41"/>
        <w:spacing w:line="400" w:lineRule="atLeast"/>
        <w:ind w:firstLine="720" w:firstLineChars="3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强度：（1）岩石抗压强度：在水饱和状态下，其抗压强度火成岩应不小于80 MPa，变质岩应不小于60 MPa，水成岩应不小于30 MPa。（2）压碎指标应符合下表规定：</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drawing>
          <wp:inline distT="0" distB="0" distL="0" distR="0">
            <wp:extent cx="5274310" cy="628650"/>
            <wp:effectExtent l="0" t="0" r="13970" b="1143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274310" cy="628650"/>
                    </a:xfrm>
                    <a:prstGeom prst="rect">
                      <a:avLst/>
                    </a:prstGeom>
                    <a:noFill/>
                    <a:ln>
                      <a:noFill/>
                    </a:ln>
                  </pic:spPr>
                </pic:pic>
              </a:graphicData>
            </a:graphic>
          </wp:inline>
        </w:drawing>
      </w:r>
    </w:p>
    <w:p>
      <w:pPr>
        <w:pStyle w:val="41"/>
        <w:spacing w:line="400" w:lineRule="atLeast"/>
        <w:ind w:firstLine="960" w:firstLineChars="4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表观密度、连续级配松散堆积空隙率应符合如下规定：(1)表观密度不小于2600kg/m3；(2)连续级配松散堆积空隙率应符合下表规定：</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drawing>
          <wp:inline distT="0" distB="0" distL="0" distR="0">
            <wp:extent cx="5267325" cy="428625"/>
            <wp:effectExtent l="0" t="0" r="5715" b="133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267325" cy="428625"/>
                    </a:xfrm>
                    <a:prstGeom prst="rect">
                      <a:avLst/>
                    </a:prstGeom>
                    <a:noFill/>
                    <a:ln>
                      <a:noFill/>
                    </a:ln>
                  </pic:spPr>
                </pic:pic>
              </a:graphicData>
            </a:graphic>
          </wp:inline>
        </w:drawing>
      </w:r>
    </w:p>
    <w:p>
      <w:pPr>
        <w:pStyle w:val="41"/>
        <w:spacing w:line="400" w:lineRule="atLeast"/>
        <w:ind w:firstLine="960" w:firstLineChars="4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吸水率应符合下表规定：</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drawing>
          <wp:inline distT="0" distB="0" distL="0" distR="0">
            <wp:extent cx="5267325" cy="428625"/>
            <wp:effectExtent l="0" t="0" r="5715" b="1333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267325" cy="428625"/>
                    </a:xfrm>
                    <a:prstGeom prst="rect">
                      <a:avLst/>
                    </a:prstGeom>
                    <a:noFill/>
                    <a:ln>
                      <a:noFill/>
                    </a:ln>
                  </pic:spPr>
                </pic:pic>
              </a:graphicData>
            </a:graphic>
          </wp:inline>
        </w:drawing>
      </w:r>
    </w:p>
    <w:p>
      <w:pPr>
        <w:tabs>
          <w:tab w:val="left" w:pos="1190"/>
          <w:tab w:val="right" w:pos="8306"/>
        </w:tabs>
        <w:spacing w:line="560" w:lineRule="exac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碱集料反应：经碱集料反应试验后，试件应无裂缝、酥裂、胶体外溢等现象，在规定的试验龄期膨胀率应小于0.10％。</w:t>
      </w:r>
    </w:p>
    <w:p>
      <w:pPr>
        <w:pStyle w:val="41"/>
        <w:spacing w:line="400" w:lineRule="atLeast"/>
        <w:ind w:firstLine="482" w:firstLineChars="200"/>
        <w:outlineLvl w:val="1"/>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2、货物附件清单：</w:t>
      </w:r>
      <w:r>
        <w:rPr>
          <w:rFonts w:hint="eastAsia" w:ascii="仿宋_GB2312" w:hAnsi="仿宋_GB2312" w:eastAsia="仿宋_GB2312" w:cs="仿宋_GB2312"/>
          <w:color w:val="000000" w:themeColor="text1"/>
          <w:highlight w:val="none"/>
        </w:rPr>
        <w:t>乙方应按甲方要求在交货时提供货物附件清单：</w:t>
      </w:r>
      <w:r>
        <w:rPr>
          <w:rFonts w:hint="eastAsia" w:ascii="仿宋_GB2312" w:hAnsi="仿宋_GB2312" w:eastAsia="仿宋_GB2312" w:cs="仿宋_GB2312"/>
          <w:color w:val="000000" w:themeColor="text1"/>
          <w:highlight w:val="none"/>
          <w:u w:val="single"/>
        </w:rPr>
        <w:t>产品质量证明书、出厂合格证、产品检验报告、国家强制性产品认证书、产品质量免检证书、产品生产许可证、管理体系认证证书、装箱单、发货单等</w:t>
      </w:r>
      <w:r>
        <w:rPr>
          <w:rFonts w:hint="eastAsia" w:ascii="仿宋_GB2312" w:hAnsi="仿宋_GB2312" w:eastAsia="仿宋_GB2312" w:cs="仿宋_GB2312"/>
          <w:color w:val="auto"/>
          <w:highlight w:val="none"/>
          <w:u w:val="single"/>
          <w:lang w:val="en-US" w:eastAsia="zh-CN"/>
        </w:rPr>
        <w:t>以及</w:t>
      </w:r>
      <w:r>
        <w:rPr>
          <w:rFonts w:hint="eastAsia" w:ascii="仿宋_GB2312" w:hAnsi="仿宋_GB2312" w:eastAsia="仿宋_GB2312" w:cs="仿宋_GB2312"/>
          <w:color w:val="auto"/>
          <w:highlight w:val="none"/>
          <w:u w:val="single"/>
        </w:rPr>
        <w:t>甲方为完成计量、竣工资料等所需要的所有资料，并及时交送到甲方指定负责人处，乙方提供资料均需在有效期内。</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000000" w:themeColor="text1"/>
          <w:highlight w:val="none"/>
        </w:rPr>
        <w:t>，附件清单明确附件内容及份数同时加印乙方签章于收货时一并交由甲方核验，否则甲方不予办理收料手续。</w:t>
      </w:r>
    </w:p>
    <w:p>
      <w:pPr>
        <w:pStyle w:val="41"/>
        <w:spacing w:line="400" w:lineRule="atLeast"/>
        <w:ind w:firstLine="482" w:firstLineChars="200"/>
        <w:outlineLvl w:val="1"/>
        <w:rPr>
          <w:rFonts w:hint="eastAsia"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3、货物质量保修期：</w:t>
      </w:r>
    </w:p>
    <w:p>
      <w:pPr>
        <w:pStyle w:val="4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3.1</w:t>
      </w:r>
      <w:r>
        <w:rPr>
          <w:rFonts w:hint="eastAsia" w:ascii="仿宋_GB2312" w:hAnsi="仿宋_GB2312" w:eastAsia="仿宋_GB2312" w:cs="仿宋_GB2312"/>
          <w:color w:val="auto"/>
          <w:highlight w:val="none"/>
        </w:rPr>
        <w:t>质量保修期按下列第  3.</w:t>
      </w:r>
      <w:r>
        <w:rPr>
          <w:rFonts w:hint="eastAsia" w:ascii="仿宋_GB2312" w:hAnsi="仿宋_GB2312" w:eastAsia="仿宋_GB2312" w:cs="仿宋_GB2312"/>
          <w:color w:val="auto"/>
          <w:highlight w:val="none"/>
          <w:lang w:val="en-US" w:eastAsia="zh-CN"/>
        </w:rPr>
        <w:t>1.1</w:t>
      </w:r>
      <w:r>
        <w:rPr>
          <w:rFonts w:hint="eastAsia" w:ascii="仿宋_GB2312" w:hAnsi="仿宋_GB2312" w:eastAsia="仿宋_GB2312" w:cs="仿宋_GB2312"/>
          <w:color w:val="auto"/>
          <w:highlight w:val="none"/>
        </w:rPr>
        <w:t xml:space="preserve">  项执行（如货物明示或设计的质量保修期/缺陷责任期较长的，以较长者为准）：</w:t>
      </w:r>
    </w:p>
    <w:p>
      <w:pPr>
        <w:pStyle w:val="4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3.1</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质量保修期无</w:t>
      </w:r>
    </w:p>
    <w:p>
      <w:pPr>
        <w:pStyle w:val="4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2质量保修期为  /   个月，自货物进场验收合格之日起算；</w:t>
      </w:r>
    </w:p>
    <w:p>
      <w:pPr>
        <w:pStyle w:val="4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3质量保修期为      个月，从工程（送货地工程）竣工验收合格之日（以业主颁发竣工证书所载日期为准）起计算；</w:t>
      </w:r>
    </w:p>
    <w:p>
      <w:pPr>
        <w:pStyle w:val="41"/>
        <w:spacing w:line="400" w:lineRule="atLeast"/>
        <w:ind w:firstLine="482"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auto"/>
          <w:highlight w:val="none"/>
          <w:lang w:val="en-US" w:eastAsia="zh-CN"/>
        </w:rPr>
        <w:t>3.2</w:t>
      </w:r>
      <w:r>
        <w:rPr>
          <w:rFonts w:hint="eastAsia" w:ascii="仿宋_GB2312" w:hAnsi="仿宋_GB2312" w:eastAsia="仿宋_GB2312" w:cs="仿宋_GB2312"/>
          <w:color w:val="000000" w:themeColor="text1"/>
          <w:highlight w:val="none"/>
        </w:rPr>
        <w:t>货物质量保证期：按国家有关法律法规的规定，货物质量保证期为终身</w:t>
      </w:r>
      <w:r>
        <w:rPr>
          <w:rFonts w:hint="eastAsia" w:ascii="仿宋_GB2312" w:hAnsi="仿宋_GB2312" w:eastAsia="仿宋_GB2312" w:cs="仿宋_GB2312"/>
          <w:color w:val="000000" w:themeColor="text1"/>
          <w:highlight w:val="none"/>
          <w:lang w:eastAsia="zh-CN"/>
        </w:rPr>
        <w:t>。</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所有货物须保证满足现场使用要求，如货物在质量保修期内出现质量瑕疵或者缺陷的，由乙方按照甲方的时间要求免费维修或者更换，经甲方要求整改一次仍无法达到合同要求时，甲方可自行或委托第三方代为履行，并以实际发生费用从乙方的应付款中扣除。</w:t>
      </w:r>
    </w:p>
    <w:p>
      <w:pPr>
        <w:pStyle w:val="4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rPr>
      </w:pPr>
      <w:bookmarkStart w:id="95" w:name="_Toc12481"/>
      <w:bookmarkStart w:id="96" w:name="_Toc3621"/>
      <w:bookmarkStart w:id="97" w:name="_Toc22036"/>
      <w:r>
        <w:rPr>
          <w:rFonts w:hint="eastAsia" w:ascii="仿宋_GB2312" w:hAnsi="仿宋_GB2312" w:eastAsia="仿宋_GB2312" w:cs="仿宋_GB2312"/>
          <w:b/>
          <w:bCs/>
          <w:color w:val="000000" w:themeColor="text1"/>
          <w:highlight w:val="none"/>
        </w:rPr>
        <w:t>货物验收</w:t>
      </w:r>
      <w:bookmarkEnd w:id="95"/>
      <w:bookmarkEnd w:id="96"/>
      <w:bookmarkEnd w:id="97"/>
    </w:p>
    <w:p>
      <w:pPr>
        <w:pStyle w:val="41"/>
        <w:numPr>
          <w:ilvl w:val="0"/>
          <w:numId w:val="3"/>
        </w:numPr>
        <w:spacing w:line="400" w:lineRule="atLeast"/>
        <w:ind w:firstLine="482"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验收人员：</w:t>
      </w:r>
      <w:r>
        <w:rPr>
          <w:rFonts w:hint="eastAsia" w:ascii="仿宋_GB2312" w:hAnsi="仿宋_GB2312" w:eastAsia="仿宋_GB2312" w:cs="仿宋_GB2312"/>
          <w:color w:val="000000" w:themeColor="text1"/>
          <w:highlight w:val="none"/>
        </w:rPr>
        <w:t>货物进场需由甲方物资管理人员</w:t>
      </w:r>
      <w:r>
        <w:rPr>
          <w:rFonts w:hint="eastAsia" w:ascii="仿宋_GB2312" w:hAnsi="仿宋_GB2312" w:eastAsia="仿宋_GB2312" w:cs="仿宋_GB2312"/>
          <w:color w:val="000000" w:themeColor="text1"/>
          <w:highlight w:val="none"/>
          <w:lang w:eastAsia="zh-CN"/>
        </w:rPr>
        <w:t>（</w:t>
      </w:r>
      <w:r>
        <w:rPr>
          <w:rFonts w:hint="eastAsia" w:ascii="仿宋_GB2312" w:hAnsi="仿宋_GB2312" w:eastAsia="仿宋_GB2312" w:cs="仿宋_GB2312"/>
          <w:color w:val="000000" w:themeColor="text1"/>
          <w:highlight w:val="none"/>
          <w:lang w:val="en-US" w:eastAsia="zh-CN"/>
        </w:rPr>
        <w:t>不少于2人</w:t>
      </w:r>
      <w:r>
        <w:rPr>
          <w:rFonts w:hint="eastAsia" w:ascii="仿宋_GB2312" w:hAnsi="仿宋_GB2312" w:eastAsia="仿宋_GB2312" w:cs="仿宋_GB2312"/>
          <w:color w:val="000000" w:themeColor="text1"/>
          <w:highlight w:val="none"/>
          <w:lang w:eastAsia="zh-CN"/>
        </w:rPr>
        <w:t>）</w:t>
      </w:r>
      <w:r>
        <w:rPr>
          <w:rFonts w:hint="eastAsia" w:ascii="仿宋_GB2312" w:hAnsi="仿宋_GB2312" w:eastAsia="仿宋_GB2312" w:cs="仿宋_GB2312"/>
          <w:color w:val="000000" w:themeColor="text1"/>
          <w:highlight w:val="none"/>
        </w:rPr>
        <w:t>、</w:t>
      </w:r>
      <w:bookmarkStart w:id="98" w:name="_Hlk127189311"/>
      <w:r>
        <w:rPr>
          <w:rFonts w:hint="eastAsia" w:ascii="仿宋_GB2312" w:hAnsi="仿宋_GB2312" w:eastAsia="仿宋_GB2312" w:cs="仿宋_GB2312"/>
          <w:color w:val="000000" w:themeColor="text1"/>
          <w:highlight w:val="none"/>
        </w:rPr>
        <w:t>现场责任</w:t>
      </w:r>
      <w:bookmarkEnd w:id="98"/>
      <w:r>
        <w:rPr>
          <w:rFonts w:hint="eastAsia" w:ascii="仿宋_GB2312" w:hAnsi="仿宋_GB2312" w:eastAsia="仿宋_GB2312" w:cs="仿宋_GB2312"/>
          <w:color w:val="000000" w:themeColor="text1"/>
          <w:highlight w:val="none"/>
        </w:rPr>
        <w:t>工程师、分包单位和乙方发货联系人共同完成现场验收，现场验收不代表货物质量合格，质量是否合格需要进一步复核确定。</w:t>
      </w:r>
    </w:p>
    <w:p>
      <w:pPr>
        <w:pStyle w:val="41"/>
        <w:numPr>
          <w:ilvl w:val="0"/>
          <w:numId w:val="3"/>
        </w:numPr>
        <w:spacing w:line="400" w:lineRule="atLeast"/>
        <w:ind w:firstLine="482" w:firstLineChars="200"/>
        <w:jc w:val="both"/>
        <w:outlineLvl w:val="1"/>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验收方式：</w:t>
      </w:r>
      <w:r>
        <w:rPr>
          <w:rFonts w:hint="eastAsia" w:ascii="仿宋_GB2312" w:hAnsi="仿宋_GB2312" w:eastAsia="仿宋_GB2312" w:cs="仿宋_GB2312"/>
          <w:color w:val="000000" w:themeColor="text1"/>
          <w:highlight w:val="none"/>
          <w:u w:val="single"/>
        </w:rPr>
        <w:t>以智能地磅、云筑收验货系统为主要载体，结合视频监控系统，完成核对凭证、外观质量验收、数量验收和检测报告四步验收，甲方收货联系人出具收料单，甲方收货联系人及乙方发货联系人双方签字后视为验收完成。</w:t>
      </w:r>
    </w:p>
    <w:p>
      <w:pPr>
        <w:pStyle w:val="41"/>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数量验收：</w:t>
      </w:r>
    </w:p>
    <w:p>
      <w:pPr>
        <w:pStyle w:val="41"/>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rPr>
        <w:t>3.1数量验收方式：</w:t>
      </w:r>
      <w:r>
        <w:rPr>
          <w:rFonts w:hint="eastAsia" w:ascii="仿宋_GB2312" w:hAnsi="仿宋_GB2312" w:eastAsia="仿宋_GB2312" w:cs="仿宋_GB2312"/>
          <w:color w:val="000000" w:themeColor="text1"/>
          <w:highlight w:val="none"/>
        </w:rPr>
        <w:t>甲乙</w:t>
      </w:r>
      <w:r>
        <w:rPr>
          <w:rFonts w:hint="eastAsia" w:ascii="仿宋_GB2312" w:hAnsi="仿宋_GB2312" w:eastAsia="仿宋_GB2312" w:cs="仿宋_GB2312"/>
          <w:highlight w:val="none"/>
        </w:rPr>
        <w:t>双方在交货现场以□过磅</w:t>
      </w:r>
      <w:r>
        <w:rPr>
          <w:rFonts w:hint="eastAsia" w:ascii="仿宋_GB2312" w:hAnsi="仿宋_GB2312" w:eastAsia="仿宋_GB2312" w:cs="仿宋_GB2312"/>
          <w:highlight w:val="none"/>
          <w:lang w:val="en-US" w:eastAsia="zh-CN"/>
        </w:rPr>
        <w:t>/</w:t>
      </w:r>
      <w:r>
        <w:rPr>
          <w:rFonts w:hint="eastAsia" w:ascii="仿宋_GB2312" w:hAnsi="仿宋_GB2312" w:eastAsia="仿宋_GB2312" w:cs="仿宋_GB2312"/>
          <w:highlight w:val="none"/>
        </w:rPr>
        <w:t>□ 计件</w:t>
      </w:r>
      <w:r>
        <w:rPr>
          <w:rFonts w:hint="eastAsia" w:ascii="仿宋_GB2312" w:hAnsi="仿宋_GB2312" w:eastAsia="仿宋_GB2312" w:cs="仿宋_GB2312"/>
          <w:highlight w:val="none"/>
          <w:lang w:val="en-US" w:eastAsia="zh-CN"/>
        </w:rPr>
        <w:t>/</w:t>
      </w:r>
      <w:r>
        <w:rPr>
          <w:rFonts w:hint="eastAsia" w:ascii="仿宋_GB2312" w:hAnsi="仿宋_GB2312" w:eastAsia="仿宋_GB2312" w:cs="仿宋_GB2312"/>
          <w:highlight w:val="none"/>
        </w:rPr>
        <w:t>□ 检尺</w:t>
      </w:r>
      <w:r>
        <w:rPr>
          <w:rFonts w:hint="eastAsia" w:ascii="仿宋_GB2312" w:hAnsi="仿宋_GB2312" w:eastAsia="仿宋_GB2312" w:cs="仿宋_GB2312"/>
          <w:highlight w:val="none"/>
          <w:lang w:val="en-US" w:eastAsia="zh-CN"/>
        </w:rPr>
        <w:t>/</w:t>
      </w:r>
      <w:r>
        <w:rPr>
          <w:rFonts w:hint="eastAsia" w:ascii="仿宋_GB2312" w:hAnsi="仿宋_GB2312" w:eastAsia="仿宋_GB2312" w:cs="仿宋_GB2312"/>
          <w:highlight w:val="none"/>
        </w:rPr>
        <w:t>□ 其他计量方式</w:t>
      </w:r>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rPr>
        <w:t>方式进行数量验收，乙方应对在甲方工地现场的数量验收数据进行确认。</w:t>
      </w:r>
    </w:p>
    <w:p>
      <w:pPr>
        <w:pStyle w:val="41"/>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highlight w:val="none"/>
        </w:rPr>
        <w:t>3.2数量验收凭据：</w:t>
      </w:r>
      <w:r>
        <w:rPr>
          <w:rFonts w:hint="eastAsia" w:ascii="仿宋_GB2312" w:hAnsi="仿宋_GB2312" w:eastAsia="仿宋_GB2312" w:cs="仿宋_GB2312"/>
          <w:highlight w:val="none"/>
          <w:u w:val="none"/>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p>
    <w:p>
      <w:pPr>
        <w:pStyle w:val="41"/>
        <w:spacing w:line="400" w:lineRule="atLeast"/>
        <w:ind w:firstLine="482" w:firstLineChars="200"/>
        <w:rPr>
          <w:rFonts w:ascii="仿宋_GB2312" w:hAnsi="仿宋_GB2312" w:eastAsia="仿宋_GB2312" w:cs="仿宋_GB2312"/>
          <w:color w:val="000000" w:themeColor="text1"/>
          <w:highlight w:val="none"/>
          <w:u w:val="single"/>
        </w:rPr>
      </w:pPr>
      <w:r>
        <w:rPr>
          <w:rFonts w:hint="eastAsia" w:ascii="仿宋_GB2312" w:hAnsi="仿宋_GB2312" w:eastAsia="仿宋_GB2312" w:cs="仿宋_GB2312"/>
          <w:b/>
          <w:bCs/>
          <w:highlight w:val="none"/>
        </w:rPr>
        <w:t>3.3数量争议：</w:t>
      </w:r>
      <w:r>
        <w:rPr>
          <w:rFonts w:hint="eastAsia" w:ascii="仿宋_GB2312" w:hAnsi="仿宋_GB2312" w:eastAsia="仿宋_GB2312" w:cs="仿宋_GB2312"/>
          <w:color w:val="000000" w:themeColor="text1"/>
          <w:highlight w:val="none"/>
        </w:rPr>
        <w:t>甲方如有数量异议，应在收货后7天内提出，乙方应在3天内作出答复，未回复视为认可甲方验收数量。</w:t>
      </w:r>
    </w:p>
    <w:p>
      <w:pPr>
        <w:pStyle w:val="41"/>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质量验收：</w:t>
      </w:r>
    </w:p>
    <w:p>
      <w:pPr>
        <w:pStyle w:val="41"/>
        <w:spacing w:line="400" w:lineRule="atLeast"/>
        <w:ind w:firstLine="482" w:firstLineChars="200"/>
        <w:rPr>
          <w:rFonts w:ascii="仿宋_GB2312" w:hAnsi="仿宋_GB2312" w:eastAsia="仿宋_GB2312" w:cs="仿宋_GB2312"/>
          <w:color w:val="FF0000"/>
          <w:highlight w:val="none"/>
        </w:rPr>
      </w:pPr>
      <w:r>
        <w:rPr>
          <w:rFonts w:hint="eastAsia" w:ascii="仿宋_GB2312" w:hAnsi="仿宋_GB2312" w:eastAsia="仿宋_GB2312" w:cs="仿宋_GB2312"/>
          <w:b/>
          <w:bCs/>
          <w:color w:val="000000" w:themeColor="text1"/>
          <w:highlight w:val="none"/>
        </w:rPr>
        <w:t>4.1外观验收：</w:t>
      </w:r>
      <w:r>
        <w:rPr>
          <w:rFonts w:hint="eastAsia" w:ascii="仿宋_GB2312" w:hAnsi="仿宋_GB2312" w:eastAsia="仿宋_GB2312" w:cs="仿宋_GB2312"/>
          <w:color w:val="000000" w:themeColor="text1"/>
          <w:highlight w:val="none"/>
        </w:rPr>
        <w:t>甲方按照本合同约定的标准及乙方提交的货物附件清单中产品质量证明书等资料</w:t>
      </w:r>
      <w:r>
        <w:rPr>
          <w:rFonts w:hint="eastAsia" w:ascii="仿宋_GB2312" w:hAnsi="仿宋_GB2312" w:eastAsia="仿宋_GB2312" w:cs="仿宋_GB2312"/>
          <w:color w:val="000000" w:themeColor="text1"/>
          <w:highlight w:val="none"/>
          <w:lang w:val="en-US" w:eastAsia="zh-CN"/>
        </w:rPr>
        <w:t>经项目试验室取样检测合格，签字确认后</w:t>
      </w:r>
      <w:r>
        <w:rPr>
          <w:rFonts w:hint="eastAsia" w:ascii="仿宋_GB2312" w:hAnsi="仿宋_GB2312" w:eastAsia="仿宋_GB2312" w:cs="仿宋_GB2312"/>
          <w:color w:val="000000" w:themeColor="text1"/>
          <w:highlight w:val="none"/>
        </w:rPr>
        <w:t>方可卸车,否则不得卸车。</w:t>
      </w:r>
    </w:p>
    <w:p>
      <w:pPr>
        <w:pStyle w:val="41"/>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highlight w:val="none"/>
        </w:rPr>
        <w:t>4.2送样要求：</w:t>
      </w:r>
      <w:r>
        <w:rPr>
          <w:rFonts w:hint="eastAsia" w:ascii="仿宋_GB2312" w:hAnsi="仿宋_GB2312" w:eastAsia="仿宋_GB2312" w:cs="仿宋_GB2312"/>
          <w:highlight w:val="none"/>
        </w:rPr>
        <w:t>对于甲方要求提前送样的货物,乙方应按照甲方要求送审材料样品，样品送审内容包括但不限于材料样品本身，还包括提供样品材料的</w:t>
      </w:r>
      <w:r>
        <w:rPr>
          <w:rFonts w:hint="eastAsia" w:ascii="仿宋_GB2312" w:hAnsi="仿宋_GB2312" w:eastAsia="仿宋_GB2312" w:cs="仿宋_GB2312"/>
          <w:highlight w:val="none"/>
          <w:u w:val="single"/>
        </w:rPr>
        <w:t>质量、外观、品牌、商标、规格、型号、花色、标识、生产厂家、产品生产许可证、产品质量证明书、出厂合格证、产品检验报告</w:t>
      </w:r>
      <w:r>
        <w:rPr>
          <w:rFonts w:hint="eastAsia" w:ascii="仿宋_GB2312" w:hAnsi="仿宋_GB2312" w:eastAsia="仿宋_GB2312" w:cs="仿宋_GB2312"/>
          <w:highlight w:val="none"/>
        </w:rPr>
        <w:t>等相关的技术质量资料。一旦甲、乙双方签约后且材料的样品得到甲方、业主及监理认可并且封存样品后，未经甲方、业主及监理同意，乙方不得作任何变更。</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highlight w:val="none"/>
        </w:rPr>
        <w:t>正式交货时材料的相关技术质量资料应保持和样品一致，如所进材料和样品不一致，属乙方违约，</w:t>
      </w:r>
      <w:bookmarkStart w:id="99" w:name="_Hlk126833969"/>
      <w:r>
        <w:rPr>
          <w:rFonts w:hint="eastAsia" w:ascii="仿宋_GB2312" w:hAnsi="仿宋_GB2312" w:eastAsia="仿宋_GB2312" w:cs="仿宋_GB2312"/>
          <w:b/>
          <w:bCs/>
          <w:highlight w:val="none"/>
        </w:rPr>
        <w:t>乙方</w:t>
      </w:r>
      <w:r>
        <w:rPr>
          <w:rFonts w:hint="eastAsia" w:ascii="仿宋_GB2312" w:hAnsi="仿宋_GB2312" w:eastAsia="仿宋_GB2312" w:cs="仿宋_GB2312"/>
          <w:b/>
          <w:bCs/>
          <w:color w:val="auto"/>
          <w:highlight w:val="none"/>
        </w:rPr>
        <w:t>按合同第二部分第二条违约条款</w:t>
      </w:r>
      <w:r>
        <w:rPr>
          <w:rFonts w:hint="eastAsia" w:ascii="仿宋_GB2312" w:hAnsi="仿宋_GB2312" w:eastAsia="仿宋_GB2312" w:cs="仿宋_GB2312"/>
          <w:b/>
          <w:bCs/>
          <w:highlight w:val="none"/>
        </w:rPr>
        <w:t>承担违约责任，并赔偿由此给甲方带来的全部经济损失</w:t>
      </w:r>
      <w:bookmarkEnd w:id="99"/>
      <w:r>
        <w:rPr>
          <w:rFonts w:hint="eastAsia" w:ascii="仿宋_GB2312" w:hAnsi="仿宋_GB2312" w:eastAsia="仿宋_GB2312" w:cs="仿宋_GB2312"/>
          <w:color w:val="000000" w:themeColor="text1"/>
          <w:highlight w:val="none"/>
        </w:rPr>
        <w:t>。</w:t>
      </w:r>
    </w:p>
    <w:p>
      <w:pPr>
        <w:pStyle w:val="41"/>
        <w:spacing w:line="400" w:lineRule="atLeast"/>
        <w:ind w:firstLine="482"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4.3质量检测：</w:t>
      </w:r>
      <w:r>
        <w:rPr>
          <w:rFonts w:hint="eastAsia" w:ascii="仿宋_GB2312" w:hAnsi="仿宋_GB2312" w:eastAsia="仿宋_GB2312" w:cs="仿宋_GB2312"/>
          <w:color w:val="000000" w:themeColor="text1"/>
          <w:highlight w:val="none"/>
        </w:rPr>
        <w:t>货物应在</w:t>
      </w:r>
      <w:r>
        <w:rPr>
          <w:rFonts w:hint="eastAsia" w:ascii="仿宋_GB2312" w:hAnsi="仿宋_GB2312" w:eastAsia="仿宋_GB2312" w:cs="仿宋_GB2312"/>
          <w:color w:val="000000" w:themeColor="text1"/>
          <w:highlight w:val="none"/>
          <w:lang w:val="en-US" w:eastAsia="zh-CN"/>
        </w:rPr>
        <w:t>卸车</w:t>
      </w:r>
      <w:r>
        <w:rPr>
          <w:rFonts w:hint="eastAsia" w:ascii="仿宋_GB2312" w:hAnsi="仿宋_GB2312" w:eastAsia="仿宋_GB2312" w:cs="仿宋_GB2312"/>
          <w:color w:val="000000" w:themeColor="text1"/>
          <w:highlight w:val="none"/>
        </w:rPr>
        <w:t>前进行检测，待检测合格后方可</w:t>
      </w:r>
      <w:r>
        <w:rPr>
          <w:rFonts w:hint="eastAsia" w:ascii="仿宋_GB2312" w:hAnsi="仿宋_GB2312" w:eastAsia="仿宋_GB2312" w:cs="仿宋_GB2312"/>
          <w:color w:val="000000" w:themeColor="text1"/>
          <w:highlight w:val="none"/>
          <w:lang w:val="en-US" w:eastAsia="zh-CN"/>
        </w:rPr>
        <w:t>卸车</w:t>
      </w:r>
      <w:r>
        <w:rPr>
          <w:rFonts w:hint="eastAsia" w:ascii="仿宋_GB2312" w:hAnsi="仿宋_GB2312" w:eastAsia="仿宋_GB2312" w:cs="仿宋_GB2312"/>
          <w:color w:val="000000" w:themeColor="text1"/>
          <w:highlight w:val="none"/>
        </w:rPr>
        <w:t>；如检测不合格，由乙方负责在48小时内包退包换，并承担往来运输费、上下车的力资费及相应工期损失、经济损失。</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业主、监理、设计单位及甲方均有权随机抽样对货物进行第三方检测或测试，乙方有责任协助甲方完成相关测试工作，若供货材料抽样检测不合格，乙方应承担相应费用和损失。</w:t>
      </w:r>
    </w:p>
    <w:p>
      <w:pPr>
        <w:pStyle w:val="41"/>
        <w:spacing w:line="400" w:lineRule="atLeast"/>
        <w:ind w:firstLine="482"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4.4质量争议：</w:t>
      </w:r>
      <w:r>
        <w:rPr>
          <w:rFonts w:hint="eastAsia" w:ascii="仿宋_GB2312" w:hAnsi="仿宋_GB2312" w:eastAsia="仿宋_GB2312" w:cs="仿宋_GB2312"/>
          <w:color w:val="000000" w:themeColor="text1"/>
          <w:highlight w:val="none"/>
        </w:rPr>
        <w:t>货物如有质量异议，应在收货后7天向对方提出，乙方应在3天内作出答复，未回复视为认可货物质量瑕疵或缺陷。因质量发生争议，双方同意共同取样并送交</w:t>
      </w:r>
      <w:r>
        <w:rPr>
          <w:rFonts w:hint="eastAsia" w:ascii="仿宋_GB2312" w:hAnsi="仿宋_GB2312" w:eastAsia="仿宋_GB2312" w:cs="仿宋_GB2312"/>
          <w:color w:val="000000" w:themeColor="text1"/>
          <w:highlight w:val="none"/>
          <w:u w:val="single"/>
        </w:rPr>
        <w:t xml:space="preserve">   /  </w:t>
      </w:r>
      <w:r>
        <w:rPr>
          <w:rFonts w:hint="eastAsia" w:ascii="仿宋_GB2312" w:hAnsi="仿宋_GB2312" w:eastAsia="仿宋_GB2312" w:cs="仿宋_GB2312"/>
          <w:color w:val="000000" w:themeColor="text1"/>
          <w:highlight w:val="none"/>
        </w:rPr>
        <w:t>检测站进行检验，并以该机构的检验结果为准，因此而发生的费用由责任方承担。如出现不合格品，乙方应在甲方规定时间内包退包换，所发生的费用由乙方承担。</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pPr>
        <w:pStyle w:val="41"/>
        <w:spacing w:line="400" w:lineRule="atLeast"/>
        <w:ind w:firstLine="482"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4.5更换原则：</w:t>
      </w:r>
      <w:r>
        <w:rPr>
          <w:rFonts w:hint="eastAsia" w:ascii="仿宋_GB2312" w:hAnsi="仿宋_GB2312" w:eastAsia="仿宋_GB2312" w:cs="仿宋_GB2312"/>
          <w:color w:val="000000" w:themeColor="text1"/>
          <w:highlight w:val="none"/>
        </w:rPr>
        <w:t>由于任何一方原因引起产品更换或补发的时间延长,均以不影响工程进度为原则，如造成影响，则由责任方承担由此导致的后果。</w:t>
      </w:r>
    </w:p>
    <w:p>
      <w:pPr>
        <w:pStyle w:val="41"/>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rPr>
        <w:t>4.6验收责任：</w:t>
      </w:r>
      <w:r>
        <w:rPr>
          <w:rFonts w:hint="eastAsia" w:ascii="仿宋_GB2312" w:hAnsi="仿宋_GB2312" w:eastAsia="仿宋_GB2312" w:cs="仿宋_GB2312"/>
          <w:color w:val="000000" w:themeColor="text1"/>
          <w:highlight w:val="none"/>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hint="eastAsia" w:ascii="仿宋_GB2312" w:hAnsi="仿宋_GB2312" w:eastAsia="仿宋_GB2312" w:cs="仿宋_GB2312"/>
          <w:b/>
          <w:bCs/>
          <w:color w:val="000000" w:themeColor="text1"/>
          <w:highlight w:val="none"/>
        </w:rPr>
        <w:t>所造成的经济损失，甲方可直接从应付款中扣除，乙方对此不持异议。</w:t>
      </w:r>
      <w:r>
        <w:rPr>
          <w:rFonts w:hint="eastAsia" w:ascii="仿宋_GB2312" w:hAnsi="仿宋_GB2312" w:eastAsia="仿宋_GB2312" w:cs="仿宋_GB2312"/>
          <w:color w:val="000000" w:themeColor="text1"/>
          <w:highlight w:val="none"/>
        </w:rPr>
        <w:t>对于由该质量问题引起的工程坍塌、人员伤亡等重大事故，乙方应承担直接经济和法律责任。</w:t>
      </w:r>
      <w:r>
        <w:rPr>
          <w:rFonts w:hint="eastAsia" w:ascii="仿宋_GB2312" w:hAnsi="仿宋_GB2312" w:eastAsia="仿宋_GB2312" w:cs="仿宋_GB2312"/>
          <w:b/>
          <w:bCs/>
          <w:color w:val="000000" w:themeColor="text1"/>
          <w:highlight w:val="none"/>
        </w:rPr>
        <w:t>若由甲方先行承担的，甲方可在任何一笔</w:t>
      </w:r>
      <w:r>
        <w:rPr>
          <w:rFonts w:hint="eastAsia" w:ascii="仿宋_GB2312" w:hAnsi="仿宋_GB2312" w:eastAsia="仿宋_GB2312" w:cs="仿宋_GB2312"/>
          <w:b/>
          <w:bCs/>
          <w:color w:val="000000" w:themeColor="text1"/>
          <w:highlight w:val="none"/>
          <w:lang w:val="en-US" w:eastAsia="zh-CN"/>
        </w:rPr>
        <w:t>货</w:t>
      </w:r>
      <w:r>
        <w:rPr>
          <w:rFonts w:hint="eastAsia" w:ascii="仿宋_GB2312" w:hAnsi="仿宋_GB2312" w:eastAsia="仿宋_GB2312" w:cs="仿宋_GB2312"/>
          <w:b/>
          <w:bCs/>
          <w:color w:val="000000" w:themeColor="text1"/>
          <w:highlight w:val="none"/>
        </w:rPr>
        <w:t>款支付中予以扣除，乙方对此不持</w:t>
      </w:r>
      <w:r>
        <w:rPr>
          <w:rFonts w:hint="eastAsia" w:ascii="仿宋_GB2312" w:hAnsi="仿宋_GB2312" w:eastAsia="仿宋_GB2312" w:cs="仿宋_GB2312"/>
          <w:b/>
          <w:bCs/>
          <w:highlight w:val="none"/>
        </w:rPr>
        <w:t>异议。</w:t>
      </w:r>
    </w:p>
    <w:p>
      <w:pPr>
        <w:pStyle w:val="41"/>
        <w:spacing w:line="400" w:lineRule="atLeast"/>
        <w:ind w:firstLine="480" w:firstLineChars="200"/>
        <w:rPr>
          <w:rFonts w:hint="eastAsia" w:ascii="仿宋_GB2312" w:hAnsi="仿宋_GB2312" w:eastAsia="仿宋_GB2312" w:cs="仿宋_GB2312"/>
          <w:b w:val="0"/>
          <w:bCs w:val="0"/>
          <w:color w:val="000000" w:themeColor="text1"/>
          <w:highlight w:val="none"/>
        </w:rPr>
      </w:pPr>
      <w:bookmarkStart w:id="100" w:name="_Toc23953"/>
      <w:bookmarkStart w:id="101" w:name="_Toc24231"/>
      <w:bookmarkStart w:id="102" w:name="_Toc22166"/>
      <w:r>
        <w:rPr>
          <w:rFonts w:hint="eastAsia" w:ascii="仿宋_GB2312" w:hAnsi="仿宋_GB2312" w:eastAsia="仿宋_GB2312" w:cs="仿宋_GB2312"/>
          <w:b w:val="0"/>
          <w:bCs w:val="0"/>
          <w:color w:val="000000" w:themeColor="text1"/>
          <w:highlight w:val="none"/>
          <w:lang w:val="en-US" w:eastAsia="zh-CN"/>
        </w:rPr>
        <w:t>4.7</w:t>
      </w:r>
      <w:r>
        <w:rPr>
          <w:rFonts w:hint="eastAsia" w:ascii="仿宋_GB2312" w:hAnsi="仿宋_GB2312" w:eastAsia="仿宋_GB2312" w:cs="仿宋_GB2312"/>
          <w:b w:val="0"/>
          <w:bCs w:val="0"/>
          <w:color w:val="000000" w:themeColor="text1"/>
          <w:highlight w:val="none"/>
        </w:rPr>
        <w:t>对于工程中的剩余或未使用到的货物在不严重影响外观、质量和功能的情况下甲方有权退货，退货原则上以合同约定的含税单价为准，确因商品特殊的（比如定制等），价格双方协商，协商不一致的，按照</w:t>
      </w:r>
      <w:r>
        <w:rPr>
          <w:rFonts w:hint="eastAsia" w:ascii="仿宋_GB2312" w:hAnsi="仿宋_GB2312" w:eastAsia="仿宋_GB2312" w:cs="仿宋_GB2312"/>
          <w:b w:val="0"/>
          <w:bCs w:val="0"/>
          <w:color w:val="000000" w:themeColor="text1"/>
          <w:highlight w:val="none"/>
          <w:lang w:eastAsia="zh-CN"/>
        </w:rPr>
        <w:t xml:space="preserve">合同含税单价的 </w:t>
      </w:r>
      <w:r>
        <w:rPr>
          <w:rFonts w:hint="eastAsia" w:ascii="仿宋_GB2312" w:hAnsi="仿宋_GB2312" w:eastAsia="仿宋_GB2312" w:cs="仿宋_GB2312"/>
          <w:b/>
          <w:bCs/>
          <w:color w:val="000000" w:themeColor="text1"/>
          <w:highlight w:val="none"/>
          <w:u w:val="single"/>
        </w:rPr>
        <w:t xml:space="preserve"> </w:t>
      </w:r>
      <w:r>
        <w:rPr>
          <w:rFonts w:hint="eastAsia" w:ascii="仿宋_GB2312" w:hAnsi="仿宋_GB2312" w:eastAsia="仿宋_GB2312" w:cs="仿宋_GB2312"/>
          <w:b/>
          <w:bCs/>
          <w:color w:val="000000" w:themeColor="text1"/>
          <w:highlight w:val="none"/>
          <w:u w:val="single"/>
          <w:lang w:val="en-US" w:eastAsia="zh-CN"/>
        </w:rPr>
        <w:t xml:space="preserve"> </w:t>
      </w:r>
      <w:r>
        <w:rPr>
          <w:rFonts w:hint="eastAsia" w:ascii="仿宋_GB2312" w:hAnsi="仿宋_GB2312" w:eastAsia="仿宋_GB2312" w:cs="仿宋_GB2312"/>
          <w:b/>
          <w:bCs/>
          <w:color w:val="000000" w:themeColor="text1"/>
          <w:highlight w:val="none"/>
          <w:u w:val="single"/>
        </w:rPr>
        <w:t xml:space="preserve"> </w:t>
      </w:r>
      <w:r>
        <w:rPr>
          <w:rFonts w:hint="eastAsia" w:ascii="仿宋_GB2312" w:hAnsi="仿宋_GB2312" w:eastAsia="仿宋_GB2312" w:cs="仿宋_GB2312"/>
          <w:b w:val="0"/>
          <w:bCs w:val="0"/>
          <w:color w:val="000000" w:themeColor="text1"/>
          <w:highlight w:val="none"/>
        </w:rPr>
        <w:t>%退货，退货数量以实际数量为准。</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4.</w:t>
      </w:r>
      <w:r>
        <w:rPr>
          <w:rFonts w:hint="eastAsia" w:ascii="仿宋_GB2312" w:hAnsi="仿宋_GB2312" w:eastAsia="仿宋_GB2312" w:cs="仿宋_GB2312"/>
          <w:color w:val="000000" w:themeColor="text1"/>
          <w:highlight w:val="none"/>
          <w:lang w:val="en-US" w:eastAsia="zh-CN"/>
        </w:rPr>
        <w:t>8</w:t>
      </w:r>
      <w:r>
        <w:rPr>
          <w:rFonts w:hint="eastAsia" w:ascii="仿宋_GB2312" w:hAnsi="仿宋_GB2312" w:eastAsia="仿宋_GB2312" w:cs="仿宋_GB2312"/>
          <w:color w:val="000000" w:themeColor="text1"/>
          <w:highlight w:val="none"/>
        </w:rPr>
        <w:t>其他：</w:t>
      </w:r>
      <w:r>
        <w:rPr>
          <w:rFonts w:hint="eastAsia" w:ascii="仿宋_GB2312" w:hAnsi="仿宋_GB2312" w:eastAsia="仿宋_GB2312" w:cs="仿宋_GB2312"/>
          <w:b/>
          <w:bCs/>
          <w:color w:val="000000" w:themeColor="text1"/>
          <w:highlight w:val="none"/>
          <w:u w:val="single"/>
        </w:rPr>
        <w:t xml:space="preserve"> </w:t>
      </w:r>
      <w:r>
        <w:rPr>
          <w:rFonts w:hint="eastAsia" w:ascii="仿宋_GB2312" w:hAnsi="仿宋_GB2312" w:eastAsia="仿宋_GB2312" w:cs="仿宋_GB2312"/>
          <w:color w:val="000000" w:themeColor="text1"/>
          <w:highlight w:val="none"/>
          <w:u w:val="single"/>
        </w:rPr>
        <w:t>/</w:t>
      </w:r>
      <w:r>
        <w:rPr>
          <w:rFonts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w:t>
      </w:r>
    </w:p>
    <w:p>
      <w:pPr>
        <w:pStyle w:val="4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货物结算</w:t>
      </w:r>
      <w:bookmarkEnd w:id="100"/>
      <w:bookmarkEnd w:id="101"/>
      <w:bookmarkEnd w:id="102"/>
    </w:p>
    <w:p>
      <w:pPr>
        <w:pStyle w:val="41"/>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结算周期：</w:t>
      </w:r>
    </w:p>
    <w:p>
      <w:pPr>
        <w:pStyle w:val="41"/>
        <w:spacing w:line="400" w:lineRule="atLeast"/>
        <w:ind w:firstLine="480" w:firstLineChars="200"/>
        <w:jc w:val="both"/>
        <w:rPr>
          <w:rFonts w:ascii="仿宋_GB2312" w:hAnsi="仿宋_GB2312" w:eastAsia="仿宋_GB2312" w:cs="仿宋_GB2312"/>
          <w:b/>
          <w:bCs/>
          <w:color w:val="000000" w:themeColor="text1"/>
          <w:highlight w:val="none"/>
        </w:rPr>
      </w:pPr>
      <w:r>
        <w:rPr>
          <w:rFonts w:hint="eastAsia" w:ascii="仿宋_GB2312" w:hAnsi="仿宋_GB2312" w:eastAsia="仿宋_GB2312" w:cs="仿宋_GB2312"/>
          <w:color w:val="000000" w:themeColor="text1"/>
          <w:highlight w:val="none"/>
        </w:rPr>
        <w:t>乙方每月</w:t>
      </w:r>
      <w:r>
        <w:rPr>
          <w:rFonts w:hint="eastAsia" w:ascii="仿宋_GB2312" w:hAnsi="仿宋_GB2312" w:eastAsia="仿宋_GB2312" w:cs="仿宋_GB2312"/>
          <w:color w:val="000000" w:themeColor="text1"/>
          <w:highlight w:val="none"/>
          <w:u w:val="single"/>
        </w:rPr>
        <w:t>16日</w:t>
      </w:r>
      <w:r>
        <w:rPr>
          <w:rFonts w:hint="eastAsia" w:ascii="仿宋_GB2312" w:hAnsi="仿宋_GB2312" w:eastAsia="仿宋_GB2312" w:cs="仿宋_GB2312"/>
          <w:color w:val="000000" w:themeColor="text1"/>
          <w:highlight w:val="none"/>
        </w:rPr>
        <w:t>与甲方核对上月</w:t>
      </w:r>
      <w:r>
        <w:rPr>
          <w:rFonts w:hint="eastAsia" w:ascii="仿宋_GB2312" w:hAnsi="仿宋_GB2312" w:eastAsia="仿宋_GB2312" w:cs="仿宋_GB2312"/>
          <w:color w:val="000000" w:themeColor="text1"/>
          <w:highlight w:val="none"/>
          <w:u w:val="single"/>
        </w:rPr>
        <w:t>16日</w:t>
      </w:r>
      <w:r>
        <w:rPr>
          <w:rFonts w:hint="eastAsia" w:ascii="仿宋_GB2312" w:hAnsi="仿宋_GB2312" w:eastAsia="仿宋_GB2312" w:cs="仿宋_GB2312"/>
          <w:color w:val="000000" w:themeColor="text1"/>
          <w:highlight w:val="none"/>
        </w:rPr>
        <w:t>至本月</w:t>
      </w:r>
      <w:r>
        <w:rPr>
          <w:rFonts w:hint="eastAsia" w:ascii="仿宋_GB2312" w:hAnsi="仿宋_GB2312" w:eastAsia="仿宋_GB2312" w:cs="仿宋_GB2312"/>
          <w:color w:val="000000" w:themeColor="text1"/>
          <w:highlight w:val="none"/>
          <w:u w:val="single"/>
        </w:rPr>
        <w:t>15日</w:t>
      </w:r>
      <w:r>
        <w:rPr>
          <w:rFonts w:hint="eastAsia" w:ascii="仿宋_GB2312" w:hAnsi="仿宋_GB2312" w:eastAsia="仿宋_GB2312" w:cs="仿宋_GB2312"/>
          <w:color w:val="000000" w:themeColor="text1"/>
          <w:highlight w:val="none"/>
        </w:rPr>
        <w:t>所供材料数量，并办理完结算手续。</w:t>
      </w:r>
      <w:r>
        <w:rPr>
          <w:rFonts w:hint="eastAsia" w:ascii="仿宋_GB2312" w:hAnsi="仿宋_GB2312" w:eastAsia="仿宋_GB2312" w:cs="仿宋_GB2312"/>
          <w:b/>
          <w:bCs/>
          <w:color w:val="000000" w:themeColor="text1"/>
          <w:highlight w:val="none"/>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pPr>
        <w:pStyle w:val="41"/>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结算流程：</w:t>
      </w:r>
    </w:p>
    <w:p>
      <w:pPr>
        <w:pStyle w:val="41"/>
        <w:numPr>
          <w:ilvl w:val="255"/>
          <w:numId w:val="0"/>
        </w:numPr>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双方结算分为过程结算及最终结算。过程结算按下表流程进行。最终结算于供货完成、验收合格且未出现任何质量问题后一个月内办理，最终结算需附物资买卖合同结算协议书。</w:t>
      </w:r>
    </w:p>
    <w:p>
      <w:pPr>
        <w:pStyle w:val="41"/>
        <w:numPr>
          <w:ilvl w:val="0"/>
          <w:numId w:val="4"/>
        </w:numPr>
        <w:spacing w:line="400" w:lineRule="atLeast"/>
        <w:ind w:firstLine="482"/>
        <w:jc w:val="both"/>
        <w:rPr>
          <w:rFonts w:ascii="仿宋_GB2312" w:hAnsi="仿宋_GB2312" w:eastAsia="仿宋_GB2312" w:cs="仿宋_GB2312"/>
          <w:b/>
          <w:bCs/>
          <w:color w:val="000000" w:themeColor="text1"/>
          <w:highlight w:val="none"/>
        </w:rPr>
      </w:pPr>
      <w:r>
        <w:rPr>
          <w:rFonts w:hint="eastAsia" w:ascii="仿宋_GB2312" w:hAnsi="仿宋_GB2312" w:eastAsia="仿宋_GB2312" w:cs="仿宋_GB2312"/>
          <w:color w:val="000000" w:themeColor="text1"/>
          <w:highlight w:val="none"/>
        </w:rPr>
        <w:pict>
          <v:group id="组合 9" o:spid="_x0000_s1035" o:spt="203" style="position:absolute;left:0pt;margin-left:-0.95pt;margin-top:8pt;height:95.3pt;width:400pt;mso-wrap-distance-bottom:0pt;mso-wrap-distance-top:0pt;z-index:251664384;mso-width-relative:page;mso-height-relative:page;" coordorigin="2064,142451" coordsize="8000,1906" o:gfxdata="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LKEmJjZAAAACQEAAA8AAAAAAAAA&#10;AQAgAAAAIgAAAGRycy9kb3ducmV2LnhtbFBLAQIUABQAAAAIAIdO4kC3tYjQ9QQAAM4WAAAOAAAA&#10;AAAAAAEAIAAAACgBAABkcnMvZTJvRG9jLnhtbFBLBQYAAAAABgAGAFkBAACPCAAAAAA=&#10;">
            <o:lock v:ext="edit" aspectratio="f"/>
            <v:group id="组合 5" o:spid="_x0000_s1031" o:spt="203" style="position:absolute;left:2064;top:142451;height:1907;width:8000;" coordorigin="4638,144974" coordsize="8000,2118"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shape id="_x0000_s1027" o:spid="_x0000_s1027" o:spt="202" type="#_x0000_t202" style="position:absolute;left:4655;top:144974;height:865;width:3492;" fillcolor="#FFFFFF"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path/>
                <v:fill on="t" focussize="0,0"/>
                <v:stroke weight="0.5pt" color="#000000" joinstyle="round"/>
                <v:imagedata o:title=""/>
                <o:lock v:ext="edit" aspectratio="f"/>
                <v:textbox>
                  <w:txbxContent>
                    <w:p>
                      <w:pPr>
                        <w:pStyle w:val="41"/>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v:textbox>
              </v:shape>
              <v:shape id="文本框 6" o:spid="_x0000_s1028" o:spt="202" type="#_x0000_t202" style="position:absolute;left:8740;top:144974;height:825;width:3898;" fillcolor="#FFFFFF"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path/>
                <v:fill on="t" focussize="0,0"/>
                <v:stroke weight="0.5pt" color="#000000" joinstyle="round"/>
                <v:imagedata o:title=""/>
                <o:lock v:ext="edit" aspectratio="f"/>
                <v:textbox>
                  <w:txbxContent>
                    <w:p>
                      <w:pPr>
                        <w:pStyle w:val="41"/>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pPr>
                        <w:pStyle w:val="41"/>
                        <w:outlineLvl w:val="0"/>
                        <w:rPr>
                          <w:rFonts w:ascii="仿宋_GB2312" w:hAnsi="仿宋_GB2312" w:eastAsia="仿宋_GB2312" w:cs="仿宋_GB2312"/>
                        </w:rPr>
                      </w:pPr>
                    </w:p>
                  </w:txbxContent>
                </v:textbox>
              </v:shape>
              <v:shape id="文本框 8" o:spid="_x0000_s1029" o:spt="202" type="#_x0000_t202" style="position:absolute;left:4638;top:145859;height:1233;width:3507;" fillcolor="#FFFFFF"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path/>
                <v:fill on="t" focussize="0,0"/>
                <v:stroke weight="0.5pt" color="#000000" joinstyle="round"/>
                <v:imagedata o:title=""/>
                <o:lock v:ext="edit" aspectratio="f"/>
                <v:textbox>
                  <w:txbxContent>
                    <w:p>
                      <w:pPr>
                        <w:pStyle w:val="41"/>
                        <w:outlineLvl w:val="0"/>
                        <w:rPr>
                          <w:rFonts w:ascii="仿宋_GB2312" w:hAnsi="仿宋_GB2312" w:eastAsia="仿宋_GB2312" w:cs="仿宋_GB2312"/>
                        </w:rPr>
                      </w:pPr>
                      <w:r>
                        <w:rPr>
                          <w:rFonts w:hint="eastAsia" w:ascii="仿宋_GB2312" w:hAnsi="仿宋_GB2312" w:eastAsia="仿宋_GB2312" w:cs="仿宋_GB2312"/>
                        </w:rPr>
                        <w:t>4</w:t>
                      </w:r>
                      <w:r>
                        <w:rPr>
                          <w:rFonts w:hint="eastAsia" w:ascii="仿宋_GB2312" w:hAnsi="仿宋_GB2312" w:eastAsia="仿宋_GB2312" w:cs="仿宋_GB2312"/>
                          <w:highlight w:val="none"/>
                        </w:rPr>
                        <w:t>.甲方公司复核结算，复核完成后按比例支付结算款</w:t>
                      </w:r>
                    </w:p>
                  </w:txbxContent>
                </v:textbox>
              </v:shape>
              <v:shape id="文本框 11" o:spid="_x0000_s1030" o:spt="202" type="#_x0000_t202" style="position:absolute;left:8706;top:145858;height:1218;width:3927;" fillcolor="#FFFFFF" filled="t" stroked="t" coordsize="21600,21600" o:gfxdata="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cUb/JtAAAANsAAAAPAAAA&#10;AAAAAAEAIAAAACIAAABkcnMvZG93bnJldi54bWxQSwECFAAUAAAACACHTuJAMy8FnjsAAAA5AAAA&#10;EAAAAAAAAAABACAAAAADAQAAZHJzL3NoYXBleG1sLnhtbFBLBQYAAAAABgAGAFsBAACtAwAAAAA=&#10;">
                <v:path/>
                <v:fill on="t" focussize="0,0"/>
                <v:stroke weight="0.5pt" color="#000000" joinstyle="round"/>
                <v:imagedata o:title=""/>
                <o:lock v:ext="edit" aspectratio="f"/>
                <v:textbox>
                  <w:txbxContent>
                    <w:p>
                      <w:pPr>
                        <w:pStyle w:val="41"/>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v:textbox>
              </v:shape>
            </v:group>
            <v:shape id="肘形连接符 2" o:spid="_x0000_s1032" o:spt="34" type="#_x0000_t34" style="position:absolute;left:10059;top:142690;flip:x;height:973;width:5;" filled="f" stroked="t" coordsize="21600,21600" o:gfxdata="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zDTc7sAAADb&#10;AAAADwAAAAAAAAABACAAAAAiAAAAZHJzL2Rvd25yZXYueG1sUEsBAhQAFAAAAAgAh07iQDMvBZ47&#10;AAAAOQAAABAAAAAAAAAAAQAgAAAACgEAAGRycy9zaGFwZXhtbC54bWxQSwUGAAAAAAYABgBbAQAA&#10;tAMAAAAA&#10;" adj="-1620000">
              <v:path arrowok="t"/>
              <v:fill on="f" focussize="0,0"/>
              <v:stroke color="#000000" joinstyle="round" startarrow="open" endarrow="open"/>
              <v:imagedata o:title=""/>
              <o:lock v:ext="edit" aspectratio="f"/>
            </v:shape>
            <v:shape id="直接箭头连接符 4" o:spid="_x0000_s1033" o:spt="32" type="#_x0000_t32" style="position:absolute;left:5573;top:142689;height:1;width:593;" filled="f" stroked="t" coordsize="21600,21600" o:gfxdata="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XvHR7sAAADb&#10;AAAADwAAAAAAAAABACAAAAAiAAAAZHJzL2Rvd25yZXYueG1sUEsBAhQAFAAAAAgAh07iQDMvBZ47&#10;AAAAOQAAABAAAAAAAAAAAQAgAAAACgEAAGRycy9zaGFwZXhtbC54bWxQSwUGAAAAAAYABgBbAQAA&#10;tAMAAAAA&#10;">
              <v:path arrowok="t"/>
              <v:fill on="f" focussize="0,0"/>
              <v:stroke color="#000000" joinstyle="round" endarrow="open"/>
              <v:imagedata o:title=""/>
              <o:lock v:ext="edit" aspectratio="f"/>
            </v:shape>
            <v:shape id="直接箭头连接符 7" o:spid="_x0000_s1034" o:spt="32" type="#_x0000_t32" style="position:absolute;left:5571;top:143663;flip:x;height:7;width:561;" filled="f" stroked="t" coordsize="21600,21600" o:gfxdata="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QlgvvQAA&#10;ANsAAAAPAAAAAAAAAAEAIAAAACIAAABkcnMvZG93bnJldi54bWxQSwECFAAUAAAACACHTuJAMy8F&#10;njsAAAA5AAAAEAAAAAAAAAABACAAAAAMAQAAZHJzL3NoYXBleG1sLnhtbFBLBQYAAAAABgAGAFsB&#10;AAC2AwAAAAA=&#10;">
              <v:path arrowok="t"/>
              <v:fill on="f" focussize="0,0"/>
              <v:stroke color="#000000" joinstyle="round" endarrow="open"/>
              <v:imagedata o:title=""/>
              <o:lock v:ext="edit" aspectratio="f"/>
            </v:shape>
            <w10:wrap type="topAndBottom"/>
          </v:group>
        </w:pict>
      </w:r>
      <w:r>
        <w:rPr>
          <w:rFonts w:hint="eastAsia" w:ascii="仿宋_GB2312" w:hAnsi="仿宋_GB2312" w:eastAsia="仿宋_GB2312" w:cs="仿宋_GB2312"/>
          <w:b/>
          <w:bCs/>
          <w:color w:val="000000" w:themeColor="text1"/>
          <w:highlight w:val="none"/>
        </w:rPr>
        <w:t>增值税专用发票：</w:t>
      </w:r>
    </w:p>
    <w:p>
      <w:pPr>
        <w:pStyle w:val="41"/>
        <w:spacing w:line="400" w:lineRule="atLeast"/>
        <w:ind w:firstLine="482" w:firstLineChars="200"/>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3.1增值税票要求：</w:t>
      </w:r>
    </w:p>
    <w:p>
      <w:pPr>
        <w:pStyle w:val="41"/>
        <w:spacing w:line="400" w:lineRule="atLeast"/>
        <w:ind w:firstLine="482"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3.1.1税票信息：</w:t>
      </w:r>
      <w:r>
        <w:rPr>
          <w:rFonts w:hint="eastAsia" w:ascii="仿宋_GB2312" w:hAnsi="仿宋_GB2312" w:eastAsia="仿宋_GB2312" w:cs="仿宋_GB2312"/>
          <w:color w:val="000000" w:themeColor="text1"/>
          <w:highlight w:val="none"/>
        </w:rPr>
        <w:t>乙方应按甲方要求提供以其本单位名义开具，适用</w:t>
      </w:r>
      <w:r>
        <w:rPr>
          <w:rFonts w:hint="eastAsia" w:ascii="仿宋_GB2312" w:hAnsi="仿宋_GB2312" w:eastAsia="仿宋_GB2312" w:cs="仿宋_GB2312"/>
          <w:color w:val="000000" w:themeColor="text1"/>
          <w:highlight w:val="none"/>
          <w:u w:val="single"/>
        </w:rPr>
        <w:t xml:space="preserve"> 3％/13 ％</w:t>
      </w:r>
      <w:r>
        <w:rPr>
          <w:rFonts w:hint="eastAsia" w:ascii="仿宋_GB2312" w:hAnsi="仿宋_GB2312" w:eastAsia="仿宋_GB2312" w:cs="仿宋_GB2312"/>
          <w:color w:val="000000" w:themeColor="text1"/>
          <w:highlight w:val="none"/>
        </w:rPr>
        <w:t>税率的增值税专用发票，开具金额需与结算金额一致，并加盖与本合同中乙方名称一致的发票专用章（如税务部门要求合同、发票等备案登记的，乙方承担相关费用并办理相关手续）。</w:t>
      </w:r>
    </w:p>
    <w:p>
      <w:pPr>
        <w:pStyle w:val="41"/>
        <w:spacing w:line="400" w:lineRule="atLeast"/>
        <w:ind w:firstLine="482"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3.1.2计税方式：</w:t>
      </w:r>
      <w:r>
        <w:rPr>
          <w:rFonts w:hint="eastAsia" w:ascii="仿宋_GB2312" w:hAnsi="仿宋_GB2312" w:eastAsia="仿宋_GB2312" w:cs="仿宋_GB2312"/>
          <w:color w:val="000000" w:themeColor="text1"/>
          <w:highlight w:val="none"/>
        </w:rPr>
        <w:t>本合同所涉应税行为计税方法为</w:t>
      </w:r>
      <w:r>
        <w:rPr>
          <w:rFonts w:hint="eastAsia" w:ascii="仿宋_GB2312" w:hAnsi="仿宋_GB2312" w:eastAsia="仿宋_GB2312" w:cs="仿宋_GB2312"/>
          <w:color w:val="000000" w:themeColor="text1"/>
          <w:highlight w:val="none"/>
          <w:u w:val="single"/>
        </w:rPr>
        <w:t xml:space="preserve"> 一般计税方法 </w:t>
      </w:r>
      <w:r>
        <w:rPr>
          <w:rFonts w:hint="eastAsia" w:ascii="仿宋_GB2312" w:hAnsi="仿宋_GB2312" w:eastAsia="仿宋_GB2312" w:cs="仿宋_GB2312"/>
          <w:color w:val="000000" w:themeColor="text1"/>
          <w:highlight w:val="none"/>
        </w:rPr>
        <w:t>。</w:t>
      </w:r>
    </w:p>
    <w:p>
      <w:pPr>
        <w:pStyle w:val="41"/>
        <w:spacing w:line="400" w:lineRule="atLeast"/>
        <w:ind w:firstLine="482" w:firstLineChars="200"/>
        <w:jc w:val="both"/>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3.1.3税票金额：</w:t>
      </w:r>
      <w:r>
        <w:rPr>
          <w:rFonts w:hint="eastAsia" w:ascii="仿宋_GB2312" w:hAnsi="仿宋_GB2312" w:eastAsia="仿宋_GB2312" w:cs="仿宋_GB2312"/>
          <w:color w:val="000000" w:themeColor="text1"/>
          <w:highlight w:val="none"/>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103" w:name="_Hlk126834051"/>
      <w:r>
        <w:rPr>
          <w:rFonts w:hint="eastAsia" w:ascii="仿宋_GB2312" w:hAnsi="仿宋_GB2312" w:eastAsia="仿宋_GB2312" w:cs="仿宋_GB2312"/>
          <w:b/>
          <w:bCs/>
          <w:color w:val="000000" w:themeColor="text1"/>
          <w:highlight w:val="none"/>
        </w:rPr>
        <w:t>如乙方未提供发票或提供发票不合规、不及时、无法认证，甲方有权拒绝付款，且不视为甲方付款逾期，乙方无权要求甲方支付利息、违约金或赔偿损失。</w:t>
      </w:r>
    </w:p>
    <w:bookmarkEnd w:id="103"/>
    <w:p>
      <w:pPr>
        <w:pStyle w:val="41"/>
        <w:spacing w:line="400" w:lineRule="atLeast"/>
        <w:ind w:firstLine="482"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3.1.4税率变化：</w:t>
      </w:r>
      <w:r>
        <w:rPr>
          <w:rFonts w:hint="eastAsia" w:ascii="仿宋_GB2312" w:hAnsi="仿宋_GB2312" w:eastAsia="仿宋_GB2312" w:cs="仿宋_GB2312"/>
          <w:color w:val="000000" w:themeColor="text1"/>
          <w:highlight w:val="none"/>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pPr>
        <w:pStyle w:val="41"/>
        <w:spacing w:line="400" w:lineRule="atLeast"/>
        <w:ind w:firstLine="482"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3.2 税票丢失：</w:t>
      </w:r>
      <w:r>
        <w:rPr>
          <w:rFonts w:hint="eastAsia" w:ascii="仿宋_GB2312" w:hAnsi="仿宋_GB2312" w:eastAsia="仿宋_GB2312" w:cs="仿宋_GB2312"/>
          <w:color w:val="000000" w:themeColor="text1"/>
          <w:highlight w:val="none"/>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pPr>
        <w:pStyle w:val="41"/>
        <w:spacing w:line="400" w:lineRule="atLeast"/>
        <w:ind w:firstLine="482" w:firstLineChars="200"/>
        <w:rPr>
          <w:rFonts w:hint="eastAsia"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3.3税务信息：</w:t>
      </w:r>
    </w:p>
    <w:tbl>
      <w:tblPr>
        <w:tblStyle w:val="3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4" w:type="dxa"/>
            <w:vMerge w:val="restart"/>
            <w:tcBorders>
              <w:top w:val="single" w:color="auto" w:sz="12" w:space="0"/>
              <w:left w:val="single" w:color="auto" w:sz="12" w:space="0"/>
            </w:tcBorders>
            <w:vAlign w:val="center"/>
          </w:tcPr>
          <w:p>
            <w:pPr>
              <w:snapToGrid w:val="0"/>
              <w:spacing w:line="400" w:lineRule="atLeast"/>
              <w:contextualSpacing/>
              <w:jc w:val="center"/>
              <w:rPr>
                <w:rFonts w:ascii="仿宋_GB2312" w:hAnsi="仿宋_GB2312" w:eastAsia="仿宋_GB2312" w:cs="仿宋_GB2312"/>
                <w:b/>
                <w:color w:val="000000" w:themeColor="text1"/>
                <w:sz w:val="24"/>
                <w:szCs w:val="24"/>
                <w:highlight w:val="none"/>
              </w:rPr>
            </w:pPr>
            <w:r>
              <w:rPr>
                <w:rFonts w:hint="eastAsia" w:ascii="仿宋_GB2312" w:hAnsi="仿宋_GB2312" w:eastAsia="仿宋_GB2312" w:cs="仿宋_GB2312"/>
                <w:b/>
                <w:color w:val="000000" w:themeColor="text1"/>
                <w:sz w:val="24"/>
                <w:szCs w:val="24"/>
                <w:highlight w:val="none"/>
              </w:rPr>
              <w:t>甲方</w:t>
            </w:r>
          </w:p>
        </w:tc>
        <w:tc>
          <w:tcPr>
            <w:tcW w:w="1845" w:type="dxa"/>
            <w:tcBorders>
              <w:top w:val="single" w:color="auto" w:sz="12" w:space="0"/>
            </w:tcBorders>
            <w:vAlign w:val="bottom"/>
          </w:tcPr>
          <w:p>
            <w:pPr>
              <w:snapToGrid w:val="0"/>
              <w:spacing w:line="400" w:lineRule="atLeast"/>
              <w:contextualSpacing/>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名      称</w:t>
            </w:r>
          </w:p>
        </w:tc>
        <w:tc>
          <w:tcPr>
            <w:tcW w:w="6143" w:type="dxa"/>
            <w:tcBorders>
              <w:top w:val="single" w:color="auto" w:sz="12" w:space="0"/>
              <w:right w:val="single" w:color="auto" w:sz="12" w:space="0"/>
            </w:tcBorders>
          </w:tcPr>
          <w:p>
            <w:pPr>
              <w:spacing w:line="500" w:lineRule="exac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中建路桥集团</w:t>
            </w:r>
            <w:r>
              <w:rPr>
                <w:rFonts w:hint="eastAsia" w:ascii="仿宋_GB2312" w:hAnsi="仿宋_GB2312" w:eastAsia="仿宋_GB2312" w:cs="仿宋_GB2312"/>
                <w:color w:val="000000" w:themeColor="text1"/>
                <w:sz w:val="24"/>
                <w:szCs w:val="24"/>
                <w:highlight w:val="none"/>
                <w:lang w:val="en-US" w:eastAsia="zh-CN"/>
              </w:rPr>
              <w:t>装配式建筑</w:t>
            </w:r>
            <w:r>
              <w:rPr>
                <w:rFonts w:hint="eastAsia" w:ascii="仿宋_GB2312" w:hAnsi="仿宋_GB2312" w:eastAsia="仿宋_GB2312" w:cs="仿宋_GB2312"/>
                <w:color w:val="000000" w:themeColor="text1"/>
                <w:sz w:val="24"/>
                <w:szCs w:val="24"/>
                <w:highlight w:val="none"/>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pPr>
              <w:snapToGrid w:val="0"/>
              <w:spacing w:line="400" w:lineRule="atLeast"/>
              <w:contextualSpacing/>
              <w:jc w:val="center"/>
              <w:rPr>
                <w:rFonts w:ascii="仿宋_GB2312" w:hAnsi="仿宋_GB2312" w:eastAsia="仿宋_GB2312" w:cs="仿宋_GB2312"/>
                <w:b/>
                <w:color w:val="000000" w:themeColor="text1"/>
                <w:sz w:val="24"/>
                <w:szCs w:val="24"/>
                <w:highlight w:val="none"/>
              </w:rPr>
            </w:pPr>
          </w:p>
        </w:tc>
        <w:tc>
          <w:tcPr>
            <w:tcW w:w="1845" w:type="dxa"/>
            <w:vAlign w:val="bottom"/>
          </w:tcPr>
          <w:p>
            <w:pPr>
              <w:snapToGrid w:val="0"/>
              <w:spacing w:line="400" w:lineRule="atLeast"/>
              <w:contextualSpacing/>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纳税人身份</w:t>
            </w:r>
          </w:p>
        </w:tc>
        <w:tc>
          <w:tcPr>
            <w:tcW w:w="6143" w:type="dxa"/>
            <w:tcBorders>
              <w:right w:val="single" w:color="auto" w:sz="12" w:space="0"/>
            </w:tcBorders>
          </w:tcPr>
          <w:p>
            <w:pPr>
              <w:spacing w:line="500" w:lineRule="exac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一般纳税人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pPr>
              <w:snapToGrid w:val="0"/>
              <w:spacing w:line="400" w:lineRule="atLeast"/>
              <w:contextualSpacing/>
              <w:jc w:val="center"/>
              <w:rPr>
                <w:rFonts w:ascii="仿宋_GB2312" w:hAnsi="仿宋_GB2312" w:eastAsia="仿宋_GB2312" w:cs="仿宋_GB2312"/>
                <w:b/>
                <w:color w:val="000000" w:themeColor="text1"/>
                <w:sz w:val="24"/>
                <w:szCs w:val="24"/>
                <w:highlight w:val="none"/>
              </w:rPr>
            </w:pPr>
          </w:p>
        </w:tc>
        <w:tc>
          <w:tcPr>
            <w:tcW w:w="1845" w:type="dxa"/>
            <w:vAlign w:val="bottom"/>
          </w:tcPr>
          <w:p>
            <w:pPr>
              <w:snapToGrid w:val="0"/>
              <w:spacing w:line="400" w:lineRule="atLeast"/>
              <w:contextualSpacing/>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纳税人识别号</w:t>
            </w:r>
          </w:p>
        </w:tc>
        <w:tc>
          <w:tcPr>
            <w:tcW w:w="6143" w:type="dxa"/>
            <w:tcBorders>
              <w:right w:val="single" w:color="auto" w:sz="12" w:space="0"/>
            </w:tcBorders>
          </w:tcPr>
          <w:p>
            <w:pPr>
              <w:spacing w:line="500" w:lineRule="exac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911301005896839319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pPr>
              <w:snapToGrid w:val="0"/>
              <w:spacing w:line="400" w:lineRule="atLeast"/>
              <w:contextualSpacing/>
              <w:jc w:val="center"/>
              <w:rPr>
                <w:rFonts w:ascii="仿宋_GB2312" w:hAnsi="仿宋_GB2312" w:eastAsia="仿宋_GB2312" w:cs="仿宋_GB2312"/>
                <w:b/>
                <w:color w:val="000000" w:themeColor="text1"/>
                <w:sz w:val="24"/>
                <w:szCs w:val="24"/>
                <w:highlight w:val="none"/>
              </w:rPr>
            </w:pPr>
          </w:p>
        </w:tc>
        <w:tc>
          <w:tcPr>
            <w:tcW w:w="1845" w:type="dxa"/>
            <w:vAlign w:val="bottom"/>
          </w:tcPr>
          <w:p>
            <w:pPr>
              <w:snapToGrid w:val="0"/>
              <w:spacing w:line="400" w:lineRule="atLeast"/>
              <w:contextualSpacing/>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地 址、电 话</w:t>
            </w:r>
          </w:p>
        </w:tc>
        <w:tc>
          <w:tcPr>
            <w:tcW w:w="6143" w:type="dxa"/>
            <w:tcBorders>
              <w:right w:val="single" w:color="auto" w:sz="12" w:space="0"/>
            </w:tcBorders>
          </w:tcPr>
          <w:p>
            <w:pPr>
              <w:snapToGrid w:val="0"/>
              <w:spacing w:line="400" w:lineRule="atLeast"/>
              <w:contextualSpacing/>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lang w:val="en-US" w:eastAsia="zh-CN"/>
              </w:rPr>
              <w:t>河北省</w:t>
            </w:r>
            <w:r>
              <w:rPr>
                <w:rFonts w:hint="eastAsia" w:ascii="仿宋_GB2312" w:hAnsi="仿宋_GB2312" w:eastAsia="仿宋_GB2312" w:cs="仿宋_GB2312"/>
                <w:color w:val="000000" w:themeColor="text1"/>
                <w:sz w:val="24"/>
                <w:szCs w:val="24"/>
                <w:highlight w:val="none"/>
              </w:rPr>
              <w:t>沧州</w:t>
            </w:r>
            <w:r>
              <w:rPr>
                <w:rFonts w:hint="eastAsia" w:ascii="仿宋_GB2312" w:hAnsi="仿宋_GB2312" w:eastAsia="仿宋_GB2312" w:cs="仿宋_GB2312"/>
                <w:color w:val="000000" w:themeColor="text1"/>
                <w:sz w:val="24"/>
                <w:szCs w:val="24"/>
                <w:highlight w:val="none"/>
                <w:lang w:val="en-US" w:eastAsia="zh-CN"/>
              </w:rPr>
              <w:t>市</w:t>
            </w:r>
            <w:r>
              <w:rPr>
                <w:rFonts w:hint="eastAsia" w:ascii="仿宋_GB2312" w:hAnsi="仿宋_GB2312" w:eastAsia="仿宋_GB2312" w:cs="仿宋_GB2312"/>
                <w:color w:val="000000" w:themeColor="text1"/>
                <w:sz w:val="24"/>
                <w:szCs w:val="24"/>
                <w:highlight w:val="none"/>
              </w:rPr>
              <w:t>渤海新区新型建材园内中疏港路与通七路交叉西侧、0317-5550192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pPr>
              <w:snapToGrid w:val="0"/>
              <w:spacing w:line="400" w:lineRule="atLeast"/>
              <w:contextualSpacing/>
              <w:jc w:val="center"/>
              <w:rPr>
                <w:rFonts w:ascii="仿宋_GB2312" w:hAnsi="仿宋_GB2312" w:eastAsia="仿宋_GB2312" w:cs="仿宋_GB2312"/>
                <w:b/>
                <w:color w:val="000000" w:themeColor="text1"/>
                <w:sz w:val="24"/>
                <w:szCs w:val="24"/>
                <w:highlight w:val="none"/>
              </w:rPr>
            </w:pPr>
          </w:p>
        </w:tc>
        <w:tc>
          <w:tcPr>
            <w:tcW w:w="1845" w:type="dxa"/>
            <w:vAlign w:val="bottom"/>
          </w:tcPr>
          <w:p>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rPr>
            </w:pPr>
            <w:r>
              <w:rPr>
                <w:rFonts w:hint="eastAsia" w:ascii="仿宋_GB2312" w:hAnsi="仿宋_GB2312" w:eastAsia="仿宋_GB2312" w:cs="仿宋_GB2312"/>
                <w:color w:val="000000" w:themeColor="text1"/>
                <w:sz w:val="24"/>
                <w:szCs w:val="24"/>
                <w:highlight w:val="none"/>
              </w:rPr>
              <w:t>开户行及账号</w:t>
            </w:r>
          </w:p>
        </w:tc>
        <w:tc>
          <w:tcPr>
            <w:tcW w:w="6143" w:type="dxa"/>
            <w:tcBorders>
              <w:right w:val="single" w:color="auto" w:sz="12" w:space="0"/>
            </w:tcBorders>
            <w:vAlign w:val="top"/>
          </w:tcPr>
          <w:p>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rPr>
            </w:pPr>
            <w:r>
              <w:rPr>
                <w:rFonts w:hint="eastAsia" w:ascii="仿宋_GB2312" w:hAnsi="仿宋_GB2312" w:eastAsia="仿宋_GB2312" w:cs="仿宋_GB2312"/>
                <w:color w:val="000000" w:themeColor="text1"/>
                <w:sz w:val="24"/>
                <w:szCs w:val="24"/>
                <w:highlight w:val="none"/>
              </w:rPr>
              <w:t>沧州银行渤海新区支行5440 1201 0000 0454 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4" w:type="dxa"/>
            <w:vMerge w:val="continue"/>
            <w:tcBorders>
              <w:left w:val="single" w:color="auto" w:sz="12" w:space="0"/>
              <w:bottom w:val="double" w:color="auto" w:sz="4" w:space="0"/>
            </w:tcBorders>
            <w:vAlign w:val="center"/>
          </w:tcPr>
          <w:p>
            <w:pPr>
              <w:snapToGrid w:val="0"/>
              <w:spacing w:line="400" w:lineRule="atLeast"/>
              <w:contextualSpacing/>
              <w:jc w:val="center"/>
              <w:rPr>
                <w:rFonts w:ascii="仿宋_GB2312" w:hAnsi="仿宋_GB2312" w:eastAsia="仿宋_GB2312" w:cs="仿宋_GB2312"/>
                <w:b/>
                <w:color w:val="000000" w:themeColor="text1"/>
                <w:sz w:val="24"/>
                <w:szCs w:val="24"/>
                <w:highlight w:val="none"/>
              </w:rPr>
            </w:pPr>
          </w:p>
        </w:tc>
        <w:tc>
          <w:tcPr>
            <w:tcW w:w="1845" w:type="dxa"/>
            <w:tcBorders>
              <w:bottom w:val="double" w:color="auto" w:sz="4" w:space="0"/>
            </w:tcBorders>
            <w:vAlign w:val="bottom"/>
          </w:tcPr>
          <w:p>
            <w:pPr>
              <w:snapToGrid w:val="0"/>
              <w:spacing w:line="400" w:lineRule="atLeast"/>
              <w:contextualSpacing/>
              <w:rPr>
                <w:rFonts w:hint="eastAsia" w:ascii="仿宋_GB2312" w:hAnsi="仿宋_GB2312" w:eastAsia="仿宋_GB2312" w:cs="仿宋_GB2312"/>
                <w:color w:val="000000" w:themeColor="text1"/>
                <w:sz w:val="24"/>
                <w:szCs w:val="24"/>
                <w:highlight w:val="none"/>
                <w:lang w:val="en-US" w:eastAsia="zh-CN"/>
              </w:rPr>
            </w:pPr>
            <w:r>
              <w:rPr>
                <w:rFonts w:hint="eastAsia" w:ascii="仿宋_GB2312" w:hAnsi="仿宋_GB2312" w:eastAsia="仿宋_GB2312" w:cs="仿宋_GB2312"/>
                <w:color w:val="000000" w:themeColor="text1"/>
                <w:sz w:val="24"/>
                <w:szCs w:val="24"/>
                <w:highlight w:val="none"/>
                <w:lang w:val="en-US" w:eastAsia="zh-CN"/>
              </w:rPr>
              <w:t>备      注</w:t>
            </w:r>
          </w:p>
          <w:p>
            <w:pPr>
              <w:rPr>
                <w:highlight w:val="none"/>
              </w:rPr>
            </w:pPr>
          </w:p>
        </w:tc>
        <w:tc>
          <w:tcPr>
            <w:tcW w:w="6143" w:type="dxa"/>
            <w:tcBorders>
              <w:bottom w:val="double" w:color="auto" w:sz="4" w:space="0"/>
              <w:right w:val="single" w:color="auto" w:sz="12" w:space="0"/>
            </w:tcBorders>
          </w:tcPr>
          <w:p>
            <w:pPr>
              <w:snapToGrid w:val="0"/>
              <w:spacing w:line="400" w:lineRule="atLeast"/>
              <w:contextualSpacing/>
              <w:rPr>
                <w:rFonts w:ascii="仿宋_GB2312" w:hAnsi="仿宋_GB2312" w:eastAsia="仿宋_GB2312" w:cs="仿宋_GB2312"/>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Borders>
              <w:top w:val="double" w:color="auto" w:sz="4" w:space="0"/>
              <w:left w:val="single" w:color="auto" w:sz="12" w:space="0"/>
            </w:tcBorders>
            <w:vAlign w:val="center"/>
          </w:tcPr>
          <w:p>
            <w:pPr>
              <w:snapToGrid w:val="0"/>
              <w:spacing w:line="400" w:lineRule="atLeast"/>
              <w:contextualSpacing/>
              <w:jc w:val="center"/>
              <w:rPr>
                <w:rFonts w:ascii="仿宋_GB2312" w:hAnsi="仿宋_GB2312" w:eastAsia="仿宋_GB2312" w:cs="仿宋_GB2312"/>
                <w:b/>
                <w:color w:val="000000" w:themeColor="text1"/>
                <w:sz w:val="24"/>
                <w:szCs w:val="24"/>
                <w:highlight w:val="none"/>
              </w:rPr>
            </w:pPr>
            <w:r>
              <w:rPr>
                <w:rFonts w:hint="eastAsia" w:ascii="仿宋_GB2312" w:hAnsi="仿宋_GB2312" w:eastAsia="仿宋_GB2312" w:cs="仿宋_GB2312"/>
                <w:b/>
                <w:color w:val="000000" w:themeColor="text1"/>
                <w:sz w:val="24"/>
                <w:szCs w:val="24"/>
                <w:highlight w:val="none"/>
              </w:rPr>
              <w:t>乙方</w:t>
            </w:r>
          </w:p>
        </w:tc>
        <w:tc>
          <w:tcPr>
            <w:tcW w:w="1845" w:type="dxa"/>
            <w:tcBorders>
              <w:top w:val="double" w:color="auto" w:sz="4" w:space="0"/>
            </w:tcBorders>
            <w:vAlign w:val="bottom"/>
          </w:tcPr>
          <w:p>
            <w:pPr>
              <w:snapToGrid w:val="0"/>
              <w:spacing w:line="400" w:lineRule="atLeast"/>
              <w:contextualSpacing/>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名      称</w:t>
            </w:r>
          </w:p>
        </w:tc>
        <w:tc>
          <w:tcPr>
            <w:tcW w:w="6143" w:type="dxa"/>
            <w:tcBorders>
              <w:top w:val="double" w:color="auto" w:sz="4" w:space="0"/>
              <w:right w:val="single" w:color="auto" w:sz="12" w:space="0"/>
            </w:tcBorders>
          </w:tcPr>
          <w:p>
            <w:pPr>
              <w:snapToGrid w:val="0"/>
              <w:spacing w:line="400" w:lineRule="atLeast"/>
              <w:contextualSpacing/>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pPr>
              <w:snapToGrid w:val="0"/>
              <w:spacing w:line="400" w:lineRule="atLeast"/>
              <w:contextualSpacing/>
              <w:rPr>
                <w:rFonts w:ascii="仿宋_GB2312" w:hAnsi="仿宋_GB2312" w:eastAsia="仿宋_GB2312" w:cs="仿宋_GB2312"/>
                <w:color w:val="000000" w:themeColor="text1"/>
                <w:sz w:val="24"/>
                <w:szCs w:val="24"/>
                <w:highlight w:val="none"/>
              </w:rPr>
            </w:pPr>
          </w:p>
        </w:tc>
        <w:tc>
          <w:tcPr>
            <w:tcW w:w="1845" w:type="dxa"/>
            <w:vAlign w:val="bottom"/>
          </w:tcPr>
          <w:p>
            <w:pPr>
              <w:snapToGrid w:val="0"/>
              <w:spacing w:line="400" w:lineRule="atLeast"/>
              <w:contextualSpacing/>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纳税人身份</w:t>
            </w:r>
          </w:p>
        </w:tc>
        <w:tc>
          <w:tcPr>
            <w:tcW w:w="6143" w:type="dxa"/>
            <w:tcBorders>
              <w:right w:val="single" w:color="auto" w:sz="12" w:space="0"/>
            </w:tcBorders>
          </w:tcPr>
          <w:p>
            <w:pPr>
              <w:snapToGrid w:val="0"/>
              <w:spacing w:line="400" w:lineRule="atLeast"/>
              <w:contextualSpacing/>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pPr>
              <w:snapToGrid w:val="0"/>
              <w:spacing w:line="400" w:lineRule="atLeast"/>
              <w:contextualSpacing/>
              <w:rPr>
                <w:rFonts w:ascii="仿宋_GB2312" w:hAnsi="仿宋_GB2312" w:eastAsia="仿宋_GB2312" w:cs="仿宋_GB2312"/>
                <w:color w:val="000000" w:themeColor="text1"/>
                <w:sz w:val="24"/>
                <w:szCs w:val="24"/>
                <w:highlight w:val="none"/>
              </w:rPr>
            </w:pPr>
          </w:p>
        </w:tc>
        <w:tc>
          <w:tcPr>
            <w:tcW w:w="1845" w:type="dxa"/>
            <w:vAlign w:val="bottom"/>
          </w:tcPr>
          <w:p>
            <w:pPr>
              <w:snapToGrid w:val="0"/>
              <w:spacing w:line="400" w:lineRule="atLeast"/>
              <w:contextualSpacing/>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纳税人识别号</w:t>
            </w:r>
          </w:p>
        </w:tc>
        <w:tc>
          <w:tcPr>
            <w:tcW w:w="6143" w:type="dxa"/>
            <w:tcBorders>
              <w:right w:val="single" w:color="auto" w:sz="12" w:space="0"/>
            </w:tcBorders>
          </w:tcPr>
          <w:p>
            <w:pPr>
              <w:snapToGrid w:val="0"/>
              <w:spacing w:line="400" w:lineRule="atLeast"/>
              <w:contextualSpacing/>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pPr>
              <w:snapToGrid w:val="0"/>
              <w:spacing w:line="400" w:lineRule="atLeast"/>
              <w:contextualSpacing/>
              <w:rPr>
                <w:rFonts w:ascii="仿宋_GB2312" w:hAnsi="仿宋_GB2312" w:eastAsia="仿宋_GB2312" w:cs="仿宋_GB2312"/>
                <w:color w:val="000000" w:themeColor="text1"/>
                <w:sz w:val="24"/>
                <w:szCs w:val="24"/>
                <w:highlight w:val="none"/>
              </w:rPr>
            </w:pPr>
          </w:p>
        </w:tc>
        <w:tc>
          <w:tcPr>
            <w:tcW w:w="1845" w:type="dxa"/>
            <w:vAlign w:val="bottom"/>
          </w:tcPr>
          <w:p>
            <w:pPr>
              <w:snapToGrid w:val="0"/>
              <w:spacing w:line="400" w:lineRule="atLeast"/>
              <w:contextualSpacing/>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地 址、电 话</w:t>
            </w:r>
          </w:p>
        </w:tc>
        <w:tc>
          <w:tcPr>
            <w:tcW w:w="6143" w:type="dxa"/>
            <w:tcBorders>
              <w:right w:val="single" w:color="auto" w:sz="12" w:space="0"/>
            </w:tcBorders>
            <w:vAlign w:val="bottom"/>
          </w:tcPr>
          <w:p>
            <w:pPr>
              <w:pStyle w:val="41"/>
              <w:jc w:val="both"/>
              <w:rPr>
                <w:rFonts w:ascii="仿宋_GB2312" w:hAnsi="仿宋_GB2312" w:eastAsia="仿宋_GB2312" w:cs="仿宋_GB2312"/>
                <w:bCs/>
                <w:color w:val="000000" w:themeColor="text1"/>
                <w:kern w:val="2"/>
                <w:highlight w:val="none"/>
                <w:u w:val="single"/>
              </w:rPr>
            </w:pPr>
            <w:r>
              <w:rPr>
                <w:rFonts w:hint="eastAsia" w:ascii="仿宋_GB2312" w:hAnsi="仿宋_GB2312" w:eastAsia="仿宋_GB2312" w:cs="仿宋_GB2312"/>
                <w:color w:val="000000" w:themeColor="text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bottom w:val="single" w:color="auto" w:sz="12" w:space="0"/>
            </w:tcBorders>
          </w:tcPr>
          <w:p>
            <w:pPr>
              <w:snapToGrid w:val="0"/>
              <w:spacing w:line="400" w:lineRule="atLeast"/>
              <w:contextualSpacing/>
              <w:rPr>
                <w:rFonts w:ascii="仿宋_GB2312" w:hAnsi="仿宋_GB2312" w:eastAsia="仿宋_GB2312" w:cs="仿宋_GB2312"/>
                <w:color w:val="000000" w:themeColor="text1"/>
                <w:sz w:val="24"/>
                <w:szCs w:val="24"/>
                <w:highlight w:val="none"/>
              </w:rPr>
            </w:pPr>
          </w:p>
        </w:tc>
        <w:tc>
          <w:tcPr>
            <w:tcW w:w="1845" w:type="dxa"/>
            <w:tcBorders>
              <w:bottom w:val="single" w:color="auto" w:sz="12" w:space="0"/>
            </w:tcBorders>
            <w:vAlign w:val="bottom"/>
          </w:tcPr>
          <w:p>
            <w:pPr>
              <w:snapToGrid w:val="0"/>
              <w:spacing w:line="400" w:lineRule="atLeast"/>
              <w:contextualSpacing/>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开户行及账号</w:t>
            </w:r>
          </w:p>
        </w:tc>
        <w:tc>
          <w:tcPr>
            <w:tcW w:w="6143" w:type="dxa"/>
            <w:tcBorders>
              <w:bottom w:val="single" w:color="auto" w:sz="12" w:space="0"/>
              <w:right w:val="single" w:color="auto" w:sz="12" w:space="0"/>
            </w:tcBorders>
          </w:tcPr>
          <w:p>
            <w:pPr>
              <w:snapToGrid w:val="0"/>
              <w:spacing w:line="400" w:lineRule="atLeast"/>
              <w:contextualSpacing/>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sz w:val="24"/>
                <w:szCs w:val="24"/>
                <w:highlight w:val="none"/>
                <w:u w:val="single"/>
              </w:rPr>
              <w:t xml:space="preserve">                  </w:t>
            </w:r>
          </w:p>
        </w:tc>
      </w:tr>
    </w:tbl>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任何一方如上述信息发生变更，应提前10日以书面方式通知另一方。如一方未按本合同规定通知而使另一方遭受损失的，应予以赔偿。</w:t>
      </w:r>
    </w:p>
    <w:p>
      <w:pPr>
        <w:pStyle w:val="4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rPr>
      </w:pPr>
      <w:bookmarkStart w:id="104" w:name="_Toc32138"/>
      <w:bookmarkStart w:id="105" w:name="_Toc21859"/>
      <w:bookmarkStart w:id="106" w:name="_Toc27325"/>
      <w:r>
        <w:rPr>
          <w:rFonts w:hint="eastAsia" w:ascii="仿宋_GB2312" w:hAnsi="仿宋_GB2312" w:eastAsia="仿宋_GB2312" w:cs="仿宋_GB2312"/>
          <w:b/>
          <w:bCs/>
          <w:color w:val="000000" w:themeColor="text1"/>
          <w:highlight w:val="none"/>
        </w:rPr>
        <w:t>货物付款</w:t>
      </w:r>
      <w:bookmarkEnd w:id="104"/>
      <w:bookmarkEnd w:id="105"/>
      <w:bookmarkEnd w:id="106"/>
    </w:p>
    <w:p>
      <w:pPr>
        <w:pStyle w:val="41"/>
        <w:spacing w:line="400" w:lineRule="atLeast"/>
        <w:ind w:firstLine="482" w:firstLineChars="200"/>
        <w:jc w:val="both"/>
        <w:outlineLvl w:val="1"/>
        <w:rPr>
          <w:rFonts w:ascii="仿宋_GB2312" w:hAnsi="仿宋_GB2312" w:eastAsia="仿宋_GB2312" w:cs="仿宋_GB2312"/>
          <w:b/>
          <w:bCs/>
          <w:color w:val="000000" w:themeColor="text1"/>
          <w:highlight w:val="none"/>
        </w:rPr>
      </w:pPr>
      <w:bookmarkStart w:id="107" w:name="_Toc10245"/>
      <w:bookmarkStart w:id="108" w:name="_Toc24664"/>
      <w:bookmarkStart w:id="109" w:name="_Toc12208"/>
      <w:r>
        <w:rPr>
          <w:rFonts w:hint="eastAsia" w:ascii="仿宋_GB2312" w:hAnsi="仿宋_GB2312" w:eastAsia="仿宋_GB2312" w:cs="仿宋_GB2312"/>
          <w:b/>
          <w:bCs/>
          <w:color w:val="000000" w:themeColor="text1"/>
          <w:highlight w:val="none"/>
        </w:rPr>
        <w:t>1、支付周期及支付比例：</w:t>
      </w:r>
      <w:r>
        <w:rPr>
          <w:rFonts w:hint="eastAsia" w:ascii="仿宋_GB2312" w:hAnsi="仿宋_GB2312" w:eastAsia="仿宋_GB2312" w:cs="仿宋_GB2312"/>
          <w:color w:val="000000" w:themeColor="text1"/>
          <w:highlight w:val="none"/>
        </w:rPr>
        <w:t>双方办理完结算后，适用第</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u w:val="single"/>
          <w:lang w:val="en-US" w:eastAsia="zh-CN"/>
        </w:rPr>
        <w:t>1.1</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条付款条件：</w:t>
      </w:r>
    </w:p>
    <w:p>
      <w:pPr>
        <w:pStyle w:val="41"/>
        <w:spacing w:line="400" w:lineRule="atLeast"/>
        <w:ind w:firstLine="480" w:firstLineChars="200"/>
        <w:jc w:val="both"/>
        <w:rPr>
          <w:rFonts w:ascii="仿宋_GB2312" w:hAnsi="仿宋_GB2312" w:eastAsia="仿宋_GB2312" w:cs="仿宋_GB2312"/>
          <w:color w:val="000000" w:themeColor="text1"/>
          <w:highlight w:val="none"/>
          <w:u w:val="single"/>
        </w:rPr>
      </w:pPr>
      <w:r>
        <w:rPr>
          <w:rFonts w:hint="eastAsia" w:ascii="仿宋_GB2312" w:hAnsi="仿宋_GB2312" w:eastAsia="仿宋_GB2312" w:cs="仿宋_GB2312"/>
          <w:color w:val="000000" w:themeColor="text1"/>
          <w:highlight w:val="none"/>
        </w:rPr>
        <w:t>1.</w:t>
      </w:r>
      <w:r>
        <w:rPr>
          <w:rFonts w:hint="eastAsia" w:ascii="仿宋_GB2312" w:hAnsi="仿宋_GB2312" w:eastAsia="仿宋_GB2312" w:cs="仿宋_GB2312"/>
          <w:color w:val="000000" w:themeColor="text1"/>
          <w:highlight w:val="none"/>
          <w:lang w:val="en-US" w:eastAsia="zh-CN"/>
        </w:rPr>
        <w:t>1</w:t>
      </w:r>
      <w:r>
        <w:rPr>
          <w:rFonts w:hint="eastAsia" w:ascii="仿宋_GB2312" w:hAnsi="仿宋_GB2312" w:eastAsia="仿宋_GB2312" w:cs="仿宋_GB2312"/>
          <w:color w:val="000000" w:themeColor="text1"/>
          <w:highlight w:val="none"/>
        </w:rPr>
        <w:t>本合同无预付款，货款来源于项目工程结算款。</w:t>
      </w:r>
      <w:r>
        <w:rPr>
          <w:rFonts w:hint="eastAsia" w:ascii="仿宋_GB2312" w:hAnsi="仿宋_GB2312" w:eastAsia="仿宋_GB2312" w:cs="仿宋_GB2312"/>
          <w:b/>
          <w:bCs/>
          <w:color w:val="000000" w:themeColor="text1"/>
          <w:highlight w:val="none"/>
        </w:rPr>
        <w:t>甲方按资金审批计划对货款进行支付。</w:t>
      </w:r>
      <w:r>
        <w:rPr>
          <w:rFonts w:hint="eastAsia" w:ascii="仿宋_GB2312" w:hAnsi="仿宋_GB2312" w:eastAsia="仿宋_GB2312" w:cs="仿宋_GB2312"/>
          <w:color w:val="000000" w:themeColor="text1"/>
          <w:highlight w:val="none"/>
        </w:rPr>
        <w:t>付款期限自双方确认结算金额之日起计算，暂定为在甲乙双方完成月度物资结算手续且甲方收到乙方相应全额发票后，</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个月内支付当期</w:t>
      </w:r>
      <w:r>
        <w:rPr>
          <w:rFonts w:hint="eastAsia" w:ascii="仿宋_GB2312" w:hAnsi="仿宋_GB2312" w:eastAsia="仿宋_GB2312" w:cs="仿宋_GB2312"/>
          <w:color w:val="000000" w:themeColor="text1"/>
          <w:highlight w:val="none"/>
          <w:lang w:val="en-US" w:eastAsia="zh-CN"/>
        </w:rPr>
        <w:t>结算</w:t>
      </w:r>
      <w:r>
        <w:rPr>
          <w:rFonts w:hint="eastAsia" w:ascii="仿宋_GB2312" w:hAnsi="仿宋_GB2312" w:eastAsia="仿宋_GB2312" w:cs="仿宋_GB2312"/>
          <w:color w:val="000000" w:themeColor="text1"/>
          <w:highlight w:val="none"/>
        </w:rPr>
        <w:t>货款的</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个月内支付至当期</w:t>
      </w:r>
      <w:r>
        <w:rPr>
          <w:rFonts w:hint="eastAsia" w:ascii="仿宋_GB2312" w:hAnsi="仿宋_GB2312" w:eastAsia="仿宋_GB2312" w:cs="仿宋_GB2312"/>
          <w:color w:val="000000" w:themeColor="text1"/>
          <w:highlight w:val="none"/>
          <w:lang w:val="en-US" w:eastAsia="zh-CN"/>
        </w:rPr>
        <w:t>结算</w:t>
      </w:r>
      <w:r>
        <w:rPr>
          <w:rFonts w:hint="eastAsia" w:ascii="仿宋_GB2312" w:hAnsi="仿宋_GB2312" w:eastAsia="仿宋_GB2312" w:cs="仿宋_GB2312"/>
          <w:color w:val="000000" w:themeColor="text1"/>
          <w:highlight w:val="none"/>
        </w:rPr>
        <w:t>货款的</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%，余下</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w:t>
      </w:r>
      <w:r>
        <w:rPr>
          <w:rFonts w:hint="eastAsia" w:ascii="仿宋_GB2312" w:hAnsi="仿宋_GB2312" w:eastAsia="仿宋_GB2312" w:cs="仿宋_GB2312"/>
          <w:color w:val="000000" w:themeColor="text1"/>
          <w:highlight w:val="none"/>
          <w:lang w:val="en-US" w:eastAsia="zh-CN"/>
        </w:rPr>
        <w:t>结算</w:t>
      </w:r>
      <w:r>
        <w:rPr>
          <w:rFonts w:hint="eastAsia" w:ascii="仿宋_GB2312" w:hAnsi="仿宋_GB2312" w:eastAsia="仿宋_GB2312" w:cs="仿宋_GB2312"/>
          <w:color w:val="000000" w:themeColor="text1"/>
          <w:highlight w:val="none"/>
        </w:rPr>
        <w:t>货款在乙方</w:t>
      </w:r>
      <w:r>
        <w:rPr>
          <w:rFonts w:hint="eastAsia" w:ascii="仿宋_GB2312" w:hAnsi="仿宋_GB2312" w:eastAsia="仿宋_GB2312" w:cs="仿宋_GB2312"/>
          <w:color w:val="000000" w:themeColor="text1"/>
          <w:highlight w:val="none"/>
          <w:lang w:val="en-US" w:eastAsia="zh-CN"/>
        </w:rPr>
        <w:t>供货完毕、办理完最终结算后</w:t>
      </w:r>
      <w:r>
        <w:rPr>
          <w:rFonts w:hint="eastAsia" w:ascii="仿宋_GB2312" w:hAnsi="仿宋_GB2312" w:eastAsia="仿宋_GB2312" w:cs="仿宋_GB2312"/>
          <w:color w:val="000000" w:themeColor="text1"/>
          <w:highlight w:val="none"/>
          <w:u w:val="single"/>
          <w:lang w:val="en-US" w:eastAsia="zh-CN"/>
        </w:rPr>
        <w:t xml:space="preserve">   </w:t>
      </w:r>
      <w:r>
        <w:rPr>
          <w:rFonts w:hint="eastAsia" w:ascii="仿宋_GB2312" w:hAnsi="仿宋_GB2312" w:eastAsia="仿宋_GB2312" w:cs="仿宋_GB2312"/>
          <w:color w:val="000000" w:themeColor="text1"/>
          <w:highlight w:val="none"/>
          <w:lang w:val="en-US" w:eastAsia="zh-CN"/>
        </w:rPr>
        <w:t>日内</w:t>
      </w:r>
      <w:r>
        <w:rPr>
          <w:rFonts w:hint="eastAsia" w:ascii="仿宋_GB2312" w:hAnsi="仿宋_GB2312" w:eastAsia="仿宋_GB2312" w:cs="仿宋_GB2312"/>
          <w:color w:val="000000" w:themeColor="text1"/>
          <w:highlight w:val="none"/>
        </w:rPr>
        <w:t>付清。以此类推。</w:t>
      </w:r>
    </w:p>
    <w:p>
      <w:pPr>
        <w:pStyle w:val="41"/>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1.</w:t>
      </w:r>
      <w:r>
        <w:rPr>
          <w:rFonts w:hint="eastAsia" w:ascii="仿宋_GB2312" w:hAnsi="仿宋_GB2312" w:eastAsia="仿宋_GB2312" w:cs="仿宋_GB2312"/>
          <w:color w:val="000000" w:themeColor="text1"/>
          <w:highlight w:val="none"/>
          <w:lang w:val="en-US" w:eastAsia="zh-CN"/>
        </w:rPr>
        <w:t>2</w:t>
      </w:r>
      <w:r>
        <w:rPr>
          <w:rFonts w:hint="eastAsia" w:ascii="仿宋_GB2312" w:hAnsi="仿宋_GB2312" w:eastAsia="仿宋_GB2312" w:cs="仿宋_GB2312"/>
          <w:color w:val="000000" w:themeColor="text1"/>
          <w:highlight w:val="none"/>
        </w:rPr>
        <w:t>其他：</w:t>
      </w:r>
      <w:r>
        <w:rPr>
          <w:rFonts w:hint="eastAsia" w:ascii="仿宋_GB2312" w:hAnsi="仿宋_GB2312" w:eastAsia="仿宋_GB2312" w:cs="仿宋_GB2312"/>
          <w:color w:val="000000" w:themeColor="text1"/>
          <w:highlight w:val="none"/>
          <w:u w:val="single"/>
        </w:rPr>
        <w:t xml:space="preserve"> /</w:t>
      </w:r>
    </w:p>
    <w:p>
      <w:pPr>
        <w:pStyle w:val="41"/>
        <w:spacing w:line="400" w:lineRule="atLeast"/>
        <w:ind w:firstLine="482"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2、支付形式：</w:t>
      </w:r>
      <w:r>
        <w:rPr>
          <w:rFonts w:hint="eastAsia" w:ascii="仿宋_GB2312" w:hAnsi="仿宋_GB2312" w:eastAsia="仿宋_GB2312" w:cs="仿宋_GB2312"/>
          <w:color w:val="000000" w:themeColor="text1"/>
          <w:highlight w:val="none"/>
        </w:rPr>
        <w:t>本合同付款形式适用第</w:t>
      </w:r>
      <w:r>
        <w:rPr>
          <w:rFonts w:hint="eastAsia" w:ascii="仿宋_GB2312" w:hAnsi="仿宋_GB2312" w:eastAsia="仿宋_GB2312" w:cs="仿宋_GB2312"/>
          <w:color w:val="000000" w:themeColor="text1"/>
          <w:highlight w:val="none"/>
          <w:u w:val="single"/>
        </w:rPr>
        <w:t xml:space="preserve">   2.2  </w:t>
      </w:r>
      <w:r>
        <w:rPr>
          <w:rFonts w:hint="eastAsia" w:ascii="仿宋_GB2312" w:hAnsi="仿宋_GB2312" w:eastAsia="仿宋_GB2312" w:cs="仿宋_GB2312"/>
          <w:color w:val="000000" w:themeColor="text1"/>
          <w:highlight w:val="none"/>
        </w:rPr>
        <w:t>条；</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2.1货币付款。</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2.2货币及其他的形式（包括且不限于支票、电汇、银行承兑汇票、商业承兑汇票、保理、信用证、供应链融资等）向乙方付款。（其中非现金付款方式不低于合同总价的</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%，期限为六个月，因此产生的相关贴现成本由乙方承担。乙方须保证资金往来账户与本合同所约定账户一致，开票单位名称与合同约定名称一致。）</w:t>
      </w:r>
    </w:p>
    <w:p>
      <w:pPr>
        <w:pStyle w:val="41"/>
        <w:spacing w:line="400" w:lineRule="atLeast"/>
        <w:ind w:firstLine="482" w:firstLineChars="200"/>
        <w:jc w:val="both"/>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3、付款条件：乙方向甲方申请付款时，应先行满足以下条件：</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3.1所供产品无质量缺陷，乙方无违约记录，产品出厂合格证明以及检测报告完整无误。</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3.2乙方申请付款依据的结算单已由甲方最终有效确认，付款期限已经届满。</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3.3乙方已向甲方提供与结算等额增值税专用发票，且甲方已完成发票认证。</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在支付条件达成的基础上，甲方按以上方式向乙方付款，预付款不适用上述条件。</w:t>
      </w:r>
    </w:p>
    <w:p>
      <w:pPr>
        <w:pStyle w:val="41"/>
        <w:spacing w:line="400" w:lineRule="atLeast"/>
        <w:ind w:firstLine="482" w:firstLineChars="200"/>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4、乙方收款账户：</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开户银行：</w:t>
      </w:r>
      <w:r>
        <w:rPr>
          <w:rFonts w:hint="eastAsia" w:ascii="仿宋_GB2312" w:hAnsi="仿宋_GB2312" w:eastAsia="仿宋_GB2312" w:cs="仿宋_GB2312"/>
          <w:color w:val="000000" w:themeColor="text1"/>
          <w:highlight w:val="none"/>
          <w:u w:val="single"/>
        </w:rPr>
        <w:t xml:space="preserve">             </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银行帐号：</w:t>
      </w:r>
      <w:r>
        <w:rPr>
          <w:rFonts w:hint="eastAsia" w:ascii="仿宋_GB2312" w:hAnsi="仿宋_GB2312" w:eastAsia="仿宋_GB2312" w:cs="仿宋_GB2312"/>
          <w:color w:val="000000" w:themeColor="text1"/>
          <w:highlight w:val="none"/>
          <w:u w:val="single"/>
        </w:rPr>
        <w:t xml:space="preserve">             </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乙方指定</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（身份证号：</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）作为收款经办人，同甲方相关人员沟通洽商付款具体事宜。</w:t>
      </w:r>
    </w:p>
    <w:p>
      <w:pPr>
        <w:pStyle w:val="41"/>
        <w:spacing w:line="400" w:lineRule="atLeast"/>
        <w:ind w:firstLine="482" w:firstLineChars="200"/>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甲方仅向乙方本单位名下银行账户支付价款，未经甲方同意，乙方不得委托任何第三方代为收款，否则甲方有权拒绝付款。</w:t>
      </w:r>
    </w:p>
    <w:p>
      <w:pPr>
        <w:pStyle w:val="41"/>
        <w:spacing w:line="400" w:lineRule="atLeast"/>
        <w:ind w:firstLine="482"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5、账户变动：</w:t>
      </w:r>
      <w:r>
        <w:rPr>
          <w:rFonts w:hint="eastAsia" w:ascii="仿宋_GB2312" w:hAnsi="仿宋_GB2312" w:eastAsia="仿宋_GB2312" w:cs="仿宋_GB2312"/>
          <w:color w:val="000000" w:themeColor="text1"/>
          <w:highlight w:val="none"/>
        </w:rPr>
        <w:t>当乙方收款银行账号发生变动时，应以函件的形式书面通知甲方，否则甲方有权拒绝付款。若甲方在收到乙方的书面通知之前已按原账号付款，则甲方不再另行支付，由此造成的一切损失均由乙方自行承担。</w:t>
      </w:r>
    </w:p>
    <w:p>
      <w:pPr>
        <w:pStyle w:val="41"/>
        <w:spacing w:line="400" w:lineRule="atLeast"/>
        <w:ind w:firstLine="482" w:firstLineChars="200"/>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6、履约保证金缴纳及退还：</w:t>
      </w:r>
    </w:p>
    <w:p>
      <w:pPr>
        <w:spacing w:line="400" w:lineRule="atLeast"/>
        <w:ind w:firstLine="482" w:firstLineChars="200"/>
        <w:rPr>
          <w:rFonts w:ascii="仿宋_GB2312" w:hAnsi="仿宋_GB2312" w:eastAsia="仿宋_GB2312" w:cs="仿宋_GB2312"/>
          <w:color w:val="000000" w:themeColor="text1"/>
          <w:sz w:val="24"/>
          <w:szCs w:val="24"/>
          <w:highlight w:val="none"/>
          <w:u w:val="single"/>
        </w:rPr>
      </w:pPr>
      <w:r>
        <w:rPr>
          <w:rFonts w:hint="eastAsia" w:ascii="仿宋_GB2312" w:hAnsi="仿宋_GB2312" w:eastAsia="仿宋_GB2312" w:cs="仿宋_GB2312"/>
          <w:b/>
          <w:bCs/>
          <w:color w:val="000000" w:themeColor="text1"/>
          <w:sz w:val="24"/>
          <w:szCs w:val="24"/>
          <w:highlight w:val="none"/>
        </w:rPr>
        <w:t>6.1履约保证金缴纳形式：</w:t>
      </w:r>
      <w:r>
        <w:rPr>
          <w:rFonts w:hint="eastAsia" w:ascii="仿宋_GB2312" w:hAnsi="仿宋_GB2312" w:eastAsia="仿宋_GB2312" w:cs="仿宋_GB2312"/>
          <w:color w:val="000000" w:themeColor="text1"/>
          <w:sz w:val="24"/>
          <w:szCs w:val="24"/>
          <w:highlight w:val="none"/>
        </w:rPr>
        <w:t>乙方在签订合同前应向甲方缴纳合同额的</w:t>
      </w:r>
      <w:r>
        <w:rPr>
          <w:rFonts w:hint="eastAsia" w:ascii="仿宋_GB2312" w:hAnsi="仿宋_GB2312" w:eastAsia="仿宋_GB2312" w:cs="仿宋_GB2312"/>
          <w:color w:val="000000" w:themeColor="text1"/>
          <w:sz w:val="24"/>
          <w:szCs w:val="24"/>
          <w:highlight w:val="none"/>
          <w:u w:val="single"/>
        </w:rPr>
        <w:t xml:space="preserve">   </w:t>
      </w:r>
    </w:p>
    <w:p>
      <w:pPr>
        <w:spacing w:line="400" w:lineRule="atLeas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u w:val="single"/>
        </w:rPr>
        <w:t xml:space="preserve"> / </w:t>
      </w:r>
      <w:r>
        <w:rPr>
          <w:rFonts w:hint="eastAsia" w:ascii="仿宋_GB2312" w:hAnsi="仿宋_GB2312" w:eastAsia="仿宋_GB2312" w:cs="仿宋_GB2312"/>
          <w:color w:val="000000" w:themeColor="text1"/>
          <w:sz w:val="24"/>
          <w:szCs w:val="24"/>
          <w:highlight w:val="none"/>
        </w:rPr>
        <w:t>％或</w:t>
      </w:r>
      <w:r>
        <w:rPr>
          <w:rFonts w:hint="eastAsia" w:ascii="仿宋_GB2312" w:hAnsi="仿宋_GB2312" w:eastAsia="仿宋_GB2312" w:cs="仿宋_GB2312"/>
          <w:color w:val="000000" w:themeColor="text1"/>
          <w:sz w:val="24"/>
          <w:szCs w:val="24"/>
          <w:highlight w:val="none"/>
          <w:u w:val="single"/>
        </w:rPr>
        <w:t xml:space="preserve"> / </w:t>
      </w:r>
      <w:r>
        <w:rPr>
          <w:rFonts w:hint="eastAsia" w:ascii="仿宋_GB2312" w:hAnsi="仿宋_GB2312" w:eastAsia="仿宋_GB2312" w:cs="仿宋_GB2312"/>
          <w:color w:val="000000" w:themeColor="text1"/>
          <w:sz w:val="24"/>
          <w:szCs w:val="24"/>
          <w:highlight w:val="none"/>
        </w:rPr>
        <w:t>元的履约保证金，具体缴纳形式采用第</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u w:val="single"/>
          <w:lang w:val="en-US" w:eastAsia="zh-CN"/>
        </w:rPr>
        <w:t xml:space="preserve">    </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种：</w:t>
      </w:r>
    </w:p>
    <w:p>
      <w:pPr>
        <w:spacing w:line="400" w:lineRule="atLeast"/>
        <w:ind w:firstLine="480" w:firstLineChars="200"/>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6.1.1无需缴纳履约保证金。</w:t>
      </w:r>
    </w:p>
    <w:p>
      <w:pPr>
        <w:spacing w:line="400" w:lineRule="atLeast"/>
        <w:ind w:firstLine="480" w:firstLineChars="200"/>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6.1.2银行转账：乙方未参与甲方其他在建项目，采用银行转账方式缴纳履约保证金，并由项目相应会计根据财务部规定办理相应流程，开具证明件。</w:t>
      </w:r>
    </w:p>
    <w:p>
      <w:pPr>
        <w:spacing w:line="400" w:lineRule="atLeast"/>
        <w:ind w:firstLine="480" w:firstLineChars="200"/>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6.1.3应付款抵扣：乙方参与甲方其他在建项目，履约保证金从其他项目应付款中抵扣，并由项目相应会计根据财务部规定办理相应流程，开具证明件。</w:t>
      </w:r>
    </w:p>
    <w:p>
      <w:pPr>
        <w:spacing w:line="400" w:lineRule="atLeast"/>
        <w:ind w:firstLine="480" w:firstLineChars="200"/>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6.1.4履约保函（只接受银行保函，不接受商业保函）。</w:t>
      </w:r>
    </w:p>
    <w:p>
      <w:pPr>
        <w:spacing w:line="400" w:lineRule="atLeast"/>
        <w:ind w:firstLine="480" w:firstLineChars="200"/>
        <w:rPr>
          <w:rFonts w:ascii="仿宋_GB2312" w:hAnsi="仿宋_GB2312" w:eastAsia="仿宋_GB2312" w:cs="仿宋_GB2312"/>
          <w:color w:val="000000" w:themeColor="text1"/>
          <w:sz w:val="24"/>
          <w:szCs w:val="24"/>
          <w:highlight w:val="none"/>
          <w:u w:val="single"/>
        </w:rPr>
      </w:pPr>
      <w:r>
        <w:rPr>
          <w:rFonts w:hint="eastAsia" w:ascii="仿宋_GB2312" w:hAnsi="仿宋_GB2312" w:eastAsia="仿宋_GB2312" w:cs="仿宋_GB2312"/>
          <w:color w:val="000000" w:themeColor="text1"/>
          <w:sz w:val="24"/>
          <w:szCs w:val="24"/>
          <w:highlight w:val="none"/>
        </w:rPr>
        <w:t>6.1.5其他</w:t>
      </w:r>
      <w:r>
        <w:rPr>
          <w:rFonts w:hint="eastAsia" w:ascii="仿宋_GB2312" w:hAnsi="仿宋_GB2312" w:eastAsia="仿宋_GB2312" w:cs="仿宋_GB2312"/>
          <w:b/>
          <w:bCs/>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w:t>
      </w:r>
    </w:p>
    <w:p>
      <w:pPr>
        <w:spacing w:line="400" w:lineRule="atLeast"/>
        <w:ind w:firstLine="480" w:firstLineChars="200"/>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6.1.6履约保证金缴纳账户：</w:t>
      </w:r>
    </w:p>
    <w:p>
      <w:pPr>
        <w:spacing w:line="400" w:lineRule="atLeast"/>
        <w:ind w:left="120" w:firstLine="480" w:firstLineChars="200"/>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户名：</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 xml:space="preserve"> </w:t>
      </w:r>
    </w:p>
    <w:p>
      <w:pPr>
        <w:spacing w:line="400" w:lineRule="atLeast"/>
        <w:ind w:left="120" w:firstLine="480" w:firstLineChars="200"/>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帐号：</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 xml:space="preserve"> </w:t>
      </w:r>
    </w:p>
    <w:p>
      <w:pPr>
        <w:spacing w:line="400" w:lineRule="atLeast"/>
        <w:ind w:left="120" w:firstLine="480" w:firstLineChars="200"/>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开户行：</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 xml:space="preserve"> </w:t>
      </w:r>
    </w:p>
    <w:p>
      <w:pPr>
        <w:pStyle w:val="41"/>
        <w:spacing w:line="400" w:lineRule="atLeast"/>
        <w:ind w:firstLine="482" w:firstLineChars="200"/>
        <w:rPr>
          <w:highlight w:val="none"/>
        </w:rPr>
      </w:pPr>
      <w:r>
        <w:rPr>
          <w:rFonts w:hint="eastAsia" w:ascii="仿宋_GB2312" w:hAnsi="仿宋_GB2312" w:eastAsia="仿宋_GB2312" w:cs="仿宋_GB2312"/>
          <w:b/>
          <w:bCs/>
          <w:color w:val="000000" w:themeColor="text1"/>
          <w:highlight w:val="none"/>
        </w:rPr>
        <w:t>6.2.履约保证金退还：</w:t>
      </w:r>
      <w:r>
        <w:rPr>
          <w:rFonts w:hint="eastAsia" w:ascii="仿宋_GB2312" w:hAnsi="仿宋_GB2312" w:eastAsia="仿宋_GB2312" w:cs="仿宋_GB2312"/>
          <w:color w:val="000000" w:themeColor="text1"/>
          <w:kern w:val="2"/>
          <w:sz w:val="24"/>
          <w:szCs w:val="24"/>
          <w:highlight w:val="none"/>
          <w:lang w:val="en-US" w:eastAsia="zh-CN" w:bidi="ar-SA"/>
        </w:rPr>
        <w:t>在合同完成后</w:t>
      </w:r>
      <w:r>
        <w:rPr>
          <w:rFonts w:hint="eastAsia" w:ascii="仿宋_GB2312" w:hAnsi="仿宋_GB2312" w:eastAsia="仿宋_GB2312" w:cs="仿宋_GB2312"/>
          <w:color w:val="000000" w:themeColor="text1"/>
          <w:kern w:val="2"/>
          <w:sz w:val="24"/>
          <w:szCs w:val="24"/>
          <w:highlight w:val="none"/>
          <w:u w:val="single"/>
          <w:lang w:val="en-US" w:eastAsia="zh-CN" w:bidi="ar-SA"/>
        </w:rPr>
        <w:t xml:space="preserve">    </w:t>
      </w:r>
      <w:r>
        <w:rPr>
          <w:rFonts w:hint="eastAsia" w:ascii="仿宋_GB2312" w:hAnsi="仿宋_GB2312" w:eastAsia="仿宋_GB2312" w:cs="仿宋_GB2312"/>
          <w:color w:val="000000" w:themeColor="text1"/>
          <w:kern w:val="2"/>
          <w:sz w:val="24"/>
          <w:szCs w:val="24"/>
          <w:highlight w:val="none"/>
          <w:lang w:val="en-US" w:eastAsia="zh-CN" w:bidi="ar-SA"/>
        </w:rPr>
        <w:t>工作日内甲方无息退还乙方履约保证金（扣除违约金及应扣除款项）</w:t>
      </w:r>
      <w:r>
        <w:rPr>
          <w:rFonts w:hint="eastAsia" w:ascii="仿宋_GB2312" w:hAnsi="仿宋_GB2312" w:eastAsia="仿宋_GB2312" w:cs="仿宋_GB2312"/>
          <w:color w:val="000000" w:themeColor="text1"/>
          <w:highlight w:val="none"/>
        </w:rPr>
        <w:t>。</w:t>
      </w:r>
    </w:p>
    <w:p>
      <w:pPr>
        <w:spacing w:line="400" w:lineRule="atLeast"/>
        <w:ind w:firstLine="482" w:firstLineChars="200"/>
        <w:rPr>
          <w:rFonts w:hint="eastAsia"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lang w:val="en-US" w:eastAsia="zh-CN"/>
        </w:rPr>
        <w:t>6.3</w:t>
      </w:r>
      <w:r>
        <w:rPr>
          <w:rFonts w:hint="eastAsia" w:ascii="仿宋_GB2312" w:hAnsi="仿宋_GB2312" w:eastAsia="仿宋_GB2312" w:cs="仿宋_GB2312"/>
          <w:b/>
          <w:bCs/>
          <w:color w:val="000000" w:themeColor="text1"/>
          <w:sz w:val="24"/>
          <w:szCs w:val="24"/>
          <w:highlight w:val="none"/>
        </w:rPr>
        <w:t>已缴纳履约保证金的，如发生以下任何一种情况履约保证金不予退还：</w:t>
      </w:r>
    </w:p>
    <w:p>
      <w:pPr>
        <w:spacing w:line="400" w:lineRule="atLeast"/>
        <w:ind w:firstLine="480" w:firstLineChars="200"/>
        <w:rPr>
          <w:rFonts w:hint="eastAsia"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lang w:val="en-US" w:eastAsia="zh-CN"/>
        </w:rPr>
        <w:t>6.3</w:t>
      </w:r>
      <w:r>
        <w:rPr>
          <w:rFonts w:hint="eastAsia" w:ascii="仿宋_GB2312" w:hAnsi="仿宋_GB2312" w:eastAsia="仿宋_GB2312" w:cs="仿宋_GB2312"/>
          <w:color w:val="000000" w:themeColor="text1"/>
          <w:sz w:val="24"/>
          <w:szCs w:val="24"/>
          <w:highlight w:val="none"/>
        </w:rPr>
        <w:t>.1无法正常供货的情况，包括任何原因的不供货或连续5日历天未能按甲方要求的数量供货。</w:t>
      </w:r>
    </w:p>
    <w:p>
      <w:pPr>
        <w:spacing w:line="400" w:lineRule="atLeast"/>
        <w:ind w:firstLine="480" w:firstLineChars="200"/>
        <w:rPr>
          <w:rFonts w:hint="eastAsia"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lang w:val="en-US" w:eastAsia="zh-CN"/>
        </w:rPr>
        <w:t>6.3</w:t>
      </w:r>
      <w:r>
        <w:rPr>
          <w:rFonts w:hint="eastAsia" w:ascii="仿宋_GB2312" w:hAnsi="仿宋_GB2312" w:eastAsia="仿宋_GB2312" w:cs="仿宋_GB2312"/>
          <w:color w:val="000000" w:themeColor="text1"/>
          <w:sz w:val="24"/>
          <w:szCs w:val="24"/>
          <w:highlight w:val="none"/>
        </w:rPr>
        <w:t>.2供应的物资不符合国家、甲方、业主和监理相关标准和要求，且在规定时间内不予调换、处理的情况。</w:t>
      </w:r>
    </w:p>
    <w:p>
      <w:pPr>
        <w:spacing w:line="400" w:lineRule="atLeast"/>
        <w:ind w:firstLine="480" w:firstLineChars="200"/>
        <w:rPr>
          <w:rFonts w:hint="eastAsia"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lang w:val="en-US" w:eastAsia="zh-CN"/>
        </w:rPr>
        <w:t>6.3</w:t>
      </w:r>
      <w:r>
        <w:rPr>
          <w:rFonts w:hint="eastAsia" w:ascii="仿宋_GB2312" w:hAnsi="仿宋_GB2312" w:eastAsia="仿宋_GB2312" w:cs="仿宋_GB2312"/>
          <w:color w:val="000000" w:themeColor="text1"/>
          <w:sz w:val="24"/>
          <w:szCs w:val="24"/>
          <w:highlight w:val="none"/>
        </w:rPr>
        <w:t>.3不服从甲方管理的。</w:t>
      </w:r>
    </w:p>
    <w:p>
      <w:pPr>
        <w:spacing w:line="400" w:lineRule="atLeast"/>
        <w:ind w:firstLine="480" w:firstLineChars="200"/>
        <w:rPr>
          <w:rFonts w:hint="eastAsia"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lang w:val="en-US" w:eastAsia="zh-CN"/>
        </w:rPr>
        <w:t>6.3</w:t>
      </w:r>
      <w:r>
        <w:rPr>
          <w:rFonts w:hint="eastAsia" w:ascii="仿宋_GB2312" w:hAnsi="仿宋_GB2312" w:eastAsia="仿宋_GB2312" w:cs="仿宋_GB2312"/>
          <w:color w:val="000000" w:themeColor="text1"/>
          <w:sz w:val="24"/>
          <w:szCs w:val="24"/>
          <w:highlight w:val="none"/>
        </w:rPr>
        <w:t>.4因乙方原因给甲方造成损失的。</w:t>
      </w:r>
    </w:p>
    <w:p>
      <w:pPr>
        <w:spacing w:line="400" w:lineRule="atLeast"/>
        <w:ind w:firstLine="480" w:firstLineChars="200"/>
        <w:rPr>
          <w:rFonts w:hint="default"/>
          <w:highlight w:val="none"/>
          <w:lang w:val="en-US" w:eastAsia="zh-CN"/>
        </w:rPr>
      </w:pPr>
      <w:r>
        <w:rPr>
          <w:rFonts w:hint="eastAsia" w:ascii="仿宋_GB2312" w:hAnsi="仿宋_GB2312" w:eastAsia="仿宋_GB2312" w:cs="仿宋_GB2312"/>
          <w:color w:val="000000" w:themeColor="text1"/>
          <w:sz w:val="24"/>
          <w:szCs w:val="24"/>
          <w:highlight w:val="none"/>
          <w:lang w:val="en-US" w:eastAsia="zh-CN"/>
        </w:rPr>
        <w:t>6.3</w:t>
      </w:r>
      <w:r>
        <w:rPr>
          <w:rFonts w:hint="eastAsia" w:ascii="仿宋_GB2312" w:hAnsi="仿宋_GB2312" w:eastAsia="仿宋_GB2312" w:cs="仿宋_GB2312"/>
          <w:color w:val="000000" w:themeColor="text1"/>
          <w:sz w:val="24"/>
          <w:szCs w:val="24"/>
          <w:highlight w:val="none"/>
        </w:rPr>
        <w:t>.</w:t>
      </w:r>
      <w:r>
        <w:rPr>
          <w:rFonts w:hint="eastAsia" w:ascii="仿宋_GB2312" w:hAnsi="仿宋_GB2312" w:eastAsia="仿宋_GB2312" w:cs="仿宋_GB2312"/>
          <w:color w:val="000000" w:themeColor="text1"/>
          <w:sz w:val="24"/>
          <w:szCs w:val="24"/>
          <w:highlight w:val="none"/>
          <w:lang w:val="en-US" w:eastAsia="zh-CN"/>
        </w:rPr>
        <w:t>5</w:t>
      </w:r>
      <w:r>
        <w:rPr>
          <w:rFonts w:hint="eastAsia" w:ascii="仿宋_GB2312" w:hAnsi="仿宋_GB2312" w:eastAsia="仿宋_GB2312" w:cs="仿宋_GB2312"/>
          <w:color w:val="000000" w:themeColor="text1"/>
          <w:sz w:val="24"/>
          <w:szCs w:val="24"/>
          <w:highlight w:val="none"/>
        </w:rPr>
        <w:t>如履约保证金不足以弥补甲方损失，甲方有权要求相应补偿。</w:t>
      </w:r>
    </w:p>
    <w:p>
      <w:pPr>
        <w:pStyle w:val="41"/>
        <w:spacing w:line="400" w:lineRule="atLeast"/>
        <w:ind w:firstLine="482" w:firstLineChars="200"/>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rPr>
      </w:pPr>
      <w:r>
        <w:rPr>
          <w:rFonts w:hint="eastAsia" w:ascii="仿宋_GB2312" w:hAnsi="仿宋_GB2312" w:eastAsia="仿宋_GB2312" w:cs="仿宋_GB2312"/>
          <w:b/>
          <w:bCs/>
          <w:color w:val="000000" w:themeColor="text1"/>
          <w:sz w:val="24"/>
          <w:szCs w:val="24"/>
          <w:highlight w:val="none"/>
          <w:lang w:val="en-US" w:eastAsia="zh-CN"/>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rPr>
      </w:pPr>
      <w:r>
        <w:rPr>
          <w:rFonts w:hint="eastAsia" w:ascii="仿宋_GB2312" w:hAnsi="仿宋_GB2312" w:eastAsia="仿宋_GB2312" w:cs="仿宋_GB2312"/>
          <w:b/>
          <w:bCs/>
          <w:color w:val="000000" w:themeColor="text1"/>
          <w:sz w:val="24"/>
          <w:szCs w:val="24"/>
          <w:highlight w:val="none"/>
          <w:lang w:val="en-US" w:eastAsia="zh-CN"/>
        </w:rPr>
        <w:t>9、甲方拖欠线索受理联系人：</w:t>
      </w:r>
    </w:p>
    <w:p>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rPr>
      </w:pPr>
      <w:r>
        <w:rPr>
          <w:rFonts w:hint="eastAsia" w:ascii="仿宋_GB2312" w:hAnsi="仿宋_GB2312" w:eastAsia="仿宋_GB2312" w:cs="仿宋_GB2312"/>
          <w:b/>
          <w:bCs/>
          <w:color w:val="000000" w:themeColor="text1"/>
          <w:sz w:val="24"/>
          <w:szCs w:val="24"/>
          <w:highlight w:val="none"/>
          <w:lang w:val="en-US" w:eastAsia="zh-CN"/>
        </w:rPr>
        <w:t>项目部联系人：</w:t>
      </w:r>
      <w:r>
        <w:rPr>
          <w:rFonts w:hint="eastAsia" w:ascii="仿宋_GB2312" w:hAnsi="仿宋_GB2312" w:eastAsia="仿宋_GB2312" w:cs="仿宋_GB2312"/>
          <w:b/>
          <w:bCs/>
          <w:color w:val="000000" w:themeColor="text1"/>
          <w:sz w:val="24"/>
          <w:szCs w:val="24"/>
          <w:highlight w:val="none"/>
          <w:u w:val="single"/>
          <w:lang w:val="en-US" w:eastAsia="zh-CN"/>
        </w:rPr>
        <w:t xml:space="preserve"> 顾玉辉 </w:t>
      </w:r>
      <w:r>
        <w:rPr>
          <w:rFonts w:hint="eastAsia" w:ascii="仿宋_GB2312" w:hAnsi="仿宋_GB2312" w:eastAsia="仿宋_GB2312" w:cs="仿宋_GB2312"/>
          <w:b/>
          <w:bCs/>
          <w:color w:val="000000" w:themeColor="text1"/>
          <w:sz w:val="24"/>
          <w:szCs w:val="24"/>
          <w:highlight w:val="none"/>
          <w:lang w:val="en-US" w:eastAsia="zh-CN"/>
        </w:rPr>
        <w:t>，联系电话：</w:t>
      </w:r>
      <w:r>
        <w:rPr>
          <w:rFonts w:hint="eastAsia" w:ascii="仿宋_GB2312" w:hAnsi="仿宋_GB2312" w:eastAsia="仿宋_GB2312" w:cs="仿宋_GB2312"/>
          <w:b/>
          <w:bCs/>
          <w:color w:val="000000" w:themeColor="text1"/>
          <w:sz w:val="24"/>
          <w:szCs w:val="24"/>
          <w:highlight w:val="none"/>
          <w:u w:val="single"/>
          <w:lang w:val="en-US" w:eastAsia="zh-CN"/>
        </w:rPr>
        <w:t xml:space="preserve">  15633699828 </w:t>
      </w:r>
      <w:r>
        <w:rPr>
          <w:rFonts w:hint="eastAsia" w:ascii="仿宋_GB2312" w:hAnsi="仿宋_GB2312" w:eastAsia="仿宋_GB2312" w:cs="仿宋_GB2312"/>
          <w:b/>
          <w:bCs/>
          <w:color w:val="000000" w:themeColor="text1"/>
          <w:sz w:val="24"/>
          <w:szCs w:val="24"/>
          <w:highlight w:val="none"/>
          <w:lang w:val="en-US" w:eastAsia="zh-CN"/>
        </w:rPr>
        <w:t xml:space="preserve">； </w:t>
      </w:r>
    </w:p>
    <w:p>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rPr>
      </w:pPr>
      <w:r>
        <w:rPr>
          <w:rFonts w:hint="eastAsia" w:ascii="仿宋_GB2312" w:hAnsi="仿宋_GB2312" w:eastAsia="仿宋_GB2312" w:cs="仿宋_GB2312"/>
          <w:b/>
          <w:bCs/>
          <w:color w:val="000000" w:themeColor="text1"/>
          <w:sz w:val="24"/>
          <w:szCs w:val="24"/>
          <w:highlight w:val="none"/>
          <w:lang w:val="en-US" w:eastAsia="zh-CN"/>
        </w:rPr>
        <w:t>公司联系人：</w:t>
      </w:r>
      <w:r>
        <w:rPr>
          <w:rFonts w:hint="eastAsia" w:ascii="仿宋_GB2312" w:hAnsi="仿宋_GB2312" w:eastAsia="仿宋_GB2312" w:cs="仿宋_GB2312"/>
          <w:b/>
          <w:bCs/>
          <w:color w:val="000000" w:themeColor="text1"/>
          <w:sz w:val="24"/>
          <w:szCs w:val="24"/>
          <w:highlight w:val="none"/>
          <w:u w:val="single"/>
          <w:lang w:val="en-US" w:eastAsia="zh-CN"/>
        </w:rPr>
        <w:t xml:space="preserve">  仲兆川 代志炜    </w:t>
      </w:r>
      <w:r>
        <w:rPr>
          <w:rFonts w:hint="eastAsia" w:ascii="仿宋_GB2312" w:hAnsi="仿宋_GB2312" w:eastAsia="仿宋_GB2312" w:cs="仿宋_GB2312"/>
          <w:b/>
          <w:bCs/>
          <w:color w:val="000000" w:themeColor="text1"/>
          <w:sz w:val="24"/>
          <w:szCs w:val="24"/>
          <w:highlight w:val="none"/>
          <w:lang w:val="en-US" w:eastAsia="zh-CN"/>
        </w:rPr>
        <w:t>，联系电话：</w:t>
      </w:r>
      <w:r>
        <w:rPr>
          <w:rFonts w:hint="eastAsia" w:ascii="仿宋_GB2312" w:hAnsi="仿宋_GB2312" w:eastAsia="仿宋_GB2312" w:cs="仿宋_GB2312"/>
          <w:b/>
          <w:bCs/>
          <w:color w:val="000000" w:themeColor="text1"/>
          <w:sz w:val="24"/>
          <w:szCs w:val="24"/>
          <w:highlight w:val="none"/>
          <w:u w:val="single"/>
          <w:lang w:val="en-US" w:eastAsia="zh-CN"/>
        </w:rPr>
        <w:t>18835137365  13581999124</w:t>
      </w:r>
    </w:p>
    <w:p>
      <w:pPr>
        <w:spacing w:line="480" w:lineRule="exact"/>
        <w:ind w:firstLine="482" w:firstLineChars="200"/>
        <w:rPr>
          <w:rFonts w:hint="default" w:ascii="仿宋_GB2312" w:hAnsi="仿宋_GB2312" w:eastAsia="仿宋_GB2312" w:cs="仿宋_GB2312"/>
          <w:b/>
          <w:bCs/>
          <w:color w:val="000000" w:themeColor="text1"/>
          <w:sz w:val="24"/>
          <w:szCs w:val="24"/>
          <w:highlight w:val="none"/>
          <w:u w:val="single"/>
          <w:lang w:val="en-US" w:eastAsia="zh-CN"/>
        </w:rPr>
      </w:pPr>
      <w:r>
        <w:rPr>
          <w:rFonts w:hint="eastAsia" w:ascii="仿宋_GB2312" w:hAnsi="仿宋_GB2312" w:eastAsia="仿宋_GB2312" w:cs="仿宋_GB2312"/>
          <w:b/>
          <w:bCs/>
          <w:color w:val="000000" w:themeColor="text1"/>
          <w:sz w:val="24"/>
          <w:szCs w:val="24"/>
          <w:highlight w:val="none"/>
          <w:lang w:val="en-US" w:eastAsia="zh-CN"/>
        </w:rPr>
        <w:t>公司信访投诉电话：</w:t>
      </w:r>
      <w:r>
        <w:rPr>
          <w:rFonts w:hint="eastAsia" w:ascii="仿宋_GB2312" w:hAnsi="仿宋_GB2312" w:eastAsia="仿宋_GB2312" w:cs="仿宋_GB2312"/>
          <w:b/>
          <w:bCs/>
          <w:color w:val="000000" w:themeColor="text1"/>
          <w:sz w:val="24"/>
          <w:szCs w:val="24"/>
          <w:highlight w:val="none"/>
          <w:u w:val="single"/>
          <w:lang w:val="en-US" w:eastAsia="zh-CN"/>
        </w:rPr>
        <w:t>18250005702</w:t>
      </w:r>
    </w:p>
    <w:p>
      <w:pPr>
        <w:spacing w:line="480" w:lineRule="exact"/>
        <w:ind w:firstLine="482" w:firstLineChars="200"/>
        <w:rPr>
          <w:rFonts w:hint="default" w:ascii="仿宋_GB2312" w:hAnsi="仿宋_GB2312" w:eastAsia="仿宋_GB2312" w:cs="仿宋_GB2312"/>
          <w:b/>
          <w:bCs/>
          <w:color w:val="000000" w:themeColor="text1"/>
          <w:sz w:val="24"/>
          <w:szCs w:val="24"/>
          <w:highlight w:val="none"/>
          <w:lang w:val="en-US" w:eastAsia="zh-CN"/>
        </w:rPr>
      </w:pPr>
      <w:r>
        <w:rPr>
          <w:rFonts w:hint="eastAsia" w:ascii="仿宋_GB2312" w:hAnsi="仿宋_GB2312" w:eastAsia="仿宋_GB2312" w:cs="仿宋_GB2312"/>
          <w:b/>
          <w:bCs/>
          <w:color w:val="000000" w:themeColor="text1"/>
          <w:sz w:val="24"/>
          <w:szCs w:val="24"/>
          <w:highlight w:val="none"/>
          <w:lang w:val="en-US" w:eastAsia="zh-CN"/>
        </w:rPr>
        <w:t>信访投诉邮箱：</w:t>
      </w:r>
      <w:r>
        <w:rPr>
          <w:rStyle w:val="36"/>
          <w:rFonts w:hint="eastAsia" w:ascii="仿宋" w:hAnsi="仿宋" w:eastAsia="仿宋" w:cs="仿宋"/>
          <w:b/>
          <w:bCs/>
          <w:sz w:val="24"/>
          <w:szCs w:val="24"/>
          <w:highlight w:val="none"/>
          <w:u w:val="single"/>
          <w:lang w:val="en-US" w:eastAsia="zh-CN"/>
        </w:rPr>
        <w:fldChar w:fldCharType="begin"/>
      </w:r>
      <w:r>
        <w:rPr>
          <w:rStyle w:val="36"/>
          <w:rFonts w:hint="eastAsia" w:ascii="仿宋" w:hAnsi="仿宋" w:eastAsia="仿宋" w:cs="仿宋"/>
          <w:b/>
          <w:bCs/>
          <w:sz w:val="24"/>
          <w:szCs w:val="24"/>
          <w:highlight w:val="none"/>
          <w:u w:val="single"/>
          <w:lang w:val="en-US" w:eastAsia="zh-CN"/>
        </w:rPr>
        <w:instrText xml:space="preserve"> HYPERLINK "mailto:2045459497@qq.com" </w:instrText>
      </w:r>
      <w:r>
        <w:rPr>
          <w:rStyle w:val="36"/>
          <w:rFonts w:hint="eastAsia" w:ascii="仿宋" w:hAnsi="仿宋" w:eastAsia="仿宋" w:cs="仿宋"/>
          <w:b/>
          <w:bCs/>
          <w:sz w:val="24"/>
          <w:szCs w:val="24"/>
          <w:highlight w:val="none"/>
          <w:u w:val="single"/>
          <w:lang w:val="en-US" w:eastAsia="zh-CN"/>
        </w:rPr>
        <w:fldChar w:fldCharType="separate"/>
      </w:r>
      <w:r>
        <w:rPr>
          <w:rStyle w:val="36"/>
          <w:rFonts w:hint="eastAsia" w:ascii="仿宋" w:hAnsi="仿宋" w:eastAsia="仿宋" w:cs="仿宋"/>
          <w:b/>
          <w:bCs/>
          <w:sz w:val="24"/>
          <w:szCs w:val="24"/>
          <w:highlight w:val="none"/>
          <w:u w:val="single"/>
          <w:lang w:val="en-US" w:eastAsia="zh-CN"/>
        </w:rPr>
        <w:t>2045459497@qq.com</w:t>
      </w:r>
      <w:r>
        <w:rPr>
          <w:rStyle w:val="36"/>
          <w:rFonts w:hint="eastAsia" w:ascii="仿宋" w:hAnsi="仿宋" w:eastAsia="仿宋" w:cs="仿宋"/>
          <w:b/>
          <w:bCs/>
          <w:sz w:val="24"/>
          <w:szCs w:val="24"/>
          <w:highlight w:val="none"/>
          <w:u w:val="single"/>
          <w:lang w:val="en-US" w:eastAsia="zh-CN"/>
        </w:rPr>
        <w:fldChar w:fldCharType="end"/>
      </w:r>
    </w:p>
    <w:p>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rPr>
      </w:pPr>
      <w:r>
        <w:rPr>
          <w:rFonts w:hint="eastAsia" w:ascii="仿宋_GB2312" w:hAnsi="仿宋_GB2312" w:eastAsia="仿宋_GB2312" w:cs="仿宋_GB2312"/>
          <w:b/>
          <w:bCs/>
          <w:color w:val="000000" w:themeColor="text1"/>
          <w:sz w:val="24"/>
          <w:szCs w:val="24"/>
          <w:highlight w:val="none"/>
          <w:lang w:val="en-US" w:eastAsia="zh-CN"/>
        </w:rPr>
        <w:t>云筑网中建系统账款投诉平台：</w:t>
      </w:r>
      <w:r>
        <w:rPr>
          <w:rFonts w:hint="eastAsia" w:ascii="仿宋_GB2312" w:hAnsi="仿宋_GB2312" w:eastAsia="仿宋_GB2312" w:cs="仿宋_GB2312"/>
          <w:b w:val="0"/>
          <w:bCs w:val="0"/>
          <w:color w:val="000000" w:themeColor="text1"/>
          <w:sz w:val="24"/>
          <w:szCs w:val="24"/>
          <w:highlight w:val="none"/>
          <w:u w:val="single"/>
          <w:lang w:val="en-US" w:eastAsia="zh-CN"/>
        </w:rPr>
        <w:t>https://ts.yzw.cn</w:t>
      </w:r>
    </w:p>
    <w:p>
      <w:pPr>
        <w:pStyle w:val="41"/>
        <w:spacing w:line="400" w:lineRule="atLeast"/>
        <w:ind w:firstLine="482" w:firstLineChars="200"/>
        <w:rPr>
          <w:rFonts w:ascii="仿宋_GB2312" w:hAnsi="仿宋_GB2312" w:eastAsia="仿宋_GB2312" w:cs="仿宋_GB2312"/>
          <w:b/>
          <w:bCs/>
          <w:color w:val="000000" w:themeColor="text1"/>
          <w:highlight w:val="none"/>
          <w:u w:val="single"/>
        </w:rPr>
      </w:pPr>
      <w:r>
        <w:rPr>
          <w:rFonts w:hint="eastAsia" w:ascii="仿宋_GB2312" w:hAnsi="仿宋_GB2312" w:eastAsia="仿宋_GB2312" w:cs="仿宋_GB2312"/>
          <w:b/>
          <w:bCs/>
          <w:color w:val="000000" w:themeColor="text1"/>
          <w:highlight w:val="none"/>
          <w:lang w:val="en-US" w:eastAsia="zh-CN"/>
        </w:rPr>
        <w:t>10</w:t>
      </w:r>
      <w:r>
        <w:rPr>
          <w:rFonts w:hint="eastAsia" w:ascii="仿宋_GB2312" w:hAnsi="仿宋_GB2312" w:eastAsia="仿宋_GB2312" w:cs="仿宋_GB2312"/>
          <w:b/>
          <w:bCs/>
          <w:color w:val="000000" w:themeColor="text1"/>
          <w:highlight w:val="none"/>
        </w:rPr>
        <w:t>、其他：</w:t>
      </w:r>
      <w:r>
        <w:rPr>
          <w:rFonts w:hint="eastAsia" w:ascii="仿宋_GB2312" w:hAnsi="仿宋_GB2312" w:eastAsia="仿宋_GB2312" w:cs="仿宋_GB2312"/>
          <w:b/>
          <w:bCs/>
          <w:color w:val="000000" w:themeColor="text1"/>
          <w:highlight w:val="none"/>
          <w:u w:val="single"/>
        </w:rPr>
        <w:t xml:space="preserve"> </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w:t>
      </w:r>
    </w:p>
    <w:p>
      <w:pPr>
        <w:pStyle w:val="4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通知与送达</w:t>
      </w:r>
      <w:bookmarkEnd w:id="107"/>
      <w:bookmarkEnd w:id="108"/>
      <w:bookmarkEnd w:id="109"/>
    </w:p>
    <w:p>
      <w:pPr>
        <w:pStyle w:val="41"/>
        <w:numPr>
          <w:ilvl w:val="0"/>
          <w:numId w:val="5"/>
        </w:numPr>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本合同中涉及合同、文件、律师函、诉讼文书的送达地址或邮箱及法律后果作如下约定：</w:t>
      </w:r>
    </w:p>
    <w:p>
      <w:pPr>
        <w:pStyle w:val="41"/>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1.1甲方确认其有效的送达地址为：</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w:t>
      </w:r>
      <w:bookmarkStart w:id="206" w:name="_GoBack"/>
      <w:bookmarkEnd w:id="206"/>
    </w:p>
    <w:p>
      <w:pPr>
        <w:pStyle w:val="41"/>
        <w:spacing w:line="400" w:lineRule="atLeast"/>
        <w:ind w:firstLine="720" w:firstLineChars="3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联系人及电话：</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；邮箱：</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w:t>
      </w:r>
    </w:p>
    <w:p>
      <w:pPr>
        <w:pStyle w:val="41"/>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1.2乙方确认其有效的送达地址为：</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w:t>
      </w:r>
    </w:p>
    <w:p>
      <w:pPr>
        <w:pStyle w:val="41"/>
        <w:spacing w:line="400" w:lineRule="atLeast"/>
        <w:ind w:firstLine="720" w:firstLineChars="3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联系人及电话：</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；邮箱：</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w:t>
      </w:r>
    </w:p>
    <w:p>
      <w:pPr>
        <w:pStyle w:val="41"/>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2、双方该送达地址或邮箱适用范围包括双方就合同发生纠纷时的律师函和法律文书的送达，同时包括在争议进入民事诉讼程序（如有）后的一审、二审、再审和执行程序。</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pPr>
        <w:pStyle w:val="4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rPr>
      </w:pPr>
      <w:bookmarkStart w:id="110" w:name="_Toc26478"/>
      <w:bookmarkStart w:id="111" w:name="_Toc21843"/>
      <w:bookmarkStart w:id="112" w:name="_Toc4701"/>
      <w:r>
        <w:rPr>
          <w:rFonts w:hint="eastAsia" w:ascii="仿宋_GB2312" w:hAnsi="仿宋_GB2312" w:eastAsia="仿宋_GB2312" w:cs="仿宋_GB2312"/>
          <w:b/>
          <w:bCs/>
          <w:color w:val="000000" w:themeColor="text1"/>
          <w:highlight w:val="none"/>
        </w:rPr>
        <w:t>合同生效</w:t>
      </w:r>
      <w:bookmarkEnd w:id="110"/>
      <w:bookmarkEnd w:id="111"/>
      <w:bookmarkEnd w:id="112"/>
    </w:p>
    <w:p>
      <w:pPr>
        <w:pStyle w:val="41"/>
        <w:numPr>
          <w:ilvl w:val="255"/>
          <w:numId w:val="0"/>
        </w:numPr>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1、本合同签约形式适用第</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u w:val="single"/>
          <w:lang w:val="en-US" w:eastAsia="zh-CN"/>
        </w:rPr>
        <w:t xml:space="preserve">   </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条；</w:t>
      </w:r>
    </w:p>
    <w:p>
      <w:pPr>
        <w:pStyle w:val="41"/>
        <w:numPr>
          <w:ilvl w:val="255"/>
          <w:numId w:val="0"/>
        </w:numPr>
        <w:spacing w:line="400" w:lineRule="atLeast"/>
        <w:ind w:firstLine="480" w:firstLineChars="200"/>
        <w:jc w:val="both"/>
        <w:rPr>
          <w:rFonts w:ascii="仿宋_GB2312" w:hAnsi="仿宋_GB2312" w:eastAsia="仿宋_GB2312" w:cs="仿宋_GB2312"/>
          <w:color w:val="000000" w:themeColor="text1"/>
          <w:highlight w:val="none"/>
        </w:rPr>
      </w:pPr>
      <w:bookmarkStart w:id="113" w:name="_Toc31827_WPSOffice_Level1"/>
      <w:bookmarkStart w:id="114" w:name="_Toc15785_WPSOffice_Level1"/>
      <w:bookmarkStart w:id="115" w:name="_Toc7989"/>
      <w:bookmarkStart w:id="116" w:name="_Toc6851_WPSOffice_Level1"/>
      <w:bookmarkStart w:id="117" w:name="_Toc21939"/>
      <w:r>
        <w:rPr>
          <w:rFonts w:hint="eastAsia" w:ascii="仿宋_GB2312" w:hAnsi="仿宋_GB2312" w:eastAsia="仿宋_GB2312" w:cs="仿宋_GB2312"/>
          <w:color w:val="000000" w:themeColor="text1"/>
          <w:highlight w:val="none"/>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pPr>
        <w:pStyle w:val="41"/>
        <w:numPr>
          <w:ilvl w:val="0"/>
          <w:numId w:val="0"/>
        </w:numPr>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1.2双方同意通过加盖物理印章的方式签署本合同，合同自双方盖章后生效，完成合同约定的全部内容且保修期满后即告终止。合同壹式</w:t>
      </w:r>
      <w:r>
        <w:rPr>
          <w:rFonts w:hint="eastAsia" w:ascii="仿宋_GB2312" w:hAnsi="仿宋_GB2312" w:eastAsia="仿宋_GB2312" w:cs="仿宋_GB2312"/>
          <w:color w:val="000000" w:themeColor="text1"/>
          <w:highlight w:val="none"/>
          <w:lang w:val="en-US" w:eastAsia="zh-CN"/>
        </w:rPr>
        <w:t>捌</w:t>
      </w:r>
      <w:r>
        <w:rPr>
          <w:rFonts w:hint="eastAsia" w:ascii="仿宋_GB2312" w:hAnsi="仿宋_GB2312" w:eastAsia="仿宋_GB2312" w:cs="仿宋_GB2312"/>
          <w:color w:val="000000" w:themeColor="text1"/>
          <w:highlight w:val="none"/>
        </w:rPr>
        <w:t>份，甲方执</w:t>
      </w:r>
      <w:r>
        <w:rPr>
          <w:rFonts w:hint="eastAsia" w:ascii="仿宋_GB2312" w:hAnsi="仿宋_GB2312" w:eastAsia="仿宋_GB2312" w:cs="仿宋_GB2312"/>
          <w:color w:val="000000" w:themeColor="text1"/>
          <w:highlight w:val="none"/>
          <w:lang w:val="en-US" w:eastAsia="zh-CN"/>
        </w:rPr>
        <w:t>陆</w:t>
      </w:r>
      <w:r>
        <w:rPr>
          <w:rFonts w:hint="eastAsia" w:ascii="仿宋_GB2312" w:hAnsi="仿宋_GB2312" w:eastAsia="仿宋_GB2312" w:cs="仿宋_GB2312"/>
          <w:color w:val="000000" w:themeColor="text1"/>
          <w:highlight w:val="none"/>
        </w:rPr>
        <w:t>份，乙方执</w:t>
      </w:r>
      <w:r>
        <w:rPr>
          <w:rFonts w:hint="eastAsia" w:ascii="仿宋_GB2312" w:hAnsi="仿宋_GB2312" w:eastAsia="仿宋_GB2312" w:cs="仿宋_GB2312"/>
          <w:color w:val="000000" w:themeColor="text1"/>
          <w:highlight w:val="none"/>
          <w:lang w:val="en-US" w:eastAsia="zh-CN"/>
        </w:rPr>
        <w:t>贰</w:t>
      </w:r>
      <w:r>
        <w:rPr>
          <w:rFonts w:hint="eastAsia" w:ascii="仿宋_GB2312" w:hAnsi="仿宋_GB2312" w:eastAsia="仿宋_GB2312" w:cs="仿宋_GB2312"/>
          <w:color w:val="000000" w:themeColor="text1"/>
          <w:highlight w:val="none"/>
        </w:rPr>
        <w:t>份。</w:t>
      </w:r>
    </w:p>
    <w:p>
      <w:pPr>
        <w:spacing w:line="400" w:lineRule="atLeast"/>
        <w:ind w:firstLine="504" w:firstLineChars="200"/>
        <w:jc w:val="left"/>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bCs/>
          <w:color w:val="000000" w:themeColor="text1"/>
          <w:spacing w:val="6"/>
          <w:sz w:val="24"/>
          <w:szCs w:val="24"/>
          <w:highlight w:val="none"/>
        </w:rPr>
        <w:t>以下无正文</w:t>
      </w:r>
      <w:bookmarkEnd w:id="113"/>
      <w:bookmarkEnd w:id="114"/>
      <w:bookmarkEnd w:id="115"/>
      <w:bookmarkEnd w:id="116"/>
      <w:bookmarkEnd w:id="117"/>
      <w:bookmarkStart w:id="118" w:name="_Toc6163_WPSOffice_Level1"/>
      <w:bookmarkStart w:id="119" w:name="_Toc19595_WPSOffice_Level1"/>
      <w:bookmarkStart w:id="120" w:name="_Toc8898_WPSOffice_Level1"/>
    </w:p>
    <w:p>
      <w:pPr>
        <w:spacing w:line="400" w:lineRule="atLeast"/>
        <w:ind w:firstLine="480" w:firstLineChars="200"/>
        <w:rPr>
          <w:rFonts w:ascii="仿宋_GB2312" w:hAnsi="仿宋_GB2312" w:eastAsia="仿宋_GB2312" w:cs="仿宋_GB2312"/>
          <w:color w:val="000000" w:themeColor="text1"/>
          <w:kern w:val="0"/>
          <w:sz w:val="24"/>
          <w:szCs w:val="24"/>
          <w:highlight w:val="none"/>
        </w:rPr>
      </w:pPr>
      <w:bookmarkStart w:id="121" w:name="_Toc31108"/>
      <w:bookmarkStart w:id="122" w:name="_Toc23374"/>
      <w:bookmarkStart w:id="123" w:name="_Toc23779"/>
      <w:r>
        <w:rPr>
          <w:rFonts w:hint="eastAsia" w:ascii="仿宋_GB2312" w:hAnsi="仿宋_GB2312" w:eastAsia="仿宋_GB2312" w:cs="仿宋_GB2312"/>
          <w:color w:val="000000" w:themeColor="text1"/>
          <w:kern w:val="0"/>
          <w:sz w:val="24"/>
          <w:szCs w:val="24"/>
          <w:highlight w:val="none"/>
        </w:rPr>
        <w:t>附件一 授权委托书</w:t>
      </w:r>
      <w:bookmarkEnd w:id="118"/>
      <w:bookmarkEnd w:id="119"/>
      <w:bookmarkEnd w:id="120"/>
      <w:bookmarkEnd w:id="121"/>
      <w:bookmarkEnd w:id="122"/>
      <w:bookmarkEnd w:id="123"/>
    </w:p>
    <w:p>
      <w:pPr>
        <w:spacing w:line="400" w:lineRule="atLeast"/>
        <w:ind w:firstLine="480" w:firstLineChars="200"/>
        <w:rPr>
          <w:rFonts w:ascii="仿宋_GB2312" w:hAnsi="仿宋_GB2312" w:eastAsia="仿宋_GB2312" w:cs="仿宋_GB2312"/>
          <w:color w:val="000000" w:themeColor="text1"/>
          <w:kern w:val="0"/>
          <w:sz w:val="24"/>
          <w:szCs w:val="24"/>
          <w:highlight w:val="none"/>
        </w:rPr>
      </w:pPr>
      <w:bookmarkStart w:id="124" w:name="_Toc5250_WPSOffice_Level1"/>
      <w:bookmarkStart w:id="125" w:name="_Toc14040"/>
      <w:bookmarkStart w:id="126" w:name="_Toc27542"/>
      <w:bookmarkStart w:id="127" w:name="_Toc3383_WPSOffice_Level1"/>
      <w:bookmarkStart w:id="128" w:name="_Toc16133_WPSOffice_Level1"/>
      <w:bookmarkStart w:id="129" w:name="_Toc6903"/>
      <w:r>
        <w:rPr>
          <w:rFonts w:hint="eastAsia" w:ascii="仿宋_GB2312" w:hAnsi="仿宋_GB2312" w:eastAsia="仿宋_GB2312" w:cs="仿宋_GB2312"/>
          <w:color w:val="000000" w:themeColor="text1"/>
          <w:kern w:val="0"/>
          <w:sz w:val="24"/>
          <w:szCs w:val="24"/>
          <w:highlight w:val="none"/>
        </w:rPr>
        <w:t xml:space="preserve">附件二 </w:t>
      </w:r>
      <w:bookmarkEnd w:id="124"/>
      <w:bookmarkEnd w:id="125"/>
      <w:bookmarkEnd w:id="126"/>
      <w:bookmarkEnd w:id="127"/>
      <w:bookmarkEnd w:id="128"/>
      <w:r>
        <w:rPr>
          <w:rFonts w:hint="eastAsia" w:ascii="仿宋_GB2312" w:hAnsi="仿宋_GB2312" w:eastAsia="仿宋_GB2312" w:cs="仿宋_GB2312"/>
          <w:color w:val="000000" w:themeColor="text1"/>
          <w:kern w:val="0"/>
          <w:sz w:val="24"/>
          <w:szCs w:val="24"/>
          <w:highlight w:val="none"/>
        </w:rPr>
        <w:t>项目部合规权限告知书</w:t>
      </w:r>
      <w:bookmarkEnd w:id="129"/>
    </w:p>
    <w:p>
      <w:pPr>
        <w:spacing w:line="400" w:lineRule="atLeast"/>
        <w:ind w:firstLine="480" w:firstLineChars="200"/>
        <w:rPr>
          <w:rFonts w:ascii="仿宋_GB2312" w:hAnsi="仿宋_GB2312" w:eastAsia="仿宋_GB2312" w:cs="仿宋_GB2312"/>
          <w:color w:val="000000" w:themeColor="text1"/>
          <w:kern w:val="0"/>
          <w:sz w:val="24"/>
          <w:szCs w:val="24"/>
          <w:highlight w:val="none"/>
        </w:rPr>
      </w:pPr>
      <w:bookmarkStart w:id="130" w:name="_Toc641_WPSOffice_Level1"/>
      <w:bookmarkStart w:id="131" w:name="_Toc19768_WPSOffice_Level1"/>
      <w:bookmarkStart w:id="132" w:name="_Toc22730_WPSOffice_Level1"/>
      <w:bookmarkStart w:id="133" w:name="_Toc26596"/>
      <w:bookmarkStart w:id="134" w:name="_Toc3486"/>
      <w:bookmarkStart w:id="135" w:name="_Toc660"/>
      <w:r>
        <w:rPr>
          <w:rFonts w:hint="eastAsia" w:ascii="仿宋_GB2312" w:hAnsi="仿宋_GB2312" w:eastAsia="仿宋_GB2312" w:cs="仿宋_GB2312"/>
          <w:color w:val="000000" w:themeColor="text1"/>
          <w:kern w:val="0"/>
          <w:sz w:val="24"/>
          <w:szCs w:val="24"/>
          <w:highlight w:val="none"/>
        </w:rPr>
        <w:t xml:space="preserve">附件三 </w:t>
      </w:r>
      <w:bookmarkEnd w:id="130"/>
      <w:bookmarkEnd w:id="131"/>
      <w:bookmarkEnd w:id="132"/>
      <w:r>
        <w:rPr>
          <w:rFonts w:hint="eastAsia" w:ascii="仿宋_GB2312" w:hAnsi="仿宋_GB2312" w:eastAsia="仿宋_GB2312" w:cs="仿宋_GB2312"/>
          <w:color w:val="000000" w:themeColor="text1"/>
          <w:kern w:val="0"/>
          <w:sz w:val="24"/>
          <w:szCs w:val="24"/>
          <w:highlight w:val="none"/>
        </w:rPr>
        <w:t>安全管理协议书</w:t>
      </w:r>
      <w:bookmarkEnd w:id="133"/>
      <w:bookmarkEnd w:id="134"/>
      <w:bookmarkEnd w:id="135"/>
    </w:p>
    <w:p>
      <w:pPr>
        <w:pStyle w:val="41"/>
        <w:spacing w:line="400" w:lineRule="atLeast"/>
        <w:ind w:firstLine="480" w:firstLineChars="200"/>
        <w:rPr>
          <w:rFonts w:ascii="仿宋_GB2312" w:hAnsi="仿宋_GB2312" w:eastAsia="仿宋_GB2312" w:cs="仿宋_GB2312"/>
          <w:color w:val="000000" w:themeColor="text1"/>
          <w:highlight w:val="none"/>
        </w:rPr>
      </w:pPr>
      <w:bookmarkStart w:id="136" w:name="_Toc19161_WPSOffice_Level1"/>
      <w:bookmarkStart w:id="137" w:name="_Toc8260_WPSOffice_Level1"/>
      <w:bookmarkStart w:id="138" w:name="_Toc24584_WPSOffice_Level1"/>
      <w:bookmarkStart w:id="139" w:name="_Toc25961"/>
      <w:bookmarkStart w:id="140" w:name="_Toc459"/>
      <w:bookmarkStart w:id="141" w:name="_Toc6994"/>
      <w:r>
        <w:rPr>
          <w:rFonts w:hint="eastAsia" w:ascii="仿宋_GB2312" w:hAnsi="仿宋_GB2312" w:eastAsia="仿宋_GB2312" w:cs="仿宋_GB2312"/>
          <w:color w:val="000000" w:themeColor="text1"/>
          <w:highlight w:val="none"/>
        </w:rPr>
        <w:t xml:space="preserve">附件四 </w:t>
      </w:r>
      <w:bookmarkEnd w:id="136"/>
      <w:bookmarkEnd w:id="137"/>
      <w:bookmarkEnd w:id="138"/>
      <w:r>
        <w:rPr>
          <w:rFonts w:hint="eastAsia" w:ascii="仿宋_GB2312" w:hAnsi="仿宋_GB2312" w:eastAsia="仿宋_GB2312" w:cs="仿宋_GB2312"/>
          <w:color w:val="000000" w:themeColor="text1"/>
          <w:highlight w:val="none"/>
        </w:rPr>
        <w:t>廉洁从业共建协议</w:t>
      </w:r>
      <w:bookmarkEnd w:id="139"/>
      <w:bookmarkEnd w:id="140"/>
      <w:bookmarkEnd w:id="141"/>
    </w:p>
    <w:p>
      <w:pPr>
        <w:autoSpaceDE w:val="0"/>
        <w:autoSpaceDN w:val="0"/>
        <w:adjustRightInd w:val="0"/>
        <w:spacing w:line="400" w:lineRule="atLeast"/>
        <w:rPr>
          <w:rFonts w:ascii="仿宋_GB2312" w:hAnsi="仿宋_GB2312" w:eastAsia="仿宋_GB2312" w:cs="仿宋_GB2312"/>
          <w:color w:val="000000" w:themeColor="text1"/>
          <w:kern w:val="0"/>
          <w:sz w:val="24"/>
          <w:szCs w:val="24"/>
          <w:highlight w:val="none"/>
        </w:rPr>
      </w:pPr>
    </w:p>
    <w:p>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rPr>
      </w:pPr>
      <w:bookmarkStart w:id="142" w:name="_Toc25426"/>
      <w:bookmarkStart w:id="143" w:name="_Toc31445"/>
      <w:bookmarkStart w:id="144" w:name="_Toc7321"/>
      <w:r>
        <w:rPr>
          <w:rFonts w:hint="eastAsia" w:ascii="仿宋_GB2312" w:hAnsi="仿宋_GB2312" w:eastAsia="仿宋_GB2312" w:cs="仿宋_GB2312"/>
          <w:color w:val="000000" w:themeColor="text1"/>
          <w:kern w:val="0"/>
          <w:sz w:val="24"/>
          <w:szCs w:val="24"/>
          <w:highlight w:val="none"/>
        </w:rPr>
        <w:t xml:space="preserve">甲方（盖章）：                        乙方（公章）：             </w:t>
      </w:r>
    </w:p>
    <w:p>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rPr>
      </w:pPr>
      <w:r>
        <w:rPr>
          <w:rFonts w:hint="eastAsia" w:ascii="仿宋_GB2312" w:hAnsi="仿宋_GB2312" w:eastAsia="仿宋_GB2312" w:cs="仿宋_GB2312"/>
          <w:color w:val="000000" w:themeColor="text1"/>
          <w:kern w:val="0"/>
          <w:sz w:val="24"/>
          <w:szCs w:val="24"/>
          <w:highlight w:val="none"/>
        </w:rPr>
        <w:t xml:space="preserve">  </w:t>
      </w:r>
      <w:r>
        <w:rPr>
          <w:rFonts w:hint="eastAsia" w:ascii="仿宋_GB2312" w:hAnsi="仿宋_GB2312" w:eastAsia="仿宋_GB2312" w:cs="仿宋_GB2312"/>
          <w:color w:val="000000" w:themeColor="text1"/>
          <w:kern w:val="0"/>
          <w:sz w:val="24"/>
          <w:szCs w:val="24"/>
          <w:highlight w:val="none"/>
          <w:lang w:val="en-US" w:eastAsia="zh-CN"/>
        </w:rPr>
        <w:t xml:space="preserve">  </w:t>
      </w:r>
    </w:p>
    <w:p>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rPr>
        <w:t>法定代表人：                           法定代表人：</w:t>
      </w:r>
    </w:p>
    <w:p>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rPr>
        <w:t xml:space="preserve">    或                                   </w:t>
      </w:r>
      <w:r>
        <w:rPr>
          <w:rFonts w:hint="eastAsia" w:ascii="仿宋_GB2312" w:hAnsi="仿宋_GB2312" w:eastAsia="仿宋_GB2312" w:cs="仿宋_GB2312"/>
          <w:color w:val="000000" w:themeColor="text1"/>
          <w:kern w:val="0"/>
          <w:sz w:val="24"/>
          <w:szCs w:val="24"/>
          <w:highlight w:val="none"/>
          <w:lang w:val="en-US" w:eastAsia="zh-CN"/>
        </w:rPr>
        <w:t xml:space="preserve"> </w:t>
      </w:r>
      <w:r>
        <w:rPr>
          <w:rFonts w:hint="eastAsia" w:ascii="仿宋_GB2312" w:hAnsi="仿宋_GB2312" w:eastAsia="仿宋_GB2312" w:cs="仿宋_GB2312"/>
          <w:color w:val="000000" w:themeColor="text1"/>
          <w:kern w:val="0"/>
          <w:sz w:val="24"/>
          <w:szCs w:val="24"/>
          <w:highlight w:val="none"/>
        </w:rPr>
        <w:t xml:space="preserve"> 或</w:t>
      </w:r>
    </w:p>
    <w:p>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lang w:val="en-US" w:eastAsia="zh-CN"/>
        </w:rPr>
        <w:t>被委托</w:t>
      </w:r>
      <w:r>
        <w:rPr>
          <w:rFonts w:hint="eastAsia" w:ascii="仿宋_GB2312" w:hAnsi="仿宋_GB2312" w:eastAsia="仿宋_GB2312" w:cs="仿宋_GB2312"/>
          <w:color w:val="000000" w:themeColor="text1"/>
          <w:kern w:val="0"/>
          <w:sz w:val="24"/>
          <w:szCs w:val="24"/>
          <w:highlight w:val="none"/>
        </w:rPr>
        <w:t xml:space="preserve">人：                           </w:t>
      </w:r>
      <w:r>
        <w:rPr>
          <w:rFonts w:hint="eastAsia" w:ascii="仿宋_GB2312" w:hAnsi="仿宋_GB2312" w:eastAsia="仿宋_GB2312" w:cs="仿宋_GB2312"/>
          <w:color w:val="000000" w:themeColor="text1"/>
          <w:kern w:val="0"/>
          <w:sz w:val="24"/>
          <w:szCs w:val="24"/>
          <w:highlight w:val="none"/>
          <w:lang w:val="en-US" w:eastAsia="zh-CN"/>
        </w:rPr>
        <w:t xml:space="preserve">    被委托</w:t>
      </w:r>
      <w:r>
        <w:rPr>
          <w:rFonts w:hint="eastAsia" w:ascii="仿宋_GB2312" w:hAnsi="仿宋_GB2312" w:eastAsia="仿宋_GB2312" w:cs="仿宋_GB2312"/>
          <w:color w:val="000000" w:themeColor="text1"/>
          <w:kern w:val="0"/>
          <w:sz w:val="24"/>
          <w:szCs w:val="24"/>
          <w:highlight w:val="none"/>
        </w:rPr>
        <w:t>人：</w:t>
      </w:r>
    </w:p>
    <w:p>
      <w:pPr>
        <w:pStyle w:val="41"/>
        <w:spacing w:line="400" w:lineRule="atLeast"/>
        <w:rPr>
          <w:rFonts w:ascii="仿宋_GB2312" w:hAnsi="仿宋_GB2312" w:eastAsia="仿宋_GB2312" w:cs="仿宋_GB2312"/>
          <w:color w:val="000000" w:themeColor="text1"/>
          <w:highlight w:val="none"/>
        </w:rPr>
      </w:pPr>
    </w:p>
    <w:p>
      <w:pPr>
        <w:pStyle w:val="41"/>
        <w:spacing w:line="400" w:lineRule="exac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 xml:space="preserve">        </w:t>
      </w:r>
      <w:r>
        <w:rPr>
          <w:rFonts w:hint="eastAsia" w:ascii="仿宋_GB2312" w:hAnsi="仿宋_GB2312" w:eastAsia="仿宋_GB2312" w:cs="仿宋_GB2312"/>
          <w:color w:val="000000" w:themeColor="text1"/>
          <w:highlight w:val="none"/>
          <w:lang w:val="zh-CN"/>
        </w:rPr>
        <w:t>年</w:t>
      </w:r>
      <w:r>
        <w:rPr>
          <w:rFonts w:hint="eastAsia" w:ascii="仿宋_GB2312" w:hAnsi="仿宋_GB2312" w:eastAsia="仿宋_GB2312" w:cs="仿宋_GB2312"/>
          <w:color w:val="000000" w:themeColor="text1"/>
          <w:highlight w:val="none"/>
        </w:rPr>
        <w:t xml:space="preserve">   </w:t>
      </w:r>
      <w:r>
        <w:rPr>
          <w:rFonts w:hint="eastAsia" w:ascii="仿宋_GB2312" w:hAnsi="仿宋_GB2312" w:eastAsia="仿宋_GB2312" w:cs="仿宋_GB2312"/>
          <w:color w:val="000000" w:themeColor="text1"/>
          <w:highlight w:val="none"/>
          <w:lang w:val="zh-CN"/>
        </w:rPr>
        <w:t>月</w:t>
      </w:r>
      <w:r>
        <w:rPr>
          <w:rFonts w:hint="eastAsia" w:ascii="仿宋_GB2312" w:hAnsi="仿宋_GB2312" w:eastAsia="仿宋_GB2312" w:cs="仿宋_GB2312"/>
          <w:color w:val="000000" w:themeColor="text1"/>
          <w:highlight w:val="none"/>
        </w:rPr>
        <w:t xml:space="preserve">   </w:t>
      </w:r>
      <w:r>
        <w:rPr>
          <w:rFonts w:hint="eastAsia" w:ascii="仿宋_GB2312" w:hAnsi="仿宋_GB2312" w:eastAsia="仿宋_GB2312" w:cs="仿宋_GB2312"/>
          <w:color w:val="000000" w:themeColor="text1"/>
          <w:highlight w:val="none"/>
          <w:lang w:val="zh-CN"/>
        </w:rPr>
        <w:t>日</w:t>
      </w:r>
      <w:r>
        <w:rPr>
          <w:rFonts w:hint="eastAsia" w:ascii="仿宋_GB2312" w:hAnsi="仿宋_GB2312" w:eastAsia="仿宋_GB2312" w:cs="仿宋_GB2312"/>
          <w:color w:val="000000" w:themeColor="text1"/>
          <w:highlight w:val="none"/>
        </w:rPr>
        <w:t xml:space="preserve">                          </w:t>
      </w:r>
      <w:r>
        <w:rPr>
          <w:rFonts w:hint="eastAsia" w:ascii="仿宋_GB2312" w:hAnsi="仿宋_GB2312" w:eastAsia="仿宋_GB2312" w:cs="仿宋_GB2312"/>
          <w:color w:val="000000" w:themeColor="text1"/>
          <w:highlight w:val="none"/>
          <w:lang w:val="zh-CN"/>
        </w:rPr>
        <w:t>年</w:t>
      </w:r>
      <w:r>
        <w:rPr>
          <w:rFonts w:hint="eastAsia" w:ascii="仿宋_GB2312" w:hAnsi="仿宋_GB2312" w:eastAsia="仿宋_GB2312" w:cs="仿宋_GB2312"/>
          <w:color w:val="000000" w:themeColor="text1"/>
          <w:highlight w:val="none"/>
        </w:rPr>
        <w:t xml:space="preserve">   </w:t>
      </w:r>
      <w:r>
        <w:rPr>
          <w:rFonts w:hint="eastAsia" w:ascii="仿宋_GB2312" w:hAnsi="仿宋_GB2312" w:eastAsia="仿宋_GB2312" w:cs="仿宋_GB2312"/>
          <w:color w:val="000000" w:themeColor="text1"/>
          <w:highlight w:val="none"/>
          <w:lang w:val="zh-CN"/>
        </w:rPr>
        <w:t>月</w:t>
      </w:r>
      <w:r>
        <w:rPr>
          <w:rFonts w:hint="eastAsia" w:ascii="仿宋_GB2312" w:hAnsi="仿宋_GB2312" w:eastAsia="仿宋_GB2312" w:cs="仿宋_GB2312"/>
          <w:color w:val="000000" w:themeColor="text1"/>
          <w:highlight w:val="none"/>
        </w:rPr>
        <w:t xml:space="preserve">   </w:t>
      </w:r>
      <w:r>
        <w:rPr>
          <w:rFonts w:hint="eastAsia" w:ascii="仿宋_GB2312" w:hAnsi="仿宋_GB2312" w:eastAsia="仿宋_GB2312" w:cs="仿宋_GB2312"/>
          <w:color w:val="000000" w:themeColor="text1"/>
          <w:highlight w:val="none"/>
          <w:lang w:val="zh-CN"/>
        </w:rPr>
        <w:t>日</w:t>
      </w:r>
    </w:p>
    <w:p>
      <w:pPr>
        <w:pStyle w:val="41"/>
        <w:spacing w:line="400" w:lineRule="exact"/>
        <w:ind w:firstLine="480" w:firstLineChars="200"/>
        <w:rPr>
          <w:rFonts w:ascii="仿宋_GB2312" w:hAnsi="仿宋_GB2312" w:eastAsia="仿宋_GB2312" w:cs="仿宋_GB2312"/>
          <w:color w:val="000000" w:themeColor="text1"/>
          <w:highlight w:val="none"/>
        </w:rPr>
        <w:sectPr>
          <w:headerReference r:id="rId10" w:type="default"/>
          <w:footerReference r:id="rId11" w:type="default"/>
          <w:pgSz w:w="11906" w:h="16838"/>
          <w:pgMar w:top="1440" w:right="1800" w:bottom="1440" w:left="1800" w:header="850" w:footer="975" w:gutter="0"/>
          <w:pgNumType w:start="1"/>
          <w:cols w:space="0" w:num="1"/>
          <w:docGrid w:linePitch="312" w:charSpace="0"/>
        </w:sectPr>
      </w:pPr>
    </w:p>
    <w:p>
      <w:pPr>
        <w:autoSpaceDE w:val="0"/>
        <w:autoSpaceDN w:val="0"/>
        <w:adjustRightInd w:val="0"/>
        <w:spacing w:line="400" w:lineRule="exact"/>
        <w:outlineLvl w:val="0"/>
        <w:rPr>
          <w:rFonts w:ascii="仿宋_GB2312" w:hAnsi="仿宋_GB2312" w:eastAsia="仿宋_GB2312" w:cs="仿宋_GB2312"/>
          <w:color w:val="000000" w:themeColor="text1"/>
          <w:kern w:val="0"/>
          <w:sz w:val="30"/>
          <w:szCs w:val="30"/>
          <w:highlight w:val="none"/>
        </w:rPr>
      </w:pPr>
      <w:r>
        <w:rPr>
          <w:rFonts w:hint="eastAsia" w:ascii="仿宋_GB2312" w:hAnsi="仿宋_GB2312" w:eastAsia="仿宋_GB2312" w:cs="仿宋_GB2312"/>
          <w:color w:val="000000" w:themeColor="text1"/>
          <w:kern w:val="0"/>
          <w:sz w:val="30"/>
          <w:szCs w:val="30"/>
          <w:highlight w:val="none"/>
        </w:rPr>
        <w:t>附件一：</w:t>
      </w:r>
      <w:bookmarkEnd w:id="142"/>
      <w:bookmarkEnd w:id="143"/>
      <w:bookmarkEnd w:id="144"/>
    </w:p>
    <w:p>
      <w:pPr>
        <w:autoSpaceDE w:val="0"/>
        <w:autoSpaceDN w:val="0"/>
        <w:adjustRightInd w:val="0"/>
        <w:spacing w:line="400" w:lineRule="exact"/>
        <w:jc w:val="center"/>
        <w:rPr>
          <w:rFonts w:ascii="仿宋_GB2312" w:hAnsi="仿宋_GB2312" w:eastAsia="仿宋_GB2312" w:cs="仿宋_GB2312"/>
          <w:b/>
          <w:color w:val="000000" w:themeColor="text1"/>
          <w:sz w:val="30"/>
          <w:szCs w:val="30"/>
          <w:highlight w:val="none"/>
        </w:rPr>
      </w:pPr>
      <w:r>
        <w:rPr>
          <w:rFonts w:hint="eastAsia" w:ascii="仿宋_GB2312" w:hAnsi="仿宋_GB2312" w:eastAsia="仿宋_GB2312" w:cs="仿宋_GB2312"/>
          <w:b/>
          <w:color w:val="000000" w:themeColor="text1"/>
          <w:sz w:val="30"/>
          <w:szCs w:val="30"/>
          <w:highlight w:val="none"/>
        </w:rPr>
        <w:t>授权委托书</w:t>
      </w:r>
    </w:p>
    <w:p>
      <w:pPr>
        <w:autoSpaceDE w:val="0"/>
        <w:autoSpaceDN w:val="0"/>
        <w:adjustRightInd w:val="0"/>
        <w:spacing w:line="400" w:lineRule="exact"/>
        <w:rPr>
          <w:rFonts w:ascii="仿宋_GB2312" w:hAnsi="仿宋_GB2312" w:eastAsia="仿宋_GB2312" w:cs="仿宋_GB2312"/>
          <w:b/>
          <w:color w:val="000000" w:themeColor="text1"/>
          <w:sz w:val="24"/>
          <w:szCs w:val="24"/>
          <w:highlight w:val="none"/>
        </w:rPr>
      </w:pPr>
    </w:p>
    <w:p>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b/>
          <w:color w:val="000000" w:themeColor="text1"/>
          <w:sz w:val="24"/>
          <w:szCs w:val="24"/>
          <w:highlight w:val="none"/>
        </w:rPr>
        <w:t>本授权委托书声明：</w:t>
      </w:r>
      <w:r>
        <w:rPr>
          <w:rFonts w:hint="eastAsia" w:ascii="仿宋_GB2312" w:hAnsi="仿宋_GB2312" w:eastAsia="仿宋_GB2312" w:cs="仿宋_GB2312"/>
          <w:color w:val="000000" w:themeColor="text1"/>
          <w:sz w:val="24"/>
          <w:szCs w:val="24"/>
          <w:highlight w:val="none"/>
        </w:rPr>
        <w:t>我</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（身份证号：</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）系</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公司（乙方）的法定代表人，现授权委托</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（身份证号：</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）为我公司合法的代理人。以本公司的名义负责</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项目招投标、合同签署及合同履行等事宜。</w:t>
      </w:r>
    </w:p>
    <w:p>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代理人在合同履行过程中所签署的一切文件和处理与之有关的一切事务，包括但不限于签署往来函件、签署会议纪要、货物供应、结算办理、</w:t>
      </w:r>
      <w:r>
        <w:rPr>
          <w:rFonts w:hint="eastAsia" w:ascii="仿宋_GB2312" w:hAnsi="仿宋_GB2312" w:eastAsia="仿宋_GB2312" w:cs="仿宋_GB2312"/>
          <w:color w:val="000000" w:themeColor="text1"/>
          <w:sz w:val="24"/>
          <w:szCs w:val="24"/>
          <w:highlight w:val="none"/>
          <w:lang w:val="en-US" w:eastAsia="zh-CN"/>
        </w:rPr>
        <w:t>货</w:t>
      </w:r>
      <w:r>
        <w:rPr>
          <w:rFonts w:hint="eastAsia" w:ascii="仿宋_GB2312" w:hAnsi="仿宋_GB2312" w:eastAsia="仿宋_GB2312" w:cs="仿宋_GB2312"/>
          <w:color w:val="000000" w:themeColor="text1"/>
          <w:sz w:val="24"/>
          <w:szCs w:val="24"/>
          <w:highlight w:val="none"/>
        </w:rPr>
        <w:t>款的收取、发票开具等均具有法律效力，授权人均予以认可。</w:t>
      </w:r>
    </w:p>
    <w:p>
      <w:pPr>
        <w:keepNext/>
        <w:keepLines/>
        <w:spacing w:line="400" w:lineRule="exac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本授权委托的期限为自</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年</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月</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日至</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年</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月</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日。</w:t>
      </w:r>
    </w:p>
    <w:p>
      <w:pPr>
        <w:spacing w:line="400" w:lineRule="exact"/>
        <w:ind w:firstLine="480" w:firstLineChars="200"/>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代理人无转委托权。</w:t>
      </w:r>
    </w:p>
    <w:p>
      <w:pPr>
        <w:spacing w:line="400" w:lineRule="exact"/>
        <w:ind w:firstLine="480" w:firstLineChars="200"/>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特此授权。</w:t>
      </w:r>
    </w:p>
    <w:p>
      <w:pPr>
        <w:spacing w:line="400" w:lineRule="exact"/>
        <w:ind w:firstLine="480" w:firstLineChars="200"/>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                                    委托单位全称（公章）：          </w:t>
      </w:r>
    </w:p>
    <w:p>
      <w:pPr>
        <w:spacing w:line="400" w:lineRule="exact"/>
        <w:ind w:firstLine="480" w:firstLineChars="200"/>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                                    法定代表人：</w:t>
      </w:r>
    </w:p>
    <w:p>
      <w:pPr>
        <w:spacing w:line="400" w:lineRule="exact"/>
        <w:ind w:firstLine="480" w:firstLineChars="200"/>
        <w:jc w:val="right"/>
        <w:rPr>
          <w:rFonts w:ascii="仿宋_GB2312" w:hAnsi="仿宋_GB2312" w:eastAsia="仿宋_GB2312" w:cs="仿宋_GB2312"/>
          <w:b/>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年</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月</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 xml:space="preserve">日     </w:t>
      </w:r>
      <w:r>
        <w:rPr>
          <w:rFonts w:hint="eastAsia" w:ascii="仿宋_GB2312" w:hAnsi="仿宋_GB2312" w:eastAsia="仿宋_GB2312" w:cs="仿宋_GB2312"/>
          <w:b/>
          <w:color w:val="000000" w:themeColor="text1"/>
          <w:sz w:val="24"/>
          <w:szCs w:val="24"/>
          <w:highlight w:val="none"/>
        </w:rPr>
        <w:t xml:space="preserve"> </w:t>
      </w:r>
    </w:p>
    <w:p>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b/>
          <w:color w:val="000000" w:themeColor="text1"/>
          <w:sz w:val="24"/>
          <w:szCs w:val="24"/>
          <w:highlight w:val="none"/>
        </w:rPr>
        <w:t>代理人声明</w:t>
      </w:r>
      <w:r>
        <w:rPr>
          <w:rFonts w:hint="eastAsia" w:ascii="仿宋_GB2312" w:hAnsi="仿宋_GB2312" w:eastAsia="仿宋_GB2312" w:cs="仿宋_GB2312"/>
          <w:color w:val="000000" w:themeColor="text1"/>
          <w:sz w:val="24"/>
          <w:szCs w:val="24"/>
          <w:highlight w:val="none"/>
        </w:rPr>
        <w:t>：我对以上授权委托事项完全接受，自愿履行。</w:t>
      </w:r>
    </w:p>
    <w:p>
      <w:pPr>
        <w:spacing w:line="400" w:lineRule="exact"/>
        <w:ind w:firstLine="480" w:firstLineChars="200"/>
        <w:jc w:val="center"/>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                           代理人（本人签字）：</w:t>
      </w:r>
    </w:p>
    <w:p>
      <w:pPr>
        <w:spacing w:line="400" w:lineRule="exact"/>
        <w:ind w:firstLine="480" w:firstLineChars="200"/>
        <w:jc w:val="righ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年</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月</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日</w:t>
      </w:r>
    </w:p>
    <w:tbl>
      <w:tblPr>
        <w:tblStyle w:val="34"/>
        <w:tblpPr w:leftFromText="180" w:rightFromText="180" w:vertAnchor="text" w:horzAnchor="page" w:tblpX="1551" w:tblpY="50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4470" w:type="dxa"/>
            <w:tcBorders>
              <w:right w:val="single" w:color="000000" w:sz="4" w:space="0"/>
            </w:tcBorders>
            <w:vAlign w:val="center"/>
          </w:tcPr>
          <w:p>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rPr>
            </w:pPr>
          </w:p>
        </w:tc>
        <w:tc>
          <w:tcPr>
            <w:tcW w:w="4560" w:type="dxa"/>
            <w:tcBorders>
              <w:left w:val="single" w:color="000000" w:sz="4" w:space="0"/>
            </w:tcBorders>
            <w:vAlign w:val="center"/>
          </w:tcPr>
          <w:p>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rPr>
            </w:pPr>
          </w:p>
        </w:tc>
      </w:tr>
    </w:tbl>
    <w:p>
      <w:pPr>
        <w:spacing w:line="400" w:lineRule="exact"/>
        <w:ind w:firstLine="482" w:firstLineChars="200"/>
        <w:rPr>
          <w:rFonts w:ascii="仿宋_GB2312" w:hAnsi="仿宋_GB2312" w:eastAsia="仿宋_GB2312" w:cs="仿宋_GB2312"/>
          <w:b/>
          <w:color w:val="000000" w:themeColor="text1"/>
          <w:sz w:val="24"/>
          <w:szCs w:val="24"/>
          <w:highlight w:val="none"/>
        </w:rPr>
      </w:pPr>
      <w:r>
        <w:rPr>
          <w:rFonts w:hint="eastAsia" w:ascii="仿宋_GB2312" w:hAnsi="仿宋_GB2312" w:eastAsia="仿宋_GB2312" w:cs="仿宋_GB2312"/>
          <w:b/>
          <w:color w:val="000000" w:themeColor="text1"/>
          <w:sz w:val="24"/>
          <w:szCs w:val="24"/>
          <w:highlight w:val="none"/>
          <w:u w:val="dash"/>
        </w:rPr>
        <w:t>代理人身份证复印件粘贴处</w:t>
      </w:r>
      <w:r>
        <w:rPr>
          <w:rFonts w:hint="eastAsia" w:ascii="仿宋_GB2312" w:hAnsi="仿宋_GB2312" w:eastAsia="仿宋_GB2312" w:cs="仿宋_GB2312"/>
          <w:b/>
          <w:color w:val="000000" w:themeColor="text1"/>
          <w:sz w:val="24"/>
          <w:szCs w:val="24"/>
          <w:highlight w:val="none"/>
        </w:rPr>
        <w:t>：</w:t>
      </w:r>
    </w:p>
    <w:tbl>
      <w:tblPr>
        <w:tblStyle w:val="34"/>
        <w:tblpPr w:leftFromText="180" w:rightFromText="180" w:vertAnchor="text" w:horzAnchor="page" w:tblpX="1551" w:tblpY="324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485" w:type="dxa"/>
            <w:tcBorders>
              <w:right w:val="single" w:color="000000" w:sz="4" w:space="0"/>
            </w:tcBorders>
            <w:vAlign w:val="center"/>
          </w:tcPr>
          <w:p>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rPr>
            </w:pPr>
          </w:p>
        </w:tc>
        <w:tc>
          <w:tcPr>
            <w:tcW w:w="4530" w:type="dxa"/>
            <w:tcBorders>
              <w:left w:val="single" w:color="000000" w:sz="4" w:space="0"/>
            </w:tcBorders>
            <w:vAlign w:val="center"/>
          </w:tcPr>
          <w:p>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rPr>
            </w:pPr>
          </w:p>
        </w:tc>
      </w:tr>
    </w:tbl>
    <w:p>
      <w:pPr>
        <w:spacing w:line="400" w:lineRule="exact"/>
        <w:ind w:firstLine="482" w:firstLineChars="200"/>
        <w:rPr>
          <w:rFonts w:ascii="仿宋_GB2312" w:hAnsi="仿宋_GB2312" w:eastAsia="仿宋_GB2312" w:cs="仿宋_GB2312"/>
          <w:b/>
          <w:color w:val="000000" w:themeColor="text1"/>
          <w:sz w:val="24"/>
          <w:szCs w:val="24"/>
          <w:highlight w:val="none"/>
          <w:u w:val="dash"/>
        </w:rPr>
      </w:pPr>
      <w:r>
        <w:rPr>
          <w:rFonts w:hint="eastAsia" w:ascii="仿宋_GB2312" w:hAnsi="仿宋_GB2312" w:eastAsia="仿宋_GB2312" w:cs="仿宋_GB2312"/>
          <w:b/>
          <w:color w:val="000000" w:themeColor="text1"/>
          <w:sz w:val="24"/>
          <w:szCs w:val="24"/>
          <w:highlight w:val="none"/>
          <w:u w:val="dash"/>
        </w:rPr>
        <w:t>法定代表人身份证复印件粘贴处：</w:t>
      </w:r>
    </w:p>
    <w:p>
      <w:pPr>
        <w:pStyle w:val="41"/>
        <w:spacing w:line="400" w:lineRule="exact"/>
        <w:ind w:firstLine="480" w:firstLineChars="200"/>
        <w:rPr>
          <w:rFonts w:ascii="仿宋_GB2312" w:hAnsi="仿宋_GB2312" w:eastAsia="仿宋_GB2312" w:cs="仿宋_GB2312"/>
          <w:color w:val="000000" w:themeColor="text1"/>
          <w:highlight w:val="none"/>
        </w:rPr>
        <w:sectPr>
          <w:headerReference r:id="rId12" w:type="default"/>
          <w:footerReference r:id="rId13" w:type="default"/>
          <w:pgSz w:w="11906" w:h="16838"/>
          <w:pgMar w:top="1440" w:right="1800" w:bottom="1440" w:left="1800" w:header="850" w:footer="975" w:gutter="0"/>
          <w:cols w:space="0" w:num="1"/>
          <w:docGrid w:linePitch="312" w:charSpace="0"/>
        </w:sectPr>
      </w:pPr>
    </w:p>
    <w:p>
      <w:pPr>
        <w:spacing w:line="400" w:lineRule="exact"/>
        <w:ind w:right="240" w:rightChars="100"/>
        <w:outlineLvl w:val="0"/>
        <w:rPr>
          <w:rFonts w:ascii="仿宋_GB2312" w:hAnsi="仿宋_GB2312" w:eastAsia="仿宋_GB2312" w:cs="仿宋_GB2312"/>
          <w:color w:val="000000" w:themeColor="text1"/>
          <w:sz w:val="30"/>
          <w:szCs w:val="30"/>
          <w:highlight w:val="none"/>
        </w:rPr>
      </w:pPr>
      <w:bookmarkStart w:id="145" w:name="_Toc21254"/>
      <w:bookmarkStart w:id="146" w:name="_Toc4519"/>
      <w:bookmarkStart w:id="147" w:name="_Toc16973"/>
      <w:r>
        <w:rPr>
          <w:rFonts w:hint="eastAsia" w:ascii="仿宋_GB2312" w:hAnsi="仿宋_GB2312" w:eastAsia="仿宋_GB2312" w:cs="仿宋_GB2312"/>
          <w:color w:val="000000" w:themeColor="text1"/>
          <w:sz w:val="30"/>
          <w:szCs w:val="30"/>
          <w:highlight w:val="none"/>
        </w:rPr>
        <w:t>附件二：</w:t>
      </w:r>
      <w:bookmarkEnd w:id="145"/>
      <w:bookmarkEnd w:id="146"/>
      <w:bookmarkEnd w:id="147"/>
    </w:p>
    <w:p>
      <w:pPr>
        <w:spacing w:line="400" w:lineRule="exact"/>
        <w:jc w:val="center"/>
        <w:rPr>
          <w:rFonts w:ascii="仿宋_GB2312" w:hAnsi="仿宋_GB2312" w:eastAsia="仿宋_GB2312" w:cs="仿宋_GB2312"/>
          <w:b/>
          <w:bCs/>
          <w:color w:val="000000" w:themeColor="text1"/>
          <w:sz w:val="30"/>
          <w:szCs w:val="30"/>
          <w:highlight w:val="none"/>
        </w:rPr>
      </w:pPr>
      <w:r>
        <w:rPr>
          <w:rFonts w:hint="eastAsia" w:ascii="仿宋_GB2312" w:hAnsi="仿宋_GB2312" w:eastAsia="仿宋_GB2312" w:cs="仿宋_GB2312"/>
          <w:b/>
          <w:bCs/>
          <w:color w:val="000000" w:themeColor="text1"/>
          <w:sz w:val="30"/>
          <w:szCs w:val="30"/>
          <w:highlight w:val="none"/>
        </w:rPr>
        <w:t>项目部合规权限告知书</w:t>
      </w:r>
    </w:p>
    <w:p>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rPr>
      </w:pPr>
      <w:r>
        <w:rPr>
          <w:rFonts w:hint="eastAsia" w:ascii="仿宋_GB2312" w:hAnsi="仿宋_GB2312" w:eastAsia="仿宋_GB2312" w:cs="仿宋_GB2312"/>
          <w:color w:val="000000" w:themeColor="text1"/>
          <w:sz w:val="24"/>
          <w:szCs w:val="24"/>
          <w:highlight w:val="none"/>
          <w:lang w:val="zh-CN"/>
        </w:rPr>
        <w:t>致：</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（乙方全称）</w:t>
      </w:r>
    </w:p>
    <w:p>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rPr>
      </w:pPr>
      <w:r>
        <w:rPr>
          <w:rFonts w:hint="eastAsia" w:ascii="仿宋_GB2312" w:hAnsi="仿宋_GB2312" w:eastAsia="仿宋_GB2312" w:cs="仿宋_GB2312"/>
          <w:color w:val="000000" w:themeColor="text1"/>
          <w:sz w:val="24"/>
          <w:szCs w:val="24"/>
          <w:highlight w:val="none"/>
        </w:rPr>
        <w:t xml:space="preserve">    </w:t>
      </w:r>
      <w:r>
        <w:rPr>
          <w:rFonts w:hint="eastAsia" w:ascii="仿宋_GB2312" w:hAnsi="仿宋_GB2312" w:eastAsia="仿宋_GB2312" w:cs="仿宋_GB2312"/>
          <w:color w:val="000000" w:themeColor="text1"/>
          <w:sz w:val="24"/>
          <w:szCs w:val="24"/>
          <w:highlight w:val="none"/>
          <w:u w:val="single"/>
        </w:rPr>
        <w:t xml:space="preserve"> </w:t>
      </w:r>
      <w:bookmarkStart w:id="148" w:name="_Hlk126830603"/>
      <w:r>
        <w:rPr>
          <w:rFonts w:hint="eastAsia" w:ascii="仿宋_GB2312" w:hAnsi="仿宋_GB2312" w:eastAsia="仿宋_GB2312" w:cs="仿宋_GB2312"/>
          <w:color w:val="000000" w:themeColor="text1"/>
          <w:sz w:val="24"/>
          <w:szCs w:val="24"/>
          <w:highlight w:val="none"/>
          <w:u w:val="single"/>
        </w:rPr>
        <w:t>中建</w:t>
      </w:r>
      <w:r>
        <w:rPr>
          <w:rFonts w:hint="eastAsia" w:ascii="仿宋_GB2312" w:hAnsi="仿宋_GB2312" w:eastAsia="仿宋_GB2312" w:cs="仿宋_GB2312"/>
          <w:color w:val="000000" w:themeColor="text1"/>
          <w:sz w:val="24"/>
          <w:szCs w:val="24"/>
          <w:highlight w:val="none"/>
          <w:u w:val="single"/>
          <w:lang w:val="en-US" w:eastAsia="zh-CN"/>
        </w:rPr>
        <w:t>路桥</w:t>
      </w:r>
      <w:r>
        <w:rPr>
          <w:rFonts w:hint="eastAsia" w:ascii="仿宋_GB2312" w:hAnsi="仿宋_GB2312" w:eastAsia="仿宋_GB2312" w:cs="仿宋_GB2312"/>
          <w:color w:val="000000" w:themeColor="text1"/>
          <w:sz w:val="24"/>
          <w:szCs w:val="24"/>
          <w:highlight w:val="none"/>
          <w:u w:val="single"/>
        </w:rPr>
        <w:t>集团</w:t>
      </w:r>
      <w:r>
        <w:rPr>
          <w:rFonts w:hint="eastAsia" w:ascii="仿宋_GB2312" w:hAnsi="仿宋_GB2312" w:eastAsia="仿宋_GB2312" w:cs="仿宋_GB2312"/>
          <w:color w:val="000000" w:themeColor="text1"/>
          <w:sz w:val="24"/>
          <w:szCs w:val="24"/>
          <w:highlight w:val="none"/>
          <w:u w:val="single"/>
          <w:lang w:val="en-US" w:eastAsia="zh-CN"/>
        </w:rPr>
        <w:t>装配式建筑</w:t>
      </w:r>
      <w:r>
        <w:rPr>
          <w:rFonts w:hint="eastAsia" w:ascii="仿宋_GB2312" w:hAnsi="仿宋_GB2312" w:eastAsia="仿宋_GB2312" w:cs="仿宋_GB2312"/>
          <w:color w:val="000000" w:themeColor="text1"/>
          <w:sz w:val="24"/>
          <w:szCs w:val="24"/>
          <w:highlight w:val="none"/>
          <w:u w:val="single"/>
        </w:rPr>
        <w:t>有限公司</w:t>
      </w:r>
      <w:bookmarkEnd w:id="148"/>
      <w:r>
        <w:rPr>
          <w:rFonts w:hint="eastAsia" w:ascii="仿宋_GB2312" w:hAnsi="仿宋_GB2312" w:eastAsia="仿宋_GB2312" w:cs="仿宋_GB2312"/>
          <w:color w:val="000000" w:themeColor="text1"/>
          <w:sz w:val="24"/>
          <w:szCs w:val="24"/>
          <w:highlight w:val="none"/>
          <w:lang w:val="zh-CN"/>
        </w:rPr>
        <w:t>（</w:t>
      </w:r>
      <w:r>
        <w:rPr>
          <w:rFonts w:hint="eastAsia" w:ascii="仿宋_GB2312" w:hAnsi="仿宋_GB2312" w:eastAsia="仿宋_GB2312" w:cs="仿宋_GB2312"/>
          <w:color w:val="000000" w:themeColor="text1"/>
          <w:sz w:val="24"/>
          <w:szCs w:val="24"/>
          <w:highlight w:val="none"/>
        </w:rPr>
        <w:t>采购方</w:t>
      </w:r>
      <w:r>
        <w:rPr>
          <w:rFonts w:hint="eastAsia" w:ascii="仿宋_GB2312" w:hAnsi="仿宋_GB2312" w:eastAsia="仿宋_GB2312" w:cs="仿宋_GB2312"/>
          <w:color w:val="000000" w:themeColor="text1"/>
          <w:sz w:val="24"/>
          <w:szCs w:val="24"/>
          <w:highlight w:val="none"/>
          <w:lang w:val="zh-CN"/>
        </w:rPr>
        <w:t>全称，以下简称本公司），系依法成立并有效存续的公司。现向本公司</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lang w:val="zh-CN"/>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rPr>
        <w:t>告知</w:t>
      </w:r>
      <w:r>
        <w:rPr>
          <w:rFonts w:hint="eastAsia" w:ascii="仿宋_GB2312" w:hAnsi="仿宋_GB2312" w:eastAsia="仿宋_GB2312" w:cs="仿宋_GB2312"/>
          <w:color w:val="000000" w:themeColor="text1"/>
          <w:sz w:val="24"/>
          <w:szCs w:val="24"/>
          <w:highlight w:val="none"/>
          <w:lang w:val="zh-CN"/>
        </w:rPr>
        <w:t>书），项目经理</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（身份证号：</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w:t>
      </w:r>
      <w:r>
        <w:rPr>
          <w:rFonts w:hint="eastAsia" w:ascii="仿宋_GB2312" w:hAnsi="仿宋_GB2312" w:eastAsia="仿宋_GB2312" w:cs="仿宋_GB2312"/>
          <w:color w:val="000000" w:themeColor="text1"/>
          <w:sz w:val="24"/>
          <w:szCs w:val="24"/>
          <w:highlight w:val="none"/>
          <w:lang w:val="zh-CN"/>
        </w:rPr>
        <w:t xml:space="preserve">代表本公司行使权限。 </w:t>
      </w:r>
    </w:p>
    <w:p>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rPr>
      </w:pPr>
      <w:r>
        <w:rPr>
          <w:rFonts w:hint="eastAsia" w:ascii="仿宋_GB2312" w:hAnsi="仿宋_GB2312" w:eastAsia="仿宋_GB2312" w:cs="仿宋_GB2312"/>
          <w:color w:val="000000" w:themeColor="text1"/>
          <w:sz w:val="24"/>
          <w:szCs w:val="24"/>
          <w:highlight w:val="none"/>
        </w:rPr>
        <w:t xml:space="preserve">    一、</w:t>
      </w:r>
      <w:r>
        <w:rPr>
          <w:rFonts w:hint="eastAsia" w:ascii="仿宋_GB2312" w:hAnsi="仿宋_GB2312" w:eastAsia="仿宋_GB2312" w:cs="仿宋_GB2312"/>
          <w:color w:val="000000" w:themeColor="text1"/>
          <w:sz w:val="24"/>
          <w:szCs w:val="24"/>
          <w:highlight w:val="none"/>
          <w:lang w:val="zh-CN"/>
        </w:rPr>
        <w:t>项目部须严格按合同约定行使权利，履行义务。本授权书规定与合同约定相冲突的，以合同约定为准。</w:t>
      </w:r>
    </w:p>
    <w:p>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rPr>
      </w:pPr>
      <w:r>
        <w:rPr>
          <w:rFonts w:hint="eastAsia" w:ascii="仿宋_GB2312" w:hAnsi="仿宋_GB2312" w:eastAsia="仿宋_GB2312" w:cs="仿宋_GB2312"/>
          <w:color w:val="000000" w:themeColor="text1"/>
          <w:sz w:val="24"/>
          <w:szCs w:val="24"/>
          <w:highlight w:val="none"/>
        </w:rPr>
        <w:t xml:space="preserve">    </w:t>
      </w:r>
      <w:r>
        <w:rPr>
          <w:rFonts w:hint="eastAsia" w:ascii="仿宋_GB2312" w:hAnsi="仿宋_GB2312" w:eastAsia="仿宋_GB2312" w:cs="仿宋_GB2312"/>
          <w:color w:val="000000" w:themeColor="text1"/>
          <w:sz w:val="24"/>
          <w:szCs w:val="24"/>
          <w:highlight w:val="none"/>
          <w:lang w:val="zh-CN"/>
        </w:rPr>
        <w:t>二、项目部行使权限，须由项目经理签字并加盖项目部公章，否则本公司不予认可，亦不承担任何责任。</w:t>
      </w:r>
    </w:p>
    <w:p>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rPr>
      </w:pPr>
      <w:r>
        <w:rPr>
          <w:rFonts w:hint="eastAsia" w:ascii="仿宋_GB2312" w:hAnsi="仿宋_GB2312" w:eastAsia="仿宋_GB2312" w:cs="仿宋_GB2312"/>
          <w:color w:val="000000" w:themeColor="text1"/>
          <w:sz w:val="24"/>
          <w:szCs w:val="24"/>
          <w:highlight w:val="none"/>
        </w:rPr>
        <w:t xml:space="preserve">    </w:t>
      </w:r>
      <w:r>
        <w:rPr>
          <w:rFonts w:hint="eastAsia" w:ascii="仿宋_GB2312" w:hAnsi="仿宋_GB2312" w:eastAsia="仿宋_GB2312" w:cs="仿宋_GB2312"/>
          <w:color w:val="000000" w:themeColor="text1"/>
          <w:sz w:val="24"/>
          <w:szCs w:val="24"/>
          <w:highlight w:val="none"/>
          <w:lang w:val="zh-CN"/>
        </w:rPr>
        <w:t>三、项目经理</w:t>
      </w:r>
      <w:r>
        <w:rPr>
          <w:rFonts w:hint="eastAsia" w:ascii="仿宋_GB2312" w:hAnsi="仿宋_GB2312" w:eastAsia="仿宋_GB2312" w:cs="仿宋_GB2312"/>
          <w:color w:val="000000" w:themeColor="text1"/>
          <w:sz w:val="24"/>
          <w:szCs w:val="24"/>
          <w:highlight w:val="none"/>
        </w:rPr>
        <w:t>不</w:t>
      </w:r>
      <w:r>
        <w:rPr>
          <w:rFonts w:hint="eastAsia" w:ascii="仿宋_GB2312" w:hAnsi="仿宋_GB2312" w:eastAsia="仿宋_GB2312" w:cs="仿宋_GB2312"/>
          <w:color w:val="000000" w:themeColor="text1"/>
          <w:sz w:val="24"/>
          <w:szCs w:val="24"/>
          <w:highlight w:val="none"/>
          <w:lang w:val="zh-CN"/>
        </w:rPr>
        <w:t>可将其部分权限以书面形式转授权项目部其他人员，项目部任何内设机构及项目经理</w:t>
      </w:r>
      <w:r>
        <w:rPr>
          <w:rFonts w:hint="eastAsia" w:ascii="仿宋_GB2312" w:hAnsi="仿宋_GB2312" w:eastAsia="仿宋_GB2312" w:cs="仿宋_GB2312"/>
          <w:color w:val="000000" w:themeColor="text1"/>
          <w:sz w:val="24"/>
          <w:szCs w:val="24"/>
          <w:highlight w:val="none"/>
        </w:rPr>
        <w:t>擅自</w:t>
      </w:r>
      <w:r>
        <w:rPr>
          <w:rFonts w:hint="eastAsia" w:ascii="仿宋_GB2312" w:hAnsi="仿宋_GB2312" w:eastAsia="仿宋_GB2312" w:cs="仿宋_GB2312"/>
          <w:color w:val="000000" w:themeColor="text1"/>
          <w:sz w:val="24"/>
          <w:szCs w:val="24"/>
          <w:highlight w:val="none"/>
          <w:lang w:val="zh-CN"/>
        </w:rPr>
        <w:t>转授权人员以任何形式签字、盖章本公司均不予认可，亦不承担任何责任。</w:t>
      </w:r>
    </w:p>
    <w:p>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rPr>
      </w:pPr>
      <w:r>
        <w:rPr>
          <w:rFonts w:hint="eastAsia" w:ascii="仿宋_GB2312" w:hAnsi="仿宋_GB2312" w:eastAsia="仿宋_GB2312" w:cs="仿宋_GB2312"/>
          <w:color w:val="000000" w:themeColor="text1"/>
          <w:sz w:val="24"/>
          <w:szCs w:val="24"/>
          <w:highlight w:val="none"/>
        </w:rPr>
        <w:t xml:space="preserve">    </w:t>
      </w:r>
      <w:r>
        <w:rPr>
          <w:rFonts w:hint="eastAsia" w:ascii="仿宋_GB2312" w:hAnsi="仿宋_GB2312" w:eastAsia="仿宋_GB2312" w:cs="仿宋_GB2312"/>
          <w:color w:val="000000" w:themeColor="text1"/>
          <w:sz w:val="24"/>
          <w:szCs w:val="24"/>
          <w:highlight w:val="none"/>
          <w:lang w:val="zh-CN"/>
        </w:rPr>
        <w:t>四、未经</w:t>
      </w:r>
      <w:r>
        <w:rPr>
          <w:rFonts w:hint="eastAsia" w:ascii="仿宋_GB2312" w:hAnsi="仿宋_GB2312" w:eastAsia="仿宋_GB2312" w:cs="仿宋_GB2312"/>
          <w:color w:val="000000" w:themeColor="text1"/>
          <w:sz w:val="24"/>
          <w:szCs w:val="24"/>
          <w:highlight w:val="none"/>
          <w:lang w:val="en-US" w:eastAsia="zh-CN"/>
        </w:rPr>
        <w:t>甲方</w:t>
      </w:r>
      <w:r>
        <w:rPr>
          <w:rFonts w:hint="eastAsia" w:ascii="仿宋_GB2312" w:hAnsi="仿宋_GB2312" w:eastAsia="仿宋_GB2312" w:cs="仿宋_GB2312"/>
          <w:color w:val="000000" w:themeColor="text1"/>
          <w:sz w:val="24"/>
          <w:szCs w:val="24"/>
          <w:highlight w:val="none"/>
          <w:lang w:val="zh-CN"/>
        </w:rPr>
        <w:t>授权的</w:t>
      </w:r>
      <w:r>
        <w:rPr>
          <w:rFonts w:hint="eastAsia" w:ascii="仿宋_GB2312" w:hAnsi="仿宋_GB2312" w:eastAsia="仿宋_GB2312" w:cs="仿宋_GB2312"/>
          <w:color w:val="000000" w:themeColor="text1"/>
          <w:sz w:val="24"/>
          <w:szCs w:val="24"/>
          <w:highlight w:val="none"/>
          <w:lang w:val="en-US" w:eastAsia="zh-CN"/>
        </w:rPr>
        <w:t>项目经理、</w:t>
      </w:r>
      <w:r>
        <w:rPr>
          <w:rFonts w:hint="eastAsia" w:ascii="仿宋_GB2312" w:hAnsi="仿宋_GB2312" w:eastAsia="仿宋_GB2312" w:cs="仿宋_GB2312"/>
          <w:color w:val="000000" w:themeColor="text1"/>
          <w:sz w:val="24"/>
          <w:szCs w:val="24"/>
          <w:highlight w:val="none"/>
          <w:lang w:val="zh-CN"/>
        </w:rPr>
        <w:t>任何</w:t>
      </w:r>
      <w:r>
        <w:rPr>
          <w:rFonts w:hint="eastAsia" w:ascii="仿宋_GB2312" w:hAnsi="仿宋_GB2312" w:eastAsia="仿宋_GB2312" w:cs="仿宋_GB2312"/>
          <w:color w:val="000000" w:themeColor="text1"/>
          <w:sz w:val="24"/>
          <w:szCs w:val="24"/>
          <w:highlight w:val="none"/>
          <w:lang w:val="en-US" w:eastAsia="zh-CN"/>
        </w:rPr>
        <w:t>项目部</w:t>
      </w:r>
      <w:r>
        <w:rPr>
          <w:rFonts w:hint="eastAsia" w:ascii="仿宋_GB2312" w:hAnsi="仿宋_GB2312" w:eastAsia="仿宋_GB2312" w:cs="仿宋_GB2312"/>
          <w:color w:val="000000" w:themeColor="text1"/>
          <w:sz w:val="24"/>
          <w:szCs w:val="24"/>
          <w:highlight w:val="none"/>
          <w:lang w:val="zh-CN"/>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lang w:val="zh-CN"/>
        </w:rPr>
      </w:pPr>
      <w:r>
        <w:rPr>
          <w:rFonts w:hint="eastAsia" w:ascii="仿宋_GB2312" w:hAnsi="仿宋_GB2312" w:eastAsia="仿宋_GB2312" w:cs="仿宋_GB2312"/>
          <w:color w:val="000000" w:themeColor="text1"/>
          <w:sz w:val="24"/>
          <w:szCs w:val="24"/>
          <w:highlight w:val="none"/>
          <w:lang w:val="zh-CN"/>
        </w:rPr>
        <w:t>五、凡涉及项目经济性事项，项目部须严格在本授权书规定的权限范围内行使，否则，即使经项目部加盖公章、项目经理签字，本公司亦不予认可，不承担任何责任。</w:t>
      </w:r>
    </w:p>
    <w:p>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1.项目部有权审批如下事项：</w:t>
      </w:r>
    </w:p>
    <w:tbl>
      <w:tblPr>
        <w:tblStyle w:val="34"/>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rPr>
            </w:pPr>
            <w:r>
              <w:rPr>
                <w:rFonts w:hint="eastAsia" w:ascii="仿宋_GB2312" w:hAnsi="仿宋_GB2312" w:eastAsia="仿宋_GB2312" w:cs="仿宋_GB2312"/>
                <w:b/>
                <w:bCs/>
                <w:color w:val="000000" w:themeColor="text1"/>
                <w:sz w:val="24"/>
                <w:szCs w:val="24"/>
                <w:highlight w:val="none"/>
                <w:lang w:val="zh-CN"/>
              </w:rPr>
              <w:t>序号</w:t>
            </w:r>
          </w:p>
        </w:tc>
        <w:tc>
          <w:tcPr>
            <w:tcW w:w="8818" w:type="dxa"/>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rPr>
            </w:pPr>
            <w:r>
              <w:rPr>
                <w:rFonts w:hint="eastAsia" w:ascii="仿宋_GB2312" w:hAnsi="仿宋_GB2312" w:eastAsia="仿宋_GB2312" w:cs="仿宋_GB2312"/>
                <w:b/>
                <w:bCs/>
                <w:color w:val="000000" w:themeColor="text1"/>
                <w:sz w:val="24"/>
                <w:szCs w:val="24"/>
                <w:highlight w:val="none"/>
                <w:lang w:val="zh-CN"/>
              </w:rPr>
              <w:t>授权性事项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1</w:t>
            </w:r>
          </w:p>
        </w:tc>
        <w:tc>
          <w:tcPr>
            <w:tcW w:w="8818" w:type="dxa"/>
            <w:shd w:val="clear" w:color="auto" w:fill="auto"/>
            <w:vAlign w:val="center"/>
          </w:tcPr>
          <w:p>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kern w:val="0"/>
                <w:sz w:val="24"/>
                <w:szCs w:val="24"/>
                <w:highlight w:val="none"/>
              </w:rPr>
              <w:t>向乙方发送物资进退场联系单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2</w:t>
            </w:r>
          </w:p>
        </w:tc>
        <w:tc>
          <w:tcPr>
            <w:tcW w:w="8818" w:type="dxa"/>
            <w:shd w:val="clear" w:color="auto" w:fill="auto"/>
            <w:vAlign w:val="center"/>
          </w:tcPr>
          <w:p>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kern w:val="0"/>
                <w:sz w:val="24"/>
                <w:szCs w:val="24"/>
                <w:highlight w:val="none"/>
              </w:rPr>
              <w:t>对乙方进场物资进行外观检测，出具进场物资登记验收单，确认进场物资外观检测和进场登记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3</w:t>
            </w:r>
          </w:p>
        </w:tc>
        <w:tc>
          <w:tcPr>
            <w:tcW w:w="8818" w:type="dxa"/>
            <w:shd w:val="clear" w:color="auto" w:fill="auto"/>
            <w:vAlign w:val="center"/>
          </w:tcPr>
          <w:p>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rPr>
            </w:pPr>
            <w:r>
              <w:rPr>
                <w:rFonts w:hint="eastAsia" w:ascii="仿宋_GB2312" w:hAnsi="仿宋_GB2312" w:eastAsia="仿宋_GB2312" w:cs="仿宋_GB2312"/>
                <w:b/>
                <w:bCs/>
                <w:color w:val="000000" w:themeColor="text1"/>
                <w:kern w:val="0"/>
                <w:sz w:val="24"/>
                <w:szCs w:val="24"/>
                <w:highlight w:val="none"/>
              </w:rPr>
              <w:t>办理物资收料单、初步编制物资采购结算单提交甲方公司确认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4</w:t>
            </w:r>
          </w:p>
        </w:tc>
        <w:tc>
          <w:tcPr>
            <w:tcW w:w="8818" w:type="dxa"/>
            <w:shd w:val="clear" w:color="auto" w:fill="auto"/>
            <w:vAlign w:val="center"/>
          </w:tcPr>
          <w:p>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rPr>
            </w:pPr>
            <w:r>
              <w:rPr>
                <w:rFonts w:hint="eastAsia" w:ascii="仿宋_GB2312" w:hAnsi="仿宋_GB2312" w:eastAsia="仿宋_GB2312" w:cs="仿宋_GB2312"/>
                <w:b/>
                <w:bCs/>
                <w:color w:val="000000" w:themeColor="text1"/>
                <w:kern w:val="0"/>
                <w:sz w:val="24"/>
                <w:szCs w:val="24"/>
                <w:highlight w:val="none"/>
              </w:rPr>
              <w:t>对乙方物资进行检验、试验、检测与计量，联系乙方退货或更换，出具进场物资不合格记录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5</w:t>
            </w:r>
          </w:p>
        </w:tc>
        <w:tc>
          <w:tcPr>
            <w:tcW w:w="8818" w:type="dxa"/>
            <w:shd w:val="clear" w:color="auto" w:fill="auto"/>
            <w:vAlign w:val="center"/>
          </w:tcPr>
          <w:p>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rPr>
            </w:pPr>
            <w:r>
              <w:rPr>
                <w:rFonts w:hint="eastAsia" w:ascii="仿宋_GB2312" w:hAnsi="仿宋_GB2312" w:eastAsia="仿宋_GB2312" w:cs="仿宋_GB2312"/>
                <w:b/>
                <w:bCs/>
                <w:color w:val="000000" w:themeColor="text1"/>
                <w:kern w:val="0"/>
                <w:sz w:val="24"/>
                <w:szCs w:val="24"/>
                <w:highlight w:val="none"/>
              </w:rPr>
              <w:t>确认物资领料单、退货单、混凝土浇灌申请表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6</w:t>
            </w:r>
          </w:p>
        </w:tc>
        <w:tc>
          <w:tcPr>
            <w:tcW w:w="8818" w:type="dxa"/>
            <w:shd w:val="clear" w:color="auto" w:fill="auto"/>
            <w:vAlign w:val="center"/>
          </w:tcPr>
          <w:p>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kern w:val="0"/>
                <w:sz w:val="24"/>
                <w:szCs w:val="24"/>
                <w:highlight w:val="none"/>
              </w:rPr>
              <w:t>出具料具进退场签收单（无审批权）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7</w:t>
            </w:r>
          </w:p>
        </w:tc>
        <w:tc>
          <w:tcPr>
            <w:tcW w:w="8818" w:type="dxa"/>
            <w:shd w:val="clear" w:color="auto" w:fill="auto"/>
            <w:vAlign w:val="center"/>
          </w:tcPr>
          <w:p>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kern w:val="0"/>
                <w:sz w:val="24"/>
                <w:szCs w:val="24"/>
                <w:highlight w:val="none"/>
              </w:rPr>
              <w:t>编制、审核料具结算单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8</w:t>
            </w:r>
          </w:p>
        </w:tc>
        <w:tc>
          <w:tcPr>
            <w:tcW w:w="8818" w:type="dxa"/>
            <w:shd w:val="clear" w:color="auto" w:fill="auto"/>
            <w:vAlign w:val="center"/>
          </w:tcPr>
          <w:p>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rPr>
            </w:pPr>
            <w:r>
              <w:rPr>
                <w:rFonts w:hint="eastAsia" w:ascii="仿宋_GB2312" w:hAnsi="仿宋_GB2312" w:eastAsia="仿宋_GB2312" w:cs="仿宋_GB2312"/>
                <w:b/>
                <w:bCs/>
                <w:color w:val="000000" w:themeColor="text1"/>
                <w:kern w:val="0"/>
                <w:sz w:val="24"/>
                <w:szCs w:val="24"/>
                <w:highlight w:val="none"/>
              </w:rPr>
              <w:t>对不服从指挥的材料供应商作出处罚（追究违约责任）的决定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9</w:t>
            </w:r>
          </w:p>
        </w:tc>
        <w:tc>
          <w:tcPr>
            <w:tcW w:w="8818" w:type="dxa"/>
            <w:shd w:val="clear" w:color="auto" w:fill="auto"/>
            <w:vAlign w:val="center"/>
          </w:tcPr>
          <w:p>
            <w:pPr>
              <w:widowControl/>
              <w:jc w:val="left"/>
              <w:rPr>
                <w:rFonts w:ascii="仿宋_GB2312" w:hAnsi="仿宋_GB2312" w:eastAsia="仿宋_GB2312" w:cs="仿宋_GB2312"/>
                <w:b/>
                <w:bCs/>
                <w:color w:val="000000" w:themeColor="text1"/>
                <w:kern w:val="0"/>
                <w:sz w:val="24"/>
                <w:szCs w:val="24"/>
                <w:highlight w:val="none"/>
              </w:rPr>
            </w:pPr>
            <w:r>
              <w:rPr>
                <w:rFonts w:hint="eastAsia" w:ascii="仿宋_GB2312" w:hAnsi="仿宋_GB2312" w:eastAsia="仿宋_GB2312" w:cs="仿宋_GB2312"/>
                <w:b/>
                <w:bCs/>
                <w:color w:val="000000" w:themeColor="text1"/>
                <w:kern w:val="0"/>
                <w:sz w:val="24"/>
                <w:szCs w:val="24"/>
                <w:highlight w:val="none"/>
              </w:rPr>
              <w:t>对乙方工程项目的履约情况进行监控和核查；发现问题后，通知要求乙方进行整改或调整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10</w:t>
            </w:r>
          </w:p>
        </w:tc>
        <w:tc>
          <w:tcPr>
            <w:tcW w:w="8818" w:type="dxa"/>
            <w:shd w:val="clear" w:color="auto" w:fill="auto"/>
            <w:vAlign w:val="center"/>
          </w:tcPr>
          <w:p>
            <w:pPr>
              <w:widowControl/>
              <w:jc w:val="left"/>
              <w:rPr>
                <w:rFonts w:ascii="仿宋_GB2312" w:hAnsi="仿宋_GB2312" w:eastAsia="仿宋_GB2312" w:cs="仿宋_GB2312"/>
                <w:b/>
                <w:bCs/>
                <w:color w:val="000000" w:themeColor="text1"/>
                <w:kern w:val="0"/>
                <w:sz w:val="24"/>
                <w:szCs w:val="24"/>
                <w:highlight w:val="none"/>
              </w:rPr>
            </w:pPr>
            <w:r>
              <w:rPr>
                <w:rFonts w:hint="eastAsia" w:ascii="仿宋_GB2312" w:hAnsi="仿宋_GB2312" w:eastAsia="仿宋_GB2312" w:cs="仿宋_GB2312"/>
                <w:b/>
                <w:bCs/>
                <w:color w:val="000000" w:themeColor="text1"/>
                <w:kern w:val="0"/>
                <w:sz w:val="24"/>
                <w:szCs w:val="24"/>
                <w:highlight w:val="none"/>
              </w:rPr>
              <w:t>组织实施质量验收工作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11</w:t>
            </w:r>
          </w:p>
        </w:tc>
        <w:tc>
          <w:tcPr>
            <w:tcW w:w="8818" w:type="dxa"/>
            <w:shd w:val="clear" w:color="auto" w:fill="auto"/>
            <w:vAlign w:val="center"/>
          </w:tcPr>
          <w:p>
            <w:pPr>
              <w:widowControl/>
              <w:jc w:val="left"/>
              <w:rPr>
                <w:rFonts w:ascii="仿宋_GB2312" w:hAnsi="仿宋_GB2312" w:eastAsia="仿宋_GB2312" w:cs="仿宋_GB2312"/>
                <w:b/>
                <w:bCs/>
                <w:color w:val="000000" w:themeColor="text1"/>
                <w:kern w:val="0"/>
                <w:sz w:val="24"/>
                <w:szCs w:val="24"/>
                <w:highlight w:val="none"/>
              </w:rPr>
            </w:pPr>
            <w:r>
              <w:rPr>
                <w:rFonts w:hint="eastAsia" w:ascii="仿宋_GB2312" w:hAnsi="仿宋_GB2312" w:eastAsia="仿宋_GB2312" w:cs="仿宋_GB2312"/>
                <w:b/>
                <w:bCs/>
                <w:color w:val="000000" w:themeColor="text1"/>
                <w:kern w:val="0"/>
                <w:sz w:val="24"/>
                <w:szCs w:val="24"/>
                <w:highlight w:val="none"/>
              </w:rPr>
              <w:t>向乙方发送维修整改通知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12</w:t>
            </w:r>
          </w:p>
        </w:tc>
        <w:tc>
          <w:tcPr>
            <w:tcW w:w="8818" w:type="dxa"/>
            <w:shd w:val="clear" w:color="auto" w:fill="auto"/>
            <w:vAlign w:val="center"/>
          </w:tcPr>
          <w:p>
            <w:pPr>
              <w:widowControl/>
              <w:jc w:val="left"/>
              <w:rPr>
                <w:rFonts w:ascii="仿宋_GB2312" w:hAnsi="仿宋_GB2312" w:eastAsia="仿宋_GB2312" w:cs="仿宋_GB2312"/>
                <w:b/>
                <w:bCs/>
                <w:color w:val="000000" w:themeColor="text1"/>
                <w:kern w:val="0"/>
                <w:sz w:val="24"/>
                <w:szCs w:val="24"/>
                <w:highlight w:val="none"/>
              </w:rPr>
            </w:pPr>
            <w:r>
              <w:rPr>
                <w:rFonts w:hint="eastAsia" w:ascii="仿宋_GB2312" w:hAnsi="仿宋_GB2312" w:eastAsia="仿宋_GB2312" w:cs="仿宋_GB2312"/>
                <w:b/>
                <w:bCs/>
                <w:color w:val="000000" w:themeColor="text1"/>
                <w:kern w:val="0"/>
                <w:sz w:val="24"/>
                <w:szCs w:val="24"/>
                <w:highlight w:val="none"/>
              </w:rPr>
              <w:t>根据合同约定或公司规定扣除乙方质保金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13</w:t>
            </w:r>
          </w:p>
        </w:tc>
        <w:tc>
          <w:tcPr>
            <w:tcW w:w="8818" w:type="dxa"/>
            <w:shd w:val="clear" w:color="auto" w:fill="auto"/>
            <w:vAlign w:val="center"/>
          </w:tcPr>
          <w:p>
            <w:pPr>
              <w:widowControl/>
              <w:jc w:val="left"/>
              <w:rPr>
                <w:rFonts w:ascii="仿宋_GB2312" w:hAnsi="仿宋_GB2312" w:eastAsia="仿宋_GB2312" w:cs="仿宋_GB2312"/>
                <w:b/>
                <w:bCs/>
                <w:color w:val="000000" w:themeColor="text1"/>
                <w:kern w:val="0"/>
                <w:sz w:val="24"/>
                <w:szCs w:val="24"/>
                <w:highlight w:val="none"/>
              </w:rPr>
            </w:pPr>
            <w:r>
              <w:rPr>
                <w:rFonts w:hint="eastAsia" w:ascii="仿宋_GB2312" w:hAnsi="仿宋_GB2312" w:eastAsia="仿宋_GB2312" w:cs="仿宋_GB2312"/>
                <w:b/>
                <w:bCs/>
                <w:color w:val="000000" w:themeColor="text1"/>
                <w:kern w:val="0"/>
                <w:sz w:val="24"/>
                <w:szCs w:val="24"/>
                <w:highlight w:val="none"/>
              </w:rPr>
              <w:t>对存在的安全生产隐患，下达《安全隐患整改通知书》，对存在重大安全生产隐患，下达《安全隐患局部停工整改令》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14</w:t>
            </w:r>
          </w:p>
        </w:tc>
        <w:tc>
          <w:tcPr>
            <w:tcW w:w="8818" w:type="dxa"/>
            <w:shd w:val="clear" w:color="auto" w:fill="auto"/>
            <w:vAlign w:val="center"/>
          </w:tcPr>
          <w:p>
            <w:pPr>
              <w:widowControl/>
              <w:jc w:val="left"/>
              <w:rPr>
                <w:rFonts w:ascii="仿宋_GB2312" w:hAnsi="仿宋_GB2312" w:eastAsia="仿宋_GB2312" w:cs="仿宋_GB2312"/>
                <w:b/>
                <w:bCs/>
                <w:color w:val="000000" w:themeColor="text1"/>
                <w:kern w:val="0"/>
                <w:sz w:val="24"/>
                <w:szCs w:val="24"/>
                <w:highlight w:val="none"/>
              </w:rPr>
            </w:pPr>
            <w:r>
              <w:rPr>
                <w:rFonts w:hint="eastAsia" w:ascii="仿宋_GB2312" w:hAnsi="仿宋_GB2312" w:eastAsia="仿宋_GB2312" w:cs="仿宋_GB2312"/>
                <w:b/>
                <w:bCs/>
                <w:color w:val="000000" w:themeColor="text1"/>
                <w:kern w:val="0"/>
                <w:sz w:val="24"/>
                <w:szCs w:val="24"/>
                <w:highlight w:val="none"/>
              </w:rPr>
              <w:t>对检查中发现的不符合合同约定或国家规定标准的，要求乙方进行整改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15</w:t>
            </w:r>
          </w:p>
        </w:tc>
        <w:tc>
          <w:tcPr>
            <w:tcW w:w="8818" w:type="dxa"/>
            <w:shd w:val="clear" w:color="auto" w:fill="auto"/>
            <w:vAlign w:val="center"/>
          </w:tcPr>
          <w:p>
            <w:pPr>
              <w:widowControl/>
              <w:jc w:val="left"/>
              <w:rPr>
                <w:rFonts w:ascii="仿宋_GB2312" w:hAnsi="仿宋_GB2312" w:eastAsia="仿宋_GB2312" w:cs="仿宋_GB2312"/>
                <w:b/>
                <w:bCs/>
                <w:color w:val="000000" w:themeColor="text1"/>
                <w:kern w:val="0"/>
                <w:sz w:val="24"/>
                <w:szCs w:val="24"/>
                <w:highlight w:val="none"/>
              </w:rPr>
            </w:pPr>
            <w:r>
              <w:rPr>
                <w:rFonts w:hint="eastAsia" w:ascii="仿宋_GB2312" w:hAnsi="仿宋_GB2312" w:eastAsia="仿宋_GB2312" w:cs="仿宋_GB2312"/>
                <w:b/>
                <w:bCs/>
                <w:color w:val="000000" w:themeColor="text1"/>
                <w:kern w:val="0"/>
                <w:sz w:val="24"/>
                <w:szCs w:val="24"/>
                <w:highlight w:val="none"/>
              </w:rPr>
              <w:t>报送或接收工程履约相关的工作联系函</w:t>
            </w:r>
          </w:p>
        </w:tc>
      </w:tr>
    </w:tbl>
    <w:p>
      <w:pPr>
        <w:numPr>
          <w:ilvl w:val="0"/>
          <w:numId w:val="6"/>
        </w:numPr>
        <w:autoSpaceDE w:val="0"/>
        <w:autoSpaceDN w:val="0"/>
        <w:adjustRightInd w:val="0"/>
        <w:spacing w:line="400" w:lineRule="exact"/>
        <w:rPr>
          <w:rFonts w:ascii="仿宋_GB2312" w:hAnsi="仿宋_GB2312" w:eastAsia="仿宋_GB2312" w:cs="仿宋_GB2312"/>
          <w:color w:val="000000" w:themeColor="text1"/>
          <w:sz w:val="24"/>
          <w:szCs w:val="24"/>
          <w:highlight w:val="none"/>
        </w:rPr>
      </w:pPr>
      <w:bookmarkStart w:id="149" w:name="_Hlk126826460"/>
      <w:r>
        <w:rPr>
          <w:rFonts w:hint="eastAsia" w:ascii="仿宋_GB2312" w:hAnsi="仿宋_GB2312" w:eastAsia="仿宋_GB2312" w:cs="仿宋_GB2312"/>
          <w:color w:val="000000" w:themeColor="text1"/>
          <w:sz w:val="24"/>
          <w:szCs w:val="24"/>
          <w:highlight w:val="none"/>
        </w:rPr>
        <w:t>项目部无权审批以下事项：</w:t>
      </w:r>
    </w:p>
    <w:bookmarkEnd w:id="149"/>
    <w:tbl>
      <w:tblPr>
        <w:tblStyle w:val="34"/>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rPr>
            </w:pPr>
            <w:bookmarkStart w:id="150" w:name="_Hlk127195047"/>
            <w:r>
              <w:rPr>
                <w:rFonts w:hint="eastAsia" w:ascii="仿宋_GB2312" w:hAnsi="仿宋_GB2312" w:eastAsia="仿宋_GB2312" w:cs="仿宋_GB2312"/>
                <w:b/>
                <w:bCs/>
                <w:color w:val="000000" w:themeColor="text1"/>
                <w:sz w:val="24"/>
                <w:szCs w:val="24"/>
                <w:highlight w:val="none"/>
                <w:lang w:val="zh-CN"/>
              </w:rPr>
              <w:t>序号</w:t>
            </w:r>
          </w:p>
        </w:tc>
        <w:tc>
          <w:tcPr>
            <w:tcW w:w="88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rPr>
            </w:pPr>
            <w:r>
              <w:rPr>
                <w:rFonts w:hint="eastAsia" w:ascii="仿宋_GB2312" w:hAnsi="仿宋_GB2312" w:eastAsia="仿宋_GB2312" w:cs="仿宋_GB2312"/>
                <w:b/>
                <w:bCs/>
                <w:color w:val="000000" w:themeColor="text1"/>
                <w:sz w:val="24"/>
                <w:szCs w:val="24"/>
                <w:highlight w:val="none"/>
                <w:lang w:val="zh-CN"/>
              </w:rPr>
              <w:t>禁止性事项</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b/>
                <w:bCs/>
                <w:color w:val="000000" w:themeColor="text1"/>
                <w:sz w:val="24"/>
                <w:szCs w:val="24"/>
                <w:highlight w:val="none"/>
                <w:lang w:val="zh-CN"/>
              </w:rPr>
            </w:pPr>
            <w:r>
              <w:rPr>
                <w:rFonts w:hint="eastAsia" w:ascii="仿宋_GB2312" w:hAnsi="仿宋_GB2312" w:eastAsia="仿宋_GB2312" w:cs="仿宋_GB2312"/>
                <w:b/>
                <w:bCs/>
                <w:color w:val="000000" w:themeColor="text1"/>
                <w:kern w:val="0"/>
                <w:sz w:val="24"/>
                <w:szCs w:val="24"/>
                <w:highlight w:val="none"/>
              </w:rPr>
              <w:t>进行银行贷款等融资活动</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kern w:val="0"/>
                <w:sz w:val="24"/>
                <w:szCs w:val="24"/>
                <w:highlight w:val="none"/>
              </w:rPr>
              <w:t>对外提供担保</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kern w:val="0"/>
                <w:sz w:val="24"/>
                <w:szCs w:val="24"/>
                <w:highlight w:val="none"/>
              </w:rPr>
              <w:t>对外开立各类保函</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34"/>
              </w:tabs>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kern w:val="0"/>
                <w:sz w:val="24"/>
                <w:szCs w:val="24"/>
                <w:highlight w:val="none"/>
              </w:rPr>
              <w:t>对外拆借资金</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kern w:val="0"/>
                <w:sz w:val="24"/>
                <w:szCs w:val="24"/>
                <w:highlight w:val="none"/>
              </w:rPr>
              <w:t>设立或变更劳动关系（包括签订劳动合同、确认劳动关系等）</w:t>
            </w:r>
          </w:p>
        </w:tc>
      </w:tr>
      <w:bookmarkEnd w:id="150"/>
    </w:tbl>
    <w:p>
      <w:pPr>
        <w:numPr>
          <w:ilvl w:val="0"/>
          <w:numId w:val="7"/>
        </w:num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rPr>
      </w:pPr>
      <w:r>
        <w:rPr>
          <w:rFonts w:hint="eastAsia" w:ascii="仿宋_GB2312" w:hAnsi="仿宋_GB2312" w:eastAsia="仿宋_GB2312" w:cs="仿宋_GB2312"/>
          <w:color w:val="000000" w:themeColor="text1"/>
          <w:sz w:val="24"/>
          <w:szCs w:val="24"/>
          <w:highlight w:val="none"/>
          <w:lang w:val="zh-CN"/>
        </w:rPr>
        <w:t>若项目经理发生变更，则由新委任的项目经理承继。</w:t>
      </w:r>
    </w:p>
    <w:p>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rPr>
      </w:pPr>
    </w:p>
    <w:p>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               </w:t>
      </w:r>
    </w:p>
    <w:p>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  授权单位（盖章）：</w:t>
      </w:r>
    </w:p>
    <w:p>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bCs/>
          <w:color w:val="000000" w:themeColor="text1"/>
          <w:sz w:val="24"/>
          <w:szCs w:val="24"/>
          <w:highlight w:val="none"/>
        </w:rPr>
        <w:t xml:space="preserve"> </w:t>
      </w:r>
      <w:r>
        <w:rPr>
          <w:rFonts w:hint="eastAsia" w:ascii="仿宋_GB2312" w:hAnsi="仿宋_GB2312" w:eastAsia="仿宋_GB2312" w:cs="仿宋_GB2312"/>
          <w:bCs/>
          <w:color w:val="000000" w:themeColor="text1"/>
          <w:sz w:val="24"/>
          <w:szCs w:val="24"/>
          <w:highlight w:val="none"/>
          <w:lang w:val="en-US" w:eastAsia="zh-CN"/>
        </w:rPr>
        <w:t xml:space="preserve">                </w:t>
      </w:r>
      <w:r>
        <w:rPr>
          <w:rFonts w:hint="eastAsia" w:ascii="仿宋_GB2312" w:hAnsi="仿宋_GB2312" w:eastAsia="仿宋_GB2312" w:cs="仿宋_GB2312"/>
          <w:color w:val="000000" w:themeColor="text1"/>
          <w:kern w:val="0"/>
          <w:sz w:val="24"/>
          <w:szCs w:val="24"/>
          <w:highlight w:val="none"/>
        </w:rPr>
        <w:t xml:space="preserve">                          法定代表人：</w:t>
      </w:r>
    </w:p>
    <w:p>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rPr>
        <w:t xml:space="preserve">    </w:t>
      </w:r>
      <w:r>
        <w:rPr>
          <w:rFonts w:hint="eastAsia" w:ascii="仿宋_GB2312" w:hAnsi="仿宋_GB2312" w:eastAsia="仿宋_GB2312" w:cs="仿宋_GB2312"/>
          <w:color w:val="000000" w:themeColor="text1"/>
          <w:kern w:val="0"/>
          <w:sz w:val="24"/>
          <w:szCs w:val="24"/>
          <w:highlight w:val="none"/>
          <w:lang w:val="en-US" w:eastAsia="zh-CN"/>
        </w:rPr>
        <w:t xml:space="preserve">       </w:t>
      </w:r>
      <w:r>
        <w:rPr>
          <w:rFonts w:hint="eastAsia" w:ascii="仿宋_GB2312" w:hAnsi="仿宋_GB2312" w:eastAsia="仿宋_GB2312" w:cs="仿宋_GB2312"/>
          <w:color w:val="000000" w:themeColor="text1"/>
          <w:kern w:val="0"/>
          <w:sz w:val="24"/>
          <w:szCs w:val="24"/>
          <w:highlight w:val="none"/>
        </w:rPr>
        <w:t xml:space="preserve">                               </w:t>
      </w:r>
      <w:r>
        <w:rPr>
          <w:rFonts w:hint="eastAsia" w:ascii="仿宋_GB2312" w:hAnsi="仿宋_GB2312" w:eastAsia="仿宋_GB2312" w:cs="仿宋_GB2312"/>
          <w:color w:val="000000" w:themeColor="text1"/>
          <w:kern w:val="0"/>
          <w:sz w:val="24"/>
          <w:szCs w:val="24"/>
          <w:highlight w:val="none"/>
          <w:lang w:val="en-US" w:eastAsia="zh-CN"/>
        </w:rPr>
        <w:t xml:space="preserve">     </w:t>
      </w:r>
      <w:r>
        <w:rPr>
          <w:rFonts w:hint="eastAsia" w:ascii="仿宋_GB2312" w:hAnsi="仿宋_GB2312" w:eastAsia="仿宋_GB2312" w:cs="仿宋_GB2312"/>
          <w:color w:val="000000" w:themeColor="text1"/>
          <w:kern w:val="0"/>
          <w:sz w:val="24"/>
          <w:szCs w:val="24"/>
          <w:highlight w:val="none"/>
        </w:rPr>
        <w:t>或</w:t>
      </w:r>
    </w:p>
    <w:p>
      <w:pPr>
        <w:autoSpaceDE w:val="0"/>
        <w:autoSpaceDN w:val="0"/>
        <w:adjustRightInd w:val="0"/>
        <w:spacing w:line="400" w:lineRule="atLeast"/>
        <w:ind w:firstLine="6000" w:firstLineChars="2500"/>
        <w:rPr>
          <w:rFonts w:ascii="仿宋_GB2312" w:hAnsi="仿宋_GB2312" w:eastAsia="仿宋_GB2312" w:cs="仿宋_GB2312"/>
          <w:bCs/>
          <w:color w:val="000000" w:themeColor="text1"/>
          <w:sz w:val="24"/>
          <w:szCs w:val="24"/>
          <w:highlight w:val="none"/>
        </w:rPr>
      </w:pPr>
      <w:r>
        <w:rPr>
          <w:rFonts w:hint="eastAsia" w:ascii="仿宋_GB2312" w:hAnsi="仿宋_GB2312" w:eastAsia="仿宋_GB2312" w:cs="仿宋_GB2312"/>
          <w:color w:val="000000" w:themeColor="text1"/>
          <w:kern w:val="0"/>
          <w:sz w:val="24"/>
          <w:szCs w:val="24"/>
          <w:highlight w:val="none"/>
          <w:lang w:val="en-US" w:eastAsia="zh-CN"/>
        </w:rPr>
        <w:t>被委托</w:t>
      </w:r>
      <w:r>
        <w:rPr>
          <w:rFonts w:hint="eastAsia" w:ascii="仿宋_GB2312" w:hAnsi="仿宋_GB2312" w:eastAsia="仿宋_GB2312" w:cs="仿宋_GB2312"/>
          <w:color w:val="000000" w:themeColor="text1"/>
          <w:kern w:val="0"/>
          <w:sz w:val="24"/>
          <w:szCs w:val="24"/>
          <w:highlight w:val="none"/>
        </w:rPr>
        <w:t>人：</w:t>
      </w:r>
      <w:r>
        <w:rPr>
          <w:rFonts w:hint="eastAsia" w:ascii="仿宋_GB2312" w:hAnsi="仿宋_GB2312" w:eastAsia="仿宋_GB2312" w:cs="仿宋_GB2312"/>
          <w:bCs/>
          <w:color w:val="000000" w:themeColor="text1"/>
          <w:sz w:val="24"/>
          <w:szCs w:val="24"/>
          <w:highlight w:val="none"/>
        </w:rPr>
        <w:t xml:space="preserve">           </w:t>
      </w:r>
    </w:p>
    <w:p>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rPr>
      </w:pPr>
      <w:r>
        <w:rPr>
          <w:rFonts w:hint="eastAsia" w:ascii="仿宋_GB2312" w:hAnsi="仿宋_GB2312" w:eastAsia="仿宋_GB2312" w:cs="仿宋_GB2312"/>
          <w:color w:val="000000" w:themeColor="text1"/>
          <w:sz w:val="24"/>
          <w:szCs w:val="24"/>
          <w:highlight w:val="none"/>
        </w:rPr>
        <w:t xml:space="preserve">                                          </w:t>
      </w:r>
      <w:r>
        <w:rPr>
          <w:rFonts w:hint="eastAsia" w:ascii="仿宋_GB2312" w:hAnsi="仿宋_GB2312" w:eastAsia="仿宋_GB2312" w:cs="仿宋_GB2312"/>
          <w:color w:val="000000" w:themeColor="text1"/>
          <w:sz w:val="24"/>
          <w:szCs w:val="24"/>
          <w:highlight w:val="none"/>
          <w:lang w:val="zh-CN"/>
        </w:rPr>
        <w:t>签署日期：</w:t>
      </w:r>
      <w:r>
        <w:rPr>
          <w:rFonts w:hint="eastAsia" w:ascii="仿宋_GB2312" w:hAnsi="仿宋_GB2312" w:eastAsia="仿宋_GB2312" w:cs="仿宋_GB2312"/>
          <w:color w:val="000000" w:themeColor="text1"/>
          <w:sz w:val="24"/>
          <w:szCs w:val="24"/>
          <w:highlight w:val="none"/>
        </w:rPr>
        <w:t xml:space="preserve">    </w:t>
      </w:r>
      <w:r>
        <w:rPr>
          <w:rFonts w:hint="eastAsia" w:ascii="仿宋_GB2312" w:hAnsi="仿宋_GB2312" w:eastAsia="仿宋_GB2312" w:cs="仿宋_GB2312"/>
          <w:color w:val="000000" w:themeColor="text1"/>
          <w:sz w:val="24"/>
          <w:szCs w:val="24"/>
          <w:highlight w:val="none"/>
          <w:lang w:val="zh-CN"/>
        </w:rPr>
        <w:t>年</w:t>
      </w:r>
      <w:r>
        <w:rPr>
          <w:rFonts w:hint="eastAsia" w:ascii="仿宋_GB2312" w:hAnsi="仿宋_GB2312" w:eastAsia="仿宋_GB2312" w:cs="仿宋_GB2312"/>
          <w:color w:val="000000" w:themeColor="text1"/>
          <w:sz w:val="24"/>
          <w:szCs w:val="24"/>
          <w:highlight w:val="none"/>
        </w:rPr>
        <w:t xml:space="preserve">   </w:t>
      </w:r>
      <w:r>
        <w:rPr>
          <w:rFonts w:hint="eastAsia" w:ascii="仿宋_GB2312" w:hAnsi="仿宋_GB2312" w:eastAsia="仿宋_GB2312" w:cs="仿宋_GB2312"/>
          <w:color w:val="000000" w:themeColor="text1"/>
          <w:sz w:val="24"/>
          <w:szCs w:val="24"/>
          <w:highlight w:val="none"/>
          <w:lang w:val="zh-CN"/>
        </w:rPr>
        <w:t>月</w:t>
      </w:r>
      <w:r>
        <w:rPr>
          <w:rFonts w:hint="eastAsia" w:ascii="仿宋_GB2312" w:hAnsi="仿宋_GB2312" w:eastAsia="仿宋_GB2312" w:cs="仿宋_GB2312"/>
          <w:color w:val="000000" w:themeColor="text1"/>
          <w:sz w:val="24"/>
          <w:szCs w:val="24"/>
          <w:highlight w:val="none"/>
        </w:rPr>
        <w:t xml:space="preserve">   </w:t>
      </w:r>
      <w:r>
        <w:rPr>
          <w:rFonts w:hint="eastAsia" w:ascii="仿宋_GB2312" w:hAnsi="仿宋_GB2312" w:eastAsia="仿宋_GB2312" w:cs="仿宋_GB2312"/>
          <w:color w:val="000000" w:themeColor="text1"/>
          <w:sz w:val="24"/>
          <w:szCs w:val="24"/>
          <w:highlight w:val="none"/>
          <w:lang w:val="zh-CN"/>
        </w:rPr>
        <w:t>日</w:t>
      </w:r>
    </w:p>
    <w:p>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rPr>
      </w:pPr>
    </w:p>
    <w:p>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乙方</w:t>
      </w:r>
      <w:r>
        <w:rPr>
          <w:rFonts w:hint="eastAsia" w:ascii="仿宋_GB2312" w:hAnsi="仿宋_GB2312" w:eastAsia="仿宋_GB2312" w:cs="仿宋_GB2312"/>
          <w:color w:val="000000" w:themeColor="text1"/>
          <w:sz w:val="24"/>
          <w:szCs w:val="24"/>
          <w:highlight w:val="none"/>
          <w:lang w:val="zh-CN"/>
        </w:rPr>
        <w:t>确认：我司已完全理解并清楚贵司对</w:t>
      </w:r>
      <w:bookmarkStart w:id="151" w:name="_Hlk48924799"/>
      <w:r>
        <w:rPr>
          <w:rFonts w:hint="eastAsia" w:ascii="仿宋_GB2312" w:hAnsi="仿宋_GB2312" w:eastAsia="仿宋_GB2312" w:cs="仿宋_GB2312"/>
          <w:color w:val="000000" w:themeColor="text1"/>
          <w:sz w:val="24"/>
          <w:szCs w:val="24"/>
          <w:highlight w:val="none"/>
        </w:rPr>
        <w:t>项目部及项目经理的授权范围，并严格遵照执行。</w:t>
      </w:r>
      <w:bookmarkEnd w:id="151"/>
      <w:r>
        <w:rPr>
          <w:rFonts w:hint="eastAsia" w:ascii="仿宋_GB2312" w:hAnsi="仿宋_GB2312" w:eastAsia="仿宋_GB2312" w:cs="仿宋_GB2312"/>
          <w:color w:val="000000" w:themeColor="text1"/>
          <w:sz w:val="24"/>
          <w:szCs w:val="24"/>
          <w:highlight w:val="none"/>
        </w:rPr>
        <w:t>超出</w:t>
      </w:r>
      <w:r>
        <w:rPr>
          <w:rFonts w:hint="eastAsia" w:ascii="仿宋_GB2312" w:hAnsi="仿宋_GB2312" w:eastAsia="仿宋_GB2312" w:cs="仿宋_GB2312"/>
          <w:color w:val="000000" w:themeColor="text1"/>
          <w:sz w:val="24"/>
          <w:szCs w:val="24"/>
          <w:highlight w:val="none"/>
          <w:lang w:val="en-US" w:eastAsia="zh-CN"/>
        </w:rPr>
        <w:t>贵司</w:t>
      </w:r>
      <w:r>
        <w:rPr>
          <w:rFonts w:hint="eastAsia" w:ascii="仿宋_GB2312" w:hAnsi="仿宋_GB2312" w:eastAsia="仿宋_GB2312" w:cs="仿宋_GB2312"/>
          <w:color w:val="000000" w:themeColor="text1"/>
          <w:sz w:val="24"/>
          <w:szCs w:val="24"/>
          <w:highlight w:val="none"/>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rPr>
        <w:t>贵司</w:t>
      </w:r>
      <w:r>
        <w:rPr>
          <w:rFonts w:hint="eastAsia" w:ascii="仿宋_GB2312" w:hAnsi="仿宋_GB2312" w:eastAsia="仿宋_GB2312" w:cs="仿宋_GB2312"/>
          <w:color w:val="000000" w:themeColor="text1"/>
          <w:sz w:val="24"/>
          <w:szCs w:val="24"/>
          <w:highlight w:val="none"/>
        </w:rPr>
        <w:t>无效，</w:t>
      </w:r>
      <w:r>
        <w:rPr>
          <w:rFonts w:hint="eastAsia" w:ascii="仿宋_GB2312" w:hAnsi="仿宋_GB2312" w:eastAsia="仿宋_GB2312" w:cs="仿宋_GB2312"/>
          <w:color w:val="000000" w:themeColor="text1"/>
          <w:sz w:val="24"/>
          <w:szCs w:val="24"/>
          <w:highlight w:val="none"/>
          <w:lang w:val="en-US" w:eastAsia="zh-CN"/>
        </w:rPr>
        <w:t>贵司</w:t>
      </w:r>
      <w:r>
        <w:rPr>
          <w:rFonts w:hint="eastAsia" w:ascii="仿宋_GB2312" w:hAnsi="仿宋_GB2312" w:eastAsia="仿宋_GB2312" w:cs="仿宋_GB2312"/>
          <w:color w:val="000000" w:themeColor="text1"/>
          <w:sz w:val="24"/>
          <w:szCs w:val="24"/>
          <w:highlight w:val="none"/>
        </w:rPr>
        <w:t>不承担任何法律责任。</w:t>
      </w:r>
      <w:r>
        <w:rPr>
          <w:rFonts w:hint="eastAsia" w:ascii="仿宋_GB2312" w:hAnsi="仿宋_GB2312" w:eastAsia="仿宋_GB2312" w:cs="仿宋_GB2312"/>
          <w:color w:val="000000" w:themeColor="text1"/>
          <w:sz w:val="24"/>
          <w:szCs w:val="24"/>
          <w:highlight w:val="none"/>
          <w:lang w:eastAsia="zh-CN"/>
        </w:rPr>
        <w:t>我</w:t>
      </w:r>
      <w:r>
        <w:rPr>
          <w:rFonts w:hint="eastAsia" w:ascii="仿宋_GB2312" w:hAnsi="仿宋_GB2312" w:eastAsia="仿宋_GB2312" w:cs="仿宋_GB2312"/>
          <w:color w:val="000000" w:themeColor="text1"/>
          <w:sz w:val="24"/>
          <w:szCs w:val="24"/>
          <w:highlight w:val="none"/>
          <w:lang w:val="en-US" w:eastAsia="zh-CN"/>
        </w:rPr>
        <w:t>司将</w:t>
      </w:r>
      <w:r>
        <w:rPr>
          <w:rFonts w:hint="eastAsia" w:ascii="仿宋_GB2312" w:hAnsi="仿宋_GB2312" w:eastAsia="仿宋_GB2312" w:cs="仿宋_GB2312"/>
          <w:color w:val="000000" w:themeColor="text1"/>
          <w:sz w:val="24"/>
          <w:szCs w:val="24"/>
          <w:highlight w:val="none"/>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rPr>
        <w:t>贵司</w:t>
      </w:r>
      <w:r>
        <w:rPr>
          <w:rFonts w:hint="eastAsia" w:ascii="仿宋_GB2312" w:hAnsi="仿宋_GB2312" w:eastAsia="仿宋_GB2312" w:cs="仿宋_GB2312"/>
          <w:color w:val="000000" w:themeColor="text1"/>
          <w:sz w:val="24"/>
          <w:szCs w:val="24"/>
          <w:highlight w:val="none"/>
        </w:rPr>
        <w:t xml:space="preserve">核实。      </w:t>
      </w:r>
    </w:p>
    <w:p>
      <w:pPr>
        <w:spacing w:line="400" w:lineRule="exact"/>
        <w:ind w:right="240" w:rightChars="100"/>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                                          乙方（公章）：           </w:t>
      </w:r>
    </w:p>
    <w:p>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rPr>
        <w:t xml:space="preserve">                             法定代表人：</w:t>
      </w:r>
    </w:p>
    <w:p>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rPr>
        <w:t xml:space="preserve">                                          或</w:t>
      </w:r>
    </w:p>
    <w:p>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rPr>
        <w:t xml:space="preserve">                           </w:t>
      </w:r>
      <w:r>
        <w:rPr>
          <w:rFonts w:hint="eastAsia" w:ascii="仿宋_GB2312" w:hAnsi="仿宋_GB2312" w:eastAsia="仿宋_GB2312" w:cs="仿宋_GB2312"/>
          <w:color w:val="000000" w:themeColor="text1"/>
          <w:kern w:val="0"/>
          <w:sz w:val="24"/>
          <w:szCs w:val="24"/>
          <w:highlight w:val="none"/>
          <w:lang w:val="en-US" w:eastAsia="zh-CN"/>
        </w:rPr>
        <w:t xml:space="preserve"> 被委托</w:t>
      </w:r>
      <w:r>
        <w:rPr>
          <w:rFonts w:hint="eastAsia" w:ascii="仿宋_GB2312" w:hAnsi="仿宋_GB2312" w:eastAsia="仿宋_GB2312" w:cs="仿宋_GB2312"/>
          <w:color w:val="000000" w:themeColor="text1"/>
          <w:kern w:val="0"/>
          <w:sz w:val="24"/>
          <w:szCs w:val="24"/>
          <w:highlight w:val="none"/>
        </w:rPr>
        <w:t>人：</w:t>
      </w:r>
    </w:p>
    <w:p>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rPr>
      </w:pPr>
      <w:r>
        <w:rPr>
          <w:rFonts w:hint="eastAsia" w:ascii="仿宋_GB2312" w:hAnsi="仿宋_GB2312" w:eastAsia="仿宋_GB2312" w:cs="仿宋_GB2312"/>
          <w:color w:val="000000" w:themeColor="text1"/>
          <w:sz w:val="24"/>
          <w:szCs w:val="24"/>
          <w:highlight w:val="none"/>
        </w:rPr>
        <w:t xml:space="preserve">                                          </w:t>
      </w:r>
      <w:r>
        <w:rPr>
          <w:rFonts w:hint="eastAsia" w:ascii="仿宋_GB2312" w:hAnsi="仿宋_GB2312" w:eastAsia="仿宋_GB2312" w:cs="仿宋_GB2312"/>
          <w:color w:val="000000" w:themeColor="text1"/>
          <w:sz w:val="24"/>
          <w:szCs w:val="24"/>
          <w:highlight w:val="none"/>
          <w:lang w:val="zh-CN"/>
        </w:rPr>
        <w:t>签署日期：</w:t>
      </w:r>
      <w:r>
        <w:rPr>
          <w:rFonts w:hint="eastAsia" w:ascii="仿宋_GB2312" w:hAnsi="仿宋_GB2312" w:eastAsia="仿宋_GB2312" w:cs="仿宋_GB2312"/>
          <w:color w:val="000000" w:themeColor="text1"/>
          <w:sz w:val="24"/>
          <w:szCs w:val="24"/>
          <w:highlight w:val="none"/>
        </w:rPr>
        <w:t xml:space="preserve">    </w:t>
      </w:r>
      <w:r>
        <w:rPr>
          <w:rFonts w:hint="eastAsia" w:ascii="仿宋_GB2312" w:hAnsi="仿宋_GB2312" w:eastAsia="仿宋_GB2312" w:cs="仿宋_GB2312"/>
          <w:color w:val="000000" w:themeColor="text1"/>
          <w:sz w:val="24"/>
          <w:szCs w:val="24"/>
          <w:highlight w:val="none"/>
          <w:lang w:val="zh-CN"/>
        </w:rPr>
        <w:t>年</w:t>
      </w:r>
      <w:r>
        <w:rPr>
          <w:rFonts w:hint="eastAsia" w:ascii="仿宋_GB2312" w:hAnsi="仿宋_GB2312" w:eastAsia="仿宋_GB2312" w:cs="仿宋_GB2312"/>
          <w:color w:val="000000" w:themeColor="text1"/>
          <w:sz w:val="24"/>
          <w:szCs w:val="24"/>
          <w:highlight w:val="none"/>
        </w:rPr>
        <w:t xml:space="preserve">   </w:t>
      </w:r>
      <w:r>
        <w:rPr>
          <w:rFonts w:hint="eastAsia" w:ascii="仿宋_GB2312" w:hAnsi="仿宋_GB2312" w:eastAsia="仿宋_GB2312" w:cs="仿宋_GB2312"/>
          <w:color w:val="000000" w:themeColor="text1"/>
          <w:sz w:val="24"/>
          <w:szCs w:val="24"/>
          <w:highlight w:val="none"/>
          <w:lang w:val="zh-CN"/>
        </w:rPr>
        <w:t>月</w:t>
      </w:r>
      <w:r>
        <w:rPr>
          <w:rFonts w:hint="eastAsia" w:ascii="仿宋_GB2312" w:hAnsi="仿宋_GB2312" w:eastAsia="仿宋_GB2312" w:cs="仿宋_GB2312"/>
          <w:color w:val="000000" w:themeColor="text1"/>
          <w:sz w:val="24"/>
          <w:szCs w:val="24"/>
          <w:highlight w:val="none"/>
        </w:rPr>
        <w:t xml:space="preserve">   </w:t>
      </w:r>
      <w:r>
        <w:rPr>
          <w:rFonts w:hint="eastAsia" w:ascii="仿宋_GB2312" w:hAnsi="仿宋_GB2312" w:eastAsia="仿宋_GB2312" w:cs="仿宋_GB2312"/>
          <w:color w:val="000000" w:themeColor="text1"/>
          <w:sz w:val="24"/>
          <w:szCs w:val="24"/>
          <w:highlight w:val="none"/>
          <w:lang w:val="zh-CN"/>
        </w:rPr>
        <w:t>日</w:t>
      </w:r>
    </w:p>
    <w:p>
      <w:pPr>
        <w:spacing w:line="400" w:lineRule="exact"/>
        <w:ind w:right="240" w:rightChars="100"/>
        <w:outlineLvl w:val="0"/>
        <w:rPr>
          <w:rFonts w:hint="eastAsia" w:ascii="仿宋_GB2312" w:hAnsi="仿宋_GB2312" w:eastAsia="仿宋_GB2312" w:cs="仿宋_GB2312"/>
          <w:color w:val="000000" w:themeColor="text1"/>
          <w:sz w:val="30"/>
          <w:szCs w:val="30"/>
          <w:highlight w:val="none"/>
        </w:rPr>
        <w:sectPr>
          <w:footerReference r:id="rId14" w:type="default"/>
          <w:pgSz w:w="11906" w:h="16838"/>
          <w:pgMar w:top="1440" w:right="1800" w:bottom="1440" w:left="1800" w:header="850" w:footer="975" w:gutter="0"/>
          <w:cols w:space="0" w:num="1"/>
          <w:docGrid w:linePitch="312" w:charSpace="0"/>
        </w:sectPr>
      </w:pPr>
      <w:bookmarkStart w:id="152" w:name="_Toc15118"/>
      <w:bookmarkStart w:id="153" w:name="_Toc20069"/>
      <w:bookmarkStart w:id="154" w:name="_Toc11293"/>
    </w:p>
    <w:p>
      <w:pPr>
        <w:spacing w:line="400" w:lineRule="exact"/>
        <w:ind w:right="240" w:rightChars="100"/>
        <w:outlineLvl w:val="0"/>
        <w:rPr>
          <w:rFonts w:ascii="仿宋_GB2312" w:hAnsi="仿宋_GB2312" w:eastAsia="仿宋_GB2312" w:cs="仿宋_GB2312"/>
          <w:color w:val="000000" w:themeColor="text1"/>
          <w:sz w:val="30"/>
          <w:szCs w:val="30"/>
          <w:highlight w:val="none"/>
        </w:rPr>
      </w:pPr>
      <w:r>
        <w:rPr>
          <w:rFonts w:hint="eastAsia" w:ascii="仿宋_GB2312" w:hAnsi="仿宋_GB2312" w:eastAsia="仿宋_GB2312" w:cs="仿宋_GB2312"/>
          <w:color w:val="000000" w:themeColor="text1"/>
          <w:sz w:val="30"/>
          <w:szCs w:val="30"/>
          <w:highlight w:val="none"/>
        </w:rPr>
        <w:t>附件三：</w:t>
      </w:r>
      <w:bookmarkEnd w:id="152"/>
      <w:bookmarkEnd w:id="153"/>
      <w:bookmarkEnd w:id="154"/>
    </w:p>
    <w:p>
      <w:pPr>
        <w:spacing w:line="400" w:lineRule="exact"/>
        <w:jc w:val="center"/>
        <w:rPr>
          <w:rFonts w:ascii="仿宋_GB2312" w:hAnsi="仿宋_GB2312" w:eastAsia="仿宋_GB2312" w:cs="仿宋_GB2312"/>
          <w:b/>
          <w:color w:val="000000" w:themeColor="text1"/>
          <w:sz w:val="30"/>
          <w:szCs w:val="30"/>
          <w:highlight w:val="none"/>
        </w:rPr>
      </w:pPr>
      <w:r>
        <w:rPr>
          <w:rFonts w:hint="eastAsia" w:ascii="仿宋_GB2312" w:hAnsi="仿宋_GB2312" w:eastAsia="仿宋_GB2312" w:cs="仿宋_GB2312"/>
          <w:b/>
          <w:color w:val="000000" w:themeColor="text1"/>
          <w:sz w:val="30"/>
          <w:szCs w:val="30"/>
          <w:highlight w:val="none"/>
        </w:rPr>
        <w:t>安全管理协议书</w:t>
      </w:r>
    </w:p>
    <w:p>
      <w:pPr>
        <w:wordWrap w:val="0"/>
        <w:spacing w:line="400" w:lineRule="exact"/>
        <w:jc w:val="righ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 </w:t>
      </w:r>
    </w:p>
    <w:p>
      <w:pPr>
        <w:spacing w:line="400" w:lineRule="exact"/>
        <w:rPr>
          <w:rFonts w:ascii="仿宋_GB2312" w:hAnsi="仿宋_GB2312" w:eastAsia="仿宋_GB2312" w:cs="仿宋_GB2312"/>
          <w:b/>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甲方：</w:t>
      </w:r>
      <w:bookmarkStart w:id="155" w:name="_Hlk126826529"/>
      <w:r>
        <w:rPr>
          <w:rFonts w:hint="eastAsia" w:ascii="仿宋_GB2312" w:hAnsi="仿宋_GB2312" w:eastAsia="仿宋_GB2312" w:cs="仿宋_GB2312"/>
          <w:color w:val="000000" w:themeColor="text1"/>
          <w:sz w:val="24"/>
          <w:szCs w:val="24"/>
          <w:highlight w:val="none"/>
          <w:u w:val="single"/>
        </w:rPr>
        <w:t>中建</w:t>
      </w:r>
      <w:r>
        <w:rPr>
          <w:rFonts w:hint="eastAsia" w:ascii="仿宋_GB2312" w:hAnsi="仿宋_GB2312" w:eastAsia="仿宋_GB2312" w:cs="仿宋_GB2312"/>
          <w:color w:val="000000" w:themeColor="text1"/>
          <w:sz w:val="24"/>
          <w:szCs w:val="24"/>
          <w:highlight w:val="none"/>
          <w:u w:val="single"/>
          <w:lang w:val="en-US" w:eastAsia="zh-CN"/>
        </w:rPr>
        <w:t>路桥</w:t>
      </w:r>
      <w:r>
        <w:rPr>
          <w:rFonts w:hint="eastAsia" w:ascii="仿宋_GB2312" w:hAnsi="仿宋_GB2312" w:eastAsia="仿宋_GB2312" w:cs="仿宋_GB2312"/>
          <w:color w:val="000000" w:themeColor="text1"/>
          <w:sz w:val="24"/>
          <w:szCs w:val="24"/>
          <w:highlight w:val="none"/>
          <w:u w:val="single"/>
        </w:rPr>
        <w:t>集团</w:t>
      </w:r>
      <w:r>
        <w:rPr>
          <w:rFonts w:hint="eastAsia" w:ascii="仿宋_GB2312" w:hAnsi="仿宋_GB2312" w:eastAsia="仿宋_GB2312" w:cs="仿宋_GB2312"/>
          <w:color w:val="000000" w:themeColor="text1"/>
          <w:sz w:val="24"/>
          <w:szCs w:val="24"/>
          <w:highlight w:val="none"/>
          <w:u w:val="single"/>
          <w:lang w:val="en-US" w:eastAsia="zh-CN"/>
        </w:rPr>
        <w:t>装配式建筑</w:t>
      </w:r>
      <w:r>
        <w:rPr>
          <w:rFonts w:hint="eastAsia" w:ascii="仿宋_GB2312" w:hAnsi="仿宋_GB2312" w:eastAsia="仿宋_GB2312" w:cs="仿宋_GB2312"/>
          <w:color w:val="000000" w:themeColor="text1"/>
          <w:sz w:val="24"/>
          <w:szCs w:val="24"/>
          <w:highlight w:val="none"/>
          <w:u w:val="single"/>
        </w:rPr>
        <w:t>有限公司</w:t>
      </w:r>
      <w:bookmarkEnd w:id="155"/>
      <w:r>
        <w:rPr>
          <w:rFonts w:hint="eastAsia" w:ascii="仿宋_GB2312" w:hAnsi="仿宋_GB2312" w:eastAsia="仿宋_GB2312" w:cs="仿宋_GB2312"/>
          <w:b/>
          <w:color w:val="000000" w:themeColor="text1"/>
          <w:sz w:val="24"/>
          <w:szCs w:val="24"/>
          <w:highlight w:val="none"/>
        </w:rPr>
        <w:t xml:space="preserve"> </w:t>
      </w:r>
    </w:p>
    <w:p>
      <w:pPr>
        <w:spacing w:line="400" w:lineRule="exac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乙方：</w:t>
      </w:r>
      <w:r>
        <w:rPr>
          <w:rFonts w:hint="eastAsia" w:ascii="仿宋_GB2312" w:hAnsi="仿宋_GB2312" w:eastAsia="仿宋_GB2312" w:cs="仿宋_GB2312"/>
          <w:b/>
          <w:color w:val="000000" w:themeColor="text1"/>
          <w:sz w:val="24"/>
          <w:szCs w:val="24"/>
          <w:highlight w:val="none"/>
          <w:u w:val="single"/>
        </w:rPr>
        <w:t xml:space="preserve">                        </w:t>
      </w:r>
    </w:p>
    <w:p>
      <w:pPr>
        <w:pStyle w:val="20"/>
        <w:tabs>
          <w:tab w:val="left" w:pos="2100"/>
        </w:tabs>
        <w:spacing w:line="400" w:lineRule="exact"/>
        <w:ind w:right="240" w:rightChars="100" w:firstLine="432"/>
        <w:rPr>
          <w:rFonts w:hAnsi="仿宋_GB2312" w:cs="仿宋_GB2312"/>
          <w:color w:val="000000" w:themeColor="text1"/>
          <w:sz w:val="24"/>
          <w:highlight w:val="none"/>
        </w:rPr>
      </w:pPr>
      <w:r>
        <w:rPr>
          <w:rFonts w:hint="eastAsia" w:hAnsi="仿宋_GB2312" w:cs="仿宋_GB2312"/>
          <w:color w:val="000000" w:themeColor="text1"/>
          <w:sz w:val="24"/>
          <w:highlight w:val="none"/>
        </w:rPr>
        <w:t xml:space="preserve">根据《中华人民共和国民法典》、《安全生产法》及有关法律规定，遵循平等、自愿、公平和诚实信用的原则，双方就合同范围内且在项目部施工现场范围内安全事项协商一致，订立本合同并共同遵守。 </w:t>
      </w:r>
    </w:p>
    <w:p>
      <w:pPr>
        <w:snapToGrid w:val="0"/>
        <w:spacing w:line="400" w:lineRule="exact"/>
        <w:ind w:firstLine="555"/>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 xml:space="preserve">第一条 共同约定  </w:t>
      </w:r>
    </w:p>
    <w:p>
      <w:pPr>
        <w:snapToGrid w:val="0"/>
        <w:spacing w:line="400" w:lineRule="exact"/>
        <w:ind w:firstLine="556"/>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1、双方应共同遵守《安全生产法》、《中华人民共和国建筑法》、《建设工程安全生产管理条例》、《房屋建筑和市政基础设施工程分包管理办法》《安全生产许可证条例》等一系列有关安全生产的法律法规，严格执行建设部标准JGJ59—2011《建筑安全施工检查标准》等一系列标准规程及</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市有关安全生产的规章制度。</w:t>
      </w:r>
    </w:p>
    <w:p>
      <w:pPr>
        <w:snapToGrid w:val="0"/>
        <w:spacing w:line="400" w:lineRule="exact"/>
        <w:ind w:firstLine="556"/>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2、双方应共同遵守</w:t>
      </w:r>
      <w:r>
        <w:rPr>
          <w:rFonts w:hint="eastAsia" w:ascii="仿宋_GB2312" w:hAnsi="仿宋_GB2312" w:eastAsia="仿宋_GB2312" w:cs="仿宋_GB2312"/>
          <w:color w:val="000000" w:themeColor="text1"/>
          <w:sz w:val="24"/>
          <w:szCs w:val="24"/>
          <w:highlight w:val="none"/>
          <w:u w:val="single"/>
        </w:rPr>
        <w:t>中建总公司、中建交通</w:t>
      </w:r>
      <w:r>
        <w:rPr>
          <w:rFonts w:hint="eastAsia" w:ascii="仿宋_GB2312" w:hAnsi="仿宋_GB2312" w:eastAsia="仿宋_GB2312" w:cs="仿宋_GB2312"/>
          <w:color w:val="000000" w:themeColor="text1"/>
          <w:sz w:val="24"/>
          <w:szCs w:val="24"/>
          <w:highlight w:val="none"/>
          <w:u w:val="single"/>
          <w:lang w:eastAsia="zh-CN"/>
        </w:rPr>
        <w:t>、</w:t>
      </w:r>
      <w:r>
        <w:rPr>
          <w:rFonts w:hint="eastAsia" w:ascii="仿宋_GB2312" w:hAnsi="仿宋_GB2312" w:eastAsia="仿宋_GB2312" w:cs="仿宋_GB2312"/>
          <w:color w:val="000000" w:themeColor="text1"/>
          <w:sz w:val="24"/>
          <w:szCs w:val="24"/>
          <w:highlight w:val="none"/>
          <w:u w:val="single"/>
          <w:lang w:val="en-US" w:eastAsia="zh-CN"/>
        </w:rPr>
        <w:t>中建路桥</w:t>
      </w:r>
      <w:r>
        <w:rPr>
          <w:rFonts w:hint="eastAsia" w:ascii="仿宋_GB2312" w:hAnsi="仿宋_GB2312" w:eastAsia="仿宋_GB2312" w:cs="仿宋_GB2312"/>
          <w:color w:val="000000" w:themeColor="text1"/>
          <w:sz w:val="24"/>
          <w:szCs w:val="24"/>
          <w:highlight w:val="none"/>
        </w:rPr>
        <w:t>等系列安全生产规章制度。贯彻执行项目职业健康安全和环境管理体系的各项要求。</w:t>
      </w:r>
    </w:p>
    <w:p>
      <w:pPr>
        <w:snapToGrid w:val="0"/>
        <w:spacing w:line="400" w:lineRule="exact"/>
        <w:ind w:firstLine="556"/>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3、安全文明施工管理目标、指标：以项目部总包单位制定的为准。</w:t>
      </w:r>
    </w:p>
    <w:p>
      <w:pPr>
        <w:snapToGrid w:val="0"/>
        <w:spacing w:line="400" w:lineRule="exact"/>
        <w:ind w:firstLine="556"/>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4、在甲方施工区域以外场所安全工作及发生的不良后果由乙方自行承担。</w:t>
      </w:r>
    </w:p>
    <w:p>
      <w:pPr>
        <w:pStyle w:val="41"/>
        <w:spacing w:line="400" w:lineRule="exact"/>
        <w:ind w:firstLine="482" w:firstLineChars="200"/>
        <w:rPr>
          <w:rFonts w:ascii="仿宋_GB2312" w:hAnsi="仿宋_GB2312" w:eastAsia="仿宋_GB2312" w:cs="仿宋_GB2312"/>
          <w:b/>
          <w:bCs/>
          <w:color w:val="000000" w:themeColor="text1"/>
          <w:kern w:val="2"/>
          <w:highlight w:val="none"/>
        </w:rPr>
      </w:pPr>
      <w:r>
        <w:rPr>
          <w:rFonts w:hint="eastAsia" w:ascii="仿宋_GB2312" w:hAnsi="仿宋_GB2312" w:eastAsia="仿宋_GB2312" w:cs="仿宋_GB2312"/>
          <w:b/>
          <w:bCs/>
          <w:color w:val="000000" w:themeColor="text1"/>
          <w:kern w:val="2"/>
          <w:highlight w:val="none"/>
        </w:rPr>
        <w:t>第二条 环境与职业健康安全</w:t>
      </w:r>
    </w:p>
    <w:p>
      <w:pPr>
        <w:snapToGrid w:val="0"/>
        <w:spacing w:line="400" w:lineRule="exact"/>
        <w:ind w:firstLine="556"/>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1、乙方车辆及材料在运输途中及到达甲方现场后应遵守国家和地方现行的有关环境保护、职业健康安全的法律、法规和其他要求。</w:t>
      </w:r>
    </w:p>
    <w:p>
      <w:pPr>
        <w:snapToGrid w:val="0"/>
        <w:spacing w:line="400" w:lineRule="exact"/>
        <w:ind w:firstLine="556"/>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2、乙方需遵守《道路交通安全法》，应当给负责运送货物的车辆办理交强险及商业保险，否则发生的人员伤亡事故或货物毁损由责任方承担，与甲方无关。</w:t>
      </w:r>
    </w:p>
    <w:p>
      <w:pPr>
        <w:snapToGrid w:val="0"/>
        <w:spacing w:line="400" w:lineRule="exact"/>
        <w:ind w:firstLine="556"/>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pPr>
        <w:snapToGrid w:val="0"/>
        <w:spacing w:line="400" w:lineRule="exact"/>
        <w:ind w:firstLine="556"/>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4、乙方到施工现场的人员必须佩戴安全帽，穿戴整洁，严禁吸烟和大声喧哗，遵守需方项目的规章制度，否则将按需方有关制度处罚。</w:t>
      </w:r>
    </w:p>
    <w:p>
      <w:pPr>
        <w:snapToGrid w:val="0"/>
        <w:spacing w:line="400" w:lineRule="exact"/>
        <w:ind w:firstLine="556"/>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5、由于非甲方的任何第三方原因导致乙方人员伤亡及财产损害均由乙方承担相应损失。</w:t>
      </w:r>
    </w:p>
    <w:p>
      <w:pPr>
        <w:spacing w:line="400" w:lineRule="exact"/>
        <w:jc w:val="left"/>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 xml:space="preserve">    第三条 甲方的安全责任、权利和义务  </w:t>
      </w:r>
    </w:p>
    <w:p>
      <w:pPr>
        <w:snapToGrid w:val="0"/>
        <w:spacing w:line="400" w:lineRule="exact"/>
        <w:ind w:firstLine="555"/>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1、甲方在现场履行管理、监督职责，认真履行第一条共同约定的内容，对乙方在进入总包施工现场的施工安全进行监督、指导、检查。 </w:t>
      </w:r>
    </w:p>
    <w:p>
      <w:pPr>
        <w:snapToGrid w:val="0"/>
        <w:spacing w:line="400" w:lineRule="exact"/>
        <w:ind w:firstLine="555"/>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2、对乙方安排生产、运输任务的同时，对按照规定程序审批的施工组织设计进行书面安全技术交底，并办理交底双方签字手续（如有）。 </w:t>
      </w:r>
    </w:p>
    <w:p>
      <w:pPr>
        <w:snapToGrid w:val="0"/>
        <w:spacing w:line="400" w:lineRule="exact"/>
        <w:ind w:firstLine="555"/>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3、在合同中约定由甲方向使用单位提供的安全防护设施，应完整齐全，并且符合安全要求，并整改乙方提出的不安全问题。</w:t>
      </w:r>
    </w:p>
    <w:p>
      <w:pPr>
        <w:snapToGrid w:val="0"/>
        <w:spacing w:line="400" w:lineRule="exact"/>
        <w:ind w:firstLine="555"/>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pPr>
        <w:snapToGrid w:val="0"/>
        <w:spacing w:line="400" w:lineRule="exact"/>
        <w:ind w:firstLine="555"/>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5、对安全素质差、不服从安全生产管理的人员责令其限期退场，造成的工期损失、经济损失由乙方承担。对不执行规章制度的人员，可视情节轻重，按照项目奖罚制度进行安全违约处罚。</w:t>
      </w:r>
    </w:p>
    <w:p>
      <w:pPr>
        <w:snapToGrid w:val="0"/>
        <w:spacing w:line="400" w:lineRule="exact"/>
        <w:ind w:firstLine="555"/>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6、对达不到规定的安全生产条件、存在重大安全隐患或发生安全事故，可要求乙方限期退场，或者中止合同，造成项目工期损失、经济损失由乙方承担。</w:t>
      </w:r>
    </w:p>
    <w:p>
      <w:pPr>
        <w:snapToGrid w:val="0"/>
        <w:spacing w:line="400" w:lineRule="exact"/>
        <w:ind w:firstLine="555"/>
        <w:rPr>
          <w:rFonts w:hint="eastAsia"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7、按照规定要求对乙方自有的材料和自带（含租赁）施工机具、起重 吊装设备、运输车辆等进行安全生产监督检查，有权拒绝乙方不合格产品进场（已进场的限期退场）。</w:t>
      </w:r>
    </w:p>
    <w:p>
      <w:pPr>
        <w:snapToGrid w:val="0"/>
        <w:spacing w:line="400" w:lineRule="exact"/>
        <w:ind w:firstLine="555"/>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lang w:val="en-US" w:eastAsia="zh-CN"/>
        </w:rPr>
        <w:t>8、</w:t>
      </w:r>
      <w:r>
        <w:rPr>
          <w:rFonts w:hint="eastAsia" w:ascii="仿宋_GB2312" w:hAnsi="仿宋_GB2312" w:eastAsia="仿宋_GB2312" w:cs="仿宋_GB2312"/>
          <w:color w:val="000000" w:themeColor="text1"/>
          <w:sz w:val="24"/>
          <w:szCs w:val="24"/>
          <w:highlight w:val="none"/>
        </w:rPr>
        <w:t>与安全生产关系直接的大型设备、特种设备、安全设施设备、防护用品进场时，项目安全生产监督管理部门应参与验收，验收合格签字后方可进场。</w:t>
      </w:r>
    </w:p>
    <w:p>
      <w:pPr>
        <w:spacing w:line="400" w:lineRule="exact"/>
        <w:jc w:val="left"/>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 xml:space="preserve">    第四条 乙方的安全责任、权利和义务  </w:t>
      </w:r>
    </w:p>
    <w:p>
      <w:pPr>
        <w:snapToGrid w:val="0"/>
        <w:spacing w:line="400" w:lineRule="exact"/>
        <w:ind w:firstLine="480" w:firstLineChars="200"/>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1、乙方应认真履行第一条共同约定的内容，接受甲方的监督、检查工作。</w:t>
      </w:r>
    </w:p>
    <w:p>
      <w:pPr>
        <w:snapToGrid w:val="0"/>
        <w:spacing w:line="400" w:lineRule="exact"/>
        <w:ind w:firstLine="480" w:firstLineChars="200"/>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2、乙方应具备所供货物的运输资质或证照，不得跨资质承运相应货物。若乙方委托第三方单位承运相应货物，不解除乙方应承担本合同项下的义务和责任。</w:t>
      </w:r>
    </w:p>
    <w:p>
      <w:pPr>
        <w:snapToGrid w:val="0"/>
        <w:spacing w:line="400" w:lineRule="exact"/>
        <w:ind w:firstLine="480" w:firstLineChars="200"/>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pPr>
        <w:snapToGrid w:val="0"/>
        <w:spacing w:line="400" w:lineRule="exact"/>
        <w:ind w:firstLine="480" w:firstLineChars="200"/>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pPr>
        <w:snapToGrid w:val="0"/>
        <w:spacing w:line="400" w:lineRule="exac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pPr>
        <w:snapToGrid w:val="0"/>
        <w:spacing w:line="400" w:lineRule="exact"/>
        <w:ind w:firstLine="453"/>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pPr>
        <w:snapToGrid w:val="0"/>
        <w:spacing w:line="400" w:lineRule="exac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    7、对甲方所提供的安全设施不能保证安全施工时，应及时提出，也可拒绝施工；在施工中不得未经甲方现场负责人同意私自拆除安全防护设施。 </w:t>
      </w:r>
    </w:p>
    <w:p>
      <w:pPr>
        <w:spacing w:line="400" w:lineRule="exact"/>
        <w:ind w:firstLine="480" w:firstLineChars="200"/>
        <w:jc w:val="lef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8、乙方自备的设备及工具必须保证环保、性能良好、各安全装置齐全灵敏有效。进工地前必须报项目监督试机，验收并填写验收表，达不到环保和《JGJ59—2011》标准的设备及工具严禁在工地使用。</w:t>
      </w:r>
    </w:p>
    <w:p>
      <w:pPr>
        <w:spacing w:line="400" w:lineRule="exact"/>
        <w:ind w:firstLine="480" w:firstLineChars="200"/>
        <w:jc w:val="lef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9、乙方自带设备或工具必须相匹配的质量合格的电缆线，并自备符合当地主管部门要求的末级标准配电箱。</w:t>
      </w:r>
    </w:p>
    <w:p>
      <w:pPr>
        <w:snapToGrid w:val="0"/>
        <w:spacing w:line="400" w:lineRule="exac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    10、必须按规定提取和使用安全技术措施经费，为作业人员提供符合国家标准或行业标准的劳动防护用品，并督促、教育作业人员按照使用规则佩戴、使用。 </w:t>
      </w:r>
    </w:p>
    <w:p>
      <w:pPr>
        <w:snapToGrid w:val="0"/>
        <w:spacing w:line="400" w:lineRule="exac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    11、对甲方人员违章指挥或者可能危及人身安全、财产损失的指挥，乙方有权拒绝。 </w:t>
      </w:r>
    </w:p>
    <w:p>
      <w:pPr>
        <w:snapToGrid w:val="0"/>
        <w:spacing w:line="400" w:lineRule="exac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    12、不得进行违反安全法律和其他、安全生产规章制度的行为。</w:t>
      </w:r>
    </w:p>
    <w:p>
      <w:pPr>
        <w:snapToGrid w:val="0"/>
        <w:spacing w:line="400" w:lineRule="exac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    13、乙方对供应的材料在甲方施工场地外运输过程发生的安全事故承担全部责任，不得向甲方提出索赔要求。</w:t>
      </w:r>
    </w:p>
    <w:p>
      <w:pPr>
        <w:spacing w:line="400" w:lineRule="exact"/>
        <w:jc w:val="left"/>
        <w:rPr>
          <w:rFonts w:ascii="仿宋_GB2312" w:hAnsi="仿宋_GB2312" w:eastAsia="仿宋_GB2312" w:cs="仿宋_GB2312"/>
          <w:color w:val="000000" w:themeColor="text1"/>
          <w:sz w:val="24"/>
          <w:szCs w:val="24"/>
          <w:highlight w:val="none"/>
          <w:shd w:val="clear" w:color="auto" w:fill="FF0000"/>
        </w:rPr>
      </w:pPr>
      <w:r>
        <w:rPr>
          <w:rFonts w:hint="eastAsia" w:ascii="仿宋_GB2312" w:hAnsi="仿宋_GB2312" w:eastAsia="仿宋_GB2312" w:cs="仿宋_GB2312"/>
          <w:color w:val="000000" w:themeColor="text1"/>
          <w:sz w:val="24"/>
          <w:szCs w:val="24"/>
          <w:highlight w:val="none"/>
        </w:rPr>
        <w:t xml:space="preserve">    14、乙方对因自身原因发生的安全事故承担全部责任。由于乙方原因而引发的被当地有关部门处罚的各类事件，乙方承担相应罚款、工期损失及经济损失；</w:t>
      </w:r>
    </w:p>
    <w:p>
      <w:pPr>
        <w:spacing w:line="400" w:lineRule="exact"/>
        <w:jc w:val="lef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    15、在施工现场发生事故时，应积极抢救伤员，保护事故现场，防止事故扩大，按甲方要求提供事故有关资料，并配合调查。</w:t>
      </w:r>
    </w:p>
    <w:p>
      <w:pPr>
        <w:spacing w:line="400" w:lineRule="exact"/>
        <w:jc w:val="left"/>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 xml:space="preserve">    第五条 事故处理 </w:t>
      </w:r>
    </w:p>
    <w:p>
      <w:pPr>
        <w:snapToGrid w:val="0"/>
        <w:spacing w:line="400" w:lineRule="exact"/>
        <w:ind w:firstLine="555"/>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1、若发生事故应立即启动事故应急预案，采取有效措施组织抢救，防止事故扩大，减少人员伤亡和财产损失，同时应按《生产安全事故报告和调查处理条例》(493号令)的规定进行事故处理及上报。乙方应及时将事故情况向甲方上报，不得迟报、漏报、谎报或瞒报。</w:t>
      </w:r>
    </w:p>
    <w:p>
      <w:pPr>
        <w:snapToGrid w:val="0"/>
        <w:spacing w:line="400" w:lineRule="exact"/>
        <w:ind w:firstLine="555"/>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2、在施工现场内发生重伤或死亡事故，由甲方主管部门牵头，乙方为主，甲乙双方共同参加，按照规定报告有关部门进行调查，查清事故原因，分清事故责任，提出对事故责任者的处理意见。 </w:t>
      </w:r>
    </w:p>
    <w:p>
      <w:pPr>
        <w:snapToGrid w:val="0"/>
        <w:spacing w:line="400" w:lineRule="exact"/>
        <w:ind w:firstLine="555"/>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3、由于没有认真履行安全责任，造成重大伤亡事故，情节严重的主要直接责任者，已触及国家刑律，应提请有关部门进行调查处理。 </w:t>
      </w:r>
    </w:p>
    <w:p>
      <w:pPr>
        <w:snapToGrid w:val="0"/>
        <w:spacing w:line="400" w:lineRule="exact"/>
        <w:ind w:firstLine="555"/>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4、对不认真履行本合同，违章指挥、违章作业、冒险进入施工禁区及损坏安全防护设施、不按规定进行安全技术交底及组织施工，造成伤亡事故的，应由事故责任方承担罚款及一切经济损失和责任。 </w:t>
      </w:r>
    </w:p>
    <w:p>
      <w:pPr>
        <w:snapToGrid w:val="0"/>
        <w:spacing w:line="400" w:lineRule="exact"/>
        <w:ind w:firstLine="555"/>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5、由于甲方主要责任造成的伤亡事故，乙方有权要求甲方进行经济赔偿。由于乙方主要责任造成的伤亡事故，甲方有权要求乙方承担违约责任。</w:t>
      </w:r>
    </w:p>
    <w:p>
      <w:pPr>
        <w:snapToGrid w:val="0"/>
        <w:spacing w:line="400" w:lineRule="exact"/>
        <w:ind w:firstLine="555"/>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6、由于第三方责任导致乙方人员伤亡，及由于乙方责任导致第三方人员伤亡，由乙方负责并处理。</w:t>
      </w:r>
    </w:p>
    <w:p>
      <w:pPr>
        <w:snapToGrid w:val="0"/>
        <w:spacing w:line="400" w:lineRule="exact"/>
        <w:ind w:firstLine="555"/>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pPr>
        <w:snapToGrid w:val="0"/>
        <w:spacing w:line="400" w:lineRule="exact"/>
        <w:ind w:firstLine="555"/>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pPr>
        <w:spacing w:line="400" w:lineRule="exact"/>
        <w:ind w:firstLine="516" w:firstLineChars="214"/>
        <w:jc w:val="lef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第六条</w:t>
      </w:r>
      <w:r>
        <w:rPr>
          <w:rFonts w:hint="eastAsia" w:ascii="仿宋_GB2312" w:hAnsi="仿宋_GB2312" w:eastAsia="仿宋_GB2312" w:cs="仿宋_GB2312"/>
          <w:color w:val="000000" w:themeColor="text1"/>
          <w:sz w:val="24"/>
          <w:szCs w:val="24"/>
          <w:highlight w:val="none"/>
        </w:rPr>
        <w:t xml:space="preserve"> 本合同生效条件与主合同相同。</w:t>
      </w:r>
    </w:p>
    <w:p>
      <w:pPr>
        <w:spacing w:line="400" w:lineRule="exact"/>
        <w:rPr>
          <w:rFonts w:ascii="仿宋_GB2312" w:hAnsi="仿宋_GB2312" w:eastAsia="仿宋_GB2312" w:cs="仿宋_GB2312"/>
          <w:color w:val="000000" w:themeColor="text1"/>
          <w:sz w:val="24"/>
          <w:szCs w:val="24"/>
          <w:highlight w:val="none"/>
        </w:rPr>
      </w:pPr>
    </w:p>
    <w:p>
      <w:pPr>
        <w:spacing w:line="400" w:lineRule="exact"/>
        <w:ind w:firstLine="570"/>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 </w:t>
      </w:r>
      <w:bookmarkStart w:id="156" w:name="_Hlk127200928"/>
      <w:bookmarkStart w:id="157" w:name="_Hlk127203185"/>
      <w:r>
        <w:rPr>
          <w:rFonts w:hint="eastAsia" w:ascii="仿宋_GB2312" w:hAnsi="仿宋_GB2312" w:eastAsia="仿宋_GB2312" w:cs="仿宋_GB2312"/>
          <w:color w:val="000000" w:themeColor="text1"/>
          <w:sz w:val="24"/>
          <w:szCs w:val="24"/>
          <w:highlight w:val="none"/>
        </w:rPr>
        <w:t xml:space="preserve"> 甲方（盖章）：                        乙方（公章）：                    </w:t>
      </w:r>
    </w:p>
    <w:bookmarkEnd w:id="156"/>
    <w:p>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rPr>
      </w:pPr>
    </w:p>
    <w:p>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rPr>
        <w:t>法定代表人：                           法定代表人：</w:t>
      </w:r>
    </w:p>
    <w:p>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rPr>
        <w:t xml:space="preserve">    </w:t>
      </w:r>
      <w:r>
        <w:rPr>
          <w:rFonts w:hint="eastAsia" w:ascii="仿宋_GB2312" w:hAnsi="仿宋_GB2312" w:eastAsia="仿宋_GB2312" w:cs="仿宋_GB2312"/>
          <w:color w:val="000000" w:themeColor="text1"/>
          <w:kern w:val="0"/>
          <w:sz w:val="24"/>
          <w:szCs w:val="24"/>
          <w:highlight w:val="none"/>
          <w:lang w:val="en-US" w:eastAsia="zh-CN"/>
        </w:rPr>
        <w:t xml:space="preserve">    </w:t>
      </w:r>
      <w:r>
        <w:rPr>
          <w:rFonts w:hint="eastAsia" w:ascii="仿宋_GB2312" w:hAnsi="仿宋_GB2312" w:eastAsia="仿宋_GB2312" w:cs="仿宋_GB2312"/>
          <w:color w:val="000000" w:themeColor="text1"/>
          <w:kern w:val="0"/>
          <w:sz w:val="24"/>
          <w:szCs w:val="24"/>
          <w:highlight w:val="none"/>
        </w:rPr>
        <w:t xml:space="preserve">或                                   </w:t>
      </w:r>
      <w:r>
        <w:rPr>
          <w:rFonts w:hint="eastAsia" w:ascii="仿宋_GB2312" w:hAnsi="仿宋_GB2312" w:eastAsia="仿宋_GB2312" w:cs="仿宋_GB2312"/>
          <w:color w:val="000000" w:themeColor="text1"/>
          <w:kern w:val="0"/>
          <w:sz w:val="24"/>
          <w:szCs w:val="24"/>
          <w:highlight w:val="none"/>
          <w:lang w:val="en-US" w:eastAsia="zh-CN"/>
        </w:rPr>
        <w:t xml:space="preserve"> </w:t>
      </w:r>
      <w:r>
        <w:rPr>
          <w:rFonts w:hint="eastAsia" w:ascii="仿宋_GB2312" w:hAnsi="仿宋_GB2312" w:eastAsia="仿宋_GB2312" w:cs="仿宋_GB2312"/>
          <w:color w:val="000000" w:themeColor="text1"/>
          <w:kern w:val="0"/>
          <w:sz w:val="24"/>
          <w:szCs w:val="24"/>
          <w:highlight w:val="none"/>
        </w:rPr>
        <w:t xml:space="preserve"> 或</w:t>
      </w:r>
    </w:p>
    <w:p>
      <w:pPr>
        <w:autoSpaceDE w:val="0"/>
        <w:autoSpaceDN w:val="0"/>
        <w:adjustRightInd w:val="0"/>
        <w:spacing w:line="400" w:lineRule="atLeast"/>
        <w:ind w:firstLine="1200" w:firstLineChars="500"/>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lang w:val="en-US" w:eastAsia="zh-CN"/>
        </w:rPr>
        <w:t>被委托</w:t>
      </w:r>
      <w:r>
        <w:rPr>
          <w:rFonts w:hint="eastAsia" w:ascii="仿宋_GB2312" w:hAnsi="仿宋_GB2312" w:eastAsia="仿宋_GB2312" w:cs="仿宋_GB2312"/>
          <w:color w:val="000000" w:themeColor="text1"/>
          <w:kern w:val="0"/>
          <w:sz w:val="24"/>
          <w:szCs w:val="24"/>
          <w:highlight w:val="none"/>
        </w:rPr>
        <w:t xml:space="preserve">人：                           </w:t>
      </w:r>
      <w:r>
        <w:rPr>
          <w:rFonts w:hint="eastAsia" w:ascii="仿宋_GB2312" w:hAnsi="仿宋_GB2312" w:eastAsia="仿宋_GB2312" w:cs="仿宋_GB2312"/>
          <w:color w:val="000000" w:themeColor="text1"/>
          <w:kern w:val="0"/>
          <w:sz w:val="24"/>
          <w:szCs w:val="24"/>
          <w:highlight w:val="none"/>
          <w:lang w:val="en-US" w:eastAsia="zh-CN"/>
        </w:rPr>
        <w:t xml:space="preserve">  被委托</w:t>
      </w:r>
      <w:r>
        <w:rPr>
          <w:rFonts w:hint="eastAsia" w:ascii="仿宋_GB2312" w:hAnsi="仿宋_GB2312" w:eastAsia="仿宋_GB2312" w:cs="仿宋_GB2312"/>
          <w:color w:val="000000" w:themeColor="text1"/>
          <w:kern w:val="0"/>
          <w:sz w:val="24"/>
          <w:szCs w:val="24"/>
          <w:highlight w:val="none"/>
        </w:rPr>
        <w:t>人：</w:t>
      </w:r>
    </w:p>
    <w:p>
      <w:pPr>
        <w:spacing w:line="400" w:lineRule="exac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  </w:t>
      </w:r>
      <w:r>
        <w:rPr>
          <w:rFonts w:hint="eastAsia" w:ascii="仿宋_GB2312" w:hAnsi="仿宋_GB2312" w:eastAsia="仿宋_GB2312" w:cs="仿宋_GB2312"/>
          <w:color w:val="000000" w:themeColor="text1"/>
          <w:sz w:val="24"/>
          <w:szCs w:val="24"/>
          <w:highlight w:val="none"/>
          <w:lang w:val="en-US" w:eastAsia="zh-CN"/>
        </w:rPr>
        <w:t xml:space="preserve">             </w:t>
      </w:r>
      <w:r>
        <w:rPr>
          <w:rFonts w:hint="eastAsia" w:ascii="仿宋_GB2312" w:hAnsi="仿宋_GB2312" w:eastAsia="仿宋_GB2312" w:cs="仿宋_GB2312"/>
          <w:color w:val="000000" w:themeColor="text1"/>
          <w:sz w:val="24"/>
          <w:szCs w:val="24"/>
          <w:highlight w:val="none"/>
        </w:rPr>
        <w:t xml:space="preserve">年  月  日    </w:t>
      </w:r>
      <w:r>
        <w:rPr>
          <w:rFonts w:hint="eastAsia" w:ascii="仿宋_GB2312" w:hAnsi="仿宋_GB2312" w:eastAsia="仿宋_GB2312" w:cs="仿宋_GB2312"/>
          <w:color w:val="000000" w:themeColor="text1"/>
          <w:sz w:val="24"/>
          <w:szCs w:val="24"/>
          <w:highlight w:val="none"/>
          <w:lang w:val="en-US" w:eastAsia="zh-CN"/>
        </w:rPr>
        <w:t xml:space="preserve">                    </w:t>
      </w:r>
      <w:r>
        <w:rPr>
          <w:rFonts w:hint="eastAsia" w:ascii="仿宋_GB2312" w:hAnsi="仿宋_GB2312" w:eastAsia="仿宋_GB2312" w:cs="仿宋_GB2312"/>
          <w:color w:val="000000" w:themeColor="text1"/>
          <w:sz w:val="24"/>
          <w:szCs w:val="24"/>
          <w:highlight w:val="none"/>
        </w:rPr>
        <w:t xml:space="preserve">  年  月  日 </w:t>
      </w:r>
    </w:p>
    <w:p>
      <w:pPr>
        <w:spacing w:line="400" w:lineRule="exact"/>
        <w:ind w:firstLine="5040" w:firstLineChars="2100"/>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 </w:t>
      </w:r>
      <w:bookmarkEnd w:id="157"/>
    </w:p>
    <w:p>
      <w:pPr>
        <w:spacing w:line="400" w:lineRule="exac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br w:type="page"/>
      </w:r>
    </w:p>
    <w:p>
      <w:pPr>
        <w:spacing w:line="400" w:lineRule="exact"/>
        <w:ind w:right="240" w:rightChars="100"/>
        <w:outlineLvl w:val="0"/>
        <w:rPr>
          <w:rFonts w:ascii="仿宋_GB2312" w:hAnsi="仿宋_GB2312" w:eastAsia="仿宋_GB2312" w:cs="仿宋_GB2312"/>
          <w:color w:val="000000" w:themeColor="text1"/>
          <w:sz w:val="30"/>
          <w:szCs w:val="30"/>
          <w:highlight w:val="none"/>
        </w:rPr>
      </w:pPr>
      <w:bookmarkStart w:id="158" w:name="_Toc24322"/>
      <w:bookmarkStart w:id="159" w:name="_Toc776"/>
      <w:bookmarkStart w:id="160" w:name="_Toc9726"/>
      <w:r>
        <w:rPr>
          <w:rFonts w:hint="eastAsia" w:ascii="仿宋_GB2312" w:hAnsi="仿宋_GB2312" w:eastAsia="仿宋_GB2312" w:cs="仿宋_GB2312"/>
          <w:color w:val="000000" w:themeColor="text1"/>
          <w:sz w:val="30"/>
          <w:szCs w:val="30"/>
          <w:highlight w:val="none"/>
        </w:rPr>
        <w:t>附件四：</w:t>
      </w:r>
      <w:bookmarkEnd w:id="158"/>
      <w:bookmarkEnd w:id="159"/>
      <w:bookmarkEnd w:id="160"/>
    </w:p>
    <w:p>
      <w:pPr>
        <w:spacing w:line="400" w:lineRule="exact"/>
        <w:jc w:val="center"/>
        <w:rPr>
          <w:rFonts w:ascii="仿宋_GB2312" w:hAnsi="仿宋_GB2312" w:eastAsia="仿宋_GB2312" w:cs="仿宋_GB2312"/>
          <w:color w:val="000000" w:themeColor="text1"/>
          <w:sz w:val="30"/>
          <w:szCs w:val="30"/>
          <w:highlight w:val="none"/>
        </w:rPr>
      </w:pPr>
      <w:bookmarkStart w:id="161" w:name="_Toc16461"/>
      <w:r>
        <w:rPr>
          <w:rFonts w:hint="eastAsia" w:ascii="仿宋_GB2312" w:hAnsi="仿宋_GB2312" w:eastAsia="仿宋_GB2312" w:cs="仿宋_GB2312"/>
          <w:b/>
          <w:color w:val="000000" w:themeColor="text1"/>
          <w:sz w:val="30"/>
          <w:szCs w:val="30"/>
          <w:highlight w:val="none"/>
        </w:rPr>
        <w:t>廉洁从业共建协议</w:t>
      </w:r>
      <w:bookmarkEnd w:id="161"/>
    </w:p>
    <w:p>
      <w:pPr>
        <w:spacing w:line="460" w:lineRule="exact"/>
        <w:ind w:firstLine="480" w:firstLineChars="200"/>
        <w:rPr>
          <w:rFonts w:ascii="仿宋_GB2312" w:hAnsi="宋体" w:eastAsia="仿宋_GB2312"/>
          <w:color w:val="000000" w:themeColor="text1"/>
          <w:sz w:val="24"/>
          <w:szCs w:val="24"/>
          <w:highlight w:val="none"/>
        </w:rPr>
      </w:pPr>
      <w:r>
        <w:rPr>
          <w:rFonts w:hint="eastAsia" w:ascii="仿宋_GB2312" w:hAnsi="宋体" w:eastAsia="仿宋_GB2312"/>
          <w:color w:val="000000" w:themeColor="text1"/>
          <w:sz w:val="24"/>
          <w:szCs w:val="24"/>
          <w:highlight w:val="none"/>
        </w:rPr>
        <w:t>甲方：</w:t>
      </w:r>
      <w:bookmarkStart w:id="162" w:name="_Hlk127190139"/>
      <w:r>
        <w:rPr>
          <w:rFonts w:hint="eastAsia" w:ascii="仿宋_GB2312" w:hAnsi="宋体" w:eastAsia="仿宋_GB2312"/>
          <w:color w:val="000000" w:themeColor="text1"/>
          <w:sz w:val="24"/>
          <w:szCs w:val="24"/>
          <w:highlight w:val="none"/>
          <w:u w:val="single"/>
        </w:rPr>
        <w:t>中建</w:t>
      </w:r>
      <w:r>
        <w:rPr>
          <w:rFonts w:hint="eastAsia" w:ascii="仿宋_GB2312" w:hAnsi="宋体" w:eastAsia="仿宋_GB2312"/>
          <w:color w:val="000000" w:themeColor="text1"/>
          <w:sz w:val="24"/>
          <w:szCs w:val="24"/>
          <w:highlight w:val="none"/>
          <w:u w:val="single"/>
          <w:lang w:val="en-US" w:eastAsia="zh-CN"/>
        </w:rPr>
        <w:t>路桥</w:t>
      </w:r>
      <w:r>
        <w:rPr>
          <w:rFonts w:hint="eastAsia" w:ascii="仿宋_GB2312" w:hAnsi="宋体" w:eastAsia="仿宋_GB2312"/>
          <w:color w:val="000000" w:themeColor="text1"/>
          <w:sz w:val="24"/>
          <w:szCs w:val="24"/>
          <w:highlight w:val="none"/>
          <w:u w:val="single"/>
        </w:rPr>
        <w:t>集团</w:t>
      </w:r>
      <w:r>
        <w:rPr>
          <w:rFonts w:hint="eastAsia" w:ascii="仿宋_GB2312" w:hAnsi="宋体" w:eastAsia="仿宋_GB2312"/>
          <w:color w:val="000000" w:themeColor="text1"/>
          <w:sz w:val="24"/>
          <w:szCs w:val="24"/>
          <w:highlight w:val="none"/>
          <w:u w:val="single"/>
          <w:lang w:val="en-US" w:eastAsia="zh-CN"/>
        </w:rPr>
        <w:t>装配式建筑</w:t>
      </w:r>
      <w:r>
        <w:rPr>
          <w:rFonts w:hint="eastAsia" w:ascii="仿宋_GB2312" w:hAnsi="宋体" w:eastAsia="仿宋_GB2312"/>
          <w:color w:val="000000" w:themeColor="text1"/>
          <w:sz w:val="24"/>
          <w:szCs w:val="24"/>
          <w:highlight w:val="none"/>
          <w:u w:val="single"/>
        </w:rPr>
        <w:t>有限公司</w:t>
      </w:r>
      <w:bookmarkEnd w:id="162"/>
      <w:r>
        <w:rPr>
          <w:rFonts w:hint="eastAsia" w:ascii="仿宋_GB2312" w:hAnsi="宋体" w:eastAsia="仿宋_GB2312"/>
          <w:color w:val="000000" w:themeColor="text1"/>
          <w:sz w:val="24"/>
          <w:szCs w:val="24"/>
          <w:highlight w:val="none"/>
          <w:u w:val="single"/>
          <w:lang w:val="en-US" w:eastAsia="zh-CN"/>
        </w:rPr>
        <w:t xml:space="preserve">    </w:t>
      </w:r>
      <w:r>
        <w:rPr>
          <w:rFonts w:hint="eastAsia" w:ascii="仿宋_GB2312" w:hAnsi="宋体" w:eastAsia="仿宋_GB2312"/>
          <w:color w:val="000000" w:themeColor="text1"/>
          <w:sz w:val="24"/>
          <w:szCs w:val="24"/>
          <w:highlight w:val="none"/>
          <w:u w:val="single"/>
        </w:rPr>
        <w:t xml:space="preserve"> </w:t>
      </w:r>
    </w:p>
    <w:p>
      <w:pPr>
        <w:spacing w:line="460" w:lineRule="exact"/>
        <w:ind w:firstLine="480" w:firstLineChars="200"/>
        <w:rPr>
          <w:rFonts w:ascii="仿宋_GB2312" w:hAnsi="宋体" w:eastAsia="仿宋_GB2312"/>
          <w:color w:val="000000" w:themeColor="text1"/>
          <w:sz w:val="24"/>
          <w:szCs w:val="24"/>
          <w:highlight w:val="none"/>
        </w:rPr>
      </w:pPr>
      <w:r>
        <w:rPr>
          <w:rFonts w:hint="eastAsia" w:ascii="仿宋_GB2312" w:hAnsi="宋体" w:eastAsia="仿宋_GB2312"/>
          <w:color w:val="000000" w:themeColor="text1"/>
          <w:sz w:val="24"/>
          <w:szCs w:val="24"/>
          <w:highlight w:val="none"/>
        </w:rPr>
        <w:t>乙方：</w:t>
      </w:r>
      <w:r>
        <w:rPr>
          <w:rFonts w:hint="eastAsia" w:ascii="仿宋_GB2312" w:hAnsi="宋体" w:eastAsia="仿宋_GB2312"/>
          <w:color w:val="000000" w:themeColor="text1"/>
          <w:sz w:val="24"/>
          <w:szCs w:val="24"/>
          <w:highlight w:val="none"/>
          <w:u w:val="single"/>
        </w:rPr>
        <w:t xml:space="preserve">            </w:t>
      </w:r>
      <w:r>
        <w:rPr>
          <w:rFonts w:ascii="仿宋_GB2312" w:hAnsi="宋体" w:eastAsia="仿宋_GB2312"/>
          <w:color w:val="000000" w:themeColor="text1"/>
          <w:sz w:val="24"/>
          <w:szCs w:val="24"/>
          <w:highlight w:val="none"/>
          <w:u w:val="single"/>
        </w:rPr>
        <w:t xml:space="preserve">   </w:t>
      </w:r>
      <w:r>
        <w:rPr>
          <w:rFonts w:hint="eastAsia" w:ascii="仿宋_GB2312" w:hAnsi="宋体" w:eastAsia="仿宋_GB2312"/>
          <w:color w:val="000000" w:themeColor="text1"/>
          <w:sz w:val="24"/>
          <w:szCs w:val="24"/>
          <w:highlight w:val="none"/>
          <w:u w:val="single"/>
        </w:rPr>
        <w:t xml:space="preserve">          </w:t>
      </w:r>
    </w:p>
    <w:p>
      <w:pPr>
        <w:widowControl/>
        <w:spacing w:line="400" w:lineRule="exact"/>
        <w:ind w:firstLine="480" w:firstLineChars="200"/>
        <w:rPr>
          <w:rFonts w:ascii="仿宋_GB2312" w:hAnsi="宋体" w:eastAsia="仿宋_GB2312" w:cs="宋体"/>
          <w:color w:val="000000" w:themeColor="text1"/>
          <w:kern w:val="0"/>
          <w:sz w:val="24"/>
          <w:szCs w:val="24"/>
          <w:highlight w:val="none"/>
        </w:rPr>
      </w:pPr>
      <w:r>
        <w:rPr>
          <w:rFonts w:hint="eastAsia" w:ascii="仿宋_GB2312" w:hAnsi="宋体" w:eastAsia="仿宋_GB2312" w:cs="宋体"/>
          <w:color w:val="000000" w:themeColor="text1"/>
          <w:kern w:val="0"/>
          <w:sz w:val="24"/>
          <w:szCs w:val="24"/>
          <w:highlight w:val="none"/>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pPr>
        <w:widowControl/>
        <w:spacing w:line="400" w:lineRule="exact"/>
        <w:ind w:firstLine="480" w:firstLineChars="200"/>
        <w:rPr>
          <w:rFonts w:ascii="仿宋_GB2312" w:hAnsi="宋体" w:eastAsia="仿宋_GB2312" w:cs="宋体"/>
          <w:color w:val="000000" w:themeColor="text1"/>
          <w:kern w:val="0"/>
          <w:sz w:val="24"/>
          <w:szCs w:val="24"/>
          <w:highlight w:val="none"/>
        </w:rPr>
      </w:pPr>
      <w:bookmarkStart w:id="163" w:name="_Toc300671949"/>
      <w:r>
        <w:rPr>
          <w:rFonts w:hint="eastAsia" w:ascii="仿宋_GB2312" w:hAnsi="宋体" w:eastAsia="仿宋_GB2312" w:cs="宋体"/>
          <w:color w:val="000000" w:themeColor="text1"/>
          <w:kern w:val="0"/>
          <w:sz w:val="24"/>
          <w:szCs w:val="24"/>
          <w:highlight w:val="none"/>
        </w:rPr>
        <w:t>一、双方的责任</w:t>
      </w:r>
      <w:bookmarkEnd w:id="163"/>
    </w:p>
    <w:p>
      <w:pPr>
        <w:widowControl/>
        <w:spacing w:line="400" w:lineRule="exact"/>
        <w:ind w:firstLine="480" w:firstLineChars="200"/>
        <w:rPr>
          <w:rFonts w:ascii="仿宋_GB2312" w:hAnsi="宋体" w:eastAsia="仿宋_GB2312" w:cs="宋体"/>
          <w:color w:val="000000" w:themeColor="text1"/>
          <w:kern w:val="0"/>
          <w:sz w:val="24"/>
          <w:szCs w:val="24"/>
          <w:highlight w:val="none"/>
        </w:rPr>
      </w:pPr>
      <w:r>
        <w:rPr>
          <w:rFonts w:hint="eastAsia" w:ascii="仿宋_GB2312" w:hAnsi="宋体" w:eastAsia="仿宋_GB2312" w:cs="宋体"/>
          <w:color w:val="000000" w:themeColor="text1"/>
          <w:kern w:val="0"/>
          <w:sz w:val="24"/>
          <w:szCs w:val="24"/>
          <w:highlight w:val="none"/>
        </w:rPr>
        <w:t>1.1应严格遵守国家关于建设工程的有关法律、法规，相关政策，以及廉政建设的各项规定。</w:t>
      </w:r>
    </w:p>
    <w:p>
      <w:pPr>
        <w:widowControl/>
        <w:spacing w:line="400" w:lineRule="exact"/>
        <w:ind w:firstLine="480" w:firstLineChars="200"/>
        <w:rPr>
          <w:rFonts w:ascii="仿宋_GB2312" w:hAnsi="宋体" w:eastAsia="仿宋_GB2312" w:cs="宋体"/>
          <w:color w:val="000000" w:themeColor="text1"/>
          <w:kern w:val="0"/>
          <w:sz w:val="24"/>
          <w:szCs w:val="24"/>
          <w:highlight w:val="none"/>
        </w:rPr>
      </w:pPr>
      <w:r>
        <w:rPr>
          <w:rFonts w:hint="eastAsia" w:ascii="仿宋_GB2312" w:hAnsi="宋体" w:eastAsia="仿宋_GB2312" w:cs="宋体"/>
          <w:color w:val="000000" w:themeColor="text1"/>
          <w:kern w:val="0"/>
          <w:sz w:val="24"/>
          <w:szCs w:val="24"/>
          <w:highlight w:val="none"/>
        </w:rPr>
        <w:t>1.2严格执行建设工程合同文件，自觉按合同办事。</w:t>
      </w:r>
    </w:p>
    <w:p>
      <w:pPr>
        <w:widowControl/>
        <w:spacing w:line="400" w:lineRule="exact"/>
        <w:ind w:firstLine="480" w:firstLineChars="200"/>
        <w:rPr>
          <w:rFonts w:ascii="仿宋_GB2312" w:hAnsi="宋体" w:eastAsia="仿宋_GB2312" w:cs="宋体"/>
          <w:color w:val="000000" w:themeColor="text1"/>
          <w:kern w:val="0"/>
          <w:sz w:val="24"/>
          <w:szCs w:val="24"/>
          <w:highlight w:val="none"/>
        </w:rPr>
      </w:pPr>
      <w:r>
        <w:rPr>
          <w:rFonts w:hint="eastAsia" w:ascii="仿宋_GB2312" w:hAnsi="宋体" w:eastAsia="仿宋_GB2312" w:cs="宋体"/>
          <w:color w:val="000000" w:themeColor="text1"/>
          <w:kern w:val="0"/>
          <w:sz w:val="24"/>
          <w:szCs w:val="24"/>
          <w:highlight w:val="none"/>
        </w:rPr>
        <w:t>1.3各项活动必须坚持公开、公平、公正、诚信、透明的原则(除法律法规另有规定者外)，不得为获取不正当的利益，损害国家、集体和对方利益，不得违反建设工程管理的规章制度。</w:t>
      </w:r>
    </w:p>
    <w:p>
      <w:pPr>
        <w:widowControl/>
        <w:spacing w:line="400" w:lineRule="exact"/>
        <w:ind w:firstLine="480" w:firstLineChars="200"/>
        <w:rPr>
          <w:rFonts w:ascii="仿宋_GB2312" w:hAnsi="宋体" w:eastAsia="仿宋_GB2312" w:cs="宋体"/>
          <w:color w:val="000000" w:themeColor="text1"/>
          <w:kern w:val="0"/>
          <w:sz w:val="24"/>
          <w:szCs w:val="24"/>
          <w:highlight w:val="none"/>
        </w:rPr>
      </w:pPr>
      <w:bookmarkStart w:id="164" w:name="_Hlk127535665"/>
      <w:r>
        <w:rPr>
          <w:rFonts w:hint="eastAsia" w:ascii="仿宋_GB2312" w:hAnsi="宋体" w:eastAsia="仿宋_GB2312" w:cs="宋体"/>
          <w:color w:val="000000" w:themeColor="text1"/>
          <w:kern w:val="0"/>
          <w:sz w:val="24"/>
          <w:szCs w:val="24"/>
          <w:highlight w:val="none"/>
        </w:rPr>
        <w:t>1.4发现双方在业务活动中有违规、违纪、违法行为的，应及时提醒对方，情节严重的，如实进行举报，一经查实，严肃处理。</w:t>
      </w:r>
    </w:p>
    <w:bookmarkEnd w:id="164"/>
    <w:p>
      <w:pPr>
        <w:widowControl/>
        <w:spacing w:line="400" w:lineRule="exact"/>
        <w:ind w:firstLine="480" w:firstLineChars="200"/>
        <w:rPr>
          <w:rFonts w:ascii="仿宋_GB2312" w:hAnsi="宋体" w:eastAsia="仿宋_GB2312" w:cs="宋体"/>
          <w:color w:val="000000" w:themeColor="text1"/>
          <w:kern w:val="0"/>
          <w:sz w:val="24"/>
          <w:szCs w:val="24"/>
          <w:highlight w:val="none"/>
        </w:rPr>
      </w:pPr>
      <w:bookmarkStart w:id="165" w:name="_Toc300671950"/>
      <w:r>
        <w:rPr>
          <w:rFonts w:hint="eastAsia" w:ascii="仿宋_GB2312" w:hAnsi="宋体" w:eastAsia="仿宋_GB2312" w:cs="宋体"/>
          <w:color w:val="000000" w:themeColor="text1"/>
          <w:kern w:val="0"/>
          <w:sz w:val="24"/>
          <w:szCs w:val="24"/>
          <w:highlight w:val="none"/>
        </w:rPr>
        <w:t>二、甲方责任</w:t>
      </w:r>
      <w:bookmarkEnd w:id="165"/>
    </w:p>
    <w:p>
      <w:pPr>
        <w:widowControl/>
        <w:spacing w:line="400" w:lineRule="exact"/>
        <w:ind w:firstLine="480" w:firstLineChars="200"/>
        <w:rPr>
          <w:rFonts w:ascii="仿宋_GB2312" w:hAnsi="宋体" w:eastAsia="仿宋_GB2312" w:cs="宋体"/>
          <w:color w:val="000000" w:themeColor="text1"/>
          <w:kern w:val="0"/>
          <w:sz w:val="24"/>
          <w:szCs w:val="24"/>
          <w:highlight w:val="none"/>
        </w:rPr>
      </w:pPr>
      <w:r>
        <w:rPr>
          <w:rFonts w:hint="eastAsia" w:ascii="仿宋_GB2312" w:hAnsi="宋体" w:eastAsia="仿宋_GB2312" w:cs="宋体"/>
          <w:color w:val="000000" w:themeColor="text1"/>
          <w:kern w:val="0"/>
          <w:sz w:val="24"/>
          <w:szCs w:val="24"/>
          <w:highlight w:val="none"/>
        </w:rPr>
        <w:t>甲方相关人员和从事该建设工程项目的工作人员，在工程建设的事前、事中、事后应遵守以下规定：</w:t>
      </w:r>
    </w:p>
    <w:p>
      <w:pPr>
        <w:widowControl/>
        <w:spacing w:line="400" w:lineRule="exact"/>
        <w:ind w:firstLine="480" w:firstLineChars="200"/>
        <w:rPr>
          <w:rFonts w:ascii="仿宋_GB2312" w:hAnsi="宋体" w:eastAsia="仿宋_GB2312" w:cs="宋体"/>
          <w:color w:val="000000" w:themeColor="text1"/>
          <w:kern w:val="0"/>
          <w:sz w:val="24"/>
          <w:szCs w:val="24"/>
          <w:highlight w:val="none"/>
        </w:rPr>
      </w:pPr>
      <w:r>
        <w:rPr>
          <w:rFonts w:hint="eastAsia" w:ascii="仿宋_GB2312" w:hAnsi="宋体" w:eastAsia="仿宋_GB2312" w:cs="宋体"/>
          <w:color w:val="000000" w:themeColor="text1"/>
          <w:kern w:val="0"/>
          <w:sz w:val="24"/>
          <w:szCs w:val="24"/>
          <w:highlight w:val="none"/>
        </w:rPr>
        <w:t>2.1按照甲方的招（议）标程序确定供应商，确保公正、公平对待所有合作方；不得在招标文件中有针对性地故意设定条件，以不公正的方法确定供应商；</w:t>
      </w:r>
    </w:p>
    <w:p>
      <w:pPr>
        <w:widowControl/>
        <w:spacing w:line="400" w:lineRule="exact"/>
        <w:ind w:firstLine="480" w:firstLineChars="200"/>
        <w:rPr>
          <w:rFonts w:ascii="仿宋_GB2312" w:hAnsi="宋体" w:eastAsia="仿宋_GB2312" w:cs="宋体"/>
          <w:color w:val="000000" w:themeColor="text1"/>
          <w:kern w:val="0"/>
          <w:sz w:val="24"/>
          <w:szCs w:val="24"/>
          <w:highlight w:val="none"/>
        </w:rPr>
      </w:pPr>
      <w:r>
        <w:rPr>
          <w:rFonts w:hint="eastAsia" w:ascii="仿宋_GB2312" w:hAnsi="宋体" w:eastAsia="仿宋_GB2312" w:cs="宋体"/>
          <w:color w:val="000000" w:themeColor="text1"/>
          <w:kern w:val="0"/>
          <w:sz w:val="24"/>
          <w:szCs w:val="24"/>
          <w:highlight w:val="none"/>
        </w:rPr>
        <w:t>2.2</w:t>
      </w:r>
      <w:r>
        <w:rPr>
          <w:rFonts w:hint="eastAsia" w:ascii="仿宋_GB2312" w:hAnsi="宋体" w:eastAsia="仿宋_GB2312"/>
          <w:color w:val="000000" w:themeColor="text1"/>
          <w:sz w:val="24"/>
          <w:szCs w:val="24"/>
          <w:highlight w:val="none"/>
        </w:rPr>
        <w:t>按照甲方的项目管理流程办理乙方的各项业务（现场签证、验收、结算、付款等），对乙方员工的吃拿卡要行为坚决制止，如甲方员工出现上述情况以索贿论；</w:t>
      </w:r>
    </w:p>
    <w:p>
      <w:pPr>
        <w:widowControl/>
        <w:spacing w:line="400" w:lineRule="exact"/>
        <w:ind w:firstLine="480" w:firstLineChars="200"/>
        <w:rPr>
          <w:rFonts w:ascii="仿宋_GB2312" w:hAnsi="宋体" w:eastAsia="仿宋_GB2312"/>
          <w:color w:val="000000" w:themeColor="text1"/>
          <w:sz w:val="24"/>
          <w:szCs w:val="24"/>
          <w:highlight w:val="none"/>
        </w:rPr>
      </w:pPr>
      <w:r>
        <w:rPr>
          <w:rFonts w:hint="eastAsia" w:ascii="仿宋_GB2312" w:hAnsi="宋体" w:eastAsia="仿宋_GB2312" w:cs="宋体"/>
          <w:color w:val="000000" w:themeColor="text1"/>
          <w:kern w:val="0"/>
          <w:sz w:val="24"/>
          <w:szCs w:val="24"/>
          <w:highlight w:val="none"/>
        </w:rPr>
        <w:t>2.3</w:t>
      </w:r>
      <w:r>
        <w:rPr>
          <w:rFonts w:hint="eastAsia" w:ascii="仿宋_GB2312" w:hAnsi="宋体" w:eastAsia="仿宋_GB2312"/>
          <w:color w:val="000000" w:themeColor="text1"/>
          <w:sz w:val="24"/>
          <w:szCs w:val="24"/>
          <w:highlight w:val="none"/>
        </w:rPr>
        <w:t>不安排己方员工的亲友在乙方工作；</w:t>
      </w:r>
    </w:p>
    <w:p>
      <w:pPr>
        <w:widowControl/>
        <w:spacing w:line="400" w:lineRule="exact"/>
        <w:ind w:firstLine="480" w:firstLineChars="200"/>
        <w:rPr>
          <w:color w:val="000000" w:themeColor="text1"/>
          <w:sz w:val="24"/>
          <w:szCs w:val="24"/>
          <w:highlight w:val="none"/>
        </w:rPr>
      </w:pPr>
      <w:r>
        <w:rPr>
          <w:rFonts w:hint="eastAsia" w:ascii="仿宋_GB2312" w:hAnsi="宋体" w:eastAsia="仿宋_GB2312" w:cs="宋体"/>
          <w:color w:val="000000" w:themeColor="text1"/>
          <w:kern w:val="0"/>
          <w:sz w:val="24"/>
          <w:szCs w:val="24"/>
          <w:highlight w:val="none"/>
        </w:rPr>
        <w:t>2.4</w:t>
      </w:r>
      <w:r>
        <w:rPr>
          <w:rFonts w:hint="eastAsia" w:ascii="仿宋_GB2312" w:hAnsi="宋体" w:eastAsia="仿宋_GB2312"/>
          <w:color w:val="000000" w:themeColor="text1"/>
          <w:sz w:val="24"/>
          <w:szCs w:val="24"/>
          <w:highlight w:val="none"/>
        </w:rPr>
        <w:t>不得以任何理由向乙方推荐分包单位，不得要求乙方购买合同规定外的材料和设备；</w:t>
      </w:r>
    </w:p>
    <w:p>
      <w:pPr>
        <w:widowControl/>
        <w:spacing w:line="400" w:lineRule="exact"/>
        <w:ind w:firstLine="480" w:firstLineChars="200"/>
        <w:rPr>
          <w:rFonts w:ascii="仿宋_GB2312" w:hAnsi="宋体" w:eastAsia="仿宋_GB2312" w:cs="宋体"/>
          <w:color w:val="000000" w:themeColor="text1"/>
          <w:kern w:val="0"/>
          <w:sz w:val="24"/>
          <w:szCs w:val="24"/>
          <w:highlight w:val="none"/>
        </w:rPr>
      </w:pPr>
      <w:r>
        <w:rPr>
          <w:rFonts w:hint="eastAsia" w:ascii="仿宋_GB2312" w:hAnsi="宋体" w:eastAsia="仿宋_GB2312" w:cs="宋体"/>
          <w:color w:val="000000" w:themeColor="text1"/>
          <w:kern w:val="0"/>
          <w:sz w:val="24"/>
          <w:szCs w:val="24"/>
          <w:highlight w:val="none"/>
        </w:rPr>
        <w:t>2.5不得向乙方和相关单位索要或接受回扣、礼金、有价证券、贵重物品和好处费、感谢费等。</w:t>
      </w:r>
    </w:p>
    <w:p>
      <w:pPr>
        <w:widowControl/>
        <w:spacing w:line="400" w:lineRule="exact"/>
        <w:ind w:firstLine="480" w:firstLineChars="200"/>
        <w:rPr>
          <w:rFonts w:ascii="仿宋_GB2312" w:hAnsi="宋体" w:eastAsia="仿宋_GB2312" w:cs="宋体"/>
          <w:color w:val="000000" w:themeColor="text1"/>
          <w:kern w:val="0"/>
          <w:sz w:val="24"/>
          <w:szCs w:val="24"/>
          <w:highlight w:val="none"/>
        </w:rPr>
      </w:pPr>
      <w:r>
        <w:rPr>
          <w:rFonts w:hint="eastAsia" w:ascii="仿宋_GB2312" w:hAnsi="宋体" w:eastAsia="仿宋_GB2312" w:cs="宋体"/>
          <w:color w:val="000000" w:themeColor="text1"/>
          <w:kern w:val="0"/>
          <w:sz w:val="24"/>
          <w:szCs w:val="24"/>
          <w:highlight w:val="none"/>
        </w:rPr>
        <w:t>2.6不得在乙方和相关单位报销任何应由业主方或个人支付的费用。</w:t>
      </w:r>
    </w:p>
    <w:p>
      <w:pPr>
        <w:widowControl/>
        <w:spacing w:line="400" w:lineRule="exact"/>
        <w:ind w:firstLine="480" w:firstLineChars="200"/>
        <w:rPr>
          <w:rFonts w:ascii="仿宋_GB2312" w:hAnsi="宋体" w:eastAsia="仿宋_GB2312" w:cs="宋体"/>
          <w:color w:val="000000" w:themeColor="text1"/>
          <w:kern w:val="0"/>
          <w:sz w:val="24"/>
          <w:szCs w:val="24"/>
          <w:highlight w:val="none"/>
        </w:rPr>
      </w:pPr>
      <w:r>
        <w:rPr>
          <w:rFonts w:hint="eastAsia" w:ascii="仿宋_GB2312" w:hAnsi="宋体" w:eastAsia="仿宋_GB2312" w:cs="宋体"/>
          <w:color w:val="000000" w:themeColor="text1"/>
          <w:kern w:val="0"/>
          <w:sz w:val="24"/>
          <w:szCs w:val="24"/>
          <w:highlight w:val="none"/>
        </w:rPr>
        <w:t>2.7不得要求、暗示或接受乙方和相关单位为个人装修住房、婚丧嫁娶、配偶子女的工作安排以及出国(境)、旅游等提供方便。</w:t>
      </w:r>
    </w:p>
    <w:p>
      <w:pPr>
        <w:widowControl/>
        <w:spacing w:line="400" w:lineRule="exact"/>
        <w:ind w:firstLine="480" w:firstLineChars="200"/>
        <w:rPr>
          <w:rFonts w:ascii="仿宋_GB2312" w:hAnsi="宋体" w:eastAsia="仿宋_GB2312" w:cs="宋体"/>
          <w:color w:val="000000" w:themeColor="text1"/>
          <w:kern w:val="0"/>
          <w:sz w:val="24"/>
          <w:szCs w:val="24"/>
          <w:highlight w:val="none"/>
        </w:rPr>
      </w:pPr>
      <w:r>
        <w:rPr>
          <w:rFonts w:hint="eastAsia" w:ascii="仿宋_GB2312" w:hAnsi="宋体" w:eastAsia="仿宋_GB2312" w:cs="宋体"/>
          <w:color w:val="000000" w:themeColor="text1"/>
          <w:kern w:val="0"/>
          <w:sz w:val="24"/>
          <w:szCs w:val="24"/>
          <w:highlight w:val="none"/>
        </w:rPr>
        <w:t>2.8不得参加有可能影响公正执行公务的乙方和相关单位的宴请、健身、娱乐等活动。</w:t>
      </w:r>
    </w:p>
    <w:p>
      <w:pPr>
        <w:widowControl/>
        <w:spacing w:line="400" w:lineRule="exact"/>
        <w:ind w:firstLine="480" w:firstLineChars="200"/>
        <w:rPr>
          <w:rFonts w:ascii="仿宋_GB2312" w:hAnsi="宋体" w:eastAsia="仿宋_GB2312" w:cs="宋体"/>
          <w:color w:val="000000" w:themeColor="text1"/>
          <w:kern w:val="0"/>
          <w:sz w:val="24"/>
          <w:szCs w:val="24"/>
          <w:highlight w:val="none"/>
        </w:rPr>
      </w:pPr>
      <w:bookmarkStart w:id="166" w:name="_Toc300671951"/>
      <w:r>
        <w:rPr>
          <w:rFonts w:hint="eastAsia" w:ascii="仿宋_GB2312" w:hAnsi="宋体" w:eastAsia="仿宋_GB2312" w:cs="宋体"/>
          <w:color w:val="000000" w:themeColor="text1"/>
          <w:kern w:val="0"/>
          <w:sz w:val="24"/>
          <w:szCs w:val="24"/>
          <w:highlight w:val="none"/>
        </w:rPr>
        <w:t>三、乙方责任</w:t>
      </w:r>
      <w:bookmarkEnd w:id="166"/>
    </w:p>
    <w:p>
      <w:pPr>
        <w:widowControl/>
        <w:spacing w:line="400" w:lineRule="exact"/>
        <w:ind w:firstLine="480" w:firstLineChars="200"/>
        <w:rPr>
          <w:rFonts w:ascii="仿宋_GB2312" w:hAnsi="宋体" w:eastAsia="仿宋_GB2312" w:cs="宋体"/>
          <w:color w:val="000000" w:themeColor="text1"/>
          <w:kern w:val="0"/>
          <w:sz w:val="24"/>
          <w:szCs w:val="24"/>
          <w:highlight w:val="none"/>
        </w:rPr>
      </w:pPr>
      <w:r>
        <w:rPr>
          <w:rFonts w:hint="eastAsia" w:ascii="仿宋_GB2312" w:hAnsi="宋体" w:eastAsia="仿宋_GB2312" w:cs="宋体"/>
          <w:color w:val="000000" w:themeColor="text1"/>
          <w:kern w:val="0"/>
          <w:sz w:val="24"/>
          <w:szCs w:val="24"/>
          <w:highlight w:val="none"/>
        </w:rPr>
        <w:t>应与甲方保持正常的业务交往，按照有关法律法规和程序开展业务工作，严格执行工程建设的有关方针、政策，执行工程建设强制性标准，并遵守以下规定：</w:t>
      </w:r>
    </w:p>
    <w:p>
      <w:pPr>
        <w:spacing w:line="400" w:lineRule="exact"/>
        <w:ind w:firstLine="480" w:firstLineChars="200"/>
        <w:rPr>
          <w:rFonts w:ascii="仿宋_GB2312" w:hAnsi="宋体" w:eastAsia="仿宋_GB2312"/>
          <w:color w:val="000000" w:themeColor="text1"/>
          <w:sz w:val="24"/>
          <w:szCs w:val="24"/>
          <w:highlight w:val="none"/>
        </w:rPr>
      </w:pPr>
      <w:r>
        <w:rPr>
          <w:rFonts w:hint="eastAsia" w:ascii="仿宋_GB2312" w:eastAsia="仿宋_GB2312" w:cs="宋体"/>
          <w:color w:val="000000" w:themeColor="text1"/>
          <w:kern w:val="0"/>
          <w:sz w:val="24"/>
          <w:szCs w:val="24"/>
          <w:highlight w:val="none"/>
        </w:rPr>
        <w:t>3.1</w:t>
      </w:r>
      <w:r>
        <w:rPr>
          <w:rFonts w:hint="eastAsia" w:ascii="仿宋_GB2312" w:hAnsi="宋体" w:eastAsia="仿宋_GB2312"/>
          <w:color w:val="000000" w:themeColor="text1"/>
          <w:sz w:val="24"/>
          <w:szCs w:val="24"/>
          <w:highlight w:val="none"/>
        </w:rPr>
        <w:t>根据自己的实力参与甲方的招（议）标，遵守甲方的管理制度；不得在招标之前或过程中，以不正当手段谋求中标。</w:t>
      </w:r>
    </w:p>
    <w:p>
      <w:pPr>
        <w:spacing w:line="400" w:lineRule="exact"/>
        <w:ind w:firstLine="480" w:firstLineChars="200"/>
        <w:rPr>
          <w:rFonts w:ascii="仿宋_GB2312" w:eastAsia="仿宋_GB2312" w:cs="宋体"/>
          <w:color w:val="000000" w:themeColor="text1"/>
          <w:kern w:val="0"/>
          <w:sz w:val="24"/>
          <w:szCs w:val="24"/>
          <w:highlight w:val="none"/>
        </w:rPr>
      </w:pPr>
      <w:r>
        <w:rPr>
          <w:rFonts w:hint="eastAsia" w:ascii="仿宋_GB2312" w:eastAsia="仿宋_GB2312" w:cs="宋体"/>
          <w:color w:val="000000" w:themeColor="text1"/>
          <w:kern w:val="0"/>
          <w:sz w:val="24"/>
          <w:szCs w:val="24"/>
          <w:highlight w:val="none"/>
        </w:rPr>
        <w:t>3.2不得向甲方员工及其亲属输送任何个人利益以寻求合作机会，不得为甲方人员配偶、子女及特定关系人安排工作、谋取不正当利益或提供各类方便。</w:t>
      </w:r>
    </w:p>
    <w:p>
      <w:pPr>
        <w:spacing w:line="400" w:lineRule="exact"/>
        <w:ind w:firstLine="480" w:firstLineChars="200"/>
        <w:rPr>
          <w:rFonts w:ascii="仿宋_GB2312" w:eastAsia="仿宋_GB2312" w:cs="宋体"/>
          <w:color w:val="000000" w:themeColor="text1"/>
          <w:kern w:val="0"/>
          <w:sz w:val="24"/>
          <w:szCs w:val="24"/>
          <w:highlight w:val="none"/>
        </w:rPr>
      </w:pPr>
      <w:r>
        <w:rPr>
          <w:rFonts w:hint="eastAsia" w:ascii="仿宋_GB2312" w:eastAsia="仿宋_GB2312" w:cs="宋体"/>
          <w:color w:val="000000" w:themeColor="text1"/>
          <w:kern w:val="0"/>
          <w:sz w:val="24"/>
          <w:szCs w:val="24"/>
          <w:highlight w:val="none"/>
        </w:rPr>
        <w:t>3.3不得以任何理由为甲方和相关单位报销应由对方或个人支付的费用，包括出差期间的交通费和住宿费等。</w:t>
      </w:r>
    </w:p>
    <w:p>
      <w:pPr>
        <w:spacing w:line="400" w:lineRule="exact"/>
        <w:ind w:firstLine="480" w:firstLineChars="200"/>
        <w:rPr>
          <w:rFonts w:ascii="仿宋_GB2312" w:eastAsia="仿宋_GB2312" w:cs="宋体"/>
          <w:color w:val="000000" w:themeColor="text1"/>
          <w:kern w:val="0"/>
          <w:sz w:val="24"/>
          <w:szCs w:val="24"/>
          <w:highlight w:val="none"/>
        </w:rPr>
      </w:pPr>
      <w:r>
        <w:rPr>
          <w:rFonts w:hint="eastAsia" w:ascii="仿宋_GB2312" w:eastAsia="仿宋_GB2312" w:cs="宋体"/>
          <w:color w:val="000000" w:themeColor="text1"/>
          <w:kern w:val="0"/>
          <w:sz w:val="24"/>
          <w:szCs w:val="24"/>
          <w:highlight w:val="none"/>
        </w:rPr>
        <w:t>3.4不得以甲方员工及其亲属的家庭装修、婚丧嫁娶、出国留学等事宜为由进行提供资金及物资资助等行贿行为。</w:t>
      </w:r>
    </w:p>
    <w:p>
      <w:pPr>
        <w:spacing w:line="400" w:lineRule="exact"/>
        <w:ind w:firstLine="480" w:firstLineChars="200"/>
        <w:rPr>
          <w:rFonts w:ascii="仿宋_GB2312" w:eastAsia="仿宋_GB2312" w:cs="宋体"/>
          <w:color w:val="000000" w:themeColor="text1"/>
          <w:kern w:val="0"/>
          <w:sz w:val="24"/>
          <w:szCs w:val="24"/>
          <w:highlight w:val="none"/>
        </w:rPr>
      </w:pPr>
      <w:r>
        <w:rPr>
          <w:rFonts w:ascii="仿宋_GB2312" w:eastAsia="仿宋_GB2312" w:cs="宋体"/>
          <w:color w:val="000000" w:themeColor="text1"/>
          <w:kern w:val="0"/>
          <w:sz w:val="24"/>
          <w:szCs w:val="24"/>
          <w:highlight w:val="none"/>
        </w:rPr>
        <w:t>3.5</w:t>
      </w:r>
      <w:r>
        <w:rPr>
          <w:rFonts w:hint="eastAsia" w:ascii="仿宋_GB2312" w:eastAsia="仿宋_GB2312" w:cs="宋体"/>
          <w:color w:val="000000" w:themeColor="text1"/>
          <w:kern w:val="0"/>
          <w:sz w:val="24"/>
          <w:szCs w:val="24"/>
          <w:highlight w:val="none"/>
        </w:rPr>
        <w:t>不得向甲方员工提供礼品、礼金、贵重物品或消费卡、会员卡、礼品券等虚拟电子礼品，严禁快递送礼。</w:t>
      </w:r>
    </w:p>
    <w:p>
      <w:pPr>
        <w:spacing w:line="400" w:lineRule="exact"/>
        <w:ind w:firstLine="480" w:firstLineChars="200"/>
        <w:rPr>
          <w:rFonts w:ascii="仿宋_GB2312" w:eastAsia="仿宋_GB2312" w:cs="宋体"/>
          <w:color w:val="000000" w:themeColor="text1"/>
          <w:kern w:val="0"/>
          <w:sz w:val="24"/>
          <w:szCs w:val="24"/>
          <w:highlight w:val="none"/>
        </w:rPr>
      </w:pPr>
      <w:r>
        <w:rPr>
          <w:rFonts w:hint="eastAsia" w:ascii="仿宋_GB2312" w:eastAsia="仿宋_GB2312" w:cs="宋体"/>
          <w:color w:val="000000" w:themeColor="text1"/>
          <w:kern w:val="0"/>
          <w:sz w:val="24"/>
          <w:szCs w:val="24"/>
          <w:highlight w:val="none"/>
        </w:rPr>
        <w:t>3.</w:t>
      </w:r>
      <w:r>
        <w:rPr>
          <w:rFonts w:ascii="仿宋_GB2312" w:eastAsia="仿宋_GB2312" w:cs="宋体"/>
          <w:color w:val="000000" w:themeColor="text1"/>
          <w:kern w:val="0"/>
          <w:sz w:val="24"/>
          <w:szCs w:val="24"/>
          <w:highlight w:val="none"/>
        </w:rPr>
        <w:t>6</w:t>
      </w:r>
      <w:r>
        <w:rPr>
          <w:rFonts w:hint="eastAsia" w:ascii="仿宋_GB2312" w:eastAsia="仿宋_GB2312" w:cs="宋体"/>
          <w:color w:val="000000" w:themeColor="text1"/>
          <w:kern w:val="0"/>
          <w:sz w:val="24"/>
          <w:szCs w:val="24"/>
          <w:highlight w:val="none"/>
        </w:rPr>
        <w:t>不得以任何理由为甲方、相关单位或个人组织有可能影响公正执行公务的宴请、健身、娱乐等活动。</w:t>
      </w:r>
    </w:p>
    <w:p>
      <w:pPr>
        <w:spacing w:line="400" w:lineRule="exact"/>
        <w:ind w:firstLine="480" w:firstLineChars="200"/>
        <w:rPr>
          <w:rFonts w:ascii="仿宋_GB2312" w:eastAsia="仿宋_GB2312" w:cs="宋体"/>
          <w:color w:val="000000" w:themeColor="text1"/>
          <w:kern w:val="0"/>
          <w:sz w:val="24"/>
          <w:szCs w:val="24"/>
          <w:highlight w:val="none"/>
        </w:rPr>
      </w:pPr>
      <w:r>
        <w:rPr>
          <w:rFonts w:ascii="仿宋_GB2312" w:eastAsia="仿宋_GB2312" w:cs="宋体"/>
          <w:color w:val="000000" w:themeColor="text1"/>
          <w:kern w:val="0"/>
          <w:sz w:val="24"/>
          <w:szCs w:val="24"/>
          <w:highlight w:val="none"/>
        </w:rPr>
        <w:t>3.7</w:t>
      </w:r>
      <w:r>
        <w:rPr>
          <w:rFonts w:hint="eastAsia" w:ascii="仿宋_GB2312" w:eastAsia="仿宋_GB2312" w:cs="宋体"/>
          <w:color w:val="000000" w:themeColor="text1"/>
          <w:kern w:val="0"/>
          <w:sz w:val="24"/>
          <w:szCs w:val="24"/>
          <w:highlight w:val="none"/>
        </w:rPr>
        <w:t>不得与甲方员工就标书合同条款中的利益条款进行私下协商或达成默契。</w:t>
      </w:r>
    </w:p>
    <w:p>
      <w:pPr>
        <w:spacing w:line="400" w:lineRule="exact"/>
        <w:ind w:firstLine="480" w:firstLineChars="200"/>
        <w:rPr>
          <w:rFonts w:ascii="仿宋_GB2312" w:eastAsia="仿宋_GB2312" w:cs="宋体"/>
          <w:color w:val="000000" w:themeColor="text1"/>
          <w:kern w:val="0"/>
          <w:sz w:val="24"/>
          <w:szCs w:val="24"/>
          <w:highlight w:val="none"/>
        </w:rPr>
      </w:pPr>
      <w:r>
        <w:rPr>
          <w:rFonts w:hint="eastAsia" w:ascii="仿宋_GB2312" w:eastAsia="仿宋_GB2312" w:cs="宋体"/>
          <w:color w:val="000000" w:themeColor="text1"/>
          <w:kern w:val="0"/>
          <w:sz w:val="24"/>
          <w:szCs w:val="24"/>
          <w:highlight w:val="none"/>
        </w:rPr>
        <w:t>3</w:t>
      </w:r>
      <w:r>
        <w:rPr>
          <w:rFonts w:ascii="仿宋_GB2312" w:eastAsia="仿宋_GB2312" w:cs="宋体"/>
          <w:color w:val="000000" w:themeColor="text1"/>
          <w:kern w:val="0"/>
          <w:sz w:val="24"/>
          <w:szCs w:val="24"/>
          <w:highlight w:val="none"/>
        </w:rPr>
        <w:t>.8</w:t>
      </w:r>
      <w:r>
        <w:rPr>
          <w:rFonts w:hint="eastAsia" w:ascii="仿宋_GB2312" w:eastAsia="仿宋_GB2312" w:cs="宋体"/>
          <w:color w:val="000000" w:themeColor="text1"/>
          <w:kern w:val="0"/>
          <w:sz w:val="24"/>
          <w:szCs w:val="24"/>
          <w:highlight w:val="none"/>
        </w:rPr>
        <w:t>不得安排甲方员工及其亲属从事合资或合股经营行为，不向甲方打探商业秘密或提供兼职报酬。</w:t>
      </w:r>
    </w:p>
    <w:p>
      <w:pPr>
        <w:spacing w:line="400" w:lineRule="exact"/>
        <w:ind w:firstLine="480" w:firstLineChars="200"/>
        <w:rPr>
          <w:rFonts w:ascii="仿宋_GB2312" w:eastAsia="仿宋_GB2312" w:cs="宋体"/>
          <w:color w:val="000000" w:themeColor="text1"/>
          <w:kern w:val="0"/>
          <w:sz w:val="24"/>
          <w:szCs w:val="24"/>
          <w:highlight w:val="none"/>
        </w:rPr>
      </w:pPr>
      <w:r>
        <w:rPr>
          <w:rFonts w:ascii="仿宋_GB2312" w:eastAsia="仿宋_GB2312" w:cs="宋体"/>
          <w:color w:val="000000" w:themeColor="text1"/>
          <w:kern w:val="0"/>
          <w:sz w:val="24"/>
          <w:szCs w:val="24"/>
          <w:highlight w:val="none"/>
        </w:rPr>
        <w:t>3.9</w:t>
      </w:r>
      <w:r>
        <w:rPr>
          <w:rFonts w:hint="eastAsia" w:ascii="仿宋_GB2312" w:eastAsia="仿宋_GB2312" w:cs="宋体"/>
          <w:color w:val="000000" w:themeColor="text1"/>
          <w:kern w:val="0"/>
          <w:sz w:val="24"/>
          <w:szCs w:val="24"/>
          <w:highlight w:val="none"/>
        </w:rPr>
        <w:t>不在甲方人员进行市场调研、商务洽谈等期间违规提供公务接待。</w:t>
      </w:r>
    </w:p>
    <w:p>
      <w:pPr>
        <w:spacing w:line="400" w:lineRule="exact"/>
        <w:ind w:firstLine="480" w:firstLineChars="200"/>
        <w:rPr>
          <w:rFonts w:ascii="仿宋_GB2312" w:eastAsia="仿宋_GB2312" w:cs="宋体"/>
          <w:color w:val="000000" w:themeColor="text1"/>
          <w:kern w:val="0"/>
          <w:sz w:val="24"/>
          <w:szCs w:val="24"/>
          <w:highlight w:val="none"/>
        </w:rPr>
      </w:pPr>
      <w:r>
        <w:rPr>
          <w:rFonts w:ascii="仿宋_GB2312" w:eastAsia="仿宋_GB2312" w:cs="宋体"/>
          <w:color w:val="000000" w:themeColor="text1"/>
          <w:kern w:val="0"/>
          <w:sz w:val="24"/>
          <w:szCs w:val="24"/>
          <w:highlight w:val="none"/>
        </w:rPr>
        <w:t>3.10</w:t>
      </w:r>
      <w:r>
        <w:rPr>
          <w:rFonts w:hint="eastAsia" w:ascii="仿宋_GB2312" w:eastAsia="仿宋_GB2312" w:cs="宋体"/>
          <w:color w:val="000000" w:themeColor="text1"/>
          <w:kern w:val="0"/>
          <w:sz w:val="24"/>
          <w:szCs w:val="24"/>
          <w:highlight w:val="none"/>
        </w:rPr>
        <w:t>对甲方员工违反本协议的行为及时向甲方的上级监督部门报告。</w:t>
      </w:r>
    </w:p>
    <w:p>
      <w:pPr>
        <w:widowControl/>
        <w:spacing w:line="400" w:lineRule="exact"/>
        <w:ind w:firstLine="480" w:firstLineChars="200"/>
        <w:rPr>
          <w:rFonts w:ascii="仿宋_GB2312" w:hAnsi="宋体" w:eastAsia="仿宋_GB2312" w:cs="宋体"/>
          <w:color w:val="000000" w:themeColor="text1"/>
          <w:kern w:val="0"/>
          <w:sz w:val="24"/>
          <w:szCs w:val="24"/>
          <w:highlight w:val="none"/>
        </w:rPr>
      </w:pPr>
      <w:bookmarkStart w:id="167" w:name="_Toc300671952"/>
      <w:r>
        <w:rPr>
          <w:rFonts w:hint="eastAsia" w:ascii="仿宋_GB2312" w:hAnsi="宋体" w:eastAsia="仿宋_GB2312" w:cs="宋体"/>
          <w:color w:val="000000" w:themeColor="text1"/>
          <w:kern w:val="0"/>
          <w:sz w:val="24"/>
          <w:szCs w:val="24"/>
          <w:highlight w:val="none"/>
        </w:rPr>
        <w:t>四、违约责任</w:t>
      </w:r>
      <w:bookmarkEnd w:id="167"/>
    </w:p>
    <w:p>
      <w:pPr>
        <w:widowControl/>
        <w:spacing w:line="400" w:lineRule="exact"/>
        <w:ind w:firstLine="480" w:firstLineChars="200"/>
        <w:rPr>
          <w:rFonts w:ascii="仿宋_GB2312" w:hAnsi="宋体" w:eastAsia="仿宋_GB2312" w:cs="宋体"/>
          <w:color w:val="000000" w:themeColor="text1"/>
          <w:kern w:val="0"/>
          <w:sz w:val="24"/>
          <w:szCs w:val="24"/>
          <w:highlight w:val="none"/>
        </w:rPr>
      </w:pPr>
      <w:r>
        <w:rPr>
          <w:rFonts w:hint="eastAsia" w:ascii="仿宋_GB2312" w:hAnsi="宋体" w:eastAsia="仿宋_GB2312" w:cs="宋体"/>
          <w:color w:val="000000" w:themeColor="text1"/>
          <w:kern w:val="0"/>
          <w:sz w:val="24"/>
          <w:szCs w:val="24"/>
          <w:highlight w:val="none"/>
        </w:rPr>
        <w:t>4.1甲方工作人员有违反本责任书第一、二条责任行为的，依据有关法律及甲方《员工守则》，提交甲方纪检部门进行处理。</w:t>
      </w:r>
    </w:p>
    <w:p>
      <w:pPr>
        <w:widowControl/>
        <w:spacing w:line="400" w:lineRule="exact"/>
        <w:ind w:firstLine="480" w:firstLineChars="200"/>
        <w:rPr>
          <w:rFonts w:ascii="仿宋_GB2312" w:hAnsi="宋体" w:eastAsia="仿宋_GB2312" w:cs="宋体"/>
          <w:color w:val="000000" w:themeColor="text1"/>
          <w:kern w:val="0"/>
          <w:sz w:val="24"/>
          <w:szCs w:val="24"/>
          <w:highlight w:val="none"/>
        </w:rPr>
      </w:pPr>
      <w:r>
        <w:rPr>
          <w:rFonts w:hint="eastAsia" w:ascii="仿宋_GB2312" w:hAnsi="宋体" w:eastAsia="仿宋_GB2312" w:cs="宋体"/>
          <w:color w:val="000000" w:themeColor="text1"/>
          <w:kern w:val="0"/>
          <w:sz w:val="24"/>
          <w:szCs w:val="24"/>
          <w:highlight w:val="none"/>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themeColor="text1"/>
          <w:sz w:val="24"/>
          <w:szCs w:val="24"/>
          <w:highlight w:val="none"/>
        </w:rPr>
        <w:t>罚款。</w:t>
      </w:r>
    </w:p>
    <w:p>
      <w:pPr>
        <w:widowControl/>
        <w:spacing w:line="400" w:lineRule="exact"/>
        <w:ind w:firstLine="480" w:firstLineChars="200"/>
        <w:rPr>
          <w:rFonts w:ascii="仿宋_GB2312" w:hAnsi="宋体" w:eastAsia="仿宋_GB2312" w:cs="宋体"/>
          <w:color w:val="000000" w:themeColor="text1"/>
          <w:kern w:val="0"/>
          <w:sz w:val="24"/>
          <w:szCs w:val="24"/>
          <w:highlight w:val="none"/>
        </w:rPr>
      </w:pPr>
      <w:r>
        <w:rPr>
          <w:rFonts w:hint="eastAsia" w:ascii="仿宋_GB2312" w:hAnsi="宋体" w:eastAsia="仿宋_GB2312" w:cs="宋体"/>
          <w:color w:val="000000" w:themeColor="text1"/>
          <w:kern w:val="0"/>
          <w:sz w:val="24"/>
          <w:szCs w:val="24"/>
          <w:highlight w:val="none"/>
        </w:rPr>
        <w:t>4.3甲方工作人员不得接受可能影响公正执行公务的礼金（包括各种有价证券）、礼品馈赠。因各种原因未能拒收的，一律上交所属部门并登记。</w:t>
      </w:r>
    </w:p>
    <w:p>
      <w:pPr>
        <w:spacing w:line="400" w:lineRule="exact"/>
        <w:ind w:firstLine="480" w:firstLineChars="200"/>
        <w:rPr>
          <w:rFonts w:ascii="仿宋_GB2312" w:hAnsi="宋体" w:eastAsia="仿宋_GB2312"/>
          <w:color w:val="000000" w:themeColor="text1"/>
          <w:sz w:val="24"/>
          <w:szCs w:val="24"/>
          <w:highlight w:val="none"/>
        </w:rPr>
      </w:pPr>
      <w:r>
        <w:rPr>
          <w:rFonts w:hint="eastAsia" w:ascii="仿宋_GB2312" w:hAnsi="宋体" w:eastAsia="仿宋_GB2312"/>
          <w:color w:val="000000" w:themeColor="text1"/>
          <w:sz w:val="24"/>
          <w:szCs w:val="24"/>
          <w:highlight w:val="none"/>
        </w:rPr>
        <w:t>4.4</w:t>
      </w:r>
      <w:r>
        <w:rPr>
          <w:rFonts w:hint="eastAsia" w:ascii="仿宋_GB2312" w:hAnsi="宋体" w:eastAsia="仿宋_GB2312" w:cs="宋体"/>
          <w:color w:val="000000" w:themeColor="text1"/>
          <w:kern w:val="0"/>
          <w:sz w:val="24"/>
          <w:szCs w:val="24"/>
          <w:highlight w:val="none"/>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rPr>
        <w:t>触犯刑律的，移交司法机关处理。</w:t>
      </w:r>
    </w:p>
    <w:p>
      <w:pPr>
        <w:widowControl/>
        <w:spacing w:line="400" w:lineRule="exact"/>
        <w:ind w:firstLine="480" w:firstLineChars="200"/>
        <w:rPr>
          <w:rFonts w:ascii="仿宋_GB2312" w:hAnsi="宋体" w:eastAsia="仿宋_GB2312" w:cs="宋体"/>
          <w:color w:val="000000" w:themeColor="text1"/>
          <w:kern w:val="0"/>
          <w:sz w:val="24"/>
          <w:szCs w:val="24"/>
          <w:highlight w:val="none"/>
        </w:rPr>
      </w:pPr>
      <w:r>
        <w:rPr>
          <w:rFonts w:hint="eastAsia" w:ascii="仿宋_GB2312" w:hAnsi="宋体" w:eastAsia="仿宋_GB2312" w:cs="宋体"/>
          <w:color w:val="000000" w:themeColor="text1"/>
          <w:kern w:val="0"/>
          <w:sz w:val="24"/>
          <w:szCs w:val="24"/>
          <w:highlight w:val="none"/>
        </w:rPr>
        <w:t>4.5本责任书作为主合同的组成部分，与本合同具有同等法律效力。生效条件与主合同相同。</w:t>
      </w:r>
    </w:p>
    <w:p>
      <w:pPr>
        <w:widowControl/>
        <w:spacing w:line="400" w:lineRule="exact"/>
        <w:ind w:firstLine="480" w:firstLineChars="200"/>
        <w:rPr>
          <w:rFonts w:ascii="仿宋_GB2312" w:hAnsi="宋体" w:eastAsia="仿宋_GB2312" w:cs="宋体"/>
          <w:color w:val="000000" w:themeColor="text1"/>
          <w:kern w:val="0"/>
          <w:sz w:val="24"/>
          <w:szCs w:val="24"/>
          <w:highlight w:val="none"/>
        </w:rPr>
      </w:pPr>
      <w:r>
        <w:rPr>
          <w:rFonts w:hint="eastAsia" w:ascii="仿宋_GB2312" w:hAnsi="宋体" w:eastAsia="仿宋_GB2312" w:cs="宋体"/>
          <w:color w:val="000000" w:themeColor="text1"/>
          <w:kern w:val="0"/>
          <w:sz w:val="24"/>
          <w:szCs w:val="24"/>
          <w:highlight w:val="none"/>
        </w:rPr>
        <w:t>五、责任书有效期</w:t>
      </w:r>
    </w:p>
    <w:p>
      <w:pPr>
        <w:widowControl/>
        <w:spacing w:line="400" w:lineRule="exact"/>
        <w:ind w:firstLine="480" w:firstLineChars="200"/>
        <w:rPr>
          <w:rFonts w:ascii="仿宋_GB2312" w:hAnsi="仿宋_GB2312" w:eastAsia="仿宋_GB2312" w:cs="仿宋_GB2312"/>
          <w:bCs/>
          <w:color w:val="000000" w:themeColor="text1"/>
          <w:sz w:val="24"/>
          <w:szCs w:val="24"/>
          <w:highlight w:val="none"/>
        </w:rPr>
      </w:pPr>
      <w:r>
        <w:rPr>
          <w:rFonts w:hint="eastAsia" w:ascii="仿宋_GB2312" w:hAnsi="宋体" w:eastAsia="仿宋_GB2312" w:cs="宋体"/>
          <w:color w:val="000000" w:themeColor="text1"/>
          <w:kern w:val="0"/>
          <w:sz w:val="24"/>
          <w:szCs w:val="24"/>
          <w:highlight w:val="none"/>
        </w:rPr>
        <w:t>本责任书的有效期为双方签署之日起至该工程项目竣工验收合格时止。</w:t>
      </w:r>
    </w:p>
    <w:p>
      <w:pPr>
        <w:pStyle w:val="41"/>
        <w:spacing w:line="400" w:lineRule="exact"/>
        <w:rPr>
          <w:rFonts w:ascii="仿宋_GB2312" w:hAnsi="仿宋_GB2312" w:eastAsia="仿宋_GB2312" w:cs="仿宋_GB2312"/>
          <w:bCs/>
          <w:color w:val="000000" w:themeColor="text1"/>
          <w:highlight w:val="none"/>
        </w:rPr>
      </w:pPr>
    </w:p>
    <w:p>
      <w:pPr>
        <w:spacing w:line="400" w:lineRule="exact"/>
        <w:ind w:firstLine="570"/>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 甲方（盖章）：                        乙方（公章）：                    </w:t>
      </w:r>
    </w:p>
    <w:p>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rPr>
      </w:pPr>
    </w:p>
    <w:p>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rPr>
        <w:t>法定代表人：                           法定代表人：</w:t>
      </w:r>
    </w:p>
    <w:p>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rPr>
        <w:t xml:space="preserve">    </w:t>
      </w:r>
      <w:r>
        <w:rPr>
          <w:rFonts w:hint="eastAsia" w:ascii="仿宋_GB2312" w:hAnsi="仿宋_GB2312" w:eastAsia="仿宋_GB2312" w:cs="仿宋_GB2312"/>
          <w:color w:val="000000" w:themeColor="text1"/>
          <w:kern w:val="0"/>
          <w:sz w:val="24"/>
          <w:szCs w:val="24"/>
          <w:highlight w:val="none"/>
          <w:lang w:val="en-US" w:eastAsia="zh-CN"/>
        </w:rPr>
        <w:t xml:space="preserve">  </w:t>
      </w:r>
      <w:r>
        <w:rPr>
          <w:rFonts w:hint="eastAsia" w:ascii="仿宋_GB2312" w:hAnsi="仿宋_GB2312" w:eastAsia="仿宋_GB2312" w:cs="仿宋_GB2312"/>
          <w:color w:val="000000" w:themeColor="text1"/>
          <w:kern w:val="0"/>
          <w:sz w:val="24"/>
          <w:szCs w:val="24"/>
          <w:highlight w:val="none"/>
        </w:rPr>
        <w:t xml:space="preserve">或                                   </w:t>
      </w:r>
      <w:r>
        <w:rPr>
          <w:rFonts w:hint="eastAsia" w:ascii="仿宋_GB2312" w:hAnsi="仿宋_GB2312" w:eastAsia="仿宋_GB2312" w:cs="仿宋_GB2312"/>
          <w:color w:val="000000" w:themeColor="text1"/>
          <w:kern w:val="0"/>
          <w:sz w:val="24"/>
          <w:szCs w:val="24"/>
          <w:highlight w:val="none"/>
          <w:lang w:val="en-US" w:eastAsia="zh-CN"/>
        </w:rPr>
        <w:t xml:space="preserve"> </w:t>
      </w:r>
      <w:r>
        <w:rPr>
          <w:rFonts w:hint="eastAsia" w:ascii="仿宋_GB2312" w:hAnsi="仿宋_GB2312" w:eastAsia="仿宋_GB2312" w:cs="仿宋_GB2312"/>
          <w:color w:val="000000" w:themeColor="text1"/>
          <w:kern w:val="0"/>
          <w:sz w:val="24"/>
          <w:szCs w:val="24"/>
          <w:highlight w:val="none"/>
        </w:rPr>
        <w:t xml:space="preserve"> 或</w:t>
      </w:r>
    </w:p>
    <w:p>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lang w:val="en-US" w:eastAsia="zh-CN"/>
        </w:rPr>
        <w:t>被委托</w:t>
      </w:r>
      <w:r>
        <w:rPr>
          <w:rFonts w:hint="eastAsia" w:ascii="仿宋_GB2312" w:hAnsi="仿宋_GB2312" w:eastAsia="仿宋_GB2312" w:cs="仿宋_GB2312"/>
          <w:color w:val="000000" w:themeColor="text1"/>
          <w:kern w:val="0"/>
          <w:sz w:val="24"/>
          <w:szCs w:val="24"/>
          <w:highlight w:val="none"/>
        </w:rPr>
        <w:t xml:space="preserve">人：                           </w:t>
      </w:r>
      <w:r>
        <w:rPr>
          <w:rFonts w:hint="eastAsia" w:ascii="仿宋_GB2312" w:hAnsi="仿宋_GB2312" w:eastAsia="仿宋_GB2312" w:cs="仿宋_GB2312"/>
          <w:color w:val="000000" w:themeColor="text1"/>
          <w:kern w:val="0"/>
          <w:sz w:val="24"/>
          <w:szCs w:val="24"/>
          <w:highlight w:val="none"/>
          <w:lang w:val="en-US" w:eastAsia="zh-CN"/>
        </w:rPr>
        <w:t xml:space="preserve"> 被委托</w:t>
      </w:r>
      <w:r>
        <w:rPr>
          <w:rFonts w:hint="eastAsia" w:ascii="仿宋_GB2312" w:hAnsi="仿宋_GB2312" w:eastAsia="仿宋_GB2312" w:cs="仿宋_GB2312"/>
          <w:color w:val="000000" w:themeColor="text1"/>
          <w:kern w:val="0"/>
          <w:sz w:val="24"/>
          <w:szCs w:val="24"/>
          <w:highlight w:val="none"/>
        </w:rPr>
        <w:t>人：</w:t>
      </w:r>
    </w:p>
    <w:p>
      <w:pPr>
        <w:spacing w:line="400" w:lineRule="exact"/>
        <w:rPr>
          <w:rFonts w:hint="eastAsia"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  </w:t>
      </w:r>
      <w:r>
        <w:rPr>
          <w:rFonts w:hint="eastAsia" w:ascii="仿宋_GB2312" w:hAnsi="仿宋_GB2312" w:eastAsia="仿宋_GB2312" w:cs="仿宋_GB2312"/>
          <w:color w:val="000000" w:themeColor="text1"/>
          <w:sz w:val="24"/>
          <w:szCs w:val="24"/>
          <w:highlight w:val="none"/>
          <w:lang w:val="en-US" w:eastAsia="zh-CN"/>
        </w:rPr>
        <w:t xml:space="preserve">             </w:t>
      </w:r>
      <w:r>
        <w:rPr>
          <w:rFonts w:hint="eastAsia" w:ascii="仿宋_GB2312" w:hAnsi="仿宋_GB2312" w:eastAsia="仿宋_GB2312" w:cs="仿宋_GB2312"/>
          <w:color w:val="000000" w:themeColor="text1"/>
          <w:sz w:val="24"/>
          <w:szCs w:val="24"/>
          <w:highlight w:val="none"/>
        </w:rPr>
        <w:t xml:space="preserve">年  月  日    </w:t>
      </w:r>
      <w:r>
        <w:rPr>
          <w:rFonts w:hint="eastAsia" w:ascii="仿宋_GB2312" w:hAnsi="仿宋_GB2312" w:eastAsia="仿宋_GB2312" w:cs="仿宋_GB2312"/>
          <w:color w:val="000000" w:themeColor="text1"/>
          <w:sz w:val="24"/>
          <w:szCs w:val="24"/>
          <w:highlight w:val="none"/>
          <w:lang w:val="en-US" w:eastAsia="zh-CN"/>
        </w:rPr>
        <w:t xml:space="preserve">                    </w:t>
      </w:r>
      <w:r>
        <w:rPr>
          <w:rFonts w:hint="eastAsia" w:ascii="仿宋_GB2312" w:hAnsi="仿宋_GB2312" w:eastAsia="仿宋_GB2312" w:cs="仿宋_GB2312"/>
          <w:color w:val="000000" w:themeColor="text1"/>
          <w:sz w:val="24"/>
          <w:szCs w:val="24"/>
          <w:highlight w:val="none"/>
        </w:rPr>
        <w:t xml:space="preserve">  年  月  日 </w:t>
      </w:r>
    </w:p>
    <w:p>
      <w:pPr>
        <w:pStyle w:val="17"/>
        <w:rPr>
          <w:rFonts w:hint="eastAsia" w:ascii="仿宋_GB2312" w:hAnsi="仿宋_GB2312" w:eastAsia="仿宋_GB2312" w:cs="仿宋_GB2312"/>
          <w:color w:val="000000" w:themeColor="text1"/>
          <w:sz w:val="24"/>
          <w:szCs w:val="24"/>
          <w:highlight w:val="none"/>
        </w:rPr>
      </w:pPr>
    </w:p>
    <w:p>
      <w:pPr>
        <w:spacing w:line="400" w:lineRule="exact"/>
        <w:ind w:firstLine="5040" w:firstLineChars="2100"/>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 </w:t>
      </w:r>
    </w:p>
    <w:p>
      <w:pPr>
        <w:rPr>
          <w:rFonts w:ascii="仿宋_GB2312" w:hAnsi="宋体" w:eastAsia="仿宋_GB2312"/>
          <w:color w:val="000000" w:themeColor="text1"/>
          <w:sz w:val="24"/>
          <w:highlight w:val="none"/>
        </w:rPr>
      </w:pPr>
      <w:r>
        <w:rPr>
          <w:rFonts w:ascii="仿宋_GB2312" w:hAnsi="宋体" w:eastAsia="仿宋_GB2312"/>
          <w:color w:val="000000" w:themeColor="text1"/>
          <w:sz w:val="24"/>
          <w:highlight w:val="none"/>
        </w:rPr>
        <w:br w:type="page"/>
      </w:r>
    </w:p>
    <w:p>
      <w:pPr>
        <w:pStyle w:val="41"/>
        <w:jc w:val="center"/>
        <w:outlineLvl w:val="0"/>
        <w:rPr>
          <w:rFonts w:ascii="仿宋" w:hAnsi="仿宋" w:eastAsia="仿宋" w:cs="仿宋"/>
          <w:b/>
          <w:bCs/>
          <w:color w:val="000000" w:themeColor="text1"/>
          <w:sz w:val="32"/>
          <w:szCs w:val="32"/>
          <w:highlight w:val="none"/>
        </w:rPr>
      </w:pPr>
      <w:bookmarkStart w:id="168" w:name="_Toc1869"/>
      <w:bookmarkStart w:id="169" w:name="_Hlk127794870"/>
      <w:bookmarkStart w:id="170" w:name="_Toc18674"/>
      <w:bookmarkStart w:id="171" w:name="_Toc1495"/>
      <w:r>
        <w:rPr>
          <w:rFonts w:hint="eastAsia" w:ascii="黑体" w:hAnsi="黑体" w:eastAsia="黑体" w:cs="黑体"/>
          <w:b/>
          <w:bCs/>
          <w:color w:val="000000" w:themeColor="text1"/>
          <w:sz w:val="32"/>
          <w:szCs w:val="32"/>
          <w:highlight w:val="none"/>
        </w:rPr>
        <w:t>第二部分 通用条款</w:t>
      </w:r>
      <w:bookmarkEnd w:id="168"/>
      <w:bookmarkEnd w:id="169"/>
      <w:bookmarkEnd w:id="170"/>
    </w:p>
    <w:p>
      <w:pPr>
        <w:pStyle w:val="41"/>
        <w:numPr>
          <w:ilvl w:val="0"/>
          <w:numId w:val="8"/>
        </w:numPr>
        <w:spacing w:before="120" w:beforeLines="50" w:after="120" w:afterLines="50" w:line="400" w:lineRule="atLeast"/>
        <w:ind w:firstLine="482"/>
        <w:outlineLvl w:val="0"/>
        <w:rPr>
          <w:rFonts w:ascii="仿宋_GB2312" w:hAnsi="仿宋_GB2312" w:eastAsia="仿宋_GB2312" w:cs="仿宋_GB2312"/>
          <w:b/>
          <w:bCs/>
          <w:color w:val="000000" w:themeColor="text1"/>
          <w:highlight w:val="none"/>
        </w:rPr>
      </w:pPr>
      <w:bookmarkStart w:id="172" w:name="_Toc3066"/>
      <w:bookmarkStart w:id="173" w:name="_Toc11168"/>
      <w:r>
        <w:rPr>
          <w:rFonts w:hint="eastAsia" w:ascii="仿宋_GB2312" w:hAnsi="仿宋_GB2312" w:eastAsia="仿宋_GB2312" w:cs="仿宋_GB2312"/>
          <w:b/>
          <w:bCs/>
          <w:color w:val="000000" w:themeColor="text1"/>
          <w:highlight w:val="none"/>
        </w:rPr>
        <w:t>货物合同附随义务</w:t>
      </w:r>
      <w:bookmarkEnd w:id="171"/>
      <w:bookmarkEnd w:id="172"/>
      <w:bookmarkEnd w:id="173"/>
    </w:p>
    <w:p>
      <w:pPr>
        <w:pStyle w:val="41"/>
        <w:spacing w:line="400" w:lineRule="atLeast"/>
        <w:ind w:firstLine="482" w:firstLineChars="200"/>
        <w:jc w:val="both"/>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1.乙方义务</w:t>
      </w:r>
    </w:p>
    <w:p>
      <w:pPr>
        <w:pStyle w:val="41"/>
        <w:spacing w:line="400" w:lineRule="atLeast"/>
        <w:ind w:firstLine="482" w:firstLineChars="200"/>
        <w:jc w:val="both"/>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1.1乙方合规义务</w:t>
      </w:r>
    </w:p>
    <w:p>
      <w:pPr>
        <w:pStyle w:val="41"/>
        <w:spacing w:line="400" w:lineRule="atLeast"/>
        <w:ind w:firstLine="482"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1.1.1合规开展行业竞争：</w:t>
      </w:r>
      <w:r>
        <w:rPr>
          <w:rFonts w:hint="eastAsia" w:ascii="仿宋_GB2312" w:hAnsi="仿宋_GB2312" w:eastAsia="仿宋_GB2312" w:cs="仿宋_GB2312"/>
          <w:color w:val="000000" w:themeColor="text1"/>
          <w:highlight w:val="none"/>
        </w:rPr>
        <w:t>积极防范和制止垄断行为，不实施任何市场排除、限制竞争行为；不组织经营者集中等违法垄断行为，不实施不正当竞争行为和不正当价格行为，不从事商誉诋毁等违法违规竞争行为。</w:t>
      </w:r>
    </w:p>
    <w:p>
      <w:pPr>
        <w:pStyle w:val="41"/>
        <w:spacing w:line="400" w:lineRule="atLeast"/>
        <w:ind w:firstLine="482"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1.1.2合规保障服务生产：</w:t>
      </w:r>
      <w:r>
        <w:rPr>
          <w:rFonts w:hint="eastAsia" w:ascii="仿宋_GB2312" w:hAnsi="仿宋_GB2312" w:eastAsia="仿宋_GB2312" w:cs="仿宋_GB2312"/>
          <w:color w:val="000000" w:themeColor="text1"/>
          <w:highlight w:val="none"/>
        </w:rPr>
        <w:t>恪守契约精神，严格按照合同约定时间和地点完成货物交付，全力保障项目物资设备供应需求。</w:t>
      </w:r>
    </w:p>
    <w:p>
      <w:pPr>
        <w:pStyle w:val="41"/>
        <w:spacing w:line="400" w:lineRule="atLeast"/>
        <w:ind w:firstLine="482"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1.1.3合规履行安全管控职责：</w:t>
      </w:r>
      <w:r>
        <w:rPr>
          <w:rFonts w:hint="eastAsia" w:ascii="仿宋_GB2312" w:hAnsi="仿宋_GB2312" w:eastAsia="仿宋_GB2312" w:cs="仿宋_GB2312"/>
          <w:color w:val="000000" w:themeColor="text1"/>
          <w:highlight w:val="none"/>
        </w:rPr>
        <w:t>自觉遵守甲方施工现场有关安全文明施工、环境和职业健康安全方面的要求，绝不出现违反安全法律和其他安全生产规章制度的行为，具体要求详见合同附件三。</w:t>
      </w:r>
    </w:p>
    <w:p>
      <w:pPr>
        <w:pStyle w:val="41"/>
        <w:spacing w:line="400" w:lineRule="atLeast"/>
        <w:ind w:firstLine="482"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1.1.4合规履行质量管控职责：</w:t>
      </w:r>
      <w:r>
        <w:rPr>
          <w:rFonts w:hint="eastAsia" w:ascii="仿宋_GB2312" w:hAnsi="仿宋_GB2312" w:eastAsia="仿宋_GB2312" w:cs="仿宋_GB2312"/>
          <w:color w:val="000000" w:themeColor="text1"/>
          <w:highlight w:val="none"/>
        </w:rPr>
        <w:t>绝不供应质量不合格货物，加强自身各环节质量管理，绝不出现任何质量或数量瑕疵，严控假冒伪劣货物流通，严格按本合同约定质量标准和数量要求履约生产。</w:t>
      </w:r>
    </w:p>
    <w:p>
      <w:pPr>
        <w:pStyle w:val="41"/>
        <w:spacing w:line="400" w:lineRule="atLeast"/>
        <w:ind w:firstLine="482"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1.1.5合规依法纳税职责：</w:t>
      </w:r>
      <w:r>
        <w:rPr>
          <w:rFonts w:hint="eastAsia" w:ascii="仿宋_GB2312" w:hAnsi="仿宋_GB2312" w:eastAsia="仿宋_GB2312" w:cs="仿宋_GB2312"/>
          <w:color w:val="000000" w:themeColor="text1"/>
          <w:highlight w:val="none"/>
        </w:rPr>
        <w:t>严格按照国家税法规定，履行合法合规纳税义务，绝不虚开或伪造增值税专用发票。</w:t>
      </w:r>
    </w:p>
    <w:p>
      <w:pPr>
        <w:pStyle w:val="41"/>
        <w:spacing w:line="400" w:lineRule="atLeast"/>
        <w:ind w:firstLine="482"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1.1.6合规拥有货物所有权：</w:t>
      </w:r>
      <w:r>
        <w:rPr>
          <w:rFonts w:hint="eastAsia" w:ascii="仿宋_GB2312" w:hAnsi="仿宋_GB2312" w:eastAsia="仿宋_GB2312" w:cs="仿宋_GB2312"/>
          <w:color w:val="000000" w:themeColor="text1"/>
          <w:highlight w:val="none"/>
        </w:rPr>
        <w:t>保证对货物具有所有权或受委托代理销售权，并向甲方出具相关凭证。保证交付的货物不附有任何担保权、留置权或设定其他权利负担。</w:t>
      </w:r>
    </w:p>
    <w:p>
      <w:pPr>
        <w:pStyle w:val="41"/>
        <w:spacing w:line="400" w:lineRule="atLeast"/>
        <w:ind w:firstLine="482"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1.1.7合规拥有</w:t>
      </w:r>
      <w:r>
        <w:rPr>
          <w:rFonts w:ascii="仿宋_GB2312" w:hAnsi="仿宋_GB2312" w:eastAsia="仿宋_GB2312" w:cs="仿宋_GB2312"/>
          <w:b/>
          <w:bCs/>
          <w:color w:val="000000" w:themeColor="text1"/>
          <w:highlight w:val="none"/>
        </w:rPr>
        <w:t>货物知识产权：</w:t>
      </w:r>
      <w:r>
        <w:rPr>
          <w:rFonts w:ascii="仿宋_GB2312" w:hAnsi="仿宋_GB2312" w:eastAsia="仿宋_GB2312" w:cs="仿宋_GB2312"/>
          <w:color w:val="000000" w:themeColor="text1"/>
          <w:highlight w:val="none"/>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pPr>
        <w:pStyle w:val="41"/>
        <w:spacing w:line="400" w:lineRule="atLeast"/>
        <w:ind w:firstLine="482"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1.1.8合规开展廉洁共建职责：</w:t>
      </w:r>
      <w:r>
        <w:rPr>
          <w:rFonts w:hint="eastAsia" w:ascii="仿宋_GB2312" w:hAnsi="仿宋_GB2312" w:eastAsia="仿宋_GB2312" w:cs="仿宋_GB2312"/>
          <w:color w:val="000000" w:themeColor="text1"/>
          <w:highlight w:val="none"/>
        </w:rPr>
        <w:t xml:space="preserve">绝不从事任何形式的商业贿赂、利益输送及其他不正当交易；绝不以任何理由为甲方、相关单位或个人组织有可能影响公正执行公务的宴请、娱乐等活动，具体要求详见合同附件四。 </w:t>
      </w:r>
    </w:p>
    <w:p>
      <w:pPr>
        <w:pStyle w:val="41"/>
        <w:spacing w:line="400" w:lineRule="atLeast"/>
        <w:ind w:firstLine="482" w:firstLineChars="200"/>
        <w:jc w:val="both"/>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1.2乙方其他义务</w:t>
      </w:r>
    </w:p>
    <w:p>
      <w:pPr>
        <w:pStyle w:val="41"/>
        <w:spacing w:line="400" w:lineRule="atLeast"/>
        <w:ind w:firstLine="482"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1.2.1增值服务：</w:t>
      </w:r>
      <w:r>
        <w:rPr>
          <w:rFonts w:hint="eastAsia" w:ascii="仿宋_GB2312" w:hAnsi="仿宋_GB2312" w:eastAsia="仿宋_GB2312" w:cs="仿宋_GB2312"/>
          <w:color w:val="000000" w:themeColor="text1"/>
          <w:highlight w:val="none"/>
        </w:rPr>
        <w:t>乙方应提供与货物配套的增值服务；包括但不限于技术支持、深化设计、现场培训及货物安装指导等工作，相应费用已在综合单价考虑。</w:t>
      </w:r>
    </w:p>
    <w:p>
      <w:pPr>
        <w:pStyle w:val="41"/>
        <w:spacing w:line="400" w:lineRule="atLeast"/>
        <w:ind w:firstLine="482"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1.2.2货物退货与置换：</w:t>
      </w:r>
      <w:r>
        <w:rPr>
          <w:rFonts w:hint="eastAsia" w:ascii="仿宋_GB2312" w:hAnsi="仿宋_GB2312" w:eastAsia="仿宋_GB2312" w:cs="仿宋_GB2312"/>
          <w:color w:val="000000" w:themeColor="text1"/>
          <w:highlight w:val="none"/>
        </w:rPr>
        <w:t>乙方供应的货物，根据不同情况甲方可选择直接向乙方退货或向乙方置换，乙方同意按甲方选择的方式办理：</w:t>
      </w:r>
    </w:p>
    <w:p>
      <w:pPr>
        <w:pStyle w:val="41"/>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（1）对于未使用且不影响二次销售的材料，若甲方选择退货，则双方按甲方退货后实际收到合格货物数量办理结算。</w:t>
      </w:r>
    </w:p>
    <w:p>
      <w:pPr>
        <w:pStyle w:val="41"/>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（2）对于已使用的材料，若甲方选择置换，则双方协商估算原材料残值并置换等价值新材料。</w:t>
      </w:r>
    </w:p>
    <w:p>
      <w:pPr>
        <w:pStyle w:val="41"/>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（3）甲方原因产生的退货或者置换产生的运输费用由</w:t>
      </w:r>
      <w:r>
        <w:rPr>
          <w:rFonts w:hint="eastAsia" w:ascii="仿宋_GB2312" w:hAnsi="仿宋_GB2312" w:eastAsia="仿宋_GB2312" w:cs="仿宋_GB2312"/>
          <w:color w:val="000000" w:themeColor="text1"/>
          <w:highlight w:val="none"/>
          <w:u w:val="single"/>
        </w:rPr>
        <w:t xml:space="preserve"> 甲方 </w:t>
      </w:r>
      <w:r>
        <w:rPr>
          <w:rFonts w:hint="eastAsia" w:ascii="仿宋_GB2312" w:hAnsi="仿宋_GB2312" w:eastAsia="仿宋_GB2312" w:cs="仿宋_GB2312"/>
          <w:color w:val="000000" w:themeColor="text1"/>
          <w:highlight w:val="none"/>
        </w:rPr>
        <w:t>承担，装卸费用由</w:t>
      </w:r>
      <w:r>
        <w:rPr>
          <w:rFonts w:hint="eastAsia" w:ascii="仿宋_GB2312" w:hAnsi="仿宋_GB2312" w:eastAsia="仿宋_GB2312" w:cs="仿宋_GB2312"/>
          <w:color w:val="000000" w:themeColor="text1"/>
          <w:highlight w:val="none"/>
          <w:u w:val="single"/>
        </w:rPr>
        <w:t xml:space="preserve"> 甲方 </w:t>
      </w:r>
      <w:r>
        <w:rPr>
          <w:rFonts w:hint="eastAsia" w:ascii="仿宋_GB2312" w:hAnsi="仿宋_GB2312" w:eastAsia="仿宋_GB2312" w:cs="仿宋_GB2312"/>
          <w:color w:val="000000" w:themeColor="text1"/>
          <w:highlight w:val="none"/>
        </w:rPr>
        <w:t>承担。</w:t>
      </w:r>
    </w:p>
    <w:p>
      <w:pPr>
        <w:pStyle w:val="41"/>
        <w:spacing w:line="400" w:lineRule="atLeast"/>
        <w:ind w:firstLine="482" w:firstLineChars="200"/>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2.甲方义务</w:t>
      </w:r>
    </w:p>
    <w:p>
      <w:pPr>
        <w:pStyle w:val="41"/>
        <w:spacing w:line="400" w:lineRule="atLeast"/>
        <w:ind w:firstLine="482"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2.1材料需用计划：</w:t>
      </w:r>
      <w:r>
        <w:rPr>
          <w:rFonts w:hint="eastAsia" w:ascii="仿宋_GB2312" w:hAnsi="仿宋_GB2312" w:eastAsia="仿宋_GB2312" w:cs="仿宋_GB2312"/>
          <w:color w:val="000000" w:themeColor="text1"/>
          <w:highlight w:val="none"/>
        </w:rPr>
        <w:t>甲方合理制定材料总需用计划及日常需用计划，并按照合同约定提前通知乙方，给予乙方充足备货期。</w:t>
      </w:r>
    </w:p>
    <w:p>
      <w:pPr>
        <w:pStyle w:val="41"/>
        <w:spacing w:line="400" w:lineRule="atLeast"/>
        <w:ind w:firstLine="482"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2.2配合材料卸货：</w:t>
      </w:r>
      <w:r>
        <w:rPr>
          <w:rFonts w:hint="eastAsia" w:ascii="仿宋_GB2312" w:hAnsi="仿宋_GB2312" w:eastAsia="仿宋_GB2312" w:cs="仿宋_GB2312"/>
          <w:color w:val="000000" w:themeColor="text1"/>
          <w:highlight w:val="none"/>
        </w:rPr>
        <w:t>乙方在材料运抵交货前2天通知甲方，甲方应在验收合格后，提供堆放场地或堆放仓库，</w:t>
      </w:r>
      <w:r>
        <w:rPr>
          <w:rFonts w:hint="eastAsia" w:ascii="仿宋_GB2312" w:hAnsi="仿宋_GB2312" w:eastAsia="仿宋_GB2312" w:cs="仿宋_GB2312"/>
          <w:color w:val="000000" w:themeColor="text1"/>
          <w:highlight w:val="none"/>
          <w:lang w:val="en-US" w:eastAsia="zh-CN"/>
        </w:rPr>
        <w:t>配合乙方材料卸货</w:t>
      </w:r>
      <w:r>
        <w:rPr>
          <w:rFonts w:hint="eastAsia" w:ascii="仿宋_GB2312" w:hAnsi="仿宋_GB2312" w:eastAsia="仿宋_GB2312" w:cs="仿宋_GB2312"/>
          <w:color w:val="000000" w:themeColor="text1"/>
          <w:highlight w:val="none"/>
        </w:rPr>
        <w:t>。</w:t>
      </w:r>
    </w:p>
    <w:p>
      <w:pPr>
        <w:pStyle w:val="4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rPr>
      </w:pPr>
      <w:bookmarkStart w:id="174" w:name="_Toc13486"/>
      <w:bookmarkStart w:id="175" w:name="_Toc1717"/>
      <w:bookmarkStart w:id="176" w:name="_Toc965"/>
      <w:r>
        <w:rPr>
          <w:rFonts w:hint="eastAsia" w:ascii="仿宋_GB2312" w:hAnsi="仿宋_GB2312" w:eastAsia="仿宋_GB2312" w:cs="仿宋_GB2312"/>
          <w:b/>
          <w:bCs/>
          <w:color w:val="000000" w:themeColor="text1"/>
          <w:highlight w:val="none"/>
        </w:rPr>
        <w:t>货物违约责任</w:t>
      </w:r>
      <w:bookmarkEnd w:id="174"/>
      <w:bookmarkEnd w:id="175"/>
      <w:bookmarkEnd w:id="176"/>
    </w:p>
    <w:p>
      <w:pPr>
        <w:pStyle w:val="41"/>
        <w:numPr>
          <w:ilvl w:val="0"/>
          <w:numId w:val="9"/>
        </w:numPr>
        <w:spacing w:line="400" w:lineRule="atLeast"/>
        <w:ind w:firstLine="482" w:firstLineChars="200"/>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未按计划时间供应：</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乙方未能按本合同第三条款中书面计划的要求供应材料，若因非甲方原因致使延期供货的次数超过</w:t>
      </w:r>
      <w:r>
        <w:rPr>
          <w:rFonts w:hint="eastAsia" w:ascii="仿宋_GB2312" w:hAnsi="仿宋_GB2312" w:eastAsia="仿宋_GB2312" w:cs="仿宋_GB2312"/>
          <w:color w:val="000000" w:themeColor="text1"/>
          <w:highlight w:val="none"/>
          <w:u w:val="single"/>
        </w:rPr>
        <w:t xml:space="preserve"> 2 次</w:t>
      </w:r>
      <w:r>
        <w:rPr>
          <w:rFonts w:hint="eastAsia" w:ascii="仿宋_GB2312" w:hAnsi="仿宋_GB2312" w:eastAsia="仿宋_GB2312" w:cs="仿宋_GB2312"/>
          <w:color w:val="000000" w:themeColor="text1"/>
          <w:highlight w:val="none"/>
        </w:rPr>
        <w:t>，乙方须向甲方支付违约金，</w:t>
      </w:r>
      <w:r>
        <w:rPr>
          <w:rFonts w:hint="eastAsia" w:ascii="仿宋_GB2312" w:hAnsi="仿宋_GB2312" w:eastAsia="仿宋_GB2312" w:cs="仿宋_GB2312"/>
          <w:b/>
          <w:bCs/>
          <w:color w:val="000000" w:themeColor="text1"/>
          <w:highlight w:val="none"/>
        </w:rPr>
        <w:t>违约金按照</w:t>
      </w:r>
      <w:r>
        <w:rPr>
          <w:rFonts w:hint="eastAsia" w:ascii="仿宋_GB2312" w:hAnsi="仿宋_GB2312" w:eastAsia="仿宋_GB2312" w:cs="仿宋_GB2312"/>
          <w:b/>
          <w:bCs/>
          <w:color w:val="000000" w:themeColor="text1"/>
          <w:highlight w:val="none"/>
          <w:lang w:val="en-US" w:eastAsia="zh-CN"/>
        </w:rPr>
        <w:t>50</w:t>
      </w:r>
      <w:r>
        <w:rPr>
          <w:rFonts w:hint="eastAsia" w:ascii="仿宋_GB2312" w:hAnsi="仿宋_GB2312" w:eastAsia="仿宋_GB2312" w:cs="仿宋_GB2312"/>
          <w:b/>
          <w:bCs/>
          <w:color w:val="000000" w:themeColor="text1"/>
          <w:highlight w:val="none"/>
        </w:rPr>
        <w:t>000元每次计，且除违约金外乙方必须承担甲方项目实际工期损失及经济损失。</w:t>
      </w:r>
      <w:r>
        <w:rPr>
          <w:rFonts w:hint="eastAsia" w:ascii="仿宋_GB2312" w:hAnsi="仿宋_GB2312" w:eastAsia="仿宋_GB2312" w:cs="仿宋_GB2312"/>
          <w:color w:val="000000" w:themeColor="text1"/>
          <w:highlight w:val="none"/>
        </w:rPr>
        <w:t>乙方延迟交付超</w:t>
      </w:r>
      <w:r>
        <w:rPr>
          <w:rFonts w:hint="eastAsia" w:ascii="仿宋_GB2312" w:hAnsi="仿宋_GB2312" w:eastAsia="仿宋_GB2312" w:cs="仿宋_GB2312"/>
          <w:color w:val="000000" w:themeColor="text1"/>
          <w:highlight w:val="none"/>
          <w:u w:val="single"/>
        </w:rPr>
        <w:t xml:space="preserve"> 7 </w:t>
      </w:r>
      <w:r>
        <w:rPr>
          <w:rFonts w:hint="eastAsia" w:ascii="仿宋_GB2312" w:hAnsi="仿宋_GB2312" w:eastAsia="仿宋_GB2312" w:cs="仿宋_GB2312"/>
          <w:color w:val="000000" w:themeColor="text1"/>
          <w:highlight w:val="none"/>
        </w:rPr>
        <w:t>日的，甲方有权单方解除本合同。</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乙方应全力保障项目的供应，因乙方资源组织问题引起的供应困难，乙方不能或不愿解决的，甲方可寻找其他供应单位代为解决，因此引起的甲方成本增加等相关费用在结算中扣除。</w:t>
      </w:r>
    </w:p>
    <w:p>
      <w:pPr>
        <w:pStyle w:val="41"/>
        <w:numPr>
          <w:ilvl w:val="0"/>
          <w:numId w:val="9"/>
        </w:numPr>
        <w:spacing w:line="400" w:lineRule="atLeast"/>
        <w:ind w:firstLine="482" w:firstLineChars="200"/>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未按指定地点或方式供应：</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乙方不能按本合同约定地点、方式供货的，甲方有权要求乙方按照合同履行，乙方应按甲方要求立即组织更换或完善不符合的条件及要求，</w:t>
      </w:r>
      <w:r>
        <w:rPr>
          <w:rFonts w:hint="eastAsia" w:ascii="仿宋_GB2312" w:hAnsi="仿宋_GB2312" w:eastAsia="仿宋_GB2312" w:cs="仿宋_GB2312"/>
          <w:b/>
          <w:bCs/>
          <w:color w:val="000000" w:themeColor="text1"/>
          <w:highlight w:val="none"/>
        </w:rPr>
        <w:t>否则按照</w:t>
      </w:r>
      <w:r>
        <w:rPr>
          <w:rFonts w:hint="eastAsia" w:ascii="仿宋_GB2312" w:hAnsi="仿宋_GB2312" w:eastAsia="仿宋_GB2312" w:cs="仿宋_GB2312"/>
          <w:b/>
          <w:bCs/>
          <w:color w:val="000000" w:themeColor="text1"/>
          <w:highlight w:val="none"/>
          <w:lang w:val="en-US" w:eastAsia="zh-CN"/>
        </w:rPr>
        <w:t>50000</w:t>
      </w:r>
      <w:r>
        <w:rPr>
          <w:rFonts w:hint="eastAsia" w:ascii="仿宋_GB2312" w:hAnsi="仿宋_GB2312" w:eastAsia="仿宋_GB2312" w:cs="仿宋_GB2312"/>
          <w:b/>
          <w:bCs/>
          <w:color w:val="000000" w:themeColor="text1"/>
          <w:highlight w:val="none"/>
        </w:rPr>
        <w:t>元每次承担违约金，且除违约金外乙方必须承担甲方项目实际工期损失及经济损失</w:t>
      </w:r>
      <w:r>
        <w:rPr>
          <w:rFonts w:hint="eastAsia" w:ascii="仿宋_GB2312" w:hAnsi="仿宋_GB2312" w:eastAsia="仿宋_GB2312" w:cs="仿宋_GB2312"/>
          <w:color w:val="000000" w:themeColor="text1"/>
          <w:highlight w:val="none"/>
        </w:rPr>
        <w:t>；经甲方书面要求整改一次仍无法达到合同要求时，甲方有权单方解除合同。</w:t>
      </w:r>
    </w:p>
    <w:p>
      <w:pPr>
        <w:pStyle w:val="41"/>
        <w:numPr>
          <w:ilvl w:val="0"/>
          <w:numId w:val="9"/>
        </w:numPr>
        <w:spacing w:line="400" w:lineRule="atLeast"/>
        <w:ind w:firstLine="482" w:firstLineChars="200"/>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不符合约定货物质量标准：</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3.1乙方货物不符合本合同约定的质量标准的，甲方有权要求乙方继续履行合同，乙方应按甲方要求立即组织更换或完善不符合的条件及要求，</w:t>
      </w:r>
      <w:r>
        <w:rPr>
          <w:rFonts w:hint="eastAsia" w:ascii="仿宋_GB2312" w:hAnsi="仿宋_GB2312" w:eastAsia="仿宋_GB2312" w:cs="仿宋_GB2312"/>
          <w:b/>
          <w:bCs/>
          <w:color w:val="000000" w:themeColor="text1"/>
          <w:highlight w:val="none"/>
        </w:rPr>
        <w:t>并按照</w:t>
      </w:r>
      <w:r>
        <w:rPr>
          <w:rFonts w:hint="eastAsia" w:ascii="仿宋_GB2312" w:hAnsi="仿宋_GB2312" w:eastAsia="仿宋_GB2312" w:cs="仿宋_GB2312"/>
          <w:b/>
          <w:bCs/>
          <w:color w:val="000000" w:themeColor="text1"/>
          <w:highlight w:val="none"/>
          <w:lang w:val="en-US" w:eastAsia="zh-CN"/>
        </w:rPr>
        <w:t>50</w:t>
      </w:r>
      <w:r>
        <w:rPr>
          <w:rFonts w:hint="eastAsia" w:ascii="仿宋_GB2312" w:hAnsi="仿宋_GB2312" w:eastAsia="仿宋_GB2312" w:cs="仿宋_GB2312"/>
          <w:b/>
          <w:bCs/>
          <w:color w:val="000000" w:themeColor="text1"/>
          <w:highlight w:val="none"/>
        </w:rPr>
        <w:t>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rPr>
        <w:t>；经甲方书面要求整改一次仍无法达到合同要求时，甲方有权单方解除合同。</w:t>
      </w:r>
    </w:p>
    <w:p>
      <w:pPr>
        <w:pStyle w:val="41"/>
        <w:spacing w:line="400" w:lineRule="atLeast"/>
        <w:ind w:firstLine="480" w:firstLineChars="200"/>
        <w:rPr>
          <w:rFonts w:hint="eastAsia"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3.2乙方以任何欺骗、舞弊、盗窃等手段致使交付的货物存在质量或数量瑕疵的，除赔偿甲方对应货物的货款外，</w:t>
      </w:r>
      <w:r>
        <w:rPr>
          <w:rFonts w:hint="eastAsia" w:ascii="仿宋_GB2312" w:hAnsi="仿宋_GB2312" w:eastAsia="仿宋_GB2312" w:cs="仿宋_GB2312"/>
          <w:b/>
          <w:bCs/>
          <w:color w:val="000000" w:themeColor="text1"/>
          <w:highlight w:val="none"/>
        </w:rPr>
        <w:t>并按照</w:t>
      </w:r>
      <w:r>
        <w:rPr>
          <w:rFonts w:hint="eastAsia" w:ascii="仿宋_GB2312" w:hAnsi="仿宋_GB2312" w:eastAsia="仿宋_GB2312" w:cs="仿宋_GB2312"/>
          <w:b/>
          <w:bCs/>
          <w:color w:val="000000" w:themeColor="text1"/>
          <w:highlight w:val="none"/>
          <w:lang w:val="en-US" w:eastAsia="zh-CN"/>
        </w:rPr>
        <w:t>50</w:t>
      </w:r>
      <w:r>
        <w:rPr>
          <w:rFonts w:hint="eastAsia" w:ascii="仿宋_GB2312" w:hAnsi="仿宋_GB2312" w:eastAsia="仿宋_GB2312" w:cs="仿宋_GB2312"/>
          <w:b/>
          <w:bCs/>
          <w:color w:val="000000" w:themeColor="text1"/>
          <w:highlight w:val="none"/>
        </w:rPr>
        <w:t>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rPr>
        <w:t>。</w:t>
      </w:r>
    </w:p>
    <w:p>
      <w:pPr>
        <w:spacing w:line="400" w:lineRule="exact"/>
        <w:ind w:firstLine="480" w:firstLineChars="200"/>
        <w:rPr>
          <w:rFonts w:hint="eastAsia"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kern w:val="0"/>
          <w:sz w:val="24"/>
          <w:szCs w:val="24"/>
          <w:highlight w:val="none"/>
          <w:lang w:val="en-US" w:eastAsia="zh-CN" w:bidi="ar-SA"/>
        </w:rPr>
        <w:t>3.3如果由于物资质量问题，引起工程事故，导致甲方人员或财产损失的，乙方应承担相应的法律责任和经济责任，因此所导致的一切损失由乙方承担，该责任不因合同的终止而减小或解除。</w:t>
      </w:r>
    </w:p>
    <w:p>
      <w:pPr>
        <w:pStyle w:val="41"/>
        <w:numPr>
          <w:ilvl w:val="0"/>
          <w:numId w:val="9"/>
        </w:numPr>
        <w:spacing w:line="400" w:lineRule="atLeast"/>
        <w:ind w:firstLine="482" w:firstLineChars="200"/>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未履行开具增值税发票义务：</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乙方存在下列情形之一的，甲方有权单方解除合同，并有权直接从乙方应付款项中双倍扣除甲方未能抵扣的税金（扣除金额=不含税结算金额×</w:t>
      </w:r>
      <w:r>
        <w:rPr>
          <w:rFonts w:hint="eastAsia" w:ascii="仿宋_GB2312" w:hAnsi="仿宋_GB2312" w:eastAsia="仿宋_GB2312" w:cs="仿宋_GB2312"/>
          <w:color w:val="000000" w:themeColor="text1"/>
          <w:highlight w:val="none"/>
          <w:u w:val="single"/>
        </w:rPr>
        <w:t xml:space="preserve"> 13 </w:t>
      </w:r>
      <w:r>
        <w:rPr>
          <w:rFonts w:hint="eastAsia" w:ascii="仿宋_GB2312" w:hAnsi="仿宋_GB2312" w:eastAsia="仿宋_GB2312" w:cs="仿宋_GB2312"/>
          <w:color w:val="000000" w:themeColor="text1"/>
          <w:highlight w:val="none"/>
        </w:rPr>
        <w:t>％增值税税率×2）作为违约金：</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4.1不具有开具增值税专用发票的纳税人资格。</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4.2未能按本合同约定的税率开具增值税专用发票。</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4.3提供的增值税专用发票是乙方以外的主体开具。</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4.4拖欠增值税专用发票金额累计达100万元以上。</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4.5</w:t>
      </w:r>
      <w:r>
        <w:rPr>
          <w:rFonts w:hint="eastAsia" w:ascii="仿宋_GB2312" w:hAnsi="仿宋_GB2312" w:eastAsia="仿宋_GB2312" w:cs="仿宋_GB2312"/>
          <w:strike w:val="0"/>
          <w:dstrike w:val="0"/>
          <w:color w:val="000000" w:themeColor="text1"/>
          <w:highlight w:val="none"/>
        </w:rPr>
        <w:t>如乙方未在税务机关要求的期限内缴纳税款，导致甲方无法抵扣进项税的，甲方有权拒绝付款，如已经支付的，甲方有权追回已支付的款项，并要求乙方支付违约金或赔偿损失</w:t>
      </w:r>
      <w:r>
        <w:rPr>
          <w:rFonts w:hint="eastAsia" w:ascii="仿宋_GB2312" w:hAnsi="仿宋_GB2312" w:eastAsia="仿宋_GB2312" w:cs="仿宋_GB2312"/>
          <w:color w:val="000000" w:themeColor="text1"/>
          <w:highlight w:val="none"/>
        </w:rPr>
        <w:t xml:space="preserve">。 </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4.6提供伪造的增值税专用发票。</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4.7虚开增值税专用发票。</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4.8其它导致甲方无法进行增值税抵扣的情形。</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乙方存在以上情形的，除承担相应违约责任外，还应赔偿甲方因此所受损失，同时不免除乙方开具合法合规增值税专用发票的义务。</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若乙方开具或提供的增值税专用发票发生本条第4款情形超过3次的或给甲方造成重大损失的，则乙方除按本款前述约定承担责任外，甲方有权单方解除本合同。</w:t>
      </w:r>
    </w:p>
    <w:p>
      <w:pPr>
        <w:pStyle w:val="41"/>
        <w:numPr>
          <w:ilvl w:val="0"/>
          <w:numId w:val="9"/>
        </w:numPr>
        <w:spacing w:line="400" w:lineRule="atLeast"/>
        <w:ind w:firstLine="482" w:firstLineChars="200"/>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未履行安全责任及义务：</w:t>
      </w:r>
    </w:p>
    <w:p>
      <w:pPr>
        <w:pStyle w:val="41"/>
        <w:spacing w:line="400" w:lineRule="atLeast"/>
        <w:ind w:firstLine="480" w:firstLineChars="200"/>
        <w:rPr>
          <w:rFonts w:hint="eastAsia"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lang w:val="en-US" w:eastAsia="zh-CN"/>
        </w:rPr>
        <w:t>5.1</w:t>
      </w:r>
      <w:r>
        <w:rPr>
          <w:rFonts w:hint="eastAsia" w:ascii="仿宋_GB2312" w:hAnsi="仿宋_GB2312" w:eastAsia="仿宋_GB2312" w:cs="仿宋_GB2312"/>
          <w:color w:val="000000" w:themeColor="text1"/>
          <w:highlight w:val="none"/>
        </w:rPr>
        <w:t>乙方不能满足甲方有关安全文明施工措施、环境和职业健康安全方面的要求时，乙方按照项目实际工期损失、经济损失承担违约金。</w:t>
      </w:r>
    </w:p>
    <w:p>
      <w:pPr>
        <w:spacing w:line="400" w:lineRule="exact"/>
        <w:ind w:firstLine="480" w:firstLineChars="200"/>
        <w:rPr>
          <w:rFonts w:hint="eastAsia"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kern w:val="0"/>
          <w:sz w:val="24"/>
          <w:szCs w:val="24"/>
          <w:highlight w:val="none"/>
          <w:lang w:val="en-US" w:eastAsia="zh-CN" w:bidi="ar-SA"/>
        </w:rPr>
        <w:t>5.2由于乙方原因造成甲方人员人身伤害，乙方应立即采取补救措施，并全额赔偿甲方相关人员损失。</w:t>
      </w:r>
    </w:p>
    <w:p>
      <w:pPr>
        <w:pStyle w:val="41"/>
        <w:numPr>
          <w:ilvl w:val="0"/>
          <w:numId w:val="9"/>
        </w:numPr>
        <w:spacing w:line="400" w:lineRule="atLeast"/>
        <w:ind w:firstLine="482" w:firstLineChars="200"/>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未经同意转让权利及义务：</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未经甲方书面同意，乙方不得以对甲方享有之任何债权向其他第三方进行转让或提供任何形式之担保或保证等。经甲方同意转让合同权利，不解除乙方应承担本合同项下的义务和责任。</w:t>
      </w:r>
    </w:p>
    <w:p>
      <w:pPr>
        <w:pStyle w:val="41"/>
        <w:spacing w:line="400" w:lineRule="atLeast"/>
        <w:ind w:firstLine="482" w:firstLineChars="200"/>
        <w:jc w:val="both"/>
        <w:rPr>
          <w:rFonts w:ascii="仿宋_GB2312" w:hAnsi="仿宋_GB2312" w:eastAsia="仿宋_GB2312" w:cs="仿宋_GB2312"/>
          <w:b/>
          <w:bCs/>
          <w:color w:val="000000" w:themeColor="text1"/>
          <w:highlight w:val="none"/>
        </w:rPr>
      </w:pPr>
      <w:bookmarkStart w:id="177" w:name="_Hlk126834115"/>
      <w:bookmarkStart w:id="178" w:name="_Hlk127191104"/>
      <w:r>
        <w:rPr>
          <w:rFonts w:hint="eastAsia" w:ascii="仿宋_GB2312" w:hAnsi="仿宋_GB2312" w:eastAsia="仿宋_GB2312" w:cs="仿宋_GB2312"/>
          <w:b/>
          <w:bCs/>
          <w:color w:val="000000" w:themeColor="text1"/>
          <w:highlight w:val="none"/>
        </w:rPr>
        <w:t>7、</w:t>
      </w:r>
      <w:bookmarkStart w:id="179" w:name="_Hlk126829881"/>
      <w:r>
        <w:rPr>
          <w:rFonts w:hint="eastAsia" w:ascii="仿宋_GB2312" w:hAnsi="仿宋_GB2312" w:eastAsia="仿宋_GB2312" w:cs="仿宋_GB2312"/>
          <w:b/>
          <w:bCs/>
          <w:color w:val="000000" w:themeColor="text1"/>
          <w:highlight w:val="none"/>
        </w:rPr>
        <w:t>未履行结算义务：</w:t>
      </w:r>
    </w:p>
    <w:p>
      <w:pPr>
        <w:pStyle w:val="41"/>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若发现乙方存在以下行为，视为违约并处以相应的罚款，在当期结算款中扣除（当期结算款额度不够的在下期结算款中扣除），并保留追究相应责任的权利。</w:t>
      </w:r>
    </w:p>
    <w:p>
      <w:pPr>
        <w:pStyle w:val="41"/>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（1）伪造或虚开工程量数据，一经发现处以罚款2万元/次。</w:t>
      </w:r>
    </w:p>
    <w:p>
      <w:pPr>
        <w:pStyle w:val="41"/>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（2）伪造甲方管理人员签字盖章，一经发现处以罚款5万元/次。</w:t>
      </w:r>
    </w:p>
    <w:p>
      <w:pPr>
        <w:pStyle w:val="41"/>
        <w:spacing w:line="400" w:lineRule="atLeast"/>
        <w:ind w:firstLine="480" w:firstLineChars="200"/>
        <w:jc w:val="both"/>
        <w:rPr>
          <w:rFonts w:ascii="仿宋_GB2312" w:hAnsi="仿宋_GB2312" w:eastAsia="仿宋_GB2312" w:cs="仿宋_GB2312"/>
          <w:b/>
          <w:bCs/>
          <w:color w:val="000000" w:themeColor="text1"/>
          <w:highlight w:val="none"/>
        </w:rPr>
      </w:pPr>
      <w:r>
        <w:rPr>
          <w:rFonts w:hint="eastAsia" w:ascii="仿宋_GB2312" w:hAnsi="仿宋_GB2312" w:eastAsia="仿宋_GB2312" w:cs="仿宋_GB2312"/>
          <w:color w:val="000000" w:themeColor="text1"/>
          <w:highlight w:val="none"/>
        </w:rPr>
        <w:t>（3）伪造结算书或其他结算相关材料，一经发现处以罚款10万元/次</w:t>
      </w:r>
      <w:bookmarkEnd w:id="177"/>
      <w:r>
        <w:rPr>
          <w:rFonts w:hint="eastAsia" w:ascii="仿宋_GB2312" w:hAnsi="仿宋_GB2312" w:eastAsia="仿宋_GB2312" w:cs="仿宋_GB2312"/>
          <w:color w:val="000000" w:themeColor="text1"/>
          <w:highlight w:val="none"/>
        </w:rPr>
        <w:t>。</w:t>
      </w:r>
      <w:bookmarkEnd w:id="178"/>
      <w:bookmarkEnd w:id="179"/>
    </w:p>
    <w:p>
      <w:pPr>
        <w:pStyle w:val="41"/>
        <w:spacing w:line="400" w:lineRule="atLeast"/>
        <w:ind w:firstLine="482" w:firstLineChars="200"/>
        <w:jc w:val="both"/>
        <w:rPr>
          <w:rFonts w:ascii="仿宋_GB2312" w:hAnsi="仿宋_GB2312" w:eastAsia="仿宋_GB2312" w:cs="仿宋_GB2312"/>
          <w:b/>
          <w:bCs/>
          <w:color w:val="000000" w:themeColor="text1"/>
          <w:highlight w:val="none"/>
        </w:rPr>
      </w:pPr>
      <w:bookmarkStart w:id="180" w:name="_Toc11521"/>
      <w:bookmarkStart w:id="181" w:name="_Toc20335"/>
      <w:bookmarkStart w:id="182" w:name="_Toc19191"/>
      <w:r>
        <w:rPr>
          <w:rFonts w:hint="eastAsia" w:ascii="仿宋_GB2312" w:hAnsi="仿宋_GB2312" w:eastAsia="仿宋_GB2312" w:cs="仿宋_GB2312"/>
          <w:b/>
          <w:bCs/>
          <w:color w:val="000000" w:themeColor="text1"/>
          <w:highlight w:val="none"/>
          <w:lang w:val="en-US" w:eastAsia="zh-CN"/>
        </w:rPr>
        <w:t>8</w:t>
      </w:r>
      <w:r>
        <w:rPr>
          <w:rFonts w:hint="eastAsia" w:ascii="仿宋_GB2312" w:hAnsi="仿宋_GB2312" w:eastAsia="仿宋_GB2312" w:cs="仿宋_GB2312"/>
          <w:b/>
          <w:bCs/>
          <w:color w:val="000000" w:themeColor="text1"/>
          <w:highlight w:val="none"/>
        </w:rPr>
        <w:t>、</w:t>
      </w:r>
      <w:r>
        <w:rPr>
          <w:rFonts w:hint="eastAsia" w:ascii="仿宋_GB2312" w:hAnsi="仿宋_GB2312" w:eastAsia="仿宋_GB2312" w:cs="仿宋_GB2312"/>
          <w:b/>
          <w:bCs/>
          <w:color w:val="000000" w:themeColor="text1"/>
          <w:highlight w:val="none"/>
          <w:lang w:val="en-US" w:eastAsia="zh-CN"/>
        </w:rPr>
        <w:t>供货知识产权存在瑕疵</w:t>
      </w:r>
      <w:r>
        <w:rPr>
          <w:rFonts w:hint="eastAsia" w:ascii="仿宋_GB2312" w:hAnsi="仿宋_GB2312" w:eastAsia="仿宋_GB2312" w:cs="仿宋_GB2312"/>
          <w:b/>
          <w:bCs/>
          <w:color w:val="000000" w:themeColor="text1"/>
          <w:highlight w:val="none"/>
        </w:rPr>
        <w:t>：</w:t>
      </w:r>
    </w:p>
    <w:p>
      <w:pPr>
        <w:pStyle w:val="41"/>
        <w:spacing w:line="400" w:lineRule="atLeast"/>
        <w:ind w:firstLine="480" w:firstLineChars="200"/>
        <w:jc w:val="both"/>
        <w:rPr>
          <w:rFonts w:hint="eastAsia"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若乙方提供物资侵犯他人知识产权（或专利权）导致他人向甲方索赔的，乙方承担由此给甲方造成的一切损失，包括但不限于甲方处理此纠纷发生的律师费、诉讼费、差旅费等一切损失。此外，乙方应向甲方支付合同价款</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u w:val="single"/>
          <w:lang w:val="en-US" w:eastAsia="zh-CN"/>
        </w:rPr>
        <w:t xml:space="preserve">20 </w:t>
      </w:r>
      <w:r>
        <w:rPr>
          <w:rFonts w:hint="eastAsia" w:ascii="仿宋_GB2312" w:hAnsi="仿宋_GB2312" w:eastAsia="仿宋_GB2312" w:cs="仿宋_GB2312"/>
          <w:color w:val="000000" w:themeColor="text1"/>
          <w:highlight w:val="none"/>
        </w:rPr>
        <w:t>％的违约金。甲方针对上述一切损失有权从乙方结算货款中扣除或依法追索。</w:t>
      </w:r>
    </w:p>
    <w:p>
      <w:pPr>
        <w:pStyle w:val="41"/>
        <w:spacing w:line="400" w:lineRule="atLeast"/>
        <w:ind w:firstLine="482" w:firstLineChars="200"/>
        <w:jc w:val="both"/>
        <w:rPr>
          <w:rFonts w:hint="default" w:ascii="仿宋_GB2312" w:hAnsi="仿宋_GB2312" w:eastAsia="仿宋_GB2312" w:cs="仿宋_GB2312"/>
          <w:b/>
          <w:bCs/>
          <w:color w:val="000000" w:themeColor="text1"/>
          <w:highlight w:val="none"/>
          <w:lang w:val="en-US" w:eastAsia="zh-CN"/>
        </w:rPr>
      </w:pPr>
      <w:r>
        <w:rPr>
          <w:rFonts w:hint="eastAsia" w:ascii="仿宋_GB2312" w:hAnsi="仿宋_GB2312" w:eastAsia="仿宋_GB2312" w:cs="仿宋_GB2312"/>
          <w:b/>
          <w:bCs/>
          <w:color w:val="000000" w:themeColor="text1"/>
          <w:highlight w:val="none"/>
          <w:lang w:val="en-US" w:eastAsia="zh-CN"/>
        </w:rPr>
        <w:t>9、私运项目物资</w:t>
      </w:r>
    </w:p>
    <w:p>
      <w:pPr>
        <w:pStyle w:val="41"/>
        <w:spacing w:line="400" w:lineRule="atLeast"/>
        <w:ind w:firstLine="480" w:firstLineChars="200"/>
        <w:jc w:val="both"/>
        <w:rPr>
          <w:rFonts w:hint="eastAsia" w:ascii="仿宋_GB2312" w:hAnsi="仿宋_GB2312" w:eastAsia="仿宋_GB2312" w:cs="仿宋_GB2312"/>
          <w:b w:val="0"/>
          <w:bCs w:val="0"/>
          <w:color w:val="000000" w:themeColor="text1"/>
          <w:highlight w:val="none"/>
          <w:lang w:val="en-US" w:eastAsia="zh-CN"/>
        </w:rPr>
      </w:pPr>
      <w:r>
        <w:rPr>
          <w:rFonts w:hint="eastAsia" w:ascii="仿宋_GB2312" w:hAnsi="仿宋_GB2312" w:eastAsia="仿宋_GB2312" w:cs="仿宋_GB2312"/>
          <w:b w:val="0"/>
          <w:bCs w:val="0"/>
          <w:color w:val="000000" w:themeColor="text1"/>
          <w:highlight w:val="none"/>
          <w:lang w:val="en-US" w:eastAsia="zh-CN"/>
        </w:rPr>
        <w:t>若乙方私自运送甲方现场物资出场，乙方需向甲方支付所涉及物资原值【2】倍的违约金，情节严重的交由司法机关处理。</w:t>
      </w:r>
    </w:p>
    <w:p>
      <w:pPr>
        <w:pStyle w:val="41"/>
        <w:spacing w:line="400" w:lineRule="atLeast"/>
        <w:ind w:firstLine="482" w:firstLineChars="200"/>
        <w:jc w:val="both"/>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lang w:val="en-US" w:eastAsia="zh-CN"/>
        </w:rPr>
        <w:t>10</w:t>
      </w:r>
      <w:r>
        <w:rPr>
          <w:rFonts w:hint="eastAsia" w:ascii="仿宋_GB2312" w:hAnsi="仿宋_GB2312" w:eastAsia="仿宋_GB2312" w:cs="仿宋_GB2312"/>
          <w:b/>
          <w:bCs/>
          <w:color w:val="000000" w:themeColor="text1"/>
          <w:highlight w:val="none"/>
        </w:rPr>
        <w:t>、未履行本协议约定义务：</w:t>
      </w:r>
    </w:p>
    <w:p>
      <w:pPr>
        <w:pStyle w:val="41"/>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乙方不履行本协议约定义务或中途终止履行合同（符合本合同约定的调价和合同解除条件除外）的，乙方按照项目实际工期损失、经济损失承担违约金。</w:t>
      </w:r>
    </w:p>
    <w:p>
      <w:pPr>
        <w:pStyle w:val="41"/>
        <w:spacing w:line="400" w:lineRule="atLeast"/>
        <w:ind w:firstLine="482" w:firstLineChars="200"/>
        <w:jc w:val="both"/>
        <w:rPr>
          <w:rFonts w:hint="eastAsia"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lang w:val="en-US" w:eastAsia="zh-CN"/>
        </w:rPr>
        <w:t>11</w:t>
      </w:r>
      <w:r>
        <w:rPr>
          <w:rFonts w:hint="eastAsia" w:ascii="仿宋_GB2312" w:hAnsi="仿宋_GB2312" w:eastAsia="仿宋_GB2312" w:cs="仿宋_GB2312"/>
          <w:b/>
          <w:bCs/>
          <w:color w:val="000000" w:themeColor="text1"/>
          <w:highlight w:val="none"/>
        </w:rPr>
        <w:t>、违约后的处置方式：</w:t>
      </w:r>
    </w:p>
    <w:p>
      <w:pPr>
        <w:pStyle w:val="41"/>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乙方违约后，甲方有权直接从乙方结算款或应付款中扣除违约金；甲方决定合同继续履行的，乙方除承担上述违约责任，仍应继续履行合同。</w:t>
      </w:r>
    </w:p>
    <w:p>
      <w:pPr>
        <w:pStyle w:val="4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货物缺陷索赔</w:t>
      </w:r>
      <w:bookmarkEnd w:id="180"/>
      <w:bookmarkEnd w:id="181"/>
      <w:bookmarkEnd w:id="182"/>
    </w:p>
    <w:p>
      <w:pPr>
        <w:pStyle w:val="312"/>
        <w:spacing w:after="24" w:afterLines="10" w:line="400" w:lineRule="atLeast"/>
        <w:ind w:right="0" w:firstLine="482" w:firstLineChars="200"/>
        <w:rPr>
          <w:rFonts w:ascii="仿宋_GB2312" w:hAnsi="仿宋_GB2312" w:eastAsia="仿宋_GB2312" w:cs="仿宋_GB2312"/>
          <w:color w:val="000000" w:themeColor="text1"/>
          <w:sz w:val="24"/>
          <w:highlight w:val="none"/>
        </w:rPr>
      </w:pPr>
      <w:r>
        <w:rPr>
          <w:rFonts w:hint="eastAsia" w:ascii="仿宋_GB2312" w:hAnsi="仿宋_GB2312" w:eastAsia="仿宋_GB2312" w:cs="仿宋_GB2312"/>
          <w:b/>
          <w:bCs/>
          <w:color w:val="000000" w:themeColor="text1"/>
          <w:sz w:val="24"/>
          <w:highlight w:val="none"/>
        </w:rPr>
        <w:t>1、质量缺陷索赔：</w:t>
      </w:r>
      <w:r>
        <w:rPr>
          <w:rFonts w:hint="eastAsia" w:ascii="仿宋_GB2312" w:hAnsi="仿宋_GB2312" w:eastAsia="仿宋_GB2312" w:cs="仿宋_GB2312"/>
          <w:color w:val="000000" w:themeColor="text1"/>
          <w:sz w:val="24"/>
          <w:highlight w:val="none"/>
        </w:rPr>
        <w:t>如甲方在各阶段的检验过程中发现货物不合格现象，可选择更换货物或提出索赔。若选择索赔，甲方有权邀请当地有关质量监督管理部门或其他鉴定机构进行检验，并出具检验证书，可以据此向乙方提出索赔。</w:t>
      </w:r>
    </w:p>
    <w:p>
      <w:pPr>
        <w:pStyle w:val="312"/>
        <w:spacing w:after="24" w:afterLines="10" w:line="400" w:lineRule="atLeast"/>
        <w:ind w:right="0" w:firstLine="482" w:firstLineChars="200"/>
        <w:rPr>
          <w:rFonts w:ascii="仿宋_GB2312" w:hAnsi="仿宋_GB2312" w:eastAsia="仿宋_GB2312" w:cs="仿宋_GB2312"/>
          <w:color w:val="000000" w:themeColor="text1"/>
          <w:sz w:val="24"/>
          <w:highlight w:val="none"/>
        </w:rPr>
      </w:pPr>
      <w:r>
        <w:rPr>
          <w:rFonts w:hint="eastAsia" w:ascii="仿宋_GB2312" w:hAnsi="仿宋_GB2312" w:eastAsia="仿宋_GB2312" w:cs="仿宋_GB2312"/>
          <w:b/>
          <w:bCs/>
          <w:color w:val="000000" w:themeColor="text1"/>
          <w:sz w:val="24"/>
          <w:highlight w:val="none"/>
        </w:rPr>
        <w:t>2、缺陷索赔解决方式：</w:t>
      </w:r>
      <w:r>
        <w:rPr>
          <w:rFonts w:hint="eastAsia" w:ascii="仿宋_GB2312" w:hAnsi="仿宋_GB2312" w:eastAsia="仿宋_GB2312" w:cs="仿宋_GB2312"/>
          <w:color w:val="000000" w:themeColor="text1"/>
          <w:sz w:val="24"/>
          <w:highlight w:val="none"/>
        </w:rPr>
        <w:t>对甲方在规定的检验、安装、调试和验收测试期限内和质量保修期内发现缺陷提出的索赔，乙方应按甲方同意的下述一种或多种方法解决索赔事宜：</w:t>
      </w:r>
    </w:p>
    <w:p>
      <w:pPr>
        <w:pStyle w:val="312"/>
        <w:spacing w:after="24" w:afterLines="10" w:line="400" w:lineRule="atLeast"/>
        <w:ind w:right="0" w:firstLine="480" w:firstLineChars="200"/>
        <w:rPr>
          <w:rFonts w:ascii="仿宋_GB2312" w:hAnsi="仿宋_GB2312" w:eastAsia="仿宋_GB2312" w:cs="仿宋_GB2312"/>
          <w:color w:val="000000" w:themeColor="text1"/>
          <w:sz w:val="24"/>
          <w:highlight w:val="none"/>
        </w:rPr>
      </w:pPr>
      <w:r>
        <w:rPr>
          <w:rFonts w:hint="eastAsia" w:ascii="仿宋_GB2312" w:hAnsi="仿宋_GB2312" w:eastAsia="仿宋_GB2312" w:cs="仿宋_GB2312"/>
          <w:color w:val="000000" w:themeColor="text1"/>
          <w:sz w:val="24"/>
          <w:highlight w:val="none"/>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pPr>
        <w:pStyle w:val="312"/>
        <w:spacing w:after="24" w:afterLines="10" w:line="400" w:lineRule="atLeast"/>
        <w:ind w:right="0" w:firstLine="480" w:firstLineChars="200"/>
        <w:rPr>
          <w:rFonts w:ascii="仿宋_GB2312" w:hAnsi="仿宋_GB2312" w:eastAsia="仿宋_GB2312" w:cs="仿宋_GB2312"/>
          <w:color w:val="000000" w:themeColor="text1"/>
          <w:sz w:val="24"/>
          <w:highlight w:val="none"/>
        </w:rPr>
      </w:pPr>
      <w:r>
        <w:rPr>
          <w:rFonts w:hint="eastAsia" w:ascii="仿宋_GB2312" w:hAnsi="仿宋_GB2312" w:eastAsia="仿宋_GB2312" w:cs="仿宋_GB2312"/>
          <w:color w:val="000000" w:themeColor="text1"/>
          <w:sz w:val="24"/>
          <w:highlight w:val="none"/>
        </w:rPr>
        <w:t>2.2根据货物的质量缺陷和受损程度以及甲方遭受损失的程度，经双方协商同意降低货物价格。</w:t>
      </w:r>
    </w:p>
    <w:p>
      <w:pPr>
        <w:pStyle w:val="312"/>
        <w:spacing w:after="24" w:afterLines="10" w:line="400" w:lineRule="atLeast"/>
        <w:ind w:right="0" w:firstLine="480" w:firstLineChars="200"/>
        <w:rPr>
          <w:rFonts w:ascii="仿宋_GB2312" w:hAnsi="仿宋_GB2312" w:eastAsia="仿宋_GB2312" w:cs="仿宋_GB2312"/>
          <w:color w:val="000000" w:themeColor="text1"/>
          <w:sz w:val="24"/>
          <w:highlight w:val="none"/>
        </w:rPr>
      </w:pPr>
      <w:r>
        <w:rPr>
          <w:rFonts w:hint="eastAsia" w:ascii="仿宋_GB2312" w:hAnsi="仿宋_GB2312" w:eastAsia="仿宋_GB2312" w:cs="仿宋_GB2312"/>
          <w:color w:val="000000" w:themeColor="text1"/>
          <w:sz w:val="24"/>
          <w:highlight w:val="none"/>
        </w:rPr>
        <w:t>2.3更换有缺陷的部分货物、零件、部件和设备，或修理缺陷部分，以达到合同规定的规格、质量和性能，乙方承担一切费用和风险，并负担甲方遭受的损失。</w:t>
      </w:r>
    </w:p>
    <w:p>
      <w:pPr>
        <w:pStyle w:val="312"/>
        <w:spacing w:after="24" w:afterLines="10" w:line="400" w:lineRule="atLeast"/>
        <w:ind w:right="0" w:firstLine="482" w:firstLineChars="200"/>
        <w:rPr>
          <w:rFonts w:ascii="仿宋_GB2312" w:hAnsi="仿宋_GB2312" w:eastAsia="仿宋_GB2312" w:cs="仿宋_GB2312"/>
          <w:color w:val="000000" w:themeColor="text1"/>
          <w:sz w:val="24"/>
          <w:highlight w:val="none"/>
        </w:rPr>
      </w:pPr>
      <w:r>
        <w:rPr>
          <w:rFonts w:hint="eastAsia" w:ascii="仿宋_GB2312" w:hAnsi="仿宋_GB2312" w:eastAsia="仿宋_GB2312" w:cs="仿宋_GB2312"/>
          <w:b/>
          <w:bCs/>
          <w:color w:val="000000" w:themeColor="text1"/>
          <w:sz w:val="24"/>
          <w:highlight w:val="none"/>
        </w:rPr>
        <w:t>3、缺陷索赔程序：如果甲方提出索赔通知后7日内乙方未予以答复，该索赔应视为已被乙方接受。</w:t>
      </w:r>
      <w:r>
        <w:rPr>
          <w:rFonts w:hint="eastAsia" w:ascii="仿宋_GB2312" w:hAnsi="仿宋_GB2312" w:eastAsia="仿宋_GB2312" w:cs="仿宋_GB2312"/>
          <w:color w:val="000000" w:themeColor="text1"/>
          <w:sz w:val="24"/>
          <w:highlight w:val="none"/>
        </w:rPr>
        <w:t>若乙方未能在甲方提出索赔通知的合理时限（7日内）或甲方同意的延长期限内，按甲方同意的上述任何一种方式处理索赔事宜</w:t>
      </w:r>
      <w:r>
        <w:rPr>
          <w:rFonts w:hint="eastAsia" w:ascii="仿宋_GB2312" w:hAnsi="仿宋_GB2312" w:eastAsia="仿宋_GB2312" w:cs="仿宋_GB2312"/>
          <w:b/>
          <w:bCs/>
          <w:color w:val="000000" w:themeColor="text1"/>
          <w:sz w:val="24"/>
          <w:highlight w:val="none"/>
        </w:rPr>
        <w:t>，甲方有权从乙方货款中扣除索赔金额，不足部分，甲方有权向乙方追偿。</w:t>
      </w:r>
    </w:p>
    <w:p>
      <w:pPr>
        <w:pStyle w:val="41"/>
        <w:spacing w:line="400" w:lineRule="atLeast"/>
        <w:ind w:firstLine="482" w:firstLineChars="200"/>
        <w:jc w:val="both"/>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4、其他缺陷索赔：</w:t>
      </w:r>
      <w:r>
        <w:rPr>
          <w:rFonts w:hint="eastAsia" w:ascii="仿宋_GB2312" w:hAnsi="仿宋_GB2312" w:eastAsia="仿宋_GB2312" w:cs="仿宋_GB2312"/>
          <w:color w:val="000000" w:themeColor="text1"/>
          <w:highlight w:val="none"/>
        </w:rPr>
        <w:t>对于甲方提出的非质量缺陷的其他索赔通知，参照适用缺陷索赔规则。</w:t>
      </w:r>
    </w:p>
    <w:p>
      <w:pPr>
        <w:pStyle w:val="4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rPr>
      </w:pPr>
      <w:bookmarkStart w:id="183" w:name="_Toc12864"/>
      <w:bookmarkStart w:id="184" w:name="_Toc13562"/>
      <w:bookmarkStart w:id="185" w:name="_Toc13471"/>
      <w:r>
        <w:rPr>
          <w:rFonts w:hint="eastAsia" w:ascii="仿宋_GB2312" w:hAnsi="仿宋_GB2312" w:eastAsia="仿宋_GB2312" w:cs="仿宋_GB2312"/>
          <w:b/>
          <w:bCs/>
          <w:color w:val="000000" w:themeColor="text1"/>
          <w:highlight w:val="none"/>
        </w:rPr>
        <w:t>合同变更</w:t>
      </w:r>
      <w:bookmarkEnd w:id="183"/>
      <w:bookmarkEnd w:id="184"/>
      <w:bookmarkEnd w:id="185"/>
    </w:p>
    <w:p>
      <w:pPr>
        <w:pStyle w:val="41"/>
        <w:numPr>
          <w:ilvl w:val="0"/>
          <w:numId w:val="10"/>
        </w:numPr>
        <w:spacing w:line="400" w:lineRule="atLeast"/>
        <w:ind w:firstLine="480" w:firstLineChars="200"/>
        <w:jc w:val="both"/>
        <w:rPr>
          <w:rFonts w:ascii="仿宋_GB2312" w:hAnsi="仿宋_GB2312" w:eastAsia="仿宋_GB2312" w:cs="仿宋_GB2312"/>
          <w:b/>
          <w:bCs/>
          <w:color w:val="000000" w:themeColor="text1"/>
          <w:highlight w:val="none"/>
        </w:rPr>
      </w:pPr>
      <w:r>
        <w:rPr>
          <w:rFonts w:hint="eastAsia" w:ascii="仿宋_GB2312" w:hAnsi="仿宋_GB2312" w:eastAsia="仿宋_GB2312" w:cs="仿宋_GB2312"/>
          <w:color w:val="000000" w:themeColor="text1"/>
          <w:highlight w:val="none"/>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rPr>
        <w:t>，此类补充文件需按本合同约定的生效条件加盖与本合同相同的印章才可视为成立并生效，具有同等法律效力。</w:t>
      </w:r>
    </w:p>
    <w:p>
      <w:pPr>
        <w:pStyle w:val="41"/>
        <w:numPr>
          <w:ilvl w:val="0"/>
          <w:numId w:val="10"/>
        </w:numPr>
        <w:spacing w:before="120" w:beforeLines="50" w:after="120" w:afterLines="50" w:line="400" w:lineRule="atLeast"/>
        <w:ind w:left="0" w:leftChars="0" w:firstLine="480" w:firstLineChars="200"/>
        <w:outlineLvl w:val="0"/>
        <w:rPr>
          <w:rFonts w:hint="eastAsia" w:ascii="仿宋_GB2312" w:hAnsi="仿宋_GB2312" w:eastAsia="仿宋_GB2312" w:cs="仿宋_GB2312"/>
          <w:color w:val="000000" w:themeColor="text1"/>
          <w:highlight w:val="none"/>
          <w:lang w:val="en-US" w:eastAsia="zh-CN"/>
        </w:rPr>
      </w:pPr>
      <w:r>
        <w:rPr>
          <w:rFonts w:hint="eastAsia" w:ascii="仿宋_GB2312" w:hAnsi="仿宋_GB2312" w:eastAsia="仿宋_GB2312" w:cs="仿宋_GB2312"/>
          <w:color w:val="000000" w:themeColor="text1"/>
          <w:highlight w:val="none"/>
          <w:lang w:val="en-US" w:eastAsia="zh-CN"/>
        </w:rPr>
        <w:t>根据</w:t>
      </w:r>
      <w:r>
        <w:rPr>
          <w:rFonts w:hint="eastAsia" w:ascii="仿宋_GB2312" w:hAnsi="仿宋_GB2312" w:eastAsia="仿宋_GB2312" w:cs="仿宋_GB2312"/>
          <w:b/>
          <w:bCs/>
          <w:color w:val="000000" w:themeColor="text1"/>
          <w:highlight w:val="none"/>
          <w:lang w:val="en-US" w:eastAsia="zh-CN"/>
        </w:rPr>
        <w:t>第一部分《专用条款》本合同单价适用方式，双方做如下约定：</w:t>
      </w:r>
    </w:p>
    <w:p>
      <w:pPr>
        <w:pStyle w:val="41"/>
        <w:numPr>
          <w:ilvl w:val="0"/>
          <w:numId w:val="0"/>
        </w:numPr>
        <w:spacing w:before="120" w:beforeLines="50" w:after="120" w:afterLines="50" w:line="400" w:lineRule="atLeast"/>
        <w:ind w:firstLine="482" w:firstLineChars="200"/>
        <w:outlineLvl w:val="0"/>
        <w:rPr>
          <w:rFonts w:hint="eastAsia" w:ascii="仿宋_GB2312" w:hAnsi="仿宋_GB2312" w:eastAsia="仿宋_GB2312" w:cs="仿宋_GB2312"/>
          <w:color w:val="000000" w:themeColor="text1"/>
          <w:highlight w:val="none"/>
          <w:lang w:val="en-US" w:eastAsia="zh-CN"/>
        </w:rPr>
      </w:pPr>
      <w:r>
        <w:rPr>
          <w:rFonts w:hint="eastAsia" w:ascii="仿宋_GB2312" w:hAnsi="仿宋_GB2312" w:eastAsia="仿宋_GB2312" w:cs="仿宋_GB2312"/>
          <w:b/>
          <w:bCs/>
          <w:color w:val="000000" w:themeColor="text1"/>
          <w:highlight w:val="none"/>
          <w:lang w:val="en-US" w:eastAsia="zh-CN"/>
        </w:rPr>
        <w:t>2.1若本合同单价适用方式一：</w:t>
      </w:r>
      <w:r>
        <w:rPr>
          <w:rFonts w:hint="eastAsia" w:ascii="仿宋_GB2312" w:hAnsi="仿宋_GB2312" w:eastAsia="仿宋_GB2312" w:cs="仿宋_GB2312"/>
          <w:b/>
          <w:bCs/>
          <w:color w:val="000000" w:themeColor="text1"/>
          <w:highlight w:val="none"/>
          <w:lang w:eastAsia="zh-Hans"/>
        </w:rPr>
        <w:t>固定</w:t>
      </w:r>
      <w:r>
        <w:rPr>
          <w:rFonts w:hint="eastAsia" w:ascii="仿宋_GB2312" w:hAnsi="仿宋_GB2312" w:eastAsia="仿宋_GB2312" w:cs="仿宋_GB2312"/>
          <w:b/>
          <w:bCs/>
          <w:color w:val="000000" w:themeColor="text1"/>
          <w:highlight w:val="none"/>
        </w:rPr>
        <w:t>单价合同</w:t>
      </w:r>
      <w:r>
        <w:rPr>
          <w:rFonts w:hint="eastAsia" w:ascii="仿宋_GB2312" w:hAnsi="仿宋_GB2312" w:eastAsia="仿宋_GB2312" w:cs="仿宋_GB2312"/>
          <w:b/>
          <w:bCs/>
          <w:color w:val="000000" w:themeColor="text1"/>
          <w:highlight w:val="none"/>
          <w:lang w:val="en-US" w:eastAsia="zh-CN"/>
        </w:rPr>
        <w:t>和其它方式</w:t>
      </w:r>
      <w:r>
        <w:rPr>
          <w:rFonts w:hint="eastAsia" w:ascii="仿宋_GB2312" w:hAnsi="仿宋_GB2312" w:eastAsia="仿宋_GB2312" w:cs="仿宋_GB2312"/>
          <w:b/>
          <w:bCs/>
          <w:color w:val="000000" w:themeColor="text1"/>
          <w:highlight w:val="none"/>
          <w:lang w:eastAsia="zh-CN"/>
        </w:rPr>
        <w:t>，</w:t>
      </w:r>
      <w:r>
        <w:rPr>
          <w:rFonts w:hint="eastAsia" w:ascii="仿宋_GB2312" w:hAnsi="仿宋_GB2312" w:eastAsia="仿宋_GB2312" w:cs="仿宋_GB2312"/>
          <w:b/>
          <w:bCs/>
          <w:color w:val="000000" w:themeColor="text1"/>
          <w:highlight w:val="none"/>
          <w:lang w:val="en-US" w:eastAsia="zh-CN"/>
        </w:rPr>
        <w:t>则</w:t>
      </w:r>
      <w:r>
        <w:rPr>
          <w:rFonts w:hint="eastAsia" w:ascii="仿宋_GB2312" w:hAnsi="仿宋_GB2312" w:eastAsia="仿宋_GB2312" w:cs="仿宋_GB2312"/>
          <w:color w:val="000000" w:themeColor="text1"/>
          <w:highlight w:val="none"/>
          <w:lang w:val="en-US" w:eastAsia="zh-CN"/>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pPr>
        <w:pStyle w:val="41"/>
        <w:numPr>
          <w:ilvl w:val="0"/>
          <w:numId w:val="0"/>
        </w:numPr>
        <w:spacing w:line="400" w:lineRule="atLeast"/>
        <w:ind w:firstLine="482" w:firstLineChars="200"/>
        <w:jc w:val="both"/>
        <w:rPr>
          <w:rFonts w:hint="eastAsia" w:ascii="仿宋_GB2312" w:hAnsi="仿宋_GB2312" w:eastAsia="仿宋_GB2312" w:cs="仿宋_GB2312"/>
          <w:color w:val="000000" w:themeColor="text1"/>
          <w:highlight w:val="none"/>
          <w:lang w:val="en-US" w:eastAsia="zh-CN"/>
        </w:rPr>
      </w:pPr>
      <w:r>
        <w:rPr>
          <w:rFonts w:hint="eastAsia" w:ascii="仿宋_GB2312" w:hAnsi="仿宋_GB2312" w:eastAsia="仿宋_GB2312" w:cs="仿宋_GB2312"/>
          <w:b/>
          <w:bCs/>
          <w:color w:val="000000" w:themeColor="text1"/>
          <w:highlight w:val="none"/>
          <w:lang w:val="en-US" w:eastAsia="zh-CN"/>
        </w:rPr>
        <w:t>2.2若本合同单价适用方式二：组合单价合同，则</w:t>
      </w:r>
      <w:r>
        <w:rPr>
          <w:rFonts w:hint="eastAsia" w:ascii="仿宋_GB2312" w:hAnsi="仿宋_GB2312" w:eastAsia="仿宋_GB2312" w:cs="仿宋_GB2312"/>
          <w:color w:val="000000" w:themeColor="text1"/>
          <w:highlight w:val="none"/>
          <w:lang w:val="en-US" w:eastAsia="zh-CN"/>
        </w:rPr>
        <w:t>分供合同标的物数量不超过原合同数量的10%（含），由原分供商继续履行合同，正常办理结算；分供合同标的物数量超过原合同数量10%但不超过30%（含）提前与原分供商签订补充协议；分供合同标的物数量超过原合同数量30%，则应提前筹划，对原合同外的物资重新组织招标，签订新的分供合同。</w:t>
      </w:r>
    </w:p>
    <w:p>
      <w:pPr>
        <w:pStyle w:val="41"/>
        <w:numPr>
          <w:ilvl w:val="0"/>
          <w:numId w:val="0"/>
        </w:numPr>
        <w:spacing w:line="400" w:lineRule="atLeast"/>
        <w:ind w:firstLine="482" w:firstLineChars="200"/>
        <w:jc w:val="both"/>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lang w:val="en-US" w:eastAsia="zh-CN"/>
        </w:rPr>
        <w:t>3、</w:t>
      </w:r>
      <w:r>
        <w:rPr>
          <w:rFonts w:hint="eastAsia" w:ascii="仿宋_GB2312" w:hAnsi="仿宋_GB2312" w:eastAsia="仿宋_GB2312" w:cs="仿宋_GB2312"/>
          <w:color w:val="000000" w:themeColor="text1"/>
          <w:highlight w:val="none"/>
          <w:lang w:val="en-US" w:eastAsia="zh-CN"/>
        </w:rPr>
        <w:t>因工程建设单位、监理单位及相关部门出台的相关规定文件、市场准入制度造成合同不能执行，甲方不承担任何责任。</w:t>
      </w:r>
    </w:p>
    <w:p>
      <w:pPr>
        <w:pStyle w:val="4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rPr>
      </w:pPr>
      <w:bookmarkStart w:id="186" w:name="_Toc29083"/>
      <w:bookmarkStart w:id="187" w:name="_Toc23441"/>
      <w:bookmarkStart w:id="188" w:name="_Toc28560"/>
      <w:r>
        <w:rPr>
          <w:rFonts w:hint="eastAsia" w:ascii="仿宋_GB2312" w:hAnsi="仿宋_GB2312" w:eastAsia="仿宋_GB2312" w:cs="仿宋_GB2312"/>
          <w:b/>
          <w:bCs/>
          <w:color w:val="000000" w:themeColor="text1"/>
          <w:highlight w:val="none"/>
        </w:rPr>
        <w:t>合同解除</w:t>
      </w:r>
      <w:bookmarkEnd w:id="186"/>
      <w:bookmarkEnd w:id="187"/>
      <w:bookmarkEnd w:id="188"/>
    </w:p>
    <w:p>
      <w:pPr>
        <w:pStyle w:val="41"/>
        <w:numPr>
          <w:ilvl w:val="0"/>
          <w:numId w:val="11"/>
        </w:numPr>
        <w:spacing w:line="400" w:lineRule="atLeast"/>
        <w:ind w:firstLine="480" w:firstLineChars="200"/>
        <w:jc w:val="both"/>
        <w:rPr>
          <w:rFonts w:ascii="仿宋_GB2312" w:hAnsi="仿宋_GB2312" w:eastAsia="仿宋_GB2312" w:cs="仿宋_GB2312"/>
          <w:color w:val="000000" w:themeColor="text1"/>
          <w:highlight w:val="none"/>
        </w:rPr>
      </w:pPr>
      <w:bookmarkStart w:id="189" w:name="_Hlk126831282"/>
      <w:r>
        <w:rPr>
          <w:rFonts w:hint="eastAsia" w:ascii="仿宋_GB2312" w:hAnsi="仿宋_GB2312" w:eastAsia="仿宋_GB2312" w:cs="仿宋_GB2312"/>
          <w:color w:val="000000" w:themeColor="text1"/>
          <w:highlight w:val="none"/>
        </w:rPr>
        <w:t>因不可抗力致使不能实现合同目的等原因，经甲、乙双方协商一致同意可解除合同。</w:t>
      </w:r>
    </w:p>
    <w:p>
      <w:pPr>
        <w:pStyle w:val="41"/>
        <w:numPr>
          <w:ilvl w:val="0"/>
          <w:numId w:val="11"/>
        </w:numPr>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如甲方与业主签订的总承包合同解除或终止，或因业主变更导致甲方无需采购约定材料，则甲方以书面形式通知乙方终止本合同。</w:t>
      </w:r>
    </w:p>
    <w:p>
      <w:pPr>
        <w:pStyle w:val="41"/>
        <w:spacing w:line="400" w:lineRule="atLeast"/>
        <w:ind w:firstLine="482" w:firstLineChars="200"/>
        <w:jc w:val="both"/>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3、乙方具有下列事由之一的，甲方可以单方全部解除合同或部分解除合同或终止合同，乙方已收款项全部无条件返还：</w:t>
      </w:r>
    </w:p>
    <w:p>
      <w:pPr>
        <w:pStyle w:val="41"/>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3.1乙方所提供的产品无法通过相关部门（如质监、监理、设计方、甲方及当地相关政府部门等）验收合格；</w:t>
      </w:r>
    </w:p>
    <w:p>
      <w:pPr>
        <w:pStyle w:val="41"/>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3.2在产品使用后发生因产品质量问题造成人员、财产受到损害的；</w:t>
      </w:r>
    </w:p>
    <w:p>
      <w:pPr>
        <w:pStyle w:val="41"/>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3.3乙方将本合同项下权利义务全部或部分转让的；</w:t>
      </w:r>
    </w:p>
    <w:p>
      <w:pPr>
        <w:pStyle w:val="41"/>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3.4未按本合同约定时间交货累计延误达10日历天；</w:t>
      </w:r>
    </w:p>
    <w:p>
      <w:pPr>
        <w:pStyle w:val="41"/>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3.5因产品质量未达到本合同专用条款第四条技术标准及质量要求和国家、地方政府相关部门的相关规范和要求，在甲方要求时间内无法更换或补充至甲方要求；</w:t>
      </w:r>
    </w:p>
    <w:p>
      <w:pPr>
        <w:pStyle w:val="41"/>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3.6甲方发现产品不能满足本合同约定的质量标准时，或在本合同履行过程中，乙方未按甲方的要求及时进行整改的；</w:t>
      </w:r>
    </w:p>
    <w:p>
      <w:pPr>
        <w:pStyle w:val="41"/>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3.7在本合同履行过程中乙方漠视甲方、设计方指令的或未按甲方、设计方指令执行的；</w:t>
      </w:r>
    </w:p>
    <w:p>
      <w:pPr>
        <w:pStyle w:val="41"/>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3.9其他法律规定可解除合同的事由。</w:t>
      </w:r>
    </w:p>
    <w:p>
      <w:pPr>
        <w:pStyle w:val="41"/>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pPr>
        <w:pStyle w:val="41"/>
        <w:spacing w:line="400" w:lineRule="atLeast"/>
        <w:ind w:firstLine="482" w:firstLineChars="200"/>
        <w:jc w:val="both"/>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4、合同解除或终止后，乙方应当积极配合甲方及时办理合同结算及支付手续，否则甲方有权单方办理结算，视为乙方认可甲方审定的结算额</w:t>
      </w:r>
      <w:bookmarkEnd w:id="189"/>
      <w:r>
        <w:rPr>
          <w:rFonts w:hint="eastAsia" w:ascii="仿宋_GB2312" w:hAnsi="仿宋_GB2312" w:eastAsia="仿宋_GB2312" w:cs="仿宋_GB2312"/>
          <w:b/>
          <w:bCs/>
          <w:color w:val="000000" w:themeColor="text1"/>
          <w:highlight w:val="none"/>
        </w:rPr>
        <w:t>。</w:t>
      </w:r>
    </w:p>
    <w:p>
      <w:pPr>
        <w:pStyle w:val="4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rPr>
      </w:pPr>
      <w:bookmarkStart w:id="190" w:name="_Toc17777"/>
      <w:bookmarkStart w:id="191" w:name="_Toc16580"/>
      <w:bookmarkStart w:id="192" w:name="_Toc24603"/>
      <w:r>
        <w:rPr>
          <w:rFonts w:hint="eastAsia" w:ascii="仿宋_GB2312" w:hAnsi="仿宋_GB2312" w:eastAsia="仿宋_GB2312" w:cs="仿宋_GB2312"/>
          <w:b/>
          <w:bCs/>
          <w:color w:val="000000" w:themeColor="text1"/>
          <w:highlight w:val="none"/>
        </w:rPr>
        <w:t>不可抗力</w:t>
      </w:r>
      <w:bookmarkEnd w:id="190"/>
      <w:bookmarkEnd w:id="191"/>
      <w:bookmarkEnd w:id="192"/>
    </w:p>
    <w:p>
      <w:pPr>
        <w:pStyle w:val="41"/>
        <w:numPr>
          <w:ilvl w:val="0"/>
          <w:numId w:val="12"/>
        </w:numPr>
        <w:spacing w:line="400" w:lineRule="atLeast"/>
        <w:ind w:firstLine="482" w:firstLineChars="200"/>
        <w:jc w:val="both"/>
        <w:rPr>
          <w:rFonts w:ascii="仿宋_GB2312" w:hAnsi="仿宋_GB2312" w:eastAsia="仿宋_GB2312" w:cs="仿宋_GB2312"/>
          <w:b/>
          <w:bCs/>
          <w:color w:val="000000" w:themeColor="text1"/>
          <w:highlight w:val="none"/>
        </w:rPr>
      </w:pPr>
      <w:bookmarkStart w:id="193" w:name="_Toc9310"/>
      <w:bookmarkStart w:id="194" w:name="_Toc18501"/>
      <w:bookmarkStart w:id="195" w:name="_Toc10852"/>
      <w:r>
        <w:rPr>
          <w:rFonts w:hint="eastAsia" w:ascii="仿宋_GB2312" w:hAnsi="仿宋_GB2312" w:eastAsia="仿宋_GB2312" w:cs="仿宋_GB2312"/>
          <w:b/>
          <w:bCs/>
          <w:color w:val="000000" w:themeColor="text1"/>
          <w:highlight w:val="none"/>
        </w:rPr>
        <w:t>不可抗力的确认</w:t>
      </w:r>
    </w:p>
    <w:p>
      <w:pPr>
        <w:pStyle w:val="41"/>
        <w:numPr>
          <w:ilvl w:val="255"/>
          <w:numId w:val="0"/>
        </w:numPr>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pPr>
        <w:pStyle w:val="41"/>
        <w:numPr>
          <w:ilvl w:val="0"/>
          <w:numId w:val="12"/>
        </w:numPr>
        <w:spacing w:line="400" w:lineRule="atLeast"/>
        <w:ind w:firstLine="482" w:firstLineChars="200"/>
        <w:jc w:val="both"/>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不可抗力的通知</w:t>
      </w:r>
    </w:p>
    <w:p>
      <w:pPr>
        <w:pStyle w:val="41"/>
        <w:numPr>
          <w:ilvl w:val="255"/>
          <w:numId w:val="0"/>
        </w:numPr>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2.1 不可抗力事件发生后，乙方应立即通知甲方，并在力所能及的条件下迅速采取措施，尽力减少损失，甲方应协助乙方采取措施。若因乙方未能尽力挽救，导致损失扩大的，由乙方承担全部责任。</w:t>
      </w:r>
    </w:p>
    <w:p>
      <w:pPr>
        <w:pStyle w:val="41"/>
        <w:numPr>
          <w:ilvl w:val="255"/>
          <w:numId w:val="0"/>
        </w:numPr>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2.2 不可抗力事件结束后14天内，乙方应向甲方提交清理和修复费用的正式报告及有关资料。</w:t>
      </w:r>
    </w:p>
    <w:p>
      <w:pPr>
        <w:pStyle w:val="41"/>
        <w:numPr>
          <w:ilvl w:val="0"/>
          <w:numId w:val="12"/>
        </w:numPr>
        <w:spacing w:line="400" w:lineRule="atLeast"/>
        <w:ind w:firstLine="482" w:firstLineChars="200"/>
        <w:jc w:val="both"/>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不可抗力风险的承担</w:t>
      </w:r>
    </w:p>
    <w:p>
      <w:pPr>
        <w:pStyle w:val="41"/>
        <w:numPr>
          <w:ilvl w:val="255"/>
          <w:numId w:val="0"/>
        </w:numPr>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3.1 不可抗力导致的人员伤亡、财产损失、费用增加和（或）作业期限延误等后果，由合同当事人按以下原则承担：</w:t>
      </w:r>
    </w:p>
    <w:p>
      <w:pPr>
        <w:pStyle w:val="41"/>
        <w:numPr>
          <w:ilvl w:val="255"/>
          <w:numId w:val="0"/>
        </w:numPr>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（1）乙方施工设备的损坏由乙方承担；</w:t>
      </w:r>
    </w:p>
    <w:p>
      <w:pPr>
        <w:pStyle w:val="41"/>
        <w:numPr>
          <w:ilvl w:val="255"/>
          <w:numId w:val="0"/>
        </w:numPr>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（2）甲方和乙方承担各自人员伤亡和财产的损失；</w:t>
      </w:r>
    </w:p>
    <w:p>
      <w:pPr>
        <w:pStyle w:val="41"/>
        <w:numPr>
          <w:ilvl w:val="255"/>
          <w:numId w:val="0"/>
        </w:numPr>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（3）因不可抗力影响乙方履行合同约定的义务，已经引起或将引起工期延误的，应当顺延工期，由此导致乙方停工的费用损失由乙方承担；</w:t>
      </w:r>
    </w:p>
    <w:p>
      <w:pPr>
        <w:pStyle w:val="41"/>
        <w:numPr>
          <w:ilvl w:val="255"/>
          <w:numId w:val="0"/>
        </w:numPr>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（4）因不可抗力引起或将引起工期延误，甲方要求赶工的，由此增加的赶工费用由甲方承担；</w:t>
      </w:r>
    </w:p>
    <w:p>
      <w:pPr>
        <w:pStyle w:val="41"/>
        <w:numPr>
          <w:ilvl w:val="255"/>
          <w:numId w:val="0"/>
        </w:numPr>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（5）乙方在停工期间按照甲方要求照管和清理工程的费用由甲方承担。</w:t>
      </w:r>
    </w:p>
    <w:p>
      <w:pPr>
        <w:pStyle w:val="41"/>
        <w:numPr>
          <w:ilvl w:val="255"/>
          <w:numId w:val="0"/>
        </w:numPr>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不可抗力发生后，合同当事人均应采取措施尽量避免和减少损失的扩大，任何一方当事人没有采取有效措施导致损失扩大的，应对扩大的损失承担责任。</w:t>
      </w:r>
    </w:p>
    <w:p>
      <w:pPr>
        <w:pStyle w:val="41"/>
        <w:numPr>
          <w:ilvl w:val="255"/>
          <w:numId w:val="0"/>
        </w:numPr>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3.2 因合同一方迟延履行合同义务，在迟延履行期间遭遇不可抗力的，不免除其违约责任。</w:t>
      </w:r>
    </w:p>
    <w:p>
      <w:pPr>
        <w:pStyle w:val="41"/>
        <w:numPr>
          <w:ilvl w:val="0"/>
          <w:numId w:val="12"/>
        </w:numPr>
        <w:spacing w:line="400" w:lineRule="atLeast"/>
        <w:ind w:firstLine="482" w:firstLineChars="200"/>
        <w:jc w:val="both"/>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因不可抗力解除合同</w:t>
      </w:r>
    </w:p>
    <w:p>
      <w:pPr>
        <w:pStyle w:val="41"/>
        <w:numPr>
          <w:ilvl w:val="255"/>
          <w:numId w:val="0"/>
        </w:numPr>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因不可抗力导致本合同无法履行连续超过84天或累计超过140天的，甲方和乙方均有权解除本合同。本合同解除后，甲方有权暂停对乙方的付款，直到双方就退场达成一致。</w:t>
      </w:r>
    </w:p>
    <w:p>
      <w:pPr>
        <w:pStyle w:val="4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争议解决</w:t>
      </w:r>
      <w:bookmarkEnd w:id="193"/>
      <w:bookmarkEnd w:id="194"/>
      <w:bookmarkEnd w:id="195"/>
    </w:p>
    <w:p>
      <w:pPr>
        <w:pStyle w:val="41"/>
        <w:spacing w:line="400" w:lineRule="atLeast"/>
        <w:ind w:firstLine="482"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1、争议和解：</w:t>
      </w:r>
      <w:r>
        <w:rPr>
          <w:rFonts w:hint="eastAsia" w:ascii="仿宋_GB2312" w:hAnsi="仿宋_GB2312" w:eastAsia="仿宋_GB2312" w:cs="仿宋_GB2312"/>
          <w:color w:val="000000" w:themeColor="text1"/>
          <w:highlight w:val="none"/>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在对方收到上述通知之日起</w:t>
      </w:r>
      <w:r>
        <w:rPr>
          <w:rFonts w:hint="eastAsia" w:ascii="仿宋_GB2312" w:hAnsi="仿宋_GB2312" w:eastAsia="仿宋_GB2312" w:cs="仿宋_GB2312"/>
          <w:color w:val="000000" w:themeColor="text1"/>
          <w:highlight w:val="none"/>
          <w:u w:val="single"/>
        </w:rPr>
        <w:t>3个月</w:t>
      </w:r>
      <w:r>
        <w:rPr>
          <w:rFonts w:hint="eastAsia" w:ascii="仿宋_GB2312" w:hAnsi="仿宋_GB2312" w:eastAsia="仿宋_GB2312" w:cs="仿宋_GB2312"/>
          <w:color w:val="000000" w:themeColor="text1"/>
          <w:highlight w:val="none"/>
        </w:rPr>
        <w:t>为双方和解期限。在和解期限内，若双方达成和解协议的，双方的权利义务按照和解协议履行；若未达成和解协议的，任何一方可采取本条第2款约定的争议解决方式。</w:t>
      </w:r>
    </w:p>
    <w:p>
      <w:pPr>
        <w:spacing w:line="400" w:lineRule="exact"/>
        <w:ind w:firstLine="482" w:firstLineChars="200"/>
        <w:jc w:val="left"/>
        <w:rPr>
          <w:rFonts w:hint="default" w:ascii="仿宋_GB2312" w:hAnsi="仿宋_GB2312" w:eastAsia="仿宋_GB2312" w:cs="仿宋_GB2312"/>
          <w:color w:val="000000" w:themeColor="text1"/>
          <w:kern w:val="0"/>
          <w:sz w:val="24"/>
          <w:szCs w:val="24"/>
          <w:highlight w:val="none"/>
          <w:lang w:val="en-US" w:eastAsia="zh-CN" w:bidi="ar-SA"/>
        </w:rPr>
      </w:pPr>
      <w:bookmarkStart w:id="196" w:name="_Hlk126830485"/>
      <w:bookmarkStart w:id="197" w:name="_Hlk126770481"/>
      <w:bookmarkStart w:id="198" w:name="_Toc11207"/>
      <w:bookmarkStart w:id="199" w:name="_Toc31739"/>
      <w:bookmarkStart w:id="200" w:name="_Toc18393"/>
      <w:r>
        <w:rPr>
          <w:rFonts w:hint="eastAsia" w:ascii="仿宋_GB2312" w:hAnsi="仿宋_GB2312" w:eastAsia="仿宋_GB2312" w:cs="仿宋_GB2312"/>
          <w:b/>
          <w:bCs/>
          <w:color w:val="000000" w:themeColor="text1"/>
          <w:highlight w:val="none"/>
        </w:rPr>
        <w:t>2、</w:t>
      </w:r>
      <w:bookmarkStart w:id="201" w:name="_Hlk127194929"/>
      <w:r>
        <w:rPr>
          <w:rFonts w:hint="eastAsia" w:ascii="仿宋_GB2312" w:hAnsi="仿宋_GB2312" w:eastAsia="仿宋_GB2312" w:cs="仿宋_GB2312"/>
          <w:b/>
          <w:bCs/>
          <w:color w:val="000000" w:themeColor="text1"/>
          <w:kern w:val="0"/>
          <w:sz w:val="24"/>
          <w:szCs w:val="24"/>
          <w:highlight w:val="none"/>
          <w:lang w:val="en-US" w:eastAsia="zh-CN" w:bidi="ar-SA"/>
        </w:rPr>
        <w:t>争议仲裁或诉讼：</w:t>
      </w:r>
      <w:r>
        <w:rPr>
          <w:rFonts w:hint="eastAsia" w:ascii="仿宋_GB2312" w:hAnsi="仿宋_GB2312" w:eastAsia="仿宋_GB2312" w:cs="仿宋_GB2312"/>
          <w:color w:val="000000" w:themeColor="text1"/>
          <w:kern w:val="0"/>
          <w:sz w:val="24"/>
          <w:szCs w:val="24"/>
          <w:highlight w:val="none"/>
          <w:lang w:val="en-US" w:eastAsia="zh-CN" w:bidi="ar-SA"/>
        </w:rPr>
        <w:t>因本合同引起或与之相关任何争议、纠纷或权利主张，和解不成且已超过和解期的,按以下第 2.1.3种方式解决。</w:t>
      </w:r>
    </w:p>
    <w:p>
      <w:pPr>
        <w:pStyle w:val="41"/>
        <w:spacing w:line="400" w:lineRule="atLeast"/>
        <w:ind w:firstLine="480" w:firstLineChars="200"/>
        <w:rPr>
          <w:rFonts w:hint="eastAsia" w:ascii="仿宋_GB2312" w:hAnsi="仿宋_GB2312" w:eastAsia="仿宋_GB2312" w:cs="仿宋_GB2312"/>
          <w:color w:val="000000" w:themeColor="text1"/>
          <w:highlight w:val="none"/>
          <w:lang w:val="en-US" w:eastAsia="zh-CN"/>
        </w:rPr>
      </w:pPr>
      <w:r>
        <w:rPr>
          <w:rFonts w:hint="eastAsia" w:ascii="仿宋_GB2312" w:hAnsi="仿宋_GB2312" w:eastAsia="仿宋_GB2312" w:cs="仿宋_GB2312"/>
          <w:color w:val="000000" w:themeColor="text1"/>
          <w:highlight w:val="none"/>
          <w:lang w:val="en-US" w:eastAsia="zh-CN"/>
        </w:rPr>
        <w:t>2.1.1双方约定向甲方住所地有管辖权的人民法院提起诉讼。</w:t>
      </w:r>
    </w:p>
    <w:p>
      <w:pPr>
        <w:pStyle w:val="41"/>
        <w:spacing w:line="400" w:lineRule="atLeast"/>
        <w:ind w:firstLine="480" w:firstLineChars="200"/>
        <w:rPr>
          <w:rFonts w:hint="eastAsia" w:ascii="仿宋_GB2312" w:hAnsi="仿宋_GB2312" w:eastAsia="仿宋_GB2312" w:cs="仿宋_GB2312"/>
          <w:color w:val="000000" w:themeColor="text1"/>
          <w:highlight w:val="none"/>
          <w:lang w:val="en-US" w:eastAsia="zh-CN"/>
        </w:rPr>
      </w:pPr>
      <w:r>
        <w:rPr>
          <w:rFonts w:hint="eastAsia" w:ascii="仿宋_GB2312" w:hAnsi="仿宋_GB2312" w:eastAsia="仿宋_GB2312" w:cs="仿宋_GB2312"/>
          <w:color w:val="000000" w:themeColor="text1"/>
          <w:highlight w:val="none"/>
          <w:lang w:val="en-US" w:eastAsia="zh-CN"/>
        </w:rPr>
        <w:t>2.1.2双方约定向合同签订地人民法院提起诉讼。</w:t>
      </w:r>
    </w:p>
    <w:p>
      <w:pPr>
        <w:pStyle w:val="41"/>
        <w:spacing w:line="400" w:lineRule="atLeast"/>
        <w:ind w:firstLine="480" w:firstLineChars="200"/>
        <w:rPr>
          <w:rFonts w:hint="eastAsia" w:ascii="仿宋_GB2312" w:hAnsi="仿宋_GB2312" w:eastAsia="仿宋_GB2312" w:cs="仿宋_GB2312"/>
          <w:color w:val="000000" w:themeColor="text1"/>
          <w:highlight w:val="none"/>
          <w:lang w:val="en-US" w:eastAsia="zh-CN"/>
        </w:rPr>
      </w:pPr>
      <w:r>
        <w:rPr>
          <w:rFonts w:hint="eastAsia" w:ascii="仿宋_GB2312" w:hAnsi="仿宋_GB2312" w:eastAsia="仿宋_GB2312" w:cs="仿宋_GB2312"/>
          <w:color w:val="000000" w:themeColor="text1"/>
          <w:highlight w:val="none"/>
          <w:lang w:val="en-US" w:eastAsia="zh-CN"/>
        </w:rPr>
        <w:t>2.1.3提交河北省石家庄市仲裁委员会裁决。</w:t>
      </w:r>
    </w:p>
    <w:p>
      <w:pPr>
        <w:pStyle w:val="41"/>
        <w:spacing w:line="400" w:lineRule="atLeast"/>
        <w:ind w:firstLine="482" w:firstLineChars="200"/>
        <w:jc w:val="both"/>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2.</w:t>
      </w:r>
      <w:r>
        <w:rPr>
          <w:rFonts w:hint="eastAsia" w:ascii="仿宋_GB2312" w:hAnsi="仿宋_GB2312" w:eastAsia="仿宋_GB2312" w:cs="仿宋_GB2312"/>
          <w:b/>
          <w:bCs/>
          <w:color w:val="000000" w:themeColor="text1"/>
          <w:highlight w:val="none"/>
          <w:lang w:val="en-US" w:eastAsia="zh-CN"/>
        </w:rPr>
        <w:t>2</w:t>
      </w:r>
      <w:r>
        <w:rPr>
          <w:rFonts w:hint="eastAsia" w:ascii="仿宋_GB2312" w:hAnsi="仿宋_GB2312" w:eastAsia="仿宋_GB2312" w:cs="仿宋_GB2312"/>
          <w:b/>
          <w:bCs/>
          <w:color w:val="000000" w:themeColor="text1"/>
          <w:highlight w:val="none"/>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196"/>
      <w:bookmarkEnd w:id="201"/>
      <w:r>
        <w:rPr>
          <w:rFonts w:hint="eastAsia" w:ascii="仿宋_GB2312" w:hAnsi="仿宋_GB2312" w:eastAsia="仿宋_GB2312" w:cs="仿宋_GB2312"/>
          <w:b/>
          <w:bCs/>
          <w:color w:val="000000" w:themeColor="text1"/>
          <w:highlight w:val="none"/>
        </w:rPr>
        <w:t>。</w:t>
      </w:r>
      <w:bookmarkEnd w:id="197"/>
    </w:p>
    <w:p>
      <w:pPr>
        <w:pStyle w:val="41"/>
        <w:spacing w:line="400" w:lineRule="atLeast"/>
        <w:ind w:firstLine="482" w:firstLineChars="200"/>
        <w:jc w:val="both"/>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2.</w:t>
      </w:r>
      <w:r>
        <w:rPr>
          <w:rFonts w:hint="eastAsia" w:ascii="仿宋_GB2312" w:hAnsi="仿宋_GB2312" w:eastAsia="仿宋_GB2312" w:cs="仿宋_GB2312"/>
          <w:b/>
          <w:bCs/>
          <w:color w:val="000000" w:themeColor="text1"/>
          <w:highlight w:val="none"/>
          <w:lang w:val="en-US" w:eastAsia="zh-CN"/>
        </w:rPr>
        <w:t>3</w:t>
      </w:r>
      <w:r>
        <w:rPr>
          <w:rFonts w:hint="eastAsia" w:ascii="仿宋_GB2312" w:hAnsi="仿宋_GB2312" w:eastAsia="仿宋_GB2312" w:cs="仿宋_GB2312"/>
          <w:b/>
          <w:bCs/>
          <w:color w:val="000000" w:themeColor="text1"/>
          <w:highlight w:val="none"/>
        </w:rPr>
        <w:t>因仲裁</w:t>
      </w:r>
      <w:r>
        <w:rPr>
          <w:rFonts w:hint="eastAsia" w:ascii="仿宋_GB2312" w:hAnsi="仿宋_GB2312" w:eastAsia="仿宋_GB2312" w:cs="仿宋_GB2312"/>
          <w:b/>
          <w:bCs/>
          <w:color w:val="000000" w:themeColor="text1"/>
          <w:highlight w:val="none"/>
          <w:lang w:val="en-US" w:eastAsia="zh-CN"/>
        </w:rPr>
        <w:t>或诉讼</w:t>
      </w:r>
      <w:r>
        <w:rPr>
          <w:rFonts w:hint="eastAsia" w:ascii="仿宋_GB2312" w:hAnsi="仿宋_GB2312" w:eastAsia="仿宋_GB2312" w:cs="仿宋_GB2312"/>
          <w:b/>
          <w:bCs/>
          <w:color w:val="000000" w:themeColor="text1"/>
          <w:highlight w:val="none"/>
        </w:rPr>
        <w:t>产生的各项</w:t>
      </w:r>
      <w:r>
        <w:rPr>
          <w:rFonts w:hint="eastAsia" w:ascii="仿宋_GB2312" w:hAnsi="仿宋_GB2312" w:eastAsia="仿宋_GB2312" w:cs="仿宋_GB2312"/>
          <w:b/>
          <w:bCs/>
          <w:color w:val="000000" w:themeColor="text1"/>
          <w:highlight w:val="none"/>
          <w:lang w:val="en-US" w:eastAsia="zh-CN"/>
        </w:rPr>
        <w:t>合理</w:t>
      </w:r>
      <w:r>
        <w:rPr>
          <w:rFonts w:hint="eastAsia" w:ascii="仿宋_GB2312" w:hAnsi="仿宋_GB2312" w:eastAsia="仿宋_GB2312" w:cs="仿宋_GB2312"/>
          <w:b/>
          <w:bCs/>
          <w:color w:val="000000" w:themeColor="text1"/>
          <w:highlight w:val="none"/>
        </w:rPr>
        <w:t>费用由双方自行承担，包括但不限于</w:t>
      </w:r>
      <w:r>
        <w:rPr>
          <w:rFonts w:hint="eastAsia" w:ascii="仿宋_GB2312" w:hAnsi="仿宋_GB2312" w:eastAsia="仿宋_GB2312" w:cs="仿宋_GB2312"/>
          <w:b/>
          <w:bCs/>
          <w:color w:val="000000" w:themeColor="text1"/>
          <w:highlight w:val="none"/>
          <w:lang w:val="en-US" w:eastAsia="zh-CN"/>
        </w:rPr>
        <w:t>案件受理费、</w:t>
      </w:r>
      <w:r>
        <w:rPr>
          <w:rFonts w:hint="eastAsia" w:ascii="仿宋_GB2312" w:hAnsi="仿宋_GB2312" w:eastAsia="仿宋_GB2312" w:cs="仿宋_GB2312"/>
          <w:b/>
          <w:bCs/>
          <w:color w:val="000000" w:themeColor="text1"/>
          <w:highlight w:val="none"/>
        </w:rPr>
        <w:t>律师费、仲裁费、保全费、保全保险费、差旅费、公证费及鉴定费等因仲裁</w:t>
      </w:r>
      <w:r>
        <w:rPr>
          <w:rFonts w:hint="eastAsia" w:ascii="仿宋_GB2312" w:hAnsi="仿宋_GB2312" w:eastAsia="仿宋_GB2312" w:cs="仿宋_GB2312"/>
          <w:b/>
          <w:bCs/>
          <w:color w:val="000000" w:themeColor="text1"/>
          <w:highlight w:val="none"/>
          <w:lang w:val="en-US" w:eastAsia="zh-CN"/>
        </w:rPr>
        <w:t>或诉讼</w:t>
      </w:r>
      <w:r>
        <w:rPr>
          <w:rFonts w:hint="eastAsia" w:ascii="仿宋_GB2312" w:hAnsi="仿宋_GB2312" w:eastAsia="仿宋_GB2312" w:cs="仿宋_GB2312"/>
          <w:b/>
          <w:bCs/>
          <w:color w:val="000000" w:themeColor="text1"/>
          <w:highlight w:val="none"/>
        </w:rPr>
        <w:t>引发的费用。</w:t>
      </w:r>
    </w:p>
    <w:p>
      <w:pPr>
        <w:pStyle w:val="4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保密义务</w:t>
      </w:r>
      <w:bookmarkEnd w:id="198"/>
      <w:bookmarkEnd w:id="199"/>
      <w:bookmarkEnd w:id="200"/>
    </w:p>
    <w:p>
      <w:pPr>
        <w:pStyle w:val="41"/>
        <w:spacing w:line="400" w:lineRule="atLeast"/>
        <w:ind w:firstLine="480" w:firstLineChars="200"/>
        <w:rPr>
          <w:rFonts w:ascii="仿宋_GB2312" w:hAnsi="仿宋_GB2312" w:eastAsia="仿宋_GB2312" w:cs="仿宋_GB2312"/>
          <w:color w:val="000000" w:themeColor="text1"/>
          <w:highlight w:val="none"/>
        </w:rPr>
      </w:pPr>
      <w:bookmarkStart w:id="202" w:name="_Toc12970"/>
      <w:r>
        <w:rPr>
          <w:rFonts w:hint="eastAsia" w:ascii="仿宋_GB2312" w:hAnsi="仿宋_GB2312" w:eastAsia="仿宋_GB2312" w:cs="仿宋_GB2312"/>
          <w:color w:val="000000" w:themeColor="text1"/>
          <w:highlight w:val="none"/>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2、除合同另有约定以外，本合同列明的所有资料始终为甲方财产，若甲方要求，乙方应于其合同义务履行完毕以后退还甲方相应资料（包括所有副本）。</w:t>
      </w:r>
    </w:p>
    <w:p>
      <w:pPr>
        <w:pStyle w:val="4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rPr>
      </w:pPr>
      <w:bookmarkStart w:id="203" w:name="_Toc14038"/>
      <w:bookmarkStart w:id="204" w:name="_Toc3848"/>
      <w:r>
        <w:rPr>
          <w:rFonts w:hint="eastAsia" w:ascii="仿宋_GB2312" w:hAnsi="仿宋_GB2312" w:eastAsia="仿宋_GB2312" w:cs="仿宋_GB2312"/>
          <w:b/>
          <w:bCs/>
          <w:color w:val="000000" w:themeColor="text1"/>
          <w:highlight w:val="none"/>
        </w:rPr>
        <w:t>其他条款</w:t>
      </w:r>
      <w:bookmarkEnd w:id="202"/>
      <w:bookmarkEnd w:id="203"/>
      <w:bookmarkEnd w:id="204"/>
    </w:p>
    <w:p>
      <w:pPr>
        <w:pStyle w:val="41"/>
        <w:numPr>
          <w:ilvl w:val="0"/>
          <w:numId w:val="13"/>
        </w:numPr>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本合同与甲方招标文件、乙方投标文件有相抵触之处，均以本合同条款为准。</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2、本合同附件是本合同有效组成部分，与本合同具有同等效力。</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3、本合同未尽事宜，按《中华人民共和国民法典》有关规定执行。</w:t>
      </w:r>
    </w:p>
    <w:p>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4、其他约定</w:t>
      </w:r>
      <w:r>
        <w:rPr>
          <w:rFonts w:hint="eastAsia" w:ascii="仿宋_GB2312" w:hAnsi="仿宋_GB2312" w:eastAsia="仿宋_GB2312" w:cs="仿宋_GB2312"/>
          <w:color w:val="000000" w:themeColor="text1"/>
          <w:highlight w:val="none"/>
          <w:u w:val="single"/>
        </w:rPr>
        <w:t xml:space="preserve">  /  </w:t>
      </w:r>
      <w:r>
        <w:rPr>
          <w:rFonts w:hint="eastAsia" w:ascii="仿宋_GB2312" w:hAnsi="仿宋_GB2312" w:eastAsia="仿宋_GB2312" w:cs="仿宋_GB2312"/>
          <w:color w:val="000000" w:themeColor="text1"/>
          <w:highlight w:val="none"/>
        </w:rPr>
        <w:t>。</w:t>
      </w:r>
    </w:p>
    <w:p>
      <w:pPr>
        <w:pStyle w:val="41"/>
        <w:spacing w:line="400" w:lineRule="atLeast"/>
        <w:ind w:firstLine="480" w:firstLineChars="200"/>
        <w:jc w:val="both"/>
        <w:rPr>
          <w:rFonts w:ascii="仿宋_GB2312" w:hAnsi="仿宋_GB2312" w:eastAsia="仿宋_GB2312" w:cs="仿宋_GB2312"/>
          <w:color w:val="000000" w:themeColor="text1"/>
          <w:highlight w:val="none"/>
        </w:rPr>
      </w:pPr>
      <w:bookmarkStart w:id="205" w:name="_Toc20230"/>
      <w:r>
        <w:rPr>
          <w:rFonts w:hint="eastAsia" w:ascii="仿宋_GB2312" w:hAnsi="仿宋_GB2312" w:eastAsia="仿宋_GB2312" w:cs="仿宋_GB2312"/>
          <w:color w:val="000000" w:themeColor="text1"/>
          <w:highlight w:val="none"/>
        </w:rPr>
        <w:t>以下无正文</w:t>
      </w:r>
      <w:bookmarkEnd w:id="205"/>
    </w:p>
    <w:p>
      <w:pPr>
        <w:rPr>
          <w:rFonts w:ascii="仿宋_GB2312" w:hAnsi="仿宋_GB2312" w:eastAsia="仿宋_GB2312" w:cs="仿宋_GB2312"/>
          <w:color w:val="000000" w:themeColor="text1"/>
          <w:sz w:val="24"/>
          <w:highlight w:val="none"/>
        </w:rPr>
      </w:pPr>
    </w:p>
    <w:p>
      <w:pPr>
        <w:rPr>
          <w:rFonts w:ascii="仿宋_GB2312" w:hAnsi="仿宋_GB2312" w:eastAsia="仿宋_GB2312" w:cs="仿宋_GB2312"/>
          <w:color w:val="000000" w:themeColor="text1"/>
          <w:sz w:val="24"/>
          <w:highlight w:val="none"/>
        </w:rPr>
      </w:pPr>
    </w:p>
    <w:p>
      <w:pPr>
        <w:pStyle w:val="41"/>
        <w:spacing w:line="400" w:lineRule="atLeast"/>
        <w:ind w:firstLine="1200" w:firstLineChars="500"/>
        <w:jc w:val="both"/>
        <w:rPr>
          <w:rFonts w:hint="default" w:ascii="仿宋_GB2312" w:hAnsi="仿宋_GB2312" w:eastAsia="仿宋_GB2312" w:cs="仿宋_GB2312"/>
          <w:color w:val="000000" w:themeColor="text1"/>
          <w:highlight w:val="none"/>
          <w:lang w:val="en-US" w:eastAsia="zh-CN"/>
        </w:rPr>
      </w:pPr>
      <w:r>
        <w:rPr>
          <w:rFonts w:hint="eastAsia" w:ascii="仿宋_GB2312" w:hAnsi="仿宋_GB2312" w:eastAsia="仿宋_GB2312" w:cs="仿宋_GB2312"/>
          <w:color w:val="000000" w:themeColor="text1"/>
          <w:highlight w:val="none"/>
          <w:lang w:val="en-US" w:eastAsia="zh-CN"/>
        </w:rPr>
        <w:t xml:space="preserve"> 甲  方：                               乙  方：</w:t>
      </w:r>
    </w:p>
    <w:p>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rPr>
        <w:t>法定代表人：                           法定代表人：</w:t>
      </w:r>
    </w:p>
    <w:p>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rPr>
        <w:t xml:space="preserve">    </w:t>
      </w:r>
      <w:r>
        <w:rPr>
          <w:rFonts w:hint="eastAsia" w:ascii="仿宋_GB2312" w:hAnsi="仿宋_GB2312" w:eastAsia="仿宋_GB2312" w:cs="仿宋_GB2312"/>
          <w:color w:val="000000" w:themeColor="text1"/>
          <w:kern w:val="0"/>
          <w:sz w:val="24"/>
          <w:szCs w:val="24"/>
          <w:highlight w:val="none"/>
          <w:lang w:val="en-US" w:eastAsia="zh-CN"/>
        </w:rPr>
        <w:t xml:space="preserve">    </w:t>
      </w:r>
      <w:r>
        <w:rPr>
          <w:rFonts w:hint="eastAsia" w:ascii="仿宋_GB2312" w:hAnsi="仿宋_GB2312" w:eastAsia="仿宋_GB2312" w:cs="仿宋_GB2312"/>
          <w:color w:val="000000" w:themeColor="text1"/>
          <w:kern w:val="0"/>
          <w:sz w:val="24"/>
          <w:szCs w:val="24"/>
          <w:highlight w:val="none"/>
        </w:rPr>
        <w:t xml:space="preserve">或                                   </w:t>
      </w:r>
      <w:r>
        <w:rPr>
          <w:rFonts w:hint="eastAsia" w:ascii="仿宋_GB2312" w:hAnsi="仿宋_GB2312" w:eastAsia="仿宋_GB2312" w:cs="仿宋_GB2312"/>
          <w:color w:val="000000" w:themeColor="text1"/>
          <w:kern w:val="0"/>
          <w:sz w:val="24"/>
          <w:szCs w:val="24"/>
          <w:highlight w:val="none"/>
          <w:lang w:val="en-US" w:eastAsia="zh-CN"/>
        </w:rPr>
        <w:t xml:space="preserve"> </w:t>
      </w:r>
      <w:r>
        <w:rPr>
          <w:rFonts w:hint="eastAsia" w:ascii="仿宋_GB2312" w:hAnsi="仿宋_GB2312" w:eastAsia="仿宋_GB2312" w:cs="仿宋_GB2312"/>
          <w:color w:val="000000" w:themeColor="text1"/>
          <w:kern w:val="0"/>
          <w:sz w:val="24"/>
          <w:szCs w:val="24"/>
          <w:highlight w:val="none"/>
        </w:rPr>
        <w:t xml:space="preserve"> 或</w:t>
      </w:r>
    </w:p>
    <w:p>
      <w:pPr>
        <w:autoSpaceDE w:val="0"/>
        <w:autoSpaceDN w:val="0"/>
        <w:adjustRightInd w:val="0"/>
        <w:spacing w:line="400" w:lineRule="atLeast"/>
        <w:ind w:firstLine="1200" w:firstLineChars="500"/>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lang w:val="en-US" w:eastAsia="zh-CN"/>
        </w:rPr>
        <w:t>被委托</w:t>
      </w:r>
      <w:r>
        <w:rPr>
          <w:rFonts w:hint="eastAsia" w:ascii="仿宋_GB2312" w:hAnsi="仿宋_GB2312" w:eastAsia="仿宋_GB2312" w:cs="仿宋_GB2312"/>
          <w:color w:val="000000" w:themeColor="text1"/>
          <w:kern w:val="0"/>
          <w:sz w:val="24"/>
          <w:szCs w:val="24"/>
          <w:highlight w:val="none"/>
        </w:rPr>
        <w:t xml:space="preserve">人：                         </w:t>
      </w:r>
      <w:r>
        <w:rPr>
          <w:rFonts w:hint="eastAsia" w:ascii="仿宋_GB2312" w:hAnsi="仿宋_GB2312" w:eastAsia="仿宋_GB2312" w:cs="仿宋_GB2312"/>
          <w:color w:val="000000" w:themeColor="text1"/>
          <w:kern w:val="0"/>
          <w:sz w:val="24"/>
          <w:szCs w:val="24"/>
          <w:highlight w:val="none"/>
          <w:lang w:val="en-US" w:eastAsia="zh-CN"/>
        </w:rPr>
        <w:t xml:space="preserve"> </w:t>
      </w:r>
      <w:r>
        <w:rPr>
          <w:rFonts w:hint="eastAsia" w:ascii="仿宋_GB2312" w:hAnsi="仿宋_GB2312" w:eastAsia="仿宋_GB2312" w:cs="仿宋_GB2312"/>
          <w:color w:val="000000" w:themeColor="text1"/>
          <w:kern w:val="0"/>
          <w:sz w:val="24"/>
          <w:szCs w:val="24"/>
          <w:highlight w:val="none"/>
        </w:rPr>
        <w:t xml:space="preserve">  </w:t>
      </w:r>
      <w:r>
        <w:rPr>
          <w:rFonts w:hint="eastAsia" w:ascii="仿宋_GB2312" w:hAnsi="仿宋_GB2312" w:eastAsia="仿宋_GB2312" w:cs="仿宋_GB2312"/>
          <w:color w:val="000000" w:themeColor="text1"/>
          <w:kern w:val="0"/>
          <w:sz w:val="24"/>
          <w:szCs w:val="24"/>
          <w:highlight w:val="none"/>
          <w:lang w:val="en-US" w:eastAsia="zh-CN"/>
        </w:rPr>
        <w:t>被</w:t>
      </w:r>
      <w:r>
        <w:rPr>
          <w:rFonts w:hint="eastAsia" w:ascii="仿宋_GB2312" w:hAnsi="仿宋_GB2312" w:eastAsia="仿宋_GB2312" w:cs="仿宋_GB2312"/>
          <w:color w:val="000000" w:themeColor="text1"/>
          <w:kern w:val="0"/>
          <w:sz w:val="24"/>
          <w:szCs w:val="24"/>
          <w:highlight w:val="none"/>
        </w:rPr>
        <w:t>委托人：</w:t>
      </w:r>
    </w:p>
    <w:p>
      <w:pPr>
        <w:spacing w:line="400" w:lineRule="exac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  </w:t>
      </w:r>
      <w:r>
        <w:rPr>
          <w:rFonts w:hint="eastAsia" w:ascii="仿宋_GB2312" w:hAnsi="仿宋_GB2312" w:eastAsia="仿宋_GB2312" w:cs="仿宋_GB2312"/>
          <w:color w:val="000000" w:themeColor="text1"/>
          <w:sz w:val="24"/>
          <w:szCs w:val="24"/>
          <w:highlight w:val="none"/>
          <w:lang w:val="en-US" w:eastAsia="zh-CN"/>
        </w:rPr>
        <w:t xml:space="preserve">             </w:t>
      </w:r>
      <w:r>
        <w:rPr>
          <w:rFonts w:hint="eastAsia" w:ascii="仿宋_GB2312" w:hAnsi="仿宋_GB2312" w:eastAsia="仿宋_GB2312" w:cs="仿宋_GB2312"/>
          <w:color w:val="000000" w:themeColor="text1"/>
          <w:sz w:val="24"/>
          <w:szCs w:val="24"/>
          <w:highlight w:val="none"/>
        </w:rPr>
        <w:t xml:space="preserve">年  月  日    </w:t>
      </w:r>
      <w:r>
        <w:rPr>
          <w:rFonts w:hint="eastAsia" w:ascii="仿宋_GB2312" w:hAnsi="仿宋_GB2312" w:eastAsia="仿宋_GB2312" w:cs="仿宋_GB2312"/>
          <w:color w:val="000000" w:themeColor="text1"/>
          <w:sz w:val="24"/>
          <w:szCs w:val="24"/>
          <w:highlight w:val="none"/>
          <w:lang w:val="en-US" w:eastAsia="zh-CN"/>
        </w:rPr>
        <w:t xml:space="preserve">                    </w:t>
      </w:r>
      <w:r>
        <w:rPr>
          <w:rFonts w:hint="eastAsia" w:ascii="仿宋_GB2312" w:hAnsi="仿宋_GB2312" w:eastAsia="仿宋_GB2312" w:cs="仿宋_GB2312"/>
          <w:color w:val="000000" w:themeColor="text1"/>
          <w:sz w:val="24"/>
          <w:szCs w:val="24"/>
          <w:highlight w:val="none"/>
        </w:rPr>
        <w:t xml:space="preserve">  年  月  日 </w:t>
      </w:r>
    </w:p>
    <w:p>
      <w:pPr>
        <w:spacing w:line="400" w:lineRule="exact"/>
        <w:ind w:firstLine="5040" w:firstLineChars="2100"/>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 </w:t>
      </w:r>
    </w:p>
    <w:p/>
    <w:p>
      <w:pPr>
        <w:widowControl/>
        <w:spacing w:line="480" w:lineRule="auto"/>
        <w:rPr>
          <w:rFonts w:ascii="宋体" w:hAnsi="宋体"/>
          <w:sz w:val="21"/>
          <w:szCs w:val="21"/>
          <w:highlight w:val="none"/>
        </w:rPr>
      </w:pPr>
    </w:p>
    <w:sectPr>
      <w:headerReference r:id="rId15" w:type="default"/>
      <w:footerReference r:id="rId16"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AD15D5-F87C-439A-A3EB-67F2F5870C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2" w:fontKey="{78E6E1A0-37BE-40EF-9FEC-C1DA43D6ABF2}"/>
  </w:font>
  <w:font w:name="仿宋_GB2312">
    <w:panose1 w:val="02010609030101010101"/>
    <w:charset w:val="86"/>
    <w:family w:val="modern"/>
    <w:pitch w:val="default"/>
    <w:sig w:usb0="00000001" w:usb1="080E0000" w:usb2="00000000" w:usb3="00000000" w:csb0="00040000" w:csb1="00000000"/>
    <w:embedRegular r:id="rId3" w:fontKey="{E3062790-22E0-4222-B8E1-D82EC044229A}"/>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Century Schoolbook">
    <w:panose1 w:val="020406040505050203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embedRegular r:id="rId4" w:fontKey="{EAC60A76-0339-49D6-B5D3-D7869D843F1A}"/>
  </w:font>
  <w:font w:name="方正仿宋_GBK">
    <w:panose1 w:val="02000000000000000000"/>
    <w:charset w:val="86"/>
    <w:family w:val="auto"/>
    <w:pitch w:val="default"/>
    <w:sig w:usb0="A00002BF" w:usb1="38CF7CFA" w:usb2="00082016" w:usb3="00000000" w:csb0="00040001" w:csb1="00000000"/>
    <w:embedRegular r:id="rId5" w:fontKey="{46F31742-DA08-4729-A7F7-7512F0CCC9B3}"/>
  </w:font>
  <w:font w:name="方正仿宋_GB2312">
    <w:panose1 w:val="02000000000000000000"/>
    <w:charset w:val="86"/>
    <w:family w:val="auto"/>
    <w:pitch w:val="default"/>
    <w:sig w:usb0="A00002BF" w:usb1="184F6CFA" w:usb2="00000012" w:usb3="00000000" w:csb0="00040001" w:csb1="00000000"/>
    <w:embedRegular r:id="rId6" w:fontKey="{D735EBBD-3622-45B6-B348-8544E19BB0E3}"/>
  </w:font>
  <w:font w:name="华文仿宋">
    <w:panose1 w:val="02010600040101010101"/>
    <w:charset w:val="86"/>
    <w:family w:val="roman"/>
    <w:pitch w:val="default"/>
    <w:sig w:usb0="00000287" w:usb1="080F0000" w:usb2="00000000" w:usb3="00000000" w:csb0="0004009F" w:csb1="DFD70000"/>
    <w:embedRegular r:id="rId7" w:fontKey="{A6E93F9D-8672-4072-9717-7F59D1FF6B79}"/>
  </w:font>
  <w:font w:name="华文中宋">
    <w:panose1 w:val="02010600040101010101"/>
    <w:charset w:val="86"/>
    <w:family w:val="auto"/>
    <w:pitch w:val="default"/>
    <w:sig w:usb0="00000287" w:usb1="080F0000" w:usb2="00000000" w:usb3="00000000" w:csb0="0004009F" w:csb1="DFD70000"/>
    <w:embedRegular r:id="rId8" w:fontKey="{A629296B-8A42-4FFC-8F63-E483872941A7}"/>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仿宋" w:hAnsi="仿宋" w:eastAsia="仿宋" w:cs="仿宋"/>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pict>
        <v:shape id="文本框 11" o:spid="_x0000_s2050"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path/>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pict>
        <v:shape id="文本框 5"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path/>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pict>
        <v:shape id="文本框 6"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path/>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12</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cs="Times New Roman"/>
      </w:rPr>
    </w:pPr>
    <w:r>
      <w:fldChar w:fldCharType="begin"/>
    </w:r>
    <w:r>
      <w:rPr>
        <w:rStyle w:val="38"/>
        <w:rFonts w:cs="宋体"/>
      </w:rPr>
      <w:instrText xml:space="preserve"> PAGE </w:instrText>
    </w:r>
    <w:r>
      <w:fldChar w:fldCharType="separate"/>
    </w:r>
    <w:r>
      <w:rPr>
        <w:rStyle w:val="38"/>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p>
    <w:pPr>
      <w:pStyle w:val="23"/>
    </w:pPr>
  </w:p>
  <w:p>
    <w:pPr>
      <w:pStyle w:val="23"/>
    </w:pPr>
  </w:p>
  <w:p>
    <w:pPr>
      <w:pStyle w:val="23"/>
    </w:pPr>
  </w:p>
  <w:p>
    <w:pPr>
      <w:pStyle w:val="23"/>
      <w:jc w:val="left"/>
      <w:rPr>
        <w:b/>
        <w:bCs/>
      </w:rPr>
    </w:pPr>
    <w:r>
      <w:rPr>
        <w:b/>
        <w:bCs/>
      </w:rPr>
      <w:t>CSCEC</w:t>
    </w:r>
    <w:r>
      <w:t xml:space="preserve">  </w:t>
    </w:r>
    <w:r>
      <w:rPr>
        <w:rFonts w:hint="eastAsia"/>
        <w:b/>
        <w:bCs/>
      </w:rPr>
      <w:t xml:space="preserve">                                                                                 中建</w:t>
    </w:r>
  </w:p>
  <w:p>
    <w:pPr>
      <w:pStyle w:val="23"/>
    </w:pPr>
  </w:p>
  <w:p>
    <w:pPr>
      <w:pStyle w:val="2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3360"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 name="图片 8"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pPr>
      <w:pStyle w:val="2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6432"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1" name="图片 1"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pPr>
      <w:pStyle w:val="2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pPr>
      <w:pStyle w:val="2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5"/>
        <w:tab w:val="left" w:pos="8960"/>
        <w:tab w:val="right" w:pos="9070"/>
      </w:tabs>
      <w:spacing w:line="360" w:lineRule="auto"/>
      <w:ind w:right="146"/>
      <w:jc w:val="left"/>
      <w:rPr>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5A6D"/>
    <w:multiLevelType w:val="singleLevel"/>
    <w:tmpl w:val="9C525A6D"/>
    <w:lvl w:ilvl="0" w:tentative="0">
      <w:start w:val="1"/>
      <w:numFmt w:val="decimal"/>
      <w:suff w:val="nothing"/>
      <w:lvlText w:val="%1、"/>
      <w:lvlJc w:val="left"/>
    </w:lvl>
  </w:abstractNum>
  <w:abstractNum w:abstractNumId="1">
    <w:nsid w:val="CDF988A0"/>
    <w:multiLevelType w:val="singleLevel"/>
    <w:tmpl w:val="CDF988A0"/>
    <w:lvl w:ilvl="0" w:tentative="0">
      <w:start w:val="1"/>
      <w:numFmt w:val="decimal"/>
      <w:suff w:val="nothing"/>
      <w:lvlText w:val="%1、"/>
      <w:lvlJc w:val="left"/>
    </w:lvl>
  </w:abstractNum>
  <w:abstractNum w:abstractNumId="2">
    <w:nsid w:val="D6CC21DA"/>
    <w:multiLevelType w:val="singleLevel"/>
    <w:tmpl w:val="D6CC21DA"/>
    <w:lvl w:ilvl="0" w:tentative="0">
      <w:start w:val="1"/>
      <w:numFmt w:val="decimal"/>
      <w:suff w:val="nothing"/>
      <w:lvlText w:val="%1、"/>
      <w:lvlJc w:val="left"/>
    </w:lvl>
  </w:abstractNum>
  <w:abstractNum w:abstractNumId="3">
    <w:nsid w:val="E0133784"/>
    <w:multiLevelType w:val="singleLevel"/>
    <w:tmpl w:val="E0133784"/>
    <w:lvl w:ilvl="0" w:tentative="0">
      <w:start w:val="1"/>
      <w:numFmt w:val="decimal"/>
      <w:suff w:val="nothing"/>
      <w:lvlText w:val="%1、"/>
      <w:lvlJc w:val="left"/>
    </w:lvl>
  </w:abstractNum>
  <w:abstractNum w:abstractNumId="4">
    <w:nsid w:val="EEFD7662"/>
    <w:multiLevelType w:val="singleLevel"/>
    <w:tmpl w:val="EEFD7662"/>
    <w:lvl w:ilvl="0" w:tentative="0">
      <w:start w:val="1"/>
      <w:numFmt w:val="decimal"/>
      <w:suff w:val="nothing"/>
      <w:lvlText w:val="%1、"/>
      <w:lvlJc w:val="left"/>
    </w:lvl>
  </w:abstractNum>
  <w:abstractNum w:abstractNumId="5">
    <w:nsid w:val="EFACCE70"/>
    <w:multiLevelType w:val="singleLevel"/>
    <w:tmpl w:val="EFACCE70"/>
    <w:lvl w:ilvl="0" w:tentative="0">
      <w:start w:val="1"/>
      <w:numFmt w:val="chineseCounting"/>
      <w:suff w:val="nothing"/>
      <w:lvlText w:val="%1、"/>
      <w:lvlJc w:val="left"/>
      <w:rPr>
        <w:rFonts w:hint="eastAsia"/>
      </w:rPr>
    </w:lvl>
  </w:abstractNum>
  <w:abstractNum w:abstractNumId="6">
    <w:nsid w:val="F4B4D53B"/>
    <w:multiLevelType w:val="singleLevel"/>
    <w:tmpl w:val="F4B4D53B"/>
    <w:lvl w:ilvl="0" w:tentative="0">
      <w:start w:val="1"/>
      <w:numFmt w:val="decimal"/>
      <w:suff w:val="nothing"/>
      <w:lvlText w:val="%1、"/>
      <w:lvlJc w:val="left"/>
    </w:lvl>
  </w:abstractNum>
  <w:abstractNum w:abstractNumId="7">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8">
    <w:nsid w:val="1C870535"/>
    <w:multiLevelType w:val="singleLevel"/>
    <w:tmpl w:val="1C870535"/>
    <w:lvl w:ilvl="0" w:tentative="0">
      <w:start w:val="1"/>
      <w:numFmt w:val="decimal"/>
      <w:suff w:val="nothing"/>
      <w:lvlText w:val="%1、"/>
      <w:lvlJc w:val="left"/>
      <w:rPr>
        <w:rFonts w:hint="default"/>
        <w:b/>
        <w:bCs/>
      </w:rPr>
    </w:lvl>
  </w:abstractNum>
  <w:abstractNum w:abstractNumId="9">
    <w:nsid w:val="1D9874AA"/>
    <w:multiLevelType w:val="singleLevel"/>
    <w:tmpl w:val="1D9874AA"/>
    <w:lvl w:ilvl="0" w:tentative="0">
      <w:start w:val="1"/>
      <w:numFmt w:val="chineseCounting"/>
      <w:suff w:val="nothing"/>
      <w:lvlText w:val="%1、"/>
      <w:lvlJc w:val="left"/>
      <w:rPr>
        <w:rFonts w:hint="eastAsia"/>
      </w:rPr>
    </w:lvl>
  </w:abstractNum>
  <w:abstractNum w:abstractNumId="10">
    <w:nsid w:val="567023B9"/>
    <w:multiLevelType w:val="singleLevel"/>
    <w:tmpl w:val="567023B9"/>
    <w:lvl w:ilvl="0" w:tentative="0">
      <w:start w:val="1"/>
      <w:numFmt w:val="decimal"/>
      <w:suff w:val="nothing"/>
      <w:lvlText w:val="%1、"/>
      <w:lvlJc w:val="left"/>
    </w:lvl>
  </w:abstractNum>
  <w:abstractNum w:abstractNumId="11">
    <w:nsid w:val="597510C0"/>
    <w:multiLevelType w:val="multilevel"/>
    <w:tmpl w:val="597510C0"/>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2">
    <w:nsid w:val="5A99D076"/>
    <w:multiLevelType w:val="singleLevel"/>
    <w:tmpl w:val="5A99D076"/>
    <w:lvl w:ilvl="0" w:tentative="0">
      <w:start w:val="2"/>
      <w:numFmt w:val="decimal"/>
      <w:lvlText w:val="%1."/>
      <w:lvlJc w:val="left"/>
      <w:pPr>
        <w:tabs>
          <w:tab w:val="left" w:pos="312"/>
        </w:tabs>
        <w:ind w:left="480" w:firstLine="0"/>
      </w:pPr>
    </w:lvl>
  </w:abstractNum>
  <w:num w:numId="1">
    <w:abstractNumId w:val="5"/>
  </w:num>
  <w:num w:numId="2">
    <w:abstractNumId w:val="11"/>
  </w:num>
  <w:num w:numId="3">
    <w:abstractNumId w:val="8"/>
  </w:num>
  <w:num w:numId="4">
    <w:abstractNumId w:val="4"/>
  </w:num>
  <w:num w:numId="5">
    <w:abstractNumId w:val="6"/>
  </w:num>
  <w:num w:numId="6">
    <w:abstractNumId w:val="12"/>
  </w:num>
  <w:num w:numId="7">
    <w:abstractNumId w:val="7"/>
  </w:num>
  <w:num w:numId="8">
    <w:abstractNumId w:val="9"/>
  </w:num>
  <w:num w:numId="9">
    <w:abstractNumId w:val="10"/>
  </w:num>
  <w:num w:numId="10">
    <w:abstractNumId w:val="2"/>
  </w:num>
  <w:num w:numId="11">
    <w:abstractNumId w:val="3"/>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VkMzE1MmRlODcwNzI2MWMxNzc5OGJlYmViODE2ZGE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72F34"/>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714751A"/>
    <w:rsid w:val="082931CB"/>
    <w:rsid w:val="0AE10B06"/>
    <w:rsid w:val="0B4E1717"/>
    <w:rsid w:val="0C6B0A2B"/>
    <w:rsid w:val="0E1529C0"/>
    <w:rsid w:val="10E2481B"/>
    <w:rsid w:val="117711C9"/>
    <w:rsid w:val="16622991"/>
    <w:rsid w:val="16BC60CF"/>
    <w:rsid w:val="1E447244"/>
    <w:rsid w:val="20C8798E"/>
    <w:rsid w:val="23CF4770"/>
    <w:rsid w:val="2475351D"/>
    <w:rsid w:val="24F00B4F"/>
    <w:rsid w:val="25844CA4"/>
    <w:rsid w:val="27414953"/>
    <w:rsid w:val="2AC854F7"/>
    <w:rsid w:val="2C9102E3"/>
    <w:rsid w:val="3145400B"/>
    <w:rsid w:val="33C466F0"/>
    <w:rsid w:val="386C12AB"/>
    <w:rsid w:val="397E2222"/>
    <w:rsid w:val="39B316EF"/>
    <w:rsid w:val="3AE411D8"/>
    <w:rsid w:val="3B9F6BA4"/>
    <w:rsid w:val="3E484B51"/>
    <w:rsid w:val="3E4E1ADC"/>
    <w:rsid w:val="3F6F0185"/>
    <w:rsid w:val="48A546A9"/>
    <w:rsid w:val="48F52D7E"/>
    <w:rsid w:val="4A521C6C"/>
    <w:rsid w:val="4A8C758B"/>
    <w:rsid w:val="4AA24345"/>
    <w:rsid w:val="4C8E75EA"/>
    <w:rsid w:val="52C754D9"/>
    <w:rsid w:val="561A543D"/>
    <w:rsid w:val="5D922883"/>
    <w:rsid w:val="5DE62550"/>
    <w:rsid w:val="5ED66091"/>
    <w:rsid w:val="60DB1620"/>
    <w:rsid w:val="61EC3C39"/>
    <w:rsid w:val="64824AEB"/>
    <w:rsid w:val="673B5B7F"/>
    <w:rsid w:val="6A136F29"/>
    <w:rsid w:val="6AA33E09"/>
    <w:rsid w:val="6AB477DC"/>
    <w:rsid w:val="6BD2489F"/>
    <w:rsid w:val="6D534724"/>
    <w:rsid w:val="71902AA1"/>
    <w:rsid w:val="725373AF"/>
    <w:rsid w:val="73046216"/>
    <w:rsid w:val="749E55BE"/>
    <w:rsid w:val="7BA07691"/>
    <w:rsid w:val="7BBD0AA3"/>
    <w:rsid w:val="7CC61BD9"/>
    <w:rsid w:val="7D00325D"/>
    <w:rsid w:val="7FA33950"/>
    <w:rsid w:val="7FED395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肘形连接符 2"/>
        <o:r id="V:Rule2" type="connector" idref="#直接箭头连接符 4"/>
        <o:r id="V:Rule3" type="connector" idref="#直接箭头连接符 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autoRedefine/>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
    <w:link w:val="51"/>
    <w:autoRedefine/>
    <w:qFormat/>
    <w:uiPriority w:val="0"/>
    <w:pPr>
      <w:spacing w:after="120"/>
    </w:pPr>
    <w:rPr>
      <w:rFonts w:ascii="宋体" w:hAnsi="宋体" w:eastAsia="宋体" w:cs="宋体"/>
      <w:kern w:val="44"/>
      <w:sz w:val="28"/>
      <w:szCs w:val="28"/>
    </w:rPr>
  </w:style>
  <w:style w:type="paragraph" w:styleId="14">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5">
    <w:name w:val="toc 5"/>
    <w:basedOn w:val="1"/>
    <w:next w:val="1"/>
    <w:autoRedefine/>
    <w:qFormat/>
    <w:uiPriority w:val="0"/>
    <w:pPr>
      <w:ind w:left="1120"/>
      <w:jc w:val="left"/>
    </w:pPr>
    <w:rPr>
      <w:rFonts w:ascii="宋体" w:hAnsi="宋体" w:eastAsia="宋体" w:cs="宋体"/>
      <w:kern w:val="44"/>
      <w:sz w:val="18"/>
      <w:szCs w:val="18"/>
    </w:rPr>
  </w:style>
  <w:style w:type="paragraph" w:styleId="16">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7">
    <w:name w:val="Plain Text"/>
    <w:basedOn w:val="1"/>
    <w:link w:val="74"/>
    <w:autoRedefine/>
    <w:qFormat/>
    <w:uiPriority w:val="0"/>
    <w:rPr>
      <w:rFonts w:ascii="宋体" w:hAnsi="Courier New" w:eastAsia="宋体" w:cs="宋体"/>
      <w:kern w:val="44"/>
      <w:sz w:val="21"/>
      <w:szCs w:val="21"/>
    </w:rPr>
  </w:style>
  <w:style w:type="paragraph" w:styleId="18">
    <w:name w:val="toc 8"/>
    <w:basedOn w:val="1"/>
    <w:next w:val="1"/>
    <w:autoRedefine/>
    <w:qFormat/>
    <w:uiPriority w:val="0"/>
    <w:pPr>
      <w:ind w:left="1960"/>
      <w:jc w:val="left"/>
    </w:pPr>
    <w:rPr>
      <w:rFonts w:ascii="宋体" w:hAnsi="宋体" w:eastAsia="宋体" w:cs="宋体"/>
      <w:kern w:val="44"/>
      <w:sz w:val="18"/>
      <w:szCs w:val="18"/>
    </w:rPr>
  </w:style>
  <w:style w:type="paragraph" w:styleId="19">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0">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1">
    <w:name w:val="Balloon Text"/>
    <w:basedOn w:val="1"/>
    <w:link w:val="58"/>
    <w:autoRedefine/>
    <w:semiHidden/>
    <w:qFormat/>
    <w:uiPriority w:val="0"/>
    <w:rPr>
      <w:rFonts w:ascii="宋体" w:hAnsi="宋体" w:eastAsia="宋体" w:cs="宋体"/>
      <w:kern w:val="44"/>
      <w:sz w:val="18"/>
      <w:szCs w:val="18"/>
    </w:rPr>
  </w:style>
  <w:style w:type="paragraph" w:styleId="22">
    <w:name w:val="footer"/>
    <w:basedOn w:val="1"/>
    <w:link w:val="48"/>
    <w:autoRedefine/>
    <w:unhideWhenUsed/>
    <w:qFormat/>
    <w:uiPriority w:val="0"/>
    <w:pPr>
      <w:tabs>
        <w:tab w:val="center" w:pos="4153"/>
        <w:tab w:val="right" w:pos="8306"/>
      </w:tabs>
      <w:snapToGrid w:val="0"/>
      <w:jc w:val="left"/>
    </w:pPr>
    <w:rPr>
      <w:sz w:val="18"/>
      <w:szCs w:val="18"/>
    </w:rPr>
  </w:style>
  <w:style w:type="paragraph" w:styleId="23">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5">
    <w:name w:val="toc 4"/>
    <w:basedOn w:val="1"/>
    <w:next w:val="1"/>
    <w:autoRedefine/>
    <w:qFormat/>
    <w:uiPriority w:val="0"/>
    <w:pPr>
      <w:ind w:left="840"/>
      <w:jc w:val="left"/>
    </w:pPr>
    <w:rPr>
      <w:rFonts w:ascii="宋体" w:hAnsi="宋体" w:eastAsia="宋体" w:cs="宋体"/>
      <w:kern w:val="44"/>
      <w:sz w:val="18"/>
      <w:szCs w:val="18"/>
    </w:rPr>
  </w:style>
  <w:style w:type="paragraph" w:styleId="26">
    <w:name w:val="toc 6"/>
    <w:basedOn w:val="1"/>
    <w:next w:val="1"/>
    <w:autoRedefine/>
    <w:qFormat/>
    <w:uiPriority w:val="0"/>
    <w:pPr>
      <w:ind w:left="1400"/>
      <w:jc w:val="left"/>
    </w:pPr>
    <w:rPr>
      <w:rFonts w:ascii="宋体" w:hAnsi="宋体" w:eastAsia="宋体" w:cs="宋体"/>
      <w:kern w:val="44"/>
      <w:sz w:val="18"/>
      <w:szCs w:val="18"/>
    </w:rPr>
  </w:style>
  <w:style w:type="paragraph" w:styleId="27">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8">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29">
    <w:name w:val="toc 9"/>
    <w:basedOn w:val="1"/>
    <w:next w:val="1"/>
    <w:autoRedefine/>
    <w:qFormat/>
    <w:uiPriority w:val="0"/>
    <w:pPr>
      <w:ind w:left="2240"/>
      <w:jc w:val="left"/>
    </w:pPr>
    <w:rPr>
      <w:rFonts w:ascii="宋体" w:hAnsi="宋体" w:eastAsia="宋体" w:cs="宋体"/>
      <w:kern w:val="44"/>
      <w:sz w:val="18"/>
      <w:szCs w:val="18"/>
    </w:rPr>
  </w:style>
  <w:style w:type="paragraph" w:styleId="30">
    <w:name w:val="Normal (Web)"/>
    <w:basedOn w:val="1"/>
    <w:autoRedefine/>
    <w:qFormat/>
    <w:uiPriority w:val="0"/>
    <w:pPr>
      <w:widowControl/>
      <w:spacing w:before="300" w:after="300"/>
      <w:jc w:val="left"/>
    </w:pPr>
    <w:rPr>
      <w:rFonts w:ascii="宋体" w:hAnsi="宋体" w:eastAsia="宋体" w:cs="宋体"/>
      <w:kern w:val="0"/>
    </w:rPr>
  </w:style>
  <w:style w:type="paragraph" w:styleId="31">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2">
    <w:name w:val="annotation subject"/>
    <w:basedOn w:val="10"/>
    <w:next w:val="10"/>
    <w:link w:val="62"/>
    <w:autoRedefine/>
    <w:semiHidden/>
    <w:qFormat/>
    <w:uiPriority w:val="0"/>
    <w:rPr>
      <w:rFonts w:ascii="宋体" w:hAnsi="宋体" w:eastAsia="宋体" w:cs="宋体"/>
      <w:b/>
      <w:bCs/>
      <w:kern w:val="44"/>
      <w:sz w:val="28"/>
      <w:szCs w:val="28"/>
    </w:rPr>
  </w:style>
  <w:style w:type="paragraph" w:styleId="33">
    <w:name w:val="Body Text First Indent 2"/>
    <w:basedOn w:val="14"/>
    <w:link w:val="310"/>
    <w:autoRedefine/>
    <w:unhideWhenUsed/>
    <w:qFormat/>
    <w:uiPriority w:val="0"/>
    <w:pPr>
      <w:ind w:firstLine="420" w:firstLineChars="200"/>
    </w:pPr>
    <w:rPr>
      <w:rFonts w:ascii="Times New Roman" w:hAnsi="Times New Roman" w:cs="Times New Roman"/>
      <w:kern w:val="2"/>
      <w:sz w:val="21"/>
      <w:szCs w:val="22"/>
    </w:rPr>
  </w:style>
  <w:style w:type="table" w:styleId="35">
    <w:name w:val="Table Grid"/>
    <w:basedOn w:val="34"/>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autoRedefine/>
    <w:qFormat/>
    <w:uiPriority w:val="0"/>
    <w:rPr>
      <w:rFonts w:cs="Times New Roman"/>
      <w:b/>
      <w:bCs/>
    </w:rPr>
  </w:style>
  <w:style w:type="character" w:styleId="38">
    <w:name w:val="page number"/>
    <w:basedOn w:val="36"/>
    <w:autoRedefine/>
    <w:qFormat/>
    <w:uiPriority w:val="0"/>
    <w:rPr>
      <w:rFonts w:cs="Times New Roman"/>
    </w:rPr>
  </w:style>
  <w:style w:type="character" w:styleId="39">
    <w:name w:val="FollowedHyperlink"/>
    <w:basedOn w:val="36"/>
    <w:autoRedefine/>
    <w:qFormat/>
    <w:uiPriority w:val="0"/>
    <w:rPr>
      <w:rFonts w:cs="Times New Roman"/>
      <w:color w:val="800080"/>
      <w:u w:val="single"/>
    </w:rPr>
  </w:style>
  <w:style w:type="character" w:styleId="40">
    <w:name w:val="Hyperlink"/>
    <w:basedOn w:val="36"/>
    <w:autoRedefine/>
    <w:unhideWhenUsed/>
    <w:qFormat/>
    <w:uiPriority w:val="0"/>
    <w:rPr>
      <w:color w:val="0000FF" w:themeColor="hyperlink"/>
      <w:u w:val="single"/>
    </w:rPr>
  </w:style>
  <w:style w:type="paragraph" w:customStyle="1" w:styleId="4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2">
    <w:name w:val="标题 1 Char"/>
    <w:basedOn w:val="36"/>
    <w:link w:val="2"/>
    <w:autoRedefine/>
    <w:qFormat/>
    <w:uiPriority w:val="0"/>
    <w:rPr>
      <w:rFonts w:ascii="宋体" w:hAnsi="宋体" w:eastAsia="宋体" w:cs="宋体"/>
      <w:b/>
      <w:bCs/>
      <w:kern w:val="44"/>
      <w:sz w:val="44"/>
      <w:szCs w:val="44"/>
    </w:rPr>
  </w:style>
  <w:style w:type="character" w:customStyle="1" w:styleId="43">
    <w:name w:val="标题 2 Char"/>
    <w:basedOn w:val="36"/>
    <w:link w:val="3"/>
    <w:autoRedefine/>
    <w:qFormat/>
    <w:uiPriority w:val="0"/>
    <w:rPr>
      <w:rFonts w:ascii="Arial" w:hAnsi="Arial" w:eastAsia="黑体" w:cs="Arial"/>
      <w:b/>
      <w:bCs/>
      <w:kern w:val="44"/>
      <w:sz w:val="32"/>
      <w:szCs w:val="32"/>
    </w:rPr>
  </w:style>
  <w:style w:type="character" w:customStyle="1" w:styleId="44">
    <w:name w:val="标题 3 Char"/>
    <w:basedOn w:val="36"/>
    <w:link w:val="4"/>
    <w:autoRedefine/>
    <w:qFormat/>
    <w:uiPriority w:val="0"/>
    <w:rPr>
      <w:rFonts w:ascii="宋体" w:hAnsi="宋体" w:eastAsia="宋体" w:cs="宋体"/>
      <w:b/>
      <w:bCs/>
      <w:kern w:val="44"/>
      <w:sz w:val="32"/>
      <w:szCs w:val="32"/>
    </w:rPr>
  </w:style>
  <w:style w:type="character" w:customStyle="1" w:styleId="45">
    <w:name w:val="标题 4 Char"/>
    <w:basedOn w:val="36"/>
    <w:link w:val="5"/>
    <w:autoRedefine/>
    <w:qFormat/>
    <w:uiPriority w:val="0"/>
    <w:rPr>
      <w:rFonts w:ascii="Arial" w:hAnsi="Arial" w:eastAsia="黑体" w:cs="Arial"/>
      <w:b/>
      <w:bCs/>
      <w:kern w:val="44"/>
      <w:sz w:val="28"/>
      <w:szCs w:val="28"/>
    </w:rPr>
  </w:style>
  <w:style w:type="character" w:customStyle="1" w:styleId="46">
    <w:name w:val="标题 9 Char"/>
    <w:basedOn w:val="36"/>
    <w:link w:val="6"/>
    <w:autoRedefine/>
    <w:qFormat/>
    <w:uiPriority w:val="0"/>
    <w:rPr>
      <w:rFonts w:ascii="Arial" w:hAnsi="Arial" w:eastAsia="黑体" w:cs="Arial"/>
      <w:kern w:val="44"/>
      <w:sz w:val="21"/>
      <w:szCs w:val="21"/>
    </w:rPr>
  </w:style>
  <w:style w:type="character" w:customStyle="1" w:styleId="47">
    <w:name w:val="页眉 Char"/>
    <w:basedOn w:val="36"/>
    <w:link w:val="23"/>
    <w:autoRedefine/>
    <w:qFormat/>
    <w:uiPriority w:val="0"/>
    <w:rPr>
      <w:sz w:val="18"/>
      <w:szCs w:val="18"/>
    </w:rPr>
  </w:style>
  <w:style w:type="character" w:customStyle="1" w:styleId="48">
    <w:name w:val="页脚 Char"/>
    <w:basedOn w:val="36"/>
    <w:link w:val="22"/>
    <w:autoRedefine/>
    <w:qFormat/>
    <w:uiPriority w:val="0"/>
    <w:rPr>
      <w:sz w:val="18"/>
      <w:szCs w:val="18"/>
    </w:rPr>
  </w:style>
  <w:style w:type="character" w:customStyle="1" w:styleId="49">
    <w:name w:val="Char Char11"/>
    <w:basedOn w:val="36"/>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6"/>
    <w:link w:val="13"/>
    <w:autoRedefine/>
    <w:qFormat/>
    <w:locked/>
    <w:uiPriority w:val="0"/>
    <w:rPr>
      <w:rFonts w:ascii="宋体" w:hAnsi="宋体" w:eastAsia="宋体" w:cs="宋体"/>
      <w:kern w:val="44"/>
      <w:sz w:val="28"/>
      <w:szCs w:val="28"/>
    </w:rPr>
  </w:style>
  <w:style w:type="character" w:customStyle="1" w:styleId="52">
    <w:name w:val="日期 Char"/>
    <w:basedOn w:val="36"/>
    <w:link w:val="19"/>
    <w:autoRedefine/>
    <w:qFormat/>
    <w:locked/>
    <w:uiPriority w:val="0"/>
    <w:rPr>
      <w:rFonts w:ascii="宋体" w:hAnsi="宋体" w:eastAsia="宋体" w:cs="宋体"/>
      <w:kern w:val="44"/>
      <w:sz w:val="28"/>
      <w:szCs w:val="28"/>
    </w:rPr>
  </w:style>
  <w:style w:type="character" w:customStyle="1" w:styleId="53">
    <w:name w:val="Char Char1"/>
    <w:basedOn w:val="36"/>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6"/>
    <w:autoRedefine/>
    <w:qFormat/>
    <w:uiPriority w:val="0"/>
  </w:style>
  <w:style w:type="character" w:customStyle="1" w:styleId="55">
    <w:name w:val="文档结构图 Char"/>
    <w:basedOn w:val="36"/>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6"/>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6"/>
    <w:link w:val="11"/>
    <w:autoRedefine/>
    <w:qFormat/>
    <w:locked/>
    <w:uiPriority w:val="0"/>
    <w:rPr>
      <w:rFonts w:ascii="宋体" w:hAnsi="宋体" w:eastAsia="宋体" w:cs="宋体"/>
      <w:kern w:val="44"/>
      <w:sz w:val="32"/>
      <w:szCs w:val="32"/>
    </w:rPr>
  </w:style>
  <w:style w:type="character" w:customStyle="1" w:styleId="58">
    <w:name w:val="批注框文本 Char"/>
    <w:basedOn w:val="36"/>
    <w:link w:val="21"/>
    <w:autoRedefine/>
    <w:semiHidden/>
    <w:qFormat/>
    <w:locked/>
    <w:uiPriority w:val="0"/>
    <w:rPr>
      <w:rFonts w:ascii="宋体" w:hAnsi="宋体" w:eastAsia="宋体" w:cs="宋体"/>
      <w:kern w:val="44"/>
      <w:sz w:val="18"/>
      <w:szCs w:val="18"/>
    </w:rPr>
  </w:style>
  <w:style w:type="character" w:customStyle="1" w:styleId="59">
    <w:name w:val="H2 Char"/>
    <w:basedOn w:val="36"/>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6"/>
    <w:link w:val="20"/>
    <w:autoRedefine/>
    <w:qFormat/>
    <w:locked/>
    <w:uiPriority w:val="0"/>
    <w:rPr>
      <w:rFonts w:ascii="宋体" w:hAnsi="宋体" w:eastAsia="宋体" w:cs="宋体"/>
      <w:kern w:val="44"/>
      <w:sz w:val="28"/>
      <w:szCs w:val="28"/>
    </w:rPr>
  </w:style>
  <w:style w:type="character" w:customStyle="1" w:styleId="61">
    <w:name w:val="Char Char Char1"/>
    <w:basedOn w:val="36"/>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2"/>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6"/>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6"/>
    <w:link w:val="10"/>
    <w:autoRedefine/>
    <w:semiHidden/>
    <w:qFormat/>
    <w:uiPriority w:val="99"/>
  </w:style>
  <w:style w:type="character" w:customStyle="1" w:styleId="65">
    <w:name w:val="Char Char9"/>
    <w:basedOn w:val="36"/>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6"/>
    <w:autoRedefine/>
    <w:qFormat/>
    <w:locked/>
    <w:uiPriority w:val="0"/>
    <w:rPr>
      <w:rFonts w:ascii="宋体" w:hAnsi="宋体" w:eastAsia="宋体"/>
      <w:kern w:val="2"/>
      <w:sz w:val="18"/>
      <w:szCs w:val="18"/>
      <w:lang w:val="en-US" w:eastAsia="zh-CN" w:bidi="ar-SA"/>
    </w:rPr>
  </w:style>
  <w:style w:type="character" w:customStyle="1" w:styleId="67">
    <w:name w:val="Char Char111"/>
    <w:basedOn w:val="36"/>
    <w:autoRedefine/>
    <w:qFormat/>
    <w:uiPriority w:val="0"/>
    <w:rPr>
      <w:rFonts w:ascii="Arial" w:hAnsi="Arial" w:eastAsia="黑体" w:cs="Arial"/>
      <w:b/>
      <w:bCs/>
      <w:kern w:val="2"/>
      <w:sz w:val="32"/>
      <w:szCs w:val="32"/>
      <w:lang w:val="en-US" w:eastAsia="zh-CN"/>
    </w:rPr>
  </w:style>
  <w:style w:type="character" w:customStyle="1" w:styleId="68">
    <w:name w:val="Char Char6"/>
    <w:basedOn w:val="36"/>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6"/>
    <w:link w:val="27"/>
    <w:autoRedefine/>
    <w:qFormat/>
    <w:locked/>
    <w:uiPriority w:val="0"/>
    <w:rPr>
      <w:rFonts w:ascii="宋体" w:hAnsi="宋体" w:eastAsia="宋体" w:cs="宋体"/>
      <w:kern w:val="44"/>
      <w:sz w:val="16"/>
      <w:szCs w:val="16"/>
    </w:rPr>
  </w:style>
  <w:style w:type="character" w:customStyle="1" w:styleId="70">
    <w:name w:val="纯文本 Char"/>
    <w:basedOn w:val="36"/>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6"/>
    <w:autoRedefine/>
    <w:qFormat/>
    <w:uiPriority w:val="0"/>
    <w:rPr>
      <w:rFonts w:ascii="Arial" w:hAnsi="Arial" w:eastAsia="黑体" w:cs="Arial"/>
      <w:b/>
      <w:bCs/>
      <w:kern w:val="2"/>
      <w:sz w:val="32"/>
      <w:szCs w:val="32"/>
      <w:lang w:val="en-US" w:eastAsia="zh-CN"/>
    </w:rPr>
  </w:style>
  <w:style w:type="character" w:customStyle="1" w:styleId="74">
    <w:name w:val="纯文本 Char1"/>
    <w:basedOn w:val="36"/>
    <w:link w:val="17"/>
    <w:autoRedefine/>
    <w:qFormat/>
    <w:locked/>
    <w:uiPriority w:val="0"/>
    <w:rPr>
      <w:rFonts w:ascii="宋体" w:hAnsi="Courier New" w:eastAsia="宋体" w:cs="宋体"/>
      <w:kern w:val="44"/>
      <w:sz w:val="21"/>
      <w:szCs w:val="21"/>
    </w:rPr>
  </w:style>
  <w:style w:type="character" w:customStyle="1" w:styleId="75">
    <w:name w:val="Char Char Char12"/>
    <w:basedOn w:val="36"/>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6"/>
    <w:link w:val="14"/>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6"/>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6"/>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6"/>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6"/>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6"/>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6"/>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6"/>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6"/>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4"/>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6"/>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6"/>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6"/>
    <w:link w:val="31"/>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3"/>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paragraph" w:customStyle="1" w:styleId="312">
    <w:name w:val="。"/>
    <w:basedOn w:val="1"/>
    <w:autoRedefine/>
    <w:qFormat/>
    <w:uiPriority w:val="0"/>
    <w:pPr>
      <w:adjustRightInd w:val="0"/>
      <w:spacing w:line="312" w:lineRule="atLeast"/>
      <w:ind w:right="679"/>
      <w:textAlignment w:val="baseline"/>
    </w:pPr>
    <w:rPr>
      <w:rFonts w:ascii="宋体" w:hAnsi="Calibri" w:eastAsia="宋体" w:cs="Times New Roman"/>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9.png"/><Relationship Id="rId25" Type="http://schemas.openxmlformats.org/officeDocument/2006/relationships/image" Target="media/image8.png"/><Relationship Id="rId24" Type="http://schemas.openxmlformats.org/officeDocument/2006/relationships/image" Target="media/image7.png"/><Relationship Id="rId23" Type="http://schemas.openxmlformats.org/officeDocument/2006/relationships/image" Target="media/image6.png"/><Relationship Id="rId22" Type="http://schemas.openxmlformats.org/officeDocument/2006/relationships/image" Target="media/image5.png"/><Relationship Id="rId21" Type="http://schemas.openxmlformats.org/officeDocument/2006/relationships/image" Target="media/image4.png"/><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51"/>
    <customShpInfo spid="_x0000_s2049"/>
    <customShpInfo spid="_x0000_s1026" textRotate="1"/>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62</Pages>
  <Words>9751</Words>
  <Characters>10527</Characters>
  <Lines>92</Lines>
  <Paragraphs>26</Paragraphs>
  <TotalTime>30</TotalTime>
  <ScaleCrop>false</ScaleCrop>
  <LinksUpToDate>false</LinksUpToDate>
  <CharactersWithSpaces>12159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潇索丨陌离殇</cp:lastModifiedBy>
  <cp:lastPrinted>2020-05-07T01:04:00Z</cp:lastPrinted>
  <dcterms:modified xsi:type="dcterms:W3CDTF">2024-05-17T02:39:30Z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FBA7B7A0FA794D6898E6D549F9FCF6C5_12</vt:lpwstr>
  </property>
</Properties>
</file>